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15012" w14:textId="77777777" w:rsidR="003F29E3" w:rsidRPr="00561A6B" w:rsidRDefault="003F29E3" w:rsidP="00D10772"/>
    <w:p w14:paraId="66B15013" w14:textId="77777777" w:rsidR="003F29E3" w:rsidRPr="00561A6B" w:rsidRDefault="003F29E3" w:rsidP="00D10772"/>
    <w:p w14:paraId="66B15014" w14:textId="77777777" w:rsidR="003F29E3" w:rsidRPr="00561A6B" w:rsidRDefault="003F29E3" w:rsidP="00D10772"/>
    <w:p w14:paraId="66B15015" w14:textId="77777777" w:rsidR="003F29E3" w:rsidRPr="00561A6B" w:rsidRDefault="003F29E3" w:rsidP="00D10772"/>
    <w:p w14:paraId="66B15016" w14:textId="77777777" w:rsidR="003F29E3" w:rsidRPr="00561A6B" w:rsidRDefault="003F29E3" w:rsidP="00D10772"/>
    <w:p w14:paraId="66B15017" w14:textId="77777777" w:rsidR="003F29E3" w:rsidRPr="00561A6B" w:rsidRDefault="003F29E3" w:rsidP="00FF0CBC">
      <w:pPr>
        <w:jc w:val="center"/>
      </w:pPr>
    </w:p>
    <w:p w14:paraId="66B15018" w14:textId="77777777" w:rsidR="003F29E3" w:rsidRPr="005101AA" w:rsidRDefault="003F29E3" w:rsidP="00FF0CBC">
      <w:pPr>
        <w:jc w:val="center"/>
        <w:rPr>
          <w:sz w:val="28"/>
          <w:szCs w:val="28"/>
        </w:rPr>
      </w:pPr>
      <w:r w:rsidRPr="005101AA">
        <w:rPr>
          <w:sz w:val="28"/>
          <w:szCs w:val="28"/>
        </w:rPr>
        <w:t>A tőkemegfelelés belső értékelési folyamata (ICAAP),</w:t>
      </w:r>
    </w:p>
    <w:p w14:paraId="66B15019" w14:textId="77777777" w:rsidR="003F29E3" w:rsidRPr="005101AA" w:rsidRDefault="003F29E3" w:rsidP="00FF0CBC">
      <w:pPr>
        <w:jc w:val="center"/>
        <w:rPr>
          <w:sz w:val="28"/>
          <w:szCs w:val="28"/>
        </w:rPr>
      </w:pPr>
      <w:r w:rsidRPr="005101AA">
        <w:rPr>
          <w:sz w:val="28"/>
          <w:szCs w:val="28"/>
        </w:rPr>
        <w:t>a likviditás megfelelőségének belső értékelési folyamata</w:t>
      </w:r>
    </w:p>
    <w:p w14:paraId="66B1501A" w14:textId="77777777" w:rsidR="003F29E3" w:rsidRPr="005101AA" w:rsidRDefault="003F29E3" w:rsidP="00FF0CBC">
      <w:pPr>
        <w:jc w:val="center"/>
        <w:rPr>
          <w:sz w:val="28"/>
          <w:szCs w:val="28"/>
        </w:rPr>
      </w:pPr>
      <w:r w:rsidRPr="005101AA">
        <w:rPr>
          <w:sz w:val="28"/>
          <w:szCs w:val="28"/>
        </w:rPr>
        <w:t>(ILAAP)</w:t>
      </w:r>
    </w:p>
    <w:p w14:paraId="66B1501B" w14:textId="746CE3BF" w:rsidR="003F29E3" w:rsidRPr="005101AA" w:rsidRDefault="003F29E3" w:rsidP="00FF0CBC">
      <w:pPr>
        <w:jc w:val="center"/>
        <w:rPr>
          <w:sz w:val="28"/>
          <w:szCs w:val="28"/>
        </w:rPr>
      </w:pPr>
      <w:r w:rsidRPr="005101AA">
        <w:rPr>
          <w:sz w:val="28"/>
          <w:szCs w:val="28"/>
        </w:rPr>
        <w:t>és felügyeleti felülvizsgálatuk</w:t>
      </w:r>
      <w:r w:rsidR="00E50FDE">
        <w:rPr>
          <w:sz w:val="28"/>
          <w:szCs w:val="28"/>
        </w:rPr>
        <w:t xml:space="preserve">, valamint </w:t>
      </w:r>
      <w:r w:rsidR="003826DA">
        <w:rPr>
          <w:sz w:val="28"/>
          <w:szCs w:val="28"/>
        </w:rPr>
        <w:t xml:space="preserve">az </w:t>
      </w:r>
      <w:r w:rsidR="00B27A47">
        <w:rPr>
          <w:sz w:val="28"/>
          <w:szCs w:val="28"/>
        </w:rPr>
        <w:t>üzleti modell elemzés (BMA</w:t>
      </w:r>
      <w:r w:rsidR="00E50FDE">
        <w:rPr>
          <w:sz w:val="28"/>
          <w:szCs w:val="28"/>
        </w:rPr>
        <w:t>)</w:t>
      </w:r>
    </w:p>
    <w:p w14:paraId="66B1501C" w14:textId="77777777" w:rsidR="003F29E3" w:rsidRPr="00561A6B" w:rsidRDefault="003F29E3" w:rsidP="00FF0CBC">
      <w:pPr>
        <w:jc w:val="center"/>
      </w:pPr>
    </w:p>
    <w:p w14:paraId="66B1501D" w14:textId="77777777" w:rsidR="003F29E3" w:rsidRPr="00561A6B" w:rsidRDefault="003F29E3" w:rsidP="00FF0CBC">
      <w:pPr>
        <w:jc w:val="center"/>
      </w:pPr>
    </w:p>
    <w:p w14:paraId="66B1501E" w14:textId="77777777" w:rsidR="003F29E3" w:rsidRPr="00561A6B" w:rsidRDefault="003F29E3" w:rsidP="00FF0CBC">
      <w:pPr>
        <w:jc w:val="center"/>
      </w:pPr>
    </w:p>
    <w:p w14:paraId="66B1501F" w14:textId="77777777" w:rsidR="003F29E3" w:rsidRPr="00561A6B" w:rsidRDefault="003F29E3" w:rsidP="00FF0CBC">
      <w:pPr>
        <w:jc w:val="center"/>
      </w:pPr>
    </w:p>
    <w:p w14:paraId="66B15020" w14:textId="0F5C3B55" w:rsidR="003F29E3" w:rsidRPr="00561A6B" w:rsidRDefault="000D1930" w:rsidP="00FF0CBC">
      <w:pPr>
        <w:jc w:val="center"/>
      </w:pPr>
      <w:r>
        <w:t>MÓDSZERTANI KÉZIKÖNYV</w:t>
      </w:r>
      <w:r w:rsidR="003F29E3" w:rsidRPr="00561A6B">
        <w:t xml:space="preserve"> A FELÜGYELT INTÉZMÉNYEK RÉSZÉRE</w:t>
      </w:r>
    </w:p>
    <w:p w14:paraId="66B15021" w14:textId="77777777" w:rsidR="003F29E3" w:rsidRPr="00561A6B" w:rsidRDefault="003F29E3" w:rsidP="00FF0CBC">
      <w:pPr>
        <w:jc w:val="center"/>
      </w:pPr>
    </w:p>
    <w:p w14:paraId="66B15022" w14:textId="77777777" w:rsidR="003F29E3" w:rsidRPr="00561A6B" w:rsidRDefault="003F29E3" w:rsidP="00FF0CBC">
      <w:pPr>
        <w:jc w:val="center"/>
      </w:pPr>
    </w:p>
    <w:p w14:paraId="66B15023" w14:textId="77777777" w:rsidR="003F29E3" w:rsidRPr="00561A6B" w:rsidRDefault="003F29E3" w:rsidP="00D10772"/>
    <w:p w14:paraId="66B15024" w14:textId="77777777" w:rsidR="003F29E3" w:rsidRPr="00561A6B" w:rsidRDefault="003F29E3" w:rsidP="00D10772"/>
    <w:p w14:paraId="66B15025" w14:textId="77777777" w:rsidR="003F29E3" w:rsidRPr="00561A6B" w:rsidRDefault="003F29E3" w:rsidP="00D10772"/>
    <w:p w14:paraId="66B15026" w14:textId="77777777" w:rsidR="003F29E3" w:rsidRPr="00561A6B" w:rsidRDefault="003F29E3" w:rsidP="00D10772"/>
    <w:p w14:paraId="66B15027" w14:textId="77777777" w:rsidR="003F29E3" w:rsidRPr="00561A6B" w:rsidRDefault="003F29E3" w:rsidP="00D10772"/>
    <w:p w14:paraId="66B15028" w14:textId="77777777" w:rsidR="003F29E3" w:rsidRPr="00561A6B" w:rsidRDefault="003F29E3" w:rsidP="00D10772">
      <w:bookmarkStart w:id="0" w:name="_GoBack"/>
      <w:bookmarkEnd w:id="0"/>
    </w:p>
    <w:p w14:paraId="66B15029" w14:textId="77777777" w:rsidR="003F29E3" w:rsidRPr="00561A6B" w:rsidRDefault="003F29E3" w:rsidP="00D10772"/>
    <w:p w14:paraId="66B1502A" w14:textId="77777777" w:rsidR="003F29E3" w:rsidRDefault="003F29E3" w:rsidP="00D10772"/>
    <w:p w14:paraId="474DE2F8" w14:textId="42E43294" w:rsidR="00992893" w:rsidRDefault="00992893" w:rsidP="00D10772"/>
    <w:p w14:paraId="0353DA23" w14:textId="77777777" w:rsidR="00992893" w:rsidRDefault="00992893" w:rsidP="00D10772"/>
    <w:p w14:paraId="2E094E02" w14:textId="77777777" w:rsidR="00992893" w:rsidRDefault="00992893" w:rsidP="00D10772"/>
    <w:p w14:paraId="45EA8C02" w14:textId="77777777" w:rsidR="00992893" w:rsidRDefault="00992893" w:rsidP="00D10772"/>
    <w:p w14:paraId="469A38F5" w14:textId="77777777" w:rsidR="00992893" w:rsidRPr="00561A6B" w:rsidRDefault="00992893" w:rsidP="00D10772"/>
    <w:p w14:paraId="66B1502B" w14:textId="77777777" w:rsidR="003F29E3" w:rsidRPr="00561A6B" w:rsidRDefault="003F29E3" w:rsidP="00D10772"/>
    <w:p w14:paraId="66B1502C" w14:textId="077763FD" w:rsidR="003F29E3" w:rsidRPr="00561A6B" w:rsidRDefault="003F29E3" w:rsidP="00D10772">
      <w:r w:rsidRPr="00561A6B">
        <w:t xml:space="preserve">Utolsó felülvizsgálat: </w:t>
      </w:r>
      <w:r w:rsidR="009D3208">
        <w:t>2017. február</w:t>
      </w:r>
    </w:p>
    <w:p w14:paraId="66B1502D" w14:textId="497034CD" w:rsidR="003F29E3" w:rsidRPr="00561A6B" w:rsidRDefault="003F29E3" w:rsidP="00D10772"/>
    <w:p w14:paraId="66B1502E" w14:textId="77777777" w:rsidR="003F29E3" w:rsidRPr="00561A6B" w:rsidRDefault="003F29E3" w:rsidP="00D10772">
      <w:r w:rsidRPr="00561A6B">
        <w:br w:type="page"/>
      </w:r>
    </w:p>
    <w:p w14:paraId="66B1502F" w14:textId="77777777" w:rsidR="003F29E3" w:rsidRPr="00992893" w:rsidRDefault="003F29E3" w:rsidP="00D10772">
      <w:pPr>
        <w:pStyle w:val="Alcm"/>
        <w:rPr>
          <w:rFonts w:ascii="Calibri" w:hAnsi="Calibri"/>
          <w:b/>
        </w:rPr>
      </w:pPr>
      <w:bookmarkStart w:id="1" w:name="_Toc461095157"/>
      <w:bookmarkStart w:id="2" w:name="_Toc461179190"/>
      <w:bookmarkStart w:id="3" w:name="_Toc461179812"/>
      <w:bookmarkStart w:id="4" w:name="_Toc461197731"/>
      <w:bookmarkStart w:id="5" w:name="_Toc461201255"/>
      <w:bookmarkStart w:id="6" w:name="_Toc461547877"/>
      <w:bookmarkStart w:id="7" w:name="_Toc462401904"/>
      <w:bookmarkStart w:id="8" w:name="_Toc462403025"/>
      <w:bookmarkStart w:id="9" w:name="_Toc462403348"/>
      <w:bookmarkStart w:id="10" w:name="_Toc468180467"/>
      <w:bookmarkStart w:id="11" w:name="_Toc468181000"/>
      <w:bookmarkStart w:id="12" w:name="_Toc468191402"/>
      <w:bookmarkStart w:id="13" w:name="_Toc142877731"/>
      <w:r w:rsidRPr="00992893">
        <w:rPr>
          <w:rFonts w:ascii="Calibri" w:hAnsi="Calibri"/>
          <w:b/>
        </w:rPr>
        <w:lastRenderedPageBreak/>
        <w:t>Tartalomjegyzék</w:t>
      </w:r>
      <w:bookmarkEnd w:id="1"/>
      <w:bookmarkEnd w:id="2"/>
      <w:bookmarkEnd w:id="3"/>
      <w:bookmarkEnd w:id="4"/>
      <w:bookmarkEnd w:id="5"/>
      <w:bookmarkEnd w:id="6"/>
      <w:bookmarkEnd w:id="7"/>
      <w:bookmarkEnd w:id="8"/>
      <w:bookmarkEnd w:id="9"/>
      <w:bookmarkEnd w:id="10"/>
      <w:bookmarkEnd w:id="11"/>
      <w:bookmarkEnd w:id="12"/>
    </w:p>
    <w:p w14:paraId="0EEFCFDF" w14:textId="77777777" w:rsidR="0050673C" w:rsidRDefault="003F29E3">
      <w:pPr>
        <w:pStyle w:val="TJ2"/>
        <w:rPr>
          <w:rFonts w:asciiTheme="minorHAnsi" w:eastAsiaTheme="minorEastAsia" w:hAnsiTheme="minorHAnsi" w:cstheme="minorBidi"/>
          <w:color w:val="auto"/>
        </w:rPr>
      </w:pPr>
      <w:r w:rsidRPr="00561A6B">
        <w:rPr>
          <w:b/>
        </w:rPr>
        <w:fldChar w:fldCharType="begin"/>
      </w:r>
      <w:r w:rsidRPr="00561A6B">
        <w:rPr>
          <w:b/>
        </w:rPr>
        <w:instrText xml:space="preserve"> TOC \o "1-2" \h \z \t "Címsor 3;3;Címsor 4;4;Címsor 5;5" </w:instrText>
      </w:r>
      <w:r w:rsidRPr="00561A6B">
        <w:rPr>
          <w:b/>
        </w:rPr>
        <w:fldChar w:fldCharType="separate"/>
      </w:r>
      <w:hyperlink w:anchor="_Toc468191402" w:history="1">
        <w:r w:rsidR="0050673C" w:rsidRPr="00AC1453">
          <w:rPr>
            <w:rStyle w:val="Hiperhivatkozs"/>
          </w:rPr>
          <w:t>Tartalomjegyzék</w:t>
        </w:r>
        <w:r w:rsidR="0050673C">
          <w:rPr>
            <w:webHidden/>
          </w:rPr>
          <w:tab/>
        </w:r>
        <w:r w:rsidR="0050673C">
          <w:rPr>
            <w:webHidden/>
          </w:rPr>
          <w:fldChar w:fldCharType="begin"/>
        </w:r>
        <w:r w:rsidR="0050673C">
          <w:rPr>
            <w:webHidden/>
          </w:rPr>
          <w:instrText xml:space="preserve"> PAGEREF _Toc468191402 \h </w:instrText>
        </w:r>
        <w:r w:rsidR="0050673C">
          <w:rPr>
            <w:webHidden/>
          </w:rPr>
        </w:r>
        <w:r w:rsidR="0050673C">
          <w:rPr>
            <w:webHidden/>
          </w:rPr>
          <w:fldChar w:fldCharType="separate"/>
        </w:r>
        <w:r w:rsidR="00A50AE4">
          <w:rPr>
            <w:webHidden/>
          </w:rPr>
          <w:t>2</w:t>
        </w:r>
        <w:r w:rsidR="0050673C">
          <w:rPr>
            <w:webHidden/>
          </w:rPr>
          <w:fldChar w:fldCharType="end"/>
        </w:r>
      </w:hyperlink>
    </w:p>
    <w:p w14:paraId="21065323" w14:textId="77777777" w:rsidR="0050673C" w:rsidRDefault="009D3208">
      <w:pPr>
        <w:pStyle w:val="TJ1"/>
        <w:tabs>
          <w:tab w:val="left" w:pos="482"/>
        </w:tabs>
        <w:rPr>
          <w:rFonts w:asciiTheme="minorHAnsi" w:eastAsiaTheme="minorEastAsia" w:hAnsiTheme="minorHAnsi" w:cstheme="minorBidi"/>
          <w:b w:val="0"/>
          <w:color w:val="auto"/>
        </w:rPr>
      </w:pPr>
      <w:hyperlink w:anchor="_Toc468191403" w:history="1">
        <w:r w:rsidR="0050673C" w:rsidRPr="00AC1453">
          <w:rPr>
            <w:rStyle w:val="Hiperhivatkozs"/>
          </w:rPr>
          <w:t>I.</w:t>
        </w:r>
        <w:r w:rsidR="0050673C">
          <w:rPr>
            <w:rFonts w:asciiTheme="minorHAnsi" w:eastAsiaTheme="minorEastAsia" w:hAnsiTheme="minorHAnsi" w:cstheme="minorBidi"/>
            <w:b w:val="0"/>
            <w:color w:val="auto"/>
          </w:rPr>
          <w:tab/>
        </w:r>
        <w:r w:rsidR="0050673C" w:rsidRPr="00AC1453">
          <w:rPr>
            <w:rStyle w:val="Hiperhivatkozs"/>
          </w:rPr>
          <w:t>Bevezetés</w:t>
        </w:r>
        <w:r w:rsidR="0050673C">
          <w:rPr>
            <w:webHidden/>
          </w:rPr>
          <w:tab/>
        </w:r>
        <w:r w:rsidR="0050673C">
          <w:rPr>
            <w:webHidden/>
          </w:rPr>
          <w:fldChar w:fldCharType="begin"/>
        </w:r>
        <w:r w:rsidR="0050673C">
          <w:rPr>
            <w:webHidden/>
          </w:rPr>
          <w:instrText xml:space="preserve"> PAGEREF _Toc468191403 \h </w:instrText>
        </w:r>
        <w:r w:rsidR="0050673C">
          <w:rPr>
            <w:webHidden/>
          </w:rPr>
        </w:r>
        <w:r w:rsidR="0050673C">
          <w:rPr>
            <w:webHidden/>
          </w:rPr>
          <w:fldChar w:fldCharType="separate"/>
        </w:r>
        <w:r w:rsidR="00A50AE4">
          <w:rPr>
            <w:webHidden/>
          </w:rPr>
          <w:t>9</w:t>
        </w:r>
        <w:r w:rsidR="0050673C">
          <w:rPr>
            <w:webHidden/>
          </w:rPr>
          <w:fldChar w:fldCharType="end"/>
        </w:r>
      </w:hyperlink>
    </w:p>
    <w:p w14:paraId="0AB0373E" w14:textId="77777777" w:rsidR="0050673C" w:rsidRDefault="009D3208">
      <w:pPr>
        <w:pStyle w:val="TJ2"/>
        <w:tabs>
          <w:tab w:val="left" w:pos="720"/>
        </w:tabs>
        <w:rPr>
          <w:rFonts w:asciiTheme="minorHAnsi" w:eastAsiaTheme="minorEastAsia" w:hAnsiTheme="minorHAnsi" w:cstheme="minorBidi"/>
          <w:color w:val="auto"/>
        </w:rPr>
      </w:pPr>
      <w:hyperlink w:anchor="_Toc468191404" w:history="1">
        <w:r w:rsidR="0050673C" w:rsidRPr="00AC1453">
          <w:rPr>
            <w:rStyle w:val="Hiperhivatkozs"/>
          </w:rPr>
          <w:t>I.1</w:t>
        </w:r>
        <w:r w:rsidR="0050673C">
          <w:rPr>
            <w:rFonts w:asciiTheme="minorHAnsi" w:eastAsiaTheme="minorEastAsia" w:hAnsiTheme="minorHAnsi" w:cstheme="minorBidi"/>
            <w:color w:val="auto"/>
          </w:rPr>
          <w:tab/>
        </w:r>
        <w:r w:rsidR="0050673C" w:rsidRPr="00AC1453">
          <w:rPr>
            <w:rStyle w:val="Hiperhivatkozs"/>
          </w:rPr>
          <w:t>Az ICAAP, az ILAAP és a BMA vizsgálat a SREP folyamat tükrében</w:t>
        </w:r>
        <w:r w:rsidR="0050673C">
          <w:rPr>
            <w:webHidden/>
          </w:rPr>
          <w:tab/>
        </w:r>
        <w:r w:rsidR="0050673C">
          <w:rPr>
            <w:webHidden/>
          </w:rPr>
          <w:fldChar w:fldCharType="begin"/>
        </w:r>
        <w:r w:rsidR="0050673C">
          <w:rPr>
            <w:webHidden/>
          </w:rPr>
          <w:instrText xml:space="preserve"> PAGEREF _Toc468191404 \h </w:instrText>
        </w:r>
        <w:r w:rsidR="0050673C">
          <w:rPr>
            <w:webHidden/>
          </w:rPr>
        </w:r>
        <w:r w:rsidR="0050673C">
          <w:rPr>
            <w:webHidden/>
          </w:rPr>
          <w:fldChar w:fldCharType="separate"/>
        </w:r>
        <w:r w:rsidR="00A50AE4">
          <w:rPr>
            <w:webHidden/>
          </w:rPr>
          <w:t>9</w:t>
        </w:r>
        <w:r w:rsidR="0050673C">
          <w:rPr>
            <w:webHidden/>
          </w:rPr>
          <w:fldChar w:fldCharType="end"/>
        </w:r>
      </w:hyperlink>
    </w:p>
    <w:p w14:paraId="2543EA9D" w14:textId="77777777" w:rsidR="0050673C" w:rsidRDefault="009D3208">
      <w:pPr>
        <w:pStyle w:val="TJ2"/>
        <w:tabs>
          <w:tab w:val="left" w:pos="720"/>
        </w:tabs>
        <w:rPr>
          <w:rFonts w:asciiTheme="minorHAnsi" w:eastAsiaTheme="minorEastAsia" w:hAnsiTheme="minorHAnsi" w:cstheme="minorBidi"/>
          <w:color w:val="auto"/>
        </w:rPr>
      </w:pPr>
      <w:hyperlink w:anchor="_Toc468191405" w:history="1">
        <w:r w:rsidR="0050673C" w:rsidRPr="00AC1453">
          <w:rPr>
            <w:rStyle w:val="Hiperhivatkozs"/>
          </w:rPr>
          <w:t>I.2</w:t>
        </w:r>
        <w:r w:rsidR="0050673C">
          <w:rPr>
            <w:rFonts w:asciiTheme="minorHAnsi" w:eastAsiaTheme="minorEastAsia" w:hAnsiTheme="minorHAnsi" w:cstheme="minorBidi"/>
            <w:color w:val="auto"/>
          </w:rPr>
          <w:tab/>
        </w:r>
        <w:r w:rsidR="0050673C" w:rsidRPr="00AC1453">
          <w:rPr>
            <w:rStyle w:val="Hiperhivatkozs"/>
          </w:rPr>
          <w:t>A tőkemegfelelés belső értékelési folyamata (ICAAP)</w:t>
        </w:r>
        <w:r w:rsidR="0050673C">
          <w:rPr>
            <w:webHidden/>
          </w:rPr>
          <w:tab/>
        </w:r>
        <w:r w:rsidR="0050673C">
          <w:rPr>
            <w:webHidden/>
          </w:rPr>
          <w:fldChar w:fldCharType="begin"/>
        </w:r>
        <w:r w:rsidR="0050673C">
          <w:rPr>
            <w:webHidden/>
          </w:rPr>
          <w:instrText xml:space="preserve"> PAGEREF _Toc468191405 \h </w:instrText>
        </w:r>
        <w:r w:rsidR="0050673C">
          <w:rPr>
            <w:webHidden/>
          </w:rPr>
        </w:r>
        <w:r w:rsidR="0050673C">
          <w:rPr>
            <w:webHidden/>
          </w:rPr>
          <w:fldChar w:fldCharType="separate"/>
        </w:r>
        <w:r w:rsidR="00A50AE4">
          <w:rPr>
            <w:webHidden/>
          </w:rPr>
          <w:t>11</w:t>
        </w:r>
        <w:r w:rsidR="0050673C">
          <w:rPr>
            <w:webHidden/>
          </w:rPr>
          <w:fldChar w:fldCharType="end"/>
        </w:r>
      </w:hyperlink>
    </w:p>
    <w:p w14:paraId="398C5F81" w14:textId="77777777" w:rsidR="0050673C" w:rsidRDefault="009D3208">
      <w:pPr>
        <w:pStyle w:val="TJ3"/>
        <w:tabs>
          <w:tab w:val="left" w:pos="1100"/>
        </w:tabs>
        <w:rPr>
          <w:rFonts w:asciiTheme="minorHAnsi" w:eastAsiaTheme="minorEastAsia" w:hAnsiTheme="minorHAnsi" w:cstheme="minorBidi"/>
          <w:noProof/>
          <w:color w:val="auto"/>
        </w:rPr>
      </w:pPr>
      <w:hyperlink w:anchor="_Toc468191406" w:history="1">
        <w:r w:rsidR="0050673C" w:rsidRPr="00AC1453">
          <w:rPr>
            <w:rStyle w:val="Hiperhivatkozs"/>
            <w:noProof/>
          </w:rPr>
          <w:t>I.2.1</w:t>
        </w:r>
        <w:r w:rsidR="0050673C">
          <w:rPr>
            <w:rFonts w:asciiTheme="minorHAnsi" w:eastAsiaTheme="minorEastAsia" w:hAnsiTheme="minorHAnsi" w:cstheme="minorBidi"/>
            <w:noProof/>
            <w:color w:val="auto"/>
          </w:rPr>
          <w:tab/>
        </w:r>
        <w:r w:rsidR="0050673C" w:rsidRPr="00AC1453">
          <w:rPr>
            <w:rStyle w:val="Hiperhivatkozs"/>
            <w:noProof/>
          </w:rPr>
          <w:t>Az ICAAP kialakítására vonatkozó felügyeleti alapelvek</w:t>
        </w:r>
        <w:r w:rsidR="0050673C">
          <w:rPr>
            <w:noProof/>
            <w:webHidden/>
          </w:rPr>
          <w:tab/>
        </w:r>
        <w:r w:rsidR="0050673C">
          <w:rPr>
            <w:noProof/>
            <w:webHidden/>
          </w:rPr>
          <w:fldChar w:fldCharType="begin"/>
        </w:r>
        <w:r w:rsidR="0050673C">
          <w:rPr>
            <w:noProof/>
            <w:webHidden/>
          </w:rPr>
          <w:instrText xml:space="preserve"> PAGEREF _Toc468191406 \h </w:instrText>
        </w:r>
        <w:r w:rsidR="0050673C">
          <w:rPr>
            <w:noProof/>
            <w:webHidden/>
          </w:rPr>
        </w:r>
        <w:r w:rsidR="0050673C">
          <w:rPr>
            <w:noProof/>
            <w:webHidden/>
          </w:rPr>
          <w:fldChar w:fldCharType="separate"/>
        </w:r>
        <w:r w:rsidR="00A50AE4">
          <w:rPr>
            <w:noProof/>
            <w:webHidden/>
          </w:rPr>
          <w:t>12</w:t>
        </w:r>
        <w:r w:rsidR="0050673C">
          <w:rPr>
            <w:noProof/>
            <w:webHidden/>
          </w:rPr>
          <w:fldChar w:fldCharType="end"/>
        </w:r>
      </w:hyperlink>
    </w:p>
    <w:p w14:paraId="5938A2DE" w14:textId="77777777" w:rsidR="0050673C" w:rsidRDefault="009D3208">
      <w:pPr>
        <w:pStyle w:val="TJ2"/>
        <w:tabs>
          <w:tab w:val="left" w:pos="720"/>
        </w:tabs>
        <w:rPr>
          <w:rFonts w:asciiTheme="minorHAnsi" w:eastAsiaTheme="minorEastAsia" w:hAnsiTheme="minorHAnsi" w:cstheme="minorBidi"/>
          <w:color w:val="auto"/>
        </w:rPr>
      </w:pPr>
      <w:hyperlink w:anchor="_Toc468191407" w:history="1">
        <w:r w:rsidR="0050673C" w:rsidRPr="00AC1453">
          <w:rPr>
            <w:rStyle w:val="Hiperhivatkozs"/>
          </w:rPr>
          <w:t>I.3</w:t>
        </w:r>
        <w:r w:rsidR="0050673C">
          <w:rPr>
            <w:rFonts w:asciiTheme="minorHAnsi" w:eastAsiaTheme="minorEastAsia" w:hAnsiTheme="minorHAnsi" w:cstheme="minorBidi"/>
            <w:color w:val="auto"/>
          </w:rPr>
          <w:tab/>
        </w:r>
        <w:r w:rsidR="0050673C" w:rsidRPr="00AC1453">
          <w:rPr>
            <w:rStyle w:val="Hiperhivatkozs"/>
          </w:rPr>
          <w:t>A likviditás megfelelőségének belső értékelési folyamata (ILAAP)</w:t>
        </w:r>
        <w:r w:rsidR="0050673C">
          <w:rPr>
            <w:webHidden/>
          </w:rPr>
          <w:tab/>
        </w:r>
        <w:r w:rsidR="0050673C">
          <w:rPr>
            <w:webHidden/>
          </w:rPr>
          <w:fldChar w:fldCharType="begin"/>
        </w:r>
        <w:r w:rsidR="0050673C">
          <w:rPr>
            <w:webHidden/>
          </w:rPr>
          <w:instrText xml:space="preserve"> PAGEREF _Toc468191407 \h </w:instrText>
        </w:r>
        <w:r w:rsidR="0050673C">
          <w:rPr>
            <w:webHidden/>
          </w:rPr>
        </w:r>
        <w:r w:rsidR="0050673C">
          <w:rPr>
            <w:webHidden/>
          </w:rPr>
          <w:fldChar w:fldCharType="separate"/>
        </w:r>
        <w:r w:rsidR="00A50AE4">
          <w:rPr>
            <w:webHidden/>
          </w:rPr>
          <w:t>15</w:t>
        </w:r>
        <w:r w:rsidR="0050673C">
          <w:rPr>
            <w:webHidden/>
          </w:rPr>
          <w:fldChar w:fldCharType="end"/>
        </w:r>
      </w:hyperlink>
    </w:p>
    <w:p w14:paraId="6CCCF1AB" w14:textId="77777777" w:rsidR="0050673C" w:rsidRDefault="009D3208">
      <w:pPr>
        <w:pStyle w:val="TJ3"/>
        <w:tabs>
          <w:tab w:val="left" w:pos="1100"/>
        </w:tabs>
        <w:rPr>
          <w:rFonts w:asciiTheme="minorHAnsi" w:eastAsiaTheme="minorEastAsia" w:hAnsiTheme="minorHAnsi" w:cstheme="minorBidi"/>
          <w:noProof/>
          <w:color w:val="auto"/>
        </w:rPr>
      </w:pPr>
      <w:hyperlink w:anchor="_Toc468191408" w:history="1">
        <w:r w:rsidR="0050673C" w:rsidRPr="00AC1453">
          <w:rPr>
            <w:rStyle w:val="Hiperhivatkozs"/>
            <w:noProof/>
          </w:rPr>
          <w:t>I.3.1</w:t>
        </w:r>
        <w:r w:rsidR="0050673C">
          <w:rPr>
            <w:rFonts w:asciiTheme="minorHAnsi" w:eastAsiaTheme="minorEastAsia" w:hAnsiTheme="minorHAnsi" w:cstheme="minorBidi"/>
            <w:noProof/>
            <w:color w:val="auto"/>
          </w:rPr>
          <w:tab/>
        </w:r>
        <w:r w:rsidR="0050673C" w:rsidRPr="00AC1453">
          <w:rPr>
            <w:rStyle w:val="Hiperhivatkozs"/>
            <w:noProof/>
          </w:rPr>
          <w:t>Az ILAAP kialakítására vonatkozó felügyeleti alapelvek</w:t>
        </w:r>
        <w:r w:rsidR="0050673C">
          <w:rPr>
            <w:noProof/>
            <w:webHidden/>
          </w:rPr>
          <w:tab/>
        </w:r>
        <w:r w:rsidR="0050673C">
          <w:rPr>
            <w:noProof/>
            <w:webHidden/>
          </w:rPr>
          <w:fldChar w:fldCharType="begin"/>
        </w:r>
        <w:r w:rsidR="0050673C">
          <w:rPr>
            <w:noProof/>
            <w:webHidden/>
          </w:rPr>
          <w:instrText xml:space="preserve"> PAGEREF _Toc468191408 \h </w:instrText>
        </w:r>
        <w:r w:rsidR="0050673C">
          <w:rPr>
            <w:noProof/>
            <w:webHidden/>
          </w:rPr>
        </w:r>
        <w:r w:rsidR="0050673C">
          <w:rPr>
            <w:noProof/>
            <w:webHidden/>
          </w:rPr>
          <w:fldChar w:fldCharType="separate"/>
        </w:r>
        <w:r w:rsidR="00A50AE4">
          <w:rPr>
            <w:noProof/>
            <w:webHidden/>
          </w:rPr>
          <w:t>16</w:t>
        </w:r>
        <w:r w:rsidR="0050673C">
          <w:rPr>
            <w:noProof/>
            <w:webHidden/>
          </w:rPr>
          <w:fldChar w:fldCharType="end"/>
        </w:r>
      </w:hyperlink>
    </w:p>
    <w:p w14:paraId="0D6010DB" w14:textId="77777777" w:rsidR="0050673C" w:rsidRDefault="009D3208">
      <w:pPr>
        <w:pStyle w:val="TJ2"/>
        <w:tabs>
          <w:tab w:val="left" w:pos="720"/>
        </w:tabs>
        <w:rPr>
          <w:rFonts w:asciiTheme="minorHAnsi" w:eastAsiaTheme="minorEastAsia" w:hAnsiTheme="minorHAnsi" w:cstheme="minorBidi"/>
          <w:color w:val="auto"/>
        </w:rPr>
      </w:pPr>
      <w:hyperlink w:anchor="_Toc468191409" w:history="1">
        <w:r w:rsidR="0050673C" w:rsidRPr="00AC1453">
          <w:rPr>
            <w:rStyle w:val="Hiperhivatkozs"/>
          </w:rPr>
          <w:t>I.4</w:t>
        </w:r>
        <w:r w:rsidR="0050673C">
          <w:rPr>
            <w:rFonts w:asciiTheme="minorHAnsi" w:eastAsiaTheme="minorEastAsia" w:hAnsiTheme="minorHAnsi" w:cstheme="minorBidi"/>
            <w:color w:val="auto"/>
          </w:rPr>
          <w:tab/>
        </w:r>
        <w:r w:rsidR="0050673C" w:rsidRPr="00AC1453">
          <w:rPr>
            <w:rStyle w:val="Hiperhivatkozs"/>
          </w:rPr>
          <w:t>Üzleti modell elemzés (BMA)</w:t>
        </w:r>
        <w:r w:rsidR="0050673C">
          <w:rPr>
            <w:webHidden/>
          </w:rPr>
          <w:tab/>
        </w:r>
        <w:r w:rsidR="0050673C">
          <w:rPr>
            <w:webHidden/>
          </w:rPr>
          <w:fldChar w:fldCharType="begin"/>
        </w:r>
        <w:r w:rsidR="0050673C">
          <w:rPr>
            <w:webHidden/>
          </w:rPr>
          <w:instrText xml:space="preserve"> PAGEREF _Toc468191409 \h </w:instrText>
        </w:r>
        <w:r w:rsidR="0050673C">
          <w:rPr>
            <w:webHidden/>
          </w:rPr>
        </w:r>
        <w:r w:rsidR="0050673C">
          <w:rPr>
            <w:webHidden/>
          </w:rPr>
          <w:fldChar w:fldCharType="separate"/>
        </w:r>
        <w:r w:rsidR="00A50AE4">
          <w:rPr>
            <w:webHidden/>
          </w:rPr>
          <w:t>17</w:t>
        </w:r>
        <w:r w:rsidR="0050673C">
          <w:rPr>
            <w:webHidden/>
          </w:rPr>
          <w:fldChar w:fldCharType="end"/>
        </w:r>
      </w:hyperlink>
    </w:p>
    <w:p w14:paraId="39734C0B" w14:textId="77777777" w:rsidR="0050673C" w:rsidRDefault="009D3208">
      <w:pPr>
        <w:pStyle w:val="TJ2"/>
        <w:tabs>
          <w:tab w:val="left" w:pos="720"/>
        </w:tabs>
        <w:rPr>
          <w:rFonts w:asciiTheme="minorHAnsi" w:eastAsiaTheme="minorEastAsia" w:hAnsiTheme="minorHAnsi" w:cstheme="minorBidi"/>
          <w:color w:val="auto"/>
        </w:rPr>
      </w:pPr>
      <w:hyperlink w:anchor="_Toc468191410" w:history="1">
        <w:r w:rsidR="0050673C" w:rsidRPr="00AC1453">
          <w:rPr>
            <w:rStyle w:val="Hiperhivatkozs"/>
          </w:rPr>
          <w:t>I.5</w:t>
        </w:r>
        <w:r w:rsidR="0050673C">
          <w:rPr>
            <w:rFonts w:asciiTheme="minorHAnsi" w:eastAsiaTheme="minorEastAsia" w:hAnsiTheme="minorHAnsi" w:cstheme="minorBidi"/>
            <w:color w:val="auto"/>
          </w:rPr>
          <w:tab/>
        </w:r>
        <w:r w:rsidR="0050673C" w:rsidRPr="00AC1453">
          <w:rPr>
            <w:rStyle w:val="Hiperhivatkozs"/>
          </w:rPr>
          <w:t>Az ICAAP és az ILAAP felülvizsgálatok során érvényesítendő általános alapelvek</w:t>
        </w:r>
        <w:r w:rsidR="0050673C">
          <w:rPr>
            <w:webHidden/>
          </w:rPr>
          <w:tab/>
        </w:r>
        <w:r w:rsidR="0050673C">
          <w:rPr>
            <w:webHidden/>
          </w:rPr>
          <w:fldChar w:fldCharType="begin"/>
        </w:r>
        <w:r w:rsidR="0050673C">
          <w:rPr>
            <w:webHidden/>
          </w:rPr>
          <w:instrText xml:space="preserve"> PAGEREF _Toc468191410 \h </w:instrText>
        </w:r>
        <w:r w:rsidR="0050673C">
          <w:rPr>
            <w:webHidden/>
          </w:rPr>
        </w:r>
        <w:r w:rsidR="0050673C">
          <w:rPr>
            <w:webHidden/>
          </w:rPr>
          <w:fldChar w:fldCharType="separate"/>
        </w:r>
        <w:r w:rsidR="00A50AE4">
          <w:rPr>
            <w:webHidden/>
          </w:rPr>
          <w:t>17</w:t>
        </w:r>
        <w:r w:rsidR="0050673C">
          <w:rPr>
            <w:webHidden/>
          </w:rPr>
          <w:fldChar w:fldCharType="end"/>
        </w:r>
      </w:hyperlink>
    </w:p>
    <w:p w14:paraId="17391B77" w14:textId="77777777" w:rsidR="0050673C" w:rsidRDefault="009D3208">
      <w:pPr>
        <w:pStyle w:val="TJ3"/>
        <w:tabs>
          <w:tab w:val="left" w:pos="1100"/>
        </w:tabs>
        <w:rPr>
          <w:rFonts w:asciiTheme="minorHAnsi" w:eastAsiaTheme="minorEastAsia" w:hAnsiTheme="minorHAnsi" w:cstheme="minorBidi"/>
          <w:noProof/>
          <w:color w:val="auto"/>
        </w:rPr>
      </w:pPr>
      <w:hyperlink w:anchor="_Toc468191411" w:history="1">
        <w:r w:rsidR="0050673C" w:rsidRPr="00AC1453">
          <w:rPr>
            <w:rStyle w:val="Hiperhivatkozs"/>
            <w:noProof/>
          </w:rPr>
          <w:t>I.5.1</w:t>
        </w:r>
        <w:r w:rsidR="0050673C">
          <w:rPr>
            <w:rFonts w:asciiTheme="minorHAnsi" w:eastAsiaTheme="minorEastAsia" w:hAnsiTheme="minorHAnsi" w:cstheme="minorBidi"/>
            <w:noProof/>
            <w:color w:val="auto"/>
          </w:rPr>
          <w:tab/>
        </w:r>
        <w:r w:rsidR="0050673C" w:rsidRPr="00AC1453">
          <w:rPr>
            <w:rStyle w:val="Hiperhivatkozs"/>
            <w:noProof/>
          </w:rPr>
          <w:t>Nemzetközileg elfogadott alapelvek</w:t>
        </w:r>
        <w:r w:rsidR="0050673C">
          <w:rPr>
            <w:noProof/>
            <w:webHidden/>
          </w:rPr>
          <w:tab/>
        </w:r>
        <w:r w:rsidR="0050673C">
          <w:rPr>
            <w:noProof/>
            <w:webHidden/>
          </w:rPr>
          <w:fldChar w:fldCharType="begin"/>
        </w:r>
        <w:r w:rsidR="0050673C">
          <w:rPr>
            <w:noProof/>
            <w:webHidden/>
          </w:rPr>
          <w:instrText xml:space="preserve"> PAGEREF _Toc468191411 \h </w:instrText>
        </w:r>
        <w:r w:rsidR="0050673C">
          <w:rPr>
            <w:noProof/>
            <w:webHidden/>
          </w:rPr>
        </w:r>
        <w:r w:rsidR="0050673C">
          <w:rPr>
            <w:noProof/>
            <w:webHidden/>
          </w:rPr>
          <w:fldChar w:fldCharType="separate"/>
        </w:r>
        <w:r w:rsidR="00A50AE4">
          <w:rPr>
            <w:noProof/>
            <w:webHidden/>
          </w:rPr>
          <w:t>17</w:t>
        </w:r>
        <w:r w:rsidR="0050673C">
          <w:rPr>
            <w:noProof/>
            <w:webHidden/>
          </w:rPr>
          <w:fldChar w:fldCharType="end"/>
        </w:r>
      </w:hyperlink>
    </w:p>
    <w:p w14:paraId="04DF5311" w14:textId="77777777" w:rsidR="0050673C" w:rsidRDefault="009D3208">
      <w:pPr>
        <w:pStyle w:val="TJ3"/>
        <w:tabs>
          <w:tab w:val="left" w:pos="1100"/>
        </w:tabs>
        <w:rPr>
          <w:rFonts w:asciiTheme="minorHAnsi" w:eastAsiaTheme="minorEastAsia" w:hAnsiTheme="minorHAnsi" w:cstheme="minorBidi"/>
          <w:noProof/>
          <w:color w:val="auto"/>
        </w:rPr>
      </w:pPr>
      <w:hyperlink w:anchor="_Toc468191412" w:history="1">
        <w:r w:rsidR="0050673C" w:rsidRPr="00AC1453">
          <w:rPr>
            <w:rStyle w:val="Hiperhivatkozs"/>
            <w:noProof/>
          </w:rPr>
          <w:t>I.5.2</w:t>
        </w:r>
        <w:r w:rsidR="0050673C">
          <w:rPr>
            <w:rFonts w:asciiTheme="minorHAnsi" w:eastAsiaTheme="minorEastAsia" w:hAnsiTheme="minorHAnsi" w:cstheme="minorBidi"/>
            <w:noProof/>
            <w:color w:val="auto"/>
          </w:rPr>
          <w:tab/>
        </w:r>
        <w:r w:rsidR="0050673C" w:rsidRPr="00AC1453">
          <w:rPr>
            <w:rStyle w:val="Hiperhivatkozs"/>
            <w:noProof/>
          </w:rPr>
          <w:t>Az MNB által lefolytatott felülvizsgálati folyamatok során alkalmazott általános alapelvek</w:t>
        </w:r>
        <w:r w:rsidR="0050673C">
          <w:rPr>
            <w:noProof/>
            <w:webHidden/>
          </w:rPr>
          <w:tab/>
        </w:r>
        <w:r w:rsidR="0050673C">
          <w:rPr>
            <w:noProof/>
            <w:webHidden/>
          </w:rPr>
          <w:fldChar w:fldCharType="begin"/>
        </w:r>
        <w:r w:rsidR="0050673C">
          <w:rPr>
            <w:noProof/>
            <w:webHidden/>
          </w:rPr>
          <w:instrText xml:space="preserve"> PAGEREF _Toc468191412 \h </w:instrText>
        </w:r>
        <w:r w:rsidR="0050673C">
          <w:rPr>
            <w:noProof/>
            <w:webHidden/>
          </w:rPr>
        </w:r>
        <w:r w:rsidR="0050673C">
          <w:rPr>
            <w:noProof/>
            <w:webHidden/>
          </w:rPr>
          <w:fldChar w:fldCharType="separate"/>
        </w:r>
        <w:r w:rsidR="00A50AE4">
          <w:rPr>
            <w:noProof/>
            <w:webHidden/>
          </w:rPr>
          <w:t>18</w:t>
        </w:r>
        <w:r w:rsidR="0050673C">
          <w:rPr>
            <w:noProof/>
            <w:webHidden/>
          </w:rPr>
          <w:fldChar w:fldCharType="end"/>
        </w:r>
      </w:hyperlink>
    </w:p>
    <w:p w14:paraId="06825473" w14:textId="77777777" w:rsidR="0050673C" w:rsidRDefault="009D3208">
      <w:pPr>
        <w:pStyle w:val="TJ1"/>
        <w:tabs>
          <w:tab w:val="left" w:pos="482"/>
        </w:tabs>
        <w:rPr>
          <w:rFonts w:asciiTheme="minorHAnsi" w:eastAsiaTheme="minorEastAsia" w:hAnsiTheme="minorHAnsi" w:cstheme="minorBidi"/>
          <w:b w:val="0"/>
          <w:color w:val="auto"/>
        </w:rPr>
      </w:pPr>
      <w:hyperlink w:anchor="_Toc468191413" w:history="1">
        <w:r w:rsidR="0050673C" w:rsidRPr="00AC1453">
          <w:rPr>
            <w:rStyle w:val="Hiperhivatkozs"/>
          </w:rPr>
          <w:t>II.</w:t>
        </w:r>
        <w:r w:rsidR="0050673C">
          <w:rPr>
            <w:rFonts w:asciiTheme="minorHAnsi" w:eastAsiaTheme="minorEastAsia" w:hAnsiTheme="minorHAnsi" w:cstheme="minorBidi"/>
            <w:b w:val="0"/>
            <w:color w:val="auto"/>
          </w:rPr>
          <w:tab/>
        </w:r>
        <w:r w:rsidR="0050673C" w:rsidRPr="00AC1453">
          <w:rPr>
            <w:rStyle w:val="Hiperhivatkozs"/>
          </w:rPr>
          <w:t>Az ICAAP, az ILAAP és felügyeleti felülvizsgálatuk hatálya</w:t>
        </w:r>
        <w:r w:rsidR="0050673C">
          <w:rPr>
            <w:webHidden/>
          </w:rPr>
          <w:tab/>
        </w:r>
        <w:r w:rsidR="0050673C">
          <w:rPr>
            <w:webHidden/>
          </w:rPr>
          <w:fldChar w:fldCharType="begin"/>
        </w:r>
        <w:r w:rsidR="0050673C">
          <w:rPr>
            <w:webHidden/>
          </w:rPr>
          <w:instrText xml:space="preserve"> PAGEREF _Toc468191413 \h </w:instrText>
        </w:r>
        <w:r w:rsidR="0050673C">
          <w:rPr>
            <w:webHidden/>
          </w:rPr>
        </w:r>
        <w:r w:rsidR="0050673C">
          <w:rPr>
            <w:webHidden/>
          </w:rPr>
          <w:fldChar w:fldCharType="separate"/>
        </w:r>
        <w:r w:rsidR="00A50AE4">
          <w:rPr>
            <w:webHidden/>
          </w:rPr>
          <w:t>20</w:t>
        </w:r>
        <w:r w:rsidR="0050673C">
          <w:rPr>
            <w:webHidden/>
          </w:rPr>
          <w:fldChar w:fldCharType="end"/>
        </w:r>
      </w:hyperlink>
    </w:p>
    <w:p w14:paraId="50EE65C4" w14:textId="77777777" w:rsidR="0050673C" w:rsidRDefault="009D3208">
      <w:pPr>
        <w:pStyle w:val="TJ2"/>
        <w:tabs>
          <w:tab w:val="left" w:pos="880"/>
        </w:tabs>
        <w:rPr>
          <w:rFonts w:asciiTheme="minorHAnsi" w:eastAsiaTheme="minorEastAsia" w:hAnsiTheme="minorHAnsi" w:cstheme="minorBidi"/>
          <w:color w:val="auto"/>
        </w:rPr>
      </w:pPr>
      <w:hyperlink w:anchor="_Toc468191414" w:history="1">
        <w:r w:rsidR="0050673C" w:rsidRPr="00AC1453">
          <w:rPr>
            <w:rStyle w:val="Hiperhivatkozs"/>
          </w:rPr>
          <w:t>II.1</w:t>
        </w:r>
        <w:r w:rsidR="0050673C">
          <w:rPr>
            <w:rFonts w:asciiTheme="minorHAnsi" w:eastAsiaTheme="minorEastAsia" w:hAnsiTheme="minorHAnsi" w:cstheme="minorBidi"/>
            <w:color w:val="auto"/>
          </w:rPr>
          <w:tab/>
        </w:r>
        <w:r w:rsidR="0050673C" w:rsidRPr="00AC1453">
          <w:rPr>
            <w:rStyle w:val="Hiperhivatkozs"/>
          </w:rPr>
          <w:t>ICAAP és ILAAP megfelelés és felügyeleti felülvizsgálat egyedi szinten</w:t>
        </w:r>
        <w:r w:rsidR="0050673C">
          <w:rPr>
            <w:webHidden/>
          </w:rPr>
          <w:tab/>
        </w:r>
        <w:r w:rsidR="0050673C">
          <w:rPr>
            <w:webHidden/>
          </w:rPr>
          <w:fldChar w:fldCharType="begin"/>
        </w:r>
        <w:r w:rsidR="0050673C">
          <w:rPr>
            <w:webHidden/>
          </w:rPr>
          <w:instrText xml:space="preserve"> PAGEREF _Toc468191414 \h </w:instrText>
        </w:r>
        <w:r w:rsidR="0050673C">
          <w:rPr>
            <w:webHidden/>
          </w:rPr>
        </w:r>
        <w:r w:rsidR="0050673C">
          <w:rPr>
            <w:webHidden/>
          </w:rPr>
          <w:fldChar w:fldCharType="separate"/>
        </w:r>
        <w:r w:rsidR="00A50AE4">
          <w:rPr>
            <w:webHidden/>
          </w:rPr>
          <w:t>20</w:t>
        </w:r>
        <w:r w:rsidR="0050673C">
          <w:rPr>
            <w:webHidden/>
          </w:rPr>
          <w:fldChar w:fldCharType="end"/>
        </w:r>
      </w:hyperlink>
    </w:p>
    <w:p w14:paraId="64C2ED90" w14:textId="77777777" w:rsidR="0050673C" w:rsidRDefault="009D3208">
      <w:pPr>
        <w:pStyle w:val="TJ2"/>
        <w:tabs>
          <w:tab w:val="left" w:pos="880"/>
        </w:tabs>
        <w:rPr>
          <w:rFonts w:asciiTheme="minorHAnsi" w:eastAsiaTheme="minorEastAsia" w:hAnsiTheme="minorHAnsi" w:cstheme="minorBidi"/>
          <w:color w:val="auto"/>
        </w:rPr>
      </w:pPr>
      <w:hyperlink w:anchor="_Toc468191415" w:history="1">
        <w:r w:rsidR="0050673C" w:rsidRPr="00AC1453">
          <w:rPr>
            <w:rStyle w:val="Hiperhivatkozs"/>
          </w:rPr>
          <w:t>II.2</w:t>
        </w:r>
        <w:r w:rsidR="0050673C">
          <w:rPr>
            <w:rFonts w:asciiTheme="minorHAnsi" w:eastAsiaTheme="minorEastAsia" w:hAnsiTheme="minorHAnsi" w:cstheme="minorBidi"/>
            <w:color w:val="auto"/>
          </w:rPr>
          <w:tab/>
        </w:r>
        <w:r w:rsidR="0050673C" w:rsidRPr="00AC1453">
          <w:rPr>
            <w:rStyle w:val="Hiperhivatkozs"/>
          </w:rPr>
          <w:t>ICAAP és ILAAP megfelelés és felügyeleti felülvizsgálat csoport szinten</w:t>
        </w:r>
        <w:r w:rsidR="0050673C">
          <w:rPr>
            <w:webHidden/>
          </w:rPr>
          <w:tab/>
        </w:r>
        <w:r w:rsidR="0050673C">
          <w:rPr>
            <w:webHidden/>
          </w:rPr>
          <w:fldChar w:fldCharType="begin"/>
        </w:r>
        <w:r w:rsidR="0050673C">
          <w:rPr>
            <w:webHidden/>
          </w:rPr>
          <w:instrText xml:space="preserve"> PAGEREF _Toc468191415 \h </w:instrText>
        </w:r>
        <w:r w:rsidR="0050673C">
          <w:rPr>
            <w:webHidden/>
          </w:rPr>
        </w:r>
        <w:r w:rsidR="0050673C">
          <w:rPr>
            <w:webHidden/>
          </w:rPr>
          <w:fldChar w:fldCharType="separate"/>
        </w:r>
        <w:r w:rsidR="00A50AE4">
          <w:rPr>
            <w:webHidden/>
          </w:rPr>
          <w:t>21</w:t>
        </w:r>
        <w:r w:rsidR="0050673C">
          <w:rPr>
            <w:webHidden/>
          </w:rPr>
          <w:fldChar w:fldCharType="end"/>
        </w:r>
      </w:hyperlink>
    </w:p>
    <w:p w14:paraId="25209397" w14:textId="77777777" w:rsidR="0050673C" w:rsidRDefault="009D3208">
      <w:pPr>
        <w:pStyle w:val="TJ1"/>
        <w:tabs>
          <w:tab w:val="left" w:pos="482"/>
        </w:tabs>
        <w:rPr>
          <w:rFonts w:asciiTheme="minorHAnsi" w:eastAsiaTheme="minorEastAsia" w:hAnsiTheme="minorHAnsi" w:cstheme="minorBidi"/>
          <w:b w:val="0"/>
          <w:color w:val="auto"/>
        </w:rPr>
      </w:pPr>
      <w:hyperlink w:anchor="_Toc468191416" w:history="1">
        <w:r w:rsidR="0050673C" w:rsidRPr="00AC1453">
          <w:rPr>
            <w:rStyle w:val="Hiperhivatkozs"/>
          </w:rPr>
          <w:t>III.</w:t>
        </w:r>
        <w:r w:rsidR="0050673C">
          <w:rPr>
            <w:rFonts w:asciiTheme="minorHAnsi" w:eastAsiaTheme="minorEastAsia" w:hAnsiTheme="minorHAnsi" w:cstheme="minorBidi"/>
            <w:b w:val="0"/>
            <w:color w:val="auto"/>
          </w:rPr>
          <w:tab/>
        </w:r>
        <w:r w:rsidR="0050673C" w:rsidRPr="00AC1453">
          <w:rPr>
            <w:rStyle w:val="Hiperhivatkozs"/>
          </w:rPr>
          <w:t>Az ICAAP, az ILAAP és a BMA vizsgálat fokozatai és a felügyelt intézmények csoportosítása</w:t>
        </w:r>
        <w:r w:rsidR="0050673C">
          <w:rPr>
            <w:webHidden/>
          </w:rPr>
          <w:tab/>
        </w:r>
        <w:r w:rsidR="0050673C">
          <w:rPr>
            <w:webHidden/>
          </w:rPr>
          <w:fldChar w:fldCharType="begin"/>
        </w:r>
        <w:r w:rsidR="0050673C">
          <w:rPr>
            <w:webHidden/>
          </w:rPr>
          <w:instrText xml:space="preserve"> PAGEREF _Toc468191416 \h </w:instrText>
        </w:r>
        <w:r w:rsidR="0050673C">
          <w:rPr>
            <w:webHidden/>
          </w:rPr>
        </w:r>
        <w:r w:rsidR="0050673C">
          <w:rPr>
            <w:webHidden/>
          </w:rPr>
          <w:fldChar w:fldCharType="separate"/>
        </w:r>
        <w:r w:rsidR="00A50AE4">
          <w:rPr>
            <w:webHidden/>
          </w:rPr>
          <w:t>25</w:t>
        </w:r>
        <w:r w:rsidR="0050673C">
          <w:rPr>
            <w:webHidden/>
          </w:rPr>
          <w:fldChar w:fldCharType="end"/>
        </w:r>
      </w:hyperlink>
    </w:p>
    <w:p w14:paraId="6DCADF5F" w14:textId="77777777" w:rsidR="0050673C" w:rsidRDefault="009D3208">
      <w:pPr>
        <w:pStyle w:val="TJ2"/>
        <w:tabs>
          <w:tab w:val="left" w:pos="880"/>
        </w:tabs>
        <w:rPr>
          <w:rFonts w:asciiTheme="minorHAnsi" w:eastAsiaTheme="minorEastAsia" w:hAnsiTheme="minorHAnsi" w:cstheme="minorBidi"/>
          <w:color w:val="auto"/>
        </w:rPr>
      </w:pPr>
      <w:hyperlink w:anchor="_Toc468191417" w:history="1">
        <w:r w:rsidR="0050673C" w:rsidRPr="00AC1453">
          <w:rPr>
            <w:rStyle w:val="Hiperhivatkozs"/>
          </w:rPr>
          <w:t>III.1</w:t>
        </w:r>
        <w:r w:rsidR="0050673C">
          <w:rPr>
            <w:rFonts w:asciiTheme="minorHAnsi" w:eastAsiaTheme="minorEastAsia" w:hAnsiTheme="minorHAnsi" w:cstheme="minorBidi"/>
            <w:color w:val="auto"/>
          </w:rPr>
          <w:tab/>
        </w:r>
        <w:r w:rsidR="0050673C" w:rsidRPr="00AC1453">
          <w:rPr>
            <w:rStyle w:val="Hiperhivatkozs"/>
          </w:rPr>
          <w:t>Komplex SREP alá tartozó intézmények köre</w:t>
        </w:r>
        <w:r w:rsidR="0050673C">
          <w:rPr>
            <w:webHidden/>
          </w:rPr>
          <w:tab/>
        </w:r>
        <w:r w:rsidR="0050673C">
          <w:rPr>
            <w:webHidden/>
          </w:rPr>
          <w:fldChar w:fldCharType="begin"/>
        </w:r>
        <w:r w:rsidR="0050673C">
          <w:rPr>
            <w:webHidden/>
          </w:rPr>
          <w:instrText xml:space="preserve"> PAGEREF _Toc468191417 \h </w:instrText>
        </w:r>
        <w:r w:rsidR="0050673C">
          <w:rPr>
            <w:webHidden/>
          </w:rPr>
        </w:r>
        <w:r w:rsidR="0050673C">
          <w:rPr>
            <w:webHidden/>
          </w:rPr>
          <w:fldChar w:fldCharType="separate"/>
        </w:r>
        <w:r w:rsidR="00A50AE4">
          <w:rPr>
            <w:webHidden/>
          </w:rPr>
          <w:t>25</w:t>
        </w:r>
        <w:r w:rsidR="0050673C">
          <w:rPr>
            <w:webHidden/>
          </w:rPr>
          <w:fldChar w:fldCharType="end"/>
        </w:r>
      </w:hyperlink>
    </w:p>
    <w:p w14:paraId="1AE81F59" w14:textId="77777777" w:rsidR="0050673C" w:rsidRDefault="009D3208">
      <w:pPr>
        <w:pStyle w:val="TJ2"/>
        <w:tabs>
          <w:tab w:val="left" w:pos="880"/>
        </w:tabs>
        <w:rPr>
          <w:rFonts w:asciiTheme="minorHAnsi" w:eastAsiaTheme="minorEastAsia" w:hAnsiTheme="minorHAnsi" w:cstheme="minorBidi"/>
          <w:color w:val="auto"/>
        </w:rPr>
      </w:pPr>
      <w:hyperlink w:anchor="_Toc468191418" w:history="1">
        <w:r w:rsidR="0050673C" w:rsidRPr="00AC1453">
          <w:rPr>
            <w:rStyle w:val="Hiperhivatkozs"/>
          </w:rPr>
          <w:t>III.2</w:t>
        </w:r>
        <w:r w:rsidR="0050673C">
          <w:rPr>
            <w:rFonts w:asciiTheme="minorHAnsi" w:eastAsiaTheme="minorEastAsia" w:hAnsiTheme="minorHAnsi" w:cstheme="minorBidi"/>
            <w:color w:val="auto"/>
          </w:rPr>
          <w:tab/>
        </w:r>
        <w:r w:rsidR="0050673C" w:rsidRPr="00AC1453">
          <w:rPr>
            <w:rStyle w:val="Hiperhivatkozs"/>
          </w:rPr>
          <w:t>Sztenderd ICAAP felülvizsgálat és likviditás megfelelőség értékelés a kis és közepes méretű intézményeknél</w:t>
        </w:r>
        <w:r w:rsidR="0050673C">
          <w:rPr>
            <w:webHidden/>
          </w:rPr>
          <w:tab/>
        </w:r>
        <w:r w:rsidR="0050673C">
          <w:rPr>
            <w:webHidden/>
          </w:rPr>
          <w:fldChar w:fldCharType="begin"/>
        </w:r>
        <w:r w:rsidR="0050673C">
          <w:rPr>
            <w:webHidden/>
          </w:rPr>
          <w:instrText xml:space="preserve"> PAGEREF _Toc468191418 \h </w:instrText>
        </w:r>
        <w:r w:rsidR="0050673C">
          <w:rPr>
            <w:webHidden/>
          </w:rPr>
        </w:r>
        <w:r w:rsidR="0050673C">
          <w:rPr>
            <w:webHidden/>
          </w:rPr>
          <w:fldChar w:fldCharType="separate"/>
        </w:r>
        <w:r w:rsidR="00A50AE4">
          <w:rPr>
            <w:webHidden/>
          </w:rPr>
          <w:t>26</w:t>
        </w:r>
        <w:r w:rsidR="0050673C">
          <w:rPr>
            <w:webHidden/>
          </w:rPr>
          <w:fldChar w:fldCharType="end"/>
        </w:r>
      </w:hyperlink>
    </w:p>
    <w:p w14:paraId="56075918" w14:textId="77777777" w:rsidR="0050673C" w:rsidRDefault="009D3208">
      <w:pPr>
        <w:pStyle w:val="TJ2"/>
        <w:tabs>
          <w:tab w:val="left" w:pos="880"/>
        </w:tabs>
        <w:rPr>
          <w:rFonts w:asciiTheme="minorHAnsi" w:eastAsiaTheme="minorEastAsia" w:hAnsiTheme="minorHAnsi" w:cstheme="minorBidi"/>
          <w:color w:val="auto"/>
        </w:rPr>
      </w:pPr>
      <w:hyperlink w:anchor="_Toc468191419" w:history="1">
        <w:r w:rsidR="0050673C" w:rsidRPr="00AC1453">
          <w:rPr>
            <w:rStyle w:val="Hiperhivatkozs"/>
          </w:rPr>
          <w:t>III.3</w:t>
        </w:r>
        <w:r w:rsidR="0050673C">
          <w:rPr>
            <w:rFonts w:asciiTheme="minorHAnsi" w:eastAsiaTheme="minorEastAsia" w:hAnsiTheme="minorHAnsi" w:cstheme="minorBidi"/>
            <w:color w:val="auto"/>
          </w:rPr>
          <w:tab/>
        </w:r>
        <w:r w:rsidR="0050673C" w:rsidRPr="00AC1453">
          <w:rPr>
            <w:rStyle w:val="Hiperhivatkozs"/>
          </w:rPr>
          <w:t>Egyszerűsített ICAAP felülvizsgálat és likviditás megfelelőség értékelés a kis és közepes méretű intézményeknél</w:t>
        </w:r>
        <w:r w:rsidR="0050673C">
          <w:rPr>
            <w:webHidden/>
          </w:rPr>
          <w:tab/>
        </w:r>
        <w:r w:rsidR="0050673C">
          <w:rPr>
            <w:webHidden/>
          </w:rPr>
          <w:fldChar w:fldCharType="begin"/>
        </w:r>
        <w:r w:rsidR="0050673C">
          <w:rPr>
            <w:webHidden/>
          </w:rPr>
          <w:instrText xml:space="preserve"> PAGEREF _Toc468191419 \h </w:instrText>
        </w:r>
        <w:r w:rsidR="0050673C">
          <w:rPr>
            <w:webHidden/>
          </w:rPr>
        </w:r>
        <w:r w:rsidR="0050673C">
          <w:rPr>
            <w:webHidden/>
          </w:rPr>
          <w:fldChar w:fldCharType="separate"/>
        </w:r>
        <w:r w:rsidR="00A50AE4">
          <w:rPr>
            <w:webHidden/>
          </w:rPr>
          <w:t>26</w:t>
        </w:r>
        <w:r w:rsidR="0050673C">
          <w:rPr>
            <w:webHidden/>
          </w:rPr>
          <w:fldChar w:fldCharType="end"/>
        </w:r>
      </w:hyperlink>
    </w:p>
    <w:p w14:paraId="72F1DDA9" w14:textId="77777777" w:rsidR="0050673C" w:rsidRDefault="009D3208">
      <w:pPr>
        <w:pStyle w:val="TJ1"/>
        <w:tabs>
          <w:tab w:val="left" w:pos="482"/>
        </w:tabs>
        <w:rPr>
          <w:rFonts w:asciiTheme="minorHAnsi" w:eastAsiaTheme="minorEastAsia" w:hAnsiTheme="minorHAnsi" w:cstheme="minorBidi"/>
          <w:b w:val="0"/>
          <w:color w:val="auto"/>
        </w:rPr>
      </w:pPr>
      <w:hyperlink w:anchor="_Toc468191420" w:history="1">
        <w:r w:rsidR="0050673C" w:rsidRPr="00AC1453">
          <w:rPr>
            <w:rStyle w:val="Hiperhivatkozs"/>
          </w:rPr>
          <w:t>IV.</w:t>
        </w:r>
        <w:r w:rsidR="0050673C">
          <w:rPr>
            <w:rFonts w:asciiTheme="minorHAnsi" w:eastAsiaTheme="minorEastAsia" w:hAnsiTheme="minorHAnsi" w:cstheme="minorBidi"/>
            <w:b w:val="0"/>
            <w:color w:val="auto"/>
          </w:rPr>
          <w:tab/>
        </w:r>
        <w:r w:rsidR="0050673C" w:rsidRPr="00AC1453">
          <w:rPr>
            <w:rStyle w:val="Hiperhivatkozs"/>
          </w:rPr>
          <w:t>Az ICAAP, az ILAAP és a BMA vizsgálat folyamata</w:t>
        </w:r>
        <w:r w:rsidR="0050673C">
          <w:rPr>
            <w:webHidden/>
          </w:rPr>
          <w:tab/>
        </w:r>
        <w:r w:rsidR="0050673C">
          <w:rPr>
            <w:webHidden/>
          </w:rPr>
          <w:fldChar w:fldCharType="begin"/>
        </w:r>
        <w:r w:rsidR="0050673C">
          <w:rPr>
            <w:webHidden/>
          </w:rPr>
          <w:instrText xml:space="preserve"> PAGEREF _Toc468191420 \h </w:instrText>
        </w:r>
        <w:r w:rsidR="0050673C">
          <w:rPr>
            <w:webHidden/>
          </w:rPr>
        </w:r>
        <w:r w:rsidR="0050673C">
          <w:rPr>
            <w:webHidden/>
          </w:rPr>
          <w:fldChar w:fldCharType="separate"/>
        </w:r>
        <w:r w:rsidR="00A50AE4">
          <w:rPr>
            <w:webHidden/>
          </w:rPr>
          <w:t>27</w:t>
        </w:r>
        <w:r w:rsidR="0050673C">
          <w:rPr>
            <w:webHidden/>
          </w:rPr>
          <w:fldChar w:fldCharType="end"/>
        </w:r>
      </w:hyperlink>
    </w:p>
    <w:p w14:paraId="43D18478" w14:textId="77777777" w:rsidR="0050673C" w:rsidRDefault="009D3208">
      <w:pPr>
        <w:pStyle w:val="TJ2"/>
        <w:tabs>
          <w:tab w:val="left" w:pos="880"/>
        </w:tabs>
        <w:rPr>
          <w:rFonts w:asciiTheme="minorHAnsi" w:eastAsiaTheme="minorEastAsia" w:hAnsiTheme="minorHAnsi" w:cstheme="minorBidi"/>
          <w:color w:val="auto"/>
        </w:rPr>
      </w:pPr>
      <w:hyperlink w:anchor="_Toc468191421" w:history="1">
        <w:r w:rsidR="0050673C" w:rsidRPr="00AC1453">
          <w:rPr>
            <w:rStyle w:val="Hiperhivatkozs"/>
          </w:rPr>
          <w:t>IV.1</w:t>
        </w:r>
        <w:r w:rsidR="0050673C">
          <w:rPr>
            <w:rFonts w:asciiTheme="minorHAnsi" w:eastAsiaTheme="minorEastAsia" w:hAnsiTheme="minorHAnsi" w:cstheme="minorBidi"/>
            <w:color w:val="auto"/>
          </w:rPr>
          <w:tab/>
        </w:r>
        <w:r w:rsidR="0050673C" w:rsidRPr="00AC1453">
          <w:rPr>
            <w:rStyle w:val="Hiperhivatkozs"/>
          </w:rPr>
          <w:t>Az ICAAP, az ILAAP és a BMA vizsgálat előkészítése</w:t>
        </w:r>
        <w:r w:rsidR="0050673C">
          <w:rPr>
            <w:webHidden/>
          </w:rPr>
          <w:tab/>
        </w:r>
        <w:r w:rsidR="0050673C">
          <w:rPr>
            <w:webHidden/>
          </w:rPr>
          <w:fldChar w:fldCharType="begin"/>
        </w:r>
        <w:r w:rsidR="0050673C">
          <w:rPr>
            <w:webHidden/>
          </w:rPr>
          <w:instrText xml:space="preserve"> PAGEREF _Toc468191421 \h </w:instrText>
        </w:r>
        <w:r w:rsidR="0050673C">
          <w:rPr>
            <w:webHidden/>
          </w:rPr>
        </w:r>
        <w:r w:rsidR="0050673C">
          <w:rPr>
            <w:webHidden/>
          </w:rPr>
          <w:fldChar w:fldCharType="separate"/>
        </w:r>
        <w:r w:rsidR="00A50AE4">
          <w:rPr>
            <w:webHidden/>
          </w:rPr>
          <w:t>27</w:t>
        </w:r>
        <w:r w:rsidR="0050673C">
          <w:rPr>
            <w:webHidden/>
          </w:rPr>
          <w:fldChar w:fldCharType="end"/>
        </w:r>
      </w:hyperlink>
    </w:p>
    <w:p w14:paraId="57D3D4F8" w14:textId="77777777" w:rsidR="0050673C" w:rsidRDefault="009D3208">
      <w:pPr>
        <w:pStyle w:val="TJ2"/>
        <w:tabs>
          <w:tab w:val="left" w:pos="880"/>
        </w:tabs>
        <w:rPr>
          <w:rFonts w:asciiTheme="minorHAnsi" w:eastAsiaTheme="minorEastAsia" w:hAnsiTheme="minorHAnsi" w:cstheme="minorBidi"/>
          <w:color w:val="auto"/>
        </w:rPr>
      </w:pPr>
      <w:hyperlink w:anchor="_Toc468191422" w:history="1">
        <w:r w:rsidR="0050673C" w:rsidRPr="00AC1453">
          <w:rPr>
            <w:rStyle w:val="Hiperhivatkozs"/>
          </w:rPr>
          <w:t>IV.2</w:t>
        </w:r>
        <w:r w:rsidR="0050673C">
          <w:rPr>
            <w:rFonts w:asciiTheme="minorHAnsi" w:eastAsiaTheme="minorEastAsia" w:hAnsiTheme="minorHAnsi" w:cstheme="minorBidi"/>
            <w:color w:val="auto"/>
          </w:rPr>
          <w:tab/>
        </w:r>
        <w:r w:rsidR="0050673C" w:rsidRPr="00AC1453">
          <w:rPr>
            <w:rStyle w:val="Hiperhivatkozs"/>
          </w:rPr>
          <w:t>Az ICAAP, az ILAAP és a BMA vizsgálatok dokumentációjának bekérése</w:t>
        </w:r>
        <w:r w:rsidR="0050673C">
          <w:rPr>
            <w:webHidden/>
          </w:rPr>
          <w:tab/>
        </w:r>
        <w:r w:rsidR="0050673C">
          <w:rPr>
            <w:webHidden/>
          </w:rPr>
          <w:fldChar w:fldCharType="begin"/>
        </w:r>
        <w:r w:rsidR="0050673C">
          <w:rPr>
            <w:webHidden/>
          </w:rPr>
          <w:instrText xml:space="preserve"> PAGEREF _Toc468191422 \h </w:instrText>
        </w:r>
        <w:r w:rsidR="0050673C">
          <w:rPr>
            <w:webHidden/>
          </w:rPr>
        </w:r>
        <w:r w:rsidR="0050673C">
          <w:rPr>
            <w:webHidden/>
          </w:rPr>
          <w:fldChar w:fldCharType="separate"/>
        </w:r>
        <w:r w:rsidR="00A50AE4">
          <w:rPr>
            <w:webHidden/>
          </w:rPr>
          <w:t>27</w:t>
        </w:r>
        <w:r w:rsidR="0050673C">
          <w:rPr>
            <w:webHidden/>
          </w:rPr>
          <w:fldChar w:fldCharType="end"/>
        </w:r>
      </w:hyperlink>
    </w:p>
    <w:p w14:paraId="749E2514" w14:textId="77777777" w:rsidR="0050673C" w:rsidRDefault="009D3208">
      <w:pPr>
        <w:pStyle w:val="TJ2"/>
        <w:tabs>
          <w:tab w:val="left" w:pos="880"/>
        </w:tabs>
        <w:rPr>
          <w:rFonts w:asciiTheme="minorHAnsi" w:eastAsiaTheme="minorEastAsia" w:hAnsiTheme="minorHAnsi" w:cstheme="minorBidi"/>
          <w:color w:val="auto"/>
        </w:rPr>
      </w:pPr>
      <w:hyperlink w:anchor="_Toc468191423" w:history="1">
        <w:r w:rsidR="0050673C" w:rsidRPr="00AC1453">
          <w:rPr>
            <w:rStyle w:val="Hiperhivatkozs"/>
          </w:rPr>
          <w:t>IV.3</w:t>
        </w:r>
        <w:r w:rsidR="0050673C">
          <w:rPr>
            <w:rFonts w:asciiTheme="minorHAnsi" w:eastAsiaTheme="minorEastAsia" w:hAnsiTheme="minorHAnsi" w:cstheme="minorBidi"/>
            <w:color w:val="auto"/>
          </w:rPr>
          <w:tab/>
        </w:r>
        <w:r w:rsidR="0050673C" w:rsidRPr="00AC1453">
          <w:rPr>
            <w:rStyle w:val="Hiperhivatkozs"/>
          </w:rPr>
          <w:t>Az ICAAP, az ILAAP és a BMA vizsgálatfelügyeleti értékelése</w:t>
        </w:r>
        <w:r w:rsidR="0050673C">
          <w:rPr>
            <w:webHidden/>
          </w:rPr>
          <w:tab/>
        </w:r>
        <w:r w:rsidR="0050673C">
          <w:rPr>
            <w:webHidden/>
          </w:rPr>
          <w:fldChar w:fldCharType="begin"/>
        </w:r>
        <w:r w:rsidR="0050673C">
          <w:rPr>
            <w:webHidden/>
          </w:rPr>
          <w:instrText xml:space="preserve"> PAGEREF _Toc468191423 \h </w:instrText>
        </w:r>
        <w:r w:rsidR="0050673C">
          <w:rPr>
            <w:webHidden/>
          </w:rPr>
        </w:r>
        <w:r w:rsidR="0050673C">
          <w:rPr>
            <w:webHidden/>
          </w:rPr>
          <w:fldChar w:fldCharType="separate"/>
        </w:r>
        <w:r w:rsidR="00A50AE4">
          <w:rPr>
            <w:webHidden/>
          </w:rPr>
          <w:t>29</w:t>
        </w:r>
        <w:r w:rsidR="0050673C">
          <w:rPr>
            <w:webHidden/>
          </w:rPr>
          <w:fldChar w:fldCharType="end"/>
        </w:r>
      </w:hyperlink>
    </w:p>
    <w:p w14:paraId="72015B30" w14:textId="77777777" w:rsidR="0050673C" w:rsidRDefault="009D3208">
      <w:pPr>
        <w:pStyle w:val="TJ2"/>
        <w:tabs>
          <w:tab w:val="left" w:pos="880"/>
        </w:tabs>
        <w:rPr>
          <w:rFonts w:asciiTheme="minorHAnsi" w:eastAsiaTheme="minorEastAsia" w:hAnsiTheme="minorHAnsi" w:cstheme="minorBidi"/>
          <w:color w:val="auto"/>
        </w:rPr>
      </w:pPr>
      <w:hyperlink w:anchor="_Toc468191424" w:history="1">
        <w:r w:rsidR="0050673C" w:rsidRPr="00AC1453">
          <w:rPr>
            <w:rStyle w:val="Hiperhivatkozs"/>
          </w:rPr>
          <w:t>IV.4</w:t>
        </w:r>
        <w:r w:rsidR="0050673C">
          <w:rPr>
            <w:rFonts w:asciiTheme="minorHAnsi" w:eastAsiaTheme="minorEastAsia" w:hAnsiTheme="minorHAnsi" w:cstheme="minorBidi"/>
            <w:color w:val="auto"/>
          </w:rPr>
          <w:tab/>
        </w:r>
        <w:r w:rsidR="0050673C" w:rsidRPr="00AC1453">
          <w:rPr>
            <w:rStyle w:val="Hiperhivatkozs"/>
          </w:rPr>
          <w:t>A kockázatcsökkentő intézkedések és a gazdasági tőkeszükséglet, valamint a likviditási többlettartalék meghatározása</w:t>
        </w:r>
        <w:r w:rsidR="0050673C">
          <w:rPr>
            <w:webHidden/>
          </w:rPr>
          <w:tab/>
        </w:r>
        <w:r w:rsidR="0050673C">
          <w:rPr>
            <w:webHidden/>
          </w:rPr>
          <w:fldChar w:fldCharType="begin"/>
        </w:r>
        <w:r w:rsidR="0050673C">
          <w:rPr>
            <w:webHidden/>
          </w:rPr>
          <w:instrText xml:space="preserve"> PAGEREF _Toc468191424 \h </w:instrText>
        </w:r>
        <w:r w:rsidR="0050673C">
          <w:rPr>
            <w:webHidden/>
          </w:rPr>
        </w:r>
        <w:r w:rsidR="0050673C">
          <w:rPr>
            <w:webHidden/>
          </w:rPr>
          <w:fldChar w:fldCharType="separate"/>
        </w:r>
        <w:r w:rsidR="00A50AE4">
          <w:rPr>
            <w:webHidden/>
          </w:rPr>
          <w:t>29</w:t>
        </w:r>
        <w:r w:rsidR="0050673C">
          <w:rPr>
            <w:webHidden/>
          </w:rPr>
          <w:fldChar w:fldCharType="end"/>
        </w:r>
      </w:hyperlink>
    </w:p>
    <w:p w14:paraId="39142212" w14:textId="77777777" w:rsidR="0050673C" w:rsidRDefault="009D3208">
      <w:pPr>
        <w:pStyle w:val="TJ2"/>
        <w:tabs>
          <w:tab w:val="left" w:pos="880"/>
        </w:tabs>
        <w:rPr>
          <w:rFonts w:asciiTheme="minorHAnsi" w:eastAsiaTheme="minorEastAsia" w:hAnsiTheme="minorHAnsi" w:cstheme="minorBidi"/>
          <w:color w:val="auto"/>
        </w:rPr>
      </w:pPr>
      <w:hyperlink w:anchor="_Toc468191425" w:history="1">
        <w:r w:rsidR="0050673C" w:rsidRPr="00AC1453">
          <w:rPr>
            <w:rStyle w:val="Hiperhivatkozs"/>
          </w:rPr>
          <w:t>IV.5</w:t>
        </w:r>
        <w:r w:rsidR="0050673C">
          <w:rPr>
            <w:rFonts w:asciiTheme="minorHAnsi" w:eastAsiaTheme="minorEastAsia" w:hAnsiTheme="minorHAnsi" w:cstheme="minorBidi"/>
            <w:color w:val="auto"/>
          </w:rPr>
          <w:tab/>
        </w:r>
        <w:r w:rsidR="0050673C" w:rsidRPr="00AC1453">
          <w:rPr>
            <w:rStyle w:val="Hiperhivatkozs"/>
          </w:rPr>
          <w:t>Közös kockázatértékelés és együttdöntési eljárás</w:t>
        </w:r>
        <w:r w:rsidR="0050673C">
          <w:rPr>
            <w:webHidden/>
          </w:rPr>
          <w:tab/>
        </w:r>
        <w:r w:rsidR="0050673C">
          <w:rPr>
            <w:webHidden/>
          </w:rPr>
          <w:fldChar w:fldCharType="begin"/>
        </w:r>
        <w:r w:rsidR="0050673C">
          <w:rPr>
            <w:webHidden/>
          </w:rPr>
          <w:instrText xml:space="preserve"> PAGEREF _Toc468191425 \h </w:instrText>
        </w:r>
        <w:r w:rsidR="0050673C">
          <w:rPr>
            <w:webHidden/>
          </w:rPr>
        </w:r>
        <w:r w:rsidR="0050673C">
          <w:rPr>
            <w:webHidden/>
          </w:rPr>
          <w:fldChar w:fldCharType="separate"/>
        </w:r>
        <w:r w:rsidR="00A50AE4">
          <w:rPr>
            <w:webHidden/>
          </w:rPr>
          <w:t>30</w:t>
        </w:r>
        <w:r w:rsidR="0050673C">
          <w:rPr>
            <w:webHidden/>
          </w:rPr>
          <w:fldChar w:fldCharType="end"/>
        </w:r>
      </w:hyperlink>
    </w:p>
    <w:p w14:paraId="546BDA17" w14:textId="77777777" w:rsidR="0050673C" w:rsidRDefault="009D3208">
      <w:pPr>
        <w:pStyle w:val="TJ2"/>
        <w:tabs>
          <w:tab w:val="left" w:pos="880"/>
        </w:tabs>
        <w:rPr>
          <w:rFonts w:asciiTheme="minorHAnsi" w:eastAsiaTheme="minorEastAsia" w:hAnsiTheme="minorHAnsi" w:cstheme="minorBidi"/>
          <w:color w:val="auto"/>
        </w:rPr>
      </w:pPr>
      <w:hyperlink w:anchor="_Toc468191426" w:history="1">
        <w:r w:rsidR="0050673C" w:rsidRPr="00AC1453">
          <w:rPr>
            <w:rStyle w:val="Hiperhivatkozs"/>
          </w:rPr>
          <w:t>IV.6</w:t>
        </w:r>
        <w:r w:rsidR="0050673C">
          <w:rPr>
            <w:rFonts w:asciiTheme="minorHAnsi" w:eastAsiaTheme="minorEastAsia" w:hAnsiTheme="minorHAnsi" w:cstheme="minorBidi"/>
            <w:color w:val="auto"/>
          </w:rPr>
          <w:tab/>
        </w:r>
        <w:r w:rsidR="0050673C" w:rsidRPr="00AC1453">
          <w:rPr>
            <w:rStyle w:val="Hiperhivatkozs"/>
          </w:rPr>
          <w:t>Az ICAAP, az ILAAP és a BMA vizsgálatok lezárása, felügyeleti intézkedések</w:t>
        </w:r>
        <w:r w:rsidR="0050673C">
          <w:rPr>
            <w:webHidden/>
          </w:rPr>
          <w:tab/>
        </w:r>
        <w:r w:rsidR="0050673C">
          <w:rPr>
            <w:webHidden/>
          </w:rPr>
          <w:fldChar w:fldCharType="begin"/>
        </w:r>
        <w:r w:rsidR="0050673C">
          <w:rPr>
            <w:webHidden/>
          </w:rPr>
          <w:instrText xml:space="preserve"> PAGEREF _Toc468191426 \h </w:instrText>
        </w:r>
        <w:r w:rsidR="0050673C">
          <w:rPr>
            <w:webHidden/>
          </w:rPr>
        </w:r>
        <w:r w:rsidR="0050673C">
          <w:rPr>
            <w:webHidden/>
          </w:rPr>
          <w:fldChar w:fldCharType="separate"/>
        </w:r>
        <w:r w:rsidR="00A50AE4">
          <w:rPr>
            <w:webHidden/>
          </w:rPr>
          <w:t>31</w:t>
        </w:r>
        <w:r w:rsidR="0050673C">
          <w:rPr>
            <w:webHidden/>
          </w:rPr>
          <w:fldChar w:fldCharType="end"/>
        </w:r>
      </w:hyperlink>
    </w:p>
    <w:p w14:paraId="489A7E1F" w14:textId="77777777" w:rsidR="0050673C" w:rsidRDefault="009D3208">
      <w:pPr>
        <w:pStyle w:val="TJ3"/>
        <w:tabs>
          <w:tab w:val="left" w:pos="1320"/>
        </w:tabs>
        <w:rPr>
          <w:rFonts w:asciiTheme="minorHAnsi" w:eastAsiaTheme="minorEastAsia" w:hAnsiTheme="minorHAnsi" w:cstheme="minorBidi"/>
          <w:noProof/>
          <w:color w:val="auto"/>
        </w:rPr>
      </w:pPr>
      <w:hyperlink w:anchor="_Toc468191427" w:history="1">
        <w:r w:rsidR="0050673C" w:rsidRPr="00AC1453">
          <w:rPr>
            <w:rStyle w:val="Hiperhivatkozs"/>
            <w:noProof/>
          </w:rPr>
          <w:t>IV.6.1</w:t>
        </w:r>
        <w:r w:rsidR="0050673C">
          <w:rPr>
            <w:rFonts w:asciiTheme="minorHAnsi" w:eastAsiaTheme="minorEastAsia" w:hAnsiTheme="minorHAnsi" w:cstheme="minorBidi"/>
            <w:noProof/>
            <w:color w:val="auto"/>
          </w:rPr>
          <w:tab/>
        </w:r>
        <w:r w:rsidR="0050673C" w:rsidRPr="00AC1453">
          <w:rPr>
            <w:rStyle w:val="Hiperhivatkozs"/>
            <w:noProof/>
          </w:rPr>
          <w:t>A teljes felügyeleti felülvizsgálati folyamathoz (SREP) kapcsolódó intézkedések alkalmazásának esetkörei a hitelintézetekkel szemben</w:t>
        </w:r>
        <w:r w:rsidR="0050673C">
          <w:rPr>
            <w:noProof/>
            <w:webHidden/>
          </w:rPr>
          <w:tab/>
        </w:r>
        <w:r w:rsidR="0050673C">
          <w:rPr>
            <w:noProof/>
            <w:webHidden/>
          </w:rPr>
          <w:fldChar w:fldCharType="begin"/>
        </w:r>
        <w:r w:rsidR="0050673C">
          <w:rPr>
            <w:noProof/>
            <w:webHidden/>
          </w:rPr>
          <w:instrText xml:space="preserve"> PAGEREF _Toc468191427 \h </w:instrText>
        </w:r>
        <w:r w:rsidR="0050673C">
          <w:rPr>
            <w:noProof/>
            <w:webHidden/>
          </w:rPr>
        </w:r>
        <w:r w:rsidR="0050673C">
          <w:rPr>
            <w:noProof/>
            <w:webHidden/>
          </w:rPr>
          <w:fldChar w:fldCharType="separate"/>
        </w:r>
        <w:r w:rsidR="00A50AE4">
          <w:rPr>
            <w:noProof/>
            <w:webHidden/>
          </w:rPr>
          <w:t>32</w:t>
        </w:r>
        <w:r w:rsidR="0050673C">
          <w:rPr>
            <w:noProof/>
            <w:webHidden/>
          </w:rPr>
          <w:fldChar w:fldCharType="end"/>
        </w:r>
      </w:hyperlink>
    </w:p>
    <w:p w14:paraId="69E535F7" w14:textId="77777777" w:rsidR="0050673C" w:rsidRDefault="009D3208">
      <w:pPr>
        <w:pStyle w:val="TJ3"/>
        <w:tabs>
          <w:tab w:val="left" w:pos="1320"/>
        </w:tabs>
        <w:rPr>
          <w:rFonts w:asciiTheme="minorHAnsi" w:eastAsiaTheme="minorEastAsia" w:hAnsiTheme="minorHAnsi" w:cstheme="minorBidi"/>
          <w:noProof/>
          <w:color w:val="auto"/>
        </w:rPr>
      </w:pPr>
      <w:hyperlink w:anchor="_Toc468191428" w:history="1">
        <w:r w:rsidR="0050673C" w:rsidRPr="00AC1453">
          <w:rPr>
            <w:rStyle w:val="Hiperhivatkozs"/>
            <w:noProof/>
          </w:rPr>
          <w:t>IV.6.2</w:t>
        </w:r>
        <w:r w:rsidR="0050673C">
          <w:rPr>
            <w:rFonts w:asciiTheme="minorHAnsi" w:eastAsiaTheme="minorEastAsia" w:hAnsiTheme="minorHAnsi" w:cstheme="minorBidi"/>
            <w:noProof/>
            <w:color w:val="auto"/>
          </w:rPr>
          <w:tab/>
        </w:r>
        <w:r w:rsidR="0050673C" w:rsidRPr="00AC1453">
          <w:rPr>
            <w:rStyle w:val="Hiperhivatkozs"/>
            <w:noProof/>
          </w:rPr>
          <w:t>A teljes felügyeleti felülvizsgálati folyamathoz (SREP) kapcsolódó intézkedések alkalmazásának esetkörei a befektetési vállalkozásokkal szemben</w:t>
        </w:r>
        <w:r w:rsidR="0050673C">
          <w:rPr>
            <w:noProof/>
            <w:webHidden/>
          </w:rPr>
          <w:tab/>
        </w:r>
        <w:r w:rsidR="0050673C">
          <w:rPr>
            <w:noProof/>
            <w:webHidden/>
          </w:rPr>
          <w:fldChar w:fldCharType="begin"/>
        </w:r>
        <w:r w:rsidR="0050673C">
          <w:rPr>
            <w:noProof/>
            <w:webHidden/>
          </w:rPr>
          <w:instrText xml:space="preserve"> PAGEREF _Toc468191428 \h </w:instrText>
        </w:r>
        <w:r w:rsidR="0050673C">
          <w:rPr>
            <w:noProof/>
            <w:webHidden/>
          </w:rPr>
        </w:r>
        <w:r w:rsidR="0050673C">
          <w:rPr>
            <w:noProof/>
            <w:webHidden/>
          </w:rPr>
          <w:fldChar w:fldCharType="separate"/>
        </w:r>
        <w:r w:rsidR="00A50AE4">
          <w:rPr>
            <w:noProof/>
            <w:webHidden/>
          </w:rPr>
          <w:t>35</w:t>
        </w:r>
        <w:r w:rsidR="0050673C">
          <w:rPr>
            <w:noProof/>
            <w:webHidden/>
          </w:rPr>
          <w:fldChar w:fldCharType="end"/>
        </w:r>
      </w:hyperlink>
    </w:p>
    <w:p w14:paraId="1954223E" w14:textId="635EC0C1" w:rsidR="0050673C" w:rsidRDefault="009D3208">
      <w:pPr>
        <w:pStyle w:val="TJ2"/>
        <w:tabs>
          <w:tab w:val="left" w:pos="880"/>
        </w:tabs>
        <w:rPr>
          <w:rFonts w:asciiTheme="minorHAnsi" w:eastAsiaTheme="minorEastAsia" w:hAnsiTheme="minorHAnsi" w:cstheme="minorBidi"/>
          <w:color w:val="auto"/>
        </w:rPr>
      </w:pPr>
      <w:hyperlink w:anchor="_Toc468191429" w:history="1">
        <w:r w:rsidR="0050673C" w:rsidRPr="00AC1453">
          <w:rPr>
            <w:rStyle w:val="Hiperhivatkozs"/>
          </w:rPr>
          <w:t>IV.7</w:t>
        </w:r>
        <w:r w:rsidR="0050673C">
          <w:rPr>
            <w:rFonts w:asciiTheme="minorHAnsi" w:eastAsiaTheme="minorEastAsia" w:hAnsiTheme="minorHAnsi" w:cstheme="minorBidi"/>
            <w:color w:val="auto"/>
          </w:rPr>
          <w:tab/>
        </w:r>
        <w:r w:rsidR="0050673C" w:rsidRPr="00AC1453">
          <w:rPr>
            <w:rStyle w:val="Hiperhivatkozs"/>
          </w:rPr>
          <w:t>Éves értékelés a teljes SREP folyamat tapasztalatairól a komplex SREP alá tartozó intézmények esetén</w:t>
        </w:r>
        <w:r w:rsidR="0050673C">
          <w:rPr>
            <w:rStyle w:val="Hiperhivatkozs"/>
          </w:rPr>
          <w:tab/>
        </w:r>
        <w:r w:rsidR="0050673C">
          <w:rPr>
            <w:webHidden/>
          </w:rPr>
          <w:tab/>
        </w:r>
        <w:r w:rsidR="0050673C">
          <w:rPr>
            <w:webHidden/>
          </w:rPr>
          <w:fldChar w:fldCharType="begin"/>
        </w:r>
        <w:r w:rsidR="0050673C">
          <w:rPr>
            <w:webHidden/>
          </w:rPr>
          <w:instrText xml:space="preserve"> PAGEREF _Toc468191429 \h </w:instrText>
        </w:r>
        <w:r w:rsidR="0050673C">
          <w:rPr>
            <w:webHidden/>
          </w:rPr>
        </w:r>
        <w:r w:rsidR="0050673C">
          <w:rPr>
            <w:webHidden/>
          </w:rPr>
          <w:fldChar w:fldCharType="separate"/>
        </w:r>
        <w:r w:rsidR="00A50AE4">
          <w:rPr>
            <w:webHidden/>
          </w:rPr>
          <w:t>37</w:t>
        </w:r>
        <w:r w:rsidR="0050673C">
          <w:rPr>
            <w:webHidden/>
          </w:rPr>
          <w:fldChar w:fldCharType="end"/>
        </w:r>
      </w:hyperlink>
    </w:p>
    <w:p w14:paraId="4BB27260" w14:textId="77777777" w:rsidR="0050673C" w:rsidRDefault="009D3208">
      <w:pPr>
        <w:pStyle w:val="TJ1"/>
        <w:tabs>
          <w:tab w:val="left" w:pos="482"/>
        </w:tabs>
        <w:rPr>
          <w:rFonts w:asciiTheme="minorHAnsi" w:eastAsiaTheme="minorEastAsia" w:hAnsiTheme="minorHAnsi" w:cstheme="minorBidi"/>
          <w:b w:val="0"/>
          <w:color w:val="auto"/>
        </w:rPr>
      </w:pPr>
      <w:hyperlink w:anchor="_Toc468191430" w:history="1">
        <w:r w:rsidR="0050673C" w:rsidRPr="00AC1453">
          <w:rPr>
            <w:rStyle w:val="Hiperhivatkozs"/>
          </w:rPr>
          <w:t>V.</w:t>
        </w:r>
        <w:r w:rsidR="0050673C">
          <w:rPr>
            <w:rFonts w:asciiTheme="minorHAnsi" w:eastAsiaTheme="minorEastAsia" w:hAnsiTheme="minorHAnsi" w:cstheme="minorBidi"/>
            <w:b w:val="0"/>
            <w:color w:val="auto"/>
          </w:rPr>
          <w:tab/>
        </w:r>
        <w:r w:rsidR="0050673C" w:rsidRPr="00AC1453">
          <w:rPr>
            <w:rStyle w:val="Hiperhivatkozs"/>
          </w:rPr>
          <w:t>Az ICAAP összetevői és felügyeleti felülvizsgálata</w:t>
        </w:r>
        <w:r w:rsidR="0050673C">
          <w:rPr>
            <w:webHidden/>
          </w:rPr>
          <w:tab/>
        </w:r>
        <w:r w:rsidR="0050673C">
          <w:rPr>
            <w:webHidden/>
          </w:rPr>
          <w:fldChar w:fldCharType="begin"/>
        </w:r>
        <w:r w:rsidR="0050673C">
          <w:rPr>
            <w:webHidden/>
          </w:rPr>
          <w:instrText xml:space="preserve"> PAGEREF _Toc468191430 \h </w:instrText>
        </w:r>
        <w:r w:rsidR="0050673C">
          <w:rPr>
            <w:webHidden/>
          </w:rPr>
        </w:r>
        <w:r w:rsidR="0050673C">
          <w:rPr>
            <w:webHidden/>
          </w:rPr>
          <w:fldChar w:fldCharType="separate"/>
        </w:r>
        <w:r w:rsidR="00A50AE4">
          <w:rPr>
            <w:webHidden/>
          </w:rPr>
          <w:t>38</w:t>
        </w:r>
        <w:r w:rsidR="0050673C">
          <w:rPr>
            <w:webHidden/>
          </w:rPr>
          <w:fldChar w:fldCharType="end"/>
        </w:r>
      </w:hyperlink>
    </w:p>
    <w:p w14:paraId="17DA9C27" w14:textId="77777777" w:rsidR="0050673C" w:rsidRDefault="009D3208">
      <w:pPr>
        <w:pStyle w:val="TJ2"/>
        <w:tabs>
          <w:tab w:val="left" w:pos="880"/>
        </w:tabs>
        <w:rPr>
          <w:rFonts w:asciiTheme="minorHAnsi" w:eastAsiaTheme="minorEastAsia" w:hAnsiTheme="minorHAnsi" w:cstheme="minorBidi"/>
          <w:color w:val="auto"/>
        </w:rPr>
      </w:pPr>
      <w:hyperlink w:anchor="_Toc468191431" w:history="1">
        <w:r w:rsidR="0050673C" w:rsidRPr="00AC1453">
          <w:rPr>
            <w:rStyle w:val="Hiperhivatkozs"/>
          </w:rPr>
          <w:t>V.1</w:t>
        </w:r>
        <w:r w:rsidR="0050673C">
          <w:rPr>
            <w:rFonts w:asciiTheme="minorHAnsi" w:eastAsiaTheme="minorEastAsia" w:hAnsiTheme="minorHAnsi" w:cstheme="minorBidi"/>
            <w:color w:val="auto"/>
          </w:rPr>
          <w:tab/>
        </w:r>
        <w:r w:rsidR="0050673C" w:rsidRPr="00AC1453">
          <w:rPr>
            <w:rStyle w:val="Hiperhivatkozs"/>
          </w:rPr>
          <w:t>ICAAP irányítás és kontrollrendszerek – kockázatkezelés</w:t>
        </w:r>
        <w:r w:rsidR="0050673C">
          <w:rPr>
            <w:webHidden/>
          </w:rPr>
          <w:tab/>
        </w:r>
        <w:r w:rsidR="0050673C">
          <w:rPr>
            <w:webHidden/>
          </w:rPr>
          <w:fldChar w:fldCharType="begin"/>
        </w:r>
        <w:r w:rsidR="0050673C">
          <w:rPr>
            <w:webHidden/>
          </w:rPr>
          <w:instrText xml:space="preserve"> PAGEREF _Toc468191431 \h </w:instrText>
        </w:r>
        <w:r w:rsidR="0050673C">
          <w:rPr>
            <w:webHidden/>
          </w:rPr>
        </w:r>
        <w:r w:rsidR="0050673C">
          <w:rPr>
            <w:webHidden/>
          </w:rPr>
          <w:fldChar w:fldCharType="separate"/>
        </w:r>
        <w:r w:rsidR="00A50AE4">
          <w:rPr>
            <w:webHidden/>
          </w:rPr>
          <w:t>38</w:t>
        </w:r>
        <w:r w:rsidR="0050673C">
          <w:rPr>
            <w:webHidden/>
          </w:rPr>
          <w:fldChar w:fldCharType="end"/>
        </w:r>
      </w:hyperlink>
    </w:p>
    <w:p w14:paraId="38A53E63" w14:textId="77777777" w:rsidR="0050673C" w:rsidRDefault="009D3208">
      <w:pPr>
        <w:pStyle w:val="TJ3"/>
        <w:tabs>
          <w:tab w:val="left" w:pos="1320"/>
        </w:tabs>
        <w:rPr>
          <w:rFonts w:asciiTheme="minorHAnsi" w:eastAsiaTheme="minorEastAsia" w:hAnsiTheme="minorHAnsi" w:cstheme="minorBidi"/>
          <w:noProof/>
          <w:color w:val="auto"/>
        </w:rPr>
      </w:pPr>
      <w:hyperlink w:anchor="_Toc468191432" w:history="1">
        <w:r w:rsidR="0050673C" w:rsidRPr="00AC1453">
          <w:rPr>
            <w:rStyle w:val="Hiperhivatkozs"/>
            <w:noProof/>
          </w:rPr>
          <w:t>V.1.1</w:t>
        </w:r>
        <w:r w:rsidR="0050673C">
          <w:rPr>
            <w:rFonts w:asciiTheme="minorHAnsi" w:eastAsiaTheme="minorEastAsia" w:hAnsiTheme="minorHAnsi" w:cstheme="minorBidi"/>
            <w:noProof/>
            <w:color w:val="auto"/>
          </w:rPr>
          <w:tab/>
        </w:r>
        <w:r w:rsidR="0050673C" w:rsidRPr="00AC1453">
          <w:rPr>
            <w:rStyle w:val="Hiperhivatkozs"/>
            <w:noProof/>
          </w:rPr>
          <w:t>ICAAP tudatosság</w:t>
        </w:r>
        <w:r w:rsidR="0050673C">
          <w:rPr>
            <w:noProof/>
            <w:webHidden/>
          </w:rPr>
          <w:tab/>
        </w:r>
        <w:r w:rsidR="0050673C">
          <w:rPr>
            <w:noProof/>
            <w:webHidden/>
          </w:rPr>
          <w:fldChar w:fldCharType="begin"/>
        </w:r>
        <w:r w:rsidR="0050673C">
          <w:rPr>
            <w:noProof/>
            <w:webHidden/>
          </w:rPr>
          <w:instrText xml:space="preserve"> PAGEREF _Toc468191432 \h </w:instrText>
        </w:r>
        <w:r w:rsidR="0050673C">
          <w:rPr>
            <w:noProof/>
            <w:webHidden/>
          </w:rPr>
        </w:r>
        <w:r w:rsidR="0050673C">
          <w:rPr>
            <w:noProof/>
            <w:webHidden/>
          </w:rPr>
          <w:fldChar w:fldCharType="separate"/>
        </w:r>
        <w:r w:rsidR="00A50AE4">
          <w:rPr>
            <w:noProof/>
            <w:webHidden/>
          </w:rPr>
          <w:t>38</w:t>
        </w:r>
        <w:r w:rsidR="0050673C">
          <w:rPr>
            <w:noProof/>
            <w:webHidden/>
          </w:rPr>
          <w:fldChar w:fldCharType="end"/>
        </w:r>
      </w:hyperlink>
    </w:p>
    <w:p w14:paraId="36573AFA" w14:textId="77777777" w:rsidR="0050673C" w:rsidRDefault="009D3208">
      <w:pPr>
        <w:pStyle w:val="TJ3"/>
        <w:tabs>
          <w:tab w:val="left" w:pos="1320"/>
        </w:tabs>
        <w:rPr>
          <w:rFonts w:asciiTheme="minorHAnsi" w:eastAsiaTheme="minorEastAsia" w:hAnsiTheme="minorHAnsi" w:cstheme="minorBidi"/>
          <w:noProof/>
          <w:color w:val="auto"/>
        </w:rPr>
      </w:pPr>
      <w:hyperlink w:anchor="_Toc468191433" w:history="1">
        <w:r w:rsidR="0050673C" w:rsidRPr="00AC1453">
          <w:rPr>
            <w:rStyle w:val="Hiperhivatkozs"/>
            <w:noProof/>
          </w:rPr>
          <w:t>V.1.2</w:t>
        </w:r>
        <w:r w:rsidR="0050673C">
          <w:rPr>
            <w:rFonts w:asciiTheme="minorHAnsi" w:eastAsiaTheme="minorEastAsia" w:hAnsiTheme="minorHAnsi" w:cstheme="minorBidi"/>
            <w:noProof/>
            <w:color w:val="auto"/>
          </w:rPr>
          <w:tab/>
        </w:r>
        <w:r w:rsidR="0050673C" w:rsidRPr="00AC1453">
          <w:rPr>
            <w:rStyle w:val="Hiperhivatkozs"/>
            <w:noProof/>
          </w:rPr>
          <w:t>ICAAP szabályozottság, vállalatirányítás és belső ellenőrzés</w:t>
        </w:r>
        <w:r w:rsidR="0050673C">
          <w:rPr>
            <w:noProof/>
            <w:webHidden/>
          </w:rPr>
          <w:tab/>
        </w:r>
        <w:r w:rsidR="0050673C">
          <w:rPr>
            <w:noProof/>
            <w:webHidden/>
          </w:rPr>
          <w:fldChar w:fldCharType="begin"/>
        </w:r>
        <w:r w:rsidR="0050673C">
          <w:rPr>
            <w:noProof/>
            <w:webHidden/>
          </w:rPr>
          <w:instrText xml:space="preserve"> PAGEREF _Toc468191433 \h </w:instrText>
        </w:r>
        <w:r w:rsidR="0050673C">
          <w:rPr>
            <w:noProof/>
            <w:webHidden/>
          </w:rPr>
        </w:r>
        <w:r w:rsidR="0050673C">
          <w:rPr>
            <w:noProof/>
            <w:webHidden/>
          </w:rPr>
          <w:fldChar w:fldCharType="separate"/>
        </w:r>
        <w:r w:rsidR="00A50AE4">
          <w:rPr>
            <w:noProof/>
            <w:webHidden/>
          </w:rPr>
          <w:t>39</w:t>
        </w:r>
        <w:r w:rsidR="0050673C">
          <w:rPr>
            <w:noProof/>
            <w:webHidden/>
          </w:rPr>
          <w:fldChar w:fldCharType="end"/>
        </w:r>
      </w:hyperlink>
    </w:p>
    <w:p w14:paraId="4B7E4895" w14:textId="77777777" w:rsidR="0050673C" w:rsidRDefault="009D3208">
      <w:pPr>
        <w:pStyle w:val="TJ3"/>
        <w:tabs>
          <w:tab w:val="left" w:pos="1320"/>
        </w:tabs>
        <w:rPr>
          <w:rFonts w:asciiTheme="minorHAnsi" w:eastAsiaTheme="minorEastAsia" w:hAnsiTheme="minorHAnsi" w:cstheme="minorBidi"/>
          <w:noProof/>
          <w:color w:val="auto"/>
        </w:rPr>
      </w:pPr>
      <w:hyperlink w:anchor="_Toc468191434" w:history="1">
        <w:r w:rsidR="0050673C" w:rsidRPr="00AC1453">
          <w:rPr>
            <w:rStyle w:val="Hiperhivatkozs"/>
            <w:noProof/>
          </w:rPr>
          <w:t>V.1.3</w:t>
        </w:r>
        <w:r w:rsidR="0050673C">
          <w:rPr>
            <w:rFonts w:asciiTheme="minorHAnsi" w:eastAsiaTheme="minorEastAsia" w:hAnsiTheme="minorHAnsi" w:cstheme="minorBidi"/>
            <w:noProof/>
            <w:color w:val="auto"/>
          </w:rPr>
          <w:tab/>
        </w:r>
        <w:r w:rsidR="0050673C" w:rsidRPr="00AC1453">
          <w:rPr>
            <w:rStyle w:val="Hiperhivatkozs"/>
            <w:noProof/>
          </w:rPr>
          <w:t>A tőkemegfelelés belső értékelési eljárására kialakított keretrendszer</w:t>
        </w:r>
        <w:r w:rsidR="0050673C">
          <w:rPr>
            <w:noProof/>
            <w:webHidden/>
          </w:rPr>
          <w:tab/>
        </w:r>
        <w:r w:rsidR="0050673C">
          <w:rPr>
            <w:noProof/>
            <w:webHidden/>
          </w:rPr>
          <w:fldChar w:fldCharType="begin"/>
        </w:r>
        <w:r w:rsidR="0050673C">
          <w:rPr>
            <w:noProof/>
            <w:webHidden/>
          </w:rPr>
          <w:instrText xml:space="preserve"> PAGEREF _Toc468191434 \h </w:instrText>
        </w:r>
        <w:r w:rsidR="0050673C">
          <w:rPr>
            <w:noProof/>
            <w:webHidden/>
          </w:rPr>
        </w:r>
        <w:r w:rsidR="0050673C">
          <w:rPr>
            <w:noProof/>
            <w:webHidden/>
          </w:rPr>
          <w:fldChar w:fldCharType="separate"/>
        </w:r>
        <w:r w:rsidR="00A50AE4">
          <w:rPr>
            <w:noProof/>
            <w:webHidden/>
          </w:rPr>
          <w:t>39</w:t>
        </w:r>
        <w:r w:rsidR="0050673C">
          <w:rPr>
            <w:noProof/>
            <w:webHidden/>
          </w:rPr>
          <w:fldChar w:fldCharType="end"/>
        </w:r>
      </w:hyperlink>
    </w:p>
    <w:p w14:paraId="46B36C12" w14:textId="77777777" w:rsidR="0050673C" w:rsidRDefault="009D3208">
      <w:pPr>
        <w:pStyle w:val="TJ3"/>
        <w:tabs>
          <w:tab w:val="left" w:pos="1320"/>
        </w:tabs>
        <w:rPr>
          <w:rFonts w:asciiTheme="minorHAnsi" w:eastAsiaTheme="minorEastAsia" w:hAnsiTheme="minorHAnsi" w:cstheme="minorBidi"/>
          <w:noProof/>
          <w:color w:val="auto"/>
        </w:rPr>
      </w:pPr>
      <w:hyperlink w:anchor="_Toc468191435" w:history="1">
        <w:r w:rsidR="0050673C" w:rsidRPr="00AC1453">
          <w:rPr>
            <w:rStyle w:val="Hiperhivatkozs"/>
            <w:noProof/>
          </w:rPr>
          <w:t>V.1.4</w:t>
        </w:r>
        <w:r w:rsidR="0050673C">
          <w:rPr>
            <w:rFonts w:asciiTheme="minorHAnsi" w:eastAsiaTheme="minorEastAsia" w:hAnsiTheme="minorHAnsi" w:cstheme="minorBidi"/>
            <w:noProof/>
            <w:color w:val="auto"/>
          </w:rPr>
          <w:tab/>
        </w:r>
        <w:r w:rsidR="0050673C" w:rsidRPr="00AC1453">
          <w:rPr>
            <w:rStyle w:val="Hiperhivatkozs"/>
            <w:noProof/>
          </w:rPr>
          <w:t>Az ICAAP integráltsága</w:t>
        </w:r>
        <w:r w:rsidR="0050673C">
          <w:rPr>
            <w:noProof/>
            <w:webHidden/>
          </w:rPr>
          <w:tab/>
        </w:r>
        <w:r w:rsidR="0050673C">
          <w:rPr>
            <w:noProof/>
            <w:webHidden/>
          </w:rPr>
          <w:fldChar w:fldCharType="begin"/>
        </w:r>
        <w:r w:rsidR="0050673C">
          <w:rPr>
            <w:noProof/>
            <w:webHidden/>
          </w:rPr>
          <w:instrText xml:space="preserve"> PAGEREF _Toc468191435 \h </w:instrText>
        </w:r>
        <w:r w:rsidR="0050673C">
          <w:rPr>
            <w:noProof/>
            <w:webHidden/>
          </w:rPr>
        </w:r>
        <w:r w:rsidR="0050673C">
          <w:rPr>
            <w:noProof/>
            <w:webHidden/>
          </w:rPr>
          <w:fldChar w:fldCharType="separate"/>
        </w:r>
        <w:r w:rsidR="00A50AE4">
          <w:rPr>
            <w:noProof/>
            <w:webHidden/>
          </w:rPr>
          <w:t>41</w:t>
        </w:r>
        <w:r w:rsidR="0050673C">
          <w:rPr>
            <w:noProof/>
            <w:webHidden/>
          </w:rPr>
          <w:fldChar w:fldCharType="end"/>
        </w:r>
      </w:hyperlink>
    </w:p>
    <w:p w14:paraId="6C45D69D" w14:textId="77777777" w:rsidR="0050673C" w:rsidRDefault="009D3208">
      <w:pPr>
        <w:pStyle w:val="TJ3"/>
        <w:tabs>
          <w:tab w:val="left" w:pos="1320"/>
        </w:tabs>
        <w:rPr>
          <w:rFonts w:asciiTheme="minorHAnsi" w:eastAsiaTheme="minorEastAsia" w:hAnsiTheme="minorHAnsi" w:cstheme="minorBidi"/>
          <w:noProof/>
          <w:color w:val="auto"/>
        </w:rPr>
      </w:pPr>
      <w:hyperlink w:anchor="_Toc468191436" w:history="1">
        <w:r w:rsidR="0050673C" w:rsidRPr="00AC1453">
          <w:rPr>
            <w:rStyle w:val="Hiperhivatkozs"/>
            <w:noProof/>
          </w:rPr>
          <w:t>V.1.5</w:t>
        </w:r>
        <w:r w:rsidR="0050673C">
          <w:rPr>
            <w:rFonts w:asciiTheme="minorHAnsi" w:eastAsiaTheme="minorEastAsia" w:hAnsiTheme="minorHAnsi" w:cstheme="minorBidi"/>
            <w:noProof/>
            <w:color w:val="auto"/>
          </w:rPr>
          <w:tab/>
        </w:r>
        <w:r w:rsidR="0050673C" w:rsidRPr="00AC1453">
          <w:rPr>
            <w:rStyle w:val="Hiperhivatkozs"/>
            <w:noProof/>
          </w:rPr>
          <w:t>Kockázati stratégia</w:t>
        </w:r>
        <w:r w:rsidR="0050673C">
          <w:rPr>
            <w:noProof/>
            <w:webHidden/>
          </w:rPr>
          <w:tab/>
        </w:r>
        <w:r w:rsidR="0050673C">
          <w:rPr>
            <w:noProof/>
            <w:webHidden/>
          </w:rPr>
          <w:fldChar w:fldCharType="begin"/>
        </w:r>
        <w:r w:rsidR="0050673C">
          <w:rPr>
            <w:noProof/>
            <w:webHidden/>
          </w:rPr>
          <w:instrText xml:space="preserve"> PAGEREF _Toc468191436 \h </w:instrText>
        </w:r>
        <w:r w:rsidR="0050673C">
          <w:rPr>
            <w:noProof/>
            <w:webHidden/>
          </w:rPr>
        </w:r>
        <w:r w:rsidR="0050673C">
          <w:rPr>
            <w:noProof/>
            <w:webHidden/>
          </w:rPr>
          <w:fldChar w:fldCharType="separate"/>
        </w:r>
        <w:r w:rsidR="00A50AE4">
          <w:rPr>
            <w:noProof/>
            <w:webHidden/>
          </w:rPr>
          <w:t>41</w:t>
        </w:r>
        <w:r w:rsidR="0050673C">
          <w:rPr>
            <w:noProof/>
            <w:webHidden/>
          </w:rPr>
          <w:fldChar w:fldCharType="end"/>
        </w:r>
      </w:hyperlink>
    </w:p>
    <w:p w14:paraId="4E472A56"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37" w:history="1">
        <w:r w:rsidR="0050673C" w:rsidRPr="00AC1453">
          <w:rPr>
            <w:rStyle w:val="Hiperhivatkozs"/>
            <w:noProof/>
          </w:rPr>
          <w:t>V.1.5.1</w:t>
        </w:r>
        <w:r w:rsidR="0050673C">
          <w:rPr>
            <w:rFonts w:asciiTheme="minorHAnsi" w:eastAsiaTheme="minorEastAsia" w:hAnsiTheme="minorHAnsi" w:cstheme="minorBidi"/>
            <w:noProof/>
            <w:color w:val="auto"/>
          </w:rPr>
          <w:tab/>
        </w:r>
        <w:r w:rsidR="0050673C" w:rsidRPr="00AC1453">
          <w:rPr>
            <w:rStyle w:val="Hiperhivatkozs"/>
            <w:noProof/>
          </w:rPr>
          <w:t>Kockázatvállalási politika</w:t>
        </w:r>
        <w:r w:rsidR="0050673C">
          <w:rPr>
            <w:noProof/>
            <w:webHidden/>
          </w:rPr>
          <w:tab/>
        </w:r>
        <w:r w:rsidR="0050673C">
          <w:rPr>
            <w:noProof/>
            <w:webHidden/>
          </w:rPr>
          <w:fldChar w:fldCharType="begin"/>
        </w:r>
        <w:r w:rsidR="0050673C">
          <w:rPr>
            <w:noProof/>
            <w:webHidden/>
          </w:rPr>
          <w:instrText xml:space="preserve"> PAGEREF _Toc468191437 \h </w:instrText>
        </w:r>
        <w:r w:rsidR="0050673C">
          <w:rPr>
            <w:noProof/>
            <w:webHidden/>
          </w:rPr>
        </w:r>
        <w:r w:rsidR="0050673C">
          <w:rPr>
            <w:noProof/>
            <w:webHidden/>
          </w:rPr>
          <w:fldChar w:fldCharType="separate"/>
        </w:r>
        <w:r w:rsidR="00A50AE4">
          <w:rPr>
            <w:noProof/>
            <w:webHidden/>
          </w:rPr>
          <w:t>41</w:t>
        </w:r>
        <w:r w:rsidR="0050673C">
          <w:rPr>
            <w:noProof/>
            <w:webHidden/>
          </w:rPr>
          <w:fldChar w:fldCharType="end"/>
        </w:r>
      </w:hyperlink>
    </w:p>
    <w:p w14:paraId="1B301543"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38" w:history="1">
        <w:r w:rsidR="0050673C" w:rsidRPr="00AC1453">
          <w:rPr>
            <w:rStyle w:val="Hiperhivatkozs"/>
            <w:noProof/>
          </w:rPr>
          <w:t>V.1.5.2</w:t>
        </w:r>
        <w:r w:rsidR="0050673C">
          <w:rPr>
            <w:rFonts w:asciiTheme="minorHAnsi" w:eastAsiaTheme="minorEastAsia" w:hAnsiTheme="minorHAnsi" w:cstheme="minorBidi"/>
            <w:noProof/>
            <w:color w:val="auto"/>
          </w:rPr>
          <w:tab/>
        </w:r>
        <w:r w:rsidR="0050673C" w:rsidRPr="00AC1453">
          <w:rPr>
            <w:rStyle w:val="Hiperhivatkozs"/>
            <w:noProof/>
          </w:rPr>
          <w:t>Kockázati étvágy, kockázatvállalási hajlandóság megfogalmazása</w:t>
        </w:r>
        <w:r w:rsidR="0050673C">
          <w:rPr>
            <w:noProof/>
            <w:webHidden/>
          </w:rPr>
          <w:tab/>
        </w:r>
        <w:r w:rsidR="0050673C">
          <w:rPr>
            <w:noProof/>
            <w:webHidden/>
          </w:rPr>
          <w:fldChar w:fldCharType="begin"/>
        </w:r>
        <w:r w:rsidR="0050673C">
          <w:rPr>
            <w:noProof/>
            <w:webHidden/>
          </w:rPr>
          <w:instrText xml:space="preserve"> PAGEREF _Toc468191438 \h </w:instrText>
        </w:r>
        <w:r w:rsidR="0050673C">
          <w:rPr>
            <w:noProof/>
            <w:webHidden/>
          </w:rPr>
        </w:r>
        <w:r w:rsidR="0050673C">
          <w:rPr>
            <w:noProof/>
            <w:webHidden/>
          </w:rPr>
          <w:fldChar w:fldCharType="separate"/>
        </w:r>
        <w:r w:rsidR="00A50AE4">
          <w:rPr>
            <w:noProof/>
            <w:webHidden/>
          </w:rPr>
          <w:t>42</w:t>
        </w:r>
        <w:r w:rsidR="0050673C">
          <w:rPr>
            <w:noProof/>
            <w:webHidden/>
          </w:rPr>
          <w:fldChar w:fldCharType="end"/>
        </w:r>
      </w:hyperlink>
    </w:p>
    <w:p w14:paraId="1EAC7406"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39" w:history="1">
        <w:r w:rsidR="0050673C" w:rsidRPr="00AC1453">
          <w:rPr>
            <w:rStyle w:val="Hiperhivatkozs"/>
            <w:noProof/>
          </w:rPr>
          <w:t>V.1.5.3</w:t>
        </w:r>
        <w:r w:rsidR="0050673C">
          <w:rPr>
            <w:rFonts w:asciiTheme="minorHAnsi" w:eastAsiaTheme="minorEastAsia" w:hAnsiTheme="minorHAnsi" w:cstheme="minorBidi"/>
            <w:noProof/>
            <w:color w:val="auto"/>
          </w:rPr>
          <w:tab/>
        </w:r>
        <w:r w:rsidR="0050673C" w:rsidRPr="00AC1453">
          <w:rPr>
            <w:rStyle w:val="Hiperhivatkozs"/>
            <w:noProof/>
          </w:rPr>
          <w:t>Elérni kívánt kockázati szerkezet</w:t>
        </w:r>
        <w:r w:rsidR="0050673C">
          <w:rPr>
            <w:noProof/>
            <w:webHidden/>
          </w:rPr>
          <w:tab/>
        </w:r>
        <w:r w:rsidR="0050673C">
          <w:rPr>
            <w:noProof/>
            <w:webHidden/>
          </w:rPr>
          <w:fldChar w:fldCharType="begin"/>
        </w:r>
        <w:r w:rsidR="0050673C">
          <w:rPr>
            <w:noProof/>
            <w:webHidden/>
          </w:rPr>
          <w:instrText xml:space="preserve"> PAGEREF _Toc468191439 \h </w:instrText>
        </w:r>
        <w:r w:rsidR="0050673C">
          <w:rPr>
            <w:noProof/>
            <w:webHidden/>
          </w:rPr>
        </w:r>
        <w:r w:rsidR="0050673C">
          <w:rPr>
            <w:noProof/>
            <w:webHidden/>
          </w:rPr>
          <w:fldChar w:fldCharType="separate"/>
        </w:r>
        <w:r w:rsidR="00A50AE4">
          <w:rPr>
            <w:noProof/>
            <w:webHidden/>
          </w:rPr>
          <w:t>43</w:t>
        </w:r>
        <w:r w:rsidR="0050673C">
          <w:rPr>
            <w:noProof/>
            <w:webHidden/>
          </w:rPr>
          <w:fldChar w:fldCharType="end"/>
        </w:r>
      </w:hyperlink>
    </w:p>
    <w:p w14:paraId="58EBC4FF"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0" w:history="1">
        <w:r w:rsidR="0050673C" w:rsidRPr="00AC1453">
          <w:rPr>
            <w:rStyle w:val="Hiperhivatkozs"/>
            <w:noProof/>
          </w:rPr>
          <w:t>V.1.5.4</w:t>
        </w:r>
        <w:r w:rsidR="0050673C">
          <w:rPr>
            <w:rFonts w:asciiTheme="minorHAnsi" w:eastAsiaTheme="minorEastAsia" w:hAnsiTheme="minorHAnsi" w:cstheme="minorBidi"/>
            <w:noProof/>
            <w:color w:val="auto"/>
          </w:rPr>
          <w:tab/>
        </w:r>
        <w:r w:rsidR="0050673C" w:rsidRPr="00AC1453">
          <w:rPr>
            <w:rStyle w:val="Hiperhivatkozs"/>
            <w:noProof/>
          </w:rPr>
          <w:t>Kockázatkezelési folyamat lépései</w:t>
        </w:r>
        <w:r w:rsidR="0050673C">
          <w:rPr>
            <w:noProof/>
            <w:webHidden/>
          </w:rPr>
          <w:tab/>
        </w:r>
        <w:r w:rsidR="0050673C">
          <w:rPr>
            <w:noProof/>
            <w:webHidden/>
          </w:rPr>
          <w:fldChar w:fldCharType="begin"/>
        </w:r>
        <w:r w:rsidR="0050673C">
          <w:rPr>
            <w:noProof/>
            <w:webHidden/>
          </w:rPr>
          <w:instrText xml:space="preserve"> PAGEREF _Toc468191440 \h </w:instrText>
        </w:r>
        <w:r w:rsidR="0050673C">
          <w:rPr>
            <w:noProof/>
            <w:webHidden/>
          </w:rPr>
        </w:r>
        <w:r w:rsidR="0050673C">
          <w:rPr>
            <w:noProof/>
            <w:webHidden/>
          </w:rPr>
          <w:fldChar w:fldCharType="separate"/>
        </w:r>
        <w:r w:rsidR="00A50AE4">
          <w:rPr>
            <w:noProof/>
            <w:webHidden/>
          </w:rPr>
          <w:t>43</w:t>
        </w:r>
        <w:r w:rsidR="0050673C">
          <w:rPr>
            <w:noProof/>
            <w:webHidden/>
          </w:rPr>
          <w:fldChar w:fldCharType="end"/>
        </w:r>
      </w:hyperlink>
    </w:p>
    <w:p w14:paraId="67F15B07" w14:textId="77777777" w:rsidR="0050673C" w:rsidRDefault="009D3208">
      <w:pPr>
        <w:pStyle w:val="TJ2"/>
        <w:tabs>
          <w:tab w:val="left" w:pos="880"/>
        </w:tabs>
        <w:rPr>
          <w:rFonts w:asciiTheme="minorHAnsi" w:eastAsiaTheme="minorEastAsia" w:hAnsiTheme="minorHAnsi" w:cstheme="minorBidi"/>
          <w:color w:val="auto"/>
        </w:rPr>
      </w:pPr>
      <w:hyperlink w:anchor="_Toc468191441" w:history="1">
        <w:r w:rsidR="0050673C" w:rsidRPr="00AC1453">
          <w:rPr>
            <w:rStyle w:val="Hiperhivatkozs"/>
          </w:rPr>
          <w:t>V.2</w:t>
        </w:r>
        <w:r w:rsidR="0050673C">
          <w:rPr>
            <w:rFonts w:asciiTheme="minorHAnsi" w:eastAsiaTheme="minorEastAsia" w:hAnsiTheme="minorHAnsi" w:cstheme="minorBidi"/>
            <w:color w:val="auto"/>
          </w:rPr>
          <w:tab/>
        </w:r>
        <w:r w:rsidR="0050673C" w:rsidRPr="00AC1453">
          <w:rPr>
            <w:rStyle w:val="Hiperhivatkozs"/>
          </w:rPr>
          <w:t>Lényeges kockázatok értékelése</w:t>
        </w:r>
        <w:r w:rsidR="0050673C">
          <w:rPr>
            <w:webHidden/>
          </w:rPr>
          <w:tab/>
        </w:r>
        <w:r w:rsidR="0050673C">
          <w:rPr>
            <w:webHidden/>
          </w:rPr>
          <w:fldChar w:fldCharType="begin"/>
        </w:r>
        <w:r w:rsidR="0050673C">
          <w:rPr>
            <w:webHidden/>
          </w:rPr>
          <w:instrText xml:space="preserve"> PAGEREF _Toc468191441 \h </w:instrText>
        </w:r>
        <w:r w:rsidR="0050673C">
          <w:rPr>
            <w:webHidden/>
          </w:rPr>
        </w:r>
        <w:r w:rsidR="0050673C">
          <w:rPr>
            <w:webHidden/>
          </w:rPr>
          <w:fldChar w:fldCharType="separate"/>
        </w:r>
        <w:r w:rsidR="00A50AE4">
          <w:rPr>
            <w:webHidden/>
          </w:rPr>
          <w:t>45</w:t>
        </w:r>
        <w:r w:rsidR="0050673C">
          <w:rPr>
            <w:webHidden/>
          </w:rPr>
          <w:fldChar w:fldCharType="end"/>
        </w:r>
      </w:hyperlink>
    </w:p>
    <w:p w14:paraId="313E0711" w14:textId="77777777" w:rsidR="0050673C" w:rsidRDefault="009D3208">
      <w:pPr>
        <w:pStyle w:val="TJ3"/>
        <w:tabs>
          <w:tab w:val="left" w:pos="1320"/>
        </w:tabs>
        <w:rPr>
          <w:rFonts w:asciiTheme="minorHAnsi" w:eastAsiaTheme="minorEastAsia" w:hAnsiTheme="minorHAnsi" w:cstheme="minorBidi"/>
          <w:noProof/>
          <w:color w:val="auto"/>
        </w:rPr>
      </w:pPr>
      <w:hyperlink w:anchor="_Toc468191442" w:history="1">
        <w:r w:rsidR="0050673C" w:rsidRPr="00AC1453">
          <w:rPr>
            <w:rStyle w:val="Hiperhivatkozs"/>
            <w:noProof/>
          </w:rPr>
          <w:t>V.2.1</w:t>
        </w:r>
        <w:r w:rsidR="0050673C">
          <w:rPr>
            <w:rFonts w:asciiTheme="minorHAnsi" w:eastAsiaTheme="minorEastAsia" w:hAnsiTheme="minorHAnsi" w:cstheme="minorBidi"/>
            <w:noProof/>
            <w:color w:val="auto"/>
          </w:rPr>
          <w:tab/>
        </w:r>
        <w:r w:rsidR="0050673C" w:rsidRPr="00AC1453">
          <w:rPr>
            <w:rStyle w:val="Hiperhivatkozs"/>
            <w:noProof/>
          </w:rPr>
          <w:t>Hitelkockázat</w:t>
        </w:r>
        <w:r w:rsidR="0050673C">
          <w:rPr>
            <w:noProof/>
            <w:webHidden/>
          </w:rPr>
          <w:tab/>
        </w:r>
        <w:r w:rsidR="0050673C">
          <w:rPr>
            <w:noProof/>
            <w:webHidden/>
          </w:rPr>
          <w:fldChar w:fldCharType="begin"/>
        </w:r>
        <w:r w:rsidR="0050673C">
          <w:rPr>
            <w:noProof/>
            <w:webHidden/>
          </w:rPr>
          <w:instrText xml:space="preserve"> PAGEREF _Toc468191442 \h </w:instrText>
        </w:r>
        <w:r w:rsidR="0050673C">
          <w:rPr>
            <w:noProof/>
            <w:webHidden/>
          </w:rPr>
        </w:r>
        <w:r w:rsidR="0050673C">
          <w:rPr>
            <w:noProof/>
            <w:webHidden/>
          </w:rPr>
          <w:fldChar w:fldCharType="separate"/>
        </w:r>
        <w:r w:rsidR="00A50AE4">
          <w:rPr>
            <w:noProof/>
            <w:webHidden/>
          </w:rPr>
          <w:t>46</w:t>
        </w:r>
        <w:r w:rsidR="0050673C">
          <w:rPr>
            <w:noProof/>
            <w:webHidden/>
          </w:rPr>
          <w:fldChar w:fldCharType="end"/>
        </w:r>
      </w:hyperlink>
    </w:p>
    <w:p w14:paraId="33A1E3C1"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3" w:history="1">
        <w:r w:rsidR="0050673C" w:rsidRPr="00AC1453">
          <w:rPr>
            <w:rStyle w:val="Hiperhivatkozs"/>
            <w:noProof/>
          </w:rPr>
          <w:t>V.2.1.1</w:t>
        </w:r>
        <w:r w:rsidR="0050673C">
          <w:rPr>
            <w:rFonts w:asciiTheme="minorHAnsi" w:eastAsiaTheme="minorEastAsia" w:hAnsiTheme="minorHAnsi" w:cstheme="minorBidi"/>
            <w:noProof/>
            <w:color w:val="auto"/>
          </w:rPr>
          <w:tab/>
        </w:r>
        <w:r w:rsidR="0050673C" w:rsidRPr="00AC1453">
          <w:rPr>
            <w:rStyle w:val="Hiperhivatkozs"/>
            <w:noProof/>
          </w:rPr>
          <w:t>A hitelkockázati modell feltevései</w:t>
        </w:r>
        <w:r w:rsidR="0050673C">
          <w:rPr>
            <w:noProof/>
            <w:webHidden/>
          </w:rPr>
          <w:tab/>
        </w:r>
        <w:r w:rsidR="0050673C">
          <w:rPr>
            <w:noProof/>
            <w:webHidden/>
          </w:rPr>
          <w:fldChar w:fldCharType="begin"/>
        </w:r>
        <w:r w:rsidR="0050673C">
          <w:rPr>
            <w:noProof/>
            <w:webHidden/>
          </w:rPr>
          <w:instrText xml:space="preserve"> PAGEREF _Toc468191443 \h </w:instrText>
        </w:r>
        <w:r w:rsidR="0050673C">
          <w:rPr>
            <w:noProof/>
            <w:webHidden/>
          </w:rPr>
        </w:r>
        <w:r w:rsidR="0050673C">
          <w:rPr>
            <w:noProof/>
            <w:webHidden/>
          </w:rPr>
          <w:fldChar w:fldCharType="separate"/>
        </w:r>
        <w:r w:rsidR="00A50AE4">
          <w:rPr>
            <w:noProof/>
            <w:webHidden/>
          </w:rPr>
          <w:t>48</w:t>
        </w:r>
        <w:r w:rsidR="0050673C">
          <w:rPr>
            <w:noProof/>
            <w:webHidden/>
          </w:rPr>
          <w:fldChar w:fldCharType="end"/>
        </w:r>
      </w:hyperlink>
    </w:p>
    <w:p w14:paraId="64AB2F04"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4" w:history="1">
        <w:r w:rsidR="0050673C" w:rsidRPr="00AC1453">
          <w:rPr>
            <w:rStyle w:val="Hiperhivatkozs"/>
            <w:noProof/>
          </w:rPr>
          <w:t>V.2.1.2</w:t>
        </w:r>
        <w:r w:rsidR="0050673C">
          <w:rPr>
            <w:rFonts w:asciiTheme="minorHAnsi" w:eastAsiaTheme="minorEastAsia" w:hAnsiTheme="minorHAnsi" w:cstheme="minorBidi"/>
            <w:noProof/>
            <w:color w:val="auto"/>
          </w:rPr>
          <w:tab/>
        </w:r>
        <w:r w:rsidR="0050673C" w:rsidRPr="00AC1453">
          <w:rPr>
            <w:rStyle w:val="Hiperhivatkozs"/>
            <w:noProof/>
          </w:rPr>
          <w:t>Modellekkel kapcsolatos alapvető elvárások</w:t>
        </w:r>
        <w:r w:rsidR="0050673C">
          <w:rPr>
            <w:noProof/>
            <w:webHidden/>
          </w:rPr>
          <w:tab/>
        </w:r>
        <w:r w:rsidR="0050673C">
          <w:rPr>
            <w:noProof/>
            <w:webHidden/>
          </w:rPr>
          <w:fldChar w:fldCharType="begin"/>
        </w:r>
        <w:r w:rsidR="0050673C">
          <w:rPr>
            <w:noProof/>
            <w:webHidden/>
          </w:rPr>
          <w:instrText xml:space="preserve"> PAGEREF _Toc468191444 \h </w:instrText>
        </w:r>
        <w:r w:rsidR="0050673C">
          <w:rPr>
            <w:noProof/>
            <w:webHidden/>
          </w:rPr>
        </w:r>
        <w:r w:rsidR="0050673C">
          <w:rPr>
            <w:noProof/>
            <w:webHidden/>
          </w:rPr>
          <w:fldChar w:fldCharType="separate"/>
        </w:r>
        <w:r w:rsidR="00A50AE4">
          <w:rPr>
            <w:noProof/>
            <w:webHidden/>
          </w:rPr>
          <w:t>49</w:t>
        </w:r>
        <w:r w:rsidR="0050673C">
          <w:rPr>
            <w:noProof/>
            <w:webHidden/>
          </w:rPr>
          <w:fldChar w:fldCharType="end"/>
        </w:r>
      </w:hyperlink>
    </w:p>
    <w:p w14:paraId="1637865F"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5" w:history="1">
        <w:r w:rsidR="0050673C" w:rsidRPr="00AC1453">
          <w:rPr>
            <w:rStyle w:val="Hiperhivatkozs"/>
            <w:noProof/>
          </w:rPr>
          <w:t>V.2.1.3</w:t>
        </w:r>
        <w:r w:rsidR="0050673C">
          <w:rPr>
            <w:rFonts w:asciiTheme="minorHAnsi" w:eastAsiaTheme="minorEastAsia" w:hAnsiTheme="minorHAnsi" w:cstheme="minorBidi"/>
            <w:noProof/>
            <w:color w:val="auto"/>
          </w:rPr>
          <w:tab/>
        </w:r>
        <w:r w:rsidR="0050673C" w:rsidRPr="00AC1453">
          <w:rPr>
            <w:rStyle w:val="Hiperhivatkozs"/>
            <w:noProof/>
          </w:rPr>
          <w:t>Minősítő rendszerek</w:t>
        </w:r>
        <w:r w:rsidR="0050673C">
          <w:rPr>
            <w:noProof/>
            <w:webHidden/>
          </w:rPr>
          <w:tab/>
        </w:r>
        <w:r w:rsidR="0050673C">
          <w:rPr>
            <w:noProof/>
            <w:webHidden/>
          </w:rPr>
          <w:fldChar w:fldCharType="begin"/>
        </w:r>
        <w:r w:rsidR="0050673C">
          <w:rPr>
            <w:noProof/>
            <w:webHidden/>
          </w:rPr>
          <w:instrText xml:space="preserve"> PAGEREF _Toc468191445 \h </w:instrText>
        </w:r>
        <w:r w:rsidR="0050673C">
          <w:rPr>
            <w:noProof/>
            <w:webHidden/>
          </w:rPr>
        </w:r>
        <w:r w:rsidR="0050673C">
          <w:rPr>
            <w:noProof/>
            <w:webHidden/>
          </w:rPr>
          <w:fldChar w:fldCharType="separate"/>
        </w:r>
        <w:r w:rsidR="00A50AE4">
          <w:rPr>
            <w:noProof/>
            <w:webHidden/>
          </w:rPr>
          <w:t>50</w:t>
        </w:r>
        <w:r w:rsidR="0050673C">
          <w:rPr>
            <w:noProof/>
            <w:webHidden/>
          </w:rPr>
          <w:fldChar w:fldCharType="end"/>
        </w:r>
      </w:hyperlink>
    </w:p>
    <w:p w14:paraId="6B2A9CC9"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6" w:history="1">
        <w:r w:rsidR="0050673C" w:rsidRPr="00AC1453">
          <w:rPr>
            <w:rStyle w:val="Hiperhivatkozs"/>
            <w:noProof/>
          </w:rPr>
          <w:t>V.2.1.4</w:t>
        </w:r>
        <w:r w:rsidR="0050673C">
          <w:rPr>
            <w:rFonts w:asciiTheme="minorHAnsi" w:eastAsiaTheme="minorEastAsia" w:hAnsiTheme="minorHAnsi" w:cstheme="minorBidi"/>
            <w:noProof/>
            <w:color w:val="auto"/>
          </w:rPr>
          <w:tab/>
        </w:r>
        <w:r w:rsidR="0050673C" w:rsidRPr="00AC1453">
          <w:rPr>
            <w:rStyle w:val="Hiperhivatkozs"/>
            <w:noProof/>
          </w:rPr>
          <w:t>A nemteljesítéskori veszteségráta becslése</w:t>
        </w:r>
        <w:r w:rsidR="0050673C">
          <w:rPr>
            <w:noProof/>
            <w:webHidden/>
          </w:rPr>
          <w:tab/>
        </w:r>
        <w:r w:rsidR="0050673C">
          <w:rPr>
            <w:noProof/>
            <w:webHidden/>
          </w:rPr>
          <w:fldChar w:fldCharType="begin"/>
        </w:r>
        <w:r w:rsidR="0050673C">
          <w:rPr>
            <w:noProof/>
            <w:webHidden/>
          </w:rPr>
          <w:instrText xml:space="preserve"> PAGEREF _Toc468191446 \h </w:instrText>
        </w:r>
        <w:r w:rsidR="0050673C">
          <w:rPr>
            <w:noProof/>
            <w:webHidden/>
          </w:rPr>
        </w:r>
        <w:r w:rsidR="0050673C">
          <w:rPr>
            <w:noProof/>
            <w:webHidden/>
          </w:rPr>
          <w:fldChar w:fldCharType="separate"/>
        </w:r>
        <w:r w:rsidR="00A50AE4">
          <w:rPr>
            <w:noProof/>
            <w:webHidden/>
          </w:rPr>
          <w:t>51</w:t>
        </w:r>
        <w:r w:rsidR="0050673C">
          <w:rPr>
            <w:noProof/>
            <w:webHidden/>
          </w:rPr>
          <w:fldChar w:fldCharType="end"/>
        </w:r>
      </w:hyperlink>
    </w:p>
    <w:p w14:paraId="5CCDC6A6"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7" w:history="1">
        <w:r w:rsidR="0050673C" w:rsidRPr="00AC1453">
          <w:rPr>
            <w:rStyle w:val="Hiperhivatkozs"/>
            <w:noProof/>
          </w:rPr>
          <w:t>V.2.1.5</w:t>
        </w:r>
        <w:r w:rsidR="0050673C">
          <w:rPr>
            <w:rFonts w:asciiTheme="minorHAnsi" w:eastAsiaTheme="minorEastAsia" w:hAnsiTheme="minorHAnsi" w:cstheme="minorBidi"/>
            <w:noProof/>
            <w:color w:val="auto"/>
          </w:rPr>
          <w:tab/>
        </w:r>
        <w:r w:rsidR="0050673C" w:rsidRPr="00AC1453">
          <w:rPr>
            <w:rStyle w:val="Hiperhivatkozs"/>
            <w:noProof/>
          </w:rPr>
          <w:t>Lakossági jelzálog LGD – felügyeleti benchmark</w:t>
        </w:r>
        <w:r w:rsidR="0050673C">
          <w:rPr>
            <w:noProof/>
            <w:webHidden/>
          </w:rPr>
          <w:tab/>
        </w:r>
        <w:r w:rsidR="0050673C">
          <w:rPr>
            <w:noProof/>
            <w:webHidden/>
          </w:rPr>
          <w:fldChar w:fldCharType="begin"/>
        </w:r>
        <w:r w:rsidR="0050673C">
          <w:rPr>
            <w:noProof/>
            <w:webHidden/>
          </w:rPr>
          <w:instrText xml:space="preserve"> PAGEREF _Toc468191447 \h </w:instrText>
        </w:r>
        <w:r w:rsidR="0050673C">
          <w:rPr>
            <w:noProof/>
            <w:webHidden/>
          </w:rPr>
        </w:r>
        <w:r w:rsidR="0050673C">
          <w:rPr>
            <w:noProof/>
            <w:webHidden/>
          </w:rPr>
          <w:fldChar w:fldCharType="separate"/>
        </w:r>
        <w:r w:rsidR="00A50AE4">
          <w:rPr>
            <w:noProof/>
            <w:webHidden/>
          </w:rPr>
          <w:t>53</w:t>
        </w:r>
        <w:r w:rsidR="0050673C">
          <w:rPr>
            <w:noProof/>
            <w:webHidden/>
          </w:rPr>
          <w:fldChar w:fldCharType="end"/>
        </w:r>
      </w:hyperlink>
    </w:p>
    <w:p w14:paraId="5D4AC344"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8" w:history="1">
        <w:r w:rsidR="0050673C" w:rsidRPr="00AC1453">
          <w:rPr>
            <w:rStyle w:val="Hiperhivatkozs"/>
            <w:noProof/>
          </w:rPr>
          <w:t>V.2.1.6</w:t>
        </w:r>
        <w:r w:rsidR="0050673C">
          <w:rPr>
            <w:rFonts w:asciiTheme="minorHAnsi" w:eastAsiaTheme="minorEastAsia" w:hAnsiTheme="minorHAnsi" w:cstheme="minorBidi"/>
            <w:noProof/>
            <w:color w:val="auto"/>
          </w:rPr>
          <w:tab/>
        </w:r>
        <w:r w:rsidR="0050673C" w:rsidRPr="00AC1453">
          <w:rPr>
            <w:rStyle w:val="Hiperhivatkozs"/>
            <w:noProof/>
          </w:rPr>
          <w:t>Nemteljesítő tételek, várható veszteség és értékvesztés</w:t>
        </w:r>
        <w:r w:rsidR="0050673C">
          <w:rPr>
            <w:noProof/>
            <w:webHidden/>
          </w:rPr>
          <w:tab/>
        </w:r>
        <w:r w:rsidR="0050673C">
          <w:rPr>
            <w:noProof/>
            <w:webHidden/>
          </w:rPr>
          <w:fldChar w:fldCharType="begin"/>
        </w:r>
        <w:r w:rsidR="0050673C">
          <w:rPr>
            <w:noProof/>
            <w:webHidden/>
          </w:rPr>
          <w:instrText xml:space="preserve"> PAGEREF _Toc468191448 \h </w:instrText>
        </w:r>
        <w:r w:rsidR="0050673C">
          <w:rPr>
            <w:noProof/>
            <w:webHidden/>
          </w:rPr>
        </w:r>
        <w:r w:rsidR="0050673C">
          <w:rPr>
            <w:noProof/>
            <w:webHidden/>
          </w:rPr>
          <w:fldChar w:fldCharType="separate"/>
        </w:r>
        <w:r w:rsidR="00A50AE4">
          <w:rPr>
            <w:noProof/>
            <w:webHidden/>
          </w:rPr>
          <w:t>54</w:t>
        </w:r>
        <w:r w:rsidR="0050673C">
          <w:rPr>
            <w:noProof/>
            <w:webHidden/>
          </w:rPr>
          <w:fldChar w:fldCharType="end"/>
        </w:r>
      </w:hyperlink>
    </w:p>
    <w:p w14:paraId="1831F64D"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49" w:history="1">
        <w:r w:rsidR="0050673C" w:rsidRPr="00AC1453">
          <w:rPr>
            <w:rStyle w:val="Hiperhivatkozs"/>
            <w:noProof/>
          </w:rPr>
          <w:t>V.2.1.7</w:t>
        </w:r>
        <w:r w:rsidR="0050673C">
          <w:rPr>
            <w:rFonts w:asciiTheme="minorHAnsi" w:eastAsiaTheme="minorEastAsia" w:hAnsiTheme="minorHAnsi" w:cstheme="minorBidi"/>
            <w:noProof/>
            <w:color w:val="auto"/>
          </w:rPr>
          <w:tab/>
        </w:r>
        <w:r w:rsidR="0050673C" w:rsidRPr="00AC1453">
          <w:rPr>
            <w:rStyle w:val="Hiperhivatkozs"/>
            <w:noProof/>
          </w:rPr>
          <w:t>Részesedések (Részvényjellegű kitettségek)</w:t>
        </w:r>
        <w:r w:rsidR="0050673C">
          <w:rPr>
            <w:noProof/>
            <w:webHidden/>
          </w:rPr>
          <w:tab/>
        </w:r>
        <w:r w:rsidR="0050673C">
          <w:rPr>
            <w:noProof/>
            <w:webHidden/>
          </w:rPr>
          <w:fldChar w:fldCharType="begin"/>
        </w:r>
        <w:r w:rsidR="0050673C">
          <w:rPr>
            <w:noProof/>
            <w:webHidden/>
          </w:rPr>
          <w:instrText xml:space="preserve"> PAGEREF _Toc468191449 \h </w:instrText>
        </w:r>
        <w:r w:rsidR="0050673C">
          <w:rPr>
            <w:noProof/>
            <w:webHidden/>
          </w:rPr>
        </w:r>
        <w:r w:rsidR="0050673C">
          <w:rPr>
            <w:noProof/>
            <w:webHidden/>
          </w:rPr>
          <w:fldChar w:fldCharType="separate"/>
        </w:r>
        <w:r w:rsidR="00A50AE4">
          <w:rPr>
            <w:noProof/>
            <w:webHidden/>
          </w:rPr>
          <w:t>55</w:t>
        </w:r>
        <w:r w:rsidR="0050673C">
          <w:rPr>
            <w:noProof/>
            <w:webHidden/>
          </w:rPr>
          <w:fldChar w:fldCharType="end"/>
        </w:r>
      </w:hyperlink>
    </w:p>
    <w:p w14:paraId="4FC29F58"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0" w:history="1">
        <w:r w:rsidR="0050673C" w:rsidRPr="00AC1453">
          <w:rPr>
            <w:rStyle w:val="Hiperhivatkozs"/>
            <w:noProof/>
          </w:rPr>
          <w:t>V.2.1.8</w:t>
        </w:r>
        <w:r w:rsidR="0050673C">
          <w:rPr>
            <w:rFonts w:asciiTheme="minorHAnsi" w:eastAsiaTheme="minorEastAsia" w:hAnsiTheme="minorHAnsi" w:cstheme="minorBidi"/>
            <w:noProof/>
            <w:color w:val="auto"/>
          </w:rPr>
          <w:tab/>
        </w:r>
        <w:r w:rsidR="0050673C" w:rsidRPr="00AC1453">
          <w:rPr>
            <w:rStyle w:val="Hiperhivatkozs"/>
            <w:noProof/>
          </w:rPr>
          <w:t>Speciális hitelezési kitettségek</w:t>
        </w:r>
        <w:r w:rsidR="0050673C">
          <w:rPr>
            <w:noProof/>
            <w:webHidden/>
          </w:rPr>
          <w:tab/>
        </w:r>
        <w:r w:rsidR="0050673C">
          <w:rPr>
            <w:noProof/>
            <w:webHidden/>
          </w:rPr>
          <w:fldChar w:fldCharType="begin"/>
        </w:r>
        <w:r w:rsidR="0050673C">
          <w:rPr>
            <w:noProof/>
            <w:webHidden/>
          </w:rPr>
          <w:instrText xml:space="preserve"> PAGEREF _Toc468191450 \h </w:instrText>
        </w:r>
        <w:r w:rsidR="0050673C">
          <w:rPr>
            <w:noProof/>
            <w:webHidden/>
          </w:rPr>
        </w:r>
        <w:r w:rsidR="0050673C">
          <w:rPr>
            <w:noProof/>
            <w:webHidden/>
          </w:rPr>
          <w:fldChar w:fldCharType="separate"/>
        </w:r>
        <w:r w:rsidR="00A50AE4">
          <w:rPr>
            <w:noProof/>
            <w:webHidden/>
          </w:rPr>
          <w:t>56</w:t>
        </w:r>
        <w:r w:rsidR="0050673C">
          <w:rPr>
            <w:noProof/>
            <w:webHidden/>
          </w:rPr>
          <w:fldChar w:fldCharType="end"/>
        </w:r>
      </w:hyperlink>
    </w:p>
    <w:p w14:paraId="7867D5B9" w14:textId="169988FC"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1" w:history="1">
        <w:r w:rsidR="0050673C" w:rsidRPr="00AC1453">
          <w:rPr>
            <w:rStyle w:val="Hiperhivatkozs"/>
            <w:noProof/>
          </w:rPr>
          <w:t>V.2.1.9</w:t>
        </w:r>
        <w:r w:rsidR="0050673C">
          <w:rPr>
            <w:rFonts w:asciiTheme="minorHAnsi" w:eastAsiaTheme="minorEastAsia" w:hAnsiTheme="minorHAnsi" w:cstheme="minorBidi"/>
            <w:noProof/>
            <w:color w:val="auto"/>
          </w:rPr>
          <w:tab/>
        </w:r>
        <w:r w:rsidR="0050673C" w:rsidRPr="00AC1453">
          <w:rPr>
            <w:rStyle w:val="Hiperhivatkozs"/>
            <w:noProof/>
          </w:rPr>
          <w:t>Mérlegen kívüli tételek kezelése</w:t>
        </w:r>
        <w:r w:rsidR="0050673C">
          <w:rPr>
            <w:noProof/>
            <w:webHidden/>
          </w:rPr>
          <w:tab/>
        </w:r>
        <w:r w:rsidR="0050673C">
          <w:rPr>
            <w:noProof/>
            <w:webHidden/>
          </w:rPr>
          <w:fldChar w:fldCharType="begin"/>
        </w:r>
        <w:r w:rsidR="0050673C">
          <w:rPr>
            <w:noProof/>
            <w:webHidden/>
          </w:rPr>
          <w:instrText xml:space="preserve"> PAGEREF _Toc468191451 \h </w:instrText>
        </w:r>
        <w:r w:rsidR="0050673C">
          <w:rPr>
            <w:noProof/>
            <w:webHidden/>
          </w:rPr>
        </w:r>
        <w:r w:rsidR="0050673C">
          <w:rPr>
            <w:noProof/>
            <w:webHidden/>
          </w:rPr>
          <w:fldChar w:fldCharType="separate"/>
        </w:r>
        <w:r w:rsidR="00A50AE4">
          <w:rPr>
            <w:noProof/>
            <w:webHidden/>
          </w:rPr>
          <w:t>58</w:t>
        </w:r>
        <w:r w:rsidR="0050673C">
          <w:rPr>
            <w:noProof/>
            <w:webHidden/>
          </w:rPr>
          <w:fldChar w:fldCharType="end"/>
        </w:r>
      </w:hyperlink>
    </w:p>
    <w:p w14:paraId="427F037B"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2" w:history="1">
        <w:r w:rsidR="0050673C" w:rsidRPr="00AC1453">
          <w:rPr>
            <w:rStyle w:val="Hiperhivatkozs"/>
            <w:noProof/>
          </w:rPr>
          <w:t>V.2.1.10</w:t>
        </w:r>
        <w:r w:rsidR="0050673C">
          <w:rPr>
            <w:rFonts w:asciiTheme="minorHAnsi" w:eastAsiaTheme="minorEastAsia" w:hAnsiTheme="minorHAnsi" w:cstheme="minorBidi"/>
            <w:noProof/>
            <w:color w:val="auto"/>
          </w:rPr>
          <w:tab/>
        </w:r>
        <w:r w:rsidR="0050673C" w:rsidRPr="00AC1453">
          <w:rPr>
            <w:rStyle w:val="Hiperhivatkozs"/>
            <w:noProof/>
          </w:rPr>
          <w:t>Partnerkockázat</w:t>
        </w:r>
        <w:r w:rsidR="0050673C">
          <w:rPr>
            <w:noProof/>
            <w:webHidden/>
          </w:rPr>
          <w:tab/>
        </w:r>
        <w:r w:rsidR="0050673C">
          <w:rPr>
            <w:noProof/>
            <w:webHidden/>
          </w:rPr>
          <w:fldChar w:fldCharType="begin"/>
        </w:r>
        <w:r w:rsidR="0050673C">
          <w:rPr>
            <w:noProof/>
            <w:webHidden/>
          </w:rPr>
          <w:instrText xml:space="preserve"> PAGEREF _Toc468191452 \h </w:instrText>
        </w:r>
        <w:r w:rsidR="0050673C">
          <w:rPr>
            <w:noProof/>
            <w:webHidden/>
          </w:rPr>
        </w:r>
        <w:r w:rsidR="0050673C">
          <w:rPr>
            <w:noProof/>
            <w:webHidden/>
          </w:rPr>
          <w:fldChar w:fldCharType="separate"/>
        </w:r>
        <w:r w:rsidR="00A50AE4">
          <w:rPr>
            <w:noProof/>
            <w:webHidden/>
          </w:rPr>
          <w:t>59</w:t>
        </w:r>
        <w:r w:rsidR="0050673C">
          <w:rPr>
            <w:noProof/>
            <w:webHidden/>
          </w:rPr>
          <w:fldChar w:fldCharType="end"/>
        </w:r>
      </w:hyperlink>
    </w:p>
    <w:p w14:paraId="1DB56778"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3" w:history="1">
        <w:r w:rsidR="0050673C" w:rsidRPr="00AC1453">
          <w:rPr>
            <w:rStyle w:val="Hiperhivatkozs"/>
            <w:noProof/>
          </w:rPr>
          <w:t>V.2.1.11</w:t>
        </w:r>
        <w:r w:rsidR="0050673C">
          <w:rPr>
            <w:rFonts w:asciiTheme="minorHAnsi" w:eastAsiaTheme="minorEastAsia" w:hAnsiTheme="minorHAnsi" w:cstheme="minorBidi"/>
            <w:noProof/>
            <w:color w:val="auto"/>
          </w:rPr>
          <w:tab/>
        </w:r>
        <w:r w:rsidR="0050673C" w:rsidRPr="00AC1453">
          <w:rPr>
            <w:rStyle w:val="Hiperhivatkozs"/>
            <w:noProof/>
          </w:rPr>
          <w:t>A White Label szerződések partnerkockázata a befektetési vállalkozásoknál</w:t>
        </w:r>
        <w:r w:rsidR="0050673C">
          <w:rPr>
            <w:noProof/>
            <w:webHidden/>
          </w:rPr>
          <w:tab/>
        </w:r>
        <w:r w:rsidR="0050673C">
          <w:rPr>
            <w:noProof/>
            <w:webHidden/>
          </w:rPr>
          <w:fldChar w:fldCharType="begin"/>
        </w:r>
        <w:r w:rsidR="0050673C">
          <w:rPr>
            <w:noProof/>
            <w:webHidden/>
          </w:rPr>
          <w:instrText xml:space="preserve"> PAGEREF _Toc468191453 \h </w:instrText>
        </w:r>
        <w:r w:rsidR="0050673C">
          <w:rPr>
            <w:noProof/>
            <w:webHidden/>
          </w:rPr>
        </w:r>
        <w:r w:rsidR="0050673C">
          <w:rPr>
            <w:noProof/>
            <w:webHidden/>
          </w:rPr>
          <w:fldChar w:fldCharType="separate"/>
        </w:r>
        <w:r w:rsidR="00A50AE4">
          <w:rPr>
            <w:noProof/>
            <w:webHidden/>
          </w:rPr>
          <w:t>60</w:t>
        </w:r>
        <w:r w:rsidR="0050673C">
          <w:rPr>
            <w:noProof/>
            <w:webHidden/>
          </w:rPr>
          <w:fldChar w:fldCharType="end"/>
        </w:r>
      </w:hyperlink>
    </w:p>
    <w:p w14:paraId="534F1BA4"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4" w:history="1">
        <w:r w:rsidR="0050673C" w:rsidRPr="00AC1453">
          <w:rPr>
            <w:rStyle w:val="Hiperhivatkozs"/>
            <w:noProof/>
          </w:rPr>
          <w:t>V.2.1.12</w:t>
        </w:r>
        <w:r w:rsidR="0050673C">
          <w:rPr>
            <w:rFonts w:asciiTheme="minorHAnsi" w:eastAsiaTheme="minorEastAsia" w:hAnsiTheme="minorHAnsi" w:cstheme="minorBidi"/>
            <w:noProof/>
            <w:color w:val="auto"/>
          </w:rPr>
          <w:tab/>
        </w:r>
        <w:r w:rsidR="0050673C" w:rsidRPr="00AC1453">
          <w:rPr>
            <w:rStyle w:val="Hiperhivatkozs"/>
            <w:noProof/>
          </w:rPr>
          <w:t>Hitelértékelési korrekciós kockázat (CVA)</w:t>
        </w:r>
        <w:r w:rsidR="0050673C">
          <w:rPr>
            <w:noProof/>
            <w:webHidden/>
          </w:rPr>
          <w:tab/>
        </w:r>
        <w:r w:rsidR="0050673C">
          <w:rPr>
            <w:noProof/>
            <w:webHidden/>
          </w:rPr>
          <w:fldChar w:fldCharType="begin"/>
        </w:r>
        <w:r w:rsidR="0050673C">
          <w:rPr>
            <w:noProof/>
            <w:webHidden/>
          </w:rPr>
          <w:instrText xml:space="preserve"> PAGEREF _Toc468191454 \h </w:instrText>
        </w:r>
        <w:r w:rsidR="0050673C">
          <w:rPr>
            <w:noProof/>
            <w:webHidden/>
          </w:rPr>
        </w:r>
        <w:r w:rsidR="0050673C">
          <w:rPr>
            <w:noProof/>
            <w:webHidden/>
          </w:rPr>
          <w:fldChar w:fldCharType="separate"/>
        </w:r>
        <w:r w:rsidR="00A50AE4">
          <w:rPr>
            <w:noProof/>
            <w:webHidden/>
          </w:rPr>
          <w:t>60</w:t>
        </w:r>
        <w:r w:rsidR="0050673C">
          <w:rPr>
            <w:noProof/>
            <w:webHidden/>
          </w:rPr>
          <w:fldChar w:fldCharType="end"/>
        </w:r>
      </w:hyperlink>
    </w:p>
    <w:p w14:paraId="1CE4537F"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5" w:history="1">
        <w:r w:rsidR="0050673C" w:rsidRPr="00AC1453">
          <w:rPr>
            <w:rStyle w:val="Hiperhivatkozs"/>
            <w:noProof/>
          </w:rPr>
          <w:t>V.2.1.13</w:t>
        </w:r>
        <w:r w:rsidR="0050673C">
          <w:rPr>
            <w:rFonts w:asciiTheme="minorHAnsi" w:eastAsiaTheme="minorEastAsia" w:hAnsiTheme="minorHAnsi" w:cstheme="minorBidi"/>
            <w:noProof/>
            <w:color w:val="auto"/>
          </w:rPr>
          <w:tab/>
        </w:r>
        <w:r w:rsidR="0050673C" w:rsidRPr="00AC1453">
          <w:rPr>
            <w:rStyle w:val="Hiperhivatkozs"/>
            <w:noProof/>
          </w:rPr>
          <w:t>Devizahitelezés kockázata</w:t>
        </w:r>
        <w:r w:rsidR="0050673C">
          <w:rPr>
            <w:noProof/>
            <w:webHidden/>
          </w:rPr>
          <w:tab/>
        </w:r>
        <w:r w:rsidR="0050673C">
          <w:rPr>
            <w:noProof/>
            <w:webHidden/>
          </w:rPr>
          <w:fldChar w:fldCharType="begin"/>
        </w:r>
        <w:r w:rsidR="0050673C">
          <w:rPr>
            <w:noProof/>
            <w:webHidden/>
          </w:rPr>
          <w:instrText xml:space="preserve"> PAGEREF _Toc468191455 \h </w:instrText>
        </w:r>
        <w:r w:rsidR="0050673C">
          <w:rPr>
            <w:noProof/>
            <w:webHidden/>
          </w:rPr>
        </w:r>
        <w:r w:rsidR="0050673C">
          <w:rPr>
            <w:noProof/>
            <w:webHidden/>
          </w:rPr>
          <w:fldChar w:fldCharType="separate"/>
        </w:r>
        <w:r w:rsidR="00A50AE4">
          <w:rPr>
            <w:noProof/>
            <w:webHidden/>
          </w:rPr>
          <w:t>61</w:t>
        </w:r>
        <w:r w:rsidR="0050673C">
          <w:rPr>
            <w:noProof/>
            <w:webHidden/>
          </w:rPr>
          <w:fldChar w:fldCharType="end"/>
        </w:r>
      </w:hyperlink>
    </w:p>
    <w:p w14:paraId="7E63FEB5"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6" w:history="1">
        <w:r w:rsidR="0050673C" w:rsidRPr="00AC1453">
          <w:rPr>
            <w:rStyle w:val="Hiperhivatkozs"/>
            <w:noProof/>
          </w:rPr>
          <w:t>V.2.1.14</w:t>
        </w:r>
        <w:r w:rsidR="0050673C">
          <w:rPr>
            <w:rFonts w:asciiTheme="minorHAnsi" w:eastAsiaTheme="minorEastAsia" w:hAnsiTheme="minorHAnsi" w:cstheme="minorBidi"/>
            <w:noProof/>
            <w:color w:val="auto"/>
          </w:rPr>
          <w:tab/>
        </w:r>
        <w:r w:rsidR="0050673C" w:rsidRPr="00AC1453">
          <w:rPr>
            <w:rStyle w:val="Hiperhivatkozs"/>
            <w:noProof/>
          </w:rPr>
          <w:t>Reziduális kockázat</w:t>
        </w:r>
        <w:r w:rsidR="0050673C">
          <w:rPr>
            <w:noProof/>
            <w:webHidden/>
          </w:rPr>
          <w:tab/>
        </w:r>
        <w:r w:rsidR="0050673C">
          <w:rPr>
            <w:noProof/>
            <w:webHidden/>
          </w:rPr>
          <w:fldChar w:fldCharType="begin"/>
        </w:r>
        <w:r w:rsidR="0050673C">
          <w:rPr>
            <w:noProof/>
            <w:webHidden/>
          </w:rPr>
          <w:instrText xml:space="preserve"> PAGEREF _Toc468191456 \h </w:instrText>
        </w:r>
        <w:r w:rsidR="0050673C">
          <w:rPr>
            <w:noProof/>
            <w:webHidden/>
          </w:rPr>
        </w:r>
        <w:r w:rsidR="0050673C">
          <w:rPr>
            <w:noProof/>
            <w:webHidden/>
          </w:rPr>
          <w:fldChar w:fldCharType="separate"/>
        </w:r>
        <w:r w:rsidR="00A50AE4">
          <w:rPr>
            <w:noProof/>
            <w:webHidden/>
          </w:rPr>
          <w:t>62</w:t>
        </w:r>
        <w:r w:rsidR="0050673C">
          <w:rPr>
            <w:noProof/>
            <w:webHidden/>
          </w:rPr>
          <w:fldChar w:fldCharType="end"/>
        </w:r>
      </w:hyperlink>
    </w:p>
    <w:p w14:paraId="5D2F6235"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7" w:history="1">
        <w:r w:rsidR="0050673C" w:rsidRPr="00AC1453">
          <w:rPr>
            <w:rStyle w:val="Hiperhivatkozs"/>
            <w:noProof/>
          </w:rPr>
          <w:t>V.2.1.15</w:t>
        </w:r>
        <w:r w:rsidR="0050673C">
          <w:rPr>
            <w:rFonts w:asciiTheme="minorHAnsi" w:eastAsiaTheme="minorEastAsia" w:hAnsiTheme="minorHAnsi" w:cstheme="minorBidi"/>
            <w:noProof/>
            <w:color w:val="auto"/>
          </w:rPr>
          <w:tab/>
        </w:r>
        <w:r w:rsidR="0050673C" w:rsidRPr="00AC1453">
          <w:rPr>
            <w:rStyle w:val="Hiperhivatkozs"/>
            <w:noProof/>
          </w:rPr>
          <w:t>Elszámolási kockázat (settlement risk)</w:t>
        </w:r>
        <w:r w:rsidR="0050673C">
          <w:rPr>
            <w:noProof/>
            <w:webHidden/>
          </w:rPr>
          <w:tab/>
        </w:r>
        <w:r w:rsidR="0050673C">
          <w:rPr>
            <w:noProof/>
            <w:webHidden/>
          </w:rPr>
          <w:fldChar w:fldCharType="begin"/>
        </w:r>
        <w:r w:rsidR="0050673C">
          <w:rPr>
            <w:noProof/>
            <w:webHidden/>
          </w:rPr>
          <w:instrText xml:space="preserve"> PAGEREF _Toc468191457 \h </w:instrText>
        </w:r>
        <w:r w:rsidR="0050673C">
          <w:rPr>
            <w:noProof/>
            <w:webHidden/>
          </w:rPr>
        </w:r>
        <w:r w:rsidR="0050673C">
          <w:rPr>
            <w:noProof/>
            <w:webHidden/>
          </w:rPr>
          <w:fldChar w:fldCharType="separate"/>
        </w:r>
        <w:r w:rsidR="00A50AE4">
          <w:rPr>
            <w:noProof/>
            <w:webHidden/>
          </w:rPr>
          <w:t>64</w:t>
        </w:r>
        <w:r w:rsidR="0050673C">
          <w:rPr>
            <w:noProof/>
            <w:webHidden/>
          </w:rPr>
          <w:fldChar w:fldCharType="end"/>
        </w:r>
      </w:hyperlink>
    </w:p>
    <w:p w14:paraId="7DD78037"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8" w:history="1">
        <w:r w:rsidR="0050673C" w:rsidRPr="00AC1453">
          <w:rPr>
            <w:rStyle w:val="Hiperhivatkozs"/>
            <w:noProof/>
          </w:rPr>
          <w:t>V.2.1.16</w:t>
        </w:r>
        <w:r w:rsidR="0050673C">
          <w:rPr>
            <w:rFonts w:asciiTheme="minorHAnsi" w:eastAsiaTheme="minorEastAsia" w:hAnsiTheme="minorHAnsi" w:cstheme="minorBidi"/>
            <w:noProof/>
            <w:color w:val="auto"/>
          </w:rPr>
          <w:tab/>
        </w:r>
        <w:r w:rsidR="0050673C" w:rsidRPr="00AC1453">
          <w:rPr>
            <w:rStyle w:val="Hiperhivatkozs"/>
            <w:noProof/>
          </w:rPr>
          <w:t>Értékpapírosítás kockázata</w:t>
        </w:r>
        <w:r w:rsidR="0050673C">
          <w:rPr>
            <w:noProof/>
            <w:webHidden/>
          </w:rPr>
          <w:tab/>
        </w:r>
        <w:r w:rsidR="0050673C">
          <w:rPr>
            <w:noProof/>
            <w:webHidden/>
          </w:rPr>
          <w:fldChar w:fldCharType="begin"/>
        </w:r>
        <w:r w:rsidR="0050673C">
          <w:rPr>
            <w:noProof/>
            <w:webHidden/>
          </w:rPr>
          <w:instrText xml:space="preserve"> PAGEREF _Toc468191458 \h </w:instrText>
        </w:r>
        <w:r w:rsidR="0050673C">
          <w:rPr>
            <w:noProof/>
            <w:webHidden/>
          </w:rPr>
        </w:r>
        <w:r w:rsidR="0050673C">
          <w:rPr>
            <w:noProof/>
            <w:webHidden/>
          </w:rPr>
          <w:fldChar w:fldCharType="separate"/>
        </w:r>
        <w:r w:rsidR="00A50AE4">
          <w:rPr>
            <w:noProof/>
            <w:webHidden/>
          </w:rPr>
          <w:t>67</w:t>
        </w:r>
        <w:r w:rsidR="0050673C">
          <w:rPr>
            <w:noProof/>
            <w:webHidden/>
          </w:rPr>
          <w:fldChar w:fldCharType="end"/>
        </w:r>
      </w:hyperlink>
    </w:p>
    <w:p w14:paraId="4F5EAC93"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59" w:history="1">
        <w:r w:rsidR="0050673C" w:rsidRPr="00AC1453">
          <w:rPr>
            <w:rStyle w:val="Hiperhivatkozs"/>
            <w:noProof/>
          </w:rPr>
          <w:t>V.2.1.17</w:t>
        </w:r>
        <w:r w:rsidR="0050673C">
          <w:rPr>
            <w:rFonts w:asciiTheme="minorHAnsi" w:eastAsiaTheme="minorEastAsia" w:hAnsiTheme="minorHAnsi" w:cstheme="minorBidi"/>
            <w:noProof/>
            <w:color w:val="auto"/>
          </w:rPr>
          <w:tab/>
        </w:r>
        <w:r w:rsidR="0050673C" w:rsidRPr="00AC1453">
          <w:rPr>
            <w:rStyle w:val="Hiperhivatkozs"/>
            <w:noProof/>
          </w:rPr>
          <w:t>Koncentrációs kockázat</w:t>
        </w:r>
        <w:r w:rsidR="0050673C">
          <w:rPr>
            <w:noProof/>
            <w:webHidden/>
          </w:rPr>
          <w:tab/>
        </w:r>
        <w:r w:rsidR="0050673C">
          <w:rPr>
            <w:noProof/>
            <w:webHidden/>
          </w:rPr>
          <w:fldChar w:fldCharType="begin"/>
        </w:r>
        <w:r w:rsidR="0050673C">
          <w:rPr>
            <w:noProof/>
            <w:webHidden/>
          </w:rPr>
          <w:instrText xml:space="preserve"> PAGEREF _Toc468191459 \h </w:instrText>
        </w:r>
        <w:r w:rsidR="0050673C">
          <w:rPr>
            <w:noProof/>
            <w:webHidden/>
          </w:rPr>
        </w:r>
        <w:r w:rsidR="0050673C">
          <w:rPr>
            <w:noProof/>
            <w:webHidden/>
          </w:rPr>
          <w:fldChar w:fldCharType="separate"/>
        </w:r>
        <w:r w:rsidR="00A50AE4">
          <w:rPr>
            <w:noProof/>
            <w:webHidden/>
          </w:rPr>
          <w:t>68</w:t>
        </w:r>
        <w:r w:rsidR="0050673C">
          <w:rPr>
            <w:noProof/>
            <w:webHidden/>
          </w:rPr>
          <w:fldChar w:fldCharType="end"/>
        </w:r>
      </w:hyperlink>
    </w:p>
    <w:p w14:paraId="7E0F6122"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60" w:history="1">
        <w:r w:rsidR="0050673C" w:rsidRPr="00AC1453">
          <w:rPr>
            <w:rStyle w:val="Hiperhivatkozs"/>
            <w:noProof/>
          </w:rPr>
          <w:t>V.2.1.18</w:t>
        </w:r>
        <w:r w:rsidR="0050673C">
          <w:rPr>
            <w:rFonts w:asciiTheme="minorHAnsi" w:eastAsiaTheme="minorEastAsia" w:hAnsiTheme="minorHAnsi" w:cstheme="minorBidi"/>
            <w:noProof/>
            <w:color w:val="auto"/>
          </w:rPr>
          <w:tab/>
        </w:r>
        <w:r w:rsidR="0050673C" w:rsidRPr="00AC1453">
          <w:rPr>
            <w:rStyle w:val="Hiperhivatkozs"/>
            <w:noProof/>
          </w:rPr>
          <w:t>Országkockázat</w:t>
        </w:r>
        <w:r w:rsidR="0050673C">
          <w:rPr>
            <w:noProof/>
            <w:webHidden/>
          </w:rPr>
          <w:tab/>
        </w:r>
        <w:r w:rsidR="0050673C">
          <w:rPr>
            <w:noProof/>
            <w:webHidden/>
          </w:rPr>
          <w:fldChar w:fldCharType="begin"/>
        </w:r>
        <w:r w:rsidR="0050673C">
          <w:rPr>
            <w:noProof/>
            <w:webHidden/>
          </w:rPr>
          <w:instrText xml:space="preserve"> PAGEREF _Toc468191460 \h </w:instrText>
        </w:r>
        <w:r w:rsidR="0050673C">
          <w:rPr>
            <w:noProof/>
            <w:webHidden/>
          </w:rPr>
        </w:r>
        <w:r w:rsidR="0050673C">
          <w:rPr>
            <w:noProof/>
            <w:webHidden/>
          </w:rPr>
          <w:fldChar w:fldCharType="separate"/>
        </w:r>
        <w:r w:rsidR="00A50AE4">
          <w:rPr>
            <w:noProof/>
            <w:webHidden/>
          </w:rPr>
          <w:t>71</w:t>
        </w:r>
        <w:r w:rsidR="0050673C">
          <w:rPr>
            <w:noProof/>
            <w:webHidden/>
          </w:rPr>
          <w:fldChar w:fldCharType="end"/>
        </w:r>
      </w:hyperlink>
    </w:p>
    <w:p w14:paraId="2F0E5E79"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61" w:history="1">
        <w:r w:rsidR="0050673C" w:rsidRPr="00AC1453">
          <w:rPr>
            <w:rStyle w:val="Hiperhivatkozs"/>
            <w:noProof/>
          </w:rPr>
          <w:t>V.2.1.19</w:t>
        </w:r>
        <w:r w:rsidR="0050673C">
          <w:rPr>
            <w:rFonts w:asciiTheme="minorHAnsi" w:eastAsiaTheme="minorEastAsia" w:hAnsiTheme="minorHAnsi" w:cstheme="minorBidi"/>
            <w:noProof/>
            <w:color w:val="auto"/>
          </w:rPr>
          <w:tab/>
        </w:r>
        <w:r w:rsidR="0050673C" w:rsidRPr="00AC1453">
          <w:rPr>
            <w:rStyle w:val="Hiperhivatkozs"/>
            <w:noProof/>
          </w:rPr>
          <w:t>Hitelkockázati tőkekövetelmény számítása</w:t>
        </w:r>
        <w:r w:rsidR="0050673C">
          <w:rPr>
            <w:noProof/>
            <w:webHidden/>
          </w:rPr>
          <w:tab/>
        </w:r>
        <w:r w:rsidR="0050673C">
          <w:rPr>
            <w:noProof/>
            <w:webHidden/>
          </w:rPr>
          <w:fldChar w:fldCharType="begin"/>
        </w:r>
        <w:r w:rsidR="0050673C">
          <w:rPr>
            <w:noProof/>
            <w:webHidden/>
          </w:rPr>
          <w:instrText xml:space="preserve"> PAGEREF _Toc468191461 \h </w:instrText>
        </w:r>
        <w:r w:rsidR="0050673C">
          <w:rPr>
            <w:noProof/>
            <w:webHidden/>
          </w:rPr>
        </w:r>
        <w:r w:rsidR="0050673C">
          <w:rPr>
            <w:noProof/>
            <w:webHidden/>
          </w:rPr>
          <w:fldChar w:fldCharType="separate"/>
        </w:r>
        <w:r w:rsidR="00A50AE4">
          <w:rPr>
            <w:noProof/>
            <w:webHidden/>
          </w:rPr>
          <w:t>73</w:t>
        </w:r>
        <w:r w:rsidR="0050673C">
          <w:rPr>
            <w:noProof/>
            <w:webHidden/>
          </w:rPr>
          <w:fldChar w:fldCharType="end"/>
        </w:r>
      </w:hyperlink>
    </w:p>
    <w:p w14:paraId="554B0ADE"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62" w:history="1">
        <w:r w:rsidR="0050673C" w:rsidRPr="00AC1453">
          <w:rPr>
            <w:rStyle w:val="Hiperhivatkozs"/>
            <w:noProof/>
          </w:rPr>
          <w:t>V.2.1.20</w:t>
        </w:r>
        <w:r w:rsidR="0050673C">
          <w:rPr>
            <w:rFonts w:asciiTheme="minorHAnsi" w:eastAsiaTheme="minorEastAsia" w:hAnsiTheme="minorHAnsi" w:cstheme="minorBidi"/>
            <w:noProof/>
            <w:color w:val="auto"/>
          </w:rPr>
          <w:tab/>
        </w:r>
        <w:r w:rsidR="0050673C" w:rsidRPr="00AC1453">
          <w:rPr>
            <w:rStyle w:val="Hiperhivatkozs"/>
            <w:noProof/>
          </w:rPr>
          <w:t>Hitelösztönzés keretein belül nyújtott tőkekövetelmény kedvezmény</w:t>
        </w:r>
        <w:r w:rsidR="0050673C">
          <w:rPr>
            <w:noProof/>
            <w:webHidden/>
          </w:rPr>
          <w:tab/>
        </w:r>
        <w:r w:rsidR="0050673C">
          <w:rPr>
            <w:noProof/>
            <w:webHidden/>
          </w:rPr>
          <w:fldChar w:fldCharType="begin"/>
        </w:r>
        <w:r w:rsidR="0050673C">
          <w:rPr>
            <w:noProof/>
            <w:webHidden/>
          </w:rPr>
          <w:instrText xml:space="preserve"> PAGEREF _Toc468191462 \h </w:instrText>
        </w:r>
        <w:r w:rsidR="0050673C">
          <w:rPr>
            <w:noProof/>
            <w:webHidden/>
          </w:rPr>
        </w:r>
        <w:r w:rsidR="0050673C">
          <w:rPr>
            <w:noProof/>
            <w:webHidden/>
          </w:rPr>
          <w:fldChar w:fldCharType="separate"/>
        </w:r>
        <w:r w:rsidR="00A50AE4">
          <w:rPr>
            <w:noProof/>
            <w:webHidden/>
          </w:rPr>
          <w:t>74</w:t>
        </w:r>
        <w:r w:rsidR="0050673C">
          <w:rPr>
            <w:noProof/>
            <w:webHidden/>
          </w:rPr>
          <w:fldChar w:fldCharType="end"/>
        </w:r>
      </w:hyperlink>
    </w:p>
    <w:p w14:paraId="3AECC85B" w14:textId="77777777" w:rsidR="0050673C" w:rsidRDefault="009D3208">
      <w:pPr>
        <w:pStyle w:val="TJ3"/>
        <w:tabs>
          <w:tab w:val="left" w:pos="1320"/>
        </w:tabs>
        <w:rPr>
          <w:rFonts w:asciiTheme="minorHAnsi" w:eastAsiaTheme="minorEastAsia" w:hAnsiTheme="minorHAnsi" w:cstheme="minorBidi"/>
          <w:noProof/>
          <w:color w:val="auto"/>
        </w:rPr>
      </w:pPr>
      <w:hyperlink w:anchor="_Toc468191463" w:history="1">
        <w:r w:rsidR="0050673C" w:rsidRPr="00AC1453">
          <w:rPr>
            <w:rStyle w:val="Hiperhivatkozs"/>
            <w:noProof/>
          </w:rPr>
          <w:t>V.2.2</w:t>
        </w:r>
        <w:r w:rsidR="0050673C">
          <w:rPr>
            <w:rFonts w:asciiTheme="minorHAnsi" w:eastAsiaTheme="minorEastAsia" w:hAnsiTheme="minorHAnsi" w:cstheme="minorBidi"/>
            <w:noProof/>
            <w:color w:val="auto"/>
          </w:rPr>
          <w:tab/>
        </w:r>
        <w:r w:rsidR="0050673C" w:rsidRPr="00AC1453">
          <w:rPr>
            <w:rStyle w:val="Hiperhivatkozs"/>
            <w:noProof/>
          </w:rPr>
          <w:t>Működési kockázat</w:t>
        </w:r>
        <w:r w:rsidR="0050673C">
          <w:rPr>
            <w:noProof/>
            <w:webHidden/>
          </w:rPr>
          <w:tab/>
        </w:r>
        <w:r w:rsidR="0050673C">
          <w:rPr>
            <w:noProof/>
            <w:webHidden/>
          </w:rPr>
          <w:fldChar w:fldCharType="begin"/>
        </w:r>
        <w:r w:rsidR="0050673C">
          <w:rPr>
            <w:noProof/>
            <w:webHidden/>
          </w:rPr>
          <w:instrText xml:space="preserve"> PAGEREF _Toc468191463 \h </w:instrText>
        </w:r>
        <w:r w:rsidR="0050673C">
          <w:rPr>
            <w:noProof/>
            <w:webHidden/>
          </w:rPr>
        </w:r>
        <w:r w:rsidR="0050673C">
          <w:rPr>
            <w:noProof/>
            <w:webHidden/>
          </w:rPr>
          <w:fldChar w:fldCharType="separate"/>
        </w:r>
        <w:r w:rsidR="00A50AE4">
          <w:rPr>
            <w:noProof/>
            <w:webHidden/>
          </w:rPr>
          <w:t>75</w:t>
        </w:r>
        <w:r w:rsidR="0050673C">
          <w:rPr>
            <w:noProof/>
            <w:webHidden/>
          </w:rPr>
          <w:fldChar w:fldCharType="end"/>
        </w:r>
      </w:hyperlink>
    </w:p>
    <w:p w14:paraId="28CF1F81"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64" w:history="1">
        <w:r w:rsidR="0050673C" w:rsidRPr="00AC1453">
          <w:rPr>
            <w:rStyle w:val="Hiperhivatkozs"/>
            <w:noProof/>
          </w:rPr>
          <w:t>V.2.2.1</w:t>
        </w:r>
        <w:r w:rsidR="0050673C">
          <w:rPr>
            <w:rFonts w:asciiTheme="minorHAnsi" w:eastAsiaTheme="minorEastAsia" w:hAnsiTheme="minorHAnsi" w:cstheme="minorBidi"/>
            <w:noProof/>
            <w:color w:val="auto"/>
          </w:rPr>
          <w:tab/>
        </w:r>
        <w:r w:rsidR="0050673C" w:rsidRPr="00AC1453">
          <w:rPr>
            <w:rStyle w:val="Hiperhivatkozs"/>
            <w:noProof/>
          </w:rPr>
          <w:t>Reputációs kockázat</w:t>
        </w:r>
        <w:r w:rsidR="0050673C">
          <w:rPr>
            <w:noProof/>
            <w:webHidden/>
          </w:rPr>
          <w:tab/>
        </w:r>
        <w:r w:rsidR="0050673C">
          <w:rPr>
            <w:noProof/>
            <w:webHidden/>
          </w:rPr>
          <w:fldChar w:fldCharType="begin"/>
        </w:r>
        <w:r w:rsidR="0050673C">
          <w:rPr>
            <w:noProof/>
            <w:webHidden/>
          </w:rPr>
          <w:instrText xml:space="preserve"> PAGEREF _Toc468191464 \h </w:instrText>
        </w:r>
        <w:r w:rsidR="0050673C">
          <w:rPr>
            <w:noProof/>
            <w:webHidden/>
          </w:rPr>
        </w:r>
        <w:r w:rsidR="0050673C">
          <w:rPr>
            <w:noProof/>
            <w:webHidden/>
          </w:rPr>
          <w:fldChar w:fldCharType="separate"/>
        </w:r>
        <w:r w:rsidR="00A50AE4">
          <w:rPr>
            <w:noProof/>
            <w:webHidden/>
          </w:rPr>
          <w:t>80</w:t>
        </w:r>
        <w:r w:rsidR="0050673C">
          <w:rPr>
            <w:noProof/>
            <w:webHidden/>
          </w:rPr>
          <w:fldChar w:fldCharType="end"/>
        </w:r>
      </w:hyperlink>
    </w:p>
    <w:p w14:paraId="2CF8668A"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65" w:history="1">
        <w:r w:rsidR="0050673C" w:rsidRPr="00AC1453">
          <w:rPr>
            <w:rStyle w:val="Hiperhivatkozs"/>
            <w:noProof/>
          </w:rPr>
          <w:t>V.2.2.2</w:t>
        </w:r>
        <w:r w:rsidR="0050673C">
          <w:rPr>
            <w:rFonts w:asciiTheme="minorHAnsi" w:eastAsiaTheme="minorEastAsia" w:hAnsiTheme="minorHAnsi" w:cstheme="minorBidi"/>
            <w:noProof/>
            <w:color w:val="auto"/>
          </w:rPr>
          <w:tab/>
        </w:r>
        <w:r w:rsidR="0050673C" w:rsidRPr="00AC1453">
          <w:rPr>
            <w:rStyle w:val="Hiperhivatkozs"/>
            <w:noProof/>
          </w:rPr>
          <w:t>Jogi kockázatok</w:t>
        </w:r>
        <w:r w:rsidR="0050673C">
          <w:rPr>
            <w:noProof/>
            <w:webHidden/>
          </w:rPr>
          <w:tab/>
        </w:r>
        <w:r w:rsidR="0050673C">
          <w:rPr>
            <w:noProof/>
            <w:webHidden/>
          </w:rPr>
          <w:fldChar w:fldCharType="begin"/>
        </w:r>
        <w:r w:rsidR="0050673C">
          <w:rPr>
            <w:noProof/>
            <w:webHidden/>
          </w:rPr>
          <w:instrText xml:space="preserve"> PAGEREF _Toc468191465 \h </w:instrText>
        </w:r>
        <w:r w:rsidR="0050673C">
          <w:rPr>
            <w:noProof/>
            <w:webHidden/>
          </w:rPr>
        </w:r>
        <w:r w:rsidR="0050673C">
          <w:rPr>
            <w:noProof/>
            <w:webHidden/>
          </w:rPr>
          <w:fldChar w:fldCharType="separate"/>
        </w:r>
        <w:r w:rsidR="00A50AE4">
          <w:rPr>
            <w:noProof/>
            <w:webHidden/>
          </w:rPr>
          <w:t>81</w:t>
        </w:r>
        <w:r w:rsidR="0050673C">
          <w:rPr>
            <w:noProof/>
            <w:webHidden/>
          </w:rPr>
          <w:fldChar w:fldCharType="end"/>
        </w:r>
      </w:hyperlink>
    </w:p>
    <w:p w14:paraId="50828B55" w14:textId="77777777" w:rsidR="0050673C" w:rsidRDefault="009D3208">
      <w:pPr>
        <w:pStyle w:val="TJ4"/>
        <w:tabs>
          <w:tab w:val="right" w:leader="dot" w:pos="9346"/>
        </w:tabs>
        <w:rPr>
          <w:rFonts w:asciiTheme="minorHAnsi" w:eastAsiaTheme="minorEastAsia" w:hAnsiTheme="minorHAnsi" w:cstheme="minorBidi"/>
          <w:noProof/>
          <w:color w:val="auto"/>
        </w:rPr>
      </w:pPr>
      <w:hyperlink w:anchor="_Toc468191466" w:history="1">
        <w:r w:rsidR="0050673C" w:rsidRPr="00AC1453">
          <w:rPr>
            <w:rStyle w:val="Hiperhivatkozs"/>
            <w:noProof/>
          </w:rPr>
          <w:t>V.2.2.2.1. Üzletvitel kockázata (Conduct risk)</w:t>
        </w:r>
        <w:r w:rsidR="0050673C">
          <w:rPr>
            <w:noProof/>
            <w:webHidden/>
          </w:rPr>
          <w:tab/>
        </w:r>
        <w:r w:rsidR="0050673C">
          <w:rPr>
            <w:noProof/>
            <w:webHidden/>
          </w:rPr>
          <w:fldChar w:fldCharType="begin"/>
        </w:r>
        <w:r w:rsidR="0050673C">
          <w:rPr>
            <w:noProof/>
            <w:webHidden/>
          </w:rPr>
          <w:instrText xml:space="preserve"> PAGEREF _Toc468191466 \h </w:instrText>
        </w:r>
        <w:r w:rsidR="0050673C">
          <w:rPr>
            <w:noProof/>
            <w:webHidden/>
          </w:rPr>
        </w:r>
        <w:r w:rsidR="0050673C">
          <w:rPr>
            <w:noProof/>
            <w:webHidden/>
          </w:rPr>
          <w:fldChar w:fldCharType="separate"/>
        </w:r>
        <w:r w:rsidR="00A50AE4">
          <w:rPr>
            <w:noProof/>
            <w:webHidden/>
          </w:rPr>
          <w:t>82</w:t>
        </w:r>
        <w:r w:rsidR="0050673C">
          <w:rPr>
            <w:noProof/>
            <w:webHidden/>
          </w:rPr>
          <w:fldChar w:fldCharType="end"/>
        </w:r>
      </w:hyperlink>
    </w:p>
    <w:p w14:paraId="3B28157E" w14:textId="77777777" w:rsidR="0050673C" w:rsidRDefault="009D3208">
      <w:pPr>
        <w:pStyle w:val="TJ3"/>
        <w:tabs>
          <w:tab w:val="left" w:pos="1320"/>
        </w:tabs>
        <w:rPr>
          <w:rFonts w:asciiTheme="minorHAnsi" w:eastAsiaTheme="minorEastAsia" w:hAnsiTheme="minorHAnsi" w:cstheme="minorBidi"/>
          <w:noProof/>
          <w:color w:val="auto"/>
        </w:rPr>
      </w:pPr>
      <w:hyperlink w:anchor="_Toc468191467" w:history="1">
        <w:r w:rsidR="0050673C" w:rsidRPr="00AC1453">
          <w:rPr>
            <w:rStyle w:val="Hiperhivatkozs"/>
            <w:noProof/>
          </w:rPr>
          <w:t>V.2.3</w:t>
        </w:r>
        <w:r w:rsidR="0050673C">
          <w:rPr>
            <w:rFonts w:asciiTheme="minorHAnsi" w:eastAsiaTheme="minorEastAsia" w:hAnsiTheme="minorHAnsi" w:cstheme="minorBidi"/>
            <w:noProof/>
            <w:color w:val="auto"/>
          </w:rPr>
          <w:tab/>
        </w:r>
        <w:r w:rsidR="0050673C" w:rsidRPr="00AC1453">
          <w:rPr>
            <w:rStyle w:val="Hiperhivatkozs"/>
            <w:noProof/>
          </w:rPr>
          <w:t>Piaci kockázat</w:t>
        </w:r>
        <w:r w:rsidR="0050673C">
          <w:rPr>
            <w:noProof/>
            <w:webHidden/>
          </w:rPr>
          <w:tab/>
        </w:r>
        <w:r w:rsidR="0050673C">
          <w:rPr>
            <w:noProof/>
            <w:webHidden/>
          </w:rPr>
          <w:fldChar w:fldCharType="begin"/>
        </w:r>
        <w:r w:rsidR="0050673C">
          <w:rPr>
            <w:noProof/>
            <w:webHidden/>
          </w:rPr>
          <w:instrText xml:space="preserve"> PAGEREF _Toc468191467 \h </w:instrText>
        </w:r>
        <w:r w:rsidR="0050673C">
          <w:rPr>
            <w:noProof/>
            <w:webHidden/>
          </w:rPr>
        </w:r>
        <w:r w:rsidR="0050673C">
          <w:rPr>
            <w:noProof/>
            <w:webHidden/>
          </w:rPr>
          <w:fldChar w:fldCharType="separate"/>
        </w:r>
        <w:r w:rsidR="00A50AE4">
          <w:rPr>
            <w:noProof/>
            <w:webHidden/>
          </w:rPr>
          <w:t>84</w:t>
        </w:r>
        <w:r w:rsidR="0050673C">
          <w:rPr>
            <w:noProof/>
            <w:webHidden/>
          </w:rPr>
          <w:fldChar w:fldCharType="end"/>
        </w:r>
      </w:hyperlink>
    </w:p>
    <w:p w14:paraId="0BCD65E8" w14:textId="77777777" w:rsidR="0050673C" w:rsidRDefault="009D3208">
      <w:pPr>
        <w:pStyle w:val="TJ3"/>
        <w:tabs>
          <w:tab w:val="left" w:pos="1320"/>
        </w:tabs>
        <w:rPr>
          <w:rFonts w:asciiTheme="minorHAnsi" w:eastAsiaTheme="minorEastAsia" w:hAnsiTheme="minorHAnsi" w:cstheme="minorBidi"/>
          <w:noProof/>
          <w:color w:val="auto"/>
        </w:rPr>
      </w:pPr>
      <w:hyperlink w:anchor="_Toc468191468" w:history="1">
        <w:r w:rsidR="0050673C" w:rsidRPr="00AC1453">
          <w:rPr>
            <w:rStyle w:val="Hiperhivatkozs"/>
            <w:iCs/>
            <w:noProof/>
          </w:rPr>
          <w:t>V.2.4</w:t>
        </w:r>
        <w:r w:rsidR="0050673C">
          <w:rPr>
            <w:rFonts w:asciiTheme="minorHAnsi" w:eastAsiaTheme="minorEastAsia" w:hAnsiTheme="minorHAnsi" w:cstheme="minorBidi"/>
            <w:noProof/>
            <w:color w:val="auto"/>
          </w:rPr>
          <w:tab/>
        </w:r>
        <w:r w:rsidR="0050673C" w:rsidRPr="00AC1453">
          <w:rPr>
            <w:rStyle w:val="Hiperhivatkozs"/>
            <w:iCs/>
            <w:noProof/>
          </w:rPr>
          <w:t>Banki könyv kamatlábkockázata</w:t>
        </w:r>
        <w:r w:rsidR="0050673C">
          <w:rPr>
            <w:noProof/>
            <w:webHidden/>
          </w:rPr>
          <w:tab/>
        </w:r>
        <w:r w:rsidR="0050673C">
          <w:rPr>
            <w:noProof/>
            <w:webHidden/>
          </w:rPr>
          <w:fldChar w:fldCharType="begin"/>
        </w:r>
        <w:r w:rsidR="0050673C">
          <w:rPr>
            <w:noProof/>
            <w:webHidden/>
          </w:rPr>
          <w:instrText xml:space="preserve"> PAGEREF _Toc468191468 \h </w:instrText>
        </w:r>
        <w:r w:rsidR="0050673C">
          <w:rPr>
            <w:noProof/>
            <w:webHidden/>
          </w:rPr>
        </w:r>
        <w:r w:rsidR="0050673C">
          <w:rPr>
            <w:noProof/>
            <w:webHidden/>
          </w:rPr>
          <w:fldChar w:fldCharType="separate"/>
        </w:r>
        <w:r w:rsidR="00A50AE4">
          <w:rPr>
            <w:noProof/>
            <w:webHidden/>
          </w:rPr>
          <w:t>88</w:t>
        </w:r>
        <w:r w:rsidR="0050673C">
          <w:rPr>
            <w:noProof/>
            <w:webHidden/>
          </w:rPr>
          <w:fldChar w:fldCharType="end"/>
        </w:r>
      </w:hyperlink>
    </w:p>
    <w:p w14:paraId="61CB34AB" w14:textId="77777777" w:rsidR="0050673C" w:rsidRDefault="009D3208">
      <w:pPr>
        <w:pStyle w:val="TJ3"/>
        <w:tabs>
          <w:tab w:val="left" w:pos="1320"/>
        </w:tabs>
        <w:rPr>
          <w:rFonts w:asciiTheme="minorHAnsi" w:eastAsiaTheme="minorEastAsia" w:hAnsiTheme="minorHAnsi" w:cstheme="minorBidi"/>
          <w:noProof/>
          <w:color w:val="auto"/>
        </w:rPr>
      </w:pPr>
      <w:hyperlink w:anchor="_Toc468191469" w:history="1">
        <w:r w:rsidR="0050673C" w:rsidRPr="00AC1453">
          <w:rPr>
            <w:rStyle w:val="Hiperhivatkozs"/>
            <w:noProof/>
          </w:rPr>
          <w:t>V.2.5</w:t>
        </w:r>
        <w:r w:rsidR="0050673C">
          <w:rPr>
            <w:rFonts w:asciiTheme="minorHAnsi" w:eastAsiaTheme="minorEastAsia" w:hAnsiTheme="minorHAnsi" w:cstheme="minorBidi"/>
            <w:noProof/>
            <w:color w:val="auto"/>
          </w:rPr>
          <w:tab/>
        </w:r>
        <w:r w:rsidR="0050673C" w:rsidRPr="00AC1453">
          <w:rPr>
            <w:rStyle w:val="Hiperhivatkozs"/>
            <w:noProof/>
          </w:rPr>
          <w:t>Modellkockázat</w:t>
        </w:r>
        <w:r w:rsidR="0050673C">
          <w:rPr>
            <w:noProof/>
            <w:webHidden/>
          </w:rPr>
          <w:tab/>
        </w:r>
        <w:r w:rsidR="0050673C">
          <w:rPr>
            <w:noProof/>
            <w:webHidden/>
          </w:rPr>
          <w:fldChar w:fldCharType="begin"/>
        </w:r>
        <w:r w:rsidR="0050673C">
          <w:rPr>
            <w:noProof/>
            <w:webHidden/>
          </w:rPr>
          <w:instrText xml:space="preserve"> PAGEREF _Toc468191469 \h </w:instrText>
        </w:r>
        <w:r w:rsidR="0050673C">
          <w:rPr>
            <w:noProof/>
            <w:webHidden/>
          </w:rPr>
        </w:r>
        <w:r w:rsidR="0050673C">
          <w:rPr>
            <w:noProof/>
            <w:webHidden/>
          </w:rPr>
          <w:fldChar w:fldCharType="separate"/>
        </w:r>
        <w:r w:rsidR="00A50AE4">
          <w:rPr>
            <w:noProof/>
            <w:webHidden/>
          </w:rPr>
          <w:t>91</w:t>
        </w:r>
        <w:r w:rsidR="0050673C">
          <w:rPr>
            <w:noProof/>
            <w:webHidden/>
          </w:rPr>
          <w:fldChar w:fldCharType="end"/>
        </w:r>
      </w:hyperlink>
    </w:p>
    <w:p w14:paraId="4BB07796" w14:textId="77777777" w:rsidR="0050673C" w:rsidRDefault="009D3208">
      <w:pPr>
        <w:pStyle w:val="TJ3"/>
        <w:tabs>
          <w:tab w:val="left" w:pos="1320"/>
        </w:tabs>
        <w:rPr>
          <w:rFonts w:asciiTheme="minorHAnsi" w:eastAsiaTheme="minorEastAsia" w:hAnsiTheme="minorHAnsi" w:cstheme="minorBidi"/>
          <w:noProof/>
          <w:color w:val="auto"/>
        </w:rPr>
      </w:pPr>
      <w:hyperlink w:anchor="_Toc468191470" w:history="1">
        <w:r w:rsidR="0050673C" w:rsidRPr="00AC1453">
          <w:rPr>
            <w:rStyle w:val="Hiperhivatkozs"/>
            <w:iCs/>
            <w:noProof/>
          </w:rPr>
          <w:t>V.2.6</w:t>
        </w:r>
        <w:r w:rsidR="0050673C">
          <w:rPr>
            <w:rFonts w:asciiTheme="minorHAnsi" w:eastAsiaTheme="minorEastAsia" w:hAnsiTheme="minorHAnsi" w:cstheme="minorBidi"/>
            <w:noProof/>
            <w:color w:val="auto"/>
          </w:rPr>
          <w:tab/>
        </w:r>
        <w:r w:rsidR="0050673C" w:rsidRPr="00AC1453">
          <w:rPr>
            <w:rStyle w:val="Hiperhivatkozs"/>
            <w:iCs/>
            <w:noProof/>
          </w:rPr>
          <w:t>Kockázatos portfóliók</w:t>
        </w:r>
        <w:r w:rsidR="0050673C">
          <w:rPr>
            <w:noProof/>
            <w:webHidden/>
          </w:rPr>
          <w:tab/>
        </w:r>
        <w:r w:rsidR="0050673C">
          <w:rPr>
            <w:noProof/>
            <w:webHidden/>
          </w:rPr>
          <w:fldChar w:fldCharType="begin"/>
        </w:r>
        <w:r w:rsidR="0050673C">
          <w:rPr>
            <w:noProof/>
            <w:webHidden/>
          </w:rPr>
          <w:instrText xml:space="preserve"> PAGEREF _Toc468191470 \h </w:instrText>
        </w:r>
        <w:r w:rsidR="0050673C">
          <w:rPr>
            <w:noProof/>
            <w:webHidden/>
          </w:rPr>
        </w:r>
        <w:r w:rsidR="0050673C">
          <w:rPr>
            <w:noProof/>
            <w:webHidden/>
          </w:rPr>
          <w:fldChar w:fldCharType="separate"/>
        </w:r>
        <w:r w:rsidR="00A50AE4">
          <w:rPr>
            <w:noProof/>
            <w:webHidden/>
          </w:rPr>
          <w:t>93</w:t>
        </w:r>
        <w:r w:rsidR="0050673C">
          <w:rPr>
            <w:noProof/>
            <w:webHidden/>
          </w:rPr>
          <w:fldChar w:fldCharType="end"/>
        </w:r>
      </w:hyperlink>
    </w:p>
    <w:p w14:paraId="4BE88BCF" w14:textId="77777777" w:rsidR="0050673C" w:rsidRDefault="009D3208">
      <w:pPr>
        <w:pStyle w:val="TJ3"/>
        <w:tabs>
          <w:tab w:val="left" w:pos="1320"/>
        </w:tabs>
        <w:rPr>
          <w:rFonts w:asciiTheme="minorHAnsi" w:eastAsiaTheme="minorEastAsia" w:hAnsiTheme="minorHAnsi" w:cstheme="minorBidi"/>
          <w:noProof/>
          <w:color w:val="auto"/>
        </w:rPr>
      </w:pPr>
      <w:hyperlink w:anchor="_Toc468191471" w:history="1">
        <w:r w:rsidR="0050673C" w:rsidRPr="00AC1453">
          <w:rPr>
            <w:rStyle w:val="Hiperhivatkozs"/>
            <w:iCs/>
            <w:noProof/>
          </w:rPr>
          <w:t>V.2.7</w:t>
        </w:r>
        <w:r w:rsidR="0050673C">
          <w:rPr>
            <w:rFonts w:asciiTheme="minorHAnsi" w:eastAsiaTheme="minorEastAsia" w:hAnsiTheme="minorHAnsi" w:cstheme="minorBidi"/>
            <w:noProof/>
            <w:color w:val="auto"/>
          </w:rPr>
          <w:tab/>
        </w:r>
        <w:r w:rsidR="0050673C" w:rsidRPr="00AC1453">
          <w:rPr>
            <w:rStyle w:val="Hiperhivatkozs"/>
            <w:iCs/>
            <w:noProof/>
          </w:rPr>
          <w:t>Egyéb lényeges kockázatok</w:t>
        </w:r>
        <w:r w:rsidR="0050673C">
          <w:rPr>
            <w:noProof/>
            <w:webHidden/>
          </w:rPr>
          <w:tab/>
        </w:r>
        <w:r w:rsidR="0050673C">
          <w:rPr>
            <w:noProof/>
            <w:webHidden/>
          </w:rPr>
          <w:fldChar w:fldCharType="begin"/>
        </w:r>
        <w:r w:rsidR="0050673C">
          <w:rPr>
            <w:noProof/>
            <w:webHidden/>
          </w:rPr>
          <w:instrText xml:space="preserve"> PAGEREF _Toc468191471 \h </w:instrText>
        </w:r>
        <w:r w:rsidR="0050673C">
          <w:rPr>
            <w:noProof/>
            <w:webHidden/>
          </w:rPr>
        </w:r>
        <w:r w:rsidR="0050673C">
          <w:rPr>
            <w:noProof/>
            <w:webHidden/>
          </w:rPr>
          <w:fldChar w:fldCharType="separate"/>
        </w:r>
        <w:r w:rsidR="00A50AE4">
          <w:rPr>
            <w:noProof/>
            <w:webHidden/>
          </w:rPr>
          <w:t>93</w:t>
        </w:r>
        <w:r w:rsidR="0050673C">
          <w:rPr>
            <w:noProof/>
            <w:webHidden/>
          </w:rPr>
          <w:fldChar w:fldCharType="end"/>
        </w:r>
      </w:hyperlink>
    </w:p>
    <w:p w14:paraId="334867A1"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72" w:history="1">
        <w:r w:rsidR="0050673C" w:rsidRPr="00AC1453">
          <w:rPr>
            <w:rStyle w:val="Hiperhivatkozs"/>
            <w:noProof/>
          </w:rPr>
          <w:t>V.2.7.1</w:t>
        </w:r>
        <w:r w:rsidR="0050673C">
          <w:rPr>
            <w:rFonts w:asciiTheme="minorHAnsi" w:eastAsiaTheme="minorEastAsia" w:hAnsiTheme="minorHAnsi" w:cstheme="minorBidi"/>
            <w:noProof/>
            <w:color w:val="auto"/>
          </w:rPr>
          <w:tab/>
        </w:r>
        <w:r w:rsidR="0050673C" w:rsidRPr="00AC1453">
          <w:rPr>
            <w:rStyle w:val="Hiperhivatkozs"/>
            <w:noProof/>
          </w:rPr>
          <w:t>Üzleti és stratégiai kockázat</w:t>
        </w:r>
        <w:r w:rsidR="0050673C">
          <w:rPr>
            <w:noProof/>
            <w:webHidden/>
          </w:rPr>
          <w:tab/>
        </w:r>
        <w:r w:rsidR="0050673C">
          <w:rPr>
            <w:noProof/>
            <w:webHidden/>
          </w:rPr>
          <w:fldChar w:fldCharType="begin"/>
        </w:r>
        <w:r w:rsidR="0050673C">
          <w:rPr>
            <w:noProof/>
            <w:webHidden/>
          </w:rPr>
          <w:instrText xml:space="preserve"> PAGEREF _Toc468191472 \h </w:instrText>
        </w:r>
        <w:r w:rsidR="0050673C">
          <w:rPr>
            <w:noProof/>
            <w:webHidden/>
          </w:rPr>
        </w:r>
        <w:r w:rsidR="0050673C">
          <w:rPr>
            <w:noProof/>
            <w:webHidden/>
          </w:rPr>
          <w:fldChar w:fldCharType="separate"/>
        </w:r>
        <w:r w:rsidR="00A50AE4">
          <w:rPr>
            <w:noProof/>
            <w:webHidden/>
          </w:rPr>
          <w:t>94</w:t>
        </w:r>
        <w:r w:rsidR="0050673C">
          <w:rPr>
            <w:noProof/>
            <w:webHidden/>
          </w:rPr>
          <w:fldChar w:fldCharType="end"/>
        </w:r>
      </w:hyperlink>
    </w:p>
    <w:p w14:paraId="7BBC66BF"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73" w:history="1">
        <w:r w:rsidR="0050673C" w:rsidRPr="00AC1453">
          <w:rPr>
            <w:rStyle w:val="Hiperhivatkozs"/>
            <w:noProof/>
          </w:rPr>
          <w:t>V.2.7.2</w:t>
        </w:r>
        <w:r w:rsidR="0050673C">
          <w:rPr>
            <w:rFonts w:asciiTheme="minorHAnsi" w:eastAsiaTheme="minorEastAsia" w:hAnsiTheme="minorHAnsi" w:cstheme="minorBidi"/>
            <w:noProof/>
            <w:color w:val="auto"/>
          </w:rPr>
          <w:tab/>
        </w:r>
        <w:r w:rsidR="0050673C" w:rsidRPr="00AC1453">
          <w:rPr>
            <w:rStyle w:val="Hiperhivatkozs"/>
            <w:noProof/>
          </w:rPr>
          <w:t>Szabályozói környezetből adódó kockázat</w:t>
        </w:r>
        <w:r w:rsidR="0050673C">
          <w:rPr>
            <w:noProof/>
            <w:webHidden/>
          </w:rPr>
          <w:tab/>
        </w:r>
        <w:r w:rsidR="0050673C">
          <w:rPr>
            <w:noProof/>
            <w:webHidden/>
          </w:rPr>
          <w:fldChar w:fldCharType="begin"/>
        </w:r>
        <w:r w:rsidR="0050673C">
          <w:rPr>
            <w:noProof/>
            <w:webHidden/>
          </w:rPr>
          <w:instrText xml:space="preserve"> PAGEREF _Toc468191473 \h </w:instrText>
        </w:r>
        <w:r w:rsidR="0050673C">
          <w:rPr>
            <w:noProof/>
            <w:webHidden/>
          </w:rPr>
        </w:r>
        <w:r w:rsidR="0050673C">
          <w:rPr>
            <w:noProof/>
            <w:webHidden/>
          </w:rPr>
          <w:fldChar w:fldCharType="separate"/>
        </w:r>
        <w:r w:rsidR="00A50AE4">
          <w:rPr>
            <w:noProof/>
            <w:webHidden/>
          </w:rPr>
          <w:t>96</w:t>
        </w:r>
        <w:r w:rsidR="0050673C">
          <w:rPr>
            <w:noProof/>
            <w:webHidden/>
          </w:rPr>
          <w:fldChar w:fldCharType="end"/>
        </w:r>
      </w:hyperlink>
    </w:p>
    <w:p w14:paraId="05BEB6BC" w14:textId="77777777" w:rsidR="0050673C" w:rsidRDefault="009D3208">
      <w:pPr>
        <w:pStyle w:val="TJ2"/>
        <w:tabs>
          <w:tab w:val="left" w:pos="880"/>
        </w:tabs>
        <w:rPr>
          <w:rFonts w:asciiTheme="minorHAnsi" w:eastAsiaTheme="minorEastAsia" w:hAnsiTheme="minorHAnsi" w:cstheme="minorBidi"/>
          <w:color w:val="auto"/>
        </w:rPr>
      </w:pPr>
      <w:hyperlink w:anchor="_Toc468191474" w:history="1">
        <w:r w:rsidR="0050673C" w:rsidRPr="00AC1453">
          <w:rPr>
            <w:rStyle w:val="Hiperhivatkozs"/>
          </w:rPr>
          <w:t>V.3</w:t>
        </w:r>
        <w:r w:rsidR="0050673C">
          <w:rPr>
            <w:rFonts w:asciiTheme="minorHAnsi" w:eastAsiaTheme="minorEastAsia" w:hAnsiTheme="minorHAnsi" w:cstheme="minorBidi"/>
            <w:color w:val="auto"/>
          </w:rPr>
          <w:tab/>
        </w:r>
        <w:r w:rsidR="0050673C" w:rsidRPr="00AC1453">
          <w:rPr>
            <w:rStyle w:val="Hiperhivatkozs"/>
          </w:rPr>
          <w:t>Stressz-tesztek</w:t>
        </w:r>
        <w:r w:rsidR="0050673C">
          <w:rPr>
            <w:webHidden/>
          </w:rPr>
          <w:tab/>
        </w:r>
        <w:r w:rsidR="0050673C">
          <w:rPr>
            <w:webHidden/>
          </w:rPr>
          <w:fldChar w:fldCharType="begin"/>
        </w:r>
        <w:r w:rsidR="0050673C">
          <w:rPr>
            <w:webHidden/>
          </w:rPr>
          <w:instrText xml:space="preserve"> PAGEREF _Toc468191474 \h </w:instrText>
        </w:r>
        <w:r w:rsidR="0050673C">
          <w:rPr>
            <w:webHidden/>
          </w:rPr>
        </w:r>
        <w:r w:rsidR="0050673C">
          <w:rPr>
            <w:webHidden/>
          </w:rPr>
          <w:fldChar w:fldCharType="separate"/>
        </w:r>
        <w:r w:rsidR="00A50AE4">
          <w:rPr>
            <w:webHidden/>
          </w:rPr>
          <w:t>97</w:t>
        </w:r>
        <w:r w:rsidR="0050673C">
          <w:rPr>
            <w:webHidden/>
          </w:rPr>
          <w:fldChar w:fldCharType="end"/>
        </w:r>
      </w:hyperlink>
    </w:p>
    <w:p w14:paraId="0074FBD4" w14:textId="77777777" w:rsidR="0050673C" w:rsidRDefault="009D3208">
      <w:pPr>
        <w:pStyle w:val="TJ3"/>
        <w:tabs>
          <w:tab w:val="left" w:pos="1320"/>
        </w:tabs>
        <w:rPr>
          <w:rFonts w:asciiTheme="minorHAnsi" w:eastAsiaTheme="minorEastAsia" w:hAnsiTheme="minorHAnsi" w:cstheme="minorBidi"/>
          <w:noProof/>
          <w:color w:val="auto"/>
        </w:rPr>
      </w:pPr>
      <w:hyperlink w:anchor="_Toc468191475" w:history="1">
        <w:r w:rsidR="0050673C" w:rsidRPr="00AC1453">
          <w:rPr>
            <w:rStyle w:val="Hiperhivatkozs"/>
            <w:noProof/>
          </w:rPr>
          <w:t>V.3.1</w:t>
        </w:r>
        <w:r w:rsidR="0050673C">
          <w:rPr>
            <w:rFonts w:asciiTheme="minorHAnsi" w:eastAsiaTheme="minorEastAsia" w:hAnsiTheme="minorHAnsi" w:cstheme="minorBidi"/>
            <w:noProof/>
            <w:color w:val="auto"/>
          </w:rPr>
          <w:tab/>
        </w:r>
        <w:r w:rsidR="0050673C" w:rsidRPr="00AC1453">
          <w:rPr>
            <w:rStyle w:val="Hiperhivatkozs"/>
            <w:noProof/>
          </w:rPr>
          <w:t>Az alkalmazott kockázati modellek megbízhatósága</w:t>
        </w:r>
        <w:r w:rsidR="0050673C">
          <w:rPr>
            <w:noProof/>
            <w:webHidden/>
          </w:rPr>
          <w:tab/>
        </w:r>
        <w:r w:rsidR="0050673C">
          <w:rPr>
            <w:noProof/>
            <w:webHidden/>
          </w:rPr>
          <w:fldChar w:fldCharType="begin"/>
        </w:r>
        <w:r w:rsidR="0050673C">
          <w:rPr>
            <w:noProof/>
            <w:webHidden/>
          </w:rPr>
          <w:instrText xml:space="preserve"> PAGEREF _Toc468191475 \h </w:instrText>
        </w:r>
        <w:r w:rsidR="0050673C">
          <w:rPr>
            <w:noProof/>
            <w:webHidden/>
          </w:rPr>
        </w:r>
        <w:r w:rsidR="0050673C">
          <w:rPr>
            <w:noProof/>
            <w:webHidden/>
          </w:rPr>
          <w:fldChar w:fldCharType="separate"/>
        </w:r>
        <w:r w:rsidR="00A50AE4">
          <w:rPr>
            <w:noProof/>
            <w:webHidden/>
          </w:rPr>
          <w:t>99</w:t>
        </w:r>
        <w:r w:rsidR="0050673C">
          <w:rPr>
            <w:noProof/>
            <w:webHidden/>
          </w:rPr>
          <w:fldChar w:fldCharType="end"/>
        </w:r>
      </w:hyperlink>
    </w:p>
    <w:p w14:paraId="22EDA9F7" w14:textId="77777777" w:rsidR="0050673C" w:rsidRDefault="009D3208">
      <w:pPr>
        <w:pStyle w:val="TJ3"/>
        <w:tabs>
          <w:tab w:val="left" w:pos="1320"/>
        </w:tabs>
        <w:rPr>
          <w:rFonts w:asciiTheme="minorHAnsi" w:eastAsiaTheme="minorEastAsia" w:hAnsiTheme="minorHAnsi" w:cstheme="minorBidi"/>
          <w:noProof/>
          <w:color w:val="auto"/>
        </w:rPr>
      </w:pPr>
      <w:hyperlink w:anchor="_Toc468191476" w:history="1">
        <w:r w:rsidR="0050673C" w:rsidRPr="00AC1453">
          <w:rPr>
            <w:rStyle w:val="Hiperhivatkozs"/>
            <w:noProof/>
          </w:rPr>
          <w:t>V.3.2</w:t>
        </w:r>
        <w:r w:rsidR="0050673C">
          <w:rPr>
            <w:rFonts w:asciiTheme="minorHAnsi" w:eastAsiaTheme="minorEastAsia" w:hAnsiTheme="minorHAnsi" w:cstheme="minorBidi"/>
            <w:noProof/>
            <w:color w:val="auto"/>
          </w:rPr>
          <w:tab/>
        </w:r>
        <w:r w:rsidR="0050673C" w:rsidRPr="00AC1453">
          <w:rPr>
            <w:rStyle w:val="Hiperhivatkozs"/>
            <w:noProof/>
          </w:rPr>
          <w:t>Integrált kockázatkezelési szemlélet érvényesítése</w:t>
        </w:r>
        <w:r w:rsidR="0050673C">
          <w:rPr>
            <w:noProof/>
            <w:webHidden/>
          </w:rPr>
          <w:tab/>
        </w:r>
        <w:r w:rsidR="0050673C">
          <w:rPr>
            <w:noProof/>
            <w:webHidden/>
          </w:rPr>
          <w:fldChar w:fldCharType="begin"/>
        </w:r>
        <w:r w:rsidR="0050673C">
          <w:rPr>
            <w:noProof/>
            <w:webHidden/>
          </w:rPr>
          <w:instrText xml:space="preserve"> PAGEREF _Toc468191476 \h </w:instrText>
        </w:r>
        <w:r w:rsidR="0050673C">
          <w:rPr>
            <w:noProof/>
            <w:webHidden/>
          </w:rPr>
        </w:r>
        <w:r w:rsidR="0050673C">
          <w:rPr>
            <w:noProof/>
            <w:webHidden/>
          </w:rPr>
          <w:fldChar w:fldCharType="separate"/>
        </w:r>
        <w:r w:rsidR="00A50AE4">
          <w:rPr>
            <w:noProof/>
            <w:webHidden/>
          </w:rPr>
          <w:t>99</w:t>
        </w:r>
        <w:r w:rsidR="0050673C">
          <w:rPr>
            <w:noProof/>
            <w:webHidden/>
          </w:rPr>
          <w:fldChar w:fldCharType="end"/>
        </w:r>
      </w:hyperlink>
    </w:p>
    <w:p w14:paraId="129E3A2F" w14:textId="77777777" w:rsidR="0050673C" w:rsidRDefault="009D3208">
      <w:pPr>
        <w:pStyle w:val="TJ2"/>
        <w:tabs>
          <w:tab w:val="left" w:pos="880"/>
        </w:tabs>
        <w:rPr>
          <w:rFonts w:asciiTheme="minorHAnsi" w:eastAsiaTheme="minorEastAsia" w:hAnsiTheme="minorHAnsi" w:cstheme="minorBidi"/>
          <w:color w:val="auto"/>
        </w:rPr>
      </w:pPr>
      <w:hyperlink w:anchor="_Toc468191477" w:history="1">
        <w:r w:rsidR="0050673C" w:rsidRPr="00AC1453">
          <w:rPr>
            <w:rStyle w:val="Hiperhivatkozs"/>
          </w:rPr>
          <w:t>V.4</w:t>
        </w:r>
        <w:r w:rsidR="0050673C">
          <w:rPr>
            <w:rFonts w:asciiTheme="minorHAnsi" w:eastAsiaTheme="minorEastAsia" w:hAnsiTheme="minorHAnsi" w:cstheme="minorBidi"/>
            <w:color w:val="auto"/>
          </w:rPr>
          <w:tab/>
        </w:r>
        <w:r w:rsidR="0050673C" w:rsidRPr="00AC1453">
          <w:rPr>
            <w:rStyle w:val="Hiperhivatkozs"/>
          </w:rPr>
          <w:t>Tőkeszükséglet meghatározása</w:t>
        </w:r>
        <w:r w:rsidR="0050673C">
          <w:rPr>
            <w:webHidden/>
          </w:rPr>
          <w:tab/>
        </w:r>
        <w:r w:rsidR="0050673C">
          <w:rPr>
            <w:webHidden/>
          </w:rPr>
          <w:fldChar w:fldCharType="begin"/>
        </w:r>
        <w:r w:rsidR="0050673C">
          <w:rPr>
            <w:webHidden/>
          </w:rPr>
          <w:instrText xml:space="preserve"> PAGEREF _Toc468191477 \h </w:instrText>
        </w:r>
        <w:r w:rsidR="0050673C">
          <w:rPr>
            <w:webHidden/>
          </w:rPr>
        </w:r>
        <w:r w:rsidR="0050673C">
          <w:rPr>
            <w:webHidden/>
          </w:rPr>
          <w:fldChar w:fldCharType="separate"/>
        </w:r>
        <w:r w:rsidR="00A50AE4">
          <w:rPr>
            <w:webHidden/>
          </w:rPr>
          <w:t>101</w:t>
        </w:r>
        <w:r w:rsidR="0050673C">
          <w:rPr>
            <w:webHidden/>
          </w:rPr>
          <w:fldChar w:fldCharType="end"/>
        </w:r>
      </w:hyperlink>
    </w:p>
    <w:p w14:paraId="5B2AC6B2" w14:textId="6A96EDBE" w:rsidR="0050673C" w:rsidRDefault="009D3208">
      <w:pPr>
        <w:pStyle w:val="TJ3"/>
        <w:tabs>
          <w:tab w:val="left" w:pos="1320"/>
        </w:tabs>
        <w:rPr>
          <w:rFonts w:asciiTheme="minorHAnsi" w:eastAsiaTheme="minorEastAsia" w:hAnsiTheme="minorHAnsi" w:cstheme="minorBidi"/>
          <w:noProof/>
          <w:color w:val="auto"/>
        </w:rPr>
      </w:pPr>
      <w:hyperlink w:anchor="_Toc468191478" w:history="1">
        <w:r w:rsidR="0050673C" w:rsidRPr="00AC1453">
          <w:rPr>
            <w:rStyle w:val="Hiperhivatkozs"/>
            <w:noProof/>
          </w:rPr>
          <w:t>V.4.1</w:t>
        </w:r>
        <w:r w:rsidR="0050673C">
          <w:rPr>
            <w:rFonts w:asciiTheme="minorHAnsi" w:eastAsiaTheme="minorEastAsia" w:hAnsiTheme="minorHAnsi" w:cstheme="minorBidi"/>
            <w:noProof/>
            <w:color w:val="auto"/>
          </w:rPr>
          <w:tab/>
        </w:r>
        <w:r w:rsidR="0050673C" w:rsidRPr="00AC1453">
          <w:rPr>
            <w:rStyle w:val="Hiperhivatkozs"/>
            <w:noProof/>
          </w:rPr>
          <w:t>Különbségek az alkalmazott módszerek kifinomultságában</w:t>
        </w:r>
        <w:r w:rsidR="0050673C">
          <w:rPr>
            <w:noProof/>
            <w:webHidden/>
          </w:rPr>
          <w:tab/>
        </w:r>
        <w:r w:rsidR="0050673C">
          <w:rPr>
            <w:noProof/>
            <w:webHidden/>
          </w:rPr>
          <w:fldChar w:fldCharType="begin"/>
        </w:r>
        <w:r w:rsidR="0050673C">
          <w:rPr>
            <w:noProof/>
            <w:webHidden/>
          </w:rPr>
          <w:instrText xml:space="preserve"> PAGEREF _Toc468191478 \h </w:instrText>
        </w:r>
        <w:r w:rsidR="0050673C">
          <w:rPr>
            <w:noProof/>
            <w:webHidden/>
          </w:rPr>
        </w:r>
        <w:r w:rsidR="0050673C">
          <w:rPr>
            <w:noProof/>
            <w:webHidden/>
          </w:rPr>
          <w:fldChar w:fldCharType="separate"/>
        </w:r>
        <w:r w:rsidR="00A50AE4">
          <w:rPr>
            <w:noProof/>
            <w:webHidden/>
          </w:rPr>
          <w:t>102</w:t>
        </w:r>
        <w:r w:rsidR="0050673C">
          <w:rPr>
            <w:noProof/>
            <w:webHidden/>
          </w:rPr>
          <w:fldChar w:fldCharType="end"/>
        </w:r>
      </w:hyperlink>
    </w:p>
    <w:p w14:paraId="131583E7" w14:textId="77777777" w:rsidR="0050673C" w:rsidRDefault="009D3208">
      <w:pPr>
        <w:pStyle w:val="TJ3"/>
        <w:tabs>
          <w:tab w:val="left" w:pos="1320"/>
        </w:tabs>
        <w:rPr>
          <w:rFonts w:asciiTheme="minorHAnsi" w:eastAsiaTheme="minorEastAsia" w:hAnsiTheme="minorHAnsi" w:cstheme="minorBidi"/>
          <w:noProof/>
          <w:color w:val="auto"/>
        </w:rPr>
      </w:pPr>
      <w:hyperlink w:anchor="_Toc468191479" w:history="1">
        <w:r w:rsidR="0050673C" w:rsidRPr="00AC1453">
          <w:rPr>
            <w:rStyle w:val="Hiperhivatkozs"/>
            <w:noProof/>
          </w:rPr>
          <w:t>V.4.2</w:t>
        </w:r>
        <w:r w:rsidR="0050673C">
          <w:rPr>
            <w:rFonts w:asciiTheme="minorHAnsi" w:eastAsiaTheme="minorEastAsia" w:hAnsiTheme="minorHAnsi" w:cstheme="minorBidi"/>
            <w:noProof/>
            <w:color w:val="auto"/>
          </w:rPr>
          <w:tab/>
        </w:r>
        <w:r w:rsidR="0050673C" w:rsidRPr="00AC1453">
          <w:rPr>
            <w:rStyle w:val="Hiperhivatkozs"/>
            <w:noProof/>
          </w:rPr>
          <w:t>Lehetséges eltérések az 1. és 2. pillér között</w:t>
        </w:r>
        <w:r w:rsidR="0050673C">
          <w:rPr>
            <w:noProof/>
            <w:webHidden/>
          </w:rPr>
          <w:tab/>
        </w:r>
        <w:r w:rsidR="0050673C">
          <w:rPr>
            <w:noProof/>
            <w:webHidden/>
          </w:rPr>
          <w:fldChar w:fldCharType="begin"/>
        </w:r>
        <w:r w:rsidR="0050673C">
          <w:rPr>
            <w:noProof/>
            <w:webHidden/>
          </w:rPr>
          <w:instrText xml:space="preserve"> PAGEREF _Toc468191479 \h </w:instrText>
        </w:r>
        <w:r w:rsidR="0050673C">
          <w:rPr>
            <w:noProof/>
            <w:webHidden/>
          </w:rPr>
        </w:r>
        <w:r w:rsidR="0050673C">
          <w:rPr>
            <w:noProof/>
            <w:webHidden/>
          </w:rPr>
          <w:fldChar w:fldCharType="separate"/>
        </w:r>
        <w:r w:rsidR="00A50AE4">
          <w:rPr>
            <w:noProof/>
            <w:webHidden/>
          </w:rPr>
          <w:t>102</w:t>
        </w:r>
        <w:r w:rsidR="0050673C">
          <w:rPr>
            <w:noProof/>
            <w:webHidden/>
          </w:rPr>
          <w:fldChar w:fldCharType="end"/>
        </w:r>
      </w:hyperlink>
    </w:p>
    <w:p w14:paraId="3B71FFFF" w14:textId="77777777" w:rsidR="0050673C" w:rsidRDefault="009D3208">
      <w:pPr>
        <w:pStyle w:val="TJ3"/>
        <w:tabs>
          <w:tab w:val="left" w:pos="1320"/>
        </w:tabs>
        <w:rPr>
          <w:rFonts w:asciiTheme="minorHAnsi" w:eastAsiaTheme="minorEastAsia" w:hAnsiTheme="minorHAnsi" w:cstheme="minorBidi"/>
          <w:noProof/>
          <w:color w:val="auto"/>
        </w:rPr>
      </w:pPr>
      <w:hyperlink w:anchor="_Toc468191480" w:history="1">
        <w:r w:rsidR="0050673C" w:rsidRPr="00AC1453">
          <w:rPr>
            <w:rStyle w:val="Hiperhivatkozs"/>
            <w:noProof/>
          </w:rPr>
          <w:t>V.4.3</w:t>
        </w:r>
        <w:r w:rsidR="0050673C">
          <w:rPr>
            <w:rFonts w:asciiTheme="minorHAnsi" w:eastAsiaTheme="minorEastAsia" w:hAnsiTheme="minorHAnsi" w:cstheme="minorBidi"/>
            <w:noProof/>
            <w:color w:val="auto"/>
          </w:rPr>
          <w:tab/>
        </w:r>
        <w:r w:rsidR="0050673C" w:rsidRPr="00AC1453">
          <w:rPr>
            <w:rStyle w:val="Hiperhivatkozs"/>
            <w:noProof/>
          </w:rPr>
          <w:t>Tőkeallokáció</w:t>
        </w:r>
        <w:r w:rsidR="0050673C">
          <w:rPr>
            <w:noProof/>
            <w:webHidden/>
          </w:rPr>
          <w:tab/>
        </w:r>
        <w:r w:rsidR="0050673C">
          <w:rPr>
            <w:noProof/>
            <w:webHidden/>
          </w:rPr>
          <w:fldChar w:fldCharType="begin"/>
        </w:r>
        <w:r w:rsidR="0050673C">
          <w:rPr>
            <w:noProof/>
            <w:webHidden/>
          </w:rPr>
          <w:instrText xml:space="preserve"> PAGEREF _Toc468191480 \h </w:instrText>
        </w:r>
        <w:r w:rsidR="0050673C">
          <w:rPr>
            <w:noProof/>
            <w:webHidden/>
          </w:rPr>
        </w:r>
        <w:r w:rsidR="0050673C">
          <w:rPr>
            <w:noProof/>
            <w:webHidden/>
          </w:rPr>
          <w:fldChar w:fldCharType="separate"/>
        </w:r>
        <w:r w:rsidR="00A50AE4">
          <w:rPr>
            <w:noProof/>
            <w:webHidden/>
          </w:rPr>
          <w:t>104</w:t>
        </w:r>
        <w:r w:rsidR="0050673C">
          <w:rPr>
            <w:noProof/>
            <w:webHidden/>
          </w:rPr>
          <w:fldChar w:fldCharType="end"/>
        </w:r>
      </w:hyperlink>
    </w:p>
    <w:p w14:paraId="1F76B3A1" w14:textId="77777777" w:rsidR="0050673C" w:rsidRDefault="009D3208">
      <w:pPr>
        <w:pStyle w:val="TJ3"/>
        <w:tabs>
          <w:tab w:val="left" w:pos="1320"/>
        </w:tabs>
        <w:rPr>
          <w:rFonts w:asciiTheme="minorHAnsi" w:eastAsiaTheme="minorEastAsia" w:hAnsiTheme="minorHAnsi" w:cstheme="minorBidi"/>
          <w:noProof/>
          <w:color w:val="auto"/>
        </w:rPr>
      </w:pPr>
      <w:hyperlink w:anchor="_Toc468191481" w:history="1">
        <w:r w:rsidR="0050673C" w:rsidRPr="00AC1453">
          <w:rPr>
            <w:rStyle w:val="Hiperhivatkozs"/>
            <w:noProof/>
          </w:rPr>
          <w:t>V.4.4</w:t>
        </w:r>
        <w:r w:rsidR="0050673C">
          <w:rPr>
            <w:rFonts w:asciiTheme="minorHAnsi" w:eastAsiaTheme="minorEastAsia" w:hAnsiTheme="minorHAnsi" w:cstheme="minorBidi"/>
            <w:noProof/>
            <w:color w:val="auto"/>
          </w:rPr>
          <w:tab/>
        </w:r>
        <w:r w:rsidR="0050673C" w:rsidRPr="00AC1453">
          <w:rPr>
            <w:rStyle w:val="Hiperhivatkozs"/>
            <w:noProof/>
          </w:rPr>
          <w:t>A tőkeszükséglet megállapítása a felügyeleti felülvizsgálat után</w:t>
        </w:r>
        <w:r w:rsidR="0050673C">
          <w:rPr>
            <w:noProof/>
            <w:webHidden/>
          </w:rPr>
          <w:tab/>
        </w:r>
        <w:r w:rsidR="0050673C">
          <w:rPr>
            <w:noProof/>
            <w:webHidden/>
          </w:rPr>
          <w:fldChar w:fldCharType="begin"/>
        </w:r>
        <w:r w:rsidR="0050673C">
          <w:rPr>
            <w:noProof/>
            <w:webHidden/>
          </w:rPr>
          <w:instrText xml:space="preserve"> PAGEREF _Toc468191481 \h </w:instrText>
        </w:r>
        <w:r w:rsidR="0050673C">
          <w:rPr>
            <w:noProof/>
            <w:webHidden/>
          </w:rPr>
        </w:r>
        <w:r w:rsidR="0050673C">
          <w:rPr>
            <w:noProof/>
            <w:webHidden/>
          </w:rPr>
          <w:fldChar w:fldCharType="separate"/>
        </w:r>
        <w:r w:rsidR="00A50AE4">
          <w:rPr>
            <w:noProof/>
            <w:webHidden/>
          </w:rPr>
          <w:t>104</w:t>
        </w:r>
        <w:r w:rsidR="0050673C">
          <w:rPr>
            <w:noProof/>
            <w:webHidden/>
          </w:rPr>
          <w:fldChar w:fldCharType="end"/>
        </w:r>
      </w:hyperlink>
    </w:p>
    <w:p w14:paraId="27D5E0BC"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2" w:history="1">
        <w:r w:rsidR="0050673C" w:rsidRPr="00AC1453">
          <w:rPr>
            <w:rStyle w:val="Hiperhivatkozs"/>
            <w:noProof/>
          </w:rPr>
          <w:t>V.4.4.1</w:t>
        </w:r>
        <w:r w:rsidR="0050673C">
          <w:rPr>
            <w:rFonts w:asciiTheme="minorHAnsi" w:eastAsiaTheme="minorEastAsia" w:hAnsiTheme="minorHAnsi" w:cstheme="minorBidi"/>
            <w:noProof/>
            <w:color w:val="auto"/>
          </w:rPr>
          <w:tab/>
        </w:r>
        <w:r w:rsidR="0050673C" w:rsidRPr="00AC1453">
          <w:rPr>
            <w:rStyle w:val="Hiperhivatkozs"/>
            <w:noProof/>
          </w:rPr>
          <w:t>Pótlólagos többlet-tőkekövetelmény meghatározása</w:t>
        </w:r>
        <w:r w:rsidR="0050673C">
          <w:rPr>
            <w:noProof/>
            <w:webHidden/>
          </w:rPr>
          <w:tab/>
        </w:r>
        <w:r w:rsidR="0050673C">
          <w:rPr>
            <w:noProof/>
            <w:webHidden/>
          </w:rPr>
          <w:fldChar w:fldCharType="begin"/>
        </w:r>
        <w:r w:rsidR="0050673C">
          <w:rPr>
            <w:noProof/>
            <w:webHidden/>
          </w:rPr>
          <w:instrText xml:space="preserve"> PAGEREF _Toc468191482 \h </w:instrText>
        </w:r>
        <w:r w:rsidR="0050673C">
          <w:rPr>
            <w:noProof/>
            <w:webHidden/>
          </w:rPr>
        </w:r>
        <w:r w:rsidR="0050673C">
          <w:rPr>
            <w:noProof/>
            <w:webHidden/>
          </w:rPr>
          <w:fldChar w:fldCharType="separate"/>
        </w:r>
        <w:r w:rsidR="00A50AE4">
          <w:rPr>
            <w:noProof/>
            <w:webHidden/>
          </w:rPr>
          <w:t>104</w:t>
        </w:r>
        <w:r w:rsidR="0050673C">
          <w:rPr>
            <w:noProof/>
            <w:webHidden/>
          </w:rPr>
          <w:fldChar w:fldCharType="end"/>
        </w:r>
      </w:hyperlink>
    </w:p>
    <w:p w14:paraId="531B5D72"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3" w:history="1">
        <w:r w:rsidR="0050673C" w:rsidRPr="00AC1453">
          <w:rPr>
            <w:rStyle w:val="Hiperhivatkozs"/>
            <w:noProof/>
          </w:rPr>
          <w:t>V.4.4.2</w:t>
        </w:r>
        <w:r w:rsidR="0050673C">
          <w:rPr>
            <w:rFonts w:asciiTheme="minorHAnsi" w:eastAsiaTheme="minorEastAsia" w:hAnsiTheme="minorHAnsi" w:cstheme="minorBidi"/>
            <w:noProof/>
            <w:color w:val="auto"/>
          </w:rPr>
          <w:tab/>
        </w:r>
        <w:r w:rsidR="0050673C" w:rsidRPr="00AC1453">
          <w:rPr>
            <w:rStyle w:val="Hiperhivatkozs"/>
            <w:noProof/>
          </w:rPr>
          <w:t>SREP tőkekövetelmény (TSCR)</w:t>
        </w:r>
        <w:r w:rsidR="0050673C">
          <w:rPr>
            <w:noProof/>
            <w:webHidden/>
          </w:rPr>
          <w:tab/>
        </w:r>
        <w:r w:rsidR="0050673C">
          <w:rPr>
            <w:noProof/>
            <w:webHidden/>
          </w:rPr>
          <w:fldChar w:fldCharType="begin"/>
        </w:r>
        <w:r w:rsidR="0050673C">
          <w:rPr>
            <w:noProof/>
            <w:webHidden/>
          </w:rPr>
          <w:instrText xml:space="preserve"> PAGEREF _Toc468191483 \h </w:instrText>
        </w:r>
        <w:r w:rsidR="0050673C">
          <w:rPr>
            <w:noProof/>
            <w:webHidden/>
          </w:rPr>
        </w:r>
        <w:r w:rsidR="0050673C">
          <w:rPr>
            <w:noProof/>
            <w:webHidden/>
          </w:rPr>
          <w:fldChar w:fldCharType="separate"/>
        </w:r>
        <w:r w:rsidR="00A50AE4">
          <w:rPr>
            <w:noProof/>
            <w:webHidden/>
          </w:rPr>
          <w:t>106</w:t>
        </w:r>
        <w:r w:rsidR="0050673C">
          <w:rPr>
            <w:noProof/>
            <w:webHidden/>
          </w:rPr>
          <w:fldChar w:fldCharType="end"/>
        </w:r>
      </w:hyperlink>
    </w:p>
    <w:p w14:paraId="5BDCAD63"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4" w:history="1">
        <w:r w:rsidR="0050673C" w:rsidRPr="00AC1453">
          <w:rPr>
            <w:rStyle w:val="Hiperhivatkozs"/>
            <w:noProof/>
          </w:rPr>
          <w:t>V.4.4.3</w:t>
        </w:r>
        <w:r w:rsidR="0050673C">
          <w:rPr>
            <w:rFonts w:asciiTheme="minorHAnsi" w:eastAsiaTheme="minorEastAsia" w:hAnsiTheme="minorHAnsi" w:cstheme="minorBidi"/>
            <w:noProof/>
            <w:color w:val="auto"/>
          </w:rPr>
          <w:tab/>
        </w:r>
        <w:r w:rsidR="0050673C" w:rsidRPr="00AC1453">
          <w:rPr>
            <w:rStyle w:val="Hiperhivatkozs"/>
            <w:noProof/>
          </w:rPr>
          <w:t>SREP tőkekövetelmény mutató</w:t>
        </w:r>
        <w:r w:rsidR="0050673C">
          <w:rPr>
            <w:noProof/>
            <w:webHidden/>
          </w:rPr>
          <w:tab/>
        </w:r>
        <w:r w:rsidR="0050673C">
          <w:rPr>
            <w:noProof/>
            <w:webHidden/>
          </w:rPr>
          <w:fldChar w:fldCharType="begin"/>
        </w:r>
        <w:r w:rsidR="0050673C">
          <w:rPr>
            <w:noProof/>
            <w:webHidden/>
          </w:rPr>
          <w:instrText xml:space="preserve"> PAGEREF _Toc468191484 \h </w:instrText>
        </w:r>
        <w:r w:rsidR="0050673C">
          <w:rPr>
            <w:noProof/>
            <w:webHidden/>
          </w:rPr>
        </w:r>
        <w:r w:rsidR="0050673C">
          <w:rPr>
            <w:noProof/>
            <w:webHidden/>
          </w:rPr>
          <w:fldChar w:fldCharType="separate"/>
        </w:r>
        <w:r w:rsidR="00A50AE4">
          <w:rPr>
            <w:noProof/>
            <w:webHidden/>
          </w:rPr>
          <w:t>106</w:t>
        </w:r>
        <w:r w:rsidR="0050673C">
          <w:rPr>
            <w:noProof/>
            <w:webHidden/>
          </w:rPr>
          <w:fldChar w:fldCharType="end"/>
        </w:r>
      </w:hyperlink>
    </w:p>
    <w:p w14:paraId="3BF49A0A"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5" w:history="1">
        <w:r w:rsidR="0050673C" w:rsidRPr="00AC1453">
          <w:rPr>
            <w:rStyle w:val="Hiperhivatkozs"/>
            <w:noProof/>
          </w:rPr>
          <w:t>V.4.4.4</w:t>
        </w:r>
        <w:r w:rsidR="0050673C">
          <w:rPr>
            <w:rFonts w:asciiTheme="minorHAnsi" w:eastAsiaTheme="minorEastAsia" w:hAnsiTheme="minorHAnsi" w:cstheme="minorBidi"/>
            <w:noProof/>
            <w:color w:val="auto"/>
          </w:rPr>
          <w:tab/>
        </w:r>
        <w:r w:rsidR="0050673C" w:rsidRPr="00AC1453">
          <w:rPr>
            <w:rStyle w:val="Hiperhivatkozs"/>
            <w:noProof/>
          </w:rPr>
          <w:t>Kombinált tőkepuffer-követelmény</w:t>
        </w:r>
        <w:r w:rsidR="0050673C">
          <w:rPr>
            <w:noProof/>
            <w:webHidden/>
          </w:rPr>
          <w:tab/>
        </w:r>
        <w:r w:rsidR="0050673C">
          <w:rPr>
            <w:noProof/>
            <w:webHidden/>
          </w:rPr>
          <w:fldChar w:fldCharType="begin"/>
        </w:r>
        <w:r w:rsidR="0050673C">
          <w:rPr>
            <w:noProof/>
            <w:webHidden/>
          </w:rPr>
          <w:instrText xml:space="preserve"> PAGEREF _Toc468191485 \h </w:instrText>
        </w:r>
        <w:r w:rsidR="0050673C">
          <w:rPr>
            <w:noProof/>
            <w:webHidden/>
          </w:rPr>
        </w:r>
        <w:r w:rsidR="0050673C">
          <w:rPr>
            <w:noProof/>
            <w:webHidden/>
          </w:rPr>
          <w:fldChar w:fldCharType="separate"/>
        </w:r>
        <w:r w:rsidR="00A50AE4">
          <w:rPr>
            <w:noProof/>
            <w:webHidden/>
          </w:rPr>
          <w:t>107</w:t>
        </w:r>
        <w:r w:rsidR="0050673C">
          <w:rPr>
            <w:noProof/>
            <w:webHidden/>
          </w:rPr>
          <w:fldChar w:fldCharType="end"/>
        </w:r>
      </w:hyperlink>
    </w:p>
    <w:p w14:paraId="31C63AC4"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6" w:history="1">
        <w:r w:rsidR="0050673C" w:rsidRPr="00AC1453">
          <w:rPr>
            <w:rStyle w:val="Hiperhivatkozs"/>
            <w:noProof/>
          </w:rPr>
          <w:t>V.4.4.5</w:t>
        </w:r>
        <w:r w:rsidR="0050673C">
          <w:rPr>
            <w:rFonts w:asciiTheme="minorHAnsi" w:eastAsiaTheme="minorEastAsia" w:hAnsiTheme="minorHAnsi" w:cstheme="minorBidi"/>
            <w:noProof/>
            <w:color w:val="auto"/>
          </w:rPr>
          <w:tab/>
        </w:r>
        <w:r w:rsidR="0050673C" w:rsidRPr="00AC1453">
          <w:rPr>
            <w:rStyle w:val="Hiperhivatkozs"/>
            <w:noProof/>
          </w:rPr>
          <w:t>Teljes tőkekövetelmény (OCR)</w:t>
        </w:r>
        <w:r w:rsidR="0050673C">
          <w:rPr>
            <w:noProof/>
            <w:webHidden/>
          </w:rPr>
          <w:tab/>
        </w:r>
        <w:r w:rsidR="0050673C">
          <w:rPr>
            <w:noProof/>
            <w:webHidden/>
          </w:rPr>
          <w:fldChar w:fldCharType="begin"/>
        </w:r>
        <w:r w:rsidR="0050673C">
          <w:rPr>
            <w:noProof/>
            <w:webHidden/>
          </w:rPr>
          <w:instrText xml:space="preserve"> PAGEREF _Toc468191486 \h </w:instrText>
        </w:r>
        <w:r w:rsidR="0050673C">
          <w:rPr>
            <w:noProof/>
            <w:webHidden/>
          </w:rPr>
        </w:r>
        <w:r w:rsidR="0050673C">
          <w:rPr>
            <w:noProof/>
            <w:webHidden/>
          </w:rPr>
          <w:fldChar w:fldCharType="separate"/>
        </w:r>
        <w:r w:rsidR="00A50AE4">
          <w:rPr>
            <w:noProof/>
            <w:webHidden/>
          </w:rPr>
          <w:t>108</w:t>
        </w:r>
        <w:r w:rsidR="0050673C">
          <w:rPr>
            <w:noProof/>
            <w:webHidden/>
          </w:rPr>
          <w:fldChar w:fldCharType="end"/>
        </w:r>
      </w:hyperlink>
    </w:p>
    <w:p w14:paraId="1CC92F79" w14:textId="77777777" w:rsidR="0050673C" w:rsidRDefault="009D3208">
      <w:pPr>
        <w:pStyle w:val="TJ4"/>
        <w:tabs>
          <w:tab w:val="left" w:pos="1760"/>
          <w:tab w:val="right" w:leader="dot" w:pos="9346"/>
        </w:tabs>
        <w:rPr>
          <w:rFonts w:asciiTheme="minorHAnsi" w:eastAsiaTheme="minorEastAsia" w:hAnsiTheme="minorHAnsi" w:cstheme="minorBidi"/>
          <w:noProof/>
          <w:color w:val="auto"/>
        </w:rPr>
      </w:pPr>
      <w:hyperlink w:anchor="_Toc468191487" w:history="1">
        <w:r w:rsidR="0050673C" w:rsidRPr="00AC1453">
          <w:rPr>
            <w:rStyle w:val="Hiperhivatkozs"/>
            <w:noProof/>
          </w:rPr>
          <w:t>V.4.4.6</w:t>
        </w:r>
        <w:r w:rsidR="0050673C">
          <w:rPr>
            <w:rFonts w:asciiTheme="minorHAnsi" w:eastAsiaTheme="minorEastAsia" w:hAnsiTheme="minorHAnsi" w:cstheme="minorBidi"/>
            <w:noProof/>
            <w:color w:val="auto"/>
          </w:rPr>
          <w:tab/>
        </w:r>
        <w:r w:rsidR="0050673C" w:rsidRPr="00AC1453">
          <w:rPr>
            <w:rStyle w:val="Hiperhivatkozs"/>
            <w:noProof/>
          </w:rPr>
          <w:t>Tőkemegfelelés a gazdasági cikluson keresztül</w:t>
        </w:r>
        <w:r w:rsidR="0050673C">
          <w:rPr>
            <w:noProof/>
            <w:webHidden/>
          </w:rPr>
          <w:tab/>
        </w:r>
        <w:r w:rsidR="0050673C">
          <w:rPr>
            <w:noProof/>
            <w:webHidden/>
          </w:rPr>
          <w:fldChar w:fldCharType="begin"/>
        </w:r>
        <w:r w:rsidR="0050673C">
          <w:rPr>
            <w:noProof/>
            <w:webHidden/>
          </w:rPr>
          <w:instrText xml:space="preserve"> PAGEREF _Toc468191487 \h </w:instrText>
        </w:r>
        <w:r w:rsidR="0050673C">
          <w:rPr>
            <w:noProof/>
            <w:webHidden/>
          </w:rPr>
        </w:r>
        <w:r w:rsidR="0050673C">
          <w:rPr>
            <w:noProof/>
            <w:webHidden/>
          </w:rPr>
          <w:fldChar w:fldCharType="separate"/>
        </w:r>
        <w:r w:rsidR="00A50AE4">
          <w:rPr>
            <w:noProof/>
            <w:webHidden/>
          </w:rPr>
          <w:t>108</w:t>
        </w:r>
        <w:r w:rsidR="0050673C">
          <w:rPr>
            <w:noProof/>
            <w:webHidden/>
          </w:rPr>
          <w:fldChar w:fldCharType="end"/>
        </w:r>
      </w:hyperlink>
    </w:p>
    <w:p w14:paraId="6D2EE642" w14:textId="77777777" w:rsidR="0050673C" w:rsidRDefault="009D3208">
      <w:pPr>
        <w:pStyle w:val="TJ1"/>
        <w:tabs>
          <w:tab w:val="left" w:pos="482"/>
        </w:tabs>
        <w:rPr>
          <w:rFonts w:asciiTheme="minorHAnsi" w:eastAsiaTheme="minorEastAsia" w:hAnsiTheme="minorHAnsi" w:cstheme="minorBidi"/>
          <w:b w:val="0"/>
          <w:color w:val="auto"/>
        </w:rPr>
      </w:pPr>
      <w:hyperlink w:anchor="_Toc468191488" w:history="1">
        <w:r w:rsidR="0050673C" w:rsidRPr="00AC1453">
          <w:rPr>
            <w:rStyle w:val="Hiperhivatkozs"/>
          </w:rPr>
          <w:t>VI.</w:t>
        </w:r>
        <w:r w:rsidR="0050673C">
          <w:rPr>
            <w:rFonts w:asciiTheme="minorHAnsi" w:eastAsiaTheme="minorEastAsia" w:hAnsiTheme="minorHAnsi" w:cstheme="minorBidi"/>
            <w:b w:val="0"/>
            <w:color w:val="auto"/>
          </w:rPr>
          <w:tab/>
        </w:r>
        <w:r w:rsidR="0050673C" w:rsidRPr="00AC1453">
          <w:rPr>
            <w:rStyle w:val="Hiperhivatkozs"/>
          </w:rPr>
          <w:t>Az ILAAP összetevői és felügyeleti felülvizsgálata</w:t>
        </w:r>
        <w:r w:rsidR="0050673C">
          <w:rPr>
            <w:webHidden/>
          </w:rPr>
          <w:tab/>
        </w:r>
        <w:r w:rsidR="0050673C">
          <w:rPr>
            <w:webHidden/>
          </w:rPr>
          <w:fldChar w:fldCharType="begin"/>
        </w:r>
        <w:r w:rsidR="0050673C">
          <w:rPr>
            <w:webHidden/>
          </w:rPr>
          <w:instrText xml:space="preserve"> PAGEREF _Toc468191488 \h </w:instrText>
        </w:r>
        <w:r w:rsidR="0050673C">
          <w:rPr>
            <w:webHidden/>
          </w:rPr>
        </w:r>
        <w:r w:rsidR="0050673C">
          <w:rPr>
            <w:webHidden/>
          </w:rPr>
          <w:fldChar w:fldCharType="separate"/>
        </w:r>
        <w:r w:rsidR="00A50AE4">
          <w:rPr>
            <w:webHidden/>
          </w:rPr>
          <w:t>109</w:t>
        </w:r>
        <w:r w:rsidR="0050673C">
          <w:rPr>
            <w:webHidden/>
          </w:rPr>
          <w:fldChar w:fldCharType="end"/>
        </w:r>
      </w:hyperlink>
    </w:p>
    <w:p w14:paraId="3B445FBF" w14:textId="77777777" w:rsidR="0050673C" w:rsidRDefault="009D3208">
      <w:pPr>
        <w:pStyle w:val="TJ2"/>
        <w:tabs>
          <w:tab w:val="left" w:pos="880"/>
        </w:tabs>
        <w:rPr>
          <w:rFonts w:asciiTheme="minorHAnsi" w:eastAsiaTheme="minorEastAsia" w:hAnsiTheme="minorHAnsi" w:cstheme="minorBidi"/>
          <w:color w:val="auto"/>
        </w:rPr>
      </w:pPr>
      <w:hyperlink w:anchor="_Toc468191489" w:history="1">
        <w:r w:rsidR="0050673C" w:rsidRPr="00AC1453">
          <w:rPr>
            <w:rStyle w:val="Hiperhivatkozs"/>
          </w:rPr>
          <w:t>VI.1</w:t>
        </w:r>
        <w:r w:rsidR="0050673C">
          <w:rPr>
            <w:rFonts w:asciiTheme="minorHAnsi" w:eastAsiaTheme="minorEastAsia" w:hAnsiTheme="minorHAnsi" w:cstheme="minorBidi"/>
            <w:color w:val="auto"/>
          </w:rPr>
          <w:tab/>
        </w:r>
        <w:r w:rsidR="0050673C" w:rsidRPr="00AC1453">
          <w:rPr>
            <w:rStyle w:val="Hiperhivatkozs"/>
          </w:rPr>
          <w:t>A likviditási és finanszírozási kockázat belső, intézmény általi értékelése</w:t>
        </w:r>
        <w:r w:rsidR="0050673C">
          <w:rPr>
            <w:webHidden/>
          </w:rPr>
          <w:tab/>
        </w:r>
        <w:r w:rsidR="0050673C">
          <w:rPr>
            <w:webHidden/>
          </w:rPr>
          <w:fldChar w:fldCharType="begin"/>
        </w:r>
        <w:r w:rsidR="0050673C">
          <w:rPr>
            <w:webHidden/>
          </w:rPr>
          <w:instrText xml:space="preserve"> PAGEREF _Toc468191489 \h </w:instrText>
        </w:r>
        <w:r w:rsidR="0050673C">
          <w:rPr>
            <w:webHidden/>
          </w:rPr>
        </w:r>
        <w:r w:rsidR="0050673C">
          <w:rPr>
            <w:webHidden/>
          </w:rPr>
          <w:fldChar w:fldCharType="separate"/>
        </w:r>
        <w:r w:rsidR="00A50AE4">
          <w:rPr>
            <w:webHidden/>
          </w:rPr>
          <w:t>109</w:t>
        </w:r>
        <w:r w:rsidR="0050673C">
          <w:rPr>
            <w:webHidden/>
          </w:rPr>
          <w:fldChar w:fldCharType="end"/>
        </w:r>
      </w:hyperlink>
    </w:p>
    <w:p w14:paraId="491A0046" w14:textId="77777777" w:rsidR="0050673C" w:rsidRDefault="009D3208">
      <w:pPr>
        <w:pStyle w:val="TJ2"/>
        <w:tabs>
          <w:tab w:val="left" w:pos="880"/>
        </w:tabs>
        <w:rPr>
          <w:rFonts w:asciiTheme="minorHAnsi" w:eastAsiaTheme="minorEastAsia" w:hAnsiTheme="minorHAnsi" w:cstheme="minorBidi"/>
          <w:color w:val="auto"/>
        </w:rPr>
      </w:pPr>
      <w:hyperlink w:anchor="_Toc468191490" w:history="1">
        <w:r w:rsidR="0050673C" w:rsidRPr="00AC1453">
          <w:rPr>
            <w:rStyle w:val="Hiperhivatkozs"/>
          </w:rPr>
          <w:t>VI.2</w:t>
        </w:r>
        <w:r w:rsidR="0050673C">
          <w:rPr>
            <w:rFonts w:asciiTheme="minorHAnsi" w:eastAsiaTheme="minorEastAsia" w:hAnsiTheme="minorHAnsi" w:cstheme="minorBidi"/>
            <w:color w:val="auto"/>
          </w:rPr>
          <w:tab/>
        </w:r>
        <w:r w:rsidR="0050673C" w:rsidRPr="00AC1453">
          <w:rPr>
            <w:rStyle w:val="Hiperhivatkozs"/>
          </w:rPr>
          <w:t>A likviditás megfelelőségének felügyeleti felülvizsgálati folyamata</w:t>
        </w:r>
        <w:r w:rsidR="0050673C">
          <w:rPr>
            <w:webHidden/>
          </w:rPr>
          <w:tab/>
        </w:r>
        <w:r w:rsidR="0050673C">
          <w:rPr>
            <w:webHidden/>
          </w:rPr>
          <w:fldChar w:fldCharType="begin"/>
        </w:r>
        <w:r w:rsidR="0050673C">
          <w:rPr>
            <w:webHidden/>
          </w:rPr>
          <w:instrText xml:space="preserve"> PAGEREF _Toc468191490 \h </w:instrText>
        </w:r>
        <w:r w:rsidR="0050673C">
          <w:rPr>
            <w:webHidden/>
          </w:rPr>
        </w:r>
        <w:r w:rsidR="0050673C">
          <w:rPr>
            <w:webHidden/>
          </w:rPr>
          <w:fldChar w:fldCharType="separate"/>
        </w:r>
        <w:r w:rsidR="00A50AE4">
          <w:rPr>
            <w:webHidden/>
          </w:rPr>
          <w:t>111</w:t>
        </w:r>
        <w:r w:rsidR="0050673C">
          <w:rPr>
            <w:webHidden/>
          </w:rPr>
          <w:fldChar w:fldCharType="end"/>
        </w:r>
      </w:hyperlink>
    </w:p>
    <w:p w14:paraId="058947C3" w14:textId="77777777" w:rsidR="0050673C" w:rsidRDefault="009D3208">
      <w:pPr>
        <w:pStyle w:val="TJ3"/>
        <w:tabs>
          <w:tab w:val="left" w:pos="1320"/>
        </w:tabs>
        <w:rPr>
          <w:rFonts w:asciiTheme="minorHAnsi" w:eastAsiaTheme="minorEastAsia" w:hAnsiTheme="minorHAnsi" w:cstheme="minorBidi"/>
          <w:noProof/>
          <w:color w:val="auto"/>
        </w:rPr>
      </w:pPr>
      <w:hyperlink w:anchor="_Toc468191491" w:history="1">
        <w:r w:rsidR="0050673C" w:rsidRPr="00AC1453">
          <w:rPr>
            <w:rStyle w:val="Hiperhivatkozs"/>
            <w:noProof/>
          </w:rPr>
          <w:t>VI.2.1</w:t>
        </w:r>
        <w:r w:rsidR="0050673C">
          <w:rPr>
            <w:rFonts w:asciiTheme="minorHAnsi" w:eastAsiaTheme="minorEastAsia" w:hAnsiTheme="minorHAnsi" w:cstheme="minorBidi"/>
            <w:noProof/>
            <w:color w:val="auto"/>
          </w:rPr>
          <w:tab/>
        </w:r>
        <w:r w:rsidR="0050673C" w:rsidRPr="00AC1453">
          <w:rPr>
            <w:rStyle w:val="Hiperhivatkozs"/>
            <w:noProof/>
          </w:rPr>
          <w:t>A likviditási és finanszírozási kockázatok átfogó értékelése</w:t>
        </w:r>
        <w:r w:rsidR="0050673C">
          <w:rPr>
            <w:noProof/>
            <w:webHidden/>
          </w:rPr>
          <w:tab/>
        </w:r>
        <w:r w:rsidR="0050673C">
          <w:rPr>
            <w:noProof/>
            <w:webHidden/>
          </w:rPr>
          <w:fldChar w:fldCharType="begin"/>
        </w:r>
        <w:r w:rsidR="0050673C">
          <w:rPr>
            <w:noProof/>
            <w:webHidden/>
          </w:rPr>
          <w:instrText xml:space="preserve"> PAGEREF _Toc468191491 \h </w:instrText>
        </w:r>
        <w:r w:rsidR="0050673C">
          <w:rPr>
            <w:noProof/>
            <w:webHidden/>
          </w:rPr>
        </w:r>
        <w:r w:rsidR="0050673C">
          <w:rPr>
            <w:noProof/>
            <w:webHidden/>
          </w:rPr>
          <w:fldChar w:fldCharType="separate"/>
        </w:r>
        <w:r w:rsidR="00A50AE4">
          <w:rPr>
            <w:noProof/>
            <w:webHidden/>
          </w:rPr>
          <w:t>111</w:t>
        </w:r>
        <w:r w:rsidR="0050673C">
          <w:rPr>
            <w:noProof/>
            <w:webHidden/>
          </w:rPr>
          <w:fldChar w:fldCharType="end"/>
        </w:r>
      </w:hyperlink>
    </w:p>
    <w:p w14:paraId="7E92BE81" w14:textId="77777777" w:rsidR="0050673C" w:rsidRDefault="009D3208">
      <w:pPr>
        <w:pStyle w:val="TJ3"/>
        <w:tabs>
          <w:tab w:val="left" w:pos="1320"/>
        </w:tabs>
        <w:rPr>
          <w:rFonts w:asciiTheme="minorHAnsi" w:eastAsiaTheme="minorEastAsia" w:hAnsiTheme="minorHAnsi" w:cstheme="minorBidi"/>
          <w:noProof/>
          <w:color w:val="auto"/>
        </w:rPr>
      </w:pPr>
      <w:hyperlink w:anchor="_Toc468191492" w:history="1">
        <w:r w:rsidR="0050673C" w:rsidRPr="00AC1453">
          <w:rPr>
            <w:rStyle w:val="Hiperhivatkozs"/>
            <w:noProof/>
          </w:rPr>
          <w:t>VI.2.2</w:t>
        </w:r>
        <w:r w:rsidR="0050673C">
          <w:rPr>
            <w:rFonts w:asciiTheme="minorHAnsi" w:eastAsiaTheme="minorEastAsia" w:hAnsiTheme="minorHAnsi" w:cstheme="minorBidi"/>
            <w:noProof/>
            <w:color w:val="auto"/>
          </w:rPr>
          <w:tab/>
        </w:r>
        <w:r w:rsidR="0050673C" w:rsidRPr="00AC1453">
          <w:rPr>
            <w:rStyle w:val="Hiperhivatkozs"/>
            <w:noProof/>
          </w:rPr>
          <w:t>A megfelelő mennyiségű, megalapozott és hatékony likviditási fedezettség számszerűsítése</w:t>
        </w:r>
        <w:r w:rsidR="0050673C">
          <w:rPr>
            <w:noProof/>
            <w:webHidden/>
          </w:rPr>
          <w:tab/>
        </w:r>
        <w:r w:rsidR="0050673C">
          <w:rPr>
            <w:noProof/>
            <w:webHidden/>
          </w:rPr>
          <w:fldChar w:fldCharType="begin"/>
        </w:r>
        <w:r w:rsidR="0050673C">
          <w:rPr>
            <w:noProof/>
            <w:webHidden/>
          </w:rPr>
          <w:instrText xml:space="preserve"> PAGEREF _Toc468191492 \h </w:instrText>
        </w:r>
        <w:r w:rsidR="0050673C">
          <w:rPr>
            <w:noProof/>
            <w:webHidden/>
          </w:rPr>
        </w:r>
        <w:r w:rsidR="0050673C">
          <w:rPr>
            <w:noProof/>
            <w:webHidden/>
          </w:rPr>
          <w:fldChar w:fldCharType="separate"/>
        </w:r>
        <w:r w:rsidR="00A50AE4">
          <w:rPr>
            <w:noProof/>
            <w:webHidden/>
          </w:rPr>
          <w:t>113</w:t>
        </w:r>
        <w:r w:rsidR="0050673C">
          <w:rPr>
            <w:noProof/>
            <w:webHidden/>
          </w:rPr>
          <w:fldChar w:fldCharType="end"/>
        </w:r>
      </w:hyperlink>
    </w:p>
    <w:p w14:paraId="5EA363AE" w14:textId="3B2B6F4F" w:rsidR="0050673C" w:rsidRDefault="009D3208">
      <w:pPr>
        <w:pStyle w:val="TJ1"/>
        <w:tabs>
          <w:tab w:val="left" w:pos="720"/>
        </w:tabs>
        <w:rPr>
          <w:rFonts w:asciiTheme="minorHAnsi" w:eastAsiaTheme="minorEastAsia" w:hAnsiTheme="minorHAnsi" w:cstheme="minorBidi"/>
          <w:b w:val="0"/>
          <w:color w:val="auto"/>
        </w:rPr>
      </w:pPr>
      <w:hyperlink w:anchor="_Toc468191493" w:history="1">
        <w:r w:rsidR="0050673C" w:rsidRPr="00AC1453">
          <w:rPr>
            <w:rStyle w:val="Hiperhivatkozs"/>
          </w:rPr>
          <w:t>VII.</w:t>
        </w:r>
        <w:r w:rsidR="0050673C">
          <w:rPr>
            <w:rFonts w:asciiTheme="minorHAnsi" w:eastAsiaTheme="minorEastAsia" w:hAnsiTheme="minorHAnsi" w:cstheme="minorBidi"/>
            <w:b w:val="0"/>
            <w:color w:val="auto"/>
          </w:rPr>
          <w:tab/>
        </w:r>
        <w:r w:rsidR="0050673C" w:rsidRPr="00AC1453">
          <w:rPr>
            <w:rStyle w:val="Hiperhivatkozs"/>
          </w:rPr>
          <w:t>Az üzleti modell elemzés</w:t>
        </w:r>
        <w:r w:rsidR="0050673C">
          <w:rPr>
            <w:webHidden/>
          </w:rPr>
          <w:tab/>
        </w:r>
        <w:r w:rsidR="0050673C">
          <w:rPr>
            <w:webHidden/>
          </w:rPr>
          <w:fldChar w:fldCharType="begin"/>
        </w:r>
        <w:r w:rsidR="0050673C">
          <w:rPr>
            <w:webHidden/>
          </w:rPr>
          <w:instrText xml:space="preserve"> PAGEREF _Toc468191493 \h </w:instrText>
        </w:r>
        <w:r w:rsidR="0050673C">
          <w:rPr>
            <w:webHidden/>
          </w:rPr>
        </w:r>
        <w:r w:rsidR="0050673C">
          <w:rPr>
            <w:webHidden/>
          </w:rPr>
          <w:fldChar w:fldCharType="separate"/>
        </w:r>
        <w:r w:rsidR="00A50AE4">
          <w:rPr>
            <w:webHidden/>
          </w:rPr>
          <w:t>114</w:t>
        </w:r>
        <w:r w:rsidR="0050673C">
          <w:rPr>
            <w:webHidden/>
          </w:rPr>
          <w:fldChar w:fldCharType="end"/>
        </w:r>
      </w:hyperlink>
    </w:p>
    <w:p w14:paraId="3D33FDFA" w14:textId="0C5A0903" w:rsidR="0050673C" w:rsidRDefault="009D3208">
      <w:pPr>
        <w:pStyle w:val="TJ1"/>
        <w:tabs>
          <w:tab w:val="left" w:pos="720"/>
        </w:tabs>
        <w:rPr>
          <w:rFonts w:asciiTheme="minorHAnsi" w:eastAsiaTheme="minorEastAsia" w:hAnsiTheme="minorHAnsi" w:cstheme="minorBidi"/>
          <w:b w:val="0"/>
          <w:color w:val="auto"/>
        </w:rPr>
      </w:pPr>
      <w:hyperlink w:anchor="_Toc468191494" w:history="1">
        <w:r w:rsidR="0050673C" w:rsidRPr="00AC1453">
          <w:rPr>
            <w:rStyle w:val="Hiperhivatkozs"/>
          </w:rPr>
          <w:t>VIII.</w:t>
        </w:r>
        <w:r w:rsidR="0050673C">
          <w:rPr>
            <w:rFonts w:asciiTheme="minorHAnsi" w:eastAsiaTheme="minorEastAsia" w:hAnsiTheme="minorHAnsi" w:cstheme="minorBidi"/>
            <w:b w:val="0"/>
            <w:color w:val="auto"/>
          </w:rPr>
          <w:tab/>
        </w:r>
        <w:r w:rsidR="0050673C" w:rsidRPr="00AC1453">
          <w:rPr>
            <w:rStyle w:val="Hiperhivatkozs"/>
          </w:rPr>
          <w:t>A kis intézmények belső tőkeszükséglet-számítására, likviditás megfelelőségére vonatkozó felügyeleti elvárások és a vonatkozó felügyeleti felülvizsgálati folyamat</w:t>
        </w:r>
        <w:r w:rsidR="0050673C">
          <w:rPr>
            <w:webHidden/>
          </w:rPr>
          <w:tab/>
        </w:r>
        <w:r w:rsidR="0050673C">
          <w:rPr>
            <w:webHidden/>
          </w:rPr>
          <w:fldChar w:fldCharType="begin"/>
        </w:r>
        <w:r w:rsidR="0050673C">
          <w:rPr>
            <w:webHidden/>
          </w:rPr>
          <w:instrText xml:space="preserve"> PAGEREF _Toc468191494 \h </w:instrText>
        </w:r>
        <w:r w:rsidR="0050673C">
          <w:rPr>
            <w:webHidden/>
          </w:rPr>
        </w:r>
        <w:r w:rsidR="0050673C">
          <w:rPr>
            <w:webHidden/>
          </w:rPr>
          <w:fldChar w:fldCharType="separate"/>
        </w:r>
        <w:r w:rsidR="00A50AE4">
          <w:rPr>
            <w:webHidden/>
          </w:rPr>
          <w:t>117</w:t>
        </w:r>
        <w:r w:rsidR="0050673C">
          <w:rPr>
            <w:webHidden/>
          </w:rPr>
          <w:fldChar w:fldCharType="end"/>
        </w:r>
      </w:hyperlink>
    </w:p>
    <w:p w14:paraId="0EA32BA7" w14:textId="75186D5C" w:rsidR="0050673C" w:rsidRDefault="009D3208">
      <w:pPr>
        <w:pStyle w:val="TJ2"/>
        <w:tabs>
          <w:tab w:val="left" w:pos="1100"/>
        </w:tabs>
        <w:rPr>
          <w:rFonts w:asciiTheme="minorHAnsi" w:eastAsiaTheme="minorEastAsia" w:hAnsiTheme="minorHAnsi" w:cstheme="minorBidi"/>
          <w:color w:val="auto"/>
        </w:rPr>
      </w:pPr>
      <w:hyperlink w:anchor="_Toc468191495" w:history="1">
        <w:r w:rsidR="0050673C" w:rsidRPr="00AC1453">
          <w:rPr>
            <w:rStyle w:val="Hiperhivatkozs"/>
          </w:rPr>
          <w:t>VIII.1</w:t>
        </w:r>
        <w:r w:rsidR="0050673C">
          <w:rPr>
            <w:rFonts w:asciiTheme="minorHAnsi" w:eastAsiaTheme="minorEastAsia" w:hAnsiTheme="minorHAnsi" w:cstheme="minorBidi"/>
            <w:color w:val="auto"/>
          </w:rPr>
          <w:tab/>
        </w:r>
        <w:r w:rsidR="0050673C" w:rsidRPr="00AC1453">
          <w:rPr>
            <w:rStyle w:val="Hiperhivatkozs"/>
          </w:rPr>
          <w:t>Arányosság elvének alkalmazása</w:t>
        </w:r>
        <w:r w:rsidR="0050673C">
          <w:rPr>
            <w:webHidden/>
          </w:rPr>
          <w:tab/>
        </w:r>
        <w:r w:rsidR="0050673C">
          <w:rPr>
            <w:webHidden/>
          </w:rPr>
          <w:fldChar w:fldCharType="begin"/>
        </w:r>
        <w:r w:rsidR="0050673C">
          <w:rPr>
            <w:webHidden/>
          </w:rPr>
          <w:instrText xml:space="preserve"> PAGEREF _Toc468191495 \h </w:instrText>
        </w:r>
        <w:r w:rsidR="0050673C">
          <w:rPr>
            <w:webHidden/>
          </w:rPr>
        </w:r>
        <w:r w:rsidR="0050673C">
          <w:rPr>
            <w:webHidden/>
          </w:rPr>
          <w:fldChar w:fldCharType="separate"/>
        </w:r>
        <w:r w:rsidR="00A50AE4">
          <w:rPr>
            <w:webHidden/>
          </w:rPr>
          <w:t>117</w:t>
        </w:r>
        <w:r w:rsidR="0050673C">
          <w:rPr>
            <w:webHidden/>
          </w:rPr>
          <w:fldChar w:fldCharType="end"/>
        </w:r>
      </w:hyperlink>
    </w:p>
    <w:p w14:paraId="24CE5241" w14:textId="4528683E" w:rsidR="0050673C" w:rsidRDefault="009D3208">
      <w:pPr>
        <w:pStyle w:val="TJ2"/>
        <w:tabs>
          <w:tab w:val="left" w:pos="1100"/>
        </w:tabs>
        <w:rPr>
          <w:rFonts w:asciiTheme="minorHAnsi" w:eastAsiaTheme="minorEastAsia" w:hAnsiTheme="minorHAnsi" w:cstheme="minorBidi"/>
          <w:color w:val="auto"/>
        </w:rPr>
      </w:pPr>
      <w:hyperlink w:anchor="_Toc468191496" w:history="1">
        <w:r w:rsidR="0050673C" w:rsidRPr="00AC1453">
          <w:rPr>
            <w:rStyle w:val="Hiperhivatkozs"/>
          </w:rPr>
          <w:t>VIII.2</w:t>
        </w:r>
        <w:r w:rsidR="0050673C">
          <w:rPr>
            <w:rFonts w:asciiTheme="minorHAnsi" w:eastAsiaTheme="minorEastAsia" w:hAnsiTheme="minorHAnsi" w:cstheme="minorBidi"/>
            <w:color w:val="auto"/>
          </w:rPr>
          <w:tab/>
        </w:r>
        <w:r w:rsidR="0050673C" w:rsidRPr="00AC1453">
          <w:rPr>
            <w:rStyle w:val="Hiperhivatkozs"/>
          </w:rPr>
          <w:t>A kis intézmény meghatározása</w:t>
        </w:r>
        <w:r w:rsidR="0050673C">
          <w:rPr>
            <w:webHidden/>
          </w:rPr>
          <w:tab/>
        </w:r>
        <w:r w:rsidR="0050673C">
          <w:rPr>
            <w:webHidden/>
          </w:rPr>
          <w:fldChar w:fldCharType="begin"/>
        </w:r>
        <w:r w:rsidR="0050673C">
          <w:rPr>
            <w:webHidden/>
          </w:rPr>
          <w:instrText xml:space="preserve"> PAGEREF _Toc468191496 \h </w:instrText>
        </w:r>
        <w:r w:rsidR="0050673C">
          <w:rPr>
            <w:webHidden/>
          </w:rPr>
        </w:r>
        <w:r w:rsidR="0050673C">
          <w:rPr>
            <w:webHidden/>
          </w:rPr>
          <w:fldChar w:fldCharType="separate"/>
        </w:r>
        <w:r w:rsidR="00A50AE4">
          <w:rPr>
            <w:webHidden/>
          </w:rPr>
          <w:t>117</w:t>
        </w:r>
        <w:r w:rsidR="0050673C">
          <w:rPr>
            <w:webHidden/>
          </w:rPr>
          <w:fldChar w:fldCharType="end"/>
        </w:r>
      </w:hyperlink>
    </w:p>
    <w:p w14:paraId="1A363E04" w14:textId="3A33FC19" w:rsidR="0050673C" w:rsidRDefault="009D3208">
      <w:pPr>
        <w:pStyle w:val="TJ2"/>
        <w:tabs>
          <w:tab w:val="left" w:pos="1100"/>
        </w:tabs>
        <w:rPr>
          <w:rFonts w:asciiTheme="minorHAnsi" w:eastAsiaTheme="minorEastAsia" w:hAnsiTheme="minorHAnsi" w:cstheme="minorBidi"/>
          <w:color w:val="auto"/>
        </w:rPr>
      </w:pPr>
      <w:hyperlink w:anchor="_Toc468191497" w:history="1">
        <w:r w:rsidR="0050673C" w:rsidRPr="00AC1453">
          <w:rPr>
            <w:rStyle w:val="Hiperhivatkozs"/>
          </w:rPr>
          <w:t>VIII.3</w:t>
        </w:r>
        <w:r w:rsidR="0050673C">
          <w:rPr>
            <w:rFonts w:asciiTheme="minorHAnsi" w:eastAsiaTheme="minorEastAsia" w:hAnsiTheme="minorHAnsi" w:cstheme="minorBidi"/>
            <w:color w:val="auto"/>
          </w:rPr>
          <w:tab/>
        </w:r>
        <w:r w:rsidR="0050673C" w:rsidRPr="00AC1453">
          <w:rPr>
            <w:rStyle w:val="Hiperhivatkozs"/>
          </w:rPr>
          <w:t>Kis intézmények belső tőkeszükséglet-számítására vonatkozó felügyeleti elvárások</w:t>
        </w:r>
        <w:r w:rsidR="0050673C">
          <w:rPr>
            <w:webHidden/>
          </w:rPr>
          <w:tab/>
        </w:r>
        <w:r w:rsidR="0050673C">
          <w:rPr>
            <w:webHidden/>
          </w:rPr>
          <w:fldChar w:fldCharType="begin"/>
        </w:r>
        <w:r w:rsidR="0050673C">
          <w:rPr>
            <w:webHidden/>
          </w:rPr>
          <w:instrText xml:space="preserve"> PAGEREF _Toc468191497 \h </w:instrText>
        </w:r>
        <w:r w:rsidR="0050673C">
          <w:rPr>
            <w:webHidden/>
          </w:rPr>
        </w:r>
        <w:r w:rsidR="0050673C">
          <w:rPr>
            <w:webHidden/>
          </w:rPr>
          <w:fldChar w:fldCharType="separate"/>
        </w:r>
        <w:r w:rsidR="00A50AE4">
          <w:rPr>
            <w:webHidden/>
          </w:rPr>
          <w:t>118</w:t>
        </w:r>
        <w:r w:rsidR="0050673C">
          <w:rPr>
            <w:webHidden/>
          </w:rPr>
          <w:fldChar w:fldCharType="end"/>
        </w:r>
      </w:hyperlink>
    </w:p>
    <w:p w14:paraId="2DF5CDFC" w14:textId="775B224C" w:rsidR="0050673C" w:rsidRDefault="009D3208">
      <w:pPr>
        <w:pStyle w:val="TJ2"/>
        <w:tabs>
          <w:tab w:val="left" w:pos="1100"/>
        </w:tabs>
        <w:rPr>
          <w:rFonts w:asciiTheme="minorHAnsi" w:eastAsiaTheme="minorEastAsia" w:hAnsiTheme="minorHAnsi" w:cstheme="minorBidi"/>
          <w:color w:val="auto"/>
        </w:rPr>
      </w:pPr>
      <w:hyperlink w:anchor="_Toc468191498" w:history="1">
        <w:r w:rsidR="0050673C" w:rsidRPr="00AC1453">
          <w:rPr>
            <w:rStyle w:val="Hiperhivatkozs"/>
          </w:rPr>
          <w:t>VIII.4</w:t>
        </w:r>
        <w:r w:rsidR="0050673C">
          <w:rPr>
            <w:rFonts w:asciiTheme="minorHAnsi" w:eastAsiaTheme="minorEastAsia" w:hAnsiTheme="minorHAnsi" w:cstheme="minorBidi"/>
            <w:color w:val="auto"/>
          </w:rPr>
          <w:tab/>
        </w:r>
        <w:r w:rsidR="0050673C" w:rsidRPr="00AC1453">
          <w:rPr>
            <w:rStyle w:val="Hiperhivatkozs"/>
          </w:rPr>
          <w:t>Kis intézmények által alkalmazott módszertanok</w:t>
        </w:r>
        <w:r w:rsidR="0050673C">
          <w:rPr>
            <w:webHidden/>
          </w:rPr>
          <w:tab/>
        </w:r>
        <w:r w:rsidR="0050673C">
          <w:rPr>
            <w:webHidden/>
          </w:rPr>
          <w:fldChar w:fldCharType="begin"/>
        </w:r>
        <w:r w:rsidR="0050673C">
          <w:rPr>
            <w:webHidden/>
          </w:rPr>
          <w:instrText xml:space="preserve"> PAGEREF _Toc468191498 \h </w:instrText>
        </w:r>
        <w:r w:rsidR="0050673C">
          <w:rPr>
            <w:webHidden/>
          </w:rPr>
        </w:r>
        <w:r w:rsidR="0050673C">
          <w:rPr>
            <w:webHidden/>
          </w:rPr>
          <w:fldChar w:fldCharType="separate"/>
        </w:r>
        <w:r w:rsidR="00A50AE4">
          <w:rPr>
            <w:webHidden/>
          </w:rPr>
          <w:t>118</w:t>
        </w:r>
        <w:r w:rsidR="0050673C">
          <w:rPr>
            <w:webHidden/>
          </w:rPr>
          <w:fldChar w:fldCharType="end"/>
        </w:r>
      </w:hyperlink>
    </w:p>
    <w:p w14:paraId="49EC0EAB" w14:textId="7E3FA7EE" w:rsidR="0050673C" w:rsidRDefault="009D3208">
      <w:pPr>
        <w:pStyle w:val="TJ2"/>
        <w:tabs>
          <w:tab w:val="left" w:pos="1100"/>
        </w:tabs>
        <w:rPr>
          <w:rFonts w:asciiTheme="minorHAnsi" w:eastAsiaTheme="minorEastAsia" w:hAnsiTheme="minorHAnsi" w:cstheme="minorBidi"/>
          <w:color w:val="auto"/>
        </w:rPr>
      </w:pPr>
      <w:hyperlink w:anchor="_Toc468191499" w:history="1">
        <w:r w:rsidR="0050673C" w:rsidRPr="00AC1453">
          <w:rPr>
            <w:rStyle w:val="Hiperhivatkozs"/>
          </w:rPr>
          <w:t>VIII.5</w:t>
        </w:r>
        <w:r w:rsidR="0050673C">
          <w:rPr>
            <w:rFonts w:asciiTheme="minorHAnsi" w:eastAsiaTheme="minorEastAsia" w:hAnsiTheme="minorHAnsi" w:cstheme="minorBidi"/>
            <w:color w:val="auto"/>
          </w:rPr>
          <w:tab/>
        </w:r>
        <w:r w:rsidR="0050673C" w:rsidRPr="00AC1453">
          <w:rPr>
            <w:rStyle w:val="Hiperhivatkozs"/>
          </w:rPr>
          <w:t>A belső tőkeszükséglet-számítás lépései</w:t>
        </w:r>
        <w:r w:rsidR="0050673C">
          <w:rPr>
            <w:webHidden/>
          </w:rPr>
          <w:tab/>
        </w:r>
        <w:r w:rsidR="0050673C">
          <w:rPr>
            <w:webHidden/>
          </w:rPr>
          <w:fldChar w:fldCharType="begin"/>
        </w:r>
        <w:r w:rsidR="0050673C">
          <w:rPr>
            <w:webHidden/>
          </w:rPr>
          <w:instrText xml:space="preserve"> PAGEREF _Toc468191499 \h </w:instrText>
        </w:r>
        <w:r w:rsidR="0050673C">
          <w:rPr>
            <w:webHidden/>
          </w:rPr>
        </w:r>
        <w:r w:rsidR="0050673C">
          <w:rPr>
            <w:webHidden/>
          </w:rPr>
          <w:fldChar w:fldCharType="separate"/>
        </w:r>
        <w:r w:rsidR="00A50AE4">
          <w:rPr>
            <w:webHidden/>
          </w:rPr>
          <w:t>119</w:t>
        </w:r>
        <w:r w:rsidR="0050673C">
          <w:rPr>
            <w:webHidden/>
          </w:rPr>
          <w:fldChar w:fldCharType="end"/>
        </w:r>
      </w:hyperlink>
    </w:p>
    <w:p w14:paraId="7FFB92F4" w14:textId="6B1A4C12" w:rsidR="0050673C" w:rsidRDefault="009D3208">
      <w:pPr>
        <w:pStyle w:val="TJ2"/>
        <w:tabs>
          <w:tab w:val="left" w:pos="1100"/>
        </w:tabs>
        <w:rPr>
          <w:rFonts w:asciiTheme="minorHAnsi" w:eastAsiaTheme="minorEastAsia" w:hAnsiTheme="minorHAnsi" w:cstheme="minorBidi"/>
          <w:color w:val="auto"/>
        </w:rPr>
      </w:pPr>
      <w:hyperlink w:anchor="_Toc468191500" w:history="1">
        <w:r w:rsidR="0050673C" w:rsidRPr="00AC1453">
          <w:rPr>
            <w:rStyle w:val="Hiperhivatkozs"/>
          </w:rPr>
          <w:t>VIII.6</w:t>
        </w:r>
        <w:r w:rsidR="0050673C">
          <w:rPr>
            <w:rFonts w:asciiTheme="minorHAnsi" w:eastAsiaTheme="minorEastAsia" w:hAnsiTheme="minorHAnsi" w:cstheme="minorBidi"/>
            <w:color w:val="auto"/>
          </w:rPr>
          <w:tab/>
        </w:r>
        <w:r w:rsidR="0050673C" w:rsidRPr="00AC1453">
          <w:rPr>
            <w:rStyle w:val="Hiperhivatkozs"/>
          </w:rPr>
          <w:t>Kis hitelintézetek tipikus kockázatai</w:t>
        </w:r>
        <w:r w:rsidR="0050673C">
          <w:rPr>
            <w:webHidden/>
          </w:rPr>
          <w:tab/>
        </w:r>
        <w:r w:rsidR="0050673C">
          <w:rPr>
            <w:webHidden/>
          </w:rPr>
          <w:fldChar w:fldCharType="begin"/>
        </w:r>
        <w:r w:rsidR="0050673C">
          <w:rPr>
            <w:webHidden/>
          </w:rPr>
          <w:instrText xml:space="preserve"> PAGEREF _Toc468191500 \h </w:instrText>
        </w:r>
        <w:r w:rsidR="0050673C">
          <w:rPr>
            <w:webHidden/>
          </w:rPr>
        </w:r>
        <w:r w:rsidR="0050673C">
          <w:rPr>
            <w:webHidden/>
          </w:rPr>
          <w:fldChar w:fldCharType="separate"/>
        </w:r>
        <w:r w:rsidR="00A50AE4">
          <w:rPr>
            <w:webHidden/>
          </w:rPr>
          <w:t>119</w:t>
        </w:r>
        <w:r w:rsidR="0050673C">
          <w:rPr>
            <w:webHidden/>
          </w:rPr>
          <w:fldChar w:fldCharType="end"/>
        </w:r>
      </w:hyperlink>
    </w:p>
    <w:p w14:paraId="71419CDD" w14:textId="6AE53D0E" w:rsidR="0050673C" w:rsidRDefault="009D3208">
      <w:pPr>
        <w:pStyle w:val="TJ2"/>
        <w:tabs>
          <w:tab w:val="left" w:pos="1100"/>
        </w:tabs>
        <w:rPr>
          <w:rFonts w:asciiTheme="minorHAnsi" w:eastAsiaTheme="minorEastAsia" w:hAnsiTheme="minorHAnsi" w:cstheme="minorBidi"/>
          <w:color w:val="auto"/>
        </w:rPr>
      </w:pPr>
      <w:hyperlink w:anchor="_Toc468191501" w:history="1">
        <w:r w:rsidR="0050673C" w:rsidRPr="00AC1453">
          <w:rPr>
            <w:rStyle w:val="Hiperhivatkozs"/>
          </w:rPr>
          <w:t>VIII.7</w:t>
        </w:r>
        <w:r w:rsidR="0050673C">
          <w:rPr>
            <w:rFonts w:asciiTheme="minorHAnsi" w:eastAsiaTheme="minorEastAsia" w:hAnsiTheme="minorHAnsi" w:cstheme="minorBidi"/>
            <w:color w:val="auto"/>
          </w:rPr>
          <w:tab/>
        </w:r>
        <w:r w:rsidR="0050673C" w:rsidRPr="00AC1453">
          <w:rPr>
            <w:rStyle w:val="Hiperhivatkozs"/>
          </w:rPr>
          <w:t>A befektetési vállalkozások esetében a szokásostól eltérő többlet kockázatot generáló tevékenységek</w:t>
        </w:r>
        <w:r w:rsidR="0050673C">
          <w:rPr>
            <w:webHidden/>
          </w:rPr>
          <w:tab/>
        </w:r>
        <w:r w:rsidR="0050673C">
          <w:rPr>
            <w:webHidden/>
          </w:rPr>
          <w:fldChar w:fldCharType="begin"/>
        </w:r>
        <w:r w:rsidR="0050673C">
          <w:rPr>
            <w:webHidden/>
          </w:rPr>
          <w:instrText xml:space="preserve"> PAGEREF _Toc468191501 \h </w:instrText>
        </w:r>
        <w:r w:rsidR="0050673C">
          <w:rPr>
            <w:webHidden/>
          </w:rPr>
        </w:r>
        <w:r w:rsidR="0050673C">
          <w:rPr>
            <w:webHidden/>
          </w:rPr>
          <w:fldChar w:fldCharType="separate"/>
        </w:r>
        <w:r w:rsidR="00A50AE4">
          <w:rPr>
            <w:webHidden/>
          </w:rPr>
          <w:t>119</w:t>
        </w:r>
        <w:r w:rsidR="0050673C">
          <w:rPr>
            <w:webHidden/>
          </w:rPr>
          <w:fldChar w:fldCharType="end"/>
        </w:r>
      </w:hyperlink>
    </w:p>
    <w:p w14:paraId="7D2BBEA5" w14:textId="77643F4A" w:rsidR="0050673C" w:rsidRDefault="009D3208">
      <w:pPr>
        <w:pStyle w:val="TJ2"/>
        <w:tabs>
          <w:tab w:val="left" w:pos="1100"/>
        </w:tabs>
        <w:rPr>
          <w:rFonts w:asciiTheme="minorHAnsi" w:eastAsiaTheme="minorEastAsia" w:hAnsiTheme="minorHAnsi" w:cstheme="minorBidi"/>
          <w:color w:val="auto"/>
        </w:rPr>
      </w:pPr>
      <w:hyperlink w:anchor="_Toc468191502" w:history="1">
        <w:r w:rsidR="0050673C" w:rsidRPr="00AC1453">
          <w:rPr>
            <w:rStyle w:val="Hiperhivatkozs"/>
          </w:rPr>
          <w:t>VIII.8</w:t>
        </w:r>
        <w:r w:rsidR="0050673C">
          <w:rPr>
            <w:rFonts w:asciiTheme="minorHAnsi" w:eastAsiaTheme="minorEastAsia" w:hAnsiTheme="minorHAnsi" w:cstheme="minorBidi"/>
            <w:color w:val="auto"/>
          </w:rPr>
          <w:tab/>
        </w:r>
        <w:r w:rsidR="0050673C" w:rsidRPr="00AC1453">
          <w:rPr>
            <w:rStyle w:val="Hiperhivatkozs"/>
          </w:rPr>
          <w:t>Felügyeleti felülvizsgálatok a kis intézményeknél</w:t>
        </w:r>
        <w:r w:rsidR="0050673C">
          <w:rPr>
            <w:webHidden/>
          </w:rPr>
          <w:tab/>
        </w:r>
        <w:r w:rsidR="0050673C">
          <w:rPr>
            <w:webHidden/>
          </w:rPr>
          <w:fldChar w:fldCharType="begin"/>
        </w:r>
        <w:r w:rsidR="0050673C">
          <w:rPr>
            <w:webHidden/>
          </w:rPr>
          <w:instrText xml:space="preserve"> PAGEREF _Toc468191502 \h </w:instrText>
        </w:r>
        <w:r w:rsidR="0050673C">
          <w:rPr>
            <w:webHidden/>
          </w:rPr>
        </w:r>
        <w:r w:rsidR="0050673C">
          <w:rPr>
            <w:webHidden/>
          </w:rPr>
          <w:fldChar w:fldCharType="separate"/>
        </w:r>
        <w:r w:rsidR="00A50AE4">
          <w:rPr>
            <w:webHidden/>
          </w:rPr>
          <w:t>120</w:t>
        </w:r>
        <w:r w:rsidR="0050673C">
          <w:rPr>
            <w:webHidden/>
          </w:rPr>
          <w:fldChar w:fldCharType="end"/>
        </w:r>
      </w:hyperlink>
    </w:p>
    <w:p w14:paraId="123DC398" w14:textId="5BDCE7CD" w:rsidR="0050673C" w:rsidRDefault="009D3208">
      <w:pPr>
        <w:pStyle w:val="TJ2"/>
        <w:tabs>
          <w:tab w:val="left" w:pos="1100"/>
        </w:tabs>
        <w:rPr>
          <w:rFonts w:asciiTheme="minorHAnsi" w:eastAsiaTheme="minorEastAsia" w:hAnsiTheme="minorHAnsi" w:cstheme="minorBidi"/>
          <w:color w:val="auto"/>
        </w:rPr>
      </w:pPr>
      <w:hyperlink w:anchor="_Toc468191503" w:history="1">
        <w:r w:rsidR="0050673C" w:rsidRPr="00AC1453">
          <w:rPr>
            <w:rStyle w:val="Hiperhivatkozs"/>
          </w:rPr>
          <w:t>VIII.9</w:t>
        </w:r>
        <w:r w:rsidR="0050673C">
          <w:rPr>
            <w:rFonts w:asciiTheme="minorHAnsi" w:eastAsiaTheme="minorEastAsia" w:hAnsiTheme="minorHAnsi" w:cstheme="minorBidi"/>
            <w:color w:val="auto"/>
          </w:rPr>
          <w:tab/>
        </w:r>
        <w:r w:rsidR="0050673C" w:rsidRPr="00AC1453">
          <w:rPr>
            <w:rStyle w:val="Hiperhivatkozs"/>
          </w:rPr>
          <w:t>A befektetési vállalkozások esetében a legjellemzőbb többlet-tőkekövetelmény előírások</w:t>
        </w:r>
        <w:r w:rsidR="0050673C">
          <w:rPr>
            <w:webHidden/>
          </w:rPr>
          <w:tab/>
        </w:r>
        <w:r w:rsidR="0050673C">
          <w:rPr>
            <w:webHidden/>
          </w:rPr>
          <w:fldChar w:fldCharType="begin"/>
        </w:r>
        <w:r w:rsidR="0050673C">
          <w:rPr>
            <w:webHidden/>
          </w:rPr>
          <w:instrText xml:space="preserve"> PAGEREF _Toc468191503 \h </w:instrText>
        </w:r>
        <w:r w:rsidR="0050673C">
          <w:rPr>
            <w:webHidden/>
          </w:rPr>
        </w:r>
        <w:r w:rsidR="0050673C">
          <w:rPr>
            <w:webHidden/>
          </w:rPr>
          <w:fldChar w:fldCharType="separate"/>
        </w:r>
        <w:r w:rsidR="00A50AE4">
          <w:rPr>
            <w:webHidden/>
          </w:rPr>
          <w:t>120</w:t>
        </w:r>
        <w:r w:rsidR="0050673C">
          <w:rPr>
            <w:webHidden/>
          </w:rPr>
          <w:fldChar w:fldCharType="end"/>
        </w:r>
      </w:hyperlink>
    </w:p>
    <w:p w14:paraId="6685573D" w14:textId="77777777" w:rsidR="0050673C" w:rsidRDefault="009D3208">
      <w:pPr>
        <w:pStyle w:val="TJ2"/>
        <w:tabs>
          <w:tab w:val="left" w:pos="1100"/>
        </w:tabs>
        <w:rPr>
          <w:rFonts w:asciiTheme="minorHAnsi" w:eastAsiaTheme="minorEastAsia" w:hAnsiTheme="minorHAnsi" w:cstheme="minorBidi"/>
          <w:color w:val="auto"/>
        </w:rPr>
      </w:pPr>
      <w:hyperlink w:anchor="_Toc468191504" w:history="1">
        <w:r w:rsidR="0050673C" w:rsidRPr="00AC1453">
          <w:rPr>
            <w:rStyle w:val="Hiperhivatkozs"/>
          </w:rPr>
          <w:t>VIII.10</w:t>
        </w:r>
        <w:r w:rsidR="0050673C">
          <w:rPr>
            <w:rFonts w:asciiTheme="minorHAnsi" w:eastAsiaTheme="minorEastAsia" w:hAnsiTheme="minorHAnsi" w:cstheme="minorBidi"/>
            <w:color w:val="auto"/>
          </w:rPr>
          <w:tab/>
        </w:r>
        <w:r w:rsidR="0050673C" w:rsidRPr="00AC1453">
          <w:rPr>
            <w:rStyle w:val="Hiperhivatkozs"/>
          </w:rPr>
          <w:t>Felügyeleti intézkedések a kis intézményekkel szemben</w:t>
        </w:r>
        <w:r w:rsidR="0050673C">
          <w:rPr>
            <w:webHidden/>
          </w:rPr>
          <w:tab/>
        </w:r>
        <w:r w:rsidR="0050673C">
          <w:rPr>
            <w:webHidden/>
          </w:rPr>
          <w:fldChar w:fldCharType="begin"/>
        </w:r>
        <w:r w:rsidR="0050673C">
          <w:rPr>
            <w:webHidden/>
          </w:rPr>
          <w:instrText xml:space="preserve"> PAGEREF _Toc468191504 \h </w:instrText>
        </w:r>
        <w:r w:rsidR="0050673C">
          <w:rPr>
            <w:webHidden/>
          </w:rPr>
        </w:r>
        <w:r w:rsidR="0050673C">
          <w:rPr>
            <w:webHidden/>
          </w:rPr>
          <w:fldChar w:fldCharType="separate"/>
        </w:r>
        <w:r w:rsidR="00A50AE4">
          <w:rPr>
            <w:webHidden/>
          </w:rPr>
          <w:t>120</w:t>
        </w:r>
        <w:r w:rsidR="0050673C">
          <w:rPr>
            <w:webHidden/>
          </w:rPr>
          <w:fldChar w:fldCharType="end"/>
        </w:r>
      </w:hyperlink>
    </w:p>
    <w:p w14:paraId="2470A1C5" w14:textId="44B58F4B" w:rsidR="0050673C" w:rsidRDefault="009D3208">
      <w:pPr>
        <w:pStyle w:val="TJ3"/>
        <w:tabs>
          <w:tab w:val="left" w:pos="1540"/>
        </w:tabs>
        <w:rPr>
          <w:rFonts w:asciiTheme="minorHAnsi" w:eastAsiaTheme="minorEastAsia" w:hAnsiTheme="minorHAnsi" w:cstheme="minorBidi"/>
          <w:noProof/>
          <w:color w:val="auto"/>
        </w:rPr>
      </w:pPr>
      <w:hyperlink w:anchor="_Toc468191505" w:history="1">
        <w:r w:rsidR="0050673C" w:rsidRPr="00AC1453">
          <w:rPr>
            <w:rStyle w:val="Hiperhivatkozs"/>
            <w:noProof/>
          </w:rPr>
          <w:t>VIII.10.1</w:t>
        </w:r>
        <w:r w:rsidR="0050673C">
          <w:rPr>
            <w:rFonts w:asciiTheme="minorHAnsi" w:eastAsiaTheme="minorEastAsia" w:hAnsiTheme="minorHAnsi" w:cstheme="minorBidi"/>
            <w:noProof/>
            <w:color w:val="auto"/>
          </w:rPr>
          <w:tab/>
        </w:r>
        <w:r w:rsidR="0050673C" w:rsidRPr="00AC1453">
          <w:rPr>
            <w:rStyle w:val="Hiperhivatkozs"/>
            <w:noProof/>
          </w:rPr>
          <w:t>Felügyeleti intézkedések kis hitelintézeteknél</w:t>
        </w:r>
        <w:r w:rsidR="0050673C">
          <w:rPr>
            <w:noProof/>
            <w:webHidden/>
          </w:rPr>
          <w:tab/>
        </w:r>
        <w:r w:rsidR="0050673C">
          <w:rPr>
            <w:noProof/>
            <w:webHidden/>
          </w:rPr>
          <w:fldChar w:fldCharType="begin"/>
        </w:r>
        <w:r w:rsidR="0050673C">
          <w:rPr>
            <w:noProof/>
            <w:webHidden/>
          </w:rPr>
          <w:instrText xml:space="preserve"> PAGEREF _Toc468191505 \h </w:instrText>
        </w:r>
        <w:r w:rsidR="0050673C">
          <w:rPr>
            <w:noProof/>
            <w:webHidden/>
          </w:rPr>
        </w:r>
        <w:r w:rsidR="0050673C">
          <w:rPr>
            <w:noProof/>
            <w:webHidden/>
          </w:rPr>
          <w:fldChar w:fldCharType="separate"/>
        </w:r>
        <w:r w:rsidR="00A50AE4">
          <w:rPr>
            <w:noProof/>
            <w:webHidden/>
          </w:rPr>
          <w:t>121</w:t>
        </w:r>
        <w:r w:rsidR="0050673C">
          <w:rPr>
            <w:noProof/>
            <w:webHidden/>
          </w:rPr>
          <w:fldChar w:fldCharType="end"/>
        </w:r>
      </w:hyperlink>
    </w:p>
    <w:p w14:paraId="0FFAB78B" w14:textId="044718B3" w:rsidR="0050673C" w:rsidRDefault="009D3208">
      <w:pPr>
        <w:pStyle w:val="TJ3"/>
        <w:tabs>
          <w:tab w:val="left" w:pos="1540"/>
        </w:tabs>
        <w:rPr>
          <w:rFonts w:asciiTheme="minorHAnsi" w:eastAsiaTheme="minorEastAsia" w:hAnsiTheme="minorHAnsi" w:cstheme="minorBidi"/>
          <w:noProof/>
          <w:color w:val="auto"/>
        </w:rPr>
      </w:pPr>
      <w:hyperlink w:anchor="_Toc468191506" w:history="1">
        <w:r w:rsidR="0050673C" w:rsidRPr="00AC1453">
          <w:rPr>
            <w:rStyle w:val="Hiperhivatkozs"/>
            <w:noProof/>
          </w:rPr>
          <w:t>VIII.10.2</w:t>
        </w:r>
        <w:r w:rsidR="0050673C">
          <w:rPr>
            <w:rFonts w:asciiTheme="minorHAnsi" w:eastAsiaTheme="minorEastAsia" w:hAnsiTheme="minorHAnsi" w:cstheme="minorBidi"/>
            <w:noProof/>
            <w:color w:val="auto"/>
          </w:rPr>
          <w:tab/>
        </w:r>
        <w:r w:rsidR="0050673C" w:rsidRPr="00AC1453">
          <w:rPr>
            <w:rStyle w:val="Hiperhivatkozs"/>
            <w:noProof/>
          </w:rPr>
          <w:t>Felügyeleti intézkedések befektetési vállalkozásoknál</w:t>
        </w:r>
        <w:r w:rsidR="0050673C">
          <w:rPr>
            <w:noProof/>
            <w:webHidden/>
          </w:rPr>
          <w:tab/>
        </w:r>
        <w:r w:rsidR="0050673C">
          <w:rPr>
            <w:noProof/>
            <w:webHidden/>
          </w:rPr>
          <w:fldChar w:fldCharType="begin"/>
        </w:r>
        <w:r w:rsidR="0050673C">
          <w:rPr>
            <w:noProof/>
            <w:webHidden/>
          </w:rPr>
          <w:instrText xml:space="preserve"> PAGEREF _Toc468191506 \h </w:instrText>
        </w:r>
        <w:r w:rsidR="0050673C">
          <w:rPr>
            <w:noProof/>
            <w:webHidden/>
          </w:rPr>
        </w:r>
        <w:r w:rsidR="0050673C">
          <w:rPr>
            <w:noProof/>
            <w:webHidden/>
          </w:rPr>
          <w:fldChar w:fldCharType="separate"/>
        </w:r>
        <w:r w:rsidR="00A50AE4">
          <w:rPr>
            <w:noProof/>
            <w:webHidden/>
          </w:rPr>
          <w:t>122</w:t>
        </w:r>
        <w:r w:rsidR="0050673C">
          <w:rPr>
            <w:noProof/>
            <w:webHidden/>
          </w:rPr>
          <w:fldChar w:fldCharType="end"/>
        </w:r>
      </w:hyperlink>
    </w:p>
    <w:p w14:paraId="20601315" w14:textId="368B4672" w:rsidR="0050673C" w:rsidRDefault="009D3208">
      <w:pPr>
        <w:pStyle w:val="TJ2"/>
        <w:tabs>
          <w:tab w:val="left" w:pos="1100"/>
        </w:tabs>
        <w:rPr>
          <w:rFonts w:asciiTheme="minorHAnsi" w:eastAsiaTheme="minorEastAsia" w:hAnsiTheme="minorHAnsi" w:cstheme="minorBidi"/>
          <w:color w:val="auto"/>
        </w:rPr>
      </w:pPr>
      <w:hyperlink w:anchor="_Toc468191507" w:history="1">
        <w:r w:rsidR="0050673C" w:rsidRPr="00AC1453">
          <w:rPr>
            <w:rStyle w:val="Hiperhivatkozs"/>
          </w:rPr>
          <w:t>VIII.11</w:t>
        </w:r>
        <w:r w:rsidR="0050673C">
          <w:rPr>
            <w:rFonts w:asciiTheme="minorHAnsi" w:eastAsiaTheme="minorEastAsia" w:hAnsiTheme="minorHAnsi" w:cstheme="minorBidi"/>
            <w:color w:val="auto"/>
          </w:rPr>
          <w:tab/>
        </w:r>
        <w:r w:rsidR="0050673C" w:rsidRPr="00AC1453">
          <w:rPr>
            <w:rStyle w:val="Hiperhivatkozs"/>
          </w:rPr>
          <w:t>A felügyeleti felülvizsgálat lezárása</w:t>
        </w:r>
        <w:r w:rsidR="0050673C">
          <w:rPr>
            <w:webHidden/>
          </w:rPr>
          <w:tab/>
        </w:r>
        <w:r w:rsidR="0050673C">
          <w:rPr>
            <w:webHidden/>
          </w:rPr>
          <w:fldChar w:fldCharType="begin"/>
        </w:r>
        <w:r w:rsidR="0050673C">
          <w:rPr>
            <w:webHidden/>
          </w:rPr>
          <w:instrText xml:space="preserve"> PAGEREF _Toc468191507 \h </w:instrText>
        </w:r>
        <w:r w:rsidR="0050673C">
          <w:rPr>
            <w:webHidden/>
          </w:rPr>
        </w:r>
        <w:r w:rsidR="0050673C">
          <w:rPr>
            <w:webHidden/>
          </w:rPr>
          <w:fldChar w:fldCharType="separate"/>
        </w:r>
        <w:r w:rsidR="00A50AE4">
          <w:rPr>
            <w:webHidden/>
          </w:rPr>
          <w:t>123</w:t>
        </w:r>
        <w:r w:rsidR="0050673C">
          <w:rPr>
            <w:webHidden/>
          </w:rPr>
          <w:fldChar w:fldCharType="end"/>
        </w:r>
      </w:hyperlink>
    </w:p>
    <w:p w14:paraId="20C8E053" w14:textId="181A5ED4" w:rsidR="0050673C" w:rsidRDefault="009D3208">
      <w:pPr>
        <w:pStyle w:val="TJ1"/>
        <w:tabs>
          <w:tab w:val="left" w:pos="482"/>
        </w:tabs>
        <w:rPr>
          <w:rFonts w:asciiTheme="minorHAnsi" w:eastAsiaTheme="minorEastAsia" w:hAnsiTheme="minorHAnsi" w:cstheme="minorBidi"/>
          <w:b w:val="0"/>
          <w:color w:val="auto"/>
        </w:rPr>
      </w:pPr>
      <w:hyperlink w:anchor="_Toc468191508" w:history="1">
        <w:r w:rsidR="0050673C" w:rsidRPr="00AC1453">
          <w:rPr>
            <w:rStyle w:val="Hiperhivatkozs"/>
          </w:rPr>
          <w:t>IX.</w:t>
        </w:r>
        <w:r w:rsidR="0050673C">
          <w:rPr>
            <w:rFonts w:asciiTheme="minorHAnsi" w:eastAsiaTheme="minorEastAsia" w:hAnsiTheme="minorHAnsi" w:cstheme="minorBidi"/>
            <w:b w:val="0"/>
            <w:color w:val="auto"/>
          </w:rPr>
          <w:tab/>
        </w:r>
        <w:r w:rsidR="0050673C" w:rsidRPr="00AC1453">
          <w:rPr>
            <w:rStyle w:val="Hiperhivatkozs"/>
          </w:rPr>
          <w:t>Dokumentum-lista</w:t>
        </w:r>
        <w:r w:rsidR="0050673C">
          <w:rPr>
            <w:webHidden/>
          </w:rPr>
          <w:tab/>
        </w:r>
        <w:r w:rsidR="0050673C">
          <w:rPr>
            <w:webHidden/>
          </w:rPr>
          <w:fldChar w:fldCharType="begin"/>
        </w:r>
        <w:r w:rsidR="0050673C">
          <w:rPr>
            <w:webHidden/>
          </w:rPr>
          <w:instrText xml:space="preserve"> PAGEREF _Toc468191508 \h </w:instrText>
        </w:r>
        <w:r w:rsidR="0050673C">
          <w:rPr>
            <w:webHidden/>
          </w:rPr>
        </w:r>
        <w:r w:rsidR="0050673C">
          <w:rPr>
            <w:webHidden/>
          </w:rPr>
          <w:fldChar w:fldCharType="separate"/>
        </w:r>
        <w:r w:rsidR="00A50AE4">
          <w:rPr>
            <w:webHidden/>
          </w:rPr>
          <w:t>124</w:t>
        </w:r>
        <w:r w:rsidR="0050673C">
          <w:rPr>
            <w:webHidden/>
          </w:rPr>
          <w:fldChar w:fldCharType="end"/>
        </w:r>
      </w:hyperlink>
    </w:p>
    <w:p w14:paraId="5552A5DF" w14:textId="46B4B592" w:rsidR="0050673C" w:rsidRDefault="009D3208">
      <w:pPr>
        <w:pStyle w:val="TJ2"/>
        <w:tabs>
          <w:tab w:val="left" w:pos="880"/>
        </w:tabs>
        <w:rPr>
          <w:rFonts w:asciiTheme="minorHAnsi" w:eastAsiaTheme="minorEastAsia" w:hAnsiTheme="minorHAnsi" w:cstheme="minorBidi"/>
          <w:color w:val="auto"/>
        </w:rPr>
      </w:pPr>
      <w:hyperlink w:anchor="_Toc468191509" w:history="1">
        <w:r w:rsidR="0050673C" w:rsidRPr="00AC1453">
          <w:rPr>
            <w:rStyle w:val="Hiperhivatkozs"/>
          </w:rPr>
          <w:t>IX.1</w:t>
        </w:r>
        <w:r w:rsidR="0050673C">
          <w:rPr>
            <w:rFonts w:asciiTheme="minorHAnsi" w:eastAsiaTheme="minorEastAsia" w:hAnsiTheme="minorHAnsi" w:cstheme="minorBidi"/>
            <w:color w:val="auto"/>
          </w:rPr>
          <w:tab/>
        </w:r>
        <w:r w:rsidR="0050673C" w:rsidRPr="00AC1453">
          <w:rPr>
            <w:rStyle w:val="Hiperhivatkozs"/>
          </w:rPr>
          <w:t>Összefoglaló</w:t>
        </w:r>
        <w:r w:rsidR="0050673C">
          <w:rPr>
            <w:webHidden/>
          </w:rPr>
          <w:tab/>
        </w:r>
        <w:r w:rsidR="0050673C">
          <w:rPr>
            <w:webHidden/>
          </w:rPr>
          <w:fldChar w:fldCharType="begin"/>
        </w:r>
        <w:r w:rsidR="0050673C">
          <w:rPr>
            <w:webHidden/>
          </w:rPr>
          <w:instrText xml:space="preserve"> PAGEREF _Toc468191509 \h </w:instrText>
        </w:r>
        <w:r w:rsidR="0050673C">
          <w:rPr>
            <w:webHidden/>
          </w:rPr>
        </w:r>
        <w:r w:rsidR="0050673C">
          <w:rPr>
            <w:webHidden/>
          </w:rPr>
          <w:fldChar w:fldCharType="separate"/>
        </w:r>
        <w:r w:rsidR="00A50AE4">
          <w:rPr>
            <w:webHidden/>
          </w:rPr>
          <w:t>124</w:t>
        </w:r>
        <w:r w:rsidR="0050673C">
          <w:rPr>
            <w:webHidden/>
          </w:rPr>
          <w:fldChar w:fldCharType="end"/>
        </w:r>
      </w:hyperlink>
    </w:p>
    <w:p w14:paraId="5EB22E0F" w14:textId="1DA6719E" w:rsidR="0050673C" w:rsidRDefault="009D3208">
      <w:pPr>
        <w:pStyle w:val="TJ2"/>
        <w:tabs>
          <w:tab w:val="left" w:pos="880"/>
        </w:tabs>
        <w:rPr>
          <w:rFonts w:asciiTheme="minorHAnsi" w:eastAsiaTheme="minorEastAsia" w:hAnsiTheme="minorHAnsi" w:cstheme="minorBidi"/>
          <w:color w:val="auto"/>
        </w:rPr>
      </w:pPr>
      <w:hyperlink w:anchor="_Toc468191510" w:history="1">
        <w:r w:rsidR="0050673C" w:rsidRPr="00AC1453">
          <w:rPr>
            <w:rStyle w:val="Hiperhivatkozs"/>
          </w:rPr>
          <w:t>IX.2</w:t>
        </w:r>
        <w:r w:rsidR="0050673C">
          <w:rPr>
            <w:rFonts w:asciiTheme="minorHAnsi" w:eastAsiaTheme="minorEastAsia" w:hAnsiTheme="minorHAnsi" w:cstheme="minorBidi"/>
            <w:color w:val="auto"/>
          </w:rPr>
          <w:tab/>
        </w:r>
        <w:r w:rsidR="0050673C" w:rsidRPr="00AC1453">
          <w:rPr>
            <w:rStyle w:val="Hiperhivatkozs"/>
          </w:rPr>
          <w:t>A jelenlegi és a tervezett tőkehelyzet bemutatása</w:t>
        </w:r>
        <w:r w:rsidR="0050673C">
          <w:rPr>
            <w:webHidden/>
          </w:rPr>
          <w:tab/>
        </w:r>
        <w:r w:rsidR="0050673C">
          <w:rPr>
            <w:webHidden/>
          </w:rPr>
          <w:fldChar w:fldCharType="begin"/>
        </w:r>
        <w:r w:rsidR="0050673C">
          <w:rPr>
            <w:webHidden/>
          </w:rPr>
          <w:instrText xml:space="preserve"> PAGEREF _Toc468191510 \h </w:instrText>
        </w:r>
        <w:r w:rsidR="0050673C">
          <w:rPr>
            <w:webHidden/>
          </w:rPr>
        </w:r>
        <w:r w:rsidR="0050673C">
          <w:rPr>
            <w:webHidden/>
          </w:rPr>
          <w:fldChar w:fldCharType="separate"/>
        </w:r>
        <w:r w:rsidR="00A50AE4">
          <w:rPr>
            <w:webHidden/>
          </w:rPr>
          <w:t>124</w:t>
        </w:r>
        <w:r w:rsidR="0050673C">
          <w:rPr>
            <w:webHidden/>
          </w:rPr>
          <w:fldChar w:fldCharType="end"/>
        </w:r>
      </w:hyperlink>
    </w:p>
    <w:p w14:paraId="749DCB50" w14:textId="15616A21" w:rsidR="0050673C" w:rsidRDefault="009D3208">
      <w:pPr>
        <w:pStyle w:val="TJ2"/>
        <w:tabs>
          <w:tab w:val="left" w:pos="880"/>
        </w:tabs>
        <w:rPr>
          <w:rFonts w:asciiTheme="minorHAnsi" w:eastAsiaTheme="minorEastAsia" w:hAnsiTheme="minorHAnsi" w:cstheme="minorBidi"/>
          <w:color w:val="auto"/>
        </w:rPr>
      </w:pPr>
      <w:hyperlink w:anchor="_Toc468191511" w:history="1">
        <w:r w:rsidR="0050673C" w:rsidRPr="00AC1453">
          <w:rPr>
            <w:rStyle w:val="Hiperhivatkozs"/>
          </w:rPr>
          <w:t>IX.3</w:t>
        </w:r>
        <w:r w:rsidR="0050673C">
          <w:rPr>
            <w:rFonts w:asciiTheme="minorHAnsi" w:eastAsiaTheme="minorEastAsia" w:hAnsiTheme="minorHAnsi" w:cstheme="minorBidi"/>
            <w:color w:val="auto"/>
          </w:rPr>
          <w:tab/>
        </w:r>
        <w:r w:rsidR="0050673C" w:rsidRPr="00AC1453">
          <w:rPr>
            <w:rStyle w:val="Hiperhivatkozs"/>
          </w:rPr>
          <w:t>Tőkemegfelelési számítás részletes ismertetése</w:t>
        </w:r>
        <w:r w:rsidR="0050673C">
          <w:rPr>
            <w:webHidden/>
          </w:rPr>
          <w:tab/>
        </w:r>
        <w:r w:rsidR="0050673C">
          <w:rPr>
            <w:webHidden/>
          </w:rPr>
          <w:fldChar w:fldCharType="begin"/>
        </w:r>
        <w:r w:rsidR="0050673C">
          <w:rPr>
            <w:webHidden/>
          </w:rPr>
          <w:instrText xml:space="preserve"> PAGEREF _Toc468191511 \h </w:instrText>
        </w:r>
        <w:r w:rsidR="0050673C">
          <w:rPr>
            <w:webHidden/>
          </w:rPr>
        </w:r>
        <w:r w:rsidR="0050673C">
          <w:rPr>
            <w:webHidden/>
          </w:rPr>
          <w:fldChar w:fldCharType="separate"/>
        </w:r>
        <w:r w:rsidR="00A50AE4">
          <w:rPr>
            <w:webHidden/>
          </w:rPr>
          <w:t>125</w:t>
        </w:r>
        <w:r w:rsidR="0050673C">
          <w:rPr>
            <w:webHidden/>
          </w:rPr>
          <w:fldChar w:fldCharType="end"/>
        </w:r>
      </w:hyperlink>
    </w:p>
    <w:p w14:paraId="648DC268" w14:textId="55314283" w:rsidR="0050673C" w:rsidRDefault="009D3208">
      <w:pPr>
        <w:pStyle w:val="TJ2"/>
        <w:tabs>
          <w:tab w:val="left" w:pos="880"/>
        </w:tabs>
        <w:rPr>
          <w:rFonts w:asciiTheme="minorHAnsi" w:eastAsiaTheme="minorEastAsia" w:hAnsiTheme="minorHAnsi" w:cstheme="minorBidi"/>
          <w:color w:val="auto"/>
        </w:rPr>
      </w:pPr>
      <w:hyperlink w:anchor="_Toc468191512" w:history="1">
        <w:r w:rsidR="0050673C" w:rsidRPr="00AC1453">
          <w:rPr>
            <w:rStyle w:val="Hiperhivatkozs"/>
          </w:rPr>
          <w:t>IX.4</w:t>
        </w:r>
        <w:r w:rsidR="0050673C">
          <w:rPr>
            <w:rFonts w:asciiTheme="minorHAnsi" w:eastAsiaTheme="minorEastAsia" w:hAnsiTheme="minorHAnsi" w:cstheme="minorBidi"/>
            <w:color w:val="auto"/>
          </w:rPr>
          <w:tab/>
        </w:r>
        <w:r w:rsidR="0050673C" w:rsidRPr="00AC1453">
          <w:rPr>
            <w:rStyle w:val="Hiperhivatkozs"/>
          </w:rPr>
          <w:t>A belső tőkeszükséglet-számítási módszertan beépülése a folyamatokba</w:t>
        </w:r>
        <w:r w:rsidR="0050673C">
          <w:rPr>
            <w:webHidden/>
          </w:rPr>
          <w:tab/>
        </w:r>
        <w:r w:rsidR="0050673C">
          <w:rPr>
            <w:webHidden/>
          </w:rPr>
          <w:fldChar w:fldCharType="begin"/>
        </w:r>
        <w:r w:rsidR="0050673C">
          <w:rPr>
            <w:webHidden/>
          </w:rPr>
          <w:instrText xml:space="preserve"> PAGEREF _Toc468191512 \h </w:instrText>
        </w:r>
        <w:r w:rsidR="0050673C">
          <w:rPr>
            <w:webHidden/>
          </w:rPr>
        </w:r>
        <w:r w:rsidR="0050673C">
          <w:rPr>
            <w:webHidden/>
          </w:rPr>
          <w:fldChar w:fldCharType="separate"/>
        </w:r>
        <w:r w:rsidR="00A50AE4">
          <w:rPr>
            <w:webHidden/>
          </w:rPr>
          <w:t>125</w:t>
        </w:r>
        <w:r w:rsidR="0050673C">
          <w:rPr>
            <w:webHidden/>
          </w:rPr>
          <w:fldChar w:fldCharType="end"/>
        </w:r>
      </w:hyperlink>
    </w:p>
    <w:p w14:paraId="2D6803D9" w14:textId="5DD18337" w:rsidR="0050673C" w:rsidRDefault="009D3208">
      <w:pPr>
        <w:pStyle w:val="TJ2"/>
        <w:tabs>
          <w:tab w:val="left" w:pos="880"/>
        </w:tabs>
        <w:rPr>
          <w:rFonts w:asciiTheme="minorHAnsi" w:eastAsiaTheme="minorEastAsia" w:hAnsiTheme="minorHAnsi" w:cstheme="minorBidi"/>
          <w:color w:val="auto"/>
        </w:rPr>
      </w:pPr>
      <w:hyperlink w:anchor="_Toc468191513" w:history="1">
        <w:r w:rsidR="0050673C" w:rsidRPr="00AC1453">
          <w:rPr>
            <w:rStyle w:val="Hiperhivatkozs"/>
          </w:rPr>
          <w:t>IX.5</w:t>
        </w:r>
        <w:r w:rsidR="0050673C">
          <w:rPr>
            <w:rFonts w:asciiTheme="minorHAnsi" w:eastAsiaTheme="minorEastAsia" w:hAnsiTheme="minorHAnsi" w:cstheme="minorBidi"/>
            <w:color w:val="auto"/>
          </w:rPr>
          <w:tab/>
        </w:r>
        <w:r w:rsidR="0050673C" w:rsidRPr="00AC1453">
          <w:rPr>
            <w:rStyle w:val="Hiperhivatkozs"/>
          </w:rPr>
          <w:t>A likviditás megfelelőségének belső értékelési folyamatának ismertetése</w:t>
        </w:r>
        <w:r w:rsidR="0050673C">
          <w:rPr>
            <w:webHidden/>
          </w:rPr>
          <w:tab/>
        </w:r>
        <w:r w:rsidR="0050673C">
          <w:rPr>
            <w:webHidden/>
          </w:rPr>
          <w:fldChar w:fldCharType="begin"/>
        </w:r>
        <w:r w:rsidR="0050673C">
          <w:rPr>
            <w:webHidden/>
          </w:rPr>
          <w:instrText xml:space="preserve"> PAGEREF _Toc468191513 \h </w:instrText>
        </w:r>
        <w:r w:rsidR="0050673C">
          <w:rPr>
            <w:webHidden/>
          </w:rPr>
        </w:r>
        <w:r w:rsidR="0050673C">
          <w:rPr>
            <w:webHidden/>
          </w:rPr>
          <w:fldChar w:fldCharType="separate"/>
        </w:r>
        <w:r w:rsidR="00A50AE4">
          <w:rPr>
            <w:webHidden/>
          </w:rPr>
          <w:t>125</w:t>
        </w:r>
        <w:r w:rsidR="0050673C">
          <w:rPr>
            <w:webHidden/>
          </w:rPr>
          <w:fldChar w:fldCharType="end"/>
        </w:r>
      </w:hyperlink>
    </w:p>
    <w:p w14:paraId="0A685D2C" w14:textId="49A3B6D6" w:rsidR="0050673C" w:rsidRDefault="009D3208">
      <w:pPr>
        <w:pStyle w:val="TJ1"/>
        <w:tabs>
          <w:tab w:val="left" w:pos="482"/>
        </w:tabs>
        <w:rPr>
          <w:rFonts w:asciiTheme="minorHAnsi" w:eastAsiaTheme="minorEastAsia" w:hAnsiTheme="minorHAnsi" w:cstheme="minorBidi"/>
          <w:b w:val="0"/>
          <w:color w:val="auto"/>
        </w:rPr>
      </w:pPr>
      <w:hyperlink w:anchor="_Toc468191514" w:history="1">
        <w:r w:rsidR="0050673C" w:rsidRPr="00AC1453">
          <w:rPr>
            <w:rStyle w:val="Hiperhivatkozs"/>
          </w:rPr>
          <w:t>X.</w:t>
        </w:r>
        <w:r w:rsidR="0050673C">
          <w:rPr>
            <w:rFonts w:asciiTheme="minorHAnsi" w:eastAsiaTheme="minorEastAsia" w:hAnsiTheme="minorHAnsi" w:cstheme="minorBidi"/>
            <w:b w:val="0"/>
            <w:color w:val="auto"/>
          </w:rPr>
          <w:tab/>
        </w:r>
        <w:r w:rsidR="0050673C" w:rsidRPr="00AC1453">
          <w:rPr>
            <w:rStyle w:val="Hiperhivatkozs"/>
          </w:rPr>
          <w:t>Mellékletek</w:t>
        </w:r>
        <w:r w:rsidR="0050673C">
          <w:rPr>
            <w:webHidden/>
          </w:rPr>
          <w:tab/>
        </w:r>
        <w:r w:rsidR="0050673C">
          <w:rPr>
            <w:webHidden/>
          </w:rPr>
          <w:fldChar w:fldCharType="begin"/>
        </w:r>
        <w:r w:rsidR="0050673C">
          <w:rPr>
            <w:webHidden/>
          </w:rPr>
          <w:instrText xml:space="preserve"> PAGEREF _Toc468191514 \h </w:instrText>
        </w:r>
        <w:r w:rsidR="0050673C">
          <w:rPr>
            <w:webHidden/>
          </w:rPr>
        </w:r>
        <w:r w:rsidR="0050673C">
          <w:rPr>
            <w:webHidden/>
          </w:rPr>
          <w:fldChar w:fldCharType="separate"/>
        </w:r>
        <w:r w:rsidR="00A50AE4">
          <w:rPr>
            <w:webHidden/>
          </w:rPr>
          <w:t>127</w:t>
        </w:r>
        <w:r w:rsidR="0050673C">
          <w:rPr>
            <w:webHidden/>
          </w:rPr>
          <w:fldChar w:fldCharType="end"/>
        </w:r>
      </w:hyperlink>
    </w:p>
    <w:p w14:paraId="66B150A0" w14:textId="77777777" w:rsidR="003F29E3" w:rsidRPr="00181755" w:rsidRDefault="003F29E3" w:rsidP="00D10772">
      <w:pPr>
        <w:rPr>
          <w:rFonts w:asciiTheme="minorHAnsi" w:hAnsiTheme="minorHAnsi"/>
          <w:b/>
        </w:rPr>
      </w:pPr>
      <w:r w:rsidRPr="00561A6B">
        <w:rPr>
          <w:b/>
          <w:noProof/>
        </w:rPr>
        <w:fldChar w:fldCharType="end"/>
      </w:r>
      <w:r w:rsidRPr="00561A6B">
        <w:br w:type="page"/>
      </w:r>
      <w:r w:rsidRPr="00181755">
        <w:rPr>
          <w:rFonts w:asciiTheme="minorHAnsi" w:hAnsiTheme="minorHAnsi"/>
          <w:b/>
        </w:rPr>
        <w:t>Rövidítések</w:t>
      </w:r>
      <w:bookmarkEnd w:id="13"/>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181755" w14:paraId="66B150A4" w14:textId="77777777" w:rsidTr="00C645A0">
        <w:trPr>
          <w:trHeight w:val="360"/>
        </w:trPr>
        <w:tc>
          <w:tcPr>
            <w:tcW w:w="993" w:type="dxa"/>
            <w:tcBorders>
              <w:top w:val="nil"/>
              <w:left w:val="nil"/>
              <w:bottom w:val="nil"/>
              <w:right w:val="nil"/>
            </w:tcBorders>
            <w:vAlign w:val="center"/>
          </w:tcPr>
          <w:p w14:paraId="66B150A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fejlett változata (PD, LGD, CCF becslés)</w:t>
            </w:r>
          </w:p>
        </w:tc>
      </w:tr>
      <w:tr w:rsidR="003F29E3" w:rsidRPr="00181755" w14:paraId="66B150A8" w14:textId="77777777" w:rsidTr="00C645A0">
        <w:trPr>
          <w:trHeight w:val="360"/>
        </w:trPr>
        <w:tc>
          <w:tcPr>
            <w:tcW w:w="993" w:type="dxa"/>
            <w:tcBorders>
              <w:top w:val="nil"/>
              <w:left w:val="nil"/>
              <w:bottom w:val="nil"/>
              <w:right w:val="nil"/>
            </w:tcBorders>
            <w:vAlign w:val="center"/>
          </w:tcPr>
          <w:p w14:paraId="66B150A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fejlett mérési módszer (működési kockázat)</w:t>
            </w:r>
          </w:p>
        </w:tc>
      </w:tr>
      <w:tr w:rsidR="003F29E3" w:rsidRPr="00181755" w14:paraId="66B150AC" w14:textId="77777777" w:rsidTr="00C645A0">
        <w:trPr>
          <w:trHeight w:val="360"/>
        </w:trPr>
        <w:tc>
          <w:tcPr>
            <w:tcW w:w="993" w:type="dxa"/>
            <w:tcBorders>
              <w:top w:val="nil"/>
              <w:left w:val="nil"/>
              <w:bottom w:val="nil"/>
              <w:right w:val="nil"/>
            </w:tcBorders>
            <w:vAlign w:val="center"/>
          </w:tcPr>
          <w:p w14:paraId="66B150A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181755" w:rsidRDefault="003F29E3" w:rsidP="005C5D1A">
            <w:pPr>
              <w:rPr>
                <w:rFonts w:asciiTheme="minorHAnsi" w:hAnsiTheme="minorHAnsi"/>
                <w:sz w:val="20"/>
                <w:szCs w:val="20"/>
              </w:rPr>
            </w:pPr>
            <w:r w:rsidRPr="00181755">
              <w:rPr>
                <w:rFonts w:asciiTheme="minorHAnsi" w:hAnsiTheme="minorHAnsi"/>
                <w:sz w:val="20"/>
                <w:szCs w:val="20"/>
              </w:rPr>
              <w:t xml:space="preserve">Eszköz-Forrás </w:t>
            </w:r>
            <w:r w:rsidR="007C51BB" w:rsidRPr="00181755">
              <w:rPr>
                <w:rFonts w:asciiTheme="minorHAnsi" w:hAnsiTheme="minorHAnsi"/>
                <w:sz w:val="20"/>
                <w:szCs w:val="20"/>
              </w:rPr>
              <w:t>B</w:t>
            </w:r>
            <w:r w:rsidRPr="00181755">
              <w:rPr>
                <w:rFonts w:asciiTheme="minorHAnsi" w:hAnsiTheme="minorHAnsi"/>
                <w:sz w:val="20"/>
                <w:szCs w:val="20"/>
              </w:rPr>
              <w:t>izottság a likviditási kockázat menedzselésére</w:t>
            </w:r>
          </w:p>
        </w:tc>
      </w:tr>
      <w:tr w:rsidR="003F29E3" w:rsidRPr="00181755" w14:paraId="66B150B0" w14:textId="77777777" w:rsidTr="00C645A0">
        <w:trPr>
          <w:trHeight w:val="360"/>
        </w:trPr>
        <w:tc>
          <w:tcPr>
            <w:tcW w:w="993" w:type="dxa"/>
            <w:tcBorders>
              <w:top w:val="nil"/>
              <w:left w:val="nil"/>
              <w:bottom w:val="nil"/>
              <w:right w:val="nil"/>
            </w:tcBorders>
            <w:vAlign w:val="center"/>
          </w:tcPr>
          <w:p w14:paraId="66B150A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alternatív sztenderd módszer (működési kockázat)</w:t>
            </w:r>
          </w:p>
        </w:tc>
      </w:tr>
      <w:tr w:rsidR="00A43799" w:rsidRPr="00181755" w14:paraId="66B150B4" w14:textId="77777777" w:rsidTr="00C645A0">
        <w:trPr>
          <w:trHeight w:val="360"/>
        </w:trPr>
        <w:tc>
          <w:tcPr>
            <w:tcW w:w="993" w:type="dxa"/>
            <w:tcBorders>
              <w:top w:val="nil"/>
              <w:left w:val="nil"/>
              <w:bottom w:val="nil"/>
              <w:right w:val="nil"/>
            </w:tcBorders>
            <w:vAlign w:val="center"/>
          </w:tcPr>
          <w:p w14:paraId="66B150B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kiegészítő értékelési korrekció</w:t>
            </w:r>
          </w:p>
        </w:tc>
      </w:tr>
      <w:tr w:rsidR="003F29E3" w:rsidRPr="00181755" w14:paraId="66B150B8" w14:textId="77777777" w:rsidTr="00C645A0">
        <w:trPr>
          <w:trHeight w:val="360"/>
        </w:trPr>
        <w:tc>
          <w:tcPr>
            <w:tcW w:w="993" w:type="dxa"/>
            <w:tcBorders>
              <w:top w:val="nil"/>
              <w:left w:val="nil"/>
              <w:bottom w:val="nil"/>
              <w:right w:val="nil"/>
            </w:tcBorders>
            <w:vAlign w:val="center"/>
          </w:tcPr>
          <w:p w14:paraId="66B150B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üzletmenet-folytonosság menedzsment</w:t>
            </w:r>
          </w:p>
        </w:tc>
      </w:tr>
      <w:tr w:rsidR="003F29E3" w:rsidRPr="00181755" w14:paraId="66B150BC" w14:textId="77777777" w:rsidTr="00C645A0">
        <w:trPr>
          <w:trHeight w:val="360"/>
        </w:trPr>
        <w:tc>
          <w:tcPr>
            <w:tcW w:w="993" w:type="dxa"/>
            <w:tcBorders>
              <w:top w:val="nil"/>
              <w:left w:val="nil"/>
              <w:bottom w:val="nil"/>
              <w:right w:val="nil"/>
            </w:tcBorders>
            <w:vAlign w:val="center"/>
          </w:tcPr>
          <w:p w14:paraId="66B150B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alapmutató módszer (működési kockázat)</w:t>
            </w:r>
          </w:p>
        </w:tc>
      </w:tr>
      <w:tr w:rsidR="00BF02D0" w:rsidRPr="00181755" w14:paraId="2BBEAF88" w14:textId="77777777" w:rsidTr="00C645A0">
        <w:trPr>
          <w:trHeight w:val="360"/>
        </w:trPr>
        <w:tc>
          <w:tcPr>
            <w:tcW w:w="993" w:type="dxa"/>
            <w:tcBorders>
              <w:top w:val="nil"/>
              <w:left w:val="nil"/>
              <w:bottom w:val="nil"/>
              <w:right w:val="nil"/>
            </w:tcBorders>
            <w:vAlign w:val="center"/>
          </w:tcPr>
          <w:p w14:paraId="4DE6E53A" w14:textId="5AF16CCB" w:rsidR="00BF02D0" w:rsidRPr="00181755" w:rsidRDefault="00BF02D0" w:rsidP="00D10772">
            <w:pPr>
              <w:rPr>
                <w:rFonts w:asciiTheme="minorHAnsi" w:hAnsiTheme="minorHAnsi"/>
                <w:sz w:val="20"/>
                <w:szCs w:val="20"/>
              </w:rPr>
            </w:pPr>
            <w:r w:rsidRPr="00181755">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181755" w:rsidRDefault="00BF02D0" w:rsidP="00D10772">
            <w:pPr>
              <w:rPr>
                <w:rFonts w:asciiTheme="minorHAnsi" w:hAnsiTheme="minorHAnsi"/>
                <w:sz w:val="20"/>
                <w:szCs w:val="20"/>
              </w:rPr>
            </w:pPr>
            <w:r w:rsidRPr="00181755">
              <w:rPr>
                <w:rFonts w:asciiTheme="minorHAnsi" w:hAnsiTheme="minorHAnsi"/>
                <w:sz w:val="20"/>
                <w:szCs w:val="20"/>
              </w:rPr>
              <w:t>Business Model Ana</w:t>
            </w:r>
            <w:r w:rsidR="0057698F" w:rsidRPr="00181755">
              <w:rPr>
                <w:rFonts w:asciiTheme="minorHAnsi" w:hAnsiTheme="minorHAnsi"/>
                <w:sz w:val="20"/>
                <w:szCs w:val="20"/>
              </w:rPr>
              <w:t>lysis</w:t>
            </w:r>
          </w:p>
        </w:tc>
        <w:tc>
          <w:tcPr>
            <w:tcW w:w="4536" w:type="dxa"/>
            <w:tcBorders>
              <w:top w:val="nil"/>
              <w:left w:val="nil"/>
              <w:bottom w:val="nil"/>
              <w:right w:val="nil"/>
            </w:tcBorders>
            <w:vAlign w:val="center"/>
          </w:tcPr>
          <w:p w14:paraId="23F5E77F" w14:textId="7AE79CC8" w:rsidR="00BF02D0" w:rsidRPr="00181755" w:rsidRDefault="00BF02D0" w:rsidP="00D10772">
            <w:pPr>
              <w:rPr>
                <w:rFonts w:asciiTheme="minorHAnsi" w:hAnsiTheme="minorHAnsi"/>
                <w:sz w:val="20"/>
                <w:szCs w:val="20"/>
              </w:rPr>
            </w:pPr>
            <w:r w:rsidRPr="00181755">
              <w:rPr>
                <w:rFonts w:asciiTheme="minorHAnsi" w:hAnsiTheme="minorHAnsi"/>
                <w:sz w:val="20"/>
                <w:szCs w:val="20"/>
              </w:rPr>
              <w:t>Üzleti Modell Elemzés</w:t>
            </w:r>
          </w:p>
        </w:tc>
      </w:tr>
      <w:tr w:rsidR="004B7E48" w:rsidRPr="00181755" w14:paraId="66B150C0" w14:textId="77777777" w:rsidTr="00C645A0">
        <w:trPr>
          <w:trHeight w:val="360"/>
        </w:trPr>
        <w:tc>
          <w:tcPr>
            <w:tcW w:w="993" w:type="dxa"/>
            <w:tcBorders>
              <w:top w:val="nil"/>
              <w:left w:val="nil"/>
              <w:bottom w:val="nil"/>
              <w:right w:val="nil"/>
            </w:tcBorders>
            <w:vAlign w:val="center"/>
          </w:tcPr>
          <w:p w14:paraId="66B150B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181755" w14:paraId="66B150C4" w14:textId="77777777" w:rsidTr="00C645A0">
        <w:trPr>
          <w:trHeight w:val="360"/>
        </w:trPr>
        <w:tc>
          <w:tcPr>
            <w:tcW w:w="993" w:type="dxa"/>
            <w:tcBorders>
              <w:top w:val="nil"/>
              <w:left w:val="nil"/>
              <w:bottom w:val="nil"/>
              <w:right w:val="nil"/>
            </w:tcBorders>
            <w:vAlign w:val="center"/>
          </w:tcPr>
          <w:p w14:paraId="66B150C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(hitel) egyenértékesítési (konverziós) tényező</w:t>
            </w:r>
          </w:p>
        </w:tc>
      </w:tr>
      <w:tr w:rsidR="003F29E3" w:rsidRPr="00181755" w14:paraId="66B150C8" w14:textId="77777777" w:rsidTr="00C645A0">
        <w:trPr>
          <w:trHeight w:val="360"/>
        </w:trPr>
        <w:tc>
          <w:tcPr>
            <w:tcW w:w="993" w:type="dxa"/>
            <w:tcBorders>
              <w:top w:val="nil"/>
              <w:left w:val="nil"/>
              <w:bottom w:val="nil"/>
              <w:right w:val="nil"/>
            </w:tcBorders>
            <w:vAlign w:val="center"/>
          </w:tcPr>
          <w:p w14:paraId="66B150C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Európai Bankfelügyeleti Bizottság</w:t>
            </w:r>
          </w:p>
        </w:tc>
      </w:tr>
      <w:tr w:rsidR="00DD7F2D" w:rsidRPr="00181755" w14:paraId="66B150CC" w14:textId="77777777" w:rsidTr="00C645A0">
        <w:trPr>
          <w:trHeight w:val="360"/>
        </w:trPr>
        <w:tc>
          <w:tcPr>
            <w:tcW w:w="993" w:type="dxa"/>
            <w:tcBorders>
              <w:top w:val="nil"/>
              <w:left w:val="nil"/>
              <w:bottom w:val="nil"/>
              <w:right w:val="nil"/>
            </w:tcBorders>
            <w:vAlign w:val="center"/>
          </w:tcPr>
          <w:p w14:paraId="66B150C9"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elsődleges alapvető tőke (részletesen lsd. CRR Második rész: Szavatoló tőke fejezet)</w:t>
            </w:r>
          </w:p>
        </w:tc>
      </w:tr>
      <w:tr w:rsidR="003F29E3" w:rsidRPr="00181755" w14:paraId="66B150D0" w14:textId="77777777" w:rsidTr="00C645A0">
        <w:trPr>
          <w:trHeight w:val="360"/>
        </w:trPr>
        <w:tc>
          <w:tcPr>
            <w:tcW w:w="993" w:type="dxa"/>
            <w:tcBorders>
              <w:top w:val="nil"/>
              <w:left w:val="nil"/>
              <w:bottom w:val="nil"/>
              <w:right w:val="nil"/>
            </w:tcBorders>
            <w:vAlign w:val="center"/>
          </w:tcPr>
          <w:p w14:paraId="66B150C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181755" w:rsidRDefault="003F29E3" w:rsidP="00D10772">
            <w:pPr>
              <w:rPr>
                <w:rFonts w:asciiTheme="minorHAnsi" w:hAnsiTheme="minorHAnsi"/>
                <w:sz w:val="20"/>
                <w:szCs w:val="20"/>
              </w:rPr>
            </w:pPr>
            <w:r w:rsidRPr="00181755">
              <w:rPr>
                <w:rFonts w:asciiTheme="minorHAnsi" w:hAnsiTheme="minorHAnsi"/>
                <w:sz w:val="20"/>
                <w:szCs w:val="20"/>
              </w:rPr>
              <w:t>Central Counterpar</w:t>
            </w:r>
            <w:r w:rsidR="008648C0" w:rsidRPr="00181755">
              <w:rPr>
                <w:rFonts w:asciiTheme="minorHAnsi" w:hAnsiTheme="minorHAnsi"/>
                <w:sz w:val="20"/>
                <w:szCs w:val="20"/>
              </w:rPr>
              <w:t>t</w:t>
            </w:r>
            <w:r w:rsidRPr="00181755">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181755" w:rsidRDefault="00A82A54" w:rsidP="00A82A54">
            <w:pPr>
              <w:rPr>
                <w:rFonts w:asciiTheme="minorHAnsi" w:hAnsiTheme="minorHAnsi"/>
                <w:sz w:val="20"/>
                <w:szCs w:val="20"/>
              </w:rPr>
            </w:pPr>
            <w:r w:rsidRPr="00181755">
              <w:rPr>
                <w:rFonts w:asciiTheme="minorHAnsi" w:hAnsiTheme="minorHAnsi"/>
                <w:sz w:val="20"/>
                <w:szCs w:val="20"/>
              </w:rPr>
              <w:t>központi szerződő fél</w:t>
            </w:r>
          </w:p>
        </w:tc>
      </w:tr>
      <w:tr w:rsidR="004B7E48" w:rsidRPr="00181755" w14:paraId="66B150D4" w14:textId="77777777" w:rsidTr="00C645A0">
        <w:trPr>
          <w:trHeight w:val="360"/>
        </w:trPr>
        <w:tc>
          <w:tcPr>
            <w:tcW w:w="993" w:type="dxa"/>
            <w:tcBorders>
              <w:top w:val="nil"/>
              <w:left w:val="nil"/>
              <w:bottom w:val="nil"/>
              <w:right w:val="nil"/>
            </w:tcBorders>
            <w:vAlign w:val="center"/>
          </w:tcPr>
          <w:p w14:paraId="66B150D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CRCU</w:t>
            </w:r>
          </w:p>
        </w:tc>
        <w:tc>
          <w:tcPr>
            <w:tcW w:w="4138" w:type="dxa"/>
            <w:tcBorders>
              <w:top w:val="nil"/>
              <w:left w:val="nil"/>
              <w:bottom w:val="nil"/>
              <w:right w:val="nil"/>
            </w:tcBorders>
            <w:vAlign w:val="center"/>
          </w:tcPr>
          <w:p w14:paraId="66B150D2"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Credit Risk Control Unit</w:t>
            </w:r>
          </w:p>
        </w:tc>
        <w:tc>
          <w:tcPr>
            <w:tcW w:w="4536" w:type="dxa"/>
            <w:tcBorders>
              <w:top w:val="nil"/>
              <w:left w:val="nil"/>
              <w:bottom w:val="nil"/>
              <w:right w:val="nil"/>
            </w:tcBorders>
            <w:vAlign w:val="center"/>
          </w:tcPr>
          <w:p w14:paraId="66B150D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hitelkockázati kontroll egység</w:t>
            </w:r>
          </w:p>
        </w:tc>
      </w:tr>
      <w:tr w:rsidR="003F29E3" w:rsidRPr="00181755" w14:paraId="66B150D8" w14:textId="77777777" w:rsidTr="00C645A0">
        <w:trPr>
          <w:trHeight w:val="360"/>
        </w:trPr>
        <w:tc>
          <w:tcPr>
            <w:tcW w:w="993" w:type="dxa"/>
            <w:tcBorders>
              <w:top w:val="nil"/>
              <w:left w:val="nil"/>
              <w:bottom w:val="nil"/>
              <w:right w:val="nil"/>
            </w:tcBorders>
            <w:vAlign w:val="center"/>
          </w:tcPr>
          <w:p w14:paraId="66B150D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2006/48/EC (módosított 2000/12) és 2006/49/EC (módosított 93/6) direktívák</w:t>
            </w:r>
          </w:p>
        </w:tc>
      </w:tr>
      <w:tr w:rsidR="003F29E3" w:rsidRPr="00181755" w14:paraId="66B150DC" w14:textId="77777777" w:rsidTr="00C645A0">
        <w:trPr>
          <w:trHeight w:val="360"/>
        </w:trPr>
        <w:tc>
          <w:tcPr>
            <w:tcW w:w="993" w:type="dxa"/>
            <w:tcBorders>
              <w:top w:val="nil"/>
              <w:left w:val="nil"/>
              <w:bottom w:val="nil"/>
              <w:right w:val="nil"/>
            </w:tcBorders>
            <w:vAlign w:val="center"/>
          </w:tcPr>
          <w:p w14:paraId="66B150D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181755" w:rsidRDefault="007C51BB" w:rsidP="00D10772">
            <w:pPr>
              <w:rPr>
                <w:rFonts w:asciiTheme="minorHAnsi" w:hAnsiTheme="minorHAnsi"/>
                <w:sz w:val="20"/>
                <w:szCs w:val="20"/>
              </w:rPr>
            </w:pPr>
            <w:r w:rsidRPr="00181755">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3F29E3" w:rsidRPr="00181755" w14:paraId="66B150E0" w14:textId="77777777" w:rsidTr="004B7E48">
        <w:trPr>
          <w:trHeight w:val="426"/>
        </w:trPr>
        <w:tc>
          <w:tcPr>
            <w:tcW w:w="993" w:type="dxa"/>
            <w:tcBorders>
              <w:top w:val="nil"/>
              <w:left w:val="nil"/>
              <w:bottom w:val="nil"/>
              <w:right w:val="nil"/>
            </w:tcBorders>
            <w:vAlign w:val="center"/>
          </w:tcPr>
          <w:p w14:paraId="66B150D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4B7E48" w:rsidRPr="00181755" w14:paraId="66B150E4" w14:textId="77777777" w:rsidTr="00C645A0">
        <w:trPr>
          <w:trHeight w:val="360"/>
        </w:trPr>
        <w:tc>
          <w:tcPr>
            <w:tcW w:w="993" w:type="dxa"/>
            <w:tcBorders>
              <w:top w:val="nil"/>
              <w:left w:val="nil"/>
              <w:bottom w:val="nil"/>
              <w:right w:val="nil"/>
            </w:tcBorders>
            <w:vAlign w:val="center"/>
          </w:tcPr>
          <w:p w14:paraId="66B150E1" w14:textId="1F49009F"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181755" w:rsidRDefault="004B7E48" w:rsidP="00D10772">
            <w:pPr>
              <w:rPr>
                <w:rFonts w:asciiTheme="minorHAnsi" w:hAnsiTheme="minorHAnsi"/>
                <w:sz w:val="20"/>
                <w:szCs w:val="20"/>
              </w:rPr>
            </w:pPr>
          </w:p>
        </w:tc>
      </w:tr>
      <w:tr w:rsidR="006015F3" w:rsidRPr="00181755" w14:paraId="66B150E8" w14:textId="77777777" w:rsidTr="00C645A0">
        <w:trPr>
          <w:trHeight w:val="360"/>
        </w:trPr>
        <w:tc>
          <w:tcPr>
            <w:tcW w:w="993" w:type="dxa"/>
            <w:tcBorders>
              <w:top w:val="nil"/>
              <w:left w:val="nil"/>
              <w:bottom w:val="nil"/>
              <w:right w:val="nil"/>
            </w:tcBorders>
            <w:vAlign w:val="center"/>
          </w:tcPr>
          <w:p w14:paraId="66B150E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hitelértékelési korrekció</w:t>
            </w:r>
          </w:p>
        </w:tc>
      </w:tr>
      <w:tr w:rsidR="00B3770C" w:rsidRPr="00181755" w14:paraId="57B0BD77" w14:textId="77777777" w:rsidTr="00C645A0">
        <w:trPr>
          <w:trHeight w:val="360"/>
        </w:trPr>
        <w:tc>
          <w:tcPr>
            <w:tcW w:w="993" w:type="dxa"/>
            <w:tcBorders>
              <w:top w:val="nil"/>
              <w:left w:val="nil"/>
              <w:bottom w:val="nil"/>
              <w:right w:val="nil"/>
            </w:tcBorders>
            <w:vAlign w:val="center"/>
          </w:tcPr>
          <w:p w14:paraId="3CC9C96F" w14:textId="785D674E" w:rsidR="00B3770C" w:rsidRPr="00181755" w:rsidRDefault="00B3770C" w:rsidP="00D10772">
            <w:pPr>
              <w:rPr>
                <w:rFonts w:asciiTheme="minorHAnsi" w:hAnsiTheme="minorHAnsi"/>
                <w:sz w:val="20"/>
                <w:szCs w:val="20"/>
              </w:rPr>
            </w:pPr>
            <w:r w:rsidRPr="00181755">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181755" w:rsidRDefault="002E4AB1" w:rsidP="00B3770C">
            <w:pPr>
              <w:rPr>
                <w:rFonts w:asciiTheme="minorHAnsi" w:hAnsiTheme="minorHAnsi"/>
                <w:sz w:val="20"/>
                <w:szCs w:val="20"/>
              </w:rPr>
            </w:pPr>
            <w:r w:rsidRPr="00181755">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181755" w:rsidRDefault="00B3770C" w:rsidP="002E4AB1">
            <w:pPr>
              <w:rPr>
                <w:rFonts w:asciiTheme="minorHAnsi" w:hAnsiTheme="minorHAnsi"/>
                <w:sz w:val="20"/>
                <w:szCs w:val="20"/>
              </w:rPr>
            </w:pPr>
            <w:r w:rsidRPr="00181755">
              <w:rPr>
                <w:rFonts w:asciiTheme="minorHAnsi" w:hAnsiTheme="minorHAnsi"/>
                <w:sz w:val="20"/>
                <w:szCs w:val="20"/>
              </w:rPr>
              <w:t>A B</w:t>
            </w:r>
            <w:r w:rsidR="002E4AB1" w:rsidRPr="00181755">
              <w:rPr>
                <w:rFonts w:asciiTheme="minorHAnsi" w:hAnsiTheme="minorHAnsi"/>
                <w:sz w:val="20"/>
                <w:szCs w:val="20"/>
              </w:rPr>
              <w:t>izottság</w:t>
            </w:r>
            <w:r w:rsidRPr="00181755">
              <w:rPr>
                <w:rFonts w:asciiTheme="minorHAnsi" w:hAnsiTheme="minorHAnsi"/>
                <w:sz w:val="20"/>
                <w:szCs w:val="20"/>
              </w:rPr>
              <w:t xml:space="preserve"> (EU) 2015/61 </w:t>
            </w:r>
            <w:r w:rsidR="002E4AB1" w:rsidRPr="00181755">
              <w:rPr>
                <w:rFonts w:asciiTheme="minorHAnsi" w:hAnsiTheme="minorHAnsi"/>
                <w:sz w:val="20"/>
                <w:szCs w:val="20"/>
              </w:rPr>
              <w:t>felhatalmazáson alapuló</w:t>
            </w:r>
            <w:r w:rsidRPr="00181755">
              <w:rPr>
                <w:rFonts w:asciiTheme="minorHAnsi" w:hAnsiTheme="minorHAnsi"/>
                <w:sz w:val="20"/>
                <w:szCs w:val="20"/>
              </w:rPr>
              <w:t xml:space="preserve"> </w:t>
            </w:r>
            <w:r w:rsidR="002E4AB1" w:rsidRPr="00181755">
              <w:rPr>
                <w:rFonts w:asciiTheme="minorHAnsi" w:hAnsiTheme="minorHAnsi"/>
                <w:sz w:val="20"/>
                <w:szCs w:val="20"/>
              </w:rPr>
              <w:t>rendelete</w:t>
            </w:r>
            <w:r w:rsidRPr="00181755">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181755" w14:paraId="66B150EC" w14:textId="77777777" w:rsidTr="00C645A0">
        <w:trPr>
          <w:trHeight w:val="360"/>
        </w:trPr>
        <w:tc>
          <w:tcPr>
            <w:tcW w:w="993" w:type="dxa"/>
            <w:tcBorders>
              <w:top w:val="nil"/>
              <w:left w:val="nil"/>
              <w:bottom w:val="nil"/>
              <w:right w:val="nil"/>
            </w:tcBorders>
            <w:vAlign w:val="center"/>
          </w:tcPr>
          <w:p w14:paraId="66B150E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181755"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devizafinanszírozás megfelelési mutató</w:t>
            </w:r>
          </w:p>
        </w:tc>
      </w:tr>
      <w:tr w:rsidR="003F29E3" w:rsidRPr="00181755" w14:paraId="66B150F0" w14:textId="77777777" w:rsidTr="00C645A0">
        <w:trPr>
          <w:trHeight w:val="360"/>
        </w:trPr>
        <w:tc>
          <w:tcPr>
            <w:tcW w:w="993" w:type="dxa"/>
            <w:tcBorders>
              <w:top w:val="nil"/>
              <w:left w:val="nil"/>
              <w:bottom w:val="nil"/>
              <w:right w:val="nil"/>
            </w:tcBorders>
            <w:vAlign w:val="center"/>
          </w:tcPr>
          <w:p w14:paraId="66B150E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Delivery </w:t>
            </w:r>
            <w:r w:rsidR="00163159" w:rsidRPr="00181755">
              <w:rPr>
                <w:rFonts w:asciiTheme="minorHAnsi" w:hAnsiTheme="minorHAnsi"/>
                <w:sz w:val="20"/>
                <w:szCs w:val="20"/>
              </w:rPr>
              <w:t>V</w:t>
            </w:r>
            <w:r w:rsidRPr="00181755">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szállítás fizetés ellenében</w:t>
            </w:r>
          </w:p>
        </w:tc>
      </w:tr>
      <w:tr w:rsidR="003F29E3" w:rsidRPr="00181755" w14:paraId="66B150F4" w14:textId="77777777" w:rsidTr="00C645A0">
        <w:trPr>
          <w:trHeight w:val="360"/>
        </w:trPr>
        <w:tc>
          <w:tcPr>
            <w:tcW w:w="993" w:type="dxa"/>
            <w:tcBorders>
              <w:top w:val="nil"/>
              <w:left w:val="nil"/>
              <w:bottom w:val="nil"/>
              <w:right w:val="nil"/>
            </w:tcBorders>
            <w:vAlign w:val="center"/>
          </w:tcPr>
          <w:p w14:paraId="66B150F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Exposure </w:t>
            </w:r>
            <w:r w:rsidR="00163159" w:rsidRPr="00181755">
              <w:rPr>
                <w:rFonts w:asciiTheme="minorHAnsi" w:hAnsiTheme="minorHAnsi"/>
                <w:sz w:val="20"/>
                <w:szCs w:val="20"/>
              </w:rPr>
              <w:t>A</w:t>
            </w:r>
            <w:r w:rsidRPr="00181755">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bekövetkezésekor a kockázati kitettség értéke</w:t>
            </w:r>
          </w:p>
        </w:tc>
      </w:tr>
      <w:tr w:rsidR="003F29E3" w:rsidRPr="00181755" w14:paraId="66B150F8" w14:textId="77777777" w:rsidTr="00C645A0">
        <w:trPr>
          <w:trHeight w:val="360"/>
        </w:trPr>
        <w:tc>
          <w:tcPr>
            <w:tcW w:w="993" w:type="dxa"/>
            <w:tcBorders>
              <w:top w:val="nil"/>
              <w:left w:val="nil"/>
              <w:bottom w:val="nil"/>
              <w:right w:val="nil"/>
            </w:tcBorders>
            <w:vAlign w:val="center"/>
          </w:tcPr>
          <w:p w14:paraId="66B150F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EBA</w:t>
            </w:r>
          </w:p>
        </w:tc>
        <w:tc>
          <w:tcPr>
            <w:tcW w:w="4138" w:type="dxa"/>
            <w:tcBorders>
              <w:top w:val="nil"/>
              <w:left w:val="nil"/>
              <w:bottom w:val="nil"/>
              <w:right w:val="nil"/>
            </w:tcBorders>
            <w:vAlign w:val="center"/>
          </w:tcPr>
          <w:p w14:paraId="66B150F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181755" w:rsidRDefault="003F29E3" w:rsidP="00A82A54">
            <w:pPr>
              <w:rPr>
                <w:rFonts w:asciiTheme="minorHAnsi" w:hAnsiTheme="minorHAnsi"/>
                <w:sz w:val="20"/>
                <w:szCs w:val="20"/>
              </w:rPr>
            </w:pPr>
            <w:r w:rsidRPr="00181755">
              <w:rPr>
                <w:rFonts w:asciiTheme="minorHAnsi" w:hAnsiTheme="minorHAnsi"/>
                <w:sz w:val="20"/>
                <w:szCs w:val="20"/>
              </w:rPr>
              <w:t>Európai Bank</w:t>
            </w:r>
            <w:r w:rsidR="00A82A54" w:rsidRPr="00181755">
              <w:rPr>
                <w:rFonts w:asciiTheme="minorHAnsi" w:hAnsiTheme="minorHAnsi"/>
                <w:sz w:val="20"/>
                <w:szCs w:val="20"/>
              </w:rPr>
              <w:t>h</w:t>
            </w:r>
            <w:r w:rsidRPr="00181755">
              <w:rPr>
                <w:rFonts w:asciiTheme="minorHAnsi" w:hAnsiTheme="minorHAnsi"/>
                <w:sz w:val="20"/>
                <w:szCs w:val="20"/>
              </w:rPr>
              <w:t>atóság</w:t>
            </w:r>
          </w:p>
        </w:tc>
      </w:tr>
      <w:tr w:rsidR="006015F3" w:rsidRPr="00181755" w14:paraId="66B150FC" w14:textId="77777777" w:rsidTr="00C645A0">
        <w:trPr>
          <w:trHeight w:val="360"/>
        </w:trPr>
        <w:tc>
          <w:tcPr>
            <w:tcW w:w="993" w:type="dxa"/>
            <w:tcBorders>
              <w:top w:val="nil"/>
              <w:left w:val="nil"/>
              <w:bottom w:val="nil"/>
              <w:right w:val="nil"/>
            </w:tcBorders>
            <w:vAlign w:val="center"/>
          </w:tcPr>
          <w:p w14:paraId="66B150F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181755" w:rsidRDefault="006015F3" w:rsidP="00A82A54">
            <w:pPr>
              <w:rPr>
                <w:rFonts w:asciiTheme="minorHAnsi" w:hAnsiTheme="minorHAnsi"/>
                <w:sz w:val="20"/>
                <w:szCs w:val="20"/>
              </w:rPr>
            </w:pPr>
            <w:r w:rsidRPr="00181755">
              <w:rPr>
                <w:rFonts w:asciiTheme="minorHAnsi" w:hAnsiTheme="minorHAnsi"/>
                <w:sz w:val="20"/>
                <w:szCs w:val="20"/>
              </w:rPr>
              <w:t>vár</w:t>
            </w:r>
            <w:r w:rsidR="00A82A54" w:rsidRPr="00181755">
              <w:rPr>
                <w:rFonts w:asciiTheme="minorHAnsi" w:hAnsiTheme="minorHAnsi"/>
                <w:sz w:val="20"/>
                <w:szCs w:val="20"/>
              </w:rPr>
              <w:t>ható</w:t>
            </w:r>
            <w:r w:rsidRPr="00181755">
              <w:rPr>
                <w:rFonts w:asciiTheme="minorHAnsi" w:hAnsiTheme="minorHAnsi"/>
                <w:sz w:val="20"/>
                <w:szCs w:val="20"/>
              </w:rPr>
              <w:t xml:space="preserve"> veszteség</w:t>
            </w:r>
          </w:p>
        </w:tc>
      </w:tr>
      <w:tr w:rsidR="00BA33A5" w:rsidRPr="00181755" w14:paraId="66B15100" w14:textId="77777777" w:rsidTr="00C645A0">
        <w:trPr>
          <w:trHeight w:val="360"/>
        </w:trPr>
        <w:tc>
          <w:tcPr>
            <w:tcW w:w="993" w:type="dxa"/>
            <w:tcBorders>
              <w:top w:val="nil"/>
              <w:left w:val="nil"/>
              <w:bottom w:val="nil"/>
              <w:right w:val="nil"/>
            </w:tcBorders>
            <w:vAlign w:val="center"/>
          </w:tcPr>
          <w:p w14:paraId="66B150FD"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181755"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Európai Gazdasági Térség</w:t>
            </w:r>
          </w:p>
        </w:tc>
      </w:tr>
      <w:tr w:rsidR="003F29E3" w:rsidRPr="00181755" w14:paraId="66B15104" w14:textId="77777777" w:rsidTr="00C645A0">
        <w:trPr>
          <w:trHeight w:val="360"/>
        </w:trPr>
        <w:tc>
          <w:tcPr>
            <w:tcW w:w="993" w:type="dxa"/>
            <w:tcBorders>
              <w:top w:val="nil"/>
              <w:left w:val="nil"/>
              <w:bottom w:val="nil"/>
              <w:right w:val="nil"/>
            </w:tcBorders>
            <w:vAlign w:val="center"/>
          </w:tcPr>
          <w:p w14:paraId="66B1510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alap változata (PD becslés)</w:t>
            </w:r>
          </w:p>
        </w:tc>
      </w:tr>
      <w:tr w:rsidR="004B7E48" w:rsidRPr="00181755" w14:paraId="66B15108" w14:textId="77777777" w:rsidTr="00C645A0">
        <w:trPr>
          <w:trHeight w:val="360"/>
        </w:trPr>
        <w:tc>
          <w:tcPr>
            <w:tcW w:w="993" w:type="dxa"/>
            <w:tcBorders>
              <w:top w:val="nil"/>
              <w:left w:val="nil"/>
              <w:bottom w:val="nil"/>
              <w:right w:val="nil"/>
            </w:tcBorders>
            <w:vAlign w:val="center"/>
          </w:tcPr>
          <w:p w14:paraId="66B1510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181755" w:rsidRDefault="004B7E48" w:rsidP="00181DC0">
            <w:pPr>
              <w:pStyle w:val="Norm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 xml:space="preserve">2013. évi CCXXXVII. törvény </w:t>
            </w:r>
            <w:bookmarkStart w:id="14" w:name="pr2"/>
            <w:bookmarkEnd w:id="14"/>
            <w:r w:rsidRPr="00181755">
              <w:rPr>
                <w:rFonts w:asciiTheme="minorHAnsi" w:hAnsiTheme="minorHAnsi"/>
                <w:sz w:val="20"/>
                <w:szCs w:val="20"/>
              </w:rPr>
              <w:t>a hitelintézetekről és a pénzügyi vállalkozásokról</w:t>
            </w:r>
          </w:p>
        </w:tc>
      </w:tr>
      <w:tr w:rsidR="003F29E3" w:rsidRPr="00181755" w14:paraId="66B1510C" w14:textId="77777777" w:rsidTr="00C645A0">
        <w:trPr>
          <w:trHeight w:val="360"/>
        </w:trPr>
        <w:tc>
          <w:tcPr>
            <w:tcW w:w="993" w:type="dxa"/>
            <w:tcBorders>
              <w:top w:val="nil"/>
              <w:left w:val="nil"/>
              <w:bottom w:val="nil"/>
              <w:right w:val="nil"/>
            </w:tcBorders>
            <w:vAlign w:val="center"/>
          </w:tcPr>
          <w:p w14:paraId="66B1510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tőkemegfelelés belső értékelési folyamata</w:t>
            </w:r>
          </w:p>
        </w:tc>
      </w:tr>
      <w:tr w:rsidR="003F29E3" w:rsidRPr="00181755" w14:paraId="66B15110" w14:textId="77777777" w:rsidTr="00C645A0">
        <w:trPr>
          <w:trHeight w:val="360"/>
        </w:trPr>
        <w:tc>
          <w:tcPr>
            <w:tcW w:w="993" w:type="dxa"/>
            <w:tcBorders>
              <w:top w:val="nil"/>
              <w:left w:val="nil"/>
              <w:bottom w:val="nil"/>
              <w:right w:val="nil"/>
            </w:tcBorders>
            <w:vAlign w:val="center"/>
          </w:tcPr>
          <w:p w14:paraId="66B1510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Intergiro</w:t>
            </w:r>
          </w:p>
        </w:tc>
        <w:tc>
          <w:tcPr>
            <w:tcW w:w="4536" w:type="dxa"/>
            <w:tcBorders>
              <w:top w:val="nil"/>
              <w:left w:val="nil"/>
              <w:bottom w:val="nil"/>
              <w:right w:val="nil"/>
            </w:tcBorders>
            <w:vAlign w:val="center"/>
          </w:tcPr>
          <w:p w14:paraId="66B1510F" w14:textId="77777777" w:rsidR="003F29E3" w:rsidRPr="00181755" w:rsidRDefault="003F29E3" w:rsidP="00D10772">
            <w:pPr>
              <w:rPr>
                <w:rFonts w:asciiTheme="minorHAnsi" w:hAnsiTheme="minorHAnsi"/>
                <w:sz w:val="20"/>
                <w:szCs w:val="20"/>
              </w:rPr>
            </w:pPr>
          </w:p>
        </w:tc>
      </w:tr>
      <w:tr w:rsidR="003F29E3" w:rsidRPr="00181755" w14:paraId="66B15114" w14:textId="77777777" w:rsidTr="00C645A0">
        <w:trPr>
          <w:trHeight w:val="360"/>
        </w:trPr>
        <w:tc>
          <w:tcPr>
            <w:tcW w:w="993" w:type="dxa"/>
            <w:tcBorders>
              <w:top w:val="nil"/>
              <w:left w:val="nil"/>
              <w:bottom w:val="nil"/>
              <w:right w:val="nil"/>
            </w:tcBorders>
            <w:vAlign w:val="center"/>
          </w:tcPr>
          <w:p w14:paraId="66B1511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megfelelőségének belső értékelési folyamata</w:t>
            </w:r>
          </w:p>
        </w:tc>
      </w:tr>
      <w:tr w:rsidR="003F29E3" w:rsidRPr="00181755" w14:paraId="66B15118" w14:textId="77777777" w:rsidTr="00C645A0">
        <w:trPr>
          <w:trHeight w:val="360"/>
        </w:trPr>
        <w:tc>
          <w:tcPr>
            <w:tcW w:w="993" w:type="dxa"/>
            <w:tcBorders>
              <w:top w:val="nil"/>
              <w:left w:val="nil"/>
              <w:bottom w:val="nil"/>
              <w:right w:val="nil"/>
            </w:tcBorders>
            <w:vAlign w:val="center"/>
          </w:tcPr>
          <w:p w14:paraId="66B1511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w:t>
            </w:r>
          </w:p>
        </w:tc>
      </w:tr>
      <w:tr w:rsidR="00A70E14" w:rsidRPr="00181755" w14:paraId="66B1511C" w14:textId="77777777" w:rsidTr="00C645A0">
        <w:trPr>
          <w:trHeight w:val="360"/>
        </w:trPr>
        <w:tc>
          <w:tcPr>
            <w:tcW w:w="993" w:type="dxa"/>
            <w:tcBorders>
              <w:top w:val="nil"/>
              <w:left w:val="nil"/>
              <w:bottom w:val="nil"/>
              <w:right w:val="nil"/>
            </w:tcBorders>
            <w:vAlign w:val="center"/>
          </w:tcPr>
          <w:p w14:paraId="66B15119"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181755" w:rsidRDefault="00A70E14" w:rsidP="00A70E14">
            <w:pPr>
              <w:rPr>
                <w:rFonts w:asciiTheme="minorHAnsi" w:hAnsiTheme="minorHAnsi"/>
                <w:sz w:val="20"/>
                <w:szCs w:val="20"/>
              </w:rPr>
            </w:pPr>
            <w:r w:rsidRPr="00181755">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banki könyv kamatlábkockázat</w:t>
            </w:r>
          </w:p>
        </w:tc>
      </w:tr>
      <w:tr w:rsidR="004B7E48" w:rsidRPr="00181755" w14:paraId="66B15120" w14:textId="77777777" w:rsidTr="00C645A0">
        <w:trPr>
          <w:trHeight w:val="360"/>
        </w:trPr>
        <w:tc>
          <w:tcPr>
            <w:tcW w:w="993" w:type="dxa"/>
            <w:tcBorders>
              <w:top w:val="nil"/>
              <w:left w:val="nil"/>
              <w:bottom w:val="nil"/>
              <w:right w:val="nil"/>
            </w:tcBorders>
            <w:vAlign w:val="center"/>
          </w:tcPr>
          <w:p w14:paraId="66B1511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181755" w:rsidRDefault="004B7E48" w:rsidP="004B7E48">
            <w:pPr>
              <w:rPr>
                <w:rFonts w:asciiTheme="minorHAnsi" w:hAnsiTheme="minorHAnsi"/>
                <w:sz w:val="20"/>
                <w:szCs w:val="20"/>
              </w:rPr>
            </w:pPr>
            <w:r w:rsidRPr="00181755">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181755" w:rsidRDefault="004B7E48" w:rsidP="004067AA">
            <w:pPr>
              <w:rPr>
                <w:rFonts w:asciiTheme="minorHAnsi" w:hAnsiTheme="minorHAnsi"/>
                <w:sz w:val="20"/>
                <w:szCs w:val="20"/>
              </w:rPr>
            </w:pPr>
            <w:r w:rsidRPr="00181755">
              <w:rPr>
                <w:rFonts w:asciiTheme="minorHAnsi" w:hAnsiTheme="minorHAnsi"/>
                <w:sz w:val="20"/>
                <w:szCs w:val="20"/>
              </w:rPr>
              <w:t>közös kockázatértékelés és együtt</w:t>
            </w:r>
            <w:r w:rsidR="004067AA" w:rsidRPr="00181755">
              <w:rPr>
                <w:rFonts w:asciiTheme="minorHAnsi" w:hAnsiTheme="minorHAnsi"/>
                <w:sz w:val="20"/>
                <w:szCs w:val="20"/>
              </w:rPr>
              <w:t xml:space="preserve">es </w:t>
            </w:r>
            <w:r w:rsidRPr="00181755">
              <w:rPr>
                <w:rFonts w:asciiTheme="minorHAnsi" w:hAnsiTheme="minorHAnsi"/>
                <w:sz w:val="20"/>
                <w:szCs w:val="20"/>
              </w:rPr>
              <w:t>döntés</w:t>
            </w:r>
          </w:p>
        </w:tc>
      </w:tr>
      <w:tr w:rsidR="00A43799" w:rsidRPr="00181755" w14:paraId="66B15124" w14:textId="77777777" w:rsidTr="00C645A0">
        <w:trPr>
          <w:trHeight w:val="360"/>
        </w:trPr>
        <w:tc>
          <w:tcPr>
            <w:tcW w:w="993" w:type="dxa"/>
            <w:tcBorders>
              <w:top w:val="nil"/>
              <w:left w:val="nil"/>
              <w:bottom w:val="nil"/>
              <w:right w:val="nil"/>
            </w:tcBorders>
            <w:vAlign w:val="center"/>
          </w:tcPr>
          <w:p w14:paraId="66B15121"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kulcskockázati mutató</w:t>
            </w:r>
          </w:p>
        </w:tc>
      </w:tr>
      <w:tr w:rsidR="003F29E3" w:rsidRPr="00181755" w14:paraId="66B15128" w14:textId="77777777" w:rsidTr="00C645A0">
        <w:trPr>
          <w:trHeight w:val="360"/>
        </w:trPr>
        <w:tc>
          <w:tcPr>
            <w:tcW w:w="993" w:type="dxa"/>
            <w:tcBorders>
              <w:top w:val="nil"/>
              <w:left w:val="nil"/>
              <w:bottom w:val="nil"/>
              <w:right w:val="nil"/>
            </w:tcBorders>
            <w:vAlign w:val="center"/>
          </w:tcPr>
          <w:p w14:paraId="66B1512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ontingency </w:t>
            </w:r>
            <w:r w:rsidR="004067AA" w:rsidRPr="00181755">
              <w:rPr>
                <w:rFonts w:asciiTheme="minorHAnsi" w:hAnsiTheme="minorHAnsi"/>
                <w:sz w:val="20"/>
                <w:szCs w:val="20"/>
              </w:rPr>
              <w:t>P</w:t>
            </w:r>
            <w:r w:rsidRPr="00181755">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likviditási üzletfolytonossági terv</w:t>
            </w:r>
          </w:p>
        </w:tc>
      </w:tr>
      <w:tr w:rsidR="003F29E3" w:rsidRPr="00181755" w14:paraId="66B1512C" w14:textId="77777777" w:rsidTr="00C645A0">
        <w:trPr>
          <w:trHeight w:val="360"/>
        </w:trPr>
        <w:tc>
          <w:tcPr>
            <w:tcW w:w="993" w:type="dxa"/>
            <w:tcBorders>
              <w:top w:val="nil"/>
              <w:left w:val="nil"/>
              <w:bottom w:val="nil"/>
              <w:right w:val="nil"/>
            </w:tcBorders>
            <w:vAlign w:val="center"/>
          </w:tcPr>
          <w:p w14:paraId="66B1512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overage </w:t>
            </w:r>
            <w:r w:rsidR="004067AA"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fedezeti követelmény</w:t>
            </w:r>
          </w:p>
        </w:tc>
      </w:tr>
      <w:tr w:rsidR="003F29E3" w:rsidRPr="00181755" w14:paraId="66B15130" w14:textId="77777777" w:rsidTr="00C645A0">
        <w:trPr>
          <w:trHeight w:val="360"/>
        </w:trPr>
        <w:tc>
          <w:tcPr>
            <w:tcW w:w="993" w:type="dxa"/>
            <w:tcBorders>
              <w:top w:val="nil"/>
              <w:left w:val="nil"/>
              <w:bottom w:val="nil"/>
              <w:right w:val="nil"/>
            </w:tcBorders>
            <w:vAlign w:val="center"/>
          </w:tcPr>
          <w:p w14:paraId="66B1512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esetén a veszteség átlagos mértéke</w:t>
            </w:r>
          </w:p>
        </w:tc>
      </w:tr>
      <w:tr w:rsidR="006015F3" w:rsidRPr="00181755" w14:paraId="66B15134" w14:textId="77777777" w:rsidTr="00C645A0">
        <w:trPr>
          <w:trHeight w:val="360"/>
        </w:trPr>
        <w:tc>
          <w:tcPr>
            <w:tcW w:w="993" w:type="dxa"/>
            <w:tcBorders>
              <w:top w:val="nil"/>
              <w:left w:val="nil"/>
              <w:bottom w:val="nil"/>
              <w:right w:val="nil"/>
            </w:tcBorders>
            <w:vAlign w:val="center"/>
          </w:tcPr>
          <w:p w14:paraId="66B1513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181755" w:rsidRDefault="006015F3" w:rsidP="00C645A0">
            <w:pPr>
              <w:pStyle w:val="Default"/>
              <w:rPr>
                <w:rFonts w:asciiTheme="minorHAnsi" w:hAnsiTheme="minorHAnsi"/>
                <w:sz w:val="20"/>
                <w:szCs w:val="20"/>
              </w:rPr>
            </w:pPr>
            <w:r w:rsidRPr="00181755">
              <w:rPr>
                <w:rFonts w:asciiTheme="minorHAnsi" w:hAnsiTheme="minorHAnsi"/>
                <w:sz w:val="20"/>
                <w:szCs w:val="20"/>
              </w:rPr>
              <w:t>hitel-fedezet arány</w:t>
            </w:r>
          </w:p>
        </w:tc>
      </w:tr>
      <w:tr w:rsidR="004B7E48" w:rsidRPr="00181755" w14:paraId="66B15138" w14:textId="77777777" w:rsidTr="00C645A0">
        <w:trPr>
          <w:trHeight w:val="360"/>
        </w:trPr>
        <w:tc>
          <w:tcPr>
            <w:tcW w:w="993" w:type="dxa"/>
            <w:tcBorders>
              <w:top w:val="nil"/>
              <w:left w:val="nil"/>
              <w:bottom w:val="nil"/>
              <w:right w:val="nil"/>
            </w:tcBorders>
            <w:vAlign w:val="center"/>
          </w:tcPr>
          <w:p w14:paraId="66B1513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181755" w:rsidRDefault="004B7E48" w:rsidP="00C645A0">
            <w:pPr>
              <w:pStyle w:val="Default"/>
              <w:rPr>
                <w:rFonts w:asciiTheme="minorHAnsi" w:hAnsiTheme="minorHAnsi"/>
                <w:sz w:val="20"/>
                <w:szCs w:val="20"/>
              </w:rPr>
            </w:pPr>
            <w:r w:rsidRPr="00181755">
              <w:rPr>
                <w:rFonts w:asciiTheme="minorHAnsi" w:hAnsiTheme="minorHAnsi"/>
                <w:sz w:val="20"/>
                <w:szCs w:val="20"/>
              </w:rPr>
              <w:t>Magyar Nemzeti Bank</w:t>
            </w:r>
          </w:p>
        </w:tc>
      </w:tr>
      <w:tr w:rsidR="003F29E3" w:rsidRPr="00181755" w14:paraId="66B1513C" w14:textId="77777777" w:rsidTr="00C645A0">
        <w:trPr>
          <w:trHeight w:val="360"/>
        </w:trPr>
        <w:tc>
          <w:tcPr>
            <w:tcW w:w="993" w:type="dxa"/>
            <w:tcBorders>
              <w:top w:val="nil"/>
              <w:left w:val="nil"/>
              <w:bottom w:val="nil"/>
              <w:right w:val="nil"/>
            </w:tcBorders>
            <w:vAlign w:val="center"/>
          </w:tcPr>
          <w:p w14:paraId="66B1513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Net </w:t>
            </w:r>
            <w:r w:rsidR="00163159" w:rsidRPr="00181755">
              <w:rPr>
                <w:rFonts w:asciiTheme="minorHAnsi" w:hAnsiTheme="minorHAnsi"/>
                <w:sz w:val="20"/>
                <w:szCs w:val="20"/>
              </w:rPr>
              <w:t>S</w:t>
            </w:r>
            <w:r w:rsidRPr="00181755">
              <w:rPr>
                <w:rFonts w:asciiTheme="minorHAnsi" w:hAnsiTheme="minorHAnsi"/>
                <w:sz w:val="20"/>
                <w:szCs w:val="20"/>
              </w:rPr>
              <w:t xml:space="preserve">tabil </w:t>
            </w:r>
            <w:r w:rsidR="00163159" w:rsidRPr="00181755">
              <w:rPr>
                <w:rFonts w:asciiTheme="minorHAnsi" w:hAnsiTheme="minorHAnsi"/>
                <w:sz w:val="20"/>
                <w:szCs w:val="20"/>
              </w:rPr>
              <w:t>F</w:t>
            </w:r>
            <w:r w:rsidRPr="00181755">
              <w:rPr>
                <w:rFonts w:asciiTheme="minorHAnsi" w:hAnsiTheme="minorHAnsi"/>
                <w:sz w:val="20"/>
                <w:szCs w:val="20"/>
              </w:rPr>
              <w:t xml:space="preserve">unding </w:t>
            </w:r>
            <w:r w:rsidR="00163159"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181755" w:rsidRDefault="003F29E3" w:rsidP="00C645A0">
            <w:pPr>
              <w:pStyle w:val="Default"/>
              <w:rPr>
                <w:rFonts w:asciiTheme="minorHAnsi" w:hAnsiTheme="minorHAnsi"/>
                <w:sz w:val="20"/>
                <w:szCs w:val="20"/>
              </w:rPr>
            </w:pPr>
            <w:r w:rsidRPr="00181755">
              <w:rPr>
                <w:rFonts w:asciiTheme="minorHAnsi" w:hAnsiTheme="minorHAnsi"/>
                <w:sz w:val="20"/>
                <w:szCs w:val="20"/>
              </w:rPr>
              <w:t xml:space="preserve">nettó stabil forrás ellátottsági mutató </w:t>
            </w:r>
          </w:p>
        </w:tc>
      </w:tr>
      <w:tr w:rsidR="004B7E48" w:rsidRPr="00181755" w14:paraId="66B15140" w14:textId="77777777" w:rsidTr="00C645A0">
        <w:trPr>
          <w:trHeight w:val="360"/>
        </w:trPr>
        <w:tc>
          <w:tcPr>
            <w:tcW w:w="993" w:type="dxa"/>
            <w:tcBorders>
              <w:top w:val="nil"/>
              <w:left w:val="nil"/>
              <w:bottom w:val="nil"/>
              <w:right w:val="nil"/>
            </w:tcBorders>
            <w:vAlign w:val="center"/>
          </w:tcPr>
          <w:p w14:paraId="66B1513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181755" w:rsidRDefault="004B7E48" w:rsidP="00A948D3">
            <w:pPr>
              <w:rPr>
                <w:rFonts w:asciiTheme="minorHAnsi" w:hAnsiTheme="minorHAnsi"/>
                <w:sz w:val="20"/>
                <w:szCs w:val="20"/>
              </w:rPr>
            </w:pPr>
            <w:r w:rsidRPr="00181755">
              <w:rPr>
                <w:rFonts w:asciiTheme="minorHAnsi" w:hAnsiTheme="minorHAnsi"/>
                <w:sz w:val="20"/>
                <w:szCs w:val="20"/>
              </w:rPr>
              <w:t>teljes tőkekövetelmény</w:t>
            </w:r>
          </w:p>
        </w:tc>
      </w:tr>
      <w:tr w:rsidR="00A43799" w:rsidRPr="00181755" w14:paraId="66B15144" w14:textId="77777777" w:rsidTr="00C645A0">
        <w:trPr>
          <w:trHeight w:val="360"/>
        </w:trPr>
        <w:tc>
          <w:tcPr>
            <w:tcW w:w="993" w:type="dxa"/>
            <w:tcBorders>
              <w:top w:val="nil"/>
              <w:left w:val="nil"/>
              <w:bottom w:val="nil"/>
              <w:right w:val="nil"/>
            </w:tcBorders>
            <w:vAlign w:val="center"/>
          </w:tcPr>
          <w:p w14:paraId="66B1514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OTC</w:t>
            </w:r>
          </w:p>
        </w:tc>
        <w:tc>
          <w:tcPr>
            <w:tcW w:w="4138" w:type="dxa"/>
            <w:tcBorders>
              <w:top w:val="nil"/>
              <w:left w:val="nil"/>
              <w:bottom w:val="nil"/>
              <w:right w:val="nil"/>
            </w:tcBorders>
            <w:vAlign w:val="center"/>
          </w:tcPr>
          <w:p w14:paraId="66B15142" w14:textId="77777777" w:rsidR="00A43799" w:rsidRPr="00181755" w:rsidRDefault="00A43799" w:rsidP="00163159">
            <w:pPr>
              <w:rPr>
                <w:rFonts w:asciiTheme="minorHAnsi" w:hAnsiTheme="minorHAnsi"/>
                <w:sz w:val="20"/>
                <w:szCs w:val="20"/>
              </w:rPr>
            </w:pPr>
            <w:r w:rsidRPr="00181755">
              <w:rPr>
                <w:rFonts w:asciiTheme="minorHAnsi" w:hAnsiTheme="minorHAnsi"/>
                <w:sz w:val="20"/>
                <w:szCs w:val="20"/>
              </w:rPr>
              <w:t xml:space="preserve">Over </w:t>
            </w:r>
            <w:r w:rsidR="00163159" w:rsidRPr="00181755">
              <w:rPr>
                <w:rFonts w:asciiTheme="minorHAnsi" w:hAnsiTheme="minorHAnsi"/>
                <w:sz w:val="20"/>
                <w:szCs w:val="20"/>
              </w:rPr>
              <w:t>T</w:t>
            </w:r>
            <w:r w:rsidRPr="00181755">
              <w:rPr>
                <w:rFonts w:asciiTheme="minorHAnsi" w:hAnsiTheme="minorHAnsi"/>
                <w:sz w:val="20"/>
                <w:szCs w:val="20"/>
              </w:rPr>
              <w:t>he Counter</w:t>
            </w:r>
          </w:p>
        </w:tc>
        <w:tc>
          <w:tcPr>
            <w:tcW w:w="4536" w:type="dxa"/>
            <w:tcBorders>
              <w:top w:val="nil"/>
              <w:left w:val="nil"/>
              <w:bottom w:val="nil"/>
              <w:right w:val="nil"/>
            </w:tcBorders>
            <w:vAlign w:val="center"/>
          </w:tcPr>
          <w:p w14:paraId="66B15143"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másodlagos, más néven tőzsdén kívüli vagy származtatott értékpapírpiac</w:t>
            </w:r>
          </w:p>
        </w:tc>
      </w:tr>
      <w:tr w:rsidR="003F29E3" w:rsidRPr="00181755" w14:paraId="66B15148" w14:textId="77777777" w:rsidTr="00C645A0">
        <w:trPr>
          <w:trHeight w:val="360"/>
        </w:trPr>
        <w:tc>
          <w:tcPr>
            <w:tcW w:w="993" w:type="dxa"/>
            <w:tcBorders>
              <w:top w:val="nil"/>
              <w:left w:val="nil"/>
              <w:bottom w:val="nil"/>
              <w:right w:val="nil"/>
            </w:tcBorders>
            <w:vAlign w:val="center"/>
          </w:tcPr>
          <w:p w14:paraId="66B1514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nemteljesítés valószínűsége</w:t>
            </w:r>
          </w:p>
        </w:tc>
      </w:tr>
      <w:tr w:rsidR="006015F3" w:rsidRPr="00181755" w14:paraId="66B1514C" w14:textId="77777777" w:rsidTr="00C645A0">
        <w:trPr>
          <w:trHeight w:val="360"/>
        </w:trPr>
        <w:tc>
          <w:tcPr>
            <w:tcW w:w="993" w:type="dxa"/>
            <w:tcBorders>
              <w:top w:val="nil"/>
              <w:left w:val="nil"/>
              <w:bottom w:val="nil"/>
              <w:right w:val="nil"/>
            </w:tcBorders>
            <w:vAlign w:val="center"/>
          </w:tcPr>
          <w:p w14:paraId="66B1514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181755" w:rsidRDefault="006015F3" w:rsidP="006015F3">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 a gazdasági ciklus pillanatnyi helyzetét figyelembe véve ad előrejelzést a PD-re</w:t>
            </w:r>
          </w:p>
        </w:tc>
      </w:tr>
      <w:tr w:rsidR="003F29E3" w:rsidRPr="00181755" w14:paraId="66B15150" w14:textId="77777777" w:rsidTr="00C645A0">
        <w:trPr>
          <w:trHeight w:val="360"/>
        </w:trPr>
        <w:tc>
          <w:tcPr>
            <w:tcW w:w="993" w:type="dxa"/>
            <w:tcBorders>
              <w:top w:val="nil"/>
              <w:left w:val="nil"/>
              <w:bottom w:val="nil"/>
              <w:right w:val="nil"/>
            </w:tcBorders>
            <w:vAlign w:val="center"/>
          </w:tcPr>
          <w:p w14:paraId="66B1514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181755" w:rsidRDefault="003F29E3" w:rsidP="006015F3">
            <w:pPr>
              <w:rPr>
                <w:rFonts w:asciiTheme="minorHAnsi" w:hAnsiTheme="minorHAnsi"/>
                <w:sz w:val="20"/>
                <w:szCs w:val="20"/>
              </w:rPr>
            </w:pPr>
            <w:r w:rsidRPr="00181755">
              <w:rPr>
                <w:rFonts w:asciiTheme="minorHAnsi" w:hAnsiTheme="minorHAnsi"/>
                <w:sz w:val="20"/>
                <w:szCs w:val="20"/>
              </w:rPr>
              <w:t xml:space="preserve">Settlement </w:t>
            </w:r>
            <w:r w:rsidR="006015F3" w:rsidRPr="00181755">
              <w:rPr>
                <w:rFonts w:asciiTheme="minorHAnsi" w:hAnsiTheme="minorHAnsi"/>
                <w:sz w:val="20"/>
                <w:szCs w:val="20"/>
              </w:rPr>
              <w:t>D</w:t>
            </w:r>
            <w:r w:rsidRPr="00181755">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teljesítési határidő</w:t>
            </w:r>
          </w:p>
        </w:tc>
      </w:tr>
      <w:tr w:rsidR="006015F3" w:rsidRPr="00181755" w14:paraId="66B15154" w14:textId="77777777" w:rsidTr="00C645A0">
        <w:trPr>
          <w:trHeight w:val="360"/>
        </w:trPr>
        <w:tc>
          <w:tcPr>
            <w:tcW w:w="993" w:type="dxa"/>
            <w:tcBorders>
              <w:top w:val="nil"/>
              <w:left w:val="nil"/>
              <w:bottom w:val="nil"/>
              <w:right w:val="nil"/>
            </w:tcBorders>
            <w:vAlign w:val="center"/>
          </w:tcPr>
          <w:p w14:paraId="66B1515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77777777" w:rsidR="006015F3" w:rsidRPr="00181755" w:rsidRDefault="00A050B8" w:rsidP="004067AA">
            <w:pPr>
              <w:rPr>
                <w:rFonts w:asciiTheme="minorHAnsi" w:hAnsiTheme="minorHAnsi"/>
                <w:sz w:val="20"/>
                <w:szCs w:val="20"/>
              </w:rPr>
            </w:pPr>
            <w:r w:rsidRPr="00181755">
              <w:rPr>
                <w:rFonts w:asciiTheme="minorHAnsi" w:hAnsiTheme="minorHAnsi"/>
                <w:sz w:val="20"/>
                <w:szCs w:val="20"/>
              </w:rPr>
              <w:t>speciális</w:t>
            </w:r>
            <w:r w:rsidR="006015F3" w:rsidRPr="00181755">
              <w:rPr>
                <w:rFonts w:asciiTheme="minorHAnsi" w:hAnsiTheme="minorHAnsi"/>
                <w:sz w:val="20"/>
                <w:szCs w:val="20"/>
              </w:rPr>
              <w:t xml:space="preserve"> hitelezés</w:t>
            </w:r>
          </w:p>
        </w:tc>
      </w:tr>
      <w:tr w:rsidR="003F29E3" w:rsidRPr="00181755" w14:paraId="66B15158" w14:textId="77777777" w:rsidTr="00C645A0">
        <w:trPr>
          <w:trHeight w:val="360"/>
        </w:trPr>
        <w:tc>
          <w:tcPr>
            <w:tcW w:w="993" w:type="dxa"/>
            <w:tcBorders>
              <w:top w:val="nil"/>
              <w:left w:val="nil"/>
              <w:bottom w:val="nil"/>
              <w:right w:val="nil"/>
            </w:tcBorders>
            <w:vAlign w:val="center"/>
          </w:tcPr>
          <w:p w14:paraId="66B1515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Felügyeleti felülvizsgálati és értékelési folyamat</w:t>
            </w:r>
          </w:p>
        </w:tc>
      </w:tr>
      <w:tr w:rsidR="003F29E3" w:rsidRPr="00181755" w14:paraId="66B1515C" w14:textId="77777777" w:rsidTr="00C645A0">
        <w:trPr>
          <w:trHeight w:val="360"/>
        </w:trPr>
        <w:tc>
          <w:tcPr>
            <w:tcW w:w="993" w:type="dxa"/>
            <w:tcBorders>
              <w:top w:val="nil"/>
              <w:left w:val="nil"/>
              <w:bottom w:val="nil"/>
              <w:right w:val="nil"/>
            </w:tcBorders>
            <w:vAlign w:val="center"/>
          </w:tcPr>
          <w:p w14:paraId="66B1515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kézhez vétel fizetés ellenében</w:t>
            </w:r>
          </w:p>
        </w:tc>
      </w:tr>
      <w:tr w:rsidR="00DD7F2D" w:rsidRPr="00181755" w14:paraId="66B15160" w14:textId="77777777" w:rsidTr="00C645A0">
        <w:trPr>
          <w:trHeight w:val="360"/>
        </w:trPr>
        <w:tc>
          <w:tcPr>
            <w:tcW w:w="993" w:type="dxa"/>
            <w:tcBorders>
              <w:top w:val="nil"/>
              <w:left w:val="nil"/>
              <w:bottom w:val="nil"/>
              <w:right w:val="nil"/>
            </w:tcBorders>
            <w:vAlign w:val="center"/>
          </w:tcPr>
          <w:p w14:paraId="66B1515D"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alapvető tőke (részletesen lsd. CRR Második rész: Szavatoló tőke fejezet)</w:t>
            </w:r>
          </w:p>
        </w:tc>
      </w:tr>
      <w:tr w:rsidR="00DD7F2D" w:rsidRPr="00181755" w14:paraId="66B15164" w14:textId="77777777" w:rsidTr="00C645A0">
        <w:trPr>
          <w:trHeight w:val="360"/>
        </w:trPr>
        <w:tc>
          <w:tcPr>
            <w:tcW w:w="993" w:type="dxa"/>
            <w:tcBorders>
              <w:top w:val="nil"/>
              <w:left w:val="nil"/>
              <w:bottom w:val="nil"/>
              <w:right w:val="nil"/>
            </w:tcBorders>
            <w:vAlign w:val="center"/>
          </w:tcPr>
          <w:p w14:paraId="66B15161"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járulékos tőke (részletesen lsd. CRR Második rész: Szavatoló tőke fejezet)</w:t>
            </w:r>
          </w:p>
        </w:tc>
      </w:tr>
      <w:tr w:rsidR="003F29E3" w:rsidRPr="00181755" w14:paraId="66B15168" w14:textId="77777777" w:rsidTr="00C645A0">
        <w:trPr>
          <w:trHeight w:val="360"/>
        </w:trPr>
        <w:tc>
          <w:tcPr>
            <w:tcW w:w="993" w:type="dxa"/>
            <w:tcBorders>
              <w:top w:val="nil"/>
              <w:left w:val="nil"/>
              <w:bottom w:val="nil"/>
              <w:right w:val="nil"/>
            </w:tcBorders>
            <w:vAlign w:val="center"/>
          </w:tcPr>
          <w:p w14:paraId="66B1516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sztenderd módszer (működési kockázat)</w:t>
            </w:r>
          </w:p>
        </w:tc>
      </w:tr>
      <w:tr w:rsidR="00A43799" w:rsidRPr="00181755" w14:paraId="66B1516C" w14:textId="77777777" w:rsidTr="00C645A0">
        <w:trPr>
          <w:trHeight w:val="360"/>
        </w:trPr>
        <w:tc>
          <w:tcPr>
            <w:tcW w:w="993" w:type="dxa"/>
            <w:tcBorders>
              <w:top w:val="nil"/>
              <w:left w:val="nil"/>
              <w:bottom w:val="nil"/>
              <w:right w:val="nil"/>
            </w:tcBorders>
            <w:vAlign w:val="center"/>
          </w:tcPr>
          <w:p w14:paraId="66B15169"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teljes kockázati kitettség érték</w:t>
            </w:r>
          </w:p>
        </w:tc>
      </w:tr>
      <w:tr w:rsidR="004B7E48" w:rsidRPr="00181755" w14:paraId="66B15170" w14:textId="77777777" w:rsidTr="00C645A0">
        <w:trPr>
          <w:trHeight w:val="360"/>
        </w:trPr>
        <w:tc>
          <w:tcPr>
            <w:tcW w:w="993" w:type="dxa"/>
            <w:tcBorders>
              <w:top w:val="nil"/>
              <w:left w:val="nil"/>
              <w:bottom w:val="nil"/>
              <w:right w:val="nil"/>
            </w:tcBorders>
            <w:vAlign w:val="center"/>
          </w:tcPr>
          <w:p w14:paraId="66B1516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181755" w:rsidRDefault="004252EA" w:rsidP="00D10772">
            <w:pPr>
              <w:rPr>
                <w:rFonts w:asciiTheme="minorHAnsi" w:hAnsiTheme="minorHAnsi"/>
                <w:sz w:val="20"/>
                <w:szCs w:val="20"/>
              </w:rPr>
            </w:pPr>
            <w:r w:rsidRPr="00181755">
              <w:rPr>
                <w:rFonts w:asciiTheme="minorHAnsi" w:hAnsiTheme="minorHAnsi"/>
                <w:sz w:val="20"/>
                <w:szCs w:val="20"/>
              </w:rPr>
              <w:t>SREP tőke</w:t>
            </w:r>
            <w:r w:rsidR="004B7E48" w:rsidRPr="00181755">
              <w:rPr>
                <w:rFonts w:asciiTheme="minorHAnsi" w:hAnsiTheme="minorHAnsi"/>
                <w:sz w:val="20"/>
                <w:szCs w:val="20"/>
              </w:rPr>
              <w:t>követelmény</w:t>
            </w:r>
          </w:p>
        </w:tc>
      </w:tr>
      <w:tr w:rsidR="004B7E48" w:rsidRPr="00181755" w14:paraId="66B15174" w14:textId="77777777" w:rsidTr="00C645A0">
        <w:trPr>
          <w:trHeight w:val="360"/>
        </w:trPr>
        <w:tc>
          <w:tcPr>
            <w:tcW w:w="993" w:type="dxa"/>
            <w:tcBorders>
              <w:top w:val="nil"/>
              <w:left w:val="nil"/>
              <w:bottom w:val="nil"/>
              <w:right w:val="nil"/>
            </w:tcBorders>
            <w:vAlign w:val="center"/>
          </w:tcPr>
          <w:p w14:paraId="66B1517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181755" w:rsidRDefault="007C51BB" w:rsidP="00D10772">
            <w:pPr>
              <w:rPr>
                <w:rFonts w:asciiTheme="minorHAnsi" w:hAnsiTheme="minorHAnsi"/>
                <w:sz w:val="20"/>
                <w:szCs w:val="20"/>
              </w:rPr>
            </w:pPr>
            <w:r w:rsidRPr="00181755">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 xml:space="preserve">teljes SREP </w:t>
            </w:r>
            <w:r w:rsidR="004067AA" w:rsidRPr="00181755">
              <w:rPr>
                <w:rFonts w:asciiTheme="minorHAnsi" w:hAnsiTheme="minorHAnsi"/>
                <w:sz w:val="20"/>
                <w:szCs w:val="20"/>
              </w:rPr>
              <w:t>tőke</w:t>
            </w:r>
            <w:r w:rsidRPr="00181755">
              <w:rPr>
                <w:rFonts w:asciiTheme="minorHAnsi" w:hAnsiTheme="minorHAnsi"/>
                <w:sz w:val="20"/>
                <w:szCs w:val="20"/>
              </w:rPr>
              <w:t>mutató</w:t>
            </w:r>
          </w:p>
        </w:tc>
      </w:tr>
      <w:tr w:rsidR="006015F3" w:rsidRPr="00181755" w14:paraId="66B15178" w14:textId="77777777" w:rsidTr="00C645A0">
        <w:trPr>
          <w:trHeight w:val="360"/>
        </w:trPr>
        <w:tc>
          <w:tcPr>
            <w:tcW w:w="993" w:type="dxa"/>
            <w:tcBorders>
              <w:top w:val="nil"/>
              <w:left w:val="nil"/>
              <w:bottom w:val="nil"/>
              <w:right w:val="nil"/>
            </w:tcBorders>
            <w:vAlign w:val="center"/>
          </w:tcPr>
          <w:p w14:paraId="66B1517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181755" w:rsidRDefault="006015F3" w:rsidP="00A43799">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amelynél a PD a hosszú távú trendeket ragadja meg, egy gazdasági ciklusra</w:t>
            </w:r>
            <w:r w:rsidR="00A43799" w:rsidRPr="00181755">
              <w:rPr>
                <w:rFonts w:asciiTheme="minorHAnsi" w:hAnsiTheme="minorHAnsi"/>
                <w:sz w:val="20"/>
                <w:szCs w:val="20"/>
              </w:rPr>
              <w:t xml:space="preserve"> </w:t>
            </w:r>
            <w:r w:rsidRPr="00181755">
              <w:rPr>
                <w:rFonts w:asciiTheme="minorHAnsi" w:hAnsiTheme="minorHAnsi"/>
                <w:sz w:val="20"/>
                <w:szCs w:val="20"/>
              </w:rPr>
              <w:t>jellemző átlagos értéket ad vissza</w:t>
            </w:r>
          </w:p>
        </w:tc>
      </w:tr>
      <w:tr w:rsidR="006015F3" w:rsidRPr="00181755" w14:paraId="66B1517C" w14:textId="77777777" w:rsidTr="00C645A0">
        <w:trPr>
          <w:trHeight w:val="360"/>
        </w:trPr>
        <w:tc>
          <w:tcPr>
            <w:tcW w:w="993" w:type="dxa"/>
            <w:tcBorders>
              <w:top w:val="nil"/>
              <w:left w:val="nil"/>
              <w:bottom w:val="nil"/>
              <w:right w:val="nil"/>
            </w:tcBorders>
            <w:vAlign w:val="center"/>
          </w:tcPr>
          <w:p w14:paraId="66B1517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nem várt veszteség</w:t>
            </w:r>
          </w:p>
        </w:tc>
      </w:tr>
      <w:tr w:rsidR="003F29E3" w:rsidRPr="00181755" w14:paraId="66B15180" w14:textId="77777777" w:rsidTr="00C645A0">
        <w:trPr>
          <w:trHeight w:val="360"/>
        </w:trPr>
        <w:tc>
          <w:tcPr>
            <w:tcW w:w="993" w:type="dxa"/>
            <w:tcBorders>
              <w:top w:val="nil"/>
              <w:left w:val="nil"/>
              <w:bottom w:val="nil"/>
              <w:right w:val="nil"/>
            </w:tcBorders>
            <w:vAlign w:val="center"/>
          </w:tcPr>
          <w:p w14:paraId="66B1517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kockáztatott érték</w:t>
            </w:r>
          </w:p>
        </w:tc>
      </w:tr>
      <w:tr w:rsidR="004B7E48" w:rsidRPr="00181755" w14:paraId="66B15184" w14:textId="77777777" w:rsidTr="00C645A0">
        <w:trPr>
          <w:trHeight w:val="360"/>
        </w:trPr>
        <w:tc>
          <w:tcPr>
            <w:tcW w:w="993" w:type="dxa"/>
            <w:tcBorders>
              <w:top w:val="nil"/>
              <w:left w:val="nil"/>
              <w:bottom w:val="nil"/>
              <w:right w:val="nil"/>
            </w:tcBorders>
            <w:vAlign w:val="center"/>
          </w:tcPr>
          <w:p w14:paraId="66B1518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181755" w:rsidRDefault="004B7E48" w:rsidP="006015F3">
            <w:pPr>
              <w:rPr>
                <w:rFonts w:asciiTheme="minorHAnsi" w:hAnsiTheme="minorHAnsi"/>
                <w:sz w:val="20"/>
                <w:szCs w:val="20"/>
              </w:rPr>
            </w:pPr>
            <w:r w:rsidRPr="00181755">
              <w:rPr>
                <w:rFonts w:asciiTheme="minorHAnsi" w:hAnsiTheme="minorHAnsi"/>
                <w:sz w:val="20"/>
                <w:szCs w:val="20"/>
              </w:rPr>
              <w:t xml:space="preserve">vezetői </w:t>
            </w:r>
            <w:r w:rsidR="006015F3" w:rsidRPr="00181755">
              <w:rPr>
                <w:rFonts w:asciiTheme="minorHAnsi" w:hAnsiTheme="minorHAnsi"/>
                <w:sz w:val="20"/>
                <w:szCs w:val="20"/>
              </w:rPr>
              <w:t>információs</w:t>
            </w:r>
            <w:r w:rsidRPr="00181755">
              <w:rPr>
                <w:rFonts w:asciiTheme="minorHAnsi" w:hAnsiTheme="minorHAnsi"/>
                <w:sz w:val="20"/>
                <w:szCs w:val="20"/>
              </w:rPr>
              <w:t xml:space="preserve"> rendszer</w:t>
            </w:r>
          </w:p>
        </w:tc>
      </w:tr>
    </w:tbl>
    <w:p w14:paraId="66B15185" w14:textId="77777777" w:rsidR="003F29E3" w:rsidRPr="00181755" w:rsidRDefault="003F29E3" w:rsidP="00D10772">
      <w:pPr>
        <w:rPr>
          <w:rFonts w:asciiTheme="minorHAnsi" w:hAnsiTheme="minorHAnsi"/>
        </w:rPr>
      </w:pPr>
    </w:p>
    <w:p w14:paraId="66B15186" w14:textId="77777777" w:rsidR="003F29E3" w:rsidRPr="00181755" w:rsidRDefault="003F29E3" w:rsidP="00181755">
      <w:pPr>
        <w:pStyle w:val="Cmsor1"/>
        <w:rPr>
          <w:rFonts w:asciiTheme="minorHAnsi" w:hAnsiTheme="minorHAnsi"/>
        </w:rPr>
      </w:pPr>
      <w:r w:rsidRPr="00181755">
        <w:rPr>
          <w:rFonts w:asciiTheme="minorHAnsi" w:hAnsiTheme="minorHAnsi" w:cs="Times New Roman"/>
          <w:color w:val="auto"/>
          <w:kern w:val="0"/>
        </w:rPr>
        <w:br w:type="page"/>
      </w:r>
      <w:bookmarkStart w:id="15" w:name="_I._Bevezetés"/>
      <w:bookmarkStart w:id="16" w:name="_Toc378256219"/>
      <w:bookmarkStart w:id="17" w:name="_Toc378592027"/>
      <w:bookmarkStart w:id="18" w:name="_Toc461095158"/>
      <w:bookmarkStart w:id="19" w:name="_Toc461179191"/>
      <w:bookmarkStart w:id="20" w:name="_Toc461179813"/>
      <w:bookmarkStart w:id="21" w:name="_Toc461197732"/>
      <w:bookmarkStart w:id="22" w:name="_Toc461201256"/>
      <w:bookmarkStart w:id="23" w:name="_Toc461547878"/>
      <w:bookmarkStart w:id="24" w:name="_Toc462401905"/>
      <w:bookmarkStart w:id="25" w:name="_Toc462403026"/>
      <w:bookmarkStart w:id="26" w:name="_Toc462403349"/>
      <w:bookmarkStart w:id="27" w:name="_Toc468180468"/>
      <w:bookmarkStart w:id="28" w:name="_Toc468181001"/>
      <w:bookmarkStart w:id="29" w:name="_Toc468191403"/>
      <w:bookmarkEnd w:id="15"/>
      <w:r w:rsidRPr="00181755">
        <w:rPr>
          <w:rFonts w:asciiTheme="minorHAnsi" w:hAnsiTheme="minorHAnsi"/>
        </w:rPr>
        <w:t>Bevezetés</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6B15188" w14:textId="38467218" w:rsidR="006C1411" w:rsidRPr="00181755" w:rsidRDefault="003F29E3" w:rsidP="00181755">
      <w:pPr>
        <w:rPr>
          <w:rFonts w:asciiTheme="minorHAnsi" w:hAnsiTheme="minorHAnsi"/>
        </w:rPr>
      </w:pPr>
      <w:r w:rsidRPr="00181755">
        <w:rPr>
          <w:rFonts w:asciiTheme="minorHAnsi" w:hAnsiTheme="minorHAnsi"/>
        </w:rPr>
        <w:t>A</w:t>
      </w:r>
      <w:r w:rsidR="00120DA0" w:rsidRPr="00181755">
        <w:rPr>
          <w:rFonts w:asciiTheme="minorHAnsi" w:hAnsiTheme="minorHAnsi"/>
        </w:rPr>
        <w:t xml:space="preserve"> hazai</w:t>
      </w:r>
      <w:r w:rsidRPr="00181755">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181755">
        <w:rPr>
          <w:rFonts w:asciiTheme="minorHAnsi" w:hAnsiTheme="minorHAnsi"/>
        </w:rPr>
        <w:t xml:space="preserve">annak </w:t>
      </w:r>
      <w:r w:rsidRPr="00181755">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IV és a CRR bevezetésével 2014-től jelentősen módosult, ezért az útmutatókat az éves felülvizsgálat során szerkezetileg jelentősen átalakított</w:t>
      </w:r>
      <w:r w:rsidR="00137D76" w:rsidRPr="00181755">
        <w:rPr>
          <w:rFonts w:asciiTheme="minorHAnsi" w:hAnsiTheme="minorHAnsi"/>
        </w:rPr>
        <w:t>a a Magyar Nemzeti Bank (a továbbiakban MNB vagy Felügyelet),</w:t>
      </w:r>
      <w:r w:rsidRPr="00181755">
        <w:rPr>
          <w:rFonts w:asciiTheme="minorHAnsi" w:hAnsiTheme="minorHAnsi"/>
        </w:rPr>
        <w:t xml:space="preserve"> és egy olyan kézikönyvet állít</w:t>
      </w:r>
      <w:r w:rsidR="004B7E48" w:rsidRPr="00181755">
        <w:rPr>
          <w:rFonts w:asciiTheme="minorHAnsi" w:hAnsiTheme="minorHAnsi"/>
        </w:rPr>
        <w:t>ott össze, amely felöleli a tőkemegfelelés (</w:t>
      </w:r>
      <w:r w:rsidRPr="00181755">
        <w:rPr>
          <w:rFonts w:asciiTheme="minorHAnsi" w:hAnsiTheme="minorHAnsi"/>
        </w:rPr>
        <w:t>ICAAP</w:t>
      </w:r>
      <w:r w:rsidR="004B7E48" w:rsidRPr="00181755">
        <w:rPr>
          <w:rFonts w:asciiTheme="minorHAnsi" w:hAnsiTheme="minorHAnsi"/>
        </w:rPr>
        <w:t>) és a</w:t>
      </w:r>
      <w:r w:rsidRPr="00181755">
        <w:rPr>
          <w:rFonts w:asciiTheme="minorHAnsi" w:hAnsiTheme="minorHAnsi"/>
        </w:rPr>
        <w:t xml:space="preserve"> </w:t>
      </w:r>
      <w:r w:rsidR="004B7E48" w:rsidRPr="00181755">
        <w:rPr>
          <w:rFonts w:asciiTheme="minorHAnsi" w:hAnsiTheme="minorHAnsi"/>
        </w:rPr>
        <w:t xml:space="preserve">likviditás </w:t>
      </w:r>
      <w:r w:rsidR="004955AB" w:rsidRPr="00181755">
        <w:rPr>
          <w:rFonts w:asciiTheme="minorHAnsi" w:hAnsiTheme="minorHAnsi"/>
        </w:rPr>
        <w:t xml:space="preserve">megfelelőség </w:t>
      </w:r>
      <w:r w:rsidR="004B7E48" w:rsidRPr="00181755">
        <w:rPr>
          <w:rFonts w:asciiTheme="minorHAnsi" w:hAnsiTheme="minorHAnsi"/>
        </w:rPr>
        <w:t>belső érékelési folyamatá</w:t>
      </w:r>
      <w:r w:rsidR="00F57467" w:rsidRPr="00181755">
        <w:rPr>
          <w:rFonts w:asciiTheme="minorHAnsi" w:hAnsiTheme="minorHAnsi"/>
        </w:rPr>
        <w:t>nak</w:t>
      </w:r>
      <w:r w:rsidR="004B7E48" w:rsidRPr="00181755">
        <w:rPr>
          <w:rFonts w:asciiTheme="minorHAnsi" w:hAnsiTheme="minorHAnsi"/>
        </w:rPr>
        <w:t xml:space="preserve"> (</w:t>
      </w:r>
      <w:r w:rsidRPr="00181755">
        <w:rPr>
          <w:rFonts w:asciiTheme="minorHAnsi" w:hAnsiTheme="minorHAnsi"/>
        </w:rPr>
        <w:t>ILAAP</w:t>
      </w:r>
      <w:r w:rsidR="004B7E48" w:rsidRPr="00181755">
        <w:rPr>
          <w:rFonts w:asciiTheme="minorHAnsi" w:hAnsiTheme="minorHAnsi"/>
        </w:rPr>
        <w:t>)</w:t>
      </w:r>
      <w:r w:rsidRPr="00181755">
        <w:rPr>
          <w:rStyle w:val="Lbjegyzet-hivatkozs"/>
          <w:rFonts w:asciiTheme="minorHAnsi" w:hAnsiTheme="minorHAnsi"/>
        </w:rPr>
        <w:footnoteReference w:id="2"/>
      </w:r>
      <w:r w:rsidRPr="00181755">
        <w:rPr>
          <w:rFonts w:asciiTheme="minorHAnsi" w:hAnsiTheme="minorHAnsi"/>
        </w:rPr>
        <w:t xml:space="preserve"> és ezek felügyeleti felülvizsgálatá</w:t>
      </w:r>
      <w:r w:rsidR="00120DA0" w:rsidRPr="00181755">
        <w:rPr>
          <w:rFonts w:asciiTheme="minorHAnsi" w:hAnsiTheme="minorHAnsi"/>
        </w:rPr>
        <w:t>nak alapelveit is.</w:t>
      </w:r>
      <w:r w:rsidR="001A7470" w:rsidRPr="00181755">
        <w:rPr>
          <w:rFonts w:asciiTheme="minorHAnsi" w:hAnsiTheme="minorHAnsi"/>
        </w:rPr>
        <w:t xml:space="preserve"> </w:t>
      </w:r>
      <w:r w:rsidR="00745F2B" w:rsidRPr="00181755">
        <w:rPr>
          <w:rFonts w:asciiTheme="minorHAnsi" w:hAnsiTheme="minorHAnsi"/>
        </w:rPr>
        <w:t>A</w:t>
      </w:r>
      <w:r w:rsidR="00120DA0" w:rsidRPr="00181755">
        <w:rPr>
          <w:rFonts w:asciiTheme="minorHAnsi" w:hAnsiTheme="minorHAnsi"/>
        </w:rPr>
        <w:t>z EBA a</w:t>
      </w:r>
      <w:r w:rsidR="002478DD" w:rsidRPr="00181755">
        <w:rPr>
          <w:rFonts w:asciiTheme="minorHAnsi" w:hAnsiTheme="minorHAnsi"/>
        </w:rPr>
        <w:t xml:space="preserve"> SREP vizs</w:t>
      </w:r>
      <w:r w:rsidR="00745F2B" w:rsidRPr="00181755">
        <w:rPr>
          <w:rFonts w:asciiTheme="minorHAnsi" w:hAnsiTheme="minorHAnsi"/>
        </w:rPr>
        <w:t xml:space="preserve">gálat gyakorlatának és módszertanának európai szintű harmonizálására </w:t>
      </w:r>
      <w:r w:rsidR="00120DA0" w:rsidRPr="00181755">
        <w:rPr>
          <w:rFonts w:asciiTheme="minorHAnsi" w:hAnsiTheme="minorHAnsi"/>
        </w:rPr>
        <w:t xml:space="preserve">törekedve </w:t>
      </w:r>
      <w:r w:rsidR="00745F2B" w:rsidRPr="00181755">
        <w:rPr>
          <w:rFonts w:asciiTheme="minorHAnsi" w:hAnsiTheme="minorHAnsi"/>
        </w:rPr>
        <w:t xml:space="preserve">kidolgozta </w:t>
      </w:r>
      <w:r w:rsidR="00A26947" w:rsidRPr="00181755">
        <w:rPr>
          <w:rFonts w:asciiTheme="minorHAnsi" w:hAnsiTheme="minorHAnsi"/>
        </w:rPr>
        <w:t>ajánlásá</w:t>
      </w:r>
      <w:r w:rsidR="00745F2B" w:rsidRPr="00181755">
        <w:rPr>
          <w:rFonts w:asciiTheme="minorHAnsi" w:hAnsiTheme="minorHAnsi"/>
        </w:rPr>
        <w:t>t</w:t>
      </w:r>
      <w:r w:rsidR="00745F2B" w:rsidRPr="00181755">
        <w:rPr>
          <w:rStyle w:val="Lbjegyzet-hivatkozs"/>
          <w:rFonts w:asciiTheme="minorHAnsi" w:hAnsiTheme="minorHAnsi"/>
        </w:rPr>
        <w:footnoteReference w:id="3"/>
      </w:r>
      <w:r w:rsidR="00745F2B" w:rsidRPr="00181755">
        <w:rPr>
          <w:rFonts w:asciiTheme="minorHAnsi" w:hAnsiTheme="minorHAnsi"/>
        </w:rPr>
        <w:t xml:space="preserve"> (EBA SREP Ajánlás)</w:t>
      </w:r>
      <w:r w:rsidR="000D1930">
        <w:rPr>
          <w:rFonts w:asciiTheme="minorHAnsi" w:hAnsiTheme="minorHAnsi"/>
        </w:rPr>
        <w:t>, amely szintén a kézikönyv</w:t>
      </w:r>
      <w:r w:rsidR="00120DA0" w:rsidRPr="00181755">
        <w:rPr>
          <w:rFonts w:asciiTheme="minorHAnsi" w:hAnsiTheme="minorHAnsi"/>
        </w:rPr>
        <w:t xml:space="preserve"> </w:t>
      </w:r>
      <w:r w:rsidR="002478DD" w:rsidRPr="00181755">
        <w:rPr>
          <w:rFonts w:asciiTheme="minorHAnsi" w:hAnsiTheme="minorHAnsi"/>
        </w:rPr>
        <w:t xml:space="preserve">módosításához </w:t>
      </w:r>
      <w:r w:rsidR="00120DA0" w:rsidRPr="00181755">
        <w:rPr>
          <w:rFonts w:asciiTheme="minorHAnsi" w:hAnsiTheme="minorHAnsi"/>
        </w:rPr>
        <w:t>vezetett</w:t>
      </w:r>
      <w:r w:rsidR="00A26947" w:rsidRPr="00181755">
        <w:rPr>
          <w:rFonts w:asciiTheme="minorHAnsi" w:hAnsiTheme="minorHAnsi"/>
        </w:rPr>
        <w:t xml:space="preserve">. </w:t>
      </w:r>
      <w:r w:rsidR="00137D76" w:rsidRPr="00181755">
        <w:rPr>
          <w:rFonts w:asciiTheme="minorHAnsi" w:hAnsiTheme="minorHAnsi"/>
        </w:rPr>
        <w:t>Ennek következtében a</w:t>
      </w:r>
      <w:r w:rsidR="000D1930">
        <w:rPr>
          <w:rFonts w:asciiTheme="minorHAnsi" w:hAnsiTheme="minorHAnsi"/>
        </w:rPr>
        <w:t xml:space="preserve"> módszertani kézikönyv</w:t>
      </w:r>
      <w:r w:rsidR="00A26947" w:rsidRPr="00181755">
        <w:rPr>
          <w:rFonts w:asciiTheme="minorHAnsi" w:hAnsiTheme="minorHAnsi"/>
        </w:rPr>
        <w:t xml:space="preserve"> kiegészült az üzleti modell elemzéssel (BMA) foglalkozó fejezettel</w:t>
      </w:r>
      <w:r w:rsidR="00137D76" w:rsidRPr="00181755">
        <w:rPr>
          <w:rFonts w:asciiTheme="minorHAnsi" w:hAnsiTheme="minorHAnsi"/>
        </w:rPr>
        <w:t xml:space="preserve">. </w:t>
      </w:r>
      <w:r w:rsidR="00957A0E" w:rsidRPr="00181755">
        <w:rPr>
          <w:rFonts w:asciiTheme="minorHAnsi" w:hAnsiTheme="minorHAnsi"/>
        </w:rPr>
        <w:t>Jelen</w:t>
      </w:r>
      <w:r w:rsidR="00137D76" w:rsidRPr="00181755">
        <w:rPr>
          <w:rFonts w:asciiTheme="minorHAnsi" w:hAnsiTheme="minorHAnsi"/>
        </w:rPr>
        <w:t xml:space="preserve"> </w:t>
      </w:r>
      <w:r w:rsidR="000D1930">
        <w:rPr>
          <w:rFonts w:asciiTheme="minorHAnsi" w:hAnsiTheme="minorHAnsi"/>
        </w:rPr>
        <w:t>kézikönyv</w:t>
      </w:r>
      <w:r w:rsidR="00A26947" w:rsidRPr="00181755">
        <w:rPr>
          <w:rFonts w:asciiTheme="minorHAnsi" w:hAnsiTheme="minorHAnsi"/>
        </w:rPr>
        <w:t xml:space="preserve"> </w:t>
      </w:r>
      <w:r w:rsidR="00137D76" w:rsidRPr="00181755">
        <w:rPr>
          <w:rFonts w:asciiTheme="minorHAnsi" w:hAnsiTheme="minorHAnsi"/>
        </w:rPr>
        <w:t xml:space="preserve">azonban </w:t>
      </w:r>
      <w:r w:rsidR="00957A0E" w:rsidRPr="00181755">
        <w:rPr>
          <w:rFonts w:asciiTheme="minorHAnsi" w:hAnsiTheme="minorHAnsi"/>
        </w:rPr>
        <w:t xml:space="preserve">a kiegészítéssel együtt sem </w:t>
      </w:r>
      <w:r w:rsidR="00A26947" w:rsidRPr="00181755">
        <w:rPr>
          <w:rFonts w:asciiTheme="minorHAnsi" w:hAnsiTheme="minorHAnsi"/>
        </w:rPr>
        <w:t xml:space="preserve">fedi le teljes mértékben az EBA SREP Ajánlás szerinti </w:t>
      </w:r>
      <w:r w:rsidR="00137D76" w:rsidRPr="00181755">
        <w:rPr>
          <w:rFonts w:asciiTheme="minorHAnsi" w:hAnsiTheme="minorHAnsi"/>
        </w:rPr>
        <w:t xml:space="preserve">teljes </w:t>
      </w:r>
      <w:r w:rsidR="00A26947" w:rsidRPr="00181755">
        <w:rPr>
          <w:rFonts w:asciiTheme="minorHAnsi" w:hAnsiTheme="minorHAnsi"/>
        </w:rPr>
        <w:t>SREP folyamatot</w:t>
      </w:r>
      <w:r w:rsidR="00137D76" w:rsidRPr="00181755">
        <w:rPr>
          <w:rFonts w:asciiTheme="minorHAnsi" w:hAnsiTheme="minorHAnsi"/>
        </w:rPr>
        <w:t xml:space="preserve">, </w:t>
      </w:r>
      <w:r w:rsidR="00957A0E" w:rsidRPr="00181755">
        <w:rPr>
          <w:rFonts w:asciiTheme="minorHAnsi" w:hAnsiTheme="minorHAnsi"/>
        </w:rPr>
        <w:t>ugyanis</w:t>
      </w:r>
      <w:r w:rsidR="00137D76" w:rsidRPr="00181755">
        <w:rPr>
          <w:rFonts w:asciiTheme="minorHAnsi" w:hAnsiTheme="minorHAnsi"/>
        </w:rPr>
        <w:t xml:space="preserve"> kizárólag</w:t>
      </w:r>
      <w:r w:rsidR="00120DA0" w:rsidRPr="00181755">
        <w:rPr>
          <w:rFonts w:asciiTheme="minorHAnsi" w:hAnsiTheme="minorHAnsi"/>
        </w:rPr>
        <w:t xml:space="preserve"> az ICAAP-ILAAP-BMA vizsgálatokkal kapcso</w:t>
      </w:r>
      <w:r w:rsidR="002478DD" w:rsidRPr="00181755">
        <w:rPr>
          <w:rFonts w:asciiTheme="minorHAnsi" w:hAnsiTheme="minorHAnsi"/>
        </w:rPr>
        <w:t>latos felügyeleti elvárások</w:t>
      </w:r>
      <w:r w:rsidR="00A26947" w:rsidRPr="00181755">
        <w:rPr>
          <w:rFonts w:asciiTheme="minorHAnsi" w:hAnsiTheme="minorHAnsi"/>
        </w:rPr>
        <w:t>at rögzíti</w:t>
      </w:r>
      <w:r w:rsidR="00957A0E" w:rsidRPr="00181755">
        <w:rPr>
          <w:rFonts w:asciiTheme="minorHAnsi" w:hAnsiTheme="minorHAnsi"/>
        </w:rPr>
        <w:t>,</w:t>
      </w:r>
      <w:r w:rsidR="00A26947" w:rsidRPr="00181755">
        <w:rPr>
          <w:rFonts w:asciiTheme="minorHAnsi" w:hAnsiTheme="minorHAnsi"/>
        </w:rPr>
        <w:t xml:space="preserve"> figyelembe véve az EBA SREP Ajánlásban meghatározott egységes európai módszertant, az uniós szabályozói előírásokat, valamint </w:t>
      </w:r>
      <w:r w:rsidR="002478DD" w:rsidRPr="00181755">
        <w:rPr>
          <w:rFonts w:asciiTheme="minorHAnsi" w:hAnsiTheme="minorHAnsi"/>
        </w:rPr>
        <w:t>a hazai gyakorlat</w:t>
      </w:r>
      <w:r w:rsidR="00137D76" w:rsidRPr="00181755">
        <w:rPr>
          <w:rFonts w:asciiTheme="minorHAnsi" w:hAnsiTheme="minorHAnsi"/>
        </w:rPr>
        <w:t>i</w:t>
      </w:r>
      <w:r w:rsidR="002478DD" w:rsidRPr="00181755">
        <w:rPr>
          <w:rFonts w:asciiTheme="minorHAnsi" w:hAnsiTheme="minorHAnsi"/>
        </w:rPr>
        <w:t xml:space="preserve"> tapasztalat</w:t>
      </w:r>
      <w:r w:rsidR="00137D76" w:rsidRPr="00181755">
        <w:rPr>
          <w:rFonts w:asciiTheme="minorHAnsi" w:hAnsiTheme="minorHAnsi"/>
        </w:rPr>
        <w:t>oka</w:t>
      </w:r>
      <w:r w:rsidR="00957A0E" w:rsidRPr="00181755">
        <w:rPr>
          <w:rFonts w:asciiTheme="minorHAnsi" w:hAnsiTheme="minorHAnsi"/>
        </w:rPr>
        <w:t>t</w:t>
      </w:r>
      <w:r w:rsidR="002478DD" w:rsidRPr="00181755">
        <w:rPr>
          <w:rFonts w:asciiTheme="minorHAnsi" w:hAnsiTheme="minorHAnsi"/>
        </w:rPr>
        <w:t>.</w:t>
      </w:r>
      <w:r w:rsidR="00A26947" w:rsidRPr="00181755">
        <w:rPr>
          <w:rFonts w:asciiTheme="minorHAnsi" w:hAnsiTheme="minorHAnsi"/>
        </w:rPr>
        <w:t xml:space="preserve"> </w:t>
      </w:r>
      <w:r w:rsidR="000D1930">
        <w:rPr>
          <w:rFonts w:asciiTheme="minorHAnsi" w:hAnsiTheme="minorHAnsi"/>
        </w:rPr>
        <w:t>A kézikönyv</w:t>
      </w:r>
      <w:r w:rsidR="00137D76" w:rsidRPr="00181755">
        <w:rPr>
          <w:rFonts w:asciiTheme="minorHAnsi" w:hAnsiTheme="minorHAnsi"/>
        </w:rPr>
        <w:t xml:space="preserve"> </w:t>
      </w:r>
      <w:r w:rsidR="00957A0E" w:rsidRPr="00181755">
        <w:rPr>
          <w:rFonts w:asciiTheme="minorHAnsi" w:hAnsiTheme="minorHAnsi"/>
        </w:rPr>
        <w:t xml:space="preserve">aktuális </w:t>
      </w:r>
      <w:r w:rsidR="00137D76" w:rsidRPr="00181755">
        <w:rPr>
          <w:rFonts w:asciiTheme="minorHAnsi" w:hAnsiTheme="minorHAnsi"/>
        </w:rPr>
        <w:t>éves felülvizsgálata kapcsán</w:t>
      </w:r>
      <w:r w:rsidRPr="00181755">
        <w:rPr>
          <w:rFonts w:asciiTheme="minorHAnsi" w:hAnsiTheme="minorHAnsi"/>
        </w:rPr>
        <w:t xml:space="preserve"> fontos szempont volt, hogy a felügyeleti elvárás</w:t>
      </w:r>
      <w:r w:rsidR="00137D76" w:rsidRPr="00181755">
        <w:rPr>
          <w:rFonts w:asciiTheme="minorHAnsi" w:hAnsiTheme="minorHAnsi"/>
        </w:rPr>
        <w:t>ok</w:t>
      </w:r>
      <w:r w:rsidRPr="00181755">
        <w:rPr>
          <w:rFonts w:asciiTheme="minorHAnsi" w:hAnsiTheme="minorHAnsi"/>
        </w:rPr>
        <w:t xml:space="preserve"> és iránymutatás</w:t>
      </w:r>
      <w:r w:rsidR="00137D76" w:rsidRPr="00181755">
        <w:rPr>
          <w:rFonts w:asciiTheme="minorHAnsi" w:hAnsiTheme="minorHAnsi"/>
        </w:rPr>
        <w:t>ok</w:t>
      </w:r>
      <w:r w:rsidR="00957A0E" w:rsidRPr="00181755">
        <w:rPr>
          <w:rFonts w:asciiTheme="minorHAnsi" w:hAnsiTheme="minorHAnsi"/>
        </w:rPr>
        <w:t xml:space="preserve"> még transzparensebbek legyenek, és még</w:t>
      </w:r>
      <w:r w:rsidRPr="00181755">
        <w:rPr>
          <w:rFonts w:asciiTheme="minorHAnsi" w:hAnsiTheme="minorHAnsi"/>
        </w:rPr>
        <w:t xml:space="preserve"> hatékonya</w:t>
      </w:r>
      <w:r w:rsidR="00957A0E" w:rsidRPr="00181755">
        <w:rPr>
          <w:rFonts w:asciiTheme="minorHAnsi" w:hAnsiTheme="minorHAnsi"/>
        </w:rPr>
        <w:t>bba</w:t>
      </w:r>
      <w:r w:rsidRPr="00181755">
        <w:rPr>
          <w:rFonts w:asciiTheme="minorHAnsi" w:hAnsiTheme="minorHAnsi"/>
        </w:rPr>
        <w:t>n segíts</w:t>
      </w:r>
      <w:r w:rsidR="00137D76" w:rsidRPr="00181755">
        <w:rPr>
          <w:rFonts w:asciiTheme="minorHAnsi" w:hAnsiTheme="minorHAnsi"/>
        </w:rPr>
        <w:t>ék</w:t>
      </w:r>
      <w:r w:rsidRPr="00181755">
        <w:rPr>
          <w:rFonts w:asciiTheme="minorHAnsi" w:hAnsiTheme="minorHAnsi"/>
        </w:rPr>
        <w:t xml:space="preserve"> az intézmények munkáját. </w:t>
      </w:r>
    </w:p>
    <w:p w14:paraId="66B15189" w14:textId="30C71B80" w:rsidR="006C1411" w:rsidRPr="00181755" w:rsidRDefault="000D1930" w:rsidP="00181755">
      <w:pPr>
        <w:rPr>
          <w:rFonts w:asciiTheme="minorHAnsi" w:hAnsiTheme="minorHAnsi"/>
        </w:rPr>
      </w:pPr>
      <w:r>
        <w:rPr>
          <w:rFonts w:asciiTheme="minorHAnsi" w:hAnsiTheme="minorHAnsi"/>
        </w:rPr>
        <w:t>A módszertani kézikönyv</w:t>
      </w:r>
      <w:r w:rsidR="003F29E3" w:rsidRPr="00181755">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181755">
        <w:rPr>
          <w:rFonts w:asciiTheme="minorHAnsi" w:hAnsiTheme="minorHAnsi"/>
        </w:rPr>
        <w:t>-</w:t>
      </w:r>
      <w:r w:rsidR="003F29E3" w:rsidRPr="00181755">
        <w:rPr>
          <w:rFonts w:asciiTheme="minorHAnsi" w:hAnsiTheme="minorHAnsi"/>
        </w:rPr>
        <w:t xml:space="preserve"> </w:t>
      </w:r>
      <w:r w:rsidR="004067AA" w:rsidRPr="00181755">
        <w:rPr>
          <w:rFonts w:asciiTheme="minorHAnsi" w:hAnsiTheme="minorHAnsi"/>
        </w:rPr>
        <w:t xml:space="preserve">és a likviditás megfelelés </w:t>
      </w:r>
      <w:r w:rsidR="003F29E3" w:rsidRPr="00181755">
        <w:rPr>
          <w:rFonts w:asciiTheme="minorHAnsi" w:hAnsiTheme="minorHAnsi"/>
        </w:rPr>
        <w:t>belső értékelési eljárásának elemeit</w:t>
      </w:r>
      <w:r w:rsidR="002478DD" w:rsidRPr="00181755">
        <w:rPr>
          <w:rFonts w:asciiTheme="minorHAnsi" w:hAnsiTheme="minorHAnsi"/>
        </w:rPr>
        <w:t>, üzleti modell elemzés alapvető módszertanát</w:t>
      </w:r>
      <w:r w:rsidR="003F29E3" w:rsidRPr="00181755">
        <w:rPr>
          <w:rFonts w:asciiTheme="minorHAnsi" w:hAnsiTheme="minorHAnsi"/>
        </w:rPr>
        <w:t>, és iránymutatást ad a rendelkezések tartalmi értelmezésére. Ezen túlmenően ismerteti a felügyeleti szerepkörében eljáró</w:t>
      </w:r>
      <w:r w:rsidR="00137D76" w:rsidRPr="00181755">
        <w:rPr>
          <w:rFonts w:asciiTheme="minorHAnsi" w:hAnsiTheme="minorHAnsi"/>
        </w:rPr>
        <w:t xml:space="preserve"> MNB</w:t>
      </w:r>
      <w:r w:rsidR="003F29E3" w:rsidRPr="00181755">
        <w:rPr>
          <w:rFonts w:asciiTheme="minorHAnsi" w:hAnsiTheme="minorHAnsi"/>
        </w:rPr>
        <w:t xml:space="preserve"> álláspontját arra vonatkozóan, milyen elvek és módszerek alapján kívánja az intézmények tőkeszükséglet-számítását</w:t>
      </w:r>
      <w:r w:rsidR="002478DD" w:rsidRPr="00181755">
        <w:rPr>
          <w:rFonts w:asciiTheme="minorHAnsi" w:hAnsiTheme="minorHAnsi"/>
        </w:rPr>
        <w:t>,</w:t>
      </w:r>
      <w:r w:rsidR="004067AA" w:rsidRPr="00181755">
        <w:rPr>
          <w:rFonts w:asciiTheme="minorHAnsi" w:hAnsiTheme="minorHAnsi"/>
        </w:rPr>
        <w:t xml:space="preserve"> likviditás fedezettségét</w:t>
      </w:r>
      <w:r w:rsidR="003F29E3" w:rsidRPr="00181755">
        <w:rPr>
          <w:rFonts w:asciiTheme="minorHAnsi" w:hAnsiTheme="minorHAnsi"/>
        </w:rPr>
        <w:t xml:space="preserve"> értékelni</w:t>
      </w:r>
      <w:r w:rsidR="002478DD" w:rsidRPr="00181755">
        <w:rPr>
          <w:rFonts w:asciiTheme="minorHAnsi" w:hAnsiTheme="minorHAnsi"/>
        </w:rPr>
        <w:t>, valamint az üzleti és stratégiai tervek életképességét és fenntarthatóságát vizsgálni</w:t>
      </w:r>
      <w:r w:rsidR="003F29E3" w:rsidRPr="00181755">
        <w:rPr>
          <w:rFonts w:asciiTheme="minorHAnsi" w:hAnsiTheme="minorHAnsi"/>
        </w:rPr>
        <w:t>.</w:t>
      </w:r>
      <w:r w:rsidR="003F29E3" w:rsidRPr="00181755">
        <w:rPr>
          <w:rStyle w:val="Lbjegyzet-hivatkozs"/>
          <w:rFonts w:asciiTheme="minorHAnsi" w:hAnsiTheme="minorHAnsi"/>
        </w:rPr>
        <w:footnoteReference w:id="4"/>
      </w:r>
      <w:r w:rsidR="003F29E3" w:rsidRPr="00181755">
        <w:rPr>
          <w:rFonts w:asciiTheme="minorHAnsi" w:hAnsiTheme="minorHAnsi"/>
        </w:rPr>
        <w:t xml:space="preserve"> </w:t>
      </w:r>
      <w:r w:rsidR="006C1411" w:rsidRPr="00181755">
        <w:rPr>
          <w:rFonts w:asciiTheme="minorHAnsi" w:hAnsiTheme="minorHAnsi"/>
        </w:rPr>
        <w:t xml:space="preserve"> </w:t>
      </w:r>
    </w:p>
    <w:p w14:paraId="614C8FDA" w14:textId="788B2A56" w:rsidR="00992893" w:rsidRPr="00181755" w:rsidRDefault="003F29E3" w:rsidP="00181755">
      <w:pPr>
        <w:spacing w:after="240"/>
        <w:rPr>
          <w:rFonts w:asciiTheme="minorHAnsi" w:hAnsiTheme="minorHAnsi"/>
        </w:rPr>
      </w:pPr>
      <w:r w:rsidRPr="00181755">
        <w:rPr>
          <w:rFonts w:asciiTheme="minorHAnsi" w:hAnsiTheme="minorHAnsi"/>
        </w:rPr>
        <w:t xml:space="preserve">Jelen </w:t>
      </w:r>
      <w:r w:rsidR="000D1930">
        <w:rPr>
          <w:rFonts w:asciiTheme="minorHAnsi" w:hAnsiTheme="minorHAnsi"/>
        </w:rPr>
        <w:t>kézikönyv</w:t>
      </w:r>
      <w:r w:rsidRPr="00181755">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49FA831F" w:rsidR="00E334C4" w:rsidRPr="00181755" w:rsidRDefault="00E430B8" w:rsidP="00181755">
      <w:pPr>
        <w:pStyle w:val="Cmsor2"/>
        <w:rPr>
          <w:rFonts w:asciiTheme="minorHAnsi" w:hAnsiTheme="minorHAnsi"/>
        </w:rPr>
      </w:pPr>
      <w:bookmarkStart w:id="30" w:name="_A_tőkemegfelelés_belső"/>
      <w:bookmarkStart w:id="31" w:name="_Toc462401906"/>
      <w:bookmarkStart w:id="32" w:name="_Toc462403027"/>
      <w:bookmarkStart w:id="33" w:name="_Toc462403350"/>
      <w:bookmarkStart w:id="34" w:name="_Toc468180469"/>
      <w:bookmarkStart w:id="35" w:name="_Toc468181002"/>
      <w:bookmarkStart w:id="36" w:name="_Toc468191404"/>
      <w:bookmarkStart w:id="37" w:name="_Toc378256220"/>
      <w:bookmarkStart w:id="38" w:name="_Toc378592028"/>
      <w:bookmarkStart w:id="39" w:name="_Toc461095159"/>
      <w:bookmarkStart w:id="40" w:name="_Toc461179192"/>
      <w:bookmarkStart w:id="41" w:name="_Toc461179814"/>
      <w:bookmarkStart w:id="42" w:name="_Toc461197733"/>
      <w:bookmarkStart w:id="43" w:name="_Toc461201257"/>
      <w:bookmarkStart w:id="44" w:name="_Toc461547879"/>
      <w:bookmarkEnd w:id="30"/>
      <w:r w:rsidRPr="00181755">
        <w:rPr>
          <w:rFonts w:asciiTheme="minorHAnsi" w:hAnsiTheme="minorHAnsi"/>
          <w:lang w:val="hu-HU"/>
        </w:rPr>
        <w:t xml:space="preserve">Az </w:t>
      </w:r>
      <w:r w:rsidR="000D05C1" w:rsidRPr="00181755">
        <w:rPr>
          <w:rFonts w:asciiTheme="minorHAnsi" w:hAnsiTheme="minorHAnsi"/>
        </w:rPr>
        <w:t>ICAAP</w:t>
      </w:r>
      <w:r w:rsidRPr="00181755">
        <w:rPr>
          <w:rFonts w:asciiTheme="minorHAnsi" w:hAnsiTheme="minorHAnsi"/>
          <w:lang w:val="hu-HU"/>
        </w:rPr>
        <w:t xml:space="preserve">, az </w:t>
      </w:r>
      <w:r w:rsidR="000D05C1" w:rsidRPr="00181755">
        <w:rPr>
          <w:rFonts w:asciiTheme="minorHAnsi" w:hAnsiTheme="minorHAnsi"/>
        </w:rPr>
        <w:t>ILAAP</w:t>
      </w:r>
      <w:r w:rsidRPr="00181755">
        <w:rPr>
          <w:rFonts w:asciiTheme="minorHAnsi" w:hAnsiTheme="minorHAnsi"/>
          <w:lang w:val="hu-HU"/>
        </w:rPr>
        <w:t xml:space="preserve"> és a </w:t>
      </w:r>
      <w:r w:rsidR="000D05C1" w:rsidRPr="00181755">
        <w:rPr>
          <w:rFonts w:asciiTheme="minorHAnsi" w:hAnsiTheme="minorHAnsi"/>
        </w:rPr>
        <w:t>BMA vizsgálat a SREP folyamat tükrében</w:t>
      </w:r>
      <w:bookmarkEnd w:id="31"/>
      <w:bookmarkEnd w:id="32"/>
      <w:bookmarkEnd w:id="33"/>
      <w:bookmarkEnd w:id="34"/>
      <w:bookmarkEnd w:id="35"/>
      <w:bookmarkEnd w:id="36"/>
    </w:p>
    <w:p w14:paraId="4D78CC17" w14:textId="19A4EF5A" w:rsidR="00E334C4" w:rsidRPr="00181755" w:rsidRDefault="00E334C4"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181755">
        <w:rPr>
          <w:rFonts w:asciiTheme="minorHAnsi" w:hAnsiTheme="minorHAnsi"/>
          <w:sz w:val="22"/>
        </w:rPr>
        <w:t>Az MNB a teljes SREP folyamatot az ICAAP-ILAAP-BMA vizsgálaton kívül a folyamatos felügyelés, valamint a helyszíni téma- és célvizsgálatok keretében fedi le.</w:t>
      </w:r>
    </w:p>
    <w:p w14:paraId="2E3A74C9" w14:textId="77777777" w:rsidR="00E334C4" w:rsidRPr="00181755" w:rsidRDefault="00E334C4" w:rsidP="00181755">
      <w:pPr>
        <w:rPr>
          <w:rFonts w:asciiTheme="minorHAnsi" w:hAnsiTheme="minorHAnsi"/>
        </w:rPr>
      </w:pPr>
      <w:r w:rsidRPr="00181755">
        <w:rPr>
          <w:rFonts w:asciiTheme="minorHAnsi" w:hAnsiTheme="minorHAnsi"/>
        </w:rPr>
        <w:t>A CRD IV rendelkezéseket tartalmaz a felügyeleti felülvizsgálati folyamatra</w:t>
      </w:r>
      <w:r w:rsidRPr="00181755">
        <w:rPr>
          <w:rStyle w:val="Lbjegyzet-hivatkozs"/>
          <w:rFonts w:asciiTheme="minorHAnsi" w:hAnsiTheme="minorHAnsi"/>
        </w:rPr>
        <w:footnoteReference w:id="5"/>
      </w:r>
      <w:r w:rsidRPr="00181755">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01C61BE6" w14:textId="3228C1FA" w:rsidR="00900DD5" w:rsidRPr="00181755" w:rsidRDefault="00E334C4" w:rsidP="00181755">
      <w:pPr>
        <w:rPr>
          <w:rFonts w:asciiTheme="minorHAnsi" w:hAnsiTheme="minorHAnsi"/>
        </w:rPr>
      </w:pPr>
      <w:r w:rsidRPr="00181755">
        <w:rPr>
          <w:rFonts w:asciiTheme="minorHAnsi" w:hAnsiTheme="minorHAnsi"/>
        </w:rPr>
        <w:t xml:space="preserve">Az elmúlt évek során a felügyeleti közösség fokozatosan átértékelte a 2. pilléres folyamatok jelentőségét, felismerve,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Pr>
          <w:rFonts w:asciiTheme="minorHAnsi" w:hAnsiTheme="minorHAnsi"/>
        </w:rPr>
        <w:t>kézikönyv</w:t>
      </w:r>
      <w:r w:rsidRPr="00181755">
        <w:rPr>
          <w:rFonts w:asciiTheme="minorHAnsi" w:hAnsiTheme="minorHAnsi"/>
        </w:rPr>
        <w:t xml:space="preserve"> révén ezzel összhangban az MNB azt kívánja hangsúlyozni, hogy a 2. pilléres ICAAP</w:t>
      </w:r>
      <w:r w:rsidR="00CC1EA3" w:rsidRPr="00181755">
        <w:rPr>
          <w:rFonts w:asciiTheme="minorHAnsi" w:hAnsiTheme="minorHAnsi"/>
        </w:rPr>
        <w:t>-</w:t>
      </w:r>
      <w:r w:rsidRPr="00181755">
        <w:rPr>
          <w:rFonts w:asciiTheme="minorHAnsi" w:hAnsiTheme="minorHAnsi"/>
        </w:rPr>
        <w:t>ILAAP</w:t>
      </w:r>
      <w:r w:rsidR="00CC1EA3" w:rsidRPr="00181755">
        <w:rPr>
          <w:rFonts w:asciiTheme="minorHAnsi" w:hAnsiTheme="minorHAnsi"/>
        </w:rPr>
        <w:t>-BMA</w:t>
      </w:r>
      <w:r w:rsidR="002F35E0" w:rsidRPr="00181755">
        <w:rPr>
          <w:rFonts w:asciiTheme="minorHAnsi" w:hAnsiTheme="minorHAnsi"/>
        </w:rPr>
        <w:t xml:space="preserve"> </w:t>
      </w:r>
      <w:r w:rsidRPr="00181755">
        <w:rPr>
          <w:rFonts w:asciiTheme="minorHAnsi" w:hAnsiTheme="minorHAnsi"/>
        </w:rPr>
        <w:t>vizsgálat nem egy önálló folyamat, hanem az intézményfelügyeleti tevékenység</w:t>
      </w:r>
      <w:r w:rsidR="005F2E46" w:rsidRPr="00181755">
        <w:rPr>
          <w:rFonts w:asciiTheme="minorHAnsi" w:hAnsiTheme="minorHAnsi"/>
        </w:rPr>
        <w:t xml:space="preserve"> </w:t>
      </w:r>
      <w:r w:rsidRPr="00181755">
        <w:rPr>
          <w:rFonts w:asciiTheme="minorHAnsi" w:hAnsiTheme="minorHAnsi"/>
        </w:rPr>
        <w:t>integráns és kiemelten fontos része.</w:t>
      </w:r>
      <w:r w:rsidR="00900DD5" w:rsidRPr="00181755">
        <w:rPr>
          <w:rFonts w:asciiTheme="minorHAnsi" w:hAnsiTheme="minorHAnsi"/>
        </w:rPr>
        <w:t xml:space="preserve"> Az ICAAP felülvizsgálat keretében az MNB vizsgálja az intézmények </w:t>
      </w:r>
      <w:r w:rsidR="005F2E46" w:rsidRPr="00181755">
        <w:rPr>
          <w:rFonts w:asciiTheme="minorHAnsi" w:hAnsiTheme="minorHAnsi"/>
        </w:rPr>
        <w:t xml:space="preserve">ICAAP vonatkozású vállalatirányításának megfelelőségét is. </w:t>
      </w:r>
    </w:p>
    <w:p w14:paraId="6BE88A46" w14:textId="4896FAA8" w:rsidR="005F2E46" w:rsidRPr="00181755" w:rsidRDefault="00E334C4" w:rsidP="00181755">
      <w:pPr>
        <w:rPr>
          <w:rFonts w:asciiTheme="minorHAnsi" w:hAnsiTheme="minorHAnsi"/>
        </w:rPr>
      </w:pPr>
      <w:r w:rsidRPr="00181755">
        <w:rPr>
          <w:rFonts w:asciiTheme="minorHAnsi" w:hAnsiTheme="minorHAnsi"/>
        </w:rPr>
        <w:t>Európai szinten egyre nagyobb hangsúlyt kap a</w:t>
      </w:r>
      <w:r w:rsidR="007176F8" w:rsidRPr="00181755">
        <w:rPr>
          <w:rFonts w:asciiTheme="minorHAnsi" w:hAnsiTheme="minorHAnsi"/>
        </w:rPr>
        <w:t>z ü</w:t>
      </w:r>
      <w:r w:rsidRPr="00181755">
        <w:rPr>
          <w:rFonts w:asciiTheme="minorHAnsi" w:hAnsiTheme="minorHAnsi"/>
        </w:rPr>
        <w:t>zleti modell elemzése, ezért</w:t>
      </w:r>
      <w:r w:rsidR="007176F8" w:rsidRPr="00181755">
        <w:rPr>
          <w:rFonts w:asciiTheme="minorHAnsi" w:hAnsiTheme="minorHAnsi"/>
        </w:rPr>
        <w:t xml:space="preserve"> – </w:t>
      </w:r>
      <w:r w:rsidRPr="00181755">
        <w:rPr>
          <w:rFonts w:asciiTheme="minorHAnsi" w:hAnsiTheme="minorHAnsi"/>
        </w:rPr>
        <w:t xml:space="preserve">az arányosság elveit is szem előtt tartva </w:t>
      </w:r>
      <w:r w:rsidR="007176F8" w:rsidRPr="00181755">
        <w:rPr>
          <w:rFonts w:asciiTheme="minorHAnsi" w:hAnsiTheme="minorHAnsi"/>
        </w:rPr>
        <w:t>–</w:t>
      </w:r>
      <w:r w:rsidRPr="00181755">
        <w:rPr>
          <w:rFonts w:asciiTheme="minorHAnsi" w:hAnsiTheme="minorHAnsi"/>
        </w:rPr>
        <w:t xml:space="preserve"> a komplex SREP alá tartozó intézményeknél az évenkénti helyszíni ICAAP</w:t>
      </w:r>
      <w:r w:rsidR="00CC1EA3" w:rsidRPr="00181755">
        <w:rPr>
          <w:rFonts w:asciiTheme="minorHAnsi" w:hAnsiTheme="minorHAnsi"/>
        </w:rPr>
        <w:t xml:space="preserve"> és </w:t>
      </w:r>
      <w:r w:rsidRPr="00181755">
        <w:rPr>
          <w:rFonts w:asciiTheme="minorHAnsi" w:hAnsiTheme="minorHAnsi"/>
        </w:rPr>
        <w:t xml:space="preserve">ILAAP felülvizsgálat mellett megtörténik az </w:t>
      </w:r>
      <w:r w:rsidR="007176F8" w:rsidRPr="00181755">
        <w:rPr>
          <w:rFonts w:asciiTheme="minorHAnsi" w:hAnsiTheme="minorHAnsi"/>
        </w:rPr>
        <w:t>ü</w:t>
      </w:r>
      <w:r w:rsidRPr="00181755">
        <w:rPr>
          <w:rFonts w:asciiTheme="minorHAnsi" w:hAnsiTheme="minorHAnsi"/>
        </w:rPr>
        <w:t>zleti modell elemzése is.</w:t>
      </w:r>
    </w:p>
    <w:p w14:paraId="5620C3C3" w14:textId="7B1F116E" w:rsidR="00E334C4" w:rsidRPr="00181755" w:rsidRDefault="00000089" w:rsidP="00181755">
      <w:pPr>
        <w:rPr>
          <w:rFonts w:asciiTheme="minorHAnsi" w:hAnsiTheme="minorHAnsi"/>
        </w:rPr>
      </w:pPr>
      <w:r w:rsidRPr="00181755">
        <w:rPr>
          <w:rFonts w:asciiTheme="minorHAnsi" w:hAnsiTheme="minorHAnsi"/>
        </w:rPr>
        <w:t xml:space="preserve">Az alábbi ábra </w:t>
      </w:r>
      <w:r w:rsidR="00E334C4" w:rsidRPr="00181755">
        <w:rPr>
          <w:rFonts w:asciiTheme="minorHAnsi" w:hAnsiTheme="minorHAnsi"/>
        </w:rPr>
        <w:t xml:space="preserve">az EBA SREP Ajánlásban kialakított </w:t>
      </w:r>
      <w:r w:rsidRPr="00181755">
        <w:rPr>
          <w:rFonts w:asciiTheme="minorHAnsi" w:hAnsiTheme="minorHAnsi"/>
        </w:rPr>
        <w:t xml:space="preserve">teljes SREP </w:t>
      </w:r>
      <w:r w:rsidR="00E334C4" w:rsidRPr="00181755">
        <w:rPr>
          <w:rFonts w:asciiTheme="minorHAnsi" w:hAnsiTheme="minorHAnsi"/>
        </w:rPr>
        <w:t>folyamatot mutatja be, amelynek alapján az MNB is kialakította felügyeleti felülvizsgálati folyamatait.</w:t>
      </w:r>
      <w:r w:rsidR="000D1930">
        <w:rPr>
          <w:rFonts w:asciiTheme="minorHAnsi" w:hAnsiTheme="minorHAnsi"/>
        </w:rPr>
        <w:t xml:space="preserve"> A teljes folyamatból a kézikönyv</w:t>
      </w:r>
      <w:r w:rsidR="007176F8" w:rsidRPr="00181755">
        <w:rPr>
          <w:rFonts w:asciiTheme="minorHAnsi" w:hAnsiTheme="minorHAnsi"/>
        </w:rPr>
        <w:t xml:space="preserve"> által </w:t>
      </w:r>
      <w:r w:rsidRPr="00181755">
        <w:rPr>
          <w:rFonts w:asciiTheme="minorHAnsi" w:hAnsiTheme="minorHAnsi"/>
        </w:rPr>
        <w:t>érintett témaköröket</w:t>
      </w:r>
      <w:r w:rsidR="007176F8" w:rsidRPr="00181755">
        <w:rPr>
          <w:rFonts w:asciiTheme="minorHAnsi" w:hAnsiTheme="minorHAnsi"/>
        </w:rPr>
        <w:t xml:space="preserve"> az alábbi ábrán piros szaggatott vonal jelöli.</w:t>
      </w:r>
    </w:p>
    <w:p w14:paraId="4202F6A4" w14:textId="384B5B6A" w:rsidR="00E334C4" w:rsidRPr="00181755" w:rsidRDefault="00B51F44" w:rsidP="00181755">
      <w:pPr>
        <w:rPr>
          <w:rFonts w:asciiTheme="minorHAnsi" w:hAnsiTheme="minorHAnsi"/>
        </w:rPr>
      </w:pPr>
      <w:r w:rsidRPr="00181755">
        <w:rPr>
          <w:rFonts w:asciiTheme="minorHAnsi" w:hAnsiTheme="minorHAnsi"/>
          <w:noProof/>
        </w:rPr>
        <mc:AlternateContent>
          <mc:Choice Requires="wps">
            <w:drawing>
              <wp:anchor distT="0" distB="0" distL="114300" distR="114300" simplePos="0" relativeHeight="251660288" behindDoc="0" locked="0" layoutInCell="1" allowOverlap="1" wp14:anchorId="7B7669A0" wp14:editId="733C01F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06E0C" id="Rectangle 2" o:spid="_x0000_s1026" style="position:absolute;margin-left:3.75pt;margin-top:45.2pt;width:113.7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181755">
        <w:rPr>
          <w:rFonts w:asciiTheme="minorHAnsi" w:hAnsiTheme="minorHAnsi"/>
          <w:noProof/>
        </w:rPr>
        <mc:AlternateContent>
          <mc:Choice Requires="wps">
            <w:drawing>
              <wp:anchor distT="0" distB="0" distL="114300" distR="114300" simplePos="0" relativeHeight="251664384" behindDoc="0" locked="0" layoutInCell="1" allowOverlap="1" wp14:anchorId="3AB85AB9" wp14:editId="61FFF43F">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A50AE4" w:rsidRPr="00B51F44" w:rsidRDefault="00A50AE4"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A50AE4" w:rsidRPr="00B51F44" w:rsidRDefault="00A50AE4" w:rsidP="00B51F44">
                      <w:pPr>
                        <w:jc w:val="center"/>
                        <w:rPr>
                          <w:color w:val="002060"/>
                          <w:sz w:val="18"/>
                        </w:rPr>
                      </w:pPr>
                      <w:r w:rsidRPr="00B51F44">
                        <w:rPr>
                          <w:color w:val="002060"/>
                          <w:sz w:val="18"/>
                        </w:rPr>
                        <w:t>ICAAP vonatkozású vállalatirányítás</w:t>
                      </w:r>
                    </w:p>
                  </w:txbxContent>
                </v:textbox>
              </v:rect>
            </w:pict>
          </mc:Fallback>
        </mc:AlternateContent>
      </w:r>
      <w:r w:rsidR="007176F8" w:rsidRPr="00181755">
        <w:rPr>
          <w:rFonts w:asciiTheme="minorHAnsi" w:hAnsiTheme="minorHAnsi"/>
          <w:noProof/>
        </w:rPr>
        <mc:AlternateContent>
          <mc:Choice Requires="wps">
            <w:drawing>
              <wp:anchor distT="0" distB="0" distL="114300" distR="114300" simplePos="0" relativeHeight="251656192" behindDoc="0" locked="0" layoutInCell="1" allowOverlap="1" wp14:anchorId="5FD48D1D" wp14:editId="2C48521F">
                <wp:simplePos x="0" y="0"/>
                <wp:positionH relativeFrom="column">
                  <wp:posOffset>3032401</wp:posOffset>
                </wp:positionH>
                <wp:positionV relativeFrom="paragraph">
                  <wp:posOffset>704084</wp:posOffset>
                </wp:positionV>
                <wp:extent cx="1444829" cy="1414732"/>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414732"/>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A630" id="Rectangle 2" o:spid="_x0000_s1026" style="position:absolute;margin-left:238.75pt;margin-top:55.45pt;width:113.75pt;height:1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" strokecolor="red" strokeweight="1.75pt">
                <v:fill opacity="0"/>
                <v:stroke dashstyle="dash"/>
              </v:rect>
            </w:pict>
          </mc:Fallback>
        </mc:AlternateContent>
      </w:r>
      <w:r w:rsidR="00E334C4" w:rsidRPr="00181755">
        <w:rPr>
          <w:rFonts w:asciiTheme="minorHAnsi" w:hAnsiTheme="minorHAnsi"/>
          <w:noProof/>
        </w:rPr>
        <mc:AlternateContent>
          <mc:Choice Requires="wps">
            <w:drawing>
              <wp:anchor distT="0" distB="0" distL="114300" distR="114300" simplePos="0" relativeHeight="251652096" behindDoc="0" locked="0" layoutInCell="1" allowOverlap="1" wp14:anchorId="150B0B94" wp14:editId="017FB71D">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AD4A" id="Rectangle 2" o:spid="_x0000_s1026" style="position:absolute;margin-left:352.9pt;margin-top:45.25pt;width:113.75pt;height:13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181755">
        <w:rPr>
          <w:rFonts w:asciiTheme="minorHAnsi" w:hAnsiTheme="minorHAnsi"/>
          <w:noProof/>
        </w:rPr>
        <w:drawing>
          <wp:inline distT="0" distB="0" distL="0" distR="0" wp14:anchorId="082BA298" wp14:editId="0D0949E9">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181755" w:rsidRDefault="00E334C4" w:rsidP="00181755">
      <w:pPr>
        <w:rPr>
          <w:rFonts w:asciiTheme="minorHAnsi" w:hAnsiTheme="minorHAnsi"/>
        </w:rPr>
      </w:pPr>
      <w:r w:rsidRPr="00181755">
        <w:rPr>
          <w:rFonts w:asciiTheme="minorHAnsi" w:hAnsiTheme="minorHAnsi"/>
        </w:rPr>
        <w:t>Az eddigi felülvizsgálatok tapasztalatait felhasználva az MNB a</w:t>
      </w:r>
      <w:r w:rsidR="00000089" w:rsidRPr="00181755">
        <w:rPr>
          <w:rFonts w:asciiTheme="minorHAnsi" w:hAnsiTheme="minorHAnsi"/>
        </w:rPr>
        <w:t>z</w:t>
      </w:r>
      <w:r w:rsidRPr="00181755">
        <w:rPr>
          <w:rFonts w:asciiTheme="minorHAnsi" w:hAnsiTheme="minorHAnsi"/>
        </w:rPr>
        <w:t xml:space="preserve"> </w:t>
      </w:r>
      <w:r w:rsidR="00000089" w:rsidRPr="00181755">
        <w:rPr>
          <w:rFonts w:asciiTheme="minorHAnsi" w:hAnsiTheme="minorHAnsi"/>
        </w:rPr>
        <w:t xml:space="preserve">ICAAP-ILAAP-BMA </w:t>
      </w:r>
      <w:r w:rsidRPr="00181755">
        <w:rPr>
          <w:rFonts w:asciiTheme="minorHAnsi" w:hAnsiTheme="minorHAnsi"/>
        </w:rPr>
        <w:t>vizsgálat számos elemére vonatkozóan eljárásrendet, következetes módszertant és megalapoz</w:t>
      </w:r>
      <w:r w:rsidR="00EB1BE0">
        <w:rPr>
          <w:rFonts w:asciiTheme="minorHAnsi" w:hAnsiTheme="minorHAnsi"/>
        </w:rPr>
        <w:t>ott álláspontot alakított ki. A kézikönyv</w:t>
      </w:r>
      <w:r w:rsidRPr="00181755">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77777777" w:rsidR="003F29E3" w:rsidRPr="00181755" w:rsidRDefault="003F29E3" w:rsidP="00181755">
      <w:pPr>
        <w:pStyle w:val="Cmsor2"/>
        <w:rPr>
          <w:rFonts w:asciiTheme="minorHAnsi" w:hAnsiTheme="minorHAnsi"/>
        </w:rPr>
      </w:pPr>
      <w:bookmarkStart w:id="45" w:name="_Toc462401907"/>
      <w:bookmarkStart w:id="46" w:name="_Toc462403028"/>
      <w:bookmarkStart w:id="47" w:name="_Toc462403351"/>
      <w:bookmarkStart w:id="48" w:name="_Toc468180470"/>
      <w:bookmarkStart w:id="49" w:name="_Toc468181003"/>
      <w:bookmarkStart w:id="50" w:name="_Toc468191405"/>
      <w:r w:rsidRPr="00181755">
        <w:rPr>
          <w:rFonts w:asciiTheme="minorHAnsi" w:hAnsiTheme="minorHAnsi"/>
        </w:rPr>
        <w:t>A tőkemegfelelés belső értékelési folyamata (ICAAP)</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6B1518C" w14:textId="52CFE71B" w:rsidR="003F29E3" w:rsidRPr="00181755" w:rsidRDefault="003F29E3" w:rsidP="00181755">
      <w:pPr>
        <w:rPr>
          <w:rFonts w:asciiTheme="minorHAnsi" w:hAnsiTheme="minorHAnsi"/>
        </w:rPr>
      </w:pPr>
      <w:r w:rsidRPr="00181755">
        <w:rPr>
          <w:rFonts w:asciiTheme="minorHAnsi" w:hAnsiTheme="minorHAnsi"/>
        </w:rPr>
        <w:t xml:space="preserve">A tőkekövetelmény meghatározásával kapcsolatos hazai és európai uniós szabályozás valamennyi hitelintézet és befektetési vállalkozás </w:t>
      </w:r>
      <w:r w:rsidR="00E66E05" w:rsidRPr="00181755">
        <w:rPr>
          <w:rFonts w:asciiTheme="minorHAnsi" w:hAnsiTheme="minorHAnsi"/>
        </w:rPr>
        <w:t>(a továbbiakban</w:t>
      </w:r>
      <w:r w:rsidR="00DA7581" w:rsidRPr="00181755">
        <w:rPr>
          <w:rFonts w:asciiTheme="minorHAnsi" w:hAnsiTheme="minorHAnsi"/>
        </w:rPr>
        <w:t>:</w:t>
      </w:r>
      <w:r w:rsidR="00E66E05" w:rsidRPr="00181755">
        <w:rPr>
          <w:rFonts w:asciiTheme="minorHAnsi" w:hAnsiTheme="minorHAnsi"/>
        </w:rPr>
        <w:t xml:space="preserve"> intézmények) </w:t>
      </w:r>
      <w:r w:rsidRPr="00181755">
        <w:rPr>
          <w:rFonts w:asciiTheme="minorHAnsi" w:hAnsiTheme="minorHAnsi"/>
        </w:rPr>
        <w:t>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181755">
        <w:rPr>
          <w:rStyle w:val="Lbjegyzet-hivatkozs"/>
          <w:rFonts w:asciiTheme="minorHAnsi" w:hAnsiTheme="minorHAnsi"/>
        </w:rPr>
        <w:footnoteReference w:id="6"/>
      </w:r>
      <w:r w:rsidRPr="00181755">
        <w:rPr>
          <w:rFonts w:asciiTheme="minorHAnsi" w:hAnsiTheme="minorHAnsi"/>
        </w:rPr>
        <w:t xml:space="preserve"> A tőkemegfelelés belső értékelési folyamata tehát azt hivatott biztosítani, hogy </w:t>
      </w:r>
    </w:p>
    <w:p w14:paraId="66B1518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181755" w:rsidRDefault="003F29E3" w:rsidP="00181755">
      <w:pPr>
        <w:pStyle w:val="felsorolsos"/>
        <w:rPr>
          <w:rFonts w:asciiTheme="minorHAnsi" w:hAnsiTheme="minorHAnsi"/>
        </w:rPr>
      </w:pPr>
      <w:r w:rsidRPr="00181755">
        <w:rPr>
          <w:rFonts w:asciiTheme="minorHAnsi" w:hAnsiTheme="minorHAnsi"/>
        </w:rPr>
        <w:t xml:space="preserve">ezek fedezetére elegendő </w:t>
      </w:r>
      <w:r w:rsidR="000D05C1" w:rsidRPr="00181755">
        <w:rPr>
          <w:rFonts w:asciiTheme="minorHAnsi" w:hAnsiTheme="minorHAnsi"/>
        </w:rPr>
        <w:t>–</w:t>
      </w:r>
      <w:r w:rsidRPr="00181755">
        <w:rPr>
          <w:rFonts w:asciiTheme="minorHAnsi" w:hAnsiTheme="minorHAnsi"/>
        </w:rPr>
        <w:t xml:space="preserve"> belső szabályok szerint meghatározott </w:t>
      </w:r>
      <w:r w:rsidR="000D05C1" w:rsidRPr="00181755">
        <w:rPr>
          <w:rFonts w:asciiTheme="minorHAnsi" w:hAnsiTheme="minorHAnsi"/>
        </w:rPr>
        <w:t>–</w:t>
      </w:r>
      <w:r w:rsidRPr="00181755">
        <w:rPr>
          <w:rFonts w:asciiTheme="minorHAnsi" w:hAnsiTheme="minorHAnsi"/>
        </w:rPr>
        <w:t xml:space="preserve"> tőkével rendelkezzen.</w:t>
      </w:r>
    </w:p>
    <w:p w14:paraId="66B1518F" w14:textId="506218AC" w:rsidR="003F29E3" w:rsidRPr="00181755" w:rsidRDefault="003F29E3" w:rsidP="00181755">
      <w:pPr>
        <w:rPr>
          <w:rFonts w:asciiTheme="minorHAnsi" w:hAnsiTheme="minorHAnsi"/>
        </w:rPr>
      </w:pPr>
      <w:r w:rsidRPr="00181755">
        <w:rPr>
          <w:rFonts w:asciiTheme="minorHAnsi" w:hAnsiTheme="minorHAnsi"/>
        </w:rPr>
        <w:t>A belső tőkeszámítási eljárás a CRD</w:t>
      </w:r>
      <w:r w:rsidR="00A82A54" w:rsidRPr="00181755">
        <w:rPr>
          <w:rFonts w:asciiTheme="minorHAnsi" w:hAnsiTheme="minorHAnsi"/>
        </w:rPr>
        <w:t xml:space="preserve"> IV</w:t>
      </w:r>
      <w:r w:rsidRPr="00181755">
        <w:rPr>
          <w:rFonts w:asciiTheme="minorHAnsi" w:hAnsiTheme="minorHAnsi"/>
        </w:rPr>
        <w:t xml:space="preserve"> hatálya alá tartozó valamennyi intézményre vonatkozik, alkalmazása a CRD szerinti minimum tőkekövetelmény-számítás bevezetésétől kezdve, azaz 2008. január 1-től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181755" w:rsidRDefault="003F29E3" w:rsidP="00181755">
      <w:pPr>
        <w:keepNext/>
        <w:rPr>
          <w:rFonts w:asciiTheme="minorHAnsi" w:hAnsiTheme="minorHAnsi"/>
        </w:rPr>
      </w:pPr>
      <w:r w:rsidRPr="00181755">
        <w:rPr>
          <w:rFonts w:asciiTheme="minorHAnsi" w:hAnsiTheme="minorHAnsi"/>
        </w:rPr>
        <w:t>A tőkemegfelelés belső értékelési folyamata az alábbi területeket foglalja magában:</w:t>
      </w:r>
    </w:p>
    <w:p w14:paraId="66B15191" w14:textId="77777777" w:rsidR="003F29E3" w:rsidRPr="00181755" w:rsidRDefault="003F29E3" w:rsidP="00181755">
      <w:pPr>
        <w:pStyle w:val="felsorolsos"/>
        <w:keepNext/>
        <w:rPr>
          <w:rFonts w:asciiTheme="minorHAnsi" w:hAnsiTheme="minorHAnsi"/>
        </w:rPr>
      </w:pPr>
      <w:r w:rsidRPr="00181755">
        <w:rPr>
          <w:rFonts w:asciiTheme="minorHAnsi" w:hAnsiTheme="minorHAnsi"/>
        </w:rPr>
        <w:t>átfogó kockázatelemzés, mely feltárja és értékeli az intézmény lényeges kockázatait;</w:t>
      </w:r>
    </w:p>
    <w:p w14:paraId="66B15192" w14:textId="77777777" w:rsidR="003F29E3" w:rsidRPr="00181755" w:rsidRDefault="003F29E3" w:rsidP="00181755">
      <w:pPr>
        <w:pStyle w:val="felsorolsos"/>
        <w:rPr>
          <w:rFonts w:asciiTheme="minorHAnsi" w:hAnsiTheme="minorHAnsi"/>
        </w:rPr>
      </w:pPr>
      <w:r w:rsidRPr="00181755">
        <w:rPr>
          <w:rFonts w:asciiTheme="minorHAnsi" w:hAnsiTheme="minorHAnsi"/>
        </w:rPr>
        <w:t>megalapozott tőkeelemzés, mely számszerűsíti a kockázatok mértékét és meghatározza a kockázat</w:t>
      </w:r>
      <w:r w:rsidRPr="00181755">
        <w:rPr>
          <w:rFonts w:asciiTheme="minorHAnsi" w:hAnsiTheme="minorHAnsi"/>
          <w:lang w:val="hu-HU"/>
        </w:rPr>
        <w:t>ok fedezéséhez szükséges</w:t>
      </w:r>
      <w:r w:rsidRPr="00181755">
        <w:rPr>
          <w:rFonts w:asciiTheme="minorHAnsi" w:hAnsiTheme="minorHAnsi"/>
        </w:rPr>
        <w:t xml:space="preserve"> tőke szintjét;</w:t>
      </w:r>
    </w:p>
    <w:p w14:paraId="66B15193" w14:textId="2C963D0A"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181755" w:rsidRDefault="003F29E3" w:rsidP="00181755">
      <w:pPr>
        <w:pStyle w:val="felsorolsos"/>
        <w:rPr>
          <w:rFonts w:asciiTheme="minorHAnsi" w:hAnsiTheme="minorHAnsi"/>
        </w:rPr>
      </w:pPr>
      <w:r w:rsidRPr="00181755">
        <w:rPr>
          <w:rFonts w:asciiTheme="minorHAnsi" w:hAnsiTheme="minorHAnsi"/>
        </w:rPr>
        <w:t>megfelelő belső ellenőrzési mechanizmusok kiépítése, független belső felülvizsgálat biztosítása.</w:t>
      </w:r>
    </w:p>
    <w:p w14:paraId="66B15196" w14:textId="3BAE27CC" w:rsidR="003F29E3" w:rsidRPr="00181755" w:rsidRDefault="00EB1BE0" w:rsidP="00181755">
      <w:pPr>
        <w:rPr>
          <w:rFonts w:asciiTheme="minorHAnsi" w:hAnsiTheme="minorHAnsi"/>
        </w:rPr>
      </w:pPr>
      <w:r>
        <w:rPr>
          <w:rFonts w:asciiTheme="minorHAnsi" w:hAnsiTheme="minorHAnsi"/>
        </w:rPr>
        <w:t>A</w:t>
      </w:r>
      <w:r w:rsidR="003F29E3" w:rsidRPr="00181755">
        <w:rPr>
          <w:rFonts w:asciiTheme="minorHAnsi" w:hAnsiTheme="minorHAnsi"/>
        </w:rPr>
        <w:t xml:space="preserve"> </w:t>
      </w:r>
      <w:r>
        <w:rPr>
          <w:rFonts w:asciiTheme="minorHAnsi" w:hAnsiTheme="minorHAnsi"/>
        </w:rPr>
        <w:t>kézikönyv</w:t>
      </w:r>
      <w:r w:rsidR="003F29E3" w:rsidRPr="00181755">
        <w:rPr>
          <w:rFonts w:asciiTheme="minorHAnsi" w:hAnsiTheme="minorHAnsi"/>
        </w:rPr>
        <w:t xml:space="preserve"> központi fogalmai </w:t>
      </w:r>
      <w:r w:rsidR="00644A5F" w:rsidRPr="00181755">
        <w:rPr>
          <w:rFonts w:asciiTheme="minorHAnsi" w:hAnsiTheme="minorHAnsi"/>
        </w:rPr>
        <w:t xml:space="preserve">az ICAAP vonatkozásában </w:t>
      </w:r>
      <w:r w:rsidR="003F29E3" w:rsidRPr="00181755">
        <w:rPr>
          <w:rFonts w:asciiTheme="minorHAnsi" w:hAnsiTheme="minorHAnsi"/>
        </w:rPr>
        <w:t>a tőke és a kockázat. A jelenleg érvényes szabályozás az intézmény tőkével való ellátottságát alapvetően a nem várt veszteségek fedezése céljából kívánja meg</w:t>
      </w:r>
      <w:r w:rsidR="003F29E3" w:rsidRPr="00181755">
        <w:rPr>
          <w:rStyle w:val="Lbjegyzet-hivatkozs"/>
          <w:rFonts w:asciiTheme="minorHAnsi" w:hAnsiTheme="minorHAnsi"/>
        </w:rPr>
        <w:footnoteReference w:id="7"/>
      </w:r>
      <w:r w:rsidR="003F29E3" w:rsidRPr="00181755">
        <w:rPr>
          <w:rFonts w:asciiTheme="minorHAnsi" w:hAnsiTheme="minorHAnsi"/>
        </w:rPr>
        <w:t>, amely mintegy állandó biztosítékként lehetővé teszi az intézmény prudens működését minden szokványosnak tekinthető üzleti és gazdasági helyzetben</w:t>
      </w:r>
      <w:r w:rsidR="003F29E3" w:rsidRPr="00181755">
        <w:rPr>
          <w:rStyle w:val="Lbjegyzet-hivatkozs"/>
          <w:rFonts w:asciiTheme="minorHAnsi" w:hAnsiTheme="minorHAnsi"/>
        </w:rPr>
        <w:footnoteReference w:id="8"/>
      </w:r>
      <w:r w:rsidR="00B16C16" w:rsidRPr="00181755">
        <w:rPr>
          <w:rFonts w:asciiTheme="minorHAnsi" w:hAnsiTheme="minorHAnsi"/>
        </w:rPr>
        <w:t>.</w:t>
      </w:r>
      <w:r w:rsidR="003F29E3" w:rsidRPr="00181755">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77777777" w:rsidR="003F29E3" w:rsidRPr="00181755" w:rsidRDefault="003F29E3" w:rsidP="00181755">
      <w:pPr>
        <w:rPr>
          <w:rFonts w:asciiTheme="minorHAnsi" w:hAnsiTheme="minorHAnsi"/>
        </w:rPr>
      </w:pPr>
      <w:r w:rsidRPr="00181755">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1CC854FD" w:rsidR="003F29E3" w:rsidRPr="00181755" w:rsidRDefault="003F29E3" w:rsidP="00181755">
      <w:pPr>
        <w:rPr>
          <w:rFonts w:asciiTheme="minorHAnsi" w:hAnsiTheme="minorHAnsi"/>
        </w:rPr>
      </w:pPr>
      <w:r w:rsidRPr="00181755">
        <w:rPr>
          <w:rFonts w:asciiTheme="minorHAnsi" w:hAnsiTheme="minorHAnsi"/>
        </w:rPr>
        <w:t xml:space="preserve">A tőkemegfelelés számításakor az összes kockázati típust lefedő, aggregált gazdasági tőkeszükségletet az intézmények korábban olyan forráselemekkel is összevethették, melyeket a szabályozói (1. pilléres) tőkefogalom nem tartalmazott (pl. a jövőbeli eredmény). 2015. január 1-étől az MNB már csak a szabályozói (1. pilléres) szavatoló tőkét fogadja el a kockázatok fedezésére rendelkezésre álló tőkeként a SREP tőkemegfelelés számítása során. </w:t>
      </w:r>
      <w:r w:rsidR="00A61167" w:rsidRPr="00181755">
        <w:rPr>
          <w:rFonts w:asciiTheme="minorHAnsi" w:hAnsiTheme="minorHAnsi"/>
        </w:rPr>
        <w:t xml:space="preserve">Az </w:t>
      </w:r>
      <w:r w:rsidR="00461900" w:rsidRPr="00181755">
        <w:rPr>
          <w:rFonts w:asciiTheme="minorHAnsi" w:hAnsiTheme="minorHAnsi"/>
        </w:rPr>
        <w:t>EBA SREP Ajánlásnak</w:t>
      </w:r>
      <w:r w:rsidRPr="00181755">
        <w:rPr>
          <w:rFonts w:asciiTheme="minorHAnsi" w:hAnsiTheme="minorHAnsi"/>
        </w:rPr>
        <w:t xml:space="preserve"> megfelelően további lényeges változás</w:t>
      </w:r>
      <w:r w:rsidR="00A61167" w:rsidRPr="00181755">
        <w:rPr>
          <w:rFonts w:asciiTheme="minorHAnsi" w:hAnsiTheme="minorHAnsi"/>
        </w:rPr>
        <w:t xml:space="preserve"> a </w:t>
      </w:r>
      <w:r w:rsidR="0059569A" w:rsidRPr="00181755">
        <w:rPr>
          <w:rFonts w:asciiTheme="minorHAnsi" w:hAnsiTheme="minorHAnsi"/>
        </w:rPr>
        <w:t>2015. év előtti</w:t>
      </w:r>
      <w:r w:rsidR="00A61167" w:rsidRPr="00181755">
        <w:rPr>
          <w:rFonts w:asciiTheme="minorHAnsi" w:hAnsiTheme="minorHAnsi"/>
        </w:rPr>
        <w:t>gyakorlathoz képest</w:t>
      </w:r>
      <w:r w:rsidRPr="00181755">
        <w:rPr>
          <w:rFonts w:asciiTheme="minorHAnsi" w:hAnsiTheme="minorHAnsi"/>
        </w:rPr>
        <w:t>, hogy a kockázatok közötti diverzifikáció nem vehető figyelembe</w:t>
      </w:r>
      <w:r w:rsidRPr="00181755">
        <w:rPr>
          <w:rFonts w:asciiTheme="minorHAnsi" w:hAnsiTheme="minorHAnsi"/>
          <w:b/>
        </w:rPr>
        <w:t xml:space="preserve"> </w:t>
      </w:r>
      <w:r w:rsidRPr="00181755">
        <w:rPr>
          <w:rFonts w:asciiTheme="minorHAnsi" w:hAnsiTheme="minorHAnsi"/>
        </w:rPr>
        <w:t>a 2. pilléres tőkekövetelmény megállapítása során.</w:t>
      </w:r>
    </w:p>
    <w:p w14:paraId="66B15199" w14:textId="20226B3E" w:rsidR="003F29E3" w:rsidRPr="00181755" w:rsidRDefault="003F29E3" w:rsidP="00181755">
      <w:pPr>
        <w:rPr>
          <w:rFonts w:asciiTheme="minorHAnsi" w:hAnsiTheme="minorHAnsi"/>
        </w:rPr>
      </w:pPr>
      <w:r w:rsidRPr="00181755">
        <w:rPr>
          <w:rFonts w:asciiTheme="minorHAnsi" w:hAnsiTheme="minorHAnsi"/>
        </w:rPr>
        <w:t>A</w:t>
      </w:r>
      <w:r w:rsidR="00E66E05" w:rsidRPr="00181755">
        <w:rPr>
          <w:rFonts w:asciiTheme="minorHAnsi" w:hAnsiTheme="minorHAnsi"/>
        </w:rPr>
        <w:t>z</w:t>
      </w:r>
      <w:r w:rsidRPr="00181755">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Mivel a 2. pillérben az intézménynek az összes releváns kockázati típusára </w:t>
      </w:r>
      <w:r w:rsidR="00E66E05" w:rsidRPr="00181755">
        <w:rPr>
          <w:rFonts w:asciiTheme="minorHAnsi" w:hAnsiTheme="minorHAnsi"/>
        </w:rPr>
        <w:t xml:space="preserve">(1. pillérben nem kezelt kockázatokra is, pl.: kockázatos portfóliókra, koncentrációs kockázatra) </w:t>
      </w:r>
      <w:r w:rsidRPr="00181755">
        <w:rPr>
          <w:rFonts w:asciiTheme="minorHAnsi" w:hAnsiTheme="minorHAnsi"/>
        </w:rPr>
        <w:t>vonatkozóan tőkekövetelményt kell meghatároznia,</w:t>
      </w:r>
      <w:r w:rsidR="004E44B0" w:rsidRPr="00181755">
        <w:rPr>
          <w:rFonts w:asciiTheme="minorHAnsi" w:hAnsiTheme="minorHAnsi"/>
        </w:rPr>
        <w:t xml:space="preserve"> és az 1. pilléres kockázatokra kockázatonként és összesítetten is a minimum tőkeszint a</w:t>
      </w:r>
      <w:r w:rsidR="006B43F2" w:rsidRPr="00181755">
        <w:rPr>
          <w:rFonts w:asciiTheme="minorHAnsi" w:hAnsiTheme="minorHAnsi"/>
        </w:rPr>
        <w:t xml:space="preserve"> </w:t>
      </w:r>
      <w:r w:rsidR="004E44B0" w:rsidRPr="00181755">
        <w:rPr>
          <w:rFonts w:asciiTheme="minorHAnsi" w:hAnsiTheme="minorHAnsi"/>
        </w:rPr>
        <w:t>CRR</w:t>
      </w:r>
      <w:r w:rsidR="006B43F2" w:rsidRPr="00181755">
        <w:rPr>
          <w:rFonts w:asciiTheme="minorHAnsi" w:hAnsiTheme="minorHAnsi"/>
        </w:rPr>
        <w:t>-ben</w:t>
      </w:r>
      <w:r w:rsidR="004E44B0" w:rsidRPr="00181755">
        <w:rPr>
          <w:rFonts w:asciiTheme="minorHAnsi" w:hAnsiTheme="minorHAnsi"/>
        </w:rPr>
        <w:t xml:space="preserve"> meghatározott szabályozói tőke, az itt nem szabályozott kockázatokra számított további tőkekövetelmény miatt</w:t>
      </w:r>
      <w:r w:rsidRPr="00181755">
        <w:rPr>
          <w:rFonts w:asciiTheme="minorHAnsi" w:hAnsiTheme="minorHAnsi"/>
        </w:rPr>
        <w:t xml:space="preserve"> a belső tőkeszámítás eredménye </w:t>
      </w:r>
      <w:r w:rsidR="006B43F2" w:rsidRPr="00181755">
        <w:rPr>
          <w:rFonts w:asciiTheme="minorHAnsi" w:hAnsiTheme="minorHAnsi"/>
        </w:rPr>
        <w:t xml:space="preserve">jellemzően </w:t>
      </w:r>
      <w:r w:rsidRPr="00181755">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181755">
        <w:rPr>
          <w:rFonts w:asciiTheme="minorHAnsi" w:hAnsiTheme="minorHAnsi"/>
        </w:rPr>
        <w:t>kerüljön megállapításra</w:t>
      </w:r>
      <w:r w:rsidRPr="00181755">
        <w:rPr>
          <w:rFonts w:asciiTheme="minorHAnsi" w:hAnsiTheme="minorHAnsi"/>
        </w:rPr>
        <w:t xml:space="preserve">. </w:t>
      </w:r>
      <w:r w:rsidR="00F842DE" w:rsidRPr="00181755">
        <w:rPr>
          <w:rFonts w:asciiTheme="minorHAnsi" w:hAnsiTheme="minorHAnsi"/>
        </w:rPr>
        <w:t xml:space="preserve">Előfordulhat, hogy az 1. pilléres kockázatokra a 2. pillérben a belső tőkeszükséglet számítás alacsonyabb tőkeszükségletet eredményez, ebben az esetben a 2. pilléres tőkeszükséglet </w:t>
      </w:r>
      <w:r w:rsidR="00644305" w:rsidRPr="00181755">
        <w:rPr>
          <w:rFonts w:asciiTheme="minorHAnsi" w:hAnsiTheme="minorHAnsi"/>
        </w:rPr>
        <w:t xml:space="preserve">kockázatonkénti </w:t>
      </w:r>
      <w:r w:rsidR="00F842DE" w:rsidRPr="00181755">
        <w:rPr>
          <w:rFonts w:asciiTheme="minorHAnsi" w:hAnsiTheme="minorHAnsi"/>
        </w:rPr>
        <w:t xml:space="preserve">minimuma a </w:t>
      </w:r>
      <w:r w:rsidR="004E44B0" w:rsidRPr="00181755">
        <w:rPr>
          <w:rFonts w:asciiTheme="minorHAnsi" w:hAnsiTheme="minorHAnsi"/>
        </w:rPr>
        <w:t xml:space="preserve">CRR szerinti </w:t>
      </w:r>
      <w:r w:rsidR="00F842DE" w:rsidRPr="00181755">
        <w:rPr>
          <w:rFonts w:asciiTheme="minorHAnsi" w:hAnsiTheme="minorHAnsi"/>
        </w:rPr>
        <w:t>szabályozói tőke</w:t>
      </w:r>
      <w:r w:rsidR="00E66E05" w:rsidRPr="00181755">
        <w:rPr>
          <w:rFonts w:asciiTheme="minorHAnsi" w:hAnsiTheme="minorHAnsi"/>
        </w:rPr>
        <w:t xml:space="preserve"> (Pillér 1+ módszer, lásd részletesebben a tőkeszükséglet meghatározásáról szóló fejezetben)</w:t>
      </w:r>
      <w:r w:rsidR="00F842DE" w:rsidRPr="00181755">
        <w:rPr>
          <w:rFonts w:asciiTheme="minorHAnsi" w:hAnsiTheme="minorHAnsi"/>
        </w:rPr>
        <w:t xml:space="preserve">. </w:t>
      </w:r>
      <w:r w:rsidRPr="00181755">
        <w:rPr>
          <w:rFonts w:asciiTheme="minorHAnsi" w:hAnsiTheme="minorHAnsi"/>
        </w:rPr>
        <w:t>A 2. pillérben a többlet</w:t>
      </w:r>
      <w:r w:rsidR="003C6A4E" w:rsidRPr="00181755">
        <w:rPr>
          <w:rFonts w:asciiTheme="minorHAnsi" w:hAnsiTheme="minorHAnsi"/>
        </w:rPr>
        <w:t>-</w:t>
      </w:r>
      <w:r w:rsidRPr="00181755">
        <w:rPr>
          <w:rFonts w:asciiTheme="minorHAnsi" w:hAnsiTheme="minorHAnsi"/>
        </w:rPr>
        <w:t xml:space="preserve">tőkekövetelmény szükségességét a felügyeleti felülvizsgálat során </w:t>
      </w:r>
      <w:r w:rsidR="006B43F2" w:rsidRPr="00181755">
        <w:rPr>
          <w:rFonts w:asciiTheme="minorHAnsi" w:hAnsiTheme="minorHAnsi"/>
        </w:rPr>
        <w:t xml:space="preserve">szintén </w:t>
      </w:r>
      <w:r w:rsidRPr="00181755">
        <w:rPr>
          <w:rFonts w:asciiTheme="minorHAnsi" w:hAnsiTheme="minorHAnsi"/>
        </w:rPr>
        <w:t xml:space="preserve">kockázatonként ítéli meg az MNB. </w:t>
      </w:r>
    </w:p>
    <w:p w14:paraId="66B1519A" w14:textId="77777777" w:rsidR="003F29E3" w:rsidRPr="00181755" w:rsidRDefault="003F29E3" w:rsidP="00181755">
      <w:pPr>
        <w:rPr>
          <w:rFonts w:asciiTheme="minorHAnsi" w:hAnsiTheme="minorHAnsi"/>
        </w:rPr>
      </w:pPr>
      <w:r w:rsidRPr="00181755">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az a tudatosabb, hatékonyabb kockázatkezelési technikák és belső eljárások alkalmazása révén, az intézmény kockázatainak pontosabb feltárása, mérése és jobb kezelése érdekében gyakorol. </w:t>
      </w:r>
      <w:r w:rsidR="00C26F9A" w:rsidRPr="00181755">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méretük, tevékenységük jellege, nagyságrendje és összetettsége függvényében. </w:t>
      </w:r>
      <w:r w:rsidRPr="00181755">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181755" w:rsidRDefault="003F29E3" w:rsidP="00181755">
      <w:pPr>
        <w:pStyle w:val="Cmsor3"/>
        <w:rPr>
          <w:rFonts w:asciiTheme="minorHAnsi" w:hAnsiTheme="minorHAnsi"/>
        </w:rPr>
      </w:pPr>
      <w:bookmarkStart w:id="51" w:name="_Toc462401908"/>
      <w:bookmarkStart w:id="52" w:name="_Toc462403029"/>
      <w:bookmarkStart w:id="53" w:name="_Toc462403352"/>
      <w:bookmarkStart w:id="54" w:name="_Toc462403781"/>
      <w:bookmarkStart w:id="55" w:name="_Toc462645649"/>
      <w:bookmarkStart w:id="56" w:name="_Toc468180471"/>
      <w:bookmarkStart w:id="57" w:name="_Toc468181004"/>
      <w:bookmarkStart w:id="58" w:name="_Toc468181005"/>
      <w:bookmarkStart w:id="59" w:name="_Toc461095160"/>
      <w:bookmarkStart w:id="60" w:name="_Toc461179193"/>
      <w:bookmarkStart w:id="61" w:name="_Toc461179815"/>
      <w:bookmarkStart w:id="62" w:name="_Toc461197734"/>
      <w:bookmarkStart w:id="63" w:name="_Toc461201258"/>
      <w:bookmarkStart w:id="64" w:name="_Toc461547880"/>
      <w:bookmarkStart w:id="65" w:name="_Toc462401909"/>
      <w:bookmarkStart w:id="66" w:name="_Toc462403030"/>
      <w:bookmarkStart w:id="67" w:name="_Toc462403353"/>
      <w:bookmarkStart w:id="68" w:name="_Toc468180472"/>
      <w:bookmarkStart w:id="69" w:name="_Toc378256223"/>
      <w:bookmarkStart w:id="70" w:name="_Toc378592031"/>
      <w:bookmarkStart w:id="71" w:name="_Toc468191406"/>
      <w:bookmarkEnd w:id="51"/>
      <w:bookmarkEnd w:id="52"/>
      <w:bookmarkEnd w:id="53"/>
      <w:bookmarkEnd w:id="54"/>
      <w:bookmarkEnd w:id="55"/>
      <w:bookmarkEnd w:id="56"/>
      <w:bookmarkEnd w:id="57"/>
      <w:r w:rsidRPr="00181755">
        <w:rPr>
          <w:rFonts w:asciiTheme="minorHAnsi" w:hAnsiTheme="minorHAnsi"/>
        </w:rPr>
        <w:t xml:space="preserve">Az ICAAP kialakítására vonatkozó </w:t>
      </w:r>
      <w:r w:rsidRPr="00181755">
        <w:rPr>
          <w:rFonts w:asciiTheme="minorHAnsi" w:hAnsiTheme="minorHAnsi"/>
          <w:i w:val="0"/>
        </w:rPr>
        <w:t>felügyeleti</w:t>
      </w:r>
      <w:r w:rsidRPr="00181755">
        <w:rPr>
          <w:rFonts w:asciiTheme="minorHAnsi" w:hAnsiTheme="minorHAnsi"/>
        </w:rPr>
        <w:t xml:space="preserve"> </w:t>
      </w:r>
      <w:r w:rsidR="006B43F2" w:rsidRPr="00181755">
        <w:rPr>
          <w:rFonts w:asciiTheme="minorHAnsi" w:hAnsiTheme="minorHAnsi"/>
          <w:i w:val="0"/>
        </w:rPr>
        <w:t>alapelvek</w:t>
      </w:r>
      <w:bookmarkStart w:id="72" w:name="_Toc46818100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6B1519E" w14:textId="20AB2A32" w:rsidR="003F29E3" w:rsidRPr="00181755" w:rsidRDefault="003F29E3" w:rsidP="00181755">
      <w:pPr>
        <w:rPr>
          <w:rFonts w:asciiTheme="minorHAnsi" w:hAnsiTheme="minorHAnsi"/>
        </w:rPr>
      </w:pPr>
      <w:r w:rsidRPr="00181755">
        <w:rPr>
          <w:rFonts w:asciiTheme="minorHAnsi" w:hAnsiTheme="minorHAnsi"/>
        </w:rPr>
        <w:t xml:space="preserve">Az alábbiakban </w:t>
      </w:r>
      <w:r w:rsidR="00A61167" w:rsidRPr="00181755">
        <w:rPr>
          <w:rFonts w:asciiTheme="minorHAnsi" w:hAnsiTheme="minorHAnsi"/>
        </w:rPr>
        <w:t>az</w:t>
      </w:r>
      <w:r w:rsidRPr="00181755">
        <w:rPr>
          <w:rFonts w:asciiTheme="minorHAnsi" w:hAnsiTheme="minorHAnsi"/>
        </w:rPr>
        <w:t xml:space="preserve"> </w:t>
      </w:r>
      <w:r w:rsidR="0059569A" w:rsidRPr="00181755">
        <w:rPr>
          <w:rFonts w:asciiTheme="minorHAnsi" w:hAnsiTheme="minorHAnsi"/>
        </w:rPr>
        <w:t>európai szinten megfogalmazott</w:t>
      </w:r>
      <w:r w:rsidRPr="00181755">
        <w:rPr>
          <w:rFonts w:asciiTheme="minorHAnsi" w:hAnsiTheme="minorHAnsi"/>
        </w:rPr>
        <w:t xml:space="preserve"> általános ICAAP alapelvek </w:t>
      </w:r>
      <w:r w:rsidR="006B43F2" w:rsidRPr="00181755">
        <w:rPr>
          <w:rFonts w:asciiTheme="minorHAnsi" w:hAnsiTheme="minorHAnsi"/>
        </w:rPr>
        <w:t>–</w:t>
      </w:r>
      <w:r w:rsidR="0059569A" w:rsidRPr="00181755">
        <w:rPr>
          <w:rFonts w:asciiTheme="minorHAnsi" w:hAnsiTheme="minorHAnsi"/>
        </w:rPr>
        <w:t xml:space="preserve"> kiegészülve az MNB rendelkezésére álló tapasztalatokkal </w:t>
      </w:r>
      <w:r w:rsidR="006B43F2" w:rsidRPr="00181755">
        <w:rPr>
          <w:rFonts w:asciiTheme="minorHAnsi" w:hAnsiTheme="minorHAnsi"/>
        </w:rPr>
        <w:t>–</w:t>
      </w:r>
      <w:r w:rsidRPr="00181755">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181755" w:rsidRDefault="003F29E3" w:rsidP="00181755">
      <w:pPr>
        <w:ind w:left="284"/>
        <w:rPr>
          <w:rFonts w:asciiTheme="minorHAnsi" w:hAnsiTheme="minorHAnsi"/>
        </w:rPr>
      </w:pPr>
      <w:r w:rsidRPr="00181755">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2: Az ICAAP-ért az adott intézmény viseli a felelősséget.</w:t>
      </w:r>
    </w:p>
    <w:p w14:paraId="66B151A2" w14:textId="786A1921" w:rsidR="003F29E3" w:rsidRPr="00181755" w:rsidRDefault="003F29E3" w:rsidP="00181755">
      <w:pPr>
        <w:ind w:left="284"/>
        <w:rPr>
          <w:rFonts w:asciiTheme="minorHAnsi" w:hAnsiTheme="minorHAnsi"/>
        </w:rPr>
      </w:pPr>
      <w:r w:rsidRPr="00181755">
        <w:rPr>
          <w:rFonts w:asciiTheme="minorHAnsi" w:hAnsiTheme="minorHAnsi"/>
        </w:rPr>
        <w:t xml:space="preserve">Az intézmény kockázati profiljának és a működési környezetének megfelelő ICAAP eljárás kidolgozása és a tőkecélok </w:t>
      </w:r>
      <w:r w:rsidR="00644A5F" w:rsidRPr="00181755">
        <w:rPr>
          <w:rFonts w:asciiTheme="minorHAnsi" w:hAnsiTheme="minorHAnsi"/>
        </w:rPr>
        <w:t xml:space="preserve">belső </w:t>
      </w:r>
      <w:r w:rsidRPr="00181755">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181755">
        <w:rPr>
          <w:rFonts w:asciiTheme="minorHAnsi" w:hAnsiTheme="minorHAnsi"/>
        </w:rPr>
        <w:t>e</w:t>
      </w:r>
      <w:r w:rsidRPr="00181755">
        <w:rPr>
          <w:rFonts w:asciiTheme="minorHAnsi" w:hAnsiTheme="minorHAnsi"/>
        </w:rPr>
        <w:t xml:space="preserve"> a felügyeleti elvárásoknak is. Az ICAAP-ért való felelősség ugyanakkor a kiszervezett tevékenységekre való tekintet nélkül to</w:t>
      </w:r>
      <w:r w:rsidR="00B16C16" w:rsidRPr="00181755">
        <w:rPr>
          <w:rFonts w:asciiTheme="minorHAnsi" w:hAnsiTheme="minorHAnsi"/>
        </w:rPr>
        <w:t>vábbra is az intézményt terheli.</w:t>
      </w:r>
      <w:r w:rsidRPr="00181755">
        <w:rPr>
          <w:rFonts w:asciiTheme="minorHAnsi" w:hAnsiTheme="minorHAnsi"/>
          <w:vertAlign w:val="superscript"/>
        </w:rPr>
        <w:footnoteReference w:id="9"/>
      </w:r>
    </w:p>
    <w:p w14:paraId="66B151A3" w14:textId="1952F104" w:rsidR="003F29E3" w:rsidRPr="00181755" w:rsidRDefault="003F29E3" w:rsidP="00181755">
      <w:pPr>
        <w:ind w:left="284"/>
        <w:rPr>
          <w:rFonts w:asciiTheme="minorHAnsi" w:hAnsiTheme="minorHAnsi"/>
        </w:rPr>
      </w:pPr>
      <w:r w:rsidRPr="00181755">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181755">
        <w:rPr>
          <w:rFonts w:asciiTheme="minorHAnsi" w:hAnsiTheme="minorHAnsi"/>
        </w:rPr>
        <w:t>, valamint igazolnia kell az MNB felé a csoport módszertan kockázati profilnak való megfelelését</w:t>
      </w:r>
      <w:r w:rsidRPr="00181755">
        <w:rPr>
          <w:rFonts w:asciiTheme="minorHAnsi" w:hAnsiTheme="minorHAnsi"/>
        </w:rPr>
        <w:t>. Elvárt továbbá az is, hogy az intézmény a csoport módszertant teljeskörűen és részletesen is ismerje és az adott módszer, modell alkalmazása előtt vizsgálja és évente ellenőrizze annak helyi körülmények között való alkalmazhatóságát.</w:t>
      </w:r>
    </w:p>
    <w:p w14:paraId="66B151A4"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181755" w:rsidRDefault="003F29E3" w:rsidP="00181755">
      <w:pPr>
        <w:ind w:left="284"/>
        <w:rPr>
          <w:rFonts w:asciiTheme="minorHAnsi" w:hAnsiTheme="minorHAnsi"/>
        </w:rPr>
      </w:pPr>
      <w:r w:rsidRPr="00181755">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1DF4DAD5" w:rsidR="003F29E3" w:rsidRPr="00181755" w:rsidRDefault="003F29E3" w:rsidP="00181755">
      <w:pPr>
        <w:ind w:left="284"/>
        <w:rPr>
          <w:rFonts w:asciiTheme="minorHAnsi" w:hAnsiTheme="minorHAnsi"/>
        </w:rPr>
      </w:pPr>
      <w:r w:rsidRPr="00181755">
        <w:rPr>
          <w:rFonts w:asciiTheme="minorHAnsi" w:hAnsiTheme="minorHAnsi"/>
        </w:rPr>
        <w:t xml:space="preserve">A vezető testület (mind a felvigyázói, mind pedig irányítási funkciójában) felel a tőketervezés és 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181755">
        <w:rPr>
          <w:rFonts w:asciiTheme="minorHAnsi" w:hAnsiTheme="minorHAnsi"/>
        </w:rPr>
        <w:t xml:space="preserve">rendszeresen </w:t>
      </w:r>
      <w:r w:rsidRPr="00181755">
        <w:rPr>
          <w:rFonts w:asciiTheme="minorHAnsi" w:hAnsiTheme="minorHAnsi"/>
        </w:rPr>
        <w:t>felülvizsgál.</w:t>
      </w:r>
    </w:p>
    <w:p w14:paraId="66B151A7" w14:textId="77777777" w:rsidR="003F29E3" w:rsidRPr="00181755" w:rsidRDefault="003F29E3" w:rsidP="00181755">
      <w:pPr>
        <w:ind w:left="284"/>
        <w:rPr>
          <w:rFonts w:asciiTheme="minorHAnsi" w:hAnsiTheme="minorHAnsi"/>
        </w:rPr>
      </w:pPr>
      <w:r w:rsidRPr="00181755">
        <w:rPr>
          <w:rFonts w:asciiTheme="minorHAnsi" w:hAnsiTheme="minorHAnsi"/>
        </w:rPr>
        <w:t xml:space="preserve">Az ICAAP eredményének meg kell jelennie a vezető testületnek szóló jelentésekben. </w:t>
      </w:r>
    </w:p>
    <w:p w14:paraId="66B151A8" w14:textId="77777777" w:rsidR="003F29E3" w:rsidRPr="00181755" w:rsidRDefault="003F29E3" w:rsidP="00181755">
      <w:pPr>
        <w:rPr>
          <w:rFonts w:asciiTheme="minorHAnsi" w:hAnsiTheme="minorHAnsi"/>
          <w:b/>
        </w:rPr>
      </w:pPr>
      <w:r w:rsidRPr="00181755">
        <w:rPr>
          <w:rFonts w:asciiTheme="minorHAnsi" w:hAnsiTheme="minorHAnsi"/>
          <w:b/>
        </w:rPr>
        <w:t>ICAAP 4: Az ICAAP az intézmény irányítási és döntéshozatali folyamatainak integrált részét kell, hogy képezze.</w:t>
      </w:r>
    </w:p>
    <w:p w14:paraId="66B151A9" w14:textId="77777777" w:rsidR="003F29E3" w:rsidRPr="00181755" w:rsidRDefault="003F29E3" w:rsidP="00181755">
      <w:pPr>
        <w:ind w:left="284"/>
        <w:rPr>
          <w:rFonts w:asciiTheme="minorHAnsi" w:hAnsiTheme="minorHAnsi"/>
        </w:rPr>
      </w:pPr>
      <w:r w:rsidRPr="00181755">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181755" w:rsidRDefault="003F29E3" w:rsidP="00181755">
      <w:pPr>
        <w:rPr>
          <w:rFonts w:asciiTheme="minorHAnsi" w:hAnsiTheme="minorHAnsi"/>
          <w:b/>
        </w:rPr>
      </w:pPr>
      <w:r w:rsidRPr="00181755">
        <w:rPr>
          <w:rFonts w:asciiTheme="minorHAnsi" w:hAnsiTheme="minorHAnsi"/>
          <w:b/>
        </w:rPr>
        <w:t xml:space="preserve">ICAAP 5: Mivel az ICAAP folyamatokra, eljárásokra épül, ezért a megfelelő működést rendszeresen </w:t>
      </w:r>
      <w:r w:rsidR="002F35E0" w:rsidRPr="00181755">
        <w:rPr>
          <w:rFonts w:asciiTheme="minorHAnsi" w:hAnsiTheme="minorHAnsi"/>
          <w:b/>
        </w:rPr>
        <w:t>–</w:t>
      </w:r>
      <w:r w:rsidRPr="00181755">
        <w:rPr>
          <w:rFonts w:asciiTheme="minorHAnsi" w:hAnsiTheme="minorHAnsi"/>
          <w:b/>
        </w:rPr>
        <w:t xml:space="preserve"> legálabb évente egyszer </w:t>
      </w:r>
      <w:r w:rsidR="002F35E0" w:rsidRPr="00181755">
        <w:rPr>
          <w:rFonts w:asciiTheme="minorHAnsi" w:hAnsiTheme="minorHAnsi"/>
          <w:b/>
        </w:rPr>
        <w:t>–</w:t>
      </w:r>
      <w:r w:rsidRPr="00181755">
        <w:rPr>
          <w:rFonts w:asciiTheme="minorHAnsi" w:hAnsiTheme="minorHAnsi"/>
          <w:b/>
        </w:rPr>
        <w:t xml:space="preserve"> felül kell vizsgálni.</w:t>
      </w:r>
    </w:p>
    <w:p w14:paraId="66B151AB" w14:textId="77777777" w:rsidR="003F29E3" w:rsidRPr="00181755" w:rsidRDefault="003F29E3" w:rsidP="00181755">
      <w:pPr>
        <w:ind w:left="284"/>
        <w:rPr>
          <w:rFonts w:asciiTheme="minorHAnsi" w:hAnsiTheme="minorHAnsi"/>
        </w:rPr>
      </w:pPr>
      <w:r w:rsidRPr="00181755">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181755" w:rsidRDefault="003F29E3" w:rsidP="00181755">
      <w:pPr>
        <w:ind w:left="284"/>
        <w:rPr>
          <w:rFonts w:asciiTheme="minorHAnsi" w:hAnsiTheme="minorHAnsi"/>
        </w:rPr>
      </w:pPr>
      <w:r w:rsidRPr="00181755">
        <w:rPr>
          <w:rFonts w:asciiTheme="minorHAnsi" w:hAnsiTheme="minorHAnsi"/>
        </w:rPr>
        <w:t xml:space="preserve">A tőkemegfelelés belső </w:t>
      </w:r>
      <w:r w:rsidR="00BA33A5" w:rsidRPr="00181755">
        <w:rPr>
          <w:rFonts w:asciiTheme="minorHAnsi" w:hAnsiTheme="minorHAnsi"/>
        </w:rPr>
        <w:t xml:space="preserve">értékelési </w:t>
      </w:r>
      <w:r w:rsidRPr="00181755">
        <w:rPr>
          <w:rFonts w:asciiTheme="minorHAnsi" w:hAnsiTheme="minorHAnsi"/>
        </w:rPr>
        <w:t xml:space="preserve">folyamatát intézményen belül független belső felülvizsgálatnak kell alávetni. </w:t>
      </w:r>
    </w:p>
    <w:p w14:paraId="66B151AD" w14:textId="77777777" w:rsidR="003F29E3" w:rsidRPr="00181755" w:rsidRDefault="003F29E3" w:rsidP="00181755">
      <w:pPr>
        <w:ind w:left="284"/>
        <w:rPr>
          <w:rFonts w:asciiTheme="minorHAnsi" w:hAnsiTheme="minorHAnsi"/>
        </w:rPr>
      </w:pPr>
      <w:r w:rsidRPr="00181755">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181755" w:rsidRDefault="003F29E3" w:rsidP="00181755">
      <w:pPr>
        <w:rPr>
          <w:rFonts w:asciiTheme="minorHAnsi" w:hAnsiTheme="minorHAnsi"/>
          <w:b/>
        </w:rPr>
      </w:pPr>
      <w:r w:rsidRPr="00181755">
        <w:rPr>
          <w:rFonts w:asciiTheme="minorHAnsi" w:hAnsiTheme="minorHAnsi"/>
          <w:b/>
        </w:rPr>
        <w:t>ICAAP 6: A belső tőkeszükséglet-számítási folyamatnak kockázatalapúnak kell lennie.</w:t>
      </w:r>
    </w:p>
    <w:p w14:paraId="66B151AF" w14:textId="77777777" w:rsidR="003F29E3" w:rsidRPr="00181755" w:rsidRDefault="003F29E3" w:rsidP="00181755">
      <w:pPr>
        <w:ind w:left="284"/>
        <w:rPr>
          <w:rFonts w:asciiTheme="minorHAnsi" w:hAnsiTheme="minorHAnsi"/>
        </w:rPr>
      </w:pPr>
      <w:r w:rsidRPr="00181755">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181755" w:rsidRDefault="003F29E3" w:rsidP="00181755">
      <w:pPr>
        <w:ind w:left="284"/>
        <w:rPr>
          <w:rFonts w:asciiTheme="minorHAnsi" w:hAnsiTheme="minorHAnsi"/>
        </w:rPr>
      </w:pPr>
      <w:r w:rsidRPr="00181755">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181755" w:rsidRDefault="003F29E3" w:rsidP="00181755">
      <w:pPr>
        <w:ind w:left="284"/>
        <w:rPr>
          <w:rFonts w:asciiTheme="minorHAnsi" w:hAnsiTheme="minorHAnsi"/>
        </w:rPr>
      </w:pPr>
      <w:r w:rsidRPr="00181755">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181755" w:rsidRDefault="003F29E3" w:rsidP="00181755">
      <w:pPr>
        <w:rPr>
          <w:rFonts w:asciiTheme="minorHAnsi" w:hAnsiTheme="minorHAnsi"/>
          <w:b/>
        </w:rPr>
      </w:pPr>
      <w:r w:rsidRPr="00181755">
        <w:rPr>
          <w:rFonts w:asciiTheme="minorHAnsi" w:hAnsiTheme="minorHAnsi"/>
          <w:b/>
        </w:rPr>
        <w:t>ICAAP 7: Az ICAAP-nak átfogónak, minden részletre kiterjedőnek (széleskörűnek) kell lennie.</w:t>
      </w:r>
    </w:p>
    <w:p w14:paraId="66B151B3" w14:textId="77777777" w:rsidR="003F29E3" w:rsidRPr="00181755" w:rsidRDefault="003F29E3" w:rsidP="00181755">
      <w:pPr>
        <w:ind w:left="284"/>
        <w:rPr>
          <w:rFonts w:asciiTheme="minorHAnsi" w:hAnsiTheme="minorHAnsi"/>
        </w:rPr>
      </w:pPr>
      <w:r w:rsidRPr="00181755">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tőkeszámítás megoldásaitól – az intézmény a felügyeleti párbeszéd során részletesen be tudja mutatni.</w:t>
      </w:r>
    </w:p>
    <w:p w14:paraId="66B151B4" w14:textId="77777777" w:rsidR="003F29E3" w:rsidRPr="00181755" w:rsidRDefault="003F29E3" w:rsidP="00181755">
      <w:pPr>
        <w:ind w:left="284"/>
        <w:rPr>
          <w:rFonts w:asciiTheme="minorHAnsi" w:hAnsiTheme="minorHAnsi"/>
        </w:rPr>
      </w:pPr>
      <w:r w:rsidRPr="00181755">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181755" w:rsidRDefault="003F29E3" w:rsidP="008C1553">
      <w:pPr>
        <w:pStyle w:val="alfelsorols"/>
        <w:numPr>
          <w:ilvl w:val="1"/>
          <w:numId w:val="59"/>
        </w:numPr>
      </w:pPr>
      <w:r w:rsidRPr="00181755">
        <w:t xml:space="preserve">az 1. pillérben szereplő hitelezési, működési és piaci kockázatot, az ICAAP-ben az 1. pillértől </w:t>
      </w:r>
      <w:r w:rsidR="00992893" w:rsidRPr="00181755">
        <w:t>eltérő kezelésüket is beleértve</w:t>
      </w:r>
      <w:r w:rsidR="00992893" w:rsidRPr="00181755">
        <w:rPr>
          <w:lang w:val="hu-HU"/>
        </w:rPr>
        <w:t>,</w:t>
      </w:r>
    </w:p>
    <w:p w14:paraId="66B151B6" w14:textId="6C0D19FE" w:rsidR="003F29E3" w:rsidRPr="00181755" w:rsidRDefault="003F29E3" w:rsidP="008C1553">
      <w:pPr>
        <w:pStyle w:val="alfelsorols"/>
        <w:numPr>
          <w:ilvl w:val="1"/>
          <w:numId w:val="59"/>
        </w:numPr>
      </w:pPr>
      <w:r w:rsidRPr="00181755">
        <w:t>az 1. pillérben szereplő, az egyszerűbb módszerekkel kellően le nem fedett kockáza</w:t>
      </w:r>
      <w:r w:rsidR="00992893" w:rsidRPr="00181755">
        <w:t>tokat (pl. reziduális kockázat)</w:t>
      </w:r>
      <w:r w:rsidR="00992893" w:rsidRPr="00181755">
        <w:rPr>
          <w:lang w:val="hu-HU"/>
        </w:rPr>
        <w:t>,</w:t>
      </w:r>
    </w:p>
    <w:p w14:paraId="66B151B7" w14:textId="4802D4BE" w:rsidR="003F29E3" w:rsidRPr="00181755" w:rsidRDefault="003F29E3" w:rsidP="008C1553">
      <w:pPr>
        <w:pStyle w:val="alfelsorols"/>
        <w:numPr>
          <w:ilvl w:val="1"/>
          <w:numId w:val="59"/>
        </w:numPr>
      </w:pPr>
      <w:r w:rsidRPr="00181755">
        <w:t>a 2. pillérben szereplő kockázatokat (pl. banki könyv kamatkockázat, koncentrációs kockázat, str</w:t>
      </w:r>
      <w:r w:rsidR="00992893" w:rsidRPr="00181755">
        <w:t>atégiai és reputációs kockázat)</w:t>
      </w:r>
      <w:r w:rsidR="00992893" w:rsidRPr="00181755">
        <w:rPr>
          <w:lang w:val="hu-HU"/>
        </w:rPr>
        <w:t>,</w:t>
      </w:r>
    </w:p>
    <w:p w14:paraId="66B151B8" w14:textId="77777777" w:rsidR="003F29E3" w:rsidRPr="00181755" w:rsidRDefault="003F29E3" w:rsidP="008C1553">
      <w:pPr>
        <w:pStyle w:val="alfelsorols"/>
        <w:numPr>
          <w:ilvl w:val="1"/>
          <w:numId w:val="59"/>
        </w:numPr>
      </w:pPr>
      <w:r w:rsidRPr="00181755">
        <w:t>az intézményen kívül álló kockázati tényezőket (pl. gazdasági környezet megváltozása).</w:t>
      </w:r>
    </w:p>
    <w:p w14:paraId="66B151B9" w14:textId="77777777" w:rsidR="003F29E3" w:rsidRPr="00181755" w:rsidRDefault="003F29E3" w:rsidP="00181755">
      <w:pPr>
        <w:rPr>
          <w:rFonts w:asciiTheme="minorHAnsi" w:hAnsiTheme="minorHAnsi"/>
          <w:b/>
        </w:rPr>
      </w:pPr>
      <w:r w:rsidRPr="00181755">
        <w:rPr>
          <w:rFonts w:asciiTheme="minorHAnsi" w:hAnsiTheme="minorHAnsi"/>
          <w:b/>
        </w:rPr>
        <w:t>ICAAP 8: Az ICAAP előretekintő és jövőorientált.</w:t>
      </w:r>
    </w:p>
    <w:p w14:paraId="66B151BA" w14:textId="24F52FAF" w:rsidR="003F29E3" w:rsidRPr="00181755" w:rsidRDefault="003F29E3" w:rsidP="00181755">
      <w:pPr>
        <w:ind w:left="284"/>
        <w:rPr>
          <w:rFonts w:asciiTheme="minorHAnsi" w:hAnsiTheme="minorHAnsi"/>
        </w:rPr>
      </w:pPr>
      <w:r w:rsidRPr="00181755">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6B151BB" w14:textId="6D33146E" w:rsidR="003F29E3" w:rsidRPr="00181755" w:rsidRDefault="003F29E3" w:rsidP="00181755">
      <w:pPr>
        <w:ind w:left="284"/>
        <w:rPr>
          <w:rFonts w:asciiTheme="minorHAnsi" w:hAnsiTheme="minorHAnsi"/>
        </w:rPr>
      </w:pPr>
      <w:r w:rsidRPr="00181755">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6B151BC" w14:textId="77777777" w:rsidR="003F29E3" w:rsidRPr="00181755" w:rsidRDefault="003F29E3" w:rsidP="00181755">
      <w:pPr>
        <w:rPr>
          <w:rFonts w:asciiTheme="minorHAnsi" w:hAnsiTheme="minorHAnsi"/>
          <w:b/>
        </w:rPr>
      </w:pPr>
      <w:r w:rsidRPr="00181755">
        <w:rPr>
          <w:rFonts w:asciiTheme="minorHAnsi" w:hAnsiTheme="minorHAnsi"/>
          <w:b/>
        </w:rPr>
        <w:t>ICAAP 9: Az ICAAP megfelelő mérési és értékelési eljárásokon alapul.</w:t>
      </w:r>
    </w:p>
    <w:p w14:paraId="66B151BD" w14:textId="77777777" w:rsidR="003F29E3" w:rsidRPr="00181755" w:rsidRDefault="003F29E3" w:rsidP="00181755">
      <w:pPr>
        <w:ind w:left="284"/>
        <w:rPr>
          <w:rFonts w:asciiTheme="minorHAnsi" w:hAnsiTheme="minorHAnsi"/>
        </w:rPr>
      </w:pPr>
      <w:r w:rsidRPr="00181755">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 (3) bekezdése alapján és a CRD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ezért ha az intézmény az ICAAP folyamatában ilyet alkalmaz, arra az MNB is jobban tud hagyatkozni az ICAAP felülvizsgálata során.</w:t>
      </w:r>
    </w:p>
    <w:p w14:paraId="66B151BE" w14:textId="77777777" w:rsidR="003F29E3" w:rsidRPr="00181755" w:rsidRDefault="003F29E3" w:rsidP="00181755">
      <w:pPr>
        <w:ind w:left="284"/>
        <w:rPr>
          <w:rFonts w:asciiTheme="minorHAnsi" w:hAnsiTheme="minorHAnsi"/>
        </w:rPr>
      </w:pPr>
      <w:r w:rsidRPr="00181755">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77777777" w:rsidR="003F29E3" w:rsidRPr="00181755" w:rsidRDefault="003F29E3" w:rsidP="00181755">
      <w:pPr>
        <w:ind w:left="284"/>
        <w:rPr>
          <w:rFonts w:asciiTheme="minorHAnsi" w:hAnsiTheme="minorHAnsi"/>
        </w:rPr>
      </w:pPr>
      <w:r w:rsidRPr="00181755">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181755" w:rsidRDefault="003F29E3" w:rsidP="00181755">
      <w:pPr>
        <w:rPr>
          <w:rFonts w:asciiTheme="minorHAnsi" w:hAnsiTheme="minorHAnsi"/>
          <w:b/>
        </w:rPr>
      </w:pPr>
      <w:r w:rsidRPr="00181755">
        <w:rPr>
          <w:rFonts w:asciiTheme="minorHAnsi" w:hAnsiTheme="minorHAnsi"/>
          <w:b/>
        </w:rPr>
        <w:t>ICAAP 10: Az ICAAP elfogadható végeredményt eredményez.</w:t>
      </w:r>
    </w:p>
    <w:p w14:paraId="66B151C2" w14:textId="5DCD86CE" w:rsidR="003F29E3" w:rsidRPr="00181755" w:rsidRDefault="003F29E3" w:rsidP="00181755">
      <w:pPr>
        <w:spacing w:after="240"/>
        <w:ind w:left="284"/>
        <w:rPr>
          <w:rFonts w:asciiTheme="minorHAnsi" w:hAnsiTheme="minorHAnsi"/>
        </w:rPr>
      </w:pPr>
      <w:r w:rsidRPr="00181755">
        <w:rPr>
          <w:rFonts w:asciiTheme="minorHAnsi" w:hAnsiTheme="minorHAnsi"/>
        </w:rPr>
        <w:t>A tőkemegfelelés belső</w:t>
      </w:r>
      <w:r w:rsidR="00BA33A5" w:rsidRPr="00181755">
        <w:rPr>
          <w:rFonts w:asciiTheme="minorHAnsi" w:hAnsiTheme="minorHAnsi"/>
        </w:rPr>
        <w:t xml:space="preserve"> értékelési</w:t>
      </w:r>
      <w:r w:rsidRPr="00181755">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181755" w:rsidRDefault="003F29E3" w:rsidP="00181755">
      <w:pPr>
        <w:pStyle w:val="Cmsor2"/>
        <w:rPr>
          <w:rFonts w:asciiTheme="minorHAnsi" w:hAnsiTheme="minorHAnsi"/>
        </w:rPr>
      </w:pPr>
      <w:bookmarkStart w:id="73" w:name="_A_felügyeleti_felülvizsgálati"/>
      <w:bookmarkStart w:id="74" w:name="_Toc461095162"/>
      <w:bookmarkStart w:id="75" w:name="_Toc461179194"/>
      <w:bookmarkStart w:id="76" w:name="_Toc461179817"/>
      <w:bookmarkStart w:id="77" w:name="_Toc461197735"/>
      <w:bookmarkStart w:id="78" w:name="_Toc461201260"/>
      <w:bookmarkStart w:id="79" w:name="_Toc461547882"/>
      <w:bookmarkStart w:id="80" w:name="_Toc462401910"/>
      <w:bookmarkStart w:id="81" w:name="_Toc462403031"/>
      <w:bookmarkStart w:id="82" w:name="_Toc462403355"/>
      <w:bookmarkStart w:id="83" w:name="_Toc468180474"/>
      <w:bookmarkStart w:id="84" w:name="_Toc468181007"/>
      <w:bookmarkStart w:id="85" w:name="_Toc468191407"/>
      <w:bookmarkStart w:id="86" w:name="_Toc378256221"/>
      <w:bookmarkStart w:id="87" w:name="_Toc378592029"/>
      <w:bookmarkEnd w:id="73"/>
      <w:r w:rsidRPr="00181755">
        <w:rPr>
          <w:rFonts w:asciiTheme="minorHAnsi" w:hAnsiTheme="minorHAnsi"/>
        </w:rPr>
        <w:t xml:space="preserve">A </w:t>
      </w:r>
      <w:r w:rsidRPr="00181755">
        <w:rPr>
          <w:rFonts w:asciiTheme="minorHAnsi" w:hAnsiTheme="minorHAnsi"/>
          <w:lang w:val="hu-HU"/>
        </w:rPr>
        <w:t>l</w:t>
      </w:r>
      <w:r w:rsidRPr="00181755">
        <w:rPr>
          <w:rFonts w:asciiTheme="minorHAnsi" w:hAnsiTheme="minorHAnsi"/>
        </w:rPr>
        <w:t>ikviditás megfelelőségének belső értékelési folyamata (ILAAP)</w:t>
      </w:r>
      <w:bookmarkEnd w:id="74"/>
      <w:bookmarkEnd w:id="75"/>
      <w:bookmarkEnd w:id="76"/>
      <w:bookmarkEnd w:id="77"/>
      <w:bookmarkEnd w:id="78"/>
      <w:bookmarkEnd w:id="79"/>
      <w:bookmarkEnd w:id="80"/>
      <w:bookmarkEnd w:id="81"/>
      <w:bookmarkEnd w:id="82"/>
      <w:bookmarkEnd w:id="83"/>
      <w:bookmarkEnd w:id="84"/>
      <w:bookmarkEnd w:id="85"/>
      <w:r w:rsidRPr="00181755">
        <w:rPr>
          <w:rFonts w:asciiTheme="minorHAnsi" w:hAnsiTheme="minorHAnsi"/>
        </w:rPr>
        <w:t xml:space="preserve"> </w:t>
      </w:r>
    </w:p>
    <w:p w14:paraId="66B151C4" w14:textId="170168AE" w:rsidR="009968CF" w:rsidRPr="00181755" w:rsidRDefault="003F29E3" w:rsidP="00181755">
      <w:pPr>
        <w:rPr>
          <w:rFonts w:asciiTheme="minorHAnsi" w:hAnsiTheme="minorHAnsi"/>
        </w:rPr>
      </w:pPr>
      <w:r w:rsidRPr="00181755">
        <w:rPr>
          <w:rFonts w:asciiTheme="minorHAnsi" w:hAnsiTheme="minorHAnsi"/>
        </w:rPr>
        <w:t>A likviditási kockázat kezelésére vonatkozóan mind a CRD</w:t>
      </w:r>
      <w:r w:rsidR="009968CF" w:rsidRPr="00181755">
        <w:rPr>
          <w:rFonts w:asciiTheme="minorHAnsi" w:hAnsiTheme="minorHAnsi"/>
        </w:rPr>
        <w:t xml:space="preserve"> IV</w:t>
      </w:r>
      <w:r w:rsidR="0059569A" w:rsidRPr="00181755">
        <w:rPr>
          <w:rFonts w:asciiTheme="minorHAnsi" w:hAnsiTheme="minorHAnsi"/>
        </w:rPr>
        <w:t>,</w:t>
      </w:r>
      <w:r w:rsidR="009968CF" w:rsidRPr="00181755">
        <w:rPr>
          <w:rFonts w:asciiTheme="minorHAnsi" w:hAnsiTheme="minorHAnsi"/>
        </w:rPr>
        <w:t xml:space="preserve"> </w:t>
      </w:r>
      <w:r w:rsidRPr="00181755">
        <w:rPr>
          <w:rFonts w:asciiTheme="minorHAnsi" w:hAnsiTheme="minorHAnsi"/>
        </w:rPr>
        <w:t xml:space="preserve">CRR, </w:t>
      </w:r>
      <w:r w:rsidR="0059569A" w:rsidRPr="00181755">
        <w:rPr>
          <w:rFonts w:asciiTheme="minorHAnsi" w:hAnsiTheme="minorHAnsi"/>
        </w:rPr>
        <w:t>valamint az azt kiegészítő Delegated Act</w:t>
      </w:r>
      <w:r w:rsidR="00B3770C" w:rsidRPr="00181755">
        <w:rPr>
          <w:rFonts w:asciiTheme="minorHAnsi" w:hAnsiTheme="minorHAnsi"/>
        </w:rPr>
        <w:t xml:space="preserve"> (DA)</w:t>
      </w:r>
      <w:r w:rsidR="0059569A" w:rsidRPr="00181755">
        <w:rPr>
          <w:rStyle w:val="Lbjegyzet-hivatkozs"/>
          <w:rFonts w:asciiTheme="minorHAnsi" w:hAnsiTheme="minorHAnsi"/>
        </w:rPr>
        <w:footnoteReference w:id="10"/>
      </w:r>
      <w:r w:rsidR="0059569A" w:rsidRPr="00181755">
        <w:rPr>
          <w:rFonts w:asciiTheme="minorHAnsi" w:hAnsiTheme="minorHAnsi"/>
        </w:rPr>
        <w:t>,</w:t>
      </w:r>
      <w:r w:rsidRPr="00181755">
        <w:rPr>
          <w:rFonts w:asciiTheme="minorHAnsi" w:hAnsiTheme="minorHAnsi"/>
        </w:rPr>
        <w:t xml:space="preserve"> mind a Hpt. </w:t>
      </w:r>
      <w:r w:rsidR="0059569A" w:rsidRPr="00181755">
        <w:rPr>
          <w:rFonts w:asciiTheme="minorHAnsi" w:hAnsiTheme="minorHAnsi"/>
        </w:rPr>
        <w:t>és Bszt.</w:t>
      </w:r>
      <w:r w:rsidRPr="00181755">
        <w:rPr>
          <w:rFonts w:asciiTheme="minorHAnsi" w:hAnsiTheme="minorHAnsi"/>
        </w:rPr>
        <w:t xml:space="preserve"> részletes </w:t>
      </w:r>
      <w:r w:rsidR="009968CF" w:rsidRPr="00181755">
        <w:rPr>
          <w:rFonts w:asciiTheme="minorHAnsi" w:hAnsiTheme="minorHAnsi"/>
        </w:rPr>
        <w:t>szabályokat</w:t>
      </w:r>
      <w:r w:rsidRPr="00181755">
        <w:rPr>
          <w:rFonts w:asciiTheme="minorHAnsi" w:hAnsiTheme="minorHAnsi"/>
        </w:rPr>
        <w:t xml:space="preserve"> tartalmaz. </w:t>
      </w:r>
      <w:r w:rsidR="009968CF" w:rsidRPr="00181755">
        <w:rPr>
          <w:rFonts w:asciiTheme="minorHAnsi" w:hAnsiTheme="minorHAnsi"/>
        </w:rPr>
        <w:t xml:space="preserve">A Hpt. </w:t>
      </w:r>
      <w:r w:rsidR="00C10FF9" w:rsidRPr="00181755">
        <w:rPr>
          <w:rFonts w:asciiTheme="minorHAnsi" w:hAnsiTheme="minorHAnsi"/>
        </w:rPr>
        <w:t>és a Bszt.</w:t>
      </w:r>
      <w:r w:rsidR="009968CF" w:rsidRPr="00181755">
        <w:rPr>
          <w:rFonts w:asciiTheme="minorHAnsi" w:hAnsiTheme="minorHAnsi"/>
        </w:rPr>
        <w:t xml:space="preserve"> előírásai szerint a</w:t>
      </w:r>
      <w:r w:rsidR="00C10FF9" w:rsidRPr="00181755">
        <w:rPr>
          <w:rFonts w:asciiTheme="minorHAnsi" w:hAnsiTheme="minorHAnsi"/>
        </w:rPr>
        <w:t>z intézménynek</w:t>
      </w:r>
      <w:r w:rsidR="009968CF" w:rsidRPr="00181755">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181755" w:rsidRDefault="00E92058" w:rsidP="008C1553">
      <w:pPr>
        <w:pStyle w:val="alfelsorols"/>
        <w:numPr>
          <w:ilvl w:val="1"/>
          <w:numId w:val="60"/>
        </w:numPr>
      </w:pPr>
      <w:r w:rsidRPr="00181755">
        <w:t xml:space="preserve">az egyes üzletágakhoz, devizanemekhez és a csoporthoz tartozó jogi személyekhez igazítva a likviditási kockázata megfelelő </w:t>
      </w:r>
      <w:r w:rsidR="002F35E0" w:rsidRPr="00181755">
        <w:t>–</w:t>
      </w:r>
      <w:r w:rsidRPr="00181755">
        <w:t xml:space="preserve"> akár egy napon belüli </w:t>
      </w:r>
      <w:r w:rsidR="002F35E0" w:rsidRPr="00181755">
        <w:t>–</w:t>
      </w:r>
      <w:r w:rsidRPr="00181755">
        <w:t xml:space="preserve"> időtávokon történő azonosítására, mérésére, kezelésére és nyomon követésére, ideértve a likviditási költség-, nyereség- és kockázat-allokációs eljárásokat is</w:t>
      </w:r>
      <w:r w:rsidR="00992893" w:rsidRPr="00181755">
        <w:rPr>
          <w:lang w:val="hu-HU"/>
        </w:rPr>
        <w:t>,</w:t>
      </w:r>
    </w:p>
    <w:p w14:paraId="66B151C6" w14:textId="0FB87865" w:rsidR="003F29E3" w:rsidRPr="00181755" w:rsidRDefault="003F29E3" w:rsidP="008C1553">
      <w:pPr>
        <w:pStyle w:val="alfelsorols"/>
        <w:numPr>
          <w:ilvl w:val="1"/>
          <w:numId w:val="60"/>
        </w:numPr>
      </w:pPr>
      <w:r w:rsidRPr="00181755">
        <w:t>a piaci</w:t>
      </w:r>
      <w:r w:rsidR="00E92058" w:rsidRPr="00181755">
        <w:rPr>
          <w:lang w:val="hu-HU"/>
        </w:rPr>
        <w:t xml:space="preserve"> likviditási</w:t>
      </w:r>
      <w:r w:rsidRPr="00181755">
        <w:t xml:space="preserve"> kockázatok valamennyi lényeges forrásának és hatásának mérésére és kezelésére, és a rövid pozíció hosszú pozíciót megelőző esedékességéből fakadó likviditás</w:t>
      </w:r>
      <w:r w:rsidR="00992893" w:rsidRPr="00181755">
        <w:t>i hiány kockázatának kezelésére</w:t>
      </w:r>
      <w:r w:rsidR="00992893" w:rsidRPr="00181755">
        <w:rPr>
          <w:lang w:val="hu-HU"/>
        </w:rPr>
        <w:t>.</w:t>
      </w:r>
    </w:p>
    <w:p w14:paraId="66B151C7" w14:textId="77777777" w:rsidR="003F29E3" w:rsidRPr="00181755" w:rsidRDefault="003F29E3" w:rsidP="00181755">
      <w:pPr>
        <w:rPr>
          <w:rFonts w:asciiTheme="minorHAnsi" w:hAnsiTheme="minorHAnsi"/>
        </w:rPr>
      </w:pPr>
      <w:r w:rsidRPr="00181755">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181755" w:rsidRDefault="003F29E3" w:rsidP="00181755">
      <w:pPr>
        <w:rPr>
          <w:rFonts w:asciiTheme="minorHAnsi" w:hAnsiTheme="minorHAnsi"/>
        </w:rPr>
      </w:pPr>
      <w:r w:rsidRPr="00181755">
        <w:rPr>
          <w:rFonts w:asciiTheme="minorHAnsi" w:hAnsiTheme="minorHAnsi"/>
          <w:iCs/>
        </w:rPr>
        <w:t xml:space="preserve">A </w:t>
      </w:r>
      <w:r w:rsidRPr="00181755">
        <w:rPr>
          <w:rFonts w:asciiTheme="minorHAnsi" w:hAnsiTheme="minorHAnsi"/>
        </w:rPr>
        <w:t xml:space="preserve">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w:t>
      </w:r>
      <w:r w:rsidRPr="00181755">
        <w:rPr>
          <w:rFonts w:asciiTheme="minorHAnsi" w:hAnsiTheme="minorHAnsi"/>
          <w:iCs/>
        </w:rPr>
        <w:t>A</w:t>
      </w:r>
      <w:r w:rsidRPr="00181755">
        <w:rPr>
          <w:rFonts w:asciiTheme="minorHAnsi" w:hAnsiTheme="minorHAnsi"/>
        </w:rPr>
        <w:t xml:space="preserve">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181755">
        <w:rPr>
          <w:rFonts w:asciiTheme="minorHAnsi" w:hAnsiTheme="minorHAnsi"/>
        </w:rPr>
        <w:t>–</w:t>
      </w:r>
      <w:r w:rsidRPr="00181755">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w:t>
      </w:r>
      <w:r w:rsidRPr="00181755">
        <w:rPr>
          <w:rFonts w:asciiTheme="minorHAnsi" w:hAnsiTheme="minorHAnsi"/>
          <w:iCs/>
        </w:rPr>
        <w:t>az</w:t>
      </w:r>
      <w:r w:rsidRPr="00181755">
        <w:rPr>
          <w:rFonts w:asciiTheme="minorHAnsi" w:hAnsiTheme="minorHAnsi"/>
          <w:i/>
          <w:iCs/>
        </w:rPr>
        <w:t xml:space="preserve"> </w:t>
      </w:r>
      <w:r w:rsidRPr="00181755">
        <w:rPr>
          <w:rFonts w:asciiTheme="minorHAnsi" w:hAnsiTheme="minorHAnsi"/>
        </w:rPr>
        <w:t>alternatív forgatókönyvek kimenetele alapján legalább évente tesztelni és frissíteni kell.</w:t>
      </w:r>
    </w:p>
    <w:p w14:paraId="66B151C9" w14:textId="77777777" w:rsidR="003F29E3" w:rsidRPr="00181755" w:rsidRDefault="003F29E3" w:rsidP="00181755">
      <w:pPr>
        <w:rPr>
          <w:rFonts w:asciiTheme="minorHAnsi" w:hAnsiTheme="minorHAnsi"/>
        </w:rPr>
      </w:pPr>
      <w:r w:rsidRPr="00181755">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 IV</w:t>
      </w:r>
      <w:r w:rsidR="00AA258E" w:rsidRPr="00181755">
        <w:rPr>
          <w:rFonts w:asciiTheme="minorHAnsi" w:hAnsiTheme="minorHAnsi"/>
        </w:rPr>
        <w:t xml:space="preserve"> és a</w:t>
      </w:r>
      <w:r w:rsidRPr="00181755">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p w14:paraId="66B151CA" w14:textId="77777777" w:rsidR="003F29E3" w:rsidRPr="00181755" w:rsidRDefault="003F29E3" w:rsidP="00181755">
      <w:pPr>
        <w:keepNext/>
        <w:rPr>
          <w:rFonts w:asciiTheme="minorHAnsi" w:hAnsiTheme="minorHAnsi"/>
        </w:rPr>
      </w:pPr>
      <w:r w:rsidRPr="00181755">
        <w:rPr>
          <w:rFonts w:asciiTheme="minorHAnsi" w:hAnsiTheme="minorHAnsi"/>
        </w:rPr>
        <w:t>A likviditás megfelelés belső értékelési folyamata az alábbi területeket foglalja magában:</w:t>
      </w:r>
    </w:p>
    <w:p w14:paraId="66B151CB" w14:textId="314B0CA2" w:rsidR="003F29E3" w:rsidRPr="00181755" w:rsidRDefault="003F29E3" w:rsidP="00181755">
      <w:pPr>
        <w:pStyle w:val="felsorolsos"/>
        <w:keepNext/>
        <w:rPr>
          <w:rFonts w:asciiTheme="minorHAnsi" w:hAnsiTheme="minorHAnsi"/>
        </w:rPr>
      </w:pPr>
      <w:r w:rsidRPr="00181755">
        <w:rPr>
          <w:rFonts w:asciiTheme="minorHAnsi" w:hAnsiTheme="minorHAnsi"/>
        </w:rPr>
        <w:t>az intézmény likviditási kockázat kezelési rendszere, kapcsolódó mutatói, és kulcsmutatói megfelelőségének és megbízhatóságának belső elemzése</w:t>
      </w:r>
      <w:r w:rsidR="00992893" w:rsidRPr="00181755">
        <w:rPr>
          <w:rFonts w:asciiTheme="minorHAnsi" w:hAnsiTheme="minorHAnsi"/>
          <w:lang w:val="hu-HU"/>
        </w:rPr>
        <w:t>,</w:t>
      </w:r>
    </w:p>
    <w:p w14:paraId="66B151CC" w14:textId="40758212" w:rsidR="003F29E3" w:rsidRPr="00181755" w:rsidRDefault="003F29E3" w:rsidP="00181755">
      <w:pPr>
        <w:pStyle w:val="felsorolsos"/>
        <w:rPr>
          <w:rFonts w:asciiTheme="minorHAnsi" w:hAnsiTheme="minorHAnsi"/>
        </w:rPr>
      </w:pPr>
      <w:r w:rsidRPr="00181755">
        <w:rPr>
          <w:rFonts w:asciiTheme="minorHAnsi" w:hAnsiTheme="minorHAnsi"/>
        </w:rPr>
        <w:t xml:space="preserve">átfogó kockázatelemzés, mely feltárja és értékeli az intézmény </w:t>
      </w:r>
      <w:r w:rsidRPr="00181755">
        <w:rPr>
          <w:rFonts w:asciiTheme="minorHAnsi" w:hAnsiTheme="minorHAnsi"/>
          <w:lang w:val="hu-HU"/>
        </w:rPr>
        <w:t>likviditási és finanszírozási</w:t>
      </w:r>
      <w:r w:rsidR="00992893" w:rsidRPr="00181755">
        <w:rPr>
          <w:rFonts w:asciiTheme="minorHAnsi" w:hAnsiTheme="minorHAnsi"/>
        </w:rPr>
        <w:t xml:space="preserve"> kockázatait</w:t>
      </w:r>
      <w:r w:rsidR="00992893" w:rsidRPr="00181755">
        <w:rPr>
          <w:rFonts w:asciiTheme="minorHAnsi" w:hAnsiTheme="minorHAnsi"/>
          <w:lang w:val="hu-HU"/>
        </w:rPr>
        <w:t>,</w:t>
      </w:r>
    </w:p>
    <w:p w14:paraId="66B151CD" w14:textId="62B39C99" w:rsidR="003F29E3" w:rsidRPr="00181755" w:rsidRDefault="003F29E3" w:rsidP="00181755">
      <w:pPr>
        <w:pStyle w:val="felsorolsos"/>
        <w:rPr>
          <w:rFonts w:asciiTheme="minorHAnsi" w:hAnsiTheme="minorHAnsi"/>
        </w:rPr>
      </w:pPr>
      <w:r w:rsidRPr="00181755">
        <w:rPr>
          <w:rFonts w:asciiTheme="minorHAnsi" w:hAnsiTheme="minorHAnsi"/>
        </w:rPr>
        <w:t xml:space="preserve">megalapozott </w:t>
      </w:r>
      <w:r w:rsidRPr="00181755">
        <w:rPr>
          <w:rFonts w:asciiTheme="minorHAnsi" w:hAnsiTheme="minorHAnsi"/>
          <w:lang w:val="hu-HU"/>
        </w:rPr>
        <w:t>likviditás fedezettség elemzés</w:t>
      </w:r>
      <w:r w:rsidRPr="00181755">
        <w:rPr>
          <w:rFonts w:asciiTheme="minorHAnsi" w:hAnsiTheme="minorHAnsi"/>
        </w:rPr>
        <w:t xml:space="preserve">, mely számszerűsíti a kockázatok mértékét és </w:t>
      </w:r>
      <w:r w:rsidRPr="00181755">
        <w:rPr>
          <w:rFonts w:asciiTheme="minorHAnsi" w:hAnsiTheme="minorHAnsi"/>
          <w:lang w:val="hu-HU"/>
        </w:rPr>
        <w:t>az intézmény a saját számításai alapján</w:t>
      </w:r>
      <w:r w:rsidRPr="00181755">
        <w:rPr>
          <w:rFonts w:asciiTheme="minorHAnsi" w:hAnsiTheme="minorHAnsi"/>
        </w:rPr>
        <w:t xml:space="preserve"> meghatározza a </w:t>
      </w:r>
      <w:r w:rsidRPr="00181755">
        <w:rPr>
          <w:rFonts w:asciiTheme="minorHAnsi" w:hAnsiTheme="minorHAnsi"/>
          <w:lang w:val="hu-HU"/>
        </w:rPr>
        <w:t>fedezésük</w:t>
      </w:r>
      <w:r w:rsidR="00992893" w:rsidRPr="00181755">
        <w:rPr>
          <w:rFonts w:asciiTheme="minorHAnsi" w:hAnsiTheme="minorHAnsi"/>
        </w:rPr>
        <w:t xml:space="preserve"> szükséges szintjét</w:t>
      </w:r>
      <w:r w:rsidR="00992893" w:rsidRPr="00181755">
        <w:rPr>
          <w:rFonts w:asciiTheme="minorHAnsi" w:hAnsiTheme="minorHAnsi"/>
          <w:lang w:val="hu-HU"/>
        </w:rPr>
        <w:t>,</w:t>
      </w:r>
    </w:p>
    <w:p w14:paraId="66B151CE" w14:textId="246C3336"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 vezetésének megfelelő tájékoztatása, illetve bevonása a</w:t>
      </w:r>
      <w:r w:rsidRPr="00181755">
        <w:rPr>
          <w:rFonts w:asciiTheme="minorHAnsi" w:hAnsiTheme="minorHAnsi"/>
          <w:lang w:val="hu-HU"/>
        </w:rPr>
        <w:t xml:space="preserve"> likviditás </w:t>
      </w:r>
      <w:r w:rsidRPr="00181755">
        <w:rPr>
          <w:rFonts w:asciiTheme="minorHAnsi" w:hAnsiTheme="minorHAnsi"/>
        </w:rPr>
        <w:t>m</w:t>
      </w:r>
      <w:r w:rsidR="00992893" w:rsidRPr="00181755">
        <w:rPr>
          <w:rFonts w:asciiTheme="minorHAnsi" w:hAnsiTheme="minorHAnsi"/>
        </w:rPr>
        <w:t>egfelelési eljárás folyamataiba</w:t>
      </w:r>
      <w:r w:rsidR="00992893" w:rsidRPr="00181755">
        <w:rPr>
          <w:rFonts w:asciiTheme="minorHAnsi" w:hAnsiTheme="minorHAnsi"/>
          <w:lang w:val="hu-HU"/>
        </w:rPr>
        <w:t>,</w:t>
      </w:r>
    </w:p>
    <w:p w14:paraId="66B151CF" w14:textId="76CBB1EF"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w:t>
      </w:r>
      <w:r w:rsidRPr="00181755">
        <w:rPr>
          <w:rFonts w:asciiTheme="minorHAnsi" w:hAnsiTheme="minorHAnsi"/>
          <w:lang w:val="hu-HU"/>
        </w:rPr>
        <w:t xml:space="preserve">likviditási </w:t>
      </w:r>
      <w:r w:rsidRPr="00181755">
        <w:rPr>
          <w:rFonts w:asciiTheme="minorHAnsi" w:hAnsiTheme="minorHAnsi"/>
        </w:rPr>
        <w:t xml:space="preserve">kockázati profilját és </w:t>
      </w:r>
      <w:r w:rsidRPr="00181755">
        <w:rPr>
          <w:rFonts w:asciiTheme="minorHAnsi" w:hAnsiTheme="minorHAnsi"/>
          <w:lang w:val="hu-HU"/>
        </w:rPr>
        <w:t>fedezettségét</w:t>
      </w:r>
      <w:r w:rsidR="00992893" w:rsidRPr="00181755">
        <w:rPr>
          <w:rFonts w:asciiTheme="minorHAnsi" w:hAnsiTheme="minorHAnsi"/>
          <w:lang w:val="hu-HU"/>
        </w:rPr>
        <w:t>,</w:t>
      </w:r>
    </w:p>
    <w:p w14:paraId="66B151D0" w14:textId="77777777"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megfelelő belső ellenőrzési mechanizmusok kiépítése, független belső felülvizsgálat biztosítása.</w:t>
      </w:r>
      <w:r w:rsidRPr="00181755">
        <w:rPr>
          <w:rFonts w:asciiTheme="minorHAnsi" w:hAnsiTheme="minorHAnsi"/>
          <w:lang w:val="hu-HU"/>
        </w:rPr>
        <w:t xml:space="preserve"> </w:t>
      </w:r>
    </w:p>
    <w:p w14:paraId="38D77409" w14:textId="57890B93" w:rsidR="003F29E3" w:rsidRPr="00181755" w:rsidRDefault="003F29E3" w:rsidP="00181755">
      <w:pPr>
        <w:pStyle w:val="Cmsor3"/>
        <w:rPr>
          <w:rFonts w:asciiTheme="minorHAnsi" w:hAnsiTheme="minorHAnsi"/>
        </w:rPr>
      </w:pPr>
      <w:bookmarkStart w:id="88" w:name="_Toc461195750"/>
      <w:bookmarkStart w:id="89" w:name="_Toc461524833"/>
      <w:bookmarkStart w:id="90" w:name="_Toc461547883"/>
      <w:bookmarkStart w:id="91" w:name="_Toc461550177"/>
      <w:bookmarkStart w:id="92" w:name="_Toc462401911"/>
      <w:bookmarkStart w:id="93" w:name="_Toc462403032"/>
      <w:bookmarkStart w:id="94" w:name="_Toc462403356"/>
      <w:bookmarkStart w:id="95" w:name="_Toc462403785"/>
      <w:bookmarkStart w:id="96" w:name="_Toc462645653"/>
      <w:bookmarkStart w:id="97" w:name="_Toc468180475"/>
      <w:bookmarkStart w:id="98" w:name="_Toc468181008"/>
      <w:bookmarkStart w:id="99" w:name="_Toc461095163"/>
      <w:bookmarkStart w:id="100" w:name="_Toc461179195"/>
      <w:bookmarkStart w:id="101" w:name="_Toc461179818"/>
      <w:bookmarkStart w:id="102" w:name="_Toc461547884"/>
      <w:bookmarkStart w:id="103" w:name="_Toc462401912"/>
      <w:bookmarkStart w:id="104" w:name="_Toc462403033"/>
      <w:bookmarkStart w:id="105" w:name="_Toc462403357"/>
      <w:bookmarkStart w:id="106" w:name="_Toc468180476"/>
      <w:bookmarkStart w:id="107" w:name="_Toc468181009"/>
      <w:bookmarkStart w:id="108" w:name="_Toc468191408"/>
      <w:bookmarkEnd w:id="88"/>
      <w:bookmarkEnd w:id="89"/>
      <w:bookmarkEnd w:id="90"/>
      <w:bookmarkEnd w:id="91"/>
      <w:bookmarkEnd w:id="92"/>
      <w:bookmarkEnd w:id="93"/>
      <w:bookmarkEnd w:id="94"/>
      <w:bookmarkEnd w:id="95"/>
      <w:bookmarkEnd w:id="96"/>
      <w:bookmarkEnd w:id="97"/>
      <w:bookmarkEnd w:id="98"/>
      <w:r w:rsidRPr="00181755">
        <w:rPr>
          <w:rFonts w:asciiTheme="minorHAnsi" w:hAnsiTheme="minorHAnsi"/>
        </w:rPr>
        <w:t xml:space="preserve">Az ILAAP kialakítására vonatkozó felügyeleti </w:t>
      </w:r>
      <w:bookmarkEnd w:id="99"/>
      <w:bookmarkEnd w:id="100"/>
      <w:bookmarkEnd w:id="101"/>
      <w:bookmarkEnd w:id="102"/>
      <w:r w:rsidR="00A97DF5" w:rsidRPr="00181755">
        <w:rPr>
          <w:rFonts w:asciiTheme="minorHAnsi" w:hAnsiTheme="minorHAnsi"/>
          <w:lang w:val="hu-HU"/>
        </w:rPr>
        <w:t>alapelvek</w:t>
      </w:r>
      <w:bookmarkEnd w:id="103"/>
      <w:bookmarkEnd w:id="104"/>
      <w:bookmarkEnd w:id="105"/>
      <w:bookmarkEnd w:id="106"/>
      <w:bookmarkEnd w:id="107"/>
      <w:bookmarkEnd w:id="108"/>
    </w:p>
    <w:p w14:paraId="66B151D4" w14:textId="6C5DE5E2" w:rsidR="003F29E3" w:rsidRPr="00181755" w:rsidRDefault="003F29E3" w:rsidP="00181755">
      <w:pPr>
        <w:rPr>
          <w:rFonts w:asciiTheme="minorHAnsi" w:hAnsiTheme="minorHAnsi"/>
        </w:rPr>
      </w:pPr>
      <w:r w:rsidRPr="00181755">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1:</w:t>
      </w:r>
      <w:r w:rsidRPr="00181755">
        <w:rPr>
          <w:rFonts w:asciiTheme="minorHAnsi" w:hAnsiTheme="minorHAnsi"/>
          <w:sz w:val="22"/>
          <w:szCs w:val="22"/>
        </w:rPr>
        <w:t xml:space="preserve"> Az ILAAP-ért az adott intézmény viseli a felelősséget.</w:t>
      </w:r>
    </w:p>
    <w:p w14:paraId="66B151D6"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2:</w:t>
      </w:r>
      <w:r w:rsidRPr="00181755">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 xml:space="preserve">ILAAP 3: </w:t>
      </w:r>
      <w:r w:rsidRPr="00181755">
        <w:rPr>
          <w:rFonts w:asciiTheme="minorHAnsi" w:hAnsiTheme="minorHAnsi"/>
          <w:sz w:val="22"/>
          <w:szCs w:val="22"/>
        </w:rPr>
        <w:t>Az ILAAP az intézmény irányítási és döntéshozatali folyamatainak integrált részét kell, hogy képezze.</w:t>
      </w:r>
    </w:p>
    <w:p w14:paraId="66B151D8"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4:</w:t>
      </w:r>
      <w:r w:rsidRPr="00181755">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5:</w:t>
      </w:r>
      <w:r w:rsidRPr="00181755">
        <w:rPr>
          <w:rFonts w:asciiTheme="minorHAnsi" w:hAnsiTheme="minorHAnsi"/>
          <w:sz w:val="22"/>
          <w:szCs w:val="22"/>
        </w:rPr>
        <w:t xml:space="preserve"> Az ILAAP folyamatának kockázatalapúnak kell lennie.</w:t>
      </w:r>
    </w:p>
    <w:p w14:paraId="66B151DA" w14:textId="64E97785"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6:</w:t>
      </w:r>
      <w:r w:rsidRPr="00181755">
        <w:rPr>
          <w:rFonts w:asciiTheme="minorHAnsi" w:hAnsiTheme="minorHAnsi"/>
          <w:sz w:val="22"/>
          <w:szCs w:val="22"/>
        </w:rPr>
        <w:t xml:space="preserve"> Az ILAAP-nak átfogónak, minden részletre kiterjedőnek (széleskörűnek) </w:t>
      </w:r>
      <w:r w:rsidR="00C10FF9" w:rsidRPr="00181755">
        <w:rPr>
          <w:rFonts w:asciiTheme="minorHAnsi" w:hAnsiTheme="minorHAnsi"/>
          <w:sz w:val="22"/>
          <w:szCs w:val="22"/>
        </w:rPr>
        <w:t>és megfelelően dokumentáltnak</w:t>
      </w:r>
      <w:r w:rsidRPr="00181755">
        <w:rPr>
          <w:rFonts w:asciiTheme="minorHAnsi" w:hAnsiTheme="minorHAnsi"/>
          <w:sz w:val="22"/>
          <w:szCs w:val="22"/>
        </w:rPr>
        <w:t xml:space="preserve"> kell lennie.</w:t>
      </w:r>
    </w:p>
    <w:p w14:paraId="66B151DB"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7:</w:t>
      </w:r>
      <w:r w:rsidRPr="00181755">
        <w:rPr>
          <w:rFonts w:asciiTheme="minorHAnsi" w:hAnsiTheme="minorHAnsi"/>
          <w:sz w:val="22"/>
          <w:szCs w:val="22"/>
        </w:rPr>
        <w:t xml:space="preserve"> Az I</w:t>
      </w:r>
      <w:r w:rsidR="001A7470" w:rsidRPr="00181755">
        <w:rPr>
          <w:rFonts w:asciiTheme="minorHAnsi" w:hAnsiTheme="minorHAnsi"/>
          <w:sz w:val="22"/>
          <w:szCs w:val="22"/>
        </w:rPr>
        <w:t>L</w:t>
      </w:r>
      <w:r w:rsidRPr="00181755">
        <w:rPr>
          <w:rFonts w:asciiTheme="minorHAnsi" w:hAnsiTheme="minorHAnsi"/>
          <w:sz w:val="22"/>
          <w:szCs w:val="22"/>
        </w:rPr>
        <w:t>AAP előretekintő és jövőorientált.</w:t>
      </w:r>
    </w:p>
    <w:p w14:paraId="66B151DC"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8:</w:t>
      </w:r>
      <w:r w:rsidRPr="00181755">
        <w:rPr>
          <w:rFonts w:asciiTheme="minorHAnsi" w:hAnsiTheme="minorHAnsi"/>
          <w:sz w:val="22"/>
          <w:szCs w:val="22"/>
        </w:rPr>
        <w:t xml:space="preserve"> Az ILAAP megfelelő mérési és értékelési eljárásokon alapul.</w:t>
      </w:r>
    </w:p>
    <w:p w14:paraId="66B151DD" w14:textId="305ED1CB" w:rsidR="003F29E3" w:rsidRPr="00181755" w:rsidRDefault="003F29E3" w:rsidP="00181755">
      <w:pPr>
        <w:pStyle w:val="Default"/>
        <w:spacing w:after="240"/>
        <w:jc w:val="both"/>
        <w:rPr>
          <w:rFonts w:asciiTheme="minorHAnsi" w:hAnsiTheme="minorHAnsi"/>
          <w:sz w:val="22"/>
          <w:szCs w:val="22"/>
        </w:rPr>
      </w:pPr>
      <w:r w:rsidRPr="00181755">
        <w:rPr>
          <w:rFonts w:asciiTheme="minorHAnsi" w:hAnsiTheme="minorHAnsi"/>
          <w:b/>
          <w:sz w:val="22"/>
          <w:szCs w:val="22"/>
        </w:rPr>
        <w:t>ILAAP 9:</w:t>
      </w:r>
      <w:r w:rsidRPr="00181755">
        <w:rPr>
          <w:rFonts w:asciiTheme="minorHAnsi" w:hAnsiTheme="minorHAnsi"/>
          <w:sz w:val="22"/>
          <w:szCs w:val="22"/>
        </w:rPr>
        <w:t xml:space="preserve"> Az ILAAP </w:t>
      </w:r>
      <w:r w:rsidR="00C10FF9" w:rsidRPr="00181755">
        <w:rPr>
          <w:rFonts w:asciiTheme="minorHAnsi" w:hAnsiTheme="minorHAnsi"/>
          <w:sz w:val="22"/>
          <w:szCs w:val="22"/>
        </w:rPr>
        <w:t>egyértelmű</w:t>
      </w:r>
      <w:r w:rsidR="008675CC" w:rsidRPr="00181755">
        <w:rPr>
          <w:rFonts w:asciiTheme="minorHAnsi" w:hAnsiTheme="minorHAnsi"/>
          <w:sz w:val="22"/>
          <w:szCs w:val="22"/>
        </w:rPr>
        <w:t>, megalapozott</w:t>
      </w:r>
      <w:r w:rsidR="00C10FF9" w:rsidRPr="00181755">
        <w:rPr>
          <w:rFonts w:asciiTheme="minorHAnsi" w:hAnsiTheme="minorHAnsi"/>
          <w:sz w:val="22"/>
          <w:szCs w:val="22"/>
        </w:rPr>
        <w:t xml:space="preserve"> </w:t>
      </w:r>
      <w:r w:rsidRPr="00181755">
        <w:rPr>
          <w:rFonts w:asciiTheme="minorHAnsi" w:hAnsiTheme="minorHAnsi"/>
          <w:sz w:val="22"/>
          <w:szCs w:val="22"/>
        </w:rPr>
        <w:t>végeredményt eredményez</w:t>
      </w:r>
      <w:r w:rsidR="00C10FF9" w:rsidRPr="00181755">
        <w:rPr>
          <w:rFonts w:asciiTheme="minorHAnsi" w:hAnsiTheme="minorHAnsi"/>
          <w:sz w:val="22"/>
          <w:szCs w:val="22"/>
        </w:rPr>
        <w:t>, esetlegesen feltárt kockázatok esetén szükséges lépéseket is meghatároz</w:t>
      </w:r>
    </w:p>
    <w:p w14:paraId="3C8B432E" w14:textId="1EB3BBAA" w:rsidR="008A27E8" w:rsidRPr="00181755" w:rsidRDefault="0053314E" w:rsidP="00181755">
      <w:pPr>
        <w:pStyle w:val="Cmsor2"/>
        <w:rPr>
          <w:rFonts w:asciiTheme="minorHAnsi" w:hAnsiTheme="minorHAnsi"/>
        </w:rPr>
      </w:pPr>
      <w:bookmarkStart w:id="109" w:name="_Toc461195752"/>
      <w:bookmarkStart w:id="110" w:name="_Toc461524835"/>
      <w:bookmarkStart w:id="111" w:name="_Toc461547886"/>
      <w:bookmarkStart w:id="112" w:name="_Toc461550179"/>
      <w:bookmarkStart w:id="113" w:name="_Toc462401913"/>
      <w:bookmarkStart w:id="114" w:name="_Toc462403034"/>
      <w:bookmarkStart w:id="115" w:name="_Toc462403358"/>
      <w:bookmarkStart w:id="116" w:name="_Toc462403787"/>
      <w:bookmarkStart w:id="117" w:name="_Toc462645655"/>
      <w:bookmarkStart w:id="118" w:name="_Toc468180477"/>
      <w:bookmarkStart w:id="119" w:name="_Toc468181010"/>
      <w:bookmarkStart w:id="120" w:name="_Toc461179196"/>
      <w:bookmarkStart w:id="121" w:name="_Toc461179820"/>
      <w:bookmarkStart w:id="122" w:name="_Toc461547887"/>
      <w:bookmarkStart w:id="123" w:name="_Toc462401914"/>
      <w:bookmarkStart w:id="124" w:name="_Toc462403035"/>
      <w:bookmarkStart w:id="125" w:name="_Toc462403359"/>
      <w:bookmarkStart w:id="126" w:name="_Toc468180478"/>
      <w:bookmarkStart w:id="127" w:name="_Toc468181011"/>
      <w:bookmarkStart w:id="128" w:name="_Toc468191409"/>
      <w:bookmarkStart w:id="129" w:name="_Toc461095165"/>
      <w:bookmarkEnd w:id="109"/>
      <w:bookmarkEnd w:id="110"/>
      <w:bookmarkEnd w:id="111"/>
      <w:bookmarkEnd w:id="112"/>
      <w:bookmarkEnd w:id="113"/>
      <w:bookmarkEnd w:id="114"/>
      <w:bookmarkEnd w:id="115"/>
      <w:bookmarkEnd w:id="116"/>
      <w:bookmarkEnd w:id="117"/>
      <w:bookmarkEnd w:id="118"/>
      <w:bookmarkEnd w:id="119"/>
      <w:r w:rsidRPr="00181755">
        <w:rPr>
          <w:rFonts w:asciiTheme="minorHAnsi" w:hAnsiTheme="minorHAnsi"/>
        </w:rPr>
        <w:t>Üzleti m</w:t>
      </w:r>
      <w:r w:rsidR="008A27E8" w:rsidRPr="00181755">
        <w:rPr>
          <w:rFonts w:asciiTheme="minorHAnsi" w:hAnsiTheme="minorHAnsi"/>
        </w:rPr>
        <w:t>odell elemzés</w:t>
      </w:r>
      <w:r w:rsidR="00F6344D" w:rsidRPr="00181755">
        <w:rPr>
          <w:rFonts w:asciiTheme="minorHAnsi" w:hAnsiTheme="minorHAnsi"/>
        </w:rPr>
        <w:t xml:space="preserve"> (BMA)</w:t>
      </w:r>
      <w:bookmarkEnd w:id="120"/>
      <w:bookmarkEnd w:id="121"/>
      <w:bookmarkEnd w:id="122"/>
      <w:bookmarkEnd w:id="123"/>
      <w:bookmarkEnd w:id="124"/>
      <w:bookmarkEnd w:id="125"/>
      <w:bookmarkEnd w:id="126"/>
      <w:bookmarkEnd w:id="127"/>
      <w:bookmarkEnd w:id="128"/>
    </w:p>
    <w:p w14:paraId="7AE528D4" w14:textId="3EE0F533" w:rsidR="00AD3F4F" w:rsidRPr="00181755" w:rsidRDefault="002F586A" w:rsidP="00181755">
      <w:pPr>
        <w:rPr>
          <w:rFonts w:asciiTheme="minorHAnsi" w:hAnsiTheme="minorHAnsi"/>
          <w:lang w:eastAsia="x-none"/>
        </w:rPr>
      </w:pPr>
      <w:r w:rsidRPr="00181755">
        <w:rPr>
          <w:rFonts w:asciiTheme="minorHAnsi" w:hAnsiTheme="minorHAnsi"/>
        </w:rPr>
        <w:t xml:space="preserve">A rendszeres üzleti modell elemzés célja az üzleti és stratégiai kockázatok értékelése, valamint </w:t>
      </w:r>
      <w:r w:rsidR="00DA3C63" w:rsidRPr="00181755">
        <w:rPr>
          <w:rFonts w:asciiTheme="minorHAnsi" w:hAnsiTheme="minorHAnsi"/>
        </w:rPr>
        <w:t xml:space="preserve">a felügyeleti álláspont kialakítása </w:t>
      </w:r>
      <w:r w:rsidRPr="00181755">
        <w:rPr>
          <w:rFonts w:asciiTheme="minorHAnsi" w:hAnsiTheme="minorHAnsi"/>
        </w:rPr>
        <w:t xml:space="preserve">az intézmény üzleti modellje életképességének és stratégiája fenntarthatóságának tekintetében. Az üzleti modell elemzés eredményeit az MNB felhasználja a SREP vizsgálat összes további elemének, így </w:t>
      </w:r>
      <w:r w:rsidR="00BC2327" w:rsidRPr="00181755">
        <w:rPr>
          <w:rFonts w:asciiTheme="minorHAnsi" w:hAnsiTheme="minorHAnsi"/>
        </w:rPr>
        <w:t xml:space="preserve">különösen </w:t>
      </w:r>
      <w:r w:rsidRPr="00181755">
        <w:rPr>
          <w:rFonts w:asciiTheme="minorHAnsi" w:hAnsiTheme="minorHAnsi"/>
        </w:rPr>
        <w:t xml:space="preserve">a tőkemegfelelés és a likviditás megfelelőség értékeléséhez, </w:t>
      </w:r>
      <w:r w:rsidR="00BC2327" w:rsidRPr="00181755">
        <w:rPr>
          <w:rFonts w:asciiTheme="minorHAnsi" w:hAnsiTheme="minorHAnsi"/>
        </w:rPr>
        <w:t xml:space="preserve">és </w:t>
      </w:r>
      <w:r w:rsidRPr="00181755">
        <w:rPr>
          <w:rFonts w:asciiTheme="minorHAnsi" w:hAnsiTheme="minorHAnsi"/>
        </w:rPr>
        <w:t xml:space="preserve">az értékelések alátámasztásához is. </w:t>
      </w:r>
    </w:p>
    <w:p w14:paraId="0012C0E2" w14:textId="3AF2E89F" w:rsidR="00934073" w:rsidRPr="00181755" w:rsidRDefault="00DD48A4" w:rsidP="00181755">
      <w:pPr>
        <w:rPr>
          <w:rFonts w:asciiTheme="minorHAnsi" w:hAnsiTheme="minorHAnsi"/>
        </w:rPr>
      </w:pPr>
      <w:r w:rsidRPr="00181755">
        <w:rPr>
          <w:rFonts w:asciiTheme="minorHAnsi" w:hAnsiTheme="minorHAnsi"/>
          <w:lang w:eastAsia="x-none"/>
        </w:rPr>
        <w:t xml:space="preserve">Az adott </w:t>
      </w:r>
      <w:r w:rsidR="00D176C5" w:rsidRPr="00181755">
        <w:rPr>
          <w:rFonts w:asciiTheme="minorHAnsi" w:hAnsiTheme="minorHAnsi"/>
          <w:lang w:eastAsia="x-none"/>
        </w:rPr>
        <w:t>intézmény</w:t>
      </w:r>
      <w:r w:rsidRPr="00181755">
        <w:rPr>
          <w:rFonts w:asciiTheme="minorHAnsi" w:hAnsiTheme="minorHAnsi"/>
          <w:lang w:eastAsia="x-none"/>
        </w:rPr>
        <w:t xml:space="preserve"> </w:t>
      </w:r>
      <w:r w:rsidRPr="00181755">
        <w:rPr>
          <w:rFonts w:asciiTheme="minorHAnsi" w:hAnsiTheme="minorHAnsi"/>
        </w:rPr>
        <w:t>irányítási jogkörrel rendelkező vezető testületének felelőssége, hogy a külső és belső adottságok és lehetőségek mérlegelésével kialakítsák és</w:t>
      </w:r>
      <w:r w:rsidR="00D176C5" w:rsidRPr="00181755">
        <w:rPr>
          <w:rFonts w:asciiTheme="minorHAnsi" w:hAnsiTheme="minorHAnsi"/>
        </w:rPr>
        <w:t xml:space="preserve"> rendszeresen felülvizsgálják</w:t>
      </w:r>
      <w:r w:rsidR="0053314E" w:rsidRPr="00181755">
        <w:rPr>
          <w:rFonts w:asciiTheme="minorHAnsi" w:hAnsiTheme="minorHAnsi"/>
        </w:rPr>
        <w:t>, és szükség esetén módosítsák</w:t>
      </w:r>
      <w:r w:rsidR="00D176C5" w:rsidRPr="00181755">
        <w:rPr>
          <w:rFonts w:asciiTheme="minorHAnsi" w:hAnsiTheme="minorHAnsi"/>
        </w:rPr>
        <w:t xml:space="preserve"> az intézmény </w:t>
      </w:r>
      <w:r w:rsidRPr="00181755">
        <w:rPr>
          <w:rFonts w:asciiTheme="minorHAnsi" w:hAnsiTheme="minorHAnsi"/>
        </w:rPr>
        <w:t>működési modelljét annak érdekében, hogy a</w:t>
      </w:r>
      <w:r w:rsidR="00934073" w:rsidRPr="00181755">
        <w:rPr>
          <w:rFonts w:asciiTheme="minorHAnsi" w:hAnsiTheme="minorHAnsi"/>
        </w:rPr>
        <w:t>z képes legyen elfogadható bevételt</w:t>
      </w:r>
      <w:r w:rsidR="00337C85" w:rsidRPr="00181755">
        <w:rPr>
          <w:rFonts w:asciiTheme="minorHAnsi" w:hAnsiTheme="minorHAnsi"/>
        </w:rPr>
        <w:t xml:space="preserve"> / megtérülést</w:t>
      </w:r>
      <w:r w:rsidR="00934073" w:rsidRPr="00181755">
        <w:rPr>
          <w:rFonts w:asciiTheme="minorHAnsi" w:hAnsiTheme="minorHAnsi"/>
        </w:rPr>
        <w:t xml:space="preserve"> termelni</w:t>
      </w:r>
      <w:r w:rsidR="002F586A" w:rsidRPr="00181755">
        <w:rPr>
          <w:rFonts w:asciiTheme="minorHAnsi" w:hAnsiTheme="minorHAnsi"/>
        </w:rPr>
        <w:t>.</w:t>
      </w:r>
      <w:r w:rsidR="002F586A" w:rsidRPr="00181755" w:rsidDel="002F586A">
        <w:rPr>
          <w:rFonts w:asciiTheme="minorHAnsi" w:hAnsiTheme="minorHAnsi"/>
        </w:rPr>
        <w:t xml:space="preserve"> </w:t>
      </w:r>
    </w:p>
    <w:p w14:paraId="20F4ADAB" w14:textId="1CFF62F5" w:rsidR="00DD48A4" w:rsidRPr="00181755" w:rsidRDefault="00934073" w:rsidP="00181755">
      <w:pPr>
        <w:rPr>
          <w:rFonts w:asciiTheme="minorHAnsi" w:hAnsiTheme="minorHAnsi"/>
        </w:rPr>
      </w:pPr>
      <w:r w:rsidRPr="00181755">
        <w:rPr>
          <w:rFonts w:asciiTheme="minorHAnsi" w:hAnsiTheme="minorHAnsi"/>
        </w:rPr>
        <w:t xml:space="preserve">Az üzleti modell </w:t>
      </w:r>
      <w:r w:rsidR="00E75731" w:rsidRPr="00181755">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181755">
        <w:rPr>
          <w:rFonts w:asciiTheme="minorHAnsi" w:hAnsiTheme="minorHAnsi"/>
        </w:rPr>
        <w:t xml:space="preserve"> is</w:t>
      </w:r>
      <w:r w:rsidR="00E75731" w:rsidRPr="00181755">
        <w:rPr>
          <w:rFonts w:asciiTheme="minorHAnsi" w:hAnsiTheme="minorHAnsi"/>
        </w:rPr>
        <w:t xml:space="preserve">. </w:t>
      </w:r>
    </w:p>
    <w:p w14:paraId="33EE0FB2" w14:textId="331881BC" w:rsidR="00E75731" w:rsidRPr="00181755" w:rsidRDefault="000E08E2" w:rsidP="00181755">
      <w:pPr>
        <w:rPr>
          <w:rFonts w:asciiTheme="minorHAnsi" w:hAnsiTheme="minorHAnsi"/>
        </w:rPr>
      </w:pPr>
      <w:r w:rsidRPr="00181755">
        <w:rPr>
          <w:rFonts w:asciiTheme="minorHAnsi" w:hAnsiTheme="minorHAnsi"/>
        </w:rPr>
        <w:t>Az üzleti modell kapcsán elvárja a</w:t>
      </w:r>
      <w:r w:rsidR="0053314E" w:rsidRPr="00181755">
        <w:rPr>
          <w:rFonts w:asciiTheme="minorHAnsi" w:hAnsiTheme="minorHAnsi"/>
        </w:rPr>
        <w:t>z MNB</w:t>
      </w:r>
      <w:r w:rsidRPr="00181755">
        <w:rPr>
          <w:rFonts w:asciiTheme="minorHAnsi" w:hAnsiTheme="minorHAnsi"/>
        </w:rPr>
        <w:t xml:space="preserve">, hogy </w:t>
      </w:r>
    </w:p>
    <w:p w14:paraId="68AFDB0C" w14:textId="4FD87A7B" w:rsidR="00DA3C63" w:rsidRPr="00181755" w:rsidRDefault="00DA3C63" w:rsidP="00181755">
      <w:pPr>
        <w:pStyle w:val="Listaszerbekezds"/>
        <w:numPr>
          <w:ilvl w:val="0"/>
          <w:numId w:val="26"/>
        </w:numPr>
        <w:rPr>
          <w:rFonts w:asciiTheme="minorHAnsi" w:hAnsiTheme="minorHAnsi"/>
          <w:sz w:val="22"/>
          <w:szCs w:val="22"/>
        </w:rPr>
      </w:pPr>
      <w:r w:rsidRPr="00181755">
        <w:rPr>
          <w:rFonts w:asciiTheme="minorHAnsi" w:hAnsiTheme="minorHAnsi"/>
          <w:sz w:val="22"/>
          <w:szCs w:val="22"/>
          <w:lang w:val="hu-HU"/>
        </w:rPr>
        <w:t>összhangban legyen az intézmény stratégiájával,</w:t>
      </w:r>
    </w:p>
    <w:p w14:paraId="550FEDD0" w14:textId="1ACDEF44" w:rsidR="000E08E2" w:rsidRPr="00181755" w:rsidRDefault="000E08E2" w:rsidP="00181755">
      <w:pPr>
        <w:pStyle w:val="Listaszerbekezds"/>
        <w:numPr>
          <w:ilvl w:val="0"/>
          <w:numId w:val="26"/>
        </w:numPr>
        <w:rPr>
          <w:rFonts w:asciiTheme="minorHAnsi" w:hAnsiTheme="minorHAnsi"/>
        </w:rPr>
      </w:pPr>
      <w:r w:rsidRPr="00181755">
        <w:rPr>
          <w:rFonts w:asciiTheme="minorHAnsi" w:hAnsiTheme="minorHAnsi"/>
          <w:sz w:val="22"/>
          <w:szCs w:val="22"/>
        </w:rPr>
        <w:t>az intézmény irányítási és döntéshozatali folyamatainak integrált részét</w:t>
      </w:r>
      <w:r w:rsidRPr="00181755">
        <w:rPr>
          <w:rFonts w:asciiTheme="minorHAnsi" w:hAnsiTheme="minorHAnsi"/>
          <w:sz w:val="22"/>
          <w:szCs w:val="22"/>
          <w:lang w:val="hu-HU"/>
        </w:rPr>
        <w:t xml:space="preserve"> képezzék,</w:t>
      </w:r>
    </w:p>
    <w:p w14:paraId="259B647F" w14:textId="37B3E0D0" w:rsidR="000E08E2" w:rsidRPr="00181755" w:rsidRDefault="000E08E2" w:rsidP="00181755">
      <w:pPr>
        <w:pStyle w:val="Listaszerbekezds"/>
        <w:numPr>
          <w:ilvl w:val="0"/>
          <w:numId w:val="26"/>
        </w:numPr>
        <w:rPr>
          <w:rFonts w:asciiTheme="minorHAnsi" w:hAnsiTheme="minorHAnsi"/>
          <w:lang w:eastAsia="hu-HU"/>
        </w:rPr>
      </w:pPr>
      <w:r w:rsidRPr="00181755">
        <w:rPr>
          <w:rFonts w:asciiTheme="minorHAnsi" w:hAnsiTheme="minorHAnsi"/>
          <w:color w:val="000000"/>
          <w:sz w:val="22"/>
          <w:szCs w:val="22"/>
          <w:lang w:val="hu-HU" w:eastAsia="hu-HU"/>
        </w:rPr>
        <w:t>a feltárt és azonosított kockázatokat az ICAAP / ILAAP eljárásokban figyelembe vegyék</w:t>
      </w:r>
      <w:r w:rsidR="00DF7ED8" w:rsidRPr="00181755">
        <w:rPr>
          <w:rFonts w:asciiTheme="minorHAnsi" w:hAnsiTheme="minorHAnsi"/>
          <w:color w:val="000000"/>
          <w:sz w:val="22"/>
          <w:szCs w:val="22"/>
          <w:lang w:val="hu-HU" w:eastAsia="hu-HU"/>
        </w:rPr>
        <w:t>, valamint az üzleti és stratégia tervezés során kezeljék azokat.</w:t>
      </w:r>
    </w:p>
    <w:p w14:paraId="66B151E6" w14:textId="6B830506" w:rsidR="003F29E3" w:rsidRPr="00181755" w:rsidRDefault="00152686" w:rsidP="00181755">
      <w:pPr>
        <w:spacing w:after="240"/>
        <w:rPr>
          <w:rFonts w:asciiTheme="minorHAnsi" w:hAnsiTheme="minorHAnsi"/>
        </w:rPr>
      </w:pPr>
      <w:r w:rsidRPr="00181755">
        <w:rPr>
          <w:rFonts w:asciiTheme="minorHAnsi" w:hAnsiTheme="minorHAnsi"/>
        </w:rPr>
        <w:t xml:space="preserve">Az MNB elvárja, hogy az intézmény az üzleti </w:t>
      </w:r>
      <w:r w:rsidR="002F586A" w:rsidRPr="00181755">
        <w:rPr>
          <w:rFonts w:asciiTheme="minorHAnsi" w:hAnsiTheme="minorHAnsi"/>
        </w:rPr>
        <w:t>tervek kialakításának és</w:t>
      </w:r>
      <w:r w:rsidRPr="00181755">
        <w:rPr>
          <w:rFonts w:asciiTheme="minorHAnsi" w:hAnsiTheme="minorHAnsi"/>
        </w:rPr>
        <w:t xml:space="preserve"> felülvizsgálat</w:t>
      </w:r>
      <w:r w:rsidR="002F586A" w:rsidRPr="00181755">
        <w:rPr>
          <w:rFonts w:asciiTheme="minorHAnsi" w:hAnsiTheme="minorHAnsi"/>
        </w:rPr>
        <w:t>ának</w:t>
      </w:r>
      <w:r w:rsidRPr="00181755">
        <w:rPr>
          <w:rFonts w:asciiTheme="minorHAnsi" w:hAnsiTheme="minorHAnsi"/>
        </w:rPr>
        <w:t xml:space="preserve"> eredményét</w:t>
      </w:r>
      <w:r w:rsidR="00BC2327" w:rsidRPr="00181755">
        <w:rPr>
          <w:rFonts w:asciiTheme="minorHAnsi" w:hAnsiTheme="minorHAnsi"/>
        </w:rPr>
        <w:t>, az alkalmazott feltételezéseket részletesen</w:t>
      </w:r>
      <w:r w:rsidRPr="00181755">
        <w:rPr>
          <w:rFonts w:asciiTheme="minorHAnsi" w:hAnsiTheme="minorHAnsi"/>
        </w:rPr>
        <w:t xml:space="preserve"> dokumentálja. </w:t>
      </w:r>
      <w:bookmarkEnd w:id="86"/>
      <w:bookmarkEnd w:id="87"/>
      <w:bookmarkEnd w:id="129"/>
    </w:p>
    <w:p w14:paraId="3BBCDDFC" w14:textId="1C64A301" w:rsidR="00832314" w:rsidRPr="00181755" w:rsidRDefault="003F29E3" w:rsidP="00181755">
      <w:pPr>
        <w:pStyle w:val="Cmsor2"/>
        <w:rPr>
          <w:rFonts w:asciiTheme="minorHAnsi" w:hAnsiTheme="minorHAnsi"/>
        </w:rPr>
      </w:pPr>
      <w:bookmarkStart w:id="130" w:name="_Toc462401916"/>
      <w:bookmarkStart w:id="131" w:name="_Toc462403037"/>
      <w:bookmarkStart w:id="132" w:name="_Toc462403361"/>
      <w:bookmarkStart w:id="133" w:name="_Toc468180480"/>
      <w:bookmarkStart w:id="134" w:name="_Toc468181012"/>
      <w:bookmarkStart w:id="135" w:name="_Toc468191410"/>
      <w:bookmarkStart w:id="136" w:name="_Toc461095166"/>
      <w:bookmarkStart w:id="137" w:name="_Toc461179198"/>
      <w:bookmarkStart w:id="138" w:name="_Toc461179822"/>
      <w:bookmarkStart w:id="139" w:name="_Toc461197739"/>
      <w:bookmarkStart w:id="140" w:name="_Toc461201265"/>
      <w:bookmarkStart w:id="141" w:name="_Toc461547889"/>
      <w:r w:rsidRPr="00181755">
        <w:rPr>
          <w:rFonts w:asciiTheme="minorHAnsi" w:hAnsiTheme="minorHAnsi"/>
        </w:rPr>
        <w:t>A</w:t>
      </w:r>
      <w:r w:rsidR="00BC2327" w:rsidRPr="00181755">
        <w:rPr>
          <w:rFonts w:asciiTheme="minorHAnsi" w:hAnsiTheme="minorHAnsi"/>
        </w:rPr>
        <w:t>z ICAA</w:t>
      </w:r>
      <w:r w:rsidR="007A5B66" w:rsidRPr="00181755">
        <w:rPr>
          <w:rFonts w:asciiTheme="minorHAnsi" w:hAnsiTheme="minorHAnsi"/>
        </w:rPr>
        <w:t xml:space="preserve">P és az </w:t>
      </w:r>
      <w:r w:rsidR="00BC2327" w:rsidRPr="00181755">
        <w:rPr>
          <w:rFonts w:asciiTheme="minorHAnsi" w:hAnsiTheme="minorHAnsi"/>
        </w:rPr>
        <w:t>ILAAP</w:t>
      </w:r>
      <w:r w:rsidRPr="00181755">
        <w:rPr>
          <w:rFonts w:asciiTheme="minorHAnsi" w:hAnsiTheme="minorHAnsi"/>
        </w:rPr>
        <w:t xml:space="preserve"> felülvizsgálat</w:t>
      </w:r>
      <w:r w:rsidR="00BC2327" w:rsidRPr="00181755">
        <w:rPr>
          <w:rFonts w:asciiTheme="minorHAnsi" w:hAnsiTheme="minorHAnsi"/>
        </w:rPr>
        <w:t>ok</w:t>
      </w:r>
      <w:r w:rsidRPr="00181755">
        <w:rPr>
          <w:rFonts w:asciiTheme="minorHAnsi" w:hAnsiTheme="minorHAnsi"/>
        </w:rPr>
        <w:t xml:space="preserve"> során érvényesítendő</w:t>
      </w:r>
      <w:r w:rsidR="004E21EE" w:rsidRPr="00181755">
        <w:rPr>
          <w:rFonts w:asciiTheme="minorHAnsi" w:hAnsiTheme="minorHAnsi"/>
        </w:rPr>
        <w:t xml:space="preserve"> általános alapelvek</w:t>
      </w:r>
      <w:bookmarkEnd w:id="130"/>
      <w:bookmarkEnd w:id="131"/>
      <w:bookmarkEnd w:id="132"/>
      <w:bookmarkEnd w:id="133"/>
      <w:bookmarkEnd w:id="134"/>
      <w:bookmarkEnd w:id="135"/>
    </w:p>
    <w:p w14:paraId="66B151E7" w14:textId="0D9C406F" w:rsidR="003F29E3" w:rsidRPr="00181755" w:rsidRDefault="004E21EE" w:rsidP="00181755">
      <w:pPr>
        <w:pStyle w:val="Cmsor3"/>
        <w:rPr>
          <w:rFonts w:asciiTheme="minorHAnsi" w:hAnsiTheme="minorHAnsi"/>
        </w:rPr>
      </w:pPr>
      <w:bookmarkStart w:id="142" w:name="_Toc462401917"/>
      <w:bookmarkStart w:id="143" w:name="_Toc462403038"/>
      <w:bookmarkStart w:id="144" w:name="_Toc462403362"/>
      <w:bookmarkStart w:id="145" w:name="_Toc468180481"/>
      <w:bookmarkStart w:id="146" w:name="_Toc468181013"/>
      <w:bookmarkStart w:id="147" w:name="_Toc468191411"/>
      <w:r w:rsidRPr="00181755">
        <w:rPr>
          <w:rFonts w:asciiTheme="minorHAnsi" w:hAnsiTheme="minorHAnsi"/>
          <w:lang w:val="hu-HU"/>
        </w:rPr>
        <w:t>N</w:t>
      </w:r>
      <w:r w:rsidR="003F29E3" w:rsidRPr="00181755">
        <w:rPr>
          <w:rFonts w:asciiTheme="minorHAnsi" w:hAnsiTheme="minorHAnsi"/>
        </w:rPr>
        <w:t>emzetközileg elfogadott alapelvek</w:t>
      </w:r>
      <w:bookmarkEnd w:id="136"/>
      <w:bookmarkEnd w:id="137"/>
      <w:bookmarkEnd w:id="138"/>
      <w:bookmarkEnd w:id="139"/>
      <w:bookmarkEnd w:id="140"/>
      <w:bookmarkEnd w:id="141"/>
      <w:bookmarkEnd w:id="142"/>
      <w:bookmarkEnd w:id="143"/>
      <w:bookmarkEnd w:id="144"/>
      <w:bookmarkEnd w:id="145"/>
      <w:bookmarkEnd w:id="146"/>
      <w:bookmarkEnd w:id="147"/>
    </w:p>
    <w:p w14:paraId="66B151E8" w14:textId="77777777" w:rsidR="003F29E3" w:rsidRPr="00181755" w:rsidRDefault="003F29E3" w:rsidP="00181755">
      <w:pPr>
        <w:rPr>
          <w:rFonts w:asciiTheme="minorHAnsi" w:hAnsiTheme="minorHAnsi"/>
          <w:iCs/>
        </w:rPr>
      </w:pPr>
      <w:r w:rsidRPr="00181755">
        <w:rPr>
          <w:rFonts w:asciiTheme="minorHAnsi" w:hAnsiTheme="minorHAnsi"/>
        </w:rPr>
        <w:t>A felügyeleti felülvizsgálat nemzetközileg elfogadott alapelvei a következők:</w:t>
      </w:r>
    </w:p>
    <w:p w14:paraId="66B151E9" w14:textId="77777777" w:rsidR="003F29E3" w:rsidRPr="00181755" w:rsidRDefault="003F29E3" w:rsidP="00181755">
      <w:pPr>
        <w:pStyle w:val="felsorolsos"/>
        <w:rPr>
          <w:rFonts w:asciiTheme="minorHAnsi" w:hAnsiTheme="minorHAnsi"/>
        </w:rPr>
      </w:pPr>
      <w:r w:rsidRPr="00181755">
        <w:rPr>
          <w:rFonts w:asciiTheme="minorHAnsi" w:hAnsiTheme="minorHAnsi"/>
          <w:b/>
        </w:rPr>
        <w:t xml:space="preserve">Az intézmények önállóan mérik kockázati kitettségüket, illetve biztosítják a szükséges </w:t>
      </w:r>
      <w:r w:rsidRPr="00181755">
        <w:rPr>
          <w:rFonts w:asciiTheme="minorHAnsi" w:hAnsiTheme="minorHAnsi"/>
          <w:b/>
          <w:lang w:val="hu-HU"/>
        </w:rPr>
        <w:t>likviditási és</w:t>
      </w:r>
      <w:r w:rsidRPr="00181755">
        <w:rPr>
          <w:rFonts w:asciiTheme="minorHAnsi" w:hAnsiTheme="minorHAnsi"/>
          <w:b/>
        </w:rPr>
        <w:t xml:space="preserve"> tőkeszint fenntartását. </w:t>
      </w:r>
      <w:r w:rsidRPr="00181755">
        <w:rPr>
          <w:rFonts w:asciiTheme="minorHAnsi" w:hAnsiTheme="minorHAnsi"/>
        </w:rPr>
        <w:t>Az intézményeknek kockázati profiljuknak megfelelő tőkeszámítási eljárásokkal és a tőkeszint fenntartására irányuló</w:t>
      </w:r>
      <w:r w:rsidRPr="00181755">
        <w:rPr>
          <w:rFonts w:asciiTheme="minorHAnsi" w:hAnsiTheme="minorHAnsi"/>
          <w:lang w:val="hu-HU"/>
        </w:rPr>
        <w:t>, valamint likviditási</w:t>
      </w:r>
      <w:r w:rsidRPr="00181755">
        <w:rPr>
          <w:rFonts w:asciiTheme="minorHAnsi" w:hAnsiTheme="minorHAnsi"/>
        </w:rPr>
        <w:t xml:space="preserve"> stratégiával kell rendelkezniük.</w:t>
      </w:r>
    </w:p>
    <w:p w14:paraId="66B151EA" w14:textId="77777777" w:rsidR="003F29E3" w:rsidRPr="00181755" w:rsidRDefault="003F29E3" w:rsidP="00181755">
      <w:pPr>
        <w:pStyle w:val="felsorolsos"/>
        <w:rPr>
          <w:rFonts w:asciiTheme="minorHAnsi" w:hAnsiTheme="minorHAnsi"/>
        </w:rPr>
      </w:pPr>
      <w:r w:rsidRPr="00181755">
        <w:rPr>
          <w:rFonts w:asciiTheme="minorHAnsi" w:hAnsiTheme="minorHAnsi"/>
          <w:b/>
        </w:rPr>
        <w:t>Az intézmények belső eljárásait a felügyeleti hatóság felülvizsgálja</w:t>
      </w:r>
      <w:r w:rsidRPr="00181755">
        <w:rPr>
          <w:rFonts w:asciiTheme="minorHAnsi" w:hAnsiTheme="minorHAnsi"/>
        </w:rPr>
        <w:t>. A</w:t>
      </w:r>
      <w:r w:rsidRPr="00181755">
        <w:rPr>
          <w:rFonts w:asciiTheme="minorHAnsi" w:hAnsiTheme="minorHAnsi"/>
          <w:lang w:val="hu-HU"/>
        </w:rPr>
        <w:t xml:space="preserve">z MNB </w:t>
      </w:r>
      <w:r w:rsidRPr="00181755">
        <w:rPr>
          <w:rFonts w:asciiTheme="minorHAnsi" w:hAnsiTheme="minorHAnsi"/>
        </w:rPr>
        <w:t>az intézmények belső tőkemegfelelés</w:t>
      </w:r>
      <w:r w:rsidR="00BA33A5" w:rsidRPr="00181755">
        <w:rPr>
          <w:rFonts w:asciiTheme="minorHAnsi" w:hAnsiTheme="minorHAnsi"/>
          <w:lang w:val="hu-HU"/>
        </w:rPr>
        <w:t xml:space="preserve"> értékelési</w:t>
      </w:r>
      <w:r w:rsidRPr="00181755">
        <w:rPr>
          <w:rFonts w:asciiTheme="minorHAnsi" w:hAnsiTheme="minorHAnsi"/>
        </w:rPr>
        <w:t xml:space="preserve"> eljárásait, kockázati stratégiáját</w:t>
      </w:r>
      <w:r w:rsidRPr="00181755">
        <w:rPr>
          <w:rFonts w:asciiTheme="minorHAnsi" w:hAnsiTheme="minorHAnsi"/>
          <w:lang w:val="hu-HU"/>
        </w:rPr>
        <w:t>, tőketervét, likviditás megfelelési eljárásait és kockázatkezelési rendszerét</w:t>
      </w:r>
      <w:r w:rsidRPr="00181755">
        <w:rPr>
          <w:rFonts w:asciiTheme="minorHAnsi" w:hAnsiTheme="minorHAnsi"/>
        </w:rPr>
        <w:t xml:space="preserve"> megvizsgálja és értékeli. Ennek során megítéli, hogy az intézmény képes-e folyamatosan biztosítani a prudens működéshez szükséges tőkeszint </w:t>
      </w:r>
      <w:r w:rsidRPr="00181755">
        <w:rPr>
          <w:rFonts w:asciiTheme="minorHAnsi" w:hAnsiTheme="minorHAnsi"/>
          <w:lang w:val="hu-HU"/>
        </w:rPr>
        <w:t xml:space="preserve">és likviditás </w:t>
      </w:r>
      <w:r w:rsidRPr="00181755">
        <w:rPr>
          <w:rFonts w:asciiTheme="minorHAnsi" w:hAnsiTheme="minorHAnsi"/>
        </w:rPr>
        <w:t xml:space="preserve">meglétét. Amennyiben az intézmény tőkemegfelelési </w:t>
      </w:r>
      <w:r w:rsidRPr="00181755">
        <w:rPr>
          <w:rFonts w:asciiTheme="minorHAnsi" w:hAnsiTheme="minorHAnsi"/>
          <w:lang w:val="hu-HU"/>
        </w:rPr>
        <w:t xml:space="preserve">vagy likviditás megfelelési </w:t>
      </w:r>
      <w:r w:rsidRPr="00181755">
        <w:rPr>
          <w:rFonts w:asciiTheme="minorHAnsi" w:hAnsiTheme="minorHAnsi"/>
        </w:rPr>
        <w:t>eljárásait nem tartja megfelelőnek, a</w:t>
      </w:r>
      <w:r w:rsidRPr="00181755">
        <w:rPr>
          <w:rFonts w:asciiTheme="minorHAnsi" w:hAnsiTheme="minorHAnsi"/>
          <w:lang w:val="hu-HU"/>
        </w:rPr>
        <w:t xml:space="preserve">z MNB </w:t>
      </w:r>
      <w:r w:rsidRPr="00181755">
        <w:rPr>
          <w:rFonts w:asciiTheme="minorHAnsi" w:hAnsiTheme="minorHAnsi"/>
        </w:rPr>
        <w:t xml:space="preserve">intézkedéseket tesz. </w:t>
      </w:r>
    </w:p>
    <w:p w14:paraId="66B151EB" w14:textId="3DDB738C" w:rsidR="003F29E3" w:rsidRPr="00181755" w:rsidRDefault="003F29E3" w:rsidP="00181755">
      <w:pPr>
        <w:pStyle w:val="felsorolsos"/>
        <w:rPr>
          <w:rFonts w:asciiTheme="minorHAnsi" w:hAnsiTheme="minorHAnsi"/>
        </w:rPr>
      </w:pPr>
      <w:r w:rsidRPr="00181755">
        <w:rPr>
          <w:rFonts w:asciiTheme="minorHAnsi" w:hAnsiTheme="minorHAnsi"/>
          <w:b/>
        </w:rPr>
        <w:t>Az intézmény rendelkezésre álló tőkéje meghaladj</w:t>
      </w:r>
      <w:r w:rsidR="00BA33A5" w:rsidRPr="00181755">
        <w:rPr>
          <w:rFonts w:asciiTheme="minorHAnsi" w:hAnsiTheme="minorHAnsi"/>
          <w:b/>
          <w:lang w:val="hu-HU"/>
        </w:rPr>
        <w:t>a</w:t>
      </w:r>
      <w:r w:rsidRPr="00181755">
        <w:rPr>
          <w:rFonts w:asciiTheme="minorHAnsi" w:hAnsiTheme="minorHAnsi"/>
          <w:b/>
        </w:rPr>
        <w:t xml:space="preserve"> a szabályozói minimumszintet.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az intézményektől elvárja, illetve megköveteli, hogy a szabályozói minimum szintnél magasabb tőkével működjenek</w:t>
      </w:r>
      <w:r w:rsidRPr="00181755">
        <w:rPr>
          <w:rFonts w:asciiTheme="minorHAnsi" w:hAnsiTheme="minorHAnsi"/>
          <w:b/>
        </w:rPr>
        <w:t>.</w:t>
      </w:r>
      <w:r w:rsidRPr="00181755">
        <w:rPr>
          <w:rFonts w:asciiTheme="minorHAnsi" w:hAnsiTheme="minorHAnsi"/>
          <w:b/>
          <w:lang w:val="hu-HU"/>
        </w:rPr>
        <w:t xml:space="preserve"> A felügyeleti hatóság külön vizsgálja az intézmény </w:t>
      </w:r>
      <w:r w:rsidRPr="00181755">
        <w:rPr>
          <w:rFonts w:asciiTheme="minorHAnsi" w:hAnsiTheme="minorHAnsi"/>
          <w:b/>
        </w:rPr>
        <w:t>üzleti modelljé</w:t>
      </w:r>
      <w:r w:rsidRPr="00181755">
        <w:rPr>
          <w:rFonts w:asciiTheme="minorHAnsi" w:hAnsiTheme="minorHAnsi"/>
          <w:b/>
          <w:lang w:val="hu-HU"/>
        </w:rPr>
        <w:t>vel</w:t>
      </w:r>
      <w:r w:rsidRPr="00181755">
        <w:rPr>
          <w:rFonts w:asciiTheme="minorHAnsi" w:hAnsiTheme="minorHAnsi"/>
          <w:b/>
        </w:rPr>
        <w:t xml:space="preserve"> összhangban </w:t>
      </w:r>
      <w:r w:rsidRPr="00181755">
        <w:rPr>
          <w:rFonts w:asciiTheme="minorHAnsi" w:hAnsiTheme="minorHAnsi"/>
          <w:b/>
          <w:lang w:val="hu-HU"/>
        </w:rPr>
        <w:t xml:space="preserve">a </w:t>
      </w:r>
      <w:r w:rsidRPr="00181755">
        <w:rPr>
          <w:rFonts w:asciiTheme="minorHAnsi" w:hAnsiTheme="minorHAnsi"/>
          <w:b/>
        </w:rPr>
        <w:t>megfelelő mennyiségű, megalapozott és hatékony likviditási fedezettség</w:t>
      </w:r>
      <w:r w:rsidRPr="00181755">
        <w:rPr>
          <w:rFonts w:asciiTheme="minorHAnsi" w:hAnsiTheme="minorHAnsi"/>
          <w:b/>
          <w:lang w:val="hu-HU"/>
        </w:rPr>
        <w:t xml:space="preserve"> </w:t>
      </w:r>
      <w:r w:rsidR="00486B11" w:rsidRPr="00181755">
        <w:rPr>
          <w:rFonts w:asciiTheme="minorHAnsi" w:hAnsiTheme="minorHAnsi"/>
          <w:b/>
          <w:lang w:val="hu-HU"/>
        </w:rPr>
        <w:t>meghatározás folyamatát és</w:t>
      </w:r>
      <w:r w:rsidRPr="00181755">
        <w:rPr>
          <w:rFonts w:asciiTheme="minorHAnsi" w:hAnsiTheme="minorHAnsi"/>
          <w:b/>
        </w:rPr>
        <w:t xml:space="preserve"> </w:t>
      </w:r>
      <w:r w:rsidRPr="00181755">
        <w:rPr>
          <w:rFonts w:asciiTheme="minorHAnsi" w:hAnsiTheme="minorHAnsi"/>
          <w:b/>
          <w:lang w:val="hu-HU"/>
        </w:rPr>
        <w:t>meglétét.</w:t>
      </w:r>
    </w:p>
    <w:p w14:paraId="66B151EC" w14:textId="77777777" w:rsidR="003F29E3" w:rsidRPr="00181755" w:rsidRDefault="003F29E3" w:rsidP="00181755">
      <w:pPr>
        <w:pStyle w:val="felsorolsos"/>
        <w:rPr>
          <w:rFonts w:asciiTheme="minorHAnsi" w:hAnsiTheme="minorHAnsi"/>
          <w:b/>
        </w:rPr>
      </w:pPr>
      <w:r w:rsidRPr="00181755">
        <w:rPr>
          <w:rFonts w:asciiTheme="minorHAnsi" w:hAnsiTheme="minorHAnsi"/>
          <w:b/>
        </w:rPr>
        <w:t xml:space="preserve">A felügyeleti hatóság szükség esetén beavatkozik.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181755" w:rsidRDefault="003F29E3" w:rsidP="00181755">
      <w:pPr>
        <w:pStyle w:val="felsorolsos"/>
        <w:numPr>
          <w:ilvl w:val="0"/>
          <w:numId w:val="0"/>
        </w:numPr>
        <w:spacing w:after="240"/>
        <w:rPr>
          <w:rFonts w:asciiTheme="minorHAnsi" w:hAnsiTheme="minorHAnsi"/>
        </w:rPr>
      </w:pPr>
      <w:r w:rsidRPr="00181755">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181755">
        <w:rPr>
          <w:rFonts w:asciiTheme="minorHAnsi" w:hAnsiTheme="minorHAnsi"/>
          <w:lang w:val="hu-HU"/>
        </w:rPr>
        <w:t>Ennek megfelelően az MNB indokolt esetben egyedi felügyeleti szakértői döntést hoz a</w:t>
      </w:r>
      <w:r w:rsidRPr="00181755">
        <w:rPr>
          <w:rFonts w:asciiTheme="minorHAnsi" w:hAnsiTheme="minorHAnsi"/>
          <w:lang w:val="hu-HU"/>
        </w:rPr>
        <w:t xml:space="preserve"> felügyeleti </w:t>
      </w:r>
      <w:r w:rsidR="00C645A0" w:rsidRPr="00181755">
        <w:rPr>
          <w:rFonts w:asciiTheme="minorHAnsi" w:hAnsiTheme="minorHAnsi"/>
          <w:lang w:val="hu-HU"/>
        </w:rPr>
        <w:t>felülvizsgálat</w:t>
      </w:r>
      <w:r w:rsidRPr="00181755">
        <w:rPr>
          <w:rFonts w:asciiTheme="minorHAnsi" w:hAnsiTheme="minorHAnsi"/>
          <w:lang w:val="hu-HU"/>
        </w:rPr>
        <w:t xml:space="preserve"> során tekintettel az intézmények egyedi sajátosságaira, </w:t>
      </w:r>
      <w:r w:rsidR="004E21EE" w:rsidRPr="00181755">
        <w:rPr>
          <w:rFonts w:asciiTheme="minorHAnsi" w:hAnsiTheme="minorHAnsi"/>
          <w:lang w:val="hu-HU"/>
        </w:rPr>
        <w:t xml:space="preserve">és </w:t>
      </w:r>
      <w:r w:rsidRPr="00181755">
        <w:rPr>
          <w:rFonts w:asciiTheme="minorHAnsi" w:hAnsiTheme="minorHAnsi"/>
          <w:lang w:val="hu-HU"/>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48" w:name="_ICAAP-SREP_dialógus"/>
      <w:bookmarkStart w:id="149" w:name="_Toc378590292"/>
      <w:bookmarkStart w:id="150" w:name="_Toc378592134"/>
      <w:bookmarkEnd w:id="148"/>
    </w:p>
    <w:p w14:paraId="66B151EF" w14:textId="7F7621F9" w:rsidR="003F29E3" w:rsidRPr="00181755" w:rsidRDefault="003F29E3" w:rsidP="00181755">
      <w:pPr>
        <w:pStyle w:val="Cmsor3"/>
        <w:rPr>
          <w:rFonts w:asciiTheme="minorHAnsi" w:hAnsiTheme="minorHAnsi"/>
        </w:rPr>
      </w:pPr>
      <w:bookmarkStart w:id="151" w:name="_Toc378590299"/>
      <w:bookmarkStart w:id="152" w:name="_Toc378592141"/>
      <w:bookmarkStart w:id="153" w:name="_Toc461095167"/>
      <w:bookmarkStart w:id="154" w:name="_Toc461179199"/>
      <w:bookmarkStart w:id="155" w:name="_Toc461179823"/>
      <w:bookmarkStart w:id="156" w:name="_Toc461197740"/>
      <w:bookmarkStart w:id="157" w:name="_Toc461201266"/>
      <w:bookmarkStart w:id="158" w:name="_Toc461547890"/>
      <w:bookmarkStart w:id="159" w:name="_Toc462401918"/>
      <w:bookmarkStart w:id="160" w:name="_Toc462403039"/>
      <w:bookmarkStart w:id="161" w:name="_Toc462403363"/>
      <w:bookmarkStart w:id="162" w:name="_Toc468180482"/>
      <w:bookmarkStart w:id="163" w:name="_Toc468181014"/>
      <w:bookmarkStart w:id="164" w:name="_Toc468191412"/>
      <w:r w:rsidRPr="00181755">
        <w:rPr>
          <w:rFonts w:asciiTheme="minorHAnsi" w:hAnsiTheme="minorHAnsi"/>
        </w:rPr>
        <w:t>Az MNB által lefolytatott felülvizsgálati foly</w:t>
      </w:r>
      <w:bookmarkEnd w:id="151"/>
      <w:bookmarkEnd w:id="152"/>
      <w:r w:rsidRPr="00181755">
        <w:rPr>
          <w:rFonts w:asciiTheme="minorHAnsi" w:hAnsiTheme="minorHAnsi"/>
        </w:rPr>
        <w:t>amatok során alkalmazott általános alapelvek</w:t>
      </w:r>
      <w:bookmarkEnd w:id="153"/>
      <w:bookmarkEnd w:id="154"/>
      <w:bookmarkEnd w:id="155"/>
      <w:bookmarkEnd w:id="156"/>
      <w:bookmarkEnd w:id="157"/>
      <w:bookmarkEnd w:id="158"/>
      <w:bookmarkEnd w:id="159"/>
      <w:bookmarkEnd w:id="160"/>
      <w:bookmarkEnd w:id="161"/>
      <w:bookmarkEnd w:id="162"/>
      <w:bookmarkEnd w:id="163"/>
      <w:bookmarkEnd w:id="164"/>
    </w:p>
    <w:p w14:paraId="0FBC7937" w14:textId="7BEE5276" w:rsidR="00EC7392" w:rsidRPr="00181755" w:rsidRDefault="003F29E3" w:rsidP="00181755">
      <w:pPr>
        <w:pStyle w:val="Default"/>
        <w:spacing w:after="120"/>
        <w:jc w:val="both"/>
        <w:rPr>
          <w:rFonts w:asciiTheme="minorHAnsi" w:hAnsiTheme="minorHAnsi"/>
          <w:b/>
          <w:sz w:val="22"/>
          <w:szCs w:val="22"/>
        </w:rPr>
      </w:pPr>
      <w:r w:rsidRPr="00181755">
        <w:rPr>
          <w:rFonts w:asciiTheme="minorHAnsi" w:hAnsiTheme="minorHAnsi"/>
          <w:sz w:val="22"/>
          <w:szCs w:val="22"/>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Az arányosság elve</w:t>
      </w:r>
    </w:p>
    <w:p w14:paraId="66B151F4" w14:textId="77777777" w:rsidR="003F29E3" w:rsidRPr="00181755" w:rsidRDefault="003F29E3" w:rsidP="00181755">
      <w:pPr>
        <w:pStyle w:val="Default"/>
        <w:spacing w:after="120"/>
        <w:jc w:val="both"/>
        <w:rPr>
          <w:rFonts w:asciiTheme="minorHAnsi" w:hAnsiTheme="minorHAnsi"/>
          <w:sz w:val="22"/>
          <w:szCs w:val="22"/>
        </w:rPr>
      </w:pPr>
      <w:bookmarkStart w:id="165" w:name="_Az_arányosság_elve"/>
      <w:bookmarkEnd w:id="165"/>
      <w:r w:rsidRPr="00181755">
        <w:rPr>
          <w:rFonts w:asciiTheme="minorHAnsi" w:hAnsiTheme="minorHAnsi"/>
          <w:sz w:val="22"/>
          <w:szCs w:val="22"/>
        </w:rPr>
        <w:t>A CRD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w:t>
      </w:r>
      <w:r w:rsidR="00A82A54" w:rsidRPr="00181755">
        <w:rPr>
          <w:rFonts w:asciiTheme="minorHAnsi" w:hAnsiTheme="minorHAnsi"/>
          <w:sz w:val="22"/>
          <w:szCs w:val="22"/>
        </w:rPr>
        <w:t xml:space="preserve"> IV</w:t>
      </w:r>
      <w:r w:rsidRPr="00181755">
        <w:rPr>
          <w:rFonts w:asciiTheme="minorHAnsi" w:hAnsiTheme="minorHAnsi"/>
          <w:sz w:val="22"/>
          <w:szCs w:val="22"/>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sz w:val="22"/>
          <w:szCs w:val="22"/>
        </w:rPr>
        <w:t>Az arányosság elvének gyakorlati érvényesítése azt jelenti, hogy a felügyeleti felülvizsgálati folyamat mélysége és horizontja, illetve az intézménnyel folytatott dialógus jellege, formája és intenzitása intézményenként nagyon különböző lehet. Míg az egyszerű tevékenységet folytató, piaci rendszerre gyengébb hatást gyakorló intézmények esetén, korlátozott nemzetközi és piaci jelenléttel jellemezhető intézmények felügyeleti felülvizsgálata egységesített kérdőíves módszerrel és eseti vezetői konzultációkkal, illetve az átfogó vizsgálatok keretében lefolytatott felügyeleti felülvizsgálattal megoldható, addig a jelentős piaci részesedéssel rendelkező, komplex tevékenységet folytató intézménycsoportok esetében az egyedi jellemzőkre kiterjedő önálló felülvizsgálati folyamat, valamint intenzív ICAAP-SREP párbeszéd fenntartása indokolt.</w:t>
      </w:r>
    </w:p>
    <w:p w14:paraId="66B151F7" w14:textId="77777777" w:rsidR="003F29E3" w:rsidRPr="00181755" w:rsidRDefault="003F29E3" w:rsidP="00181755">
      <w:pPr>
        <w:rPr>
          <w:rFonts w:asciiTheme="minorHAnsi" w:hAnsiTheme="minorHAnsi"/>
          <w:b/>
        </w:rPr>
      </w:pPr>
      <w:bookmarkStart w:id="166" w:name="_Toc378590301"/>
      <w:bookmarkStart w:id="167" w:name="_Toc378592143"/>
      <w:r w:rsidRPr="00181755">
        <w:rPr>
          <w:rFonts w:asciiTheme="minorHAnsi" w:hAnsiTheme="minorHAnsi"/>
          <w:b/>
        </w:rPr>
        <w:t>A kockázatkezelés elsődleges a tőkeképzéssel, likviditási pufferképzéssel szemben</w:t>
      </w:r>
      <w:bookmarkEnd w:id="166"/>
      <w:bookmarkEnd w:id="167"/>
    </w:p>
    <w:p w14:paraId="66B151F8" w14:textId="77777777" w:rsidR="003F29E3" w:rsidRPr="00181755" w:rsidRDefault="003F29E3" w:rsidP="00181755">
      <w:pPr>
        <w:pStyle w:val="Default"/>
        <w:spacing w:after="120"/>
        <w:jc w:val="both"/>
        <w:rPr>
          <w:rFonts w:asciiTheme="minorHAnsi" w:hAnsiTheme="minorHAnsi"/>
          <w:sz w:val="22"/>
          <w:szCs w:val="22"/>
        </w:rPr>
      </w:pPr>
      <w:bookmarkStart w:id="168" w:name="_A_kockázatkezelés_elsődlegessége"/>
      <w:bookmarkEnd w:id="168"/>
      <w:r w:rsidRPr="00181755">
        <w:rPr>
          <w:rFonts w:asciiTheme="minorHAnsi" w:hAnsiTheme="minorHAnsi"/>
          <w:sz w:val="22"/>
          <w:szCs w:val="22"/>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567D29EA" w:rsidR="003F29E3" w:rsidRPr="00181755" w:rsidRDefault="003F29E3" w:rsidP="00181755">
      <w:pPr>
        <w:rPr>
          <w:rFonts w:asciiTheme="minorHAnsi" w:hAnsiTheme="minorHAnsi"/>
        </w:rPr>
      </w:pPr>
      <w:r w:rsidRPr="00181755">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181755">
        <w:rPr>
          <w:rFonts w:asciiTheme="minorHAnsi" w:hAnsiTheme="minorHAnsi"/>
        </w:rPr>
        <w:t xml:space="preserve"> </w:t>
      </w:r>
      <w:r w:rsidRPr="00181755">
        <w:rPr>
          <w:rFonts w:asciiTheme="minorHAnsi" w:hAnsiTheme="minorHAnsi"/>
        </w:rPr>
        <w:t>tőkekövetelmény feletti pótlólagos többlet</w:t>
      </w:r>
      <w:r w:rsidR="003C6A4E" w:rsidRPr="00181755">
        <w:rPr>
          <w:rFonts w:asciiTheme="minorHAnsi" w:hAnsiTheme="minorHAnsi"/>
        </w:rPr>
        <w:t>-</w:t>
      </w:r>
      <w:r w:rsidRPr="00181755">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77777777" w:rsidR="003F29E3" w:rsidRPr="00181755" w:rsidRDefault="003F29E3" w:rsidP="00181755">
      <w:pPr>
        <w:rPr>
          <w:rFonts w:asciiTheme="minorHAnsi" w:hAnsiTheme="minorHAnsi"/>
          <w:b/>
        </w:rPr>
      </w:pPr>
      <w:bookmarkStart w:id="169" w:name="_Toc378590302"/>
      <w:bookmarkStart w:id="170" w:name="_Toc378592144"/>
      <w:r w:rsidRPr="00181755">
        <w:rPr>
          <w:rFonts w:asciiTheme="minorHAnsi" w:hAnsiTheme="minorHAnsi"/>
          <w:b/>
        </w:rPr>
        <w:t>A kockázati módszerek és elvárások folyamatos fejlődés</w:t>
      </w:r>
      <w:bookmarkEnd w:id="169"/>
      <w:bookmarkEnd w:id="170"/>
      <w:r w:rsidRPr="00181755">
        <w:rPr>
          <w:rFonts w:asciiTheme="minorHAnsi" w:hAnsiTheme="minorHAnsi"/>
          <w:b/>
        </w:rPr>
        <w:t>ének követése</w:t>
      </w:r>
    </w:p>
    <w:p w14:paraId="66B151FC" w14:textId="72319ED4" w:rsidR="003F29E3" w:rsidRPr="00181755" w:rsidRDefault="003F29E3" w:rsidP="00181755">
      <w:pPr>
        <w:rPr>
          <w:rFonts w:asciiTheme="minorHAnsi" w:hAnsiTheme="minorHAnsi"/>
        </w:rPr>
      </w:pPr>
      <w:bookmarkStart w:id="171" w:name="_A_kockázati_módszerek"/>
      <w:bookmarkEnd w:id="171"/>
      <w:r w:rsidRPr="00181755">
        <w:rPr>
          <w:rFonts w:asciiTheme="minorHAnsi" w:hAnsiTheme="minorHAnsi"/>
        </w:rPr>
        <w:t>Az MNB határozott álláspontja, hogy a mindenkor változó pénzügyi, gazdasági és kockázati viszonyok</w:t>
      </w:r>
      <w:r w:rsidR="00542A9C" w:rsidRPr="00181755">
        <w:rPr>
          <w:rFonts w:asciiTheme="minorHAnsi" w:hAnsiTheme="minorHAnsi"/>
        </w:rPr>
        <w:t>, szabályozói környezet</w:t>
      </w:r>
      <w:r w:rsidRPr="00181755">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181755" w:rsidRDefault="003F29E3" w:rsidP="00181755">
      <w:pPr>
        <w:rPr>
          <w:rFonts w:asciiTheme="minorHAnsi" w:hAnsiTheme="minorHAnsi"/>
        </w:rPr>
      </w:pPr>
      <w:r w:rsidRPr="00181755">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77777777" w:rsidR="003F29E3" w:rsidRPr="00181755" w:rsidRDefault="003F29E3" w:rsidP="00181755">
      <w:pPr>
        <w:rPr>
          <w:rFonts w:asciiTheme="minorHAnsi" w:hAnsiTheme="minorHAnsi"/>
          <w:b/>
        </w:rPr>
      </w:pPr>
      <w:bookmarkStart w:id="172" w:name="_Toc378590303"/>
      <w:bookmarkStart w:id="173" w:name="_Toc378592145"/>
      <w:r w:rsidRPr="00181755">
        <w:rPr>
          <w:rFonts w:asciiTheme="minorHAnsi" w:hAnsiTheme="minorHAnsi"/>
          <w:b/>
        </w:rPr>
        <w:t>A felülvizsgálat két pillérének egyenrangúsága és egymást kiegészítő jellege</w:t>
      </w:r>
      <w:bookmarkEnd w:id="172"/>
      <w:bookmarkEnd w:id="173"/>
    </w:p>
    <w:p w14:paraId="66B15200" w14:textId="77777777" w:rsidR="003F29E3" w:rsidRPr="00181755" w:rsidRDefault="003F29E3" w:rsidP="00181755">
      <w:pPr>
        <w:rPr>
          <w:rFonts w:asciiTheme="minorHAnsi" w:hAnsiTheme="minorHAnsi"/>
        </w:rPr>
      </w:pPr>
      <w:bookmarkStart w:id="174" w:name="_A_felülvizsgálat_két"/>
      <w:bookmarkEnd w:id="174"/>
      <w:r w:rsidRPr="00181755">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181755">
        <w:rPr>
          <w:rFonts w:asciiTheme="minorHAnsi" w:hAnsiTheme="minorHAnsi"/>
          <w:vertAlign w:val="superscript"/>
        </w:rPr>
        <w:footnoteReference w:id="11"/>
      </w:r>
      <w:r w:rsidRPr="00181755">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77777777" w:rsidR="003F29E3" w:rsidRPr="00181755" w:rsidRDefault="003F29E3" w:rsidP="00181755">
      <w:pPr>
        <w:rPr>
          <w:rFonts w:asciiTheme="minorHAnsi" w:hAnsiTheme="minorHAnsi"/>
        </w:rPr>
      </w:pPr>
      <w:r w:rsidRPr="00181755">
        <w:rPr>
          <w:rFonts w:asciiTheme="minorHAnsi" w:hAnsiTheme="minorHAnsi"/>
        </w:rPr>
        <w:t xml:space="preserve">A tőkeszámítás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181755" w:rsidRDefault="003F29E3" w:rsidP="00181755">
      <w:pPr>
        <w:rPr>
          <w:rFonts w:asciiTheme="minorHAnsi" w:hAnsiTheme="minorHAnsi"/>
        </w:rPr>
      </w:pPr>
      <w:r w:rsidRPr="00181755">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181755">
        <w:rPr>
          <w:rFonts w:asciiTheme="minorHAnsi" w:hAnsiTheme="minorHAnsi"/>
        </w:rPr>
        <w:t>, illetve továbbfejleszthetőek</w:t>
      </w:r>
      <w:r w:rsidRPr="00181755">
        <w:rPr>
          <w:rFonts w:asciiTheme="minorHAnsi" w:hAnsiTheme="minorHAnsi"/>
        </w:rPr>
        <w:t xml:space="preserve"> a másik pillérben is. </w:t>
      </w:r>
    </w:p>
    <w:p w14:paraId="66B15204" w14:textId="77777777" w:rsidR="003F29E3" w:rsidRPr="00181755" w:rsidRDefault="003F29E3" w:rsidP="00181755">
      <w:pPr>
        <w:pStyle w:val="Cmsor1"/>
        <w:rPr>
          <w:rFonts w:asciiTheme="minorHAnsi" w:hAnsiTheme="minorHAnsi"/>
        </w:rPr>
      </w:pPr>
      <w:r w:rsidRPr="00181755">
        <w:rPr>
          <w:rFonts w:asciiTheme="minorHAnsi" w:hAnsiTheme="minorHAnsi"/>
        </w:rPr>
        <w:br w:type="page"/>
        <w:t xml:space="preserve"> </w:t>
      </w:r>
      <w:bookmarkStart w:id="175" w:name="_Toc461095168"/>
      <w:bookmarkStart w:id="176" w:name="_Toc461179200"/>
      <w:bookmarkStart w:id="177" w:name="_Toc461179824"/>
      <w:bookmarkStart w:id="178" w:name="_Toc461197741"/>
      <w:bookmarkStart w:id="179" w:name="_Toc461201267"/>
      <w:bookmarkStart w:id="180" w:name="_Toc461547891"/>
      <w:bookmarkStart w:id="181" w:name="_Toc462401919"/>
      <w:bookmarkStart w:id="182" w:name="_Toc462403040"/>
      <w:bookmarkStart w:id="183" w:name="_Toc462403364"/>
      <w:bookmarkStart w:id="184" w:name="_Toc468180483"/>
      <w:bookmarkStart w:id="185" w:name="_Toc468181015"/>
      <w:bookmarkStart w:id="186" w:name="_Toc468191413"/>
      <w:r w:rsidRPr="00181755">
        <w:rPr>
          <w:rFonts w:asciiTheme="minorHAnsi" w:hAnsiTheme="minorHAnsi"/>
        </w:rPr>
        <w:t>Az ICAAP, az ILAAP és felügyeleti felülvizsgálatuk hatálya</w:t>
      </w:r>
      <w:r w:rsidRPr="00181755">
        <w:rPr>
          <w:rStyle w:val="Lbjegyzet-hivatkozs"/>
          <w:rFonts w:asciiTheme="minorHAnsi" w:hAnsiTheme="minorHAnsi"/>
        </w:rPr>
        <w:footnoteReference w:id="12"/>
      </w:r>
      <w:bookmarkEnd w:id="175"/>
      <w:bookmarkEnd w:id="176"/>
      <w:bookmarkEnd w:id="177"/>
      <w:bookmarkEnd w:id="178"/>
      <w:bookmarkEnd w:id="179"/>
      <w:bookmarkEnd w:id="180"/>
      <w:bookmarkEnd w:id="181"/>
      <w:bookmarkEnd w:id="182"/>
      <w:bookmarkEnd w:id="183"/>
      <w:bookmarkEnd w:id="184"/>
      <w:bookmarkEnd w:id="185"/>
      <w:bookmarkEnd w:id="186"/>
    </w:p>
    <w:p w14:paraId="66B15206" w14:textId="0CF72AFD" w:rsidR="003F29E3" w:rsidRPr="00181755" w:rsidRDefault="003F29E3" w:rsidP="00181755">
      <w:pPr>
        <w:rPr>
          <w:rFonts w:asciiTheme="minorHAnsi" w:hAnsiTheme="minorHAnsi"/>
        </w:rPr>
      </w:pPr>
      <w:r w:rsidRPr="00181755">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181755">
        <w:rPr>
          <w:rFonts w:asciiTheme="minorHAnsi" w:hAnsiTheme="minorHAnsi"/>
        </w:rPr>
        <w:t xml:space="preserve"> IV</w:t>
      </w:r>
      <w:r w:rsidRPr="00181755">
        <w:rPr>
          <w:rFonts w:asciiTheme="minorHAnsi" w:hAnsiTheme="minorHAnsi"/>
        </w:rPr>
        <w:t xml:space="preserve"> 108-109. §-ai határozzák meg, az ILAAP tekintetében nincs még ilyen jogszabályi előírás. A Hpt. és a Bszt. előírásai alapján a felügyeleti felülvizsgálatot és értékelést a</w:t>
      </w:r>
      <w:r w:rsidR="004F403F" w:rsidRPr="00181755">
        <w:rPr>
          <w:rFonts w:asciiTheme="minorHAnsi" w:hAnsiTheme="minorHAnsi"/>
        </w:rPr>
        <w:t xml:space="preserve"> CRR </w:t>
      </w:r>
      <w:r w:rsidRPr="00181755">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32CAFC0" w:rsidR="003F29E3" w:rsidRPr="00181755" w:rsidRDefault="003F29E3" w:rsidP="00181755">
      <w:pPr>
        <w:rPr>
          <w:rFonts w:asciiTheme="minorHAnsi" w:hAnsiTheme="minorHAnsi"/>
        </w:rPr>
      </w:pPr>
      <w:r w:rsidRPr="00181755">
        <w:rPr>
          <w:rFonts w:asciiTheme="minorHAnsi" w:hAnsiTheme="minorHAnsi"/>
        </w:rPr>
        <w:t xml:space="preserve">A belső tőkeszükséglet-számítás és likviditás értékelése </w:t>
      </w:r>
      <w:r w:rsidR="00E04E7A" w:rsidRPr="00181755">
        <w:rPr>
          <w:rFonts w:asciiTheme="minorHAnsi" w:hAnsiTheme="minorHAnsi"/>
        </w:rPr>
        <w:t>a SREP értékelési folyamat részeként</w:t>
      </w:r>
      <w:r w:rsidRPr="00181755">
        <w:rPr>
          <w:rFonts w:asciiTheme="minorHAnsi" w:hAnsiTheme="minorHAnsi"/>
        </w:rPr>
        <w:t xml:space="preserve"> történhet egyedi intézményi szinten, illetve csoport-szinten konszolidáltan vagy szubkonszolidáltan.</w:t>
      </w:r>
    </w:p>
    <w:p w14:paraId="66B15209" w14:textId="7D91B262" w:rsidR="003F29E3" w:rsidRPr="00181755" w:rsidRDefault="003F29E3" w:rsidP="00181755">
      <w:pPr>
        <w:spacing w:after="240"/>
        <w:rPr>
          <w:rFonts w:asciiTheme="minorHAnsi" w:hAnsiTheme="minorHAnsi"/>
        </w:rPr>
      </w:pPr>
      <w:r w:rsidRPr="00181755">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181755">
        <w:rPr>
          <w:rFonts w:asciiTheme="minorHAnsi" w:hAnsiTheme="minorHAnsi"/>
        </w:rPr>
        <w:t xml:space="preserve">(host) </w:t>
      </w:r>
      <w:r w:rsidRPr="00181755">
        <w:rPr>
          <w:rFonts w:asciiTheme="minorHAnsi" w:hAnsiTheme="minorHAnsi"/>
        </w:rPr>
        <w:t xml:space="preserve">illetékes hatóságok – a konszolidáló </w:t>
      </w:r>
      <w:r w:rsidR="004F403F" w:rsidRPr="00181755">
        <w:rPr>
          <w:rFonts w:asciiTheme="minorHAnsi" w:hAnsiTheme="minorHAnsi"/>
        </w:rPr>
        <w:t xml:space="preserve">(home) </w:t>
      </w:r>
      <w:r w:rsidRPr="00181755">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181755">
        <w:rPr>
          <w:rFonts w:asciiTheme="minorHAnsi" w:hAnsiTheme="minorHAnsi"/>
        </w:rPr>
        <w:t xml:space="preserve">mely részeként </w:t>
      </w:r>
      <w:r w:rsidRPr="00181755">
        <w:rPr>
          <w:rFonts w:asciiTheme="minorHAnsi" w:hAnsiTheme="minorHAnsi"/>
        </w:rPr>
        <w:t>a felügyeleti kollégium közös megegyezéssel határoz a 2. pilléres tőkemegfelelés</w:t>
      </w:r>
      <w:r w:rsidR="004F403F" w:rsidRPr="00181755">
        <w:rPr>
          <w:rFonts w:asciiTheme="minorHAnsi" w:hAnsiTheme="minorHAnsi"/>
        </w:rPr>
        <w:t>ről</w:t>
      </w:r>
      <w:r w:rsidRPr="00181755">
        <w:rPr>
          <w:rFonts w:asciiTheme="minorHAnsi" w:hAnsiTheme="minorHAnsi"/>
        </w:rPr>
        <w:t>, egyben megállapítja az összevont és egyedi szinten tartani szükséges szabályozói tőke nagyságát</w:t>
      </w:r>
      <w:r w:rsidR="002C567F" w:rsidRPr="00181755">
        <w:rPr>
          <w:rFonts w:asciiTheme="minorHAnsi" w:hAnsiTheme="minorHAnsi"/>
        </w:rPr>
        <w:t>, és a végső tőkekövetelmény rátát (TSCR)</w:t>
      </w:r>
      <w:r w:rsidRPr="00181755">
        <w:rPr>
          <w:rFonts w:asciiTheme="minorHAnsi" w:hAnsiTheme="minorHAnsi"/>
        </w:rPr>
        <w:t>. 2014. január 1-</w:t>
      </w:r>
      <w:r w:rsidR="004F403F" w:rsidRPr="00181755">
        <w:rPr>
          <w:rFonts w:asciiTheme="minorHAnsi" w:hAnsiTheme="minorHAnsi"/>
        </w:rPr>
        <w:t>jé</w:t>
      </w:r>
      <w:r w:rsidRPr="00181755">
        <w:rPr>
          <w:rFonts w:asciiTheme="minorHAnsi" w:hAnsiTheme="minorHAnsi"/>
        </w:rPr>
        <w:t xml:space="preserve">től a közös döntési folyamat részeként a likviditás megfelelőségéről is közös megegyezéssel hoz határozatot a kollégium, így a felülvizsgálati folyamat különálló, önálló eleme az intézmény likviditási és finanszírozási kockázatának értékelése, és a likviditás megfelelőségének értékelése. A többoldalú eljárás szabályait a Hpt. 173. §-a, illetőleg a Bszt. 173/A. §-a rögzíti. </w:t>
      </w:r>
    </w:p>
    <w:p w14:paraId="66B1520A" w14:textId="77777777" w:rsidR="003F29E3" w:rsidRPr="00181755" w:rsidRDefault="003F29E3" w:rsidP="00181755">
      <w:pPr>
        <w:pStyle w:val="Cmsor2"/>
        <w:rPr>
          <w:rFonts w:asciiTheme="minorHAnsi" w:hAnsiTheme="minorHAnsi"/>
        </w:rPr>
      </w:pPr>
      <w:bookmarkStart w:id="187" w:name="_Toc461095169"/>
      <w:bookmarkStart w:id="188" w:name="_Toc461179201"/>
      <w:bookmarkStart w:id="189" w:name="_Toc461179825"/>
      <w:bookmarkStart w:id="190" w:name="_Toc461197742"/>
      <w:bookmarkStart w:id="191" w:name="_Toc461201268"/>
      <w:bookmarkStart w:id="192" w:name="_Toc461547892"/>
      <w:bookmarkStart w:id="193" w:name="_Toc462401920"/>
      <w:bookmarkStart w:id="194" w:name="_Toc462403041"/>
      <w:bookmarkStart w:id="195" w:name="_Toc462403365"/>
      <w:bookmarkStart w:id="196" w:name="_Toc468180484"/>
      <w:bookmarkStart w:id="197" w:name="_Toc468181016"/>
      <w:bookmarkStart w:id="198" w:name="_Toc468191414"/>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egyedi szinten</w:t>
      </w:r>
      <w:bookmarkEnd w:id="187"/>
      <w:bookmarkEnd w:id="188"/>
      <w:bookmarkEnd w:id="189"/>
      <w:bookmarkEnd w:id="190"/>
      <w:bookmarkEnd w:id="191"/>
      <w:bookmarkEnd w:id="192"/>
      <w:bookmarkEnd w:id="193"/>
      <w:bookmarkEnd w:id="194"/>
      <w:bookmarkEnd w:id="195"/>
      <w:bookmarkEnd w:id="196"/>
      <w:bookmarkEnd w:id="197"/>
      <w:bookmarkEnd w:id="198"/>
    </w:p>
    <w:p w14:paraId="66B1520B"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0C" w14:textId="70EF8A65" w:rsidR="003F29E3" w:rsidRPr="00181755" w:rsidRDefault="003F29E3" w:rsidP="00181755">
      <w:pPr>
        <w:rPr>
          <w:rFonts w:asciiTheme="minorHAnsi" w:hAnsiTheme="minorHAnsi"/>
        </w:rPr>
      </w:pPr>
      <w:r w:rsidRPr="00181755">
        <w:rPr>
          <w:rFonts w:asciiTheme="minorHAnsi" w:hAnsiTheme="minorHAnsi"/>
        </w:rPr>
        <w:t>A CRD</w:t>
      </w:r>
      <w:r w:rsidR="00A82A54" w:rsidRPr="00181755">
        <w:rPr>
          <w:rFonts w:asciiTheme="minorHAnsi" w:hAnsiTheme="minorHAnsi"/>
        </w:rPr>
        <w:t xml:space="preserve"> IV</w:t>
      </w:r>
      <w:r w:rsidRPr="00181755">
        <w:rPr>
          <w:rFonts w:asciiTheme="minorHAnsi" w:hAnsiTheme="minorHAnsi"/>
        </w:rPr>
        <w:t xml:space="preserve"> 108. cikk (1) bekezdése alapján az ICAAP felügyeleti felülvizsgálatának egyedi szinten mindazon, a CRR hatálya al</w:t>
      </w:r>
      <w:r w:rsidR="00992893" w:rsidRPr="00181755">
        <w:rPr>
          <w:rFonts w:asciiTheme="minorHAnsi" w:hAnsiTheme="minorHAnsi"/>
        </w:rPr>
        <w:t>á</w:t>
      </w:r>
      <w:r w:rsidRPr="00181755">
        <w:rPr>
          <w:rFonts w:asciiTheme="minorHAnsi" w:hAnsiTheme="minorHAnsi"/>
        </w:rPr>
        <w:t xml:space="preserve"> tartozó intézményekre kell kiterjednie, amelyeknek egyedi szintű tőke-megfelelési belső értékelési eljárást kell lefolytatniuk és amelyeknek az MNB nem adott mentességet a tőkére vonatkozó CRR követelményeknek való megfelelés alól.</w:t>
      </w:r>
    </w:p>
    <w:p w14:paraId="66B1520D" w14:textId="77777777" w:rsidR="003F29E3" w:rsidRPr="00181755" w:rsidRDefault="003F29E3" w:rsidP="00181755">
      <w:pPr>
        <w:rPr>
          <w:rFonts w:asciiTheme="minorHAnsi" w:hAnsiTheme="minorHAnsi"/>
        </w:rPr>
      </w:pPr>
      <w:r w:rsidRPr="00181755">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egy másik intézmény leányvállalata, és mindkettőt ugyanazon tagállam felügyeleti hatósága felügyeli, </w:t>
      </w:r>
      <w:r w:rsidRPr="00181755">
        <w:rPr>
          <w:rFonts w:asciiTheme="minorHAnsi" w:hAnsiTheme="minorHAnsi"/>
          <w:lang w:val="hu-HU"/>
        </w:rPr>
        <w:t>és</w:t>
      </w:r>
      <w:r w:rsidRPr="00181755">
        <w:rPr>
          <w:rFonts w:asciiTheme="minorHAnsi" w:hAnsiTheme="minorHAnsi"/>
        </w:rPr>
        <w:t xml:space="preserve"> teljesülnek a CRR 7. cikk (1) bekezdésében meghatározott további feltételek</w:t>
      </w:r>
      <w:r w:rsidR="00992893" w:rsidRPr="00181755">
        <w:rPr>
          <w:rFonts w:asciiTheme="minorHAnsi" w:hAnsiTheme="minorHAnsi"/>
          <w:lang w:val="hu-HU"/>
        </w:rPr>
        <w:t>,</w:t>
      </w:r>
    </w:p>
    <w:p w14:paraId="66B1520F" w14:textId="3DAE0CE2" w:rsidR="003F29E3" w:rsidRPr="00181755" w:rsidRDefault="003F29E3" w:rsidP="00181755">
      <w:pPr>
        <w:pStyle w:val="felsorolsos"/>
        <w:rPr>
          <w:rFonts w:asciiTheme="minorHAnsi" w:hAnsiTheme="minorHAnsi"/>
        </w:rPr>
      </w:pPr>
      <w:r w:rsidRPr="00181755">
        <w:rPr>
          <w:rFonts w:asciiTheme="minorHAnsi" w:hAnsiTheme="minorHAnsi"/>
        </w:rPr>
        <w:t>egy intézmény pénzügyi holding társaság vagy vegyes pénzügyi holding társaság leányvállalata, és teljesülnek a CRR 11. cikk (1) bekezdésében meghatározott feltételek</w:t>
      </w:r>
      <w:r w:rsidR="00992893" w:rsidRPr="00181755">
        <w:rPr>
          <w:rFonts w:asciiTheme="minorHAnsi" w:hAnsiTheme="minorHAnsi"/>
          <w:lang w:val="hu-HU"/>
        </w:rPr>
        <w:t>,</w:t>
      </w:r>
    </w:p>
    <w:p w14:paraId="66B15210" w14:textId="1DA02F5D" w:rsidR="003F29E3" w:rsidRPr="00181755" w:rsidRDefault="003F29E3" w:rsidP="00181755">
      <w:pPr>
        <w:pStyle w:val="felsorolsos"/>
        <w:rPr>
          <w:rFonts w:asciiTheme="minorHAnsi" w:hAnsiTheme="minorHAnsi"/>
        </w:rPr>
      </w:pPr>
      <w:r w:rsidRPr="00181755">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181755">
        <w:rPr>
          <w:rFonts w:asciiTheme="minorHAnsi" w:hAnsiTheme="minorHAnsi"/>
          <w:lang w:val="hu-HU"/>
        </w:rPr>
        <w:t>,</w:t>
      </w:r>
    </w:p>
    <w:p w14:paraId="66B1521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szervhez kapcsolt, és fennállnak a CRR 10. cikkében meghatározott feltételek. </w:t>
      </w:r>
    </w:p>
    <w:p w14:paraId="66B15212" w14:textId="77777777" w:rsidR="003F29E3" w:rsidRPr="00181755" w:rsidRDefault="003F29E3" w:rsidP="00181755">
      <w:pPr>
        <w:rPr>
          <w:rFonts w:asciiTheme="minorHAnsi" w:hAnsiTheme="minorHAnsi"/>
        </w:rPr>
      </w:pPr>
      <w:r w:rsidRPr="00181755">
        <w:rPr>
          <w:rFonts w:asciiTheme="minorHAnsi" w:hAnsiTheme="minorHAnsi"/>
        </w:rPr>
        <w:t>Egyedi alapú ICAAP készítése alól mentesítés adható továbbá a CRR 10. cikke (integrációra vonatkozó döntés) alapján.</w:t>
      </w:r>
    </w:p>
    <w:p w14:paraId="66B15213" w14:textId="77777777" w:rsidR="003F29E3" w:rsidRPr="00181755" w:rsidRDefault="003F29E3" w:rsidP="00181755">
      <w:pPr>
        <w:rPr>
          <w:rFonts w:asciiTheme="minorHAnsi" w:hAnsiTheme="minorHAnsi"/>
        </w:rPr>
      </w:pPr>
      <w:r w:rsidRPr="00181755">
        <w:rPr>
          <w:rFonts w:asciiTheme="minorHAnsi" w:hAnsiTheme="minorHAnsi"/>
        </w:rPr>
        <w:t>Befektetési vállalkozások csoportjainak mentesítése a tőkekövetelmények összevont alapú alkalmazása alól a CRR 15. cikke szerinti történhet.</w:t>
      </w:r>
    </w:p>
    <w:p w14:paraId="66B15215" w14:textId="0C74ACD3" w:rsidR="003F29E3" w:rsidRPr="00181755" w:rsidRDefault="003F29E3" w:rsidP="00181755">
      <w:pPr>
        <w:rPr>
          <w:rFonts w:asciiTheme="minorHAnsi" w:hAnsiTheme="minorHAnsi"/>
          <w:b/>
          <w:i/>
        </w:rPr>
      </w:pPr>
      <w:r w:rsidRPr="00181755">
        <w:rPr>
          <w:rFonts w:asciiTheme="minorHAnsi" w:hAnsiTheme="minorHAnsi"/>
          <w:b/>
          <w:i/>
        </w:rPr>
        <w:t>Likviditás megfelelőség értékelése</w:t>
      </w:r>
    </w:p>
    <w:p w14:paraId="66B15217" w14:textId="730EEC5A" w:rsidR="003F29E3" w:rsidRPr="00181755" w:rsidRDefault="003F29E3" w:rsidP="00181755">
      <w:pPr>
        <w:spacing w:after="240"/>
        <w:rPr>
          <w:rFonts w:asciiTheme="minorHAnsi" w:hAnsiTheme="minorHAnsi"/>
        </w:rPr>
      </w:pPr>
      <w:r w:rsidRPr="00181755">
        <w:rPr>
          <w:rFonts w:asciiTheme="minorHAnsi" w:hAnsiTheme="minorHAnsi"/>
        </w:rPr>
        <w:t>A CRR alapján likviditásra vonatkozó előírásoknak való megfelelés esetében is kiindulópont az egyedi alapon történő megfelelés</w:t>
      </w:r>
      <w:r w:rsidR="00DA38C3" w:rsidRPr="00181755">
        <w:rPr>
          <w:rFonts w:asciiTheme="minorHAnsi" w:hAnsiTheme="minorHAnsi"/>
        </w:rPr>
        <w:t>, miközben a likviditási adatszolgáltatás egyedi szinten történő teljesítése minden esetben követelmény. A megfelelésre vonatkozó m</w:t>
      </w:r>
      <w:r w:rsidRPr="00181755">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181755" w:rsidRDefault="003F29E3" w:rsidP="00181755">
      <w:pPr>
        <w:pStyle w:val="Cmsor2"/>
        <w:rPr>
          <w:rFonts w:asciiTheme="minorHAnsi" w:hAnsiTheme="minorHAnsi"/>
        </w:rPr>
      </w:pPr>
      <w:bookmarkStart w:id="199" w:name="_Toc461095170"/>
      <w:bookmarkStart w:id="200" w:name="_Toc461179202"/>
      <w:bookmarkStart w:id="201" w:name="_Toc461179826"/>
      <w:bookmarkStart w:id="202" w:name="_Toc461197743"/>
      <w:bookmarkStart w:id="203" w:name="_Toc461201269"/>
      <w:bookmarkStart w:id="204" w:name="_Toc461547893"/>
      <w:bookmarkStart w:id="205" w:name="_Toc462401921"/>
      <w:bookmarkStart w:id="206" w:name="_Toc462403042"/>
      <w:bookmarkStart w:id="207" w:name="_Toc462403366"/>
      <w:bookmarkStart w:id="208" w:name="_Toc468180485"/>
      <w:bookmarkStart w:id="209" w:name="_Toc468181017"/>
      <w:bookmarkStart w:id="210" w:name="_Toc468191415"/>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csoport szinten</w:t>
      </w:r>
      <w:bookmarkEnd w:id="199"/>
      <w:bookmarkEnd w:id="200"/>
      <w:bookmarkEnd w:id="201"/>
      <w:bookmarkEnd w:id="202"/>
      <w:bookmarkEnd w:id="203"/>
      <w:bookmarkEnd w:id="204"/>
      <w:bookmarkEnd w:id="205"/>
      <w:bookmarkEnd w:id="206"/>
      <w:bookmarkEnd w:id="207"/>
      <w:bookmarkEnd w:id="208"/>
      <w:bookmarkEnd w:id="209"/>
      <w:bookmarkEnd w:id="210"/>
    </w:p>
    <w:p w14:paraId="66B15219"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1A" w14:textId="77777777" w:rsidR="003F29E3" w:rsidRPr="00181755" w:rsidRDefault="003F29E3" w:rsidP="00181755">
      <w:pPr>
        <w:rPr>
          <w:rFonts w:asciiTheme="minorHAnsi" w:hAnsiTheme="minorHAnsi"/>
        </w:rPr>
      </w:pPr>
      <w:r w:rsidRPr="00181755">
        <w:rPr>
          <w:rFonts w:asciiTheme="minorHAnsi" w:hAnsiTheme="minorHAnsi"/>
        </w:rPr>
        <w:t>A CRR tőkére vonatkozó előírásainak abban az esetben kell konszolidáltan is megfelelni, ha:</w:t>
      </w:r>
    </w:p>
    <w:p w14:paraId="66B1521B" w14:textId="4C66C78C" w:rsidR="003F29E3" w:rsidRPr="00181755" w:rsidRDefault="003F29E3" w:rsidP="00181755">
      <w:pPr>
        <w:pStyle w:val="felsorolsos"/>
        <w:rPr>
          <w:rFonts w:asciiTheme="minorHAnsi" w:hAnsiTheme="minorHAnsi"/>
        </w:rPr>
      </w:pPr>
      <w:r w:rsidRPr="00181755">
        <w:rPr>
          <w:rFonts w:asciiTheme="minorHAnsi" w:hAnsiTheme="minorHAnsi"/>
        </w:rPr>
        <w:t>az intézmény anyavállalatnak minősül abban a tagállamban, ahol engedélyezték, illetve ahol felügyelik</w:t>
      </w:r>
      <w:r w:rsidR="006E73B4" w:rsidRPr="00181755">
        <w:rPr>
          <w:rFonts w:asciiTheme="minorHAnsi" w:hAnsiTheme="minorHAnsi"/>
          <w:lang w:val="hu-HU"/>
        </w:rPr>
        <w:t>,</w:t>
      </w:r>
    </w:p>
    <w:p w14:paraId="66B1521C" w14:textId="1E02276B" w:rsidR="003F29E3" w:rsidRPr="00181755" w:rsidRDefault="003F29E3" w:rsidP="00181755">
      <w:pPr>
        <w:pStyle w:val="felsorolsos"/>
        <w:rPr>
          <w:rFonts w:asciiTheme="minorHAnsi" w:hAnsiTheme="minorHAnsi"/>
        </w:rPr>
      </w:pPr>
      <w:r w:rsidRPr="00181755">
        <w:rPr>
          <w:rFonts w:asciiTheme="minorHAnsi" w:hAnsiTheme="minorHAnsi"/>
        </w:rPr>
        <w:t>az intézmény pénzügyi holding társaság anyavállalat vagy vegyes pénzügyi holding társaság anyavállalat által ellenőrzött és összevont felügyelet alá tartozik</w:t>
      </w:r>
      <w:r w:rsidR="006E73B4" w:rsidRPr="00181755">
        <w:rPr>
          <w:rFonts w:asciiTheme="minorHAnsi" w:hAnsiTheme="minorHAnsi"/>
          <w:lang w:val="hu-HU"/>
        </w:rPr>
        <w:t>,</w:t>
      </w:r>
    </w:p>
    <w:p w14:paraId="66B1521D" w14:textId="6E1C2C19" w:rsidR="003F29E3" w:rsidRPr="00181755" w:rsidRDefault="003F29E3" w:rsidP="00181755">
      <w:pPr>
        <w:pStyle w:val="felsorolsos"/>
        <w:rPr>
          <w:rFonts w:asciiTheme="minorHAnsi" w:hAnsiTheme="minorHAnsi"/>
        </w:rPr>
      </w:pPr>
      <w:r w:rsidRPr="00181755">
        <w:rPr>
          <w:rFonts w:asciiTheme="minorHAnsi" w:hAnsiTheme="minorHAnsi"/>
        </w:rPr>
        <w:t xml:space="preserve">fennáll a CRR 22. cikke </w:t>
      </w:r>
      <w:r w:rsidR="00093F22" w:rsidRPr="00181755">
        <w:rPr>
          <w:rFonts w:asciiTheme="minorHAnsi" w:hAnsiTheme="minorHAnsi"/>
          <w:lang w:val="hu-HU"/>
        </w:rPr>
        <w:t xml:space="preserve">szerinti esetkör </w:t>
      </w:r>
      <w:r w:rsidRPr="00181755">
        <w:rPr>
          <w:rFonts w:asciiTheme="minorHAnsi" w:hAnsiTheme="minorHAnsi"/>
        </w:rPr>
        <w:t>(egyéb szubkonszolidált szintű megfelelés),</w:t>
      </w:r>
    </w:p>
    <w:p w14:paraId="66B1521E"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 a csatolt intézményeivel együtt. </w:t>
      </w:r>
    </w:p>
    <w:p w14:paraId="68578486" w14:textId="7AC83227" w:rsidR="00D2061B" w:rsidRPr="00181755" w:rsidRDefault="003F29E3" w:rsidP="00181755">
      <w:pPr>
        <w:rPr>
          <w:rFonts w:asciiTheme="minorHAnsi" w:hAnsiTheme="minorHAnsi"/>
        </w:rPr>
      </w:pPr>
      <w:r w:rsidRPr="00181755">
        <w:rPr>
          <w:rFonts w:asciiTheme="minorHAnsi" w:hAnsiTheme="minorHAnsi"/>
        </w:rPr>
        <w:t xml:space="preserve">A CRD </w:t>
      </w:r>
      <w:r w:rsidR="00A82A54" w:rsidRPr="00181755">
        <w:rPr>
          <w:rFonts w:asciiTheme="minorHAnsi" w:hAnsiTheme="minorHAnsi"/>
        </w:rPr>
        <w:t xml:space="preserve">IV </w:t>
      </w:r>
      <w:r w:rsidRPr="00181755">
        <w:rPr>
          <w:rFonts w:asciiTheme="minorHAnsi" w:hAnsiTheme="minorHAnsi"/>
        </w:rPr>
        <w:t xml:space="preserve">108. cikke alapján </w:t>
      </w:r>
      <w:r w:rsidR="00093F22" w:rsidRPr="00181755">
        <w:rPr>
          <w:rFonts w:asciiTheme="minorHAnsi" w:hAnsiTheme="minorHAnsi"/>
        </w:rPr>
        <w:t>–</w:t>
      </w:r>
      <w:r w:rsidRPr="00181755">
        <w:rPr>
          <w:rFonts w:asciiTheme="minorHAnsi" w:hAnsiTheme="minorHAnsi"/>
        </w:rPr>
        <w:t xml:space="preserve"> a CRR tőkére vonatkozó előírásainak való csoport szintű megfelelés alól nem mentesített csoportoknak </w:t>
      </w:r>
      <w:r w:rsidR="00093F22" w:rsidRPr="00181755">
        <w:rPr>
          <w:rFonts w:asciiTheme="minorHAnsi" w:hAnsiTheme="minorHAnsi"/>
        </w:rPr>
        <w:t>–</w:t>
      </w:r>
      <w:r w:rsidRPr="00181755">
        <w:rPr>
          <w:rFonts w:asciiTheme="minorHAnsi" w:hAnsiTheme="minorHAnsi"/>
        </w:rPr>
        <w:t xml:space="preserve"> ICAAP-et szubkonszolidált és EU-szintű konszolidáció szintjén is kell folytatni.</w:t>
      </w:r>
      <w:r w:rsidR="008E4106" w:rsidRPr="00181755">
        <w:rPr>
          <w:rFonts w:asciiTheme="minorHAnsi" w:hAnsiTheme="minorHAnsi"/>
        </w:rPr>
        <w:t xml:space="preserve"> </w:t>
      </w:r>
    </w:p>
    <w:p w14:paraId="3BC29096" w14:textId="77777777" w:rsidR="002C567F" w:rsidRPr="00181755" w:rsidRDefault="003F29E3" w:rsidP="00181755">
      <w:pPr>
        <w:rPr>
          <w:rFonts w:asciiTheme="minorHAnsi" w:hAnsiTheme="minorHAnsi"/>
          <w:b/>
        </w:rPr>
      </w:pPr>
      <w:r w:rsidRPr="00181755">
        <w:rPr>
          <w:rFonts w:asciiTheme="minorHAnsi" w:hAnsiTheme="minorHAnsi"/>
          <w:b/>
        </w:rPr>
        <w:t>A csoportszintű ICAAP megfelelés és a felügyeleti felülvizsgálat típusai</w:t>
      </w:r>
    </w:p>
    <w:p w14:paraId="66B15221" w14:textId="199EF1A8" w:rsidR="003F29E3" w:rsidRPr="00181755" w:rsidRDefault="002C567F" w:rsidP="00181755">
      <w:pPr>
        <w:pStyle w:val="Listaszerbekezds"/>
        <w:numPr>
          <w:ilvl w:val="0"/>
          <w:numId w:val="57"/>
        </w:numPr>
        <w:rPr>
          <w:rFonts w:asciiTheme="minorHAnsi" w:hAnsiTheme="minorHAnsi"/>
          <w:b/>
          <w:i/>
        </w:rPr>
      </w:pPr>
      <w:r w:rsidRPr="00181755">
        <w:rPr>
          <w:rFonts w:asciiTheme="minorHAnsi" w:hAnsiTheme="minorHAnsi"/>
          <w:b/>
          <w:i/>
          <w:lang w:val="hu-HU"/>
        </w:rPr>
        <w:t>Nemzetközi csoportok</w:t>
      </w:r>
    </w:p>
    <w:p w14:paraId="66B15222"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A csoport EU-szintű anyavállalata Magyarországon rendelkezik székhellyel</w:t>
      </w:r>
    </w:p>
    <w:p w14:paraId="66B15223" w14:textId="77777777" w:rsidR="003F29E3" w:rsidRPr="00181755" w:rsidRDefault="003F29E3" w:rsidP="00181755">
      <w:pPr>
        <w:rPr>
          <w:rFonts w:asciiTheme="minorHAnsi" w:hAnsiTheme="minorHAnsi"/>
        </w:rPr>
      </w:pPr>
      <w:r w:rsidRPr="00181755">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0" wp14:editId="66B15A71">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181755" w:rsidRDefault="003F29E3" w:rsidP="00181755">
      <w:pPr>
        <w:rPr>
          <w:rFonts w:asciiTheme="minorHAnsi" w:hAnsiTheme="minorHAnsi"/>
        </w:rPr>
      </w:pPr>
      <w:r w:rsidRPr="00181755">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181755" w:rsidRDefault="003F29E3" w:rsidP="00181755">
      <w:pPr>
        <w:rPr>
          <w:rFonts w:asciiTheme="minorHAnsi" w:hAnsiTheme="minorHAnsi"/>
        </w:rPr>
      </w:pPr>
    </w:p>
    <w:p w14:paraId="66B15227"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A csoport EU-szintű anyavállalata más tagállamban rendelkezik székhellyel</w:t>
      </w:r>
      <w:r w:rsidRPr="00181755">
        <w:rPr>
          <w:rFonts w:asciiTheme="minorHAnsi" w:hAnsiTheme="minorHAnsi"/>
          <w:b/>
          <w:vertAlign w:val="superscript"/>
        </w:rPr>
        <w:footnoteReference w:id="13"/>
      </w:r>
    </w:p>
    <w:p w14:paraId="66B15228" w14:textId="77777777" w:rsidR="003F29E3" w:rsidRPr="00181755" w:rsidRDefault="003F29E3" w:rsidP="00181755">
      <w:pPr>
        <w:rPr>
          <w:rFonts w:asciiTheme="minorHAnsi" w:hAnsiTheme="minorHAnsi"/>
        </w:rPr>
      </w:pPr>
      <w:r w:rsidRPr="00181755">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CRD </w:t>
      </w:r>
      <w:r w:rsidR="00A82A54" w:rsidRPr="00181755">
        <w:rPr>
          <w:rFonts w:asciiTheme="minorHAnsi" w:hAnsiTheme="minorHAnsi"/>
        </w:rPr>
        <w:t xml:space="preserve">IV </w:t>
      </w:r>
      <w:r w:rsidRPr="00181755">
        <w:rPr>
          <w:rFonts w:asciiTheme="minorHAnsi" w:hAnsiTheme="minorHAnsi"/>
        </w:rPr>
        <w:t>108. cikkével összhangban az MNB elvárja a belső tőkekövetelmény-számítási követelményeknek való</w:t>
      </w:r>
      <w:r w:rsidRPr="00181755">
        <w:rPr>
          <w:rFonts w:asciiTheme="minorHAnsi" w:hAnsiTheme="minorHAnsi"/>
          <w:b/>
        </w:rPr>
        <w:t xml:space="preserve"> </w:t>
      </w:r>
      <w:r w:rsidRPr="00181755">
        <w:rPr>
          <w:rFonts w:asciiTheme="minorHAnsi" w:hAnsiTheme="minorHAnsi"/>
        </w:rPr>
        <w:t>tagállami szintű megfelelést is, azaz, hogy a hazai leányvállalat az összevont felügyeleti körébe tartozó intézmények vonatkozásában összevont alapon is végezzen ICAAP-et. A tőkekövetelmény számítás minőségéért a hazai csoport vezetése a felelős abban az esetben is, ha a hazai csoport vonatkozásában a belső tőkekövetelmény számítási folyamatok magasabb, EU-szinten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2" wp14:editId="66B15A73">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181755" w:rsidRDefault="003F29E3" w:rsidP="00181755">
      <w:pPr>
        <w:rPr>
          <w:rFonts w:asciiTheme="minorHAnsi" w:hAnsiTheme="minorHAnsi"/>
        </w:rPr>
      </w:pPr>
      <w:r w:rsidRPr="00181755">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45B6A6F0" w:rsidR="003F29E3" w:rsidRPr="00181755" w:rsidRDefault="003F29E3" w:rsidP="00181755">
      <w:pPr>
        <w:rPr>
          <w:rFonts w:asciiTheme="minorHAnsi" w:hAnsiTheme="minorHAnsi"/>
        </w:rPr>
      </w:pPr>
      <w:r w:rsidRPr="00181755">
        <w:rPr>
          <w:rFonts w:asciiTheme="minorHAnsi" w:hAnsiTheme="minorHAnsi"/>
        </w:rPr>
        <w:t xml:space="preserve">Ez esetekben az MNB szerepe kettős. Egyrészt lefolytatja a szubkonszolidált szintű ICAAP felügyeleti felülvizsgálatot, jellemzően közös döntési eljárás nélkül, másrészt a jogszabályi előírásoknak megfelelő módon bekapcsolódik az EU-szintű közös döntési eljárásokba. </w:t>
      </w:r>
    </w:p>
    <w:p w14:paraId="66B1522D"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Egyéb szubkonszolidált szintű vizsgálat</w:t>
      </w:r>
    </w:p>
    <w:p w14:paraId="66B1522E" w14:textId="77777777" w:rsidR="003F29E3" w:rsidRPr="00181755" w:rsidRDefault="003F29E3" w:rsidP="00181755">
      <w:pPr>
        <w:rPr>
          <w:rFonts w:asciiTheme="minorHAnsi" w:hAnsiTheme="minorHAnsi"/>
        </w:rPr>
      </w:pPr>
      <w:r w:rsidRPr="00181755">
        <w:rPr>
          <w:rFonts w:asciiTheme="minorHAnsi" w:hAnsiTheme="minorHAnsi"/>
        </w:rPr>
        <w:t>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w:t>
      </w:r>
      <w:r w:rsidRPr="00181755">
        <w:rPr>
          <w:rFonts w:asciiTheme="minorHAnsi" w:hAnsiTheme="minorHAnsi"/>
          <w:b/>
        </w:rPr>
        <w:t xml:space="preserve"> </w:t>
      </w:r>
      <w:r w:rsidRPr="00181755">
        <w:rPr>
          <w:rFonts w:asciiTheme="minorHAnsi" w:hAnsiTheme="minorHAnsi"/>
        </w:rPr>
        <w:t xml:space="preserve">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4" wp14:editId="66B15A75">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6B15230" w14:textId="3D67DBEB" w:rsidR="003F29E3" w:rsidRPr="00181755" w:rsidRDefault="002C567F" w:rsidP="00181755">
      <w:pPr>
        <w:pStyle w:val="Listaszerbekezds"/>
        <w:numPr>
          <w:ilvl w:val="0"/>
          <w:numId w:val="57"/>
        </w:numPr>
        <w:rPr>
          <w:rFonts w:asciiTheme="minorHAnsi" w:hAnsiTheme="minorHAnsi"/>
          <w:b/>
          <w:i/>
        </w:rPr>
      </w:pPr>
      <w:r w:rsidRPr="00181755">
        <w:rPr>
          <w:rFonts w:asciiTheme="minorHAnsi" w:hAnsiTheme="minorHAnsi"/>
          <w:b/>
          <w:i/>
          <w:lang w:val="hu-HU"/>
        </w:rPr>
        <w:t>Hazai csoportok</w:t>
      </w:r>
    </w:p>
    <w:p w14:paraId="66B15231"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A központi szervhez tartósan kapcsolt hitelintézet</w:t>
      </w:r>
    </w:p>
    <w:p w14:paraId="66B15232" w14:textId="77777777" w:rsidR="003F29E3" w:rsidRPr="00181755" w:rsidRDefault="003F29E3" w:rsidP="00181755">
      <w:pPr>
        <w:rPr>
          <w:rFonts w:asciiTheme="minorHAnsi" w:hAnsiTheme="minorHAnsi"/>
        </w:rPr>
      </w:pPr>
      <w:r w:rsidRPr="00181755">
        <w:rPr>
          <w:rFonts w:asciiTheme="minorHAnsi" w:hAnsiTheme="minorHAnsi"/>
        </w:rPr>
        <w:t>A CRR tőkére vonatkozó követelményeit a központi szerv a kapcsolt intézményeivel együtt csoport szinten teljesíti, vagy az intézményeknek egyedileg kell megfelelniük. A CRD</w:t>
      </w:r>
      <w:r w:rsidR="00A82A54" w:rsidRPr="00181755">
        <w:rPr>
          <w:rFonts w:asciiTheme="minorHAnsi" w:hAnsiTheme="minorHAnsi"/>
        </w:rPr>
        <w:t xml:space="preserve"> IV</w:t>
      </w:r>
      <w:r w:rsidRPr="00181755">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p>
    <w:p w14:paraId="66B15233"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6" wp14:editId="0A8C3906">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181755" w:rsidRDefault="00396B01" w:rsidP="00181755">
      <w:pPr>
        <w:numPr>
          <w:ilvl w:val="0"/>
          <w:numId w:val="8"/>
        </w:numPr>
        <w:rPr>
          <w:rFonts w:asciiTheme="minorHAnsi" w:hAnsiTheme="minorHAnsi"/>
          <w:b/>
        </w:rPr>
      </w:pPr>
      <w:r w:rsidRPr="00181755">
        <w:rPr>
          <w:rFonts w:asciiTheme="minorHAnsi" w:hAnsiTheme="minorHAnsi"/>
          <w:b/>
        </w:rPr>
        <w:t>Hazai intézménycsoport</w:t>
      </w:r>
    </w:p>
    <w:p w14:paraId="75CD1AB2" w14:textId="26D64E63" w:rsidR="002D3AED" w:rsidRPr="00181755" w:rsidRDefault="00461676" w:rsidP="00181755">
      <w:pPr>
        <w:ind w:left="360"/>
        <w:rPr>
          <w:rFonts w:asciiTheme="minorHAnsi" w:hAnsiTheme="minorHAnsi"/>
        </w:rPr>
      </w:pPr>
      <w:r w:rsidRPr="00181755">
        <w:rPr>
          <w:rFonts w:asciiTheme="minorHAnsi" w:hAnsiTheme="minorHAnsi"/>
        </w:rPr>
        <w:t>Kizárólag h</w:t>
      </w:r>
      <w:r w:rsidR="002D3AED" w:rsidRPr="00181755">
        <w:rPr>
          <w:rFonts w:asciiTheme="minorHAnsi" w:hAnsiTheme="minorHAnsi"/>
        </w:rPr>
        <w:t>azai anyavállalattal és leányvállalatokkal rendelkező intézménycsoportnak az összevont felügyeleti körbe tartozó intézmények vonatkozásában összevont alapon is meg kell felelnie a belső tőkeszükséglet számítási követelményeknek.</w:t>
      </w:r>
      <w:r w:rsidRPr="00181755">
        <w:rPr>
          <w:rFonts w:asciiTheme="minorHAnsi" w:hAnsiTheme="minorHAnsi"/>
        </w:rPr>
        <w:t xml:space="preserve"> Ezen csoportok esetében közös döntéshozatali folyamat nincs. </w:t>
      </w:r>
    </w:p>
    <w:p w14:paraId="2D096DB9" w14:textId="009497F0" w:rsidR="00396B01" w:rsidRPr="00181755" w:rsidRDefault="00396B01" w:rsidP="00181755">
      <w:pPr>
        <w:jc w:val="center"/>
        <w:rPr>
          <w:rFonts w:asciiTheme="minorHAnsi" w:hAnsiTheme="minorHAnsi"/>
        </w:rPr>
      </w:pPr>
      <w:r w:rsidRPr="00181755">
        <w:rPr>
          <w:rFonts w:asciiTheme="minorHAnsi" w:hAnsiTheme="minorHAnsi"/>
          <w:noProof/>
        </w:rPr>
        <w:drawing>
          <wp:inline distT="0" distB="0" distL="0" distR="0" wp14:anchorId="4062C67A" wp14:editId="2AAA00A2">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181755" w:rsidRDefault="003F29E3" w:rsidP="00181755">
      <w:pPr>
        <w:keepNext/>
        <w:rPr>
          <w:rFonts w:asciiTheme="minorHAnsi" w:hAnsiTheme="minorHAnsi"/>
          <w:b/>
          <w:i/>
        </w:rPr>
      </w:pPr>
      <w:r w:rsidRPr="00181755">
        <w:rPr>
          <w:rFonts w:asciiTheme="minorHAnsi" w:hAnsiTheme="minorHAnsi"/>
          <w:b/>
          <w:i/>
        </w:rPr>
        <w:t>Likviditás megfelelőség értékelése</w:t>
      </w:r>
    </w:p>
    <w:p w14:paraId="66B15235" w14:textId="21465144" w:rsidR="003F29E3" w:rsidRPr="00181755" w:rsidRDefault="003F29E3" w:rsidP="00181755">
      <w:pPr>
        <w:rPr>
          <w:rFonts w:asciiTheme="minorHAnsi" w:hAnsiTheme="minorHAnsi"/>
        </w:rPr>
      </w:pPr>
      <w:r w:rsidRPr="00181755">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181755">
        <w:rPr>
          <w:rFonts w:asciiTheme="minorHAnsi" w:hAnsiTheme="minorHAnsi"/>
        </w:rPr>
        <w:t>.</w:t>
      </w:r>
      <w:r w:rsidRPr="00181755">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21A858C0" w:rsidR="003F29E3" w:rsidRPr="00181755" w:rsidRDefault="003F29E3" w:rsidP="00181755">
      <w:pPr>
        <w:rPr>
          <w:rFonts w:asciiTheme="minorHAnsi" w:hAnsiTheme="minorHAnsi"/>
        </w:rPr>
      </w:pPr>
      <w:r w:rsidRPr="00181755">
        <w:rPr>
          <w:rFonts w:asciiTheme="minorHAnsi" w:hAnsiTheme="minorHAnsi"/>
        </w:rPr>
        <w:t>Felügyeleti hatóságként az MNB a csoport szintű ILAAP elvégzését a komplex SREP hatálya alá tartozó intézményekre szubkonszolidált és</w:t>
      </w:r>
      <w:r w:rsidR="00B40F1A" w:rsidRPr="00181755">
        <w:rPr>
          <w:rFonts w:asciiTheme="minorHAnsi" w:hAnsiTheme="minorHAnsi"/>
        </w:rPr>
        <w:t xml:space="preserve"> teljes </w:t>
      </w:r>
      <w:r w:rsidRPr="00181755">
        <w:rPr>
          <w:rFonts w:asciiTheme="minorHAnsi" w:hAnsiTheme="minorHAnsi"/>
        </w:rPr>
        <w:t>konszolidáció szintjén is indokoltnak tartja, a korábban leírtaknak megfelelően viszont egyedi ILAAP elvégzését nem</w:t>
      </w:r>
      <w:r w:rsidR="00C645A0" w:rsidRPr="00181755">
        <w:rPr>
          <w:rFonts w:asciiTheme="minorHAnsi" w:hAnsiTheme="minorHAnsi"/>
        </w:rPr>
        <w:t>, csak egyedi likviditás megfelelést vár el</w:t>
      </w:r>
      <w:r w:rsidRPr="00181755">
        <w:rPr>
          <w:rFonts w:asciiTheme="minorHAnsi" w:hAnsiTheme="minorHAnsi"/>
        </w:rPr>
        <w:t>. A likviditás csoport szintű felügyeleti felülvizsgálata történhet közös döntési eljárás lefolytatásával, vagy a nélkül. A likviditással összefüggő közös döntés során pedig a CRR 21. cikke szerint szükséges eljárni.</w:t>
      </w:r>
    </w:p>
    <w:p w14:paraId="66B15237" w14:textId="000506F4" w:rsidR="003F29E3" w:rsidRPr="00181755" w:rsidRDefault="003F29E3" w:rsidP="00181755">
      <w:pPr>
        <w:pStyle w:val="Cmsor1"/>
        <w:rPr>
          <w:rFonts w:asciiTheme="minorHAnsi" w:hAnsiTheme="minorHAnsi"/>
        </w:rPr>
      </w:pPr>
      <w:bookmarkStart w:id="211" w:name="_VI.1._Egyedi_szintű"/>
      <w:bookmarkStart w:id="212" w:name="_VI.2._Konszolidált_szintű"/>
      <w:bookmarkStart w:id="213" w:name="_VI.2.1_A_csoport"/>
      <w:bookmarkStart w:id="214" w:name="_VI.2.2_A_csoport"/>
      <w:bookmarkStart w:id="215" w:name="_Az_EU_szintű"/>
      <w:bookmarkStart w:id="216" w:name="_VI.3._Szubkonszolidált_szintű"/>
      <w:bookmarkStart w:id="217" w:name="_Együttműködés_más_felügyeleti"/>
      <w:bookmarkStart w:id="218" w:name="_A_felügyeleti_felülvizsgálati_1"/>
      <w:bookmarkStart w:id="219" w:name="_Toc378590304"/>
      <w:bookmarkStart w:id="220" w:name="_Toc378592146"/>
      <w:bookmarkEnd w:id="149"/>
      <w:bookmarkEnd w:id="150"/>
      <w:bookmarkEnd w:id="211"/>
      <w:bookmarkEnd w:id="212"/>
      <w:bookmarkEnd w:id="213"/>
      <w:bookmarkEnd w:id="214"/>
      <w:bookmarkEnd w:id="215"/>
      <w:bookmarkEnd w:id="216"/>
      <w:bookmarkEnd w:id="217"/>
      <w:bookmarkEnd w:id="218"/>
      <w:r w:rsidRPr="00181755">
        <w:rPr>
          <w:rFonts w:asciiTheme="minorHAnsi" w:hAnsiTheme="minorHAnsi"/>
        </w:rPr>
        <w:br w:type="page"/>
      </w:r>
      <w:bookmarkStart w:id="221" w:name="_Toc461095171"/>
      <w:bookmarkStart w:id="222" w:name="_Toc461179203"/>
      <w:bookmarkStart w:id="223" w:name="_Toc461179827"/>
      <w:bookmarkStart w:id="224" w:name="_Toc461197744"/>
      <w:bookmarkStart w:id="225" w:name="_Toc461201270"/>
      <w:bookmarkStart w:id="226" w:name="_Toc461547894"/>
      <w:bookmarkStart w:id="227" w:name="_Toc462401922"/>
      <w:bookmarkStart w:id="228" w:name="_Toc462403043"/>
      <w:bookmarkStart w:id="229" w:name="_Toc462403367"/>
      <w:bookmarkStart w:id="230" w:name="_Toc468180486"/>
      <w:bookmarkStart w:id="231" w:name="_Toc468181018"/>
      <w:bookmarkStart w:id="232" w:name="_Toc468191416"/>
      <w:r w:rsidRPr="00181755">
        <w:rPr>
          <w:rFonts w:asciiTheme="minorHAnsi" w:hAnsiTheme="minorHAnsi"/>
        </w:rPr>
        <w:t>A</w:t>
      </w:r>
      <w:r w:rsidR="007A5B66" w:rsidRPr="00181755">
        <w:rPr>
          <w:rFonts w:asciiTheme="minorHAnsi" w:hAnsiTheme="minorHAnsi"/>
        </w:rPr>
        <w:t>z ICAAP</w:t>
      </w:r>
      <w:r w:rsidR="000D0BEE" w:rsidRPr="00181755">
        <w:rPr>
          <w:rFonts w:asciiTheme="minorHAnsi" w:hAnsiTheme="minorHAnsi"/>
        </w:rPr>
        <w:t xml:space="preserve">, </w:t>
      </w:r>
      <w:r w:rsidR="007A5B66" w:rsidRPr="00181755">
        <w:rPr>
          <w:rFonts w:asciiTheme="minorHAnsi" w:hAnsiTheme="minorHAnsi"/>
        </w:rPr>
        <w:t>az ILAAP</w:t>
      </w:r>
      <w:r w:rsidR="000D0BEE" w:rsidRPr="00181755">
        <w:rPr>
          <w:rFonts w:asciiTheme="minorHAnsi" w:hAnsiTheme="minorHAnsi"/>
        </w:rPr>
        <w:t xml:space="preserve"> és a </w:t>
      </w:r>
      <w:r w:rsidR="007A5B66" w:rsidRPr="00181755">
        <w:rPr>
          <w:rFonts w:asciiTheme="minorHAnsi" w:hAnsiTheme="minorHAnsi"/>
        </w:rPr>
        <w:t xml:space="preserve">BMA vizsgálat </w:t>
      </w:r>
      <w:r w:rsidRPr="00181755">
        <w:rPr>
          <w:rFonts w:asciiTheme="minorHAnsi" w:hAnsiTheme="minorHAnsi"/>
        </w:rPr>
        <w:t>fokozatai és a felügyelt intézmények csoportosítása</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6B15238" w14:textId="5BE865FA" w:rsidR="003F29E3" w:rsidRPr="00181755" w:rsidRDefault="003F29E3" w:rsidP="00181755">
      <w:pPr>
        <w:rPr>
          <w:rFonts w:asciiTheme="minorHAnsi" w:hAnsiTheme="minorHAnsi"/>
        </w:rPr>
      </w:pPr>
      <w:r w:rsidRPr="00181755">
        <w:rPr>
          <w:rFonts w:asciiTheme="minorHAnsi" w:hAnsiTheme="minorHAnsi"/>
        </w:rPr>
        <w:t>A felülvizsgálat és az értékelés gyakoriságát, mértékét és részletezettségét a</w:t>
      </w:r>
      <w:r w:rsidR="00E9632E" w:rsidRPr="00181755">
        <w:rPr>
          <w:rFonts w:asciiTheme="minorHAnsi" w:hAnsiTheme="minorHAnsi"/>
        </w:rPr>
        <w:t>z intézmények</w:t>
      </w:r>
      <w:r w:rsidRPr="00181755">
        <w:rPr>
          <w:rFonts w:asciiTheme="minorHAnsi" w:hAnsiTheme="minorHAnsi"/>
        </w:rPr>
        <w:t xml:space="preserve"> mérete, tevékenységének jelentősége, jellege, nagyságrendje és összetettsége, üzleti modellje és kockázatai alapján határozza meg az MNB azzal, hogy a felülvizsgálatot és értékelést legalább évente egyszer el kell végezni.</w:t>
      </w:r>
    </w:p>
    <w:p w14:paraId="66B15239" w14:textId="672F4172" w:rsidR="003F29E3" w:rsidRPr="00181755" w:rsidRDefault="003F29E3" w:rsidP="00181755">
      <w:pPr>
        <w:rPr>
          <w:rFonts w:asciiTheme="minorHAnsi" w:hAnsiTheme="minorHAnsi"/>
        </w:rPr>
      </w:pPr>
      <w:r w:rsidRPr="00181755">
        <w:rPr>
          <w:rFonts w:asciiTheme="minorHAnsi" w:hAnsiTheme="minorHAnsi"/>
        </w:rPr>
        <w:t>A felülvizsgálat módszerének megválasztásakor az MNB az intézményeknek alapvetően két ka</w:t>
      </w:r>
      <w:r w:rsidR="007A61AE" w:rsidRPr="00181755">
        <w:rPr>
          <w:rFonts w:asciiTheme="minorHAnsi" w:hAnsiTheme="minorHAnsi"/>
        </w:rPr>
        <w:t>tegóriáját különbözteti meg: a komplex SREP alá tartozó nagy intézményeket, intézménycsoportokat</w:t>
      </w:r>
      <w:r w:rsidRPr="00181755">
        <w:rPr>
          <w:rFonts w:asciiTheme="minorHAnsi" w:hAnsiTheme="minorHAnsi"/>
        </w:rPr>
        <w:t xml:space="preserve">, illetve az egyéb – jellemzően kisebb – intézményeket. A felülvizsgálati folyamat mélysége, illetve az intézménnyel folytatott dialógus intenzitása szempontjából a felügyeleti felülvizsgálat </w:t>
      </w:r>
      <w:r w:rsidR="007F4DAA" w:rsidRPr="00181755">
        <w:rPr>
          <w:rFonts w:asciiTheme="minorHAnsi" w:hAnsiTheme="minorHAnsi"/>
        </w:rPr>
        <w:t>három</w:t>
      </w:r>
      <w:r w:rsidR="001C5AFC" w:rsidRPr="00181755">
        <w:rPr>
          <w:rFonts w:asciiTheme="minorHAnsi" w:hAnsiTheme="minorHAnsi"/>
        </w:rPr>
        <w:t xml:space="preserve"> </w:t>
      </w:r>
      <w:r w:rsidRPr="00181755">
        <w:rPr>
          <w:rFonts w:asciiTheme="minorHAnsi" w:hAnsiTheme="minorHAnsi"/>
        </w:rPr>
        <w:t>fokozata különíthető el:</w:t>
      </w:r>
    </w:p>
    <w:p w14:paraId="66B1523A" w14:textId="16B1A05D" w:rsidR="003F29E3" w:rsidRPr="00181755" w:rsidRDefault="003F29E3" w:rsidP="00181755">
      <w:pPr>
        <w:pStyle w:val="felsorolsos"/>
        <w:rPr>
          <w:rFonts w:asciiTheme="minorHAnsi" w:hAnsiTheme="minorHAnsi"/>
        </w:rPr>
      </w:pPr>
      <w:r w:rsidRPr="00181755">
        <w:rPr>
          <w:rFonts w:asciiTheme="minorHAnsi" w:hAnsiTheme="minorHAnsi"/>
        </w:rPr>
        <w:t xml:space="preserve">komplex ICAAP és ILAAP felülvizsgálatra a </w:t>
      </w:r>
      <w:r w:rsidR="007A61AE" w:rsidRPr="00181755">
        <w:rPr>
          <w:rFonts w:asciiTheme="minorHAnsi" w:hAnsiTheme="minorHAnsi"/>
        </w:rPr>
        <w:t>komplex SREP alá tartozó intézményeknél</w:t>
      </w:r>
      <w:r w:rsidR="006636DD" w:rsidRPr="00181755">
        <w:rPr>
          <w:rFonts w:asciiTheme="minorHAnsi" w:hAnsiTheme="minorHAnsi"/>
        </w:rPr>
        <w:t xml:space="preserve"> kerül sor</w:t>
      </w:r>
      <w:r w:rsidR="006636DD" w:rsidRPr="00181755">
        <w:rPr>
          <w:rFonts w:asciiTheme="minorHAnsi" w:hAnsiTheme="minorHAnsi"/>
          <w:lang w:val="hu-HU"/>
        </w:rPr>
        <w:t>,</w:t>
      </w:r>
    </w:p>
    <w:p w14:paraId="06B7C6A2" w14:textId="6196ADF9" w:rsidR="003F29E3" w:rsidRPr="00181755" w:rsidRDefault="003F29E3" w:rsidP="00181755">
      <w:pPr>
        <w:pStyle w:val="felsorolsos"/>
        <w:rPr>
          <w:rFonts w:asciiTheme="minorHAnsi" w:hAnsiTheme="minorHAnsi"/>
        </w:rPr>
      </w:pPr>
      <w:r w:rsidRPr="00181755">
        <w:rPr>
          <w:rFonts w:asciiTheme="minorHAnsi" w:hAnsiTheme="minorHAnsi"/>
        </w:rPr>
        <w:t xml:space="preserve">sztenderd </w:t>
      </w:r>
      <w:r w:rsidRPr="00181755">
        <w:rPr>
          <w:rFonts w:asciiTheme="minorHAnsi" w:hAnsiTheme="minorHAnsi"/>
          <w:lang w:val="hu-HU"/>
        </w:rPr>
        <w:t>ICAAP felülvizsgálat</w:t>
      </w:r>
      <w:r w:rsidR="001C5AFC" w:rsidRPr="00181755">
        <w:rPr>
          <w:rFonts w:asciiTheme="minorHAnsi" w:hAnsiTheme="minorHAnsi"/>
          <w:lang w:val="hu-HU"/>
        </w:rPr>
        <w:t>ra</w:t>
      </w:r>
      <w:r w:rsidR="00D10772" w:rsidRPr="00181755">
        <w:rPr>
          <w:rFonts w:asciiTheme="minorHAnsi" w:hAnsiTheme="minorHAnsi"/>
          <w:lang w:val="hu-HU"/>
        </w:rPr>
        <w:t xml:space="preserve"> és likviditás megfelelőség értékelés</w:t>
      </w:r>
      <w:r w:rsidR="001C5AFC" w:rsidRPr="00181755">
        <w:rPr>
          <w:rFonts w:asciiTheme="minorHAnsi" w:hAnsiTheme="minorHAnsi"/>
          <w:lang w:val="hu-HU"/>
        </w:rPr>
        <w:t>ére</w:t>
      </w:r>
      <w:r w:rsidRPr="00181755">
        <w:rPr>
          <w:rFonts w:asciiTheme="minorHAnsi" w:hAnsiTheme="minorHAnsi"/>
          <w:lang w:val="hu-HU"/>
        </w:rPr>
        <w:t xml:space="preserve"> </w:t>
      </w:r>
      <w:r w:rsidRPr="00181755">
        <w:rPr>
          <w:rFonts w:asciiTheme="minorHAnsi" w:hAnsiTheme="minorHAnsi"/>
        </w:rPr>
        <w:t>a kis és közepes méretű intézményeknél</w:t>
      </w:r>
      <w:r w:rsidRPr="00181755">
        <w:rPr>
          <w:rFonts w:asciiTheme="minorHAnsi" w:hAnsiTheme="minorHAnsi"/>
          <w:lang w:val="hu-HU"/>
        </w:rPr>
        <w:t xml:space="preserve"> </w:t>
      </w:r>
      <w:r w:rsidR="001C5AFC" w:rsidRPr="00181755">
        <w:rPr>
          <w:rFonts w:asciiTheme="minorHAnsi" w:hAnsiTheme="minorHAnsi"/>
          <w:lang w:val="hu-HU"/>
        </w:rPr>
        <w:t>kerül</w:t>
      </w:r>
      <w:r w:rsidR="002318D5" w:rsidRPr="00181755">
        <w:rPr>
          <w:rFonts w:asciiTheme="minorHAnsi" w:hAnsiTheme="minorHAnsi"/>
          <w:lang w:val="hu-HU"/>
        </w:rPr>
        <w:t>het</w:t>
      </w:r>
      <w:r w:rsidR="001C5AFC" w:rsidRPr="00181755">
        <w:rPr>
          <w:rFonts w:asciiTheme="minorHAnsi" w:hAnsiTheme="minorHAnsi"/>
          <w:lang w:val="hu-HU"/>
        </w:rPr>
        <w:t xml:space="preserve"> sor, </w:t>
      </w:r>
      <w:r w:rsidRPr="00181755">
        <w:rPr>
          <w:rFonts w:asciiTheme="minorHAnsi" w:hAnsiTheme="minorHAnsi"/>
          <w:lang w:val="hu-HU"/>
        </w:rPr>
        <w:t>a</w:t>
      </w:r>
      <w:r w:rsidR="000F0ACE" w:rsidRPr="00181755">
        <w:rPr>
          <w:rFonts w:asciiTheme="minorHAnsi" w:hAnsiTheme="minorHAnsi"/>
          <w:lang w:val="hu-HU"/>
        </w:rPr>
        <w:t xml:space="preserve"> törvényben előírt</w:t>
      </w:r>
      <w:r w:rsidRPr="00181755">
        <w:rPr>
          <w:rFonts w:asciiTheme="minorHAnsi" w:hAnsiTheme="minorHAnsi"/>
        </w:rPr>
        <w:t xml:space="preserve"> átfogó</w:t>
      </w:r>
      <w:r w:rsidR="000F0ACE" w:rsidRPr="00181755">
        <w:rPr>
          <w:rFonts w:asciiTheme="minorHAnsi" w:hAnsiTheme="minorHAnsi"/>
          <w:lang w:val="hu-HU"/>
        </w:rPr>
        <w:t xml:space="preserve"> helyszíni</w:t>
      </w:r>
      <w:r w:rsidRPr="00181755">
        <w:rPr>
          <w:rFonts w:asciiTheme="minorHAnsi" w:hAnsiTheme="minorHAnsi"/>
        </w:rPr>
        <w:t xml:space="preserve"> vizsgálatok során</w:t>
      </w:r>
      <w:r w:rsidR="006636DD" w:rsidRPr="00181755">
        <w:rPr>
          <w:rFonts w:asciiTheme="minorHAnsi" w:hAnsiTheme="minorHAnsi"/>
          <w:lang w:val="hu-HU"/>
        </w:rPr>
        <w:t>,</w:t>
      </w:r>
    </w:p>
    <w:p w14:paraId="66B1523D" w14:textId="3B28995B" w:rsidR="003F29E3" w:rsidRPr="00181755" w:rsidRDefault="003F29E3" w:rsidP="00181755">
      <w:pPr>
        <w:pStyle w:val="felsorolsos"/>
        <w:rPr>
          <w:rFonts w:asciiTheme="minorHAnsi" w:hAnsiTheme="minorHAnsi"/>
        </w:rPr>
      </w:pPr>
      <w:r w:rsidRPr="00181755">
        <w:rPr>
          <w:rFonts w:asciiTheme="minorHAnsi" w:hAnsiTheme="minorHAnsi"/>
        </w:rPr>
        <w:t xml:space="preserve">egyszerűsített ICAAP felülvizsgálat </w:t>
      </w:r>
      <w:r w:rsidR="00D10772" w:rsidRPr="00181755">
        <w:rPr>
          <w:rFonts w:asciiTheme="minorHAnsi" w:hAnsiTheme="minorHAnsi"/>
          <w:lang w:val="hu-HU"/>
        </w:rPr>
        <w:t xml:space="preserve">és likviditás megfelelőség értékelés </w:t>
      </w:r>
      <w:r w:rsidRPr="00181755" w:rsidDel="004335F3">
        <w:rPr>
          <w:rFonts w:asciiTheme="minorHAnsi" w:hAnsiTheme="minorHAnsi"/>
        </w:rPr>
        <w:t>a kis és közepes méretű intézményeknél</w:t>
      </w:r>
      <w:r w:rsidRPr="00181755" w:rsidDel="004335F3">
        <w:rPr>
          <w:rFonts w:asciiTheme="minorHAnsi" w:hAnsiTheme="minorHAnsi"/>
          <w:lang w:val="hu-HU"/>
        </w:rPr>
        <w:t xml:space="preserve"> </w:t>
      </w:r>
      <w:r w:rsidR="002318D5" w:rsidRPr="00181755">
        <w:rPr>
          <w:rFonts w:asciiTheme="minorHAnsi" w:hAnsiTheme="minorHAnsi"/>
          <w:lang w:val="hu-HU"/>
        </w:rPr>
        <w:t>alkalmazható. Ennek keretében a felülvizsgálat az intézmény által kitöltött és az MNB által kiértékelt kérdőív segítségével történik.</w:t>
      </w:r>
    </w:p>
    <w:p w14:paraId="66B1523E" w14:textId="47706D79" w:rsidR="003F29E3" w:rsidRPr="00181755" w:rsidRDefault="007A5B66"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MNB a BMA vizsgálatot kizárólag a komplex SREP alá tartozó intézményeknél folytatja le éves rendszerességgel. </w:t>
      </w:r>
    </w:p>
    <w:p w14:paraId="66B1523F" w14:textId="27C1CFD6" w:rsidR="003F29E3" w:rsidRPr="00181755" w:rsidRDefault="005236D0" w:rsidP="00181755">
      <w:pPr>
        <w:pStyle w:val="Cmsor2"/>
        <w:rPr>
          <w:rFonts w:asciiTheme="minorHAnsi" w:hAnsiTheme="minorHAnsi"/>
        </w:rPr>
      </w:pPr>
      <w:bookmarkStart w:id="233" w:name="_Egyszerűsített_SREP_a"/>
      <w:bookmarkStart w:id="234" w:name="_Sztenderd_SREP_a"/>
      <w:bookmarkStart w:id="235" w:name="_Komplex_SREP_a"/>
      <w:bookmarkStart w:id="236" w:name="_Toc462401923"/>
      <w:bookmarkStart w:id="237" w:name="_Toc462403044"/>
      <w:bookmarkStart w:id="238" w:name="_Toc462403368"/>
      <w:bookmarkStart w:id="239" w:name="_Toc468180487"/>
      <w:bookmarkStart w:id="240" w:name="_Toc468181019"/>
      <w:bookmarkStart w:id="241" w:name="_Toc468191417"/>
      <w:bookmarkEnd w:id="233"/>
      <w:bookmarkEnd w:id="234"/>
      <w:bookmarkEnd w:id="235"/>
      <w:r w:rsidRPr="00181755">
        <w:rPr>
          <w:rFonts w:asciiTheme="minorHAnsi" w:hAnsiTheme="minorHAnsi"/>
        </w:rPr>
        <w:t>Komplex SREP alá tartozó intézmények köre</w:t>
      </w:r>
      <w:bookmarkEnd w:id="236"/>
      <w:bookmarkEnd w:id="237"/>
      <w:bookmarkEnd w:id="238"/>
      <w:bookmarkEnd w:id="239"/>
      <w:bookmarkEnd w:id="240"/>
      <w:bookmarkEnd w:id="241"/>
    </w:p>
    <w:p w14:paraId="66B15240" w14:textId="514EFF69" w:rsidR="003F29E3" w:rsidRPr="00181755" w:rsidRDefault="003F29E3" w:rsidP="00181755">
      <w:pPr>
        <w:rPr>
          <w:rFonts w:asciiTheme="minorHAnsi" w:hAnsiTheme="minorHAnsi"/>
        </w:rPr>
      </w:pPr>
      <w:r w:rsidRPr="00181755">
        <w:rPr>
          <w:rFonts w:asciiTheme="minorHAnsi" w:hAnsiTheme="minorHAnsi"/>
        </w:rPr>
        <w:t xml:space="preserve">Az MNB főszabály szerint </w:t>
      </w:r>
      <w:r w:rsidR="007A61AE" w:rsidRPr="00181755">
        <w:rPr>
          <w:rFonts w:asciiTheme="minorHAnsi" w:hAnsiTheme="minorHAnsi"/>
        </w:rPr>
        <w:t xml:space="preserve">komplex SREP alá tartozó intézményeknek </w:t>
      </w:r>
      <w:r w:rsidRPr="00181755">
        <w:rPr>
          <w:rFonts w:asciiTheme="minorHAnsi" w:hAnsiTheme="minorHAnsi"/>
        </w:rPr>
        <w:t xml:space="preserve">tekinti a mérlegfőösszeg tekintetében legalább öt százalékos piaci részesedéssel rendelkező, vagy erős, illetve közepesnél erősebb kockázati hatásbesorolású intézményeket, intézménycsoportokat. </w:t>
      </w:r>
      <w:r w:rsidR="005236D0" w:rsidRPr="00181755">
        <w:rPr>
          <w:rFonts w:asciiTheme="minorHAnsi" w:hAnsiTheme="minorHAnsi"/>
        </w:rPr>
        <w:t xml:space="preserve">A komplex SREP alá tartozó intézményeket az MNB évente határozza meg. </w:t>
      </w:r>
      <w:r w:rsidRPr="00181755">
        <w:rPr>
          <w:rFonts w:asciiTheme="minorHAnsi" w:hAnsiTheme="minorHAnsi"/>
        </w:rPr>
        <w:t xml:space="preserve">Erre az intézményi körre komplex pénzügyi tevékenység végzése, jelentős piaci részesedés, aktív nemzetközi kapcsolatok, illetve fejlett kockázatkezelési és -mérési módszerek alkalmazása jellemző. A pénzügyi közvetítésben betöltött központi szerepük okán szolvens és prudens működésük a hazai pénzügyi rendszer egésze szempontjából kulcsfontosságú lehet. </w:t>
      </w:r>
    </w:p>
    <w:p w14:paraId="66B15241"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7A61AE" w:rsidRPr="00181755">
        <w:rPr>
          <w:rFonts w:asciiTheme="minorHAnsi" w:hAnsiTheme="minorHAnsi"/>
        </w:rPr>
        <w:t>komplex SREP alá tartozó</w:t>
      </w:r>
      <w:r w:rsidRPr="00181755">
        <w:rPr>
          <w:rFonts w:asciiTheme="minorHAnsi" w:hAnsiTheme="minorHAnsi"/>
        </w:rPr>
        <w:t xml:space="preserve"> intézmények mérete és jelentősége miatt, továbbá azok komplexitásából és fejlett intézményi eljárásaiból fakadó információs aszimmetriák okán az MNB a 2. pilléres felülvizsgálatot különösen ebben az intézményi körben tartja a prudenciális felügyeleti politika nélkülözhetetlen elemének. Ezzel összhangban a gazdasági tőkeszámítás legfejlettebb iparági sztenderdeknek megfelelő, magas módszertani igényességgel történő elvégzését várja el. A kockázati profil összetettsége és </w:t>
      </w:r>
      <w:r w:rsidR="00D10772" w:rsidRPr="00181755">
        <w:rPr>
          <w:rFonts w:asciiTheme="minorHAnsi" w:hAnsiTheme="minorHAnsi"/>
        </w:rPr>
        <w:t xml:space="preserve">a </w:t>
      </w:r>
      <w:r w:rsidRPr="00181755">
        <w:rPr>
          <w:rFonts w:asciiTheme="minorHAnsi" w:hAnsiTheme="minorHAnsi"/>
        </w:rPr>
        <w:t>szofisztikált kockázatmérési technikák miatt a kockázati kitettség bizonytalansága ebben az intézményi körben gyakran a felügyeleti felülvizsgálat keretében végzett felügyeleti ellenőrző számításokkal sem csökkenthető számottevően, ami a tőkekövetelmény jelentős pótlólagos emelését, illetve számottevő likviditási többlet előírásá</w:t>
      </w:r>
      <w:r w:rsidR="00D10772" w:rsidRPr="00181755">
        <w:rPr>
          <w:rFonts w:asciiTheme="minorHAnsi" w:hAnsiTheme="minorHAnsi"/>
        </w:rPr>
        <w:t>nak</w:t>
      </w:r>
      <w:r w:rsidRPr="00181755">
        <w:rPr>
          <w:rFonts w:asciiTheme="minorHAnsi" w:hAnsiTheme="minorHAnsi"/>
        </w:rPr>
        <w:t xml:space="preserve"> szükségességét vonhatja maga után.</w:t>
      </w:r>
    </w:p>
    <w:p w14:paraId="66B15242" w14:textId="77777777" w:rsidR="003F29E3" w:rsidRPr="00181755" w:rsidRDefault="003F29E3" w:rsidP="00181755">
      <w:pPr>
        <w:rPr>
          <w:rFonts w:asciiTheme="minorHAnsi" w:hAnsiTheme="minorHAnsi"/>
        </w:rPr>
      </w:pPr>
      <w:r w:rsidRPr="00181755">
        <w:rPr>
          <w:rFonts w:asciiTheme="minorHAnsi" w:hAnsiTheme="minorHAnsi"/>
        </w:rPr>
        <w:t xml:space="preserve">Az említett intézményi kör tevékenysége komplex felülvizsgálat keretében kerül értékelésre, amely intenzív párbeszédre, jellemzően többhetes helyszíni jelenlétre és rendszeres felsővezetői és szakértői konzultációkra épül. A felülvizsgálati folyamatnak szinte minden esetben része továbbá más uniós tagországok nemzeti felügyeleti hatóságainak részvétele: ritkábban már a helyszíni vizsgálati szakaszban is, általánosan azonban a nemzetközi felügyeleti kollégiumban történő közös kockázatértékelés és döntéshozatal révén. </w:t>
      </w:r>
    </w:p>
    <w:p w14:paraId="66B15243" w14:textId="3629F7DE" w:rsidR="003F29E3" w:rsidRPr="00181755" w:rsidRDefault="003F29E3" w:rsidP="00181755">
      <w:pPr>
        <w:rPr>
          <w:rFonts w:asciiTheme="minorHAnsi" w:hAnsiTheme="minorHAnsi"/>
        </w:rPr>
      </w:pPr>
      <w:r w:rsidRPr="00181755">
        <w:rPr>
          <w:rFonts w:asciiTheme="minorHAnsi" w:hAnsiTheme="minorHAnsi"/>
        </w:rPr>
        <w:t>A komplex ICAAP</w:t>
      </w:r>
      <w:r w:rsidR="005236D0" w:rsidRPr="00181755">
        <w:rPr>
          <w:rFonts w:asciiTheme="minorHAnsi" w:hAnsiTheme="minorHAnsi"/>
        </w:rPr>
        <w:t>-ILAAP-BMA</w:t>
      </w:r>
      <w:r w:rsidRPr="00181755">
        <w:rPr>
          <w:rFonts w:asciiTheme="minorHAnsi" w:hAnsiTheme="minorHAnsi"/>
        </w:rPr>
        <w:t xml:space="preserve"> vizsgálat időzítése a home felügyeleti hatóság eljárásaihoz igazodik, évente azonos intenzitással kerül lefolytatásra.</w:t>
      </w:r>
    </w:p>
    <w:p w14:paraId="66B15244" w14:textId="77777777" w:rsidR="003F29E3" w:rsidRPr="00181755" w:rsidRDefault="003F29E3" w:rsidP="00181755">
      <w:pPr>
        <w:pStyle w:val="Cmsor2"/>
        <w:rPr>
          <w:rFonts w:asciiTheme="minorHAnsi" w:hAnsiTheme="minorHAnsi"/>
        </w:rPr>
      </w:pPr>
      <w:bookmarkStart w:id="242" w:name="_Toc378590306"/>
      <w:bookmarkStart w:id="243" w:name="_Toc378592148"/>
      <w:bookmarkStart w:id="244" w:name="_Toc461095173"/>
      <w:bookmarkStart w:id="245" w:name="_Toc461179205"/>
      <w:bookmarkStart w:id="246" w:name="_Toc461179829"/>
      <w:bookmarkStart w:id="247" w:name="_Toc461197746"/>
      <w:bookmarkStart w:id="248" w:name="_Toc461201272"/>
      <w:bookmarkStart w:id="249" w:name="_Toc461547896"/>
      <w:bookmarkStart w:id="250" w:name="_Toc462401924"/>
      <w:bookmarkStart w:id="251" w:name="_Toc462403045"/>
      <w:bookmarkStart w:id="252" w:name="_Toc462403369"/>
      <w:bookmarkStart w:id="253" w:name="_Toc468180488"/>
      <w:bookmarkStart w:id="254" w:name="_Toc468181020"/>
      <w:bookmarkStart w:id="255" w:name="_Toc468191418"/>
      <w:r w:rsidRPr="00181755">
        <w:rPr>
          <w:rFonts w:asciiTheme="minorHAnsi" w:hAnsiTheme="minorHAnsi"/>
        </w:rPr>
        <w:t>Sztenderd ICAAP felülvizsgálat</w:t>
      </w:r>
      <w:r w:rsidR="00D10772" w:rsidRPr="00181755">
        <w:rPr>
          <w:rFonts w:asciiTheme="minorHAnsi" w:hAnsiTheme="minorHAnsi"/>
        </w:rPr>
        <w:t xml:space="preserve"> és likviditás megfelelőség értékelés</w:t>
      </w:r>
      <w:r w:rsidRPr="00181755">
        <w:rPr>
          <w:rFonts w:asciiTheme="minorHAnsi" w:hAnsiTheme="minorHAnsi"/>
        </w:rPr>
        <w:t xml:space="preserve"> a kis és közepes méretű intézményeknél</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6B15245" w14:textId="77777777" w:rsidR="003F29E3" w:rsidRPr="00181755" w:rsidRDefault="00D10772" w:rsidP="00181755">
      <w:pPr>
        <w:rPr>
          <w:rFonts w:asciiTheme="minorHAnsi" w:hAnsiTheme="minorHAnsi"/>
        </w:rPr>
      </w:pPr>
      <w:r w:rsidRPr="00181755">
        <w:rPr>
          <w:rFonts w:asciiTheme="minorHAnsi" w:hAnsiTheme="minorHAnsi"/>
        </w:rPr>
        <w:t>A</w:t>
      </w:r>
      <w:r w:rsidR="003F29E3" w:rsidRPr="00181755">
        <w:rPr>
          <w:rFonts w:asciiTheme="minorHAnsi" w:hAnsiTheme="minorHAnsi"/>
        </w:rPr>
        <w:t xml:space="preserve">mennyiben az adott felülvizsgálati fordulóban ezen intézményi kör egyes tagjainál törvényben előírt átfogó helyszíni vizsgálatra kerül sor, úgy ennek keretében az MNB minden esetben a 2. pilléres felülvizsgálatot is lefolytatja. </w:t>
      </w:r>
    </w:p>
    <w:p w14:paraId="66B15246" w14:textId="0316D48C" w:rsidR="003F29E3" w:rsidRPr="00181755" w:rsidRDefault="003F29E3" w:rsidP="00181755">
      <w:pPr>
        <w:spacing w:after="240"/>
        <w:rPr>
          <w:rFonts w:asciiTheme="minorHAnsi" w:hAnsiTheme="minorHAnsi"/>
        </w:rPr>
      </w:pPr>
      <w:r w:rsidRPr="00181755">
        <w:rPr>
          <w:rFonts w:asciiTheme="minorHAnsi" w:hAnsiTheme="minorHAnsi"/>
        </w:rPr>
        <w:t>Az átfogó vizsgálat keretében lefolytatott felülvizsgálat helyszíni jellegéből adódóan jóval mélyebb és részletesebb felülvizsgálatot tesz lehetővé, mint az évente lefolytatott kérdőíves felülvizsgálat, és egyben lehetőséget ad a korábbi években a kérdőívben megadott információk ellenőrzésére, valamint a kockázatok mértékének és a kockázatkezelés gyakorlatának közvetlen megítélésére. Átfogó vizsgálatra az MNB t</w:t>
      </w:r>
      <w:r w:rsidR="00B16C16" w:rsidRPr="00181755">
        <w:rPr>
          <w:rFonts w:asciiTheme="minorHAnsi" w:hAnsiTheme="minorHAnsi"/>
        </w:rPr>
        <w:t>ör</w:t>
      </w:r>
      <w:r w:rsidRPr="00181755">
        <w:rPr>
          <w:rFonts w:asciiTheme="minorHAnsi" w:hAnsiTheme="minorHAnsi"/>
        </w:rPr>
        <w:t>v</w:t>
      </w:r>
      <w:r w:rsidR="00B16C16" w:rsidRPr="00181755">
        <w:rPr>
          <w:rFonts w:asciiTheme="minorHAnsi" w:hAnsiTheme="minorHAnsi"/>
        </w:rPr>
        <w:t>ény</w:t>
      </w:r>
      <w:r w:rsidRPr="00181755">
        <w:rPr>
          <w:rStyle w:val="Lbjegyzet-hivatkozs"/>
          <w:rFonts w:asciiTheme="minorHAnsi" w:hAnsiTheme="minorHAnsi"/>
        </w:rPr>
        <w:footnoteReference w:id="14"/>
      </w:r>
      <w:r w:rsidRPr="00181755">
        <w:rPr>
          <w:rFonts w:asciiTheme="minorHAnsi" w:hAnsiTheme="minorHAnsi"/>
        </w:rPr>
        <w:t xml:space="preserve"> előírásainak megfelelően kerül sor az érintett intézményeknél, az átfogó vizsgálatok közötti időben évente egyszerűsített, kérdőíves felülvizsgálatot folytat le az MNB.</w:t>
      </w:r>
    </w:p>
    <w:p w14:paraId="23812027" w14:textId="77777777" w:rsidR="003F29E3" w:rsidRPr="00181755" w:rsidRDefault="003F29E3" w:rsidP="00181755">
      <w:pPr>
        <w:pStyle w:val="Cmsor2"/>
        <w:rPr>
          <w:rFonts w:asciiTheme="minorHAnsi" w:hAnsiTheme="minorHAnsi"/>
        </w:rPr>
      </w:pPr>
      <w:bookmarkStart w:id="256" w:name="_Toc461195763"/>
      <w:bookmarkStart w:id="257" w:name="_Toc461524846"/>
      <w:bookmarkStart w:id="258" w:name="_Toc461547897"/>
      <w:bookmarkStart w:id="259" w:name="_Toc461550190"/>
      <w:bookmarkStart w:id="260" w:name="_Toc462401925"/>
      <w:bookmarkStart w:id="261" w:name="_Toc462403046"/>
      <w:bookmarkStart w:id="262" w:name="_Toc462403370"/>
      <w:bookmarkStart w:id="263" w:name="_Toc462403799"/>
      <w:bookmarkStart w:id="264" w:name="_Toc462645667"/>
      <w:bookmarkStart w:id="265" w:name="_Toc468180489"/>
      <w:bookmarkStart w:id="266" w:name="_Toc468181021"/>
      <w:bookmarkStart w:id="267" w:name="_Toc378590305"/>
      <w:bookmarkStart w:id="268" w:name="_Toc378592147"/>
      <w:bookmarkStart w:id="269" w:name="_Toc461095174"/>
      <w:bookmarkStart w:id="270" w:name="_Toc461179206"/>
      <w:bookmarkStart w:id="271" w:name="_Toc461179830"/>
      <w:bookmarkStart w:id="272" w:name="_Toc461547898"/>
      <w:bookmarkStart w:id="273" w:name="_Toc462401926"/>
      <w:bookmarkStart w:id="274" w:name="_Toc462403047"/>
      <w:bookmarkStart w:id="275" w:name="_Toc462403371"/>
      <w:bookmarkStart w:id="276" w:name="_Toc468180490"/>
      <w:bookmarkStart w:id="277" w:name="_Toc468181022"/>
      <w:bookmarkStart w:id="278" w:name="_Toc468191419"/>
      <w:bookmarkEnd w:id="256"/>
      <w:bookmarkEnd w:id="257"/>
      <w:bookmarkEnd w:id="258"/>
      <w:bookmarkEnd w:id="259"/>
      <w:bookmarkEnd w:id="260"/>
      <w:bookmarkEnd w:id="261"/>
      <w:bookmarkEnd w:id="262"/>
      <w:bookmarkEnd w:id="263"/>
      <w:bookmarkEnd w:id="264"/>
      <w:bookmarkEnd w:id="265"/>
      <w:bookmarkEnd w:id="266"/>
      <w:r w:rsidRPr="00181755">
        <w:rPr>
          <w:rFonts w:asciiTheme="minorHAnsi" w:hAnsiTheme="minorHAnsi"/>
        </w:rPr>
        <w:t xml:space="preserve">Egyszerűsített ICAAP felülvizsgálat </w:t>
      </w:r>
      <w:r w:rsidR="00D10772" w:rsidRPr="00181755">
        <w:rPr>
          <w:rFonts w:asciiTheme="minorHAnsi" w:hAnsiTheme="minorHAnsi"/>
        </w:rPr>
        <w:t xml:space="preserve">és likviditás megfelelőség értékelés </w:t>
      </w:r>
      <w:r w:rsidRPr="00181755">
        <w:rPr>
          <w:rFonts w:asciiTheme="minorHAnsi" w:hAnsiTheme="minorHAnsi"/>
        </w:rPr>
        <w:t>a kis és közepes méretű intézményeknél</w:t>
      </w:r>
      <w:bookmarkEnd w:id="267"/>
      <w:bookmarkEnd w:id="268"/>
      <w:bookmarkEnd w:id="269"/>
      <w:bookmarkEnd w:id="270"/>
      <w:bookmarkEnd w:id="271"/>
      <w:bookmarkEnd w:id="272"/>
      <w:bookmarkEnd w:id="273"/>
      <w:bookmarkEnd w:id="274"/>
      <w:bookmarkEnd w:id="275"/>
      <w:bookmarkEnd w:id="276"/>
      <w:bookmarkEnd w:id="277"/>
      <w:bookmarkEnd w:id="278"/>
    </w:p>
    <w:p w14:paraId="66B15249" w14:textId="03E38CAA" w:rsidR="003F29E3" w:rsidRPr="00181755" w:rsidRDefault="003F29E3" w:rsidP="00181755">
      <w:pPr>
        <w:rPr>
          <w:rFonts w:asciiTheme="minorHAnsi" w:hAnsiTheme="minorHAnsi"/>
        </w:rPr>
      </w:pPr>
      <w:r w:rsidRPr="00181755">
        <w:rPr>
          <w:rFonts w:asciiTheme="minorHAnsi" w:hAnsiTheme="minorHAnsi"/>
        </w:rPr>
        <w:t xml:space="preserve">Az MNB egyszerűsített, kérdőíves felülvizsgálatot folytat azon egyszerű tevékenységszerkezettel jellemezhető intézményeknél, melyek piaci részaránya alacsony, nemzetközi aktivitásuk pedig nem jelentős. Ezen intézmények kockázati profilja áttekinthető, rendszerkockázatra gyakorolt hatása gyenge, kockázataik mérésére pedig nem alkalmaznak fejlett módszereket. Jellemzően befektetési vállalkozások, szakosított hitelintézetek, illetve kisebb bankok tartoznak ebbe az intézményi kategóriába. </w:t>
      </w:r>
    </w:p>
    <w:p w14:paraId="66B1524A" w14:textId="77777777" w:rsidR="003F29E3" w:rsidRPr="00181755" w:rsidRDefault="003F29E3" w:rsidP="00181755">
      <w:pPr>
        <w:rPr>
          <w:rFonts w:asciiTheme="minorHAnsi" w:hAnsiTheme="minorHAnsi"/>
        </w:rPr>
      </w:pPr>
      <w:r w:rsidRPr="00181755">
        <w:rPr>
          <w:rFonts w:asciiTheme="minorHAnsi" w:hAnsiTheme="minorHAnsi"/>
        </w:rPr>
        <w:t xml:space="preserve">A kis és közepes intézmények esetében a CRR és a hazai jogszabályok előírásainak való megfelelést a 2. pillérben az MNB egyszerűsített eljárás keretében biztosítja. Az ilyen intézmények nagy számára tekintettel az egyszerűsített </w:t>
      </w:r>
      <w:r w:rsidR="00D10772" w:rsidRPr="00181755">
        <w:rPr>
          <w:rFonts w:asciiTheme="minorHAnsi" w:hAnsiTheme="minorHAnsi"/>
        </w:rPr>
        <w:t xml:space="preserve">felülvizsgálat </w:t>
      </w:r>
      <w:r w:rsidRPr="00181755">
        <w:rPr>
          <w:rFonts w:asciiTheme="minorHAnsi" w:hAnsiTheme="minorHAnsi"/>
        </w:rPr>
        <w:t xml:space="preserve">ICAAP </w:t>
      </w:r>
      <w:r w:rsidR="00D10772" w:rsidRPr="00181755">
        <w:rPr>
          <w:rFonts w:asciiTheme="minorHAnsi" w:hAnsiTheme="minorHAnsi"/>
        </w:rPr>
        <w:t xml:space="preserve">és a likviditás megfelelőség értékelése </w:t>
      </w:r>
      <w:r w:rsidRPr="00181755">
        <w:rPr>
          <w:rFonts w:asciiTheme="minorHAnsi" w:hAnsiTheme="minorHAnsi"/>
        </w:rPr>
        <w:t>elsősorban kérdőíves felmérésből áll, aminek eredménye jellemzően a kötelező felügyeleti adatszolgáltatás alapján az intézményről rendelkezésre álló információk, illetve a korábbi vizsgálatok tapasztalatai tükrében kerül feldolgozásra. Az eltérő tevékenységszerkezet és vonatkozó szabályozás miatt külön kérdőív készült a hitelintézetekre és a befektetési vállalkozásokra, a kérdőíveket a melléklet tartalmazza.</w:t>
      </w:r>
    </w:p>
    <w:p w14:paraId="66B1524B" w14:textId="5CDF7982" w:rsidR="003F29E3" w:rsidRPr="00181755" w:rsidRDefault="003F29E3" w:rsidP="00181755">
      <w:pPr>
        <w:pStyle w:val="Cmsor1"/>
        <w:rPr>
          <w:rFonts w:asciiTheme="minorHAnsi" w:hAnsiTheme="minorHAnsi"/>
        </w:rPr>
      </w:pPr>
      <w:r w:rsidRPr="00181755">
        <w:rPr>
          <w:rFonts w:asciiTheme="minorHAnsi" w:hAnsiTheme="minorHAnsi"/>
        </w:rPr>
        <w:br w:type="page"/>
      </w:r>
      <w:bookmarkStart w:id="279" w:name="_II._Általános_elvárások"/>
      <w:bookmarkStart w:id="280" w:name="_Toc378590308"/>
      <w:bookmarkStart w:id="281" w:name="_Toc378592150"/>
      <w:bookmarkStart w:id="282" w:name="_Toc461095175"/>
      <w:bookmarkStart w:id="283" w:name="_Toc461179207"/>
      <w:bookmarkStart w:id="284" w:name="_Toc461179831"/>
      <w:bookmarkStart w:id="285" w:name="_Toc461197748"/>
      <w:bookmarkStart w:id="286" w:name="_Toc461201274"/>
      <w:bookmarkStart w:id="287" w:name="_Toc461547899"/>
      <w:bookmarkStart w:id="288" w:name="_Toc462401927"/>
      <w:bookmarkStart w:id="289" w:name="_Toc462403048"/>
      <w:bookmarkStart w:id="290" w:name="_Toc462403372"/>
      <w:bookmarkStart w:id="291" w:name="_Toc468180491"/>
      <w:bookmarkStart w:id="292" w:name="_Toc468181023"/>
      <w:bookmarkStart w:id="293" w:name="_Toc468191420"/>
      <w:bookmarkEnd w:id="279"/>
      <w:r w:rsidRPr="00181755">
        <w:rPr>
          <w:rFonts w:asciiTheme="minorHAnsi" w:hAnsiTheme="minorHAnsi"/>
        </w:rPr>
        <w:t>Az ICAAP</w:t>
      </w:r>
      <w:r w:rsidR="00F743A5" w:rsidRPr="00181755">
        <w:rPr>
          <w:rFonts w:asciiTheme="minorHAnsi" w:hAnsiTheme="minorHAnsi"/>
        </w:rPr>
        <w:t>, az I</w:t>
      </w:r>
      <w:r w:rsidR="005236D0" w:rsidRPr="00181755">
        <w:rPr>
          <w:rFonts w:asciiTheme="minorHAnsi" w:hAnsiTheme="minorHAnsi"/>
        </w:rPr>
        <w:t>LAAP</w:t>
      </w:r>
      <w:r w:rsidR="00F743A5" w:rsidRPr="00181755">
        <w:rPr>
          <w:rFonts w:asciiTheme="minorHAnsi" w:hAnsiTheme="minorHAnsi"/>
        </w:rPr>
        <w:t xml:space="preserve"> és a </w:t>
      </w:r>
      <w:r w:rsidR="00C651A1" w:rsidRPr="00181755">
        <w:rPr>
          <w:rFonts w:asciiTheme="minorHAnsi" w:hAnsiTheme="minorHAnsi"/>
        </w:rPr>
        <w:t>BMA</w:t>
      </w:r>
      <w:r w:rsidRPr="00181755">
        <w:rPr>
          <w:rFonts w:asciiTheme="minorHAnsi" w:hAnsiTheme="minorHAnsi"/>
        </w:rPr>
        <w:t xml:space="preserve"> vizsgálat folyamata</w:t>
      </w:r>
      <w:bookmarkEnd w:id="280"/>
      <w:bookmarkEnd w:id="281"/>
      <w:bookmarkEnd w:id="282"/>
      <w:bookmarkEnd w:id="283"/>
      <w:bookmarkEnd w:id="284"/>
      <w:bookmarkEnd w:id="285"/>
      <w:bookmarkEnd w:id="286"/>
      <w:bookmarkEnd w:id="287"/>
      <w:r w:rsidR="005236D0" w:rsidRPr="00181755">
        <w:rPr>
          <w:rStyle w:val="Lbjegyzet-hivatkozs"/>
          <w:rFonts w:asciiTheme="minorHAnsi" w:hAnsiTheme="minorHAnsi"/>
        </w:rPr>
        <w:footnoteReference w:id="15"/>
      </w:r>
      <w:bookmarkEnd w:id="288"/>
      <w:bookmarkEnd w:id="289"/>
      <w:bookmarkEnd w:id="290"/>
      <w:bookmarkEnd w:id="291"/>
      <w:bookmarkEnd w:id="292"/>
      <w:bookmarkEnd w:id="293"/>
    </w:p>
    <w:p w14:paraId="2407E780" w14:textId="074F3289" w:rsidR="00034DF6" w:rsidRPr="00181755" w:rsidRDefault="00B7657B" w:rsidP="00181755">
      <w:pPr>
        <w:rPr>
          <w:rFonts w:asciiTheme="minorHAnsi" w:hAnsiTheme="minorHAnsi"/>
        </w:rPr>
      </w:pPr>
      <w:r w:rsidRPr="00181755">
        <w:rPr>
          <w:rFonts w:asciiTheme="minorHAnsi" w:hAnsiTheme="minorHAnsi"/>
        </w:rPr>
        <w:t xml:space="preserve">Főszabályként az ICAAP, az ILAAP, valamint (komplex SREP alá tartozó intézményeknél) a BMA vizsgálatokra évente kerül sor. </w:t>
      </w:r>
      <w:r w:rsidR="00034DF6" w:rsidRPr="00181755">
        <w:rPr>
          <w:rFonts w:asciiTheme="minorHAnsi" w:hAnsiTheme="minorHAnsi"/>
        </w:rPr>
        <w:t xml:space="preserve">Az MNB minden év végén vizsgálati tervet dolgoz ki, melyben meghatározza a következő év vizsgálati ütemtervét. A tervezés során az MNB-nek tekintettel kell lennie a nemzetközi intézménycsoportok esetén a közös döntési eljárásokra is. </w:t>
      </w:r>
    </w:p>
    <w:p w14:paraId="66B1524D" w14:textId="5522C3F1" w:rsidR="003F29E3" w:rsidRPr="00181755" w:rsidRDefault="003F29E3" w:rsidP="00181755">
      <w:pPr>
        <w:rPr>
          <w:rFonts w:asciiTheme="minorHAnsi" w:hAnsiTheme="minorHAnsi"/>
        </w:rPr>
      </w:pPr>
      <w:r w:rsidRPr="00181755">
        <w:rPr>
          <w:rFonts w:asciiTheme="minorHAnsi" w:hAnsiTheme="minorHAnsi"/>
        </w:rPr>
        <w:t>Az MNB</w:t>
      </w:r>
      <w:r w:rsidR="00B7657B" w:rsidRPr="00181755">
        <w:rPr>
          <w:rFonts w:asciiTheme="minorHAnsi" w:hAnsiTheme="minorHAnsi"/>
        </w:rPr>
        <w:t xml:space="preserve"> </w:t>
      </w:r>
      <w:r w:rsidRPr="00181755">
        <w:rPr>
          <w:rFonts w:asciiTheme="minorHAnsi" w:hAnsiTheme="minorHAnsi"/>
        </w:rPr>
        <w:t xml:space="preserve">fenntartja </w:t>
      </w:r>
      <w:r w:rsidR="00034DF6" w:rsidRPr="00181755">
        <w:rPr>
          <w:rFonts w:asciiTheme="minorHAnsi" w:hAnsiTheme="minorHAnsi"/>
        </w:rPr>
        <w:t xml:space="preserve">azonban </w:t>
      </w:r>
      <w:r w:rsidRPr="00181755">
        <w:rPr>
          <w:rFonts w:asciiTheme="minorHAnsi" w:hAnsiTheme="minorHAnsi"/>
        </w:rPr>
        <w:t xml:space="preserve">magának a jogot, hogy az éves </w:t>
      </w:r>
      <w:r w:rsidR="00F743A5" w:rsidRPr="00181755">
        <w:rPr>
          <w:rFonts w:asciiTheme="minorHAnsi" w:hAnsiTheme="minorHAnsi"/>
        </w:rPr>
        <w:t>vizsgálat</w:t>
      </w:r>
      <w:r w:rsidR="00FE1A7E" w:rsidRPr="00181755">
        <w:rPr>
          <w:rFonts w:asciiTheme="minorHAnsi" w:hAnsiTheme="minorHAnsi"/>
        </w:rPr>
        <w:t>ok</w:t>
      </w:r>
      <w:r w:rsidRPr="00181755">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egy olyan jellegű és mértékű változás, amely teljes körű felülvizsgálati folyamat lefolytatását igényelheti az adott intézménynél olyan esetben is, ahol ez előre nem volt tervezett (akár két, éves </w:t>
      </w:r>
      <w:r w:rsidR="00C651A1" w:rsidRPr="00181755">
        <w:rPr>
          <w:rFonts w:asciiTheme="minorHAnsi" w:hAnsiTheme="minorHAnsi"/>
        </w:rPr>
        <w:t xml:space="preserve">ICAAP, BMA, vagy ILAAP </w:t>
      </w:r>
      <w:r w:rsidRPr="00181755">
        <w:rPr>
          <w:rFonts w:asciiTheme="minorHAnsi" w:hAnsiTheme="minorHAnsi"/>
        </w:rPr>
        <w:t xml:space="preserve">vizsgálat között is). </w:t>
      </w:r>
    </w:p>
    <w:p w14:paraId="66B1524E" w14:textId="77777777" w:rsidR="003F29E3" w:rsidRPr="00181755" w:rsidRDefault="003F29E3" w:rsidP="00181755">
      <w:pPr>
        <w:spacing w:after="240"/>
        <w:rPr>
          <w:rFonts w:asciiTheme="minorHAnsi" w:hAnsiTheme="minorHAnsi"/>
        </w:rPr>
      </w:pPr>
      <w:r w:rsidRPr="00181755">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181755" w:rsidRDefault="000D0BEE" w:rsidP="00181755">
      <w:pPr>
        <w:pStyle w:val="Cmsor2"/>
        <w:rPr>
          <w:rFonts w:asciiTheme="minorHAnsi" w:hAnsiTheme="minorHAnsi"/>
        </w:rPr>
      </w:pPr>
      <w:bookmarkStart w:id="294" w:name="_Toc468181024"/>
      <w:bookmarkStart w:id="295" w:name="_Toc461195766"/>
      <w:bookmarkStart w:id="296" w:name="_Toc461524849"/>
      <w:bookmarkStart w:id="297" w:name="_Toc461547900"/>
      <w:bookmarkStart w:id="298" w:name="_Toc461550193"/>
      <w:bookmarkStart w:id="299" w:name="_Toc462401928"/>
      <w:bookmarkStart w:id="300" w:name="_Toc462403049"/>
      <w:bookmarkStart w:id="301" w:name="_Toc462403374"/>
      <w:bookmarkStart w:id="302" w:name="_Toc462403803"/>
      <w:bookmarkStart w:id="303" w:name="_Toc462645671"/>
      <w:bookmarkStart w:id="304" w:name="_Toc468180493"/>
      <w:bookmarkStart w:id="305" w:name="_Toc468181025"/>
      <w:bookmarkStart w:id="306" w:name="_A_SREP_előkészítése"/>
      <w:bookmarkStart w:id="307" w:name="_Toc378590309"/>
      <w:bookmarkStart w:id="308" w:name="_Toc378592151"/>
      <w:bookmarkStart w:id="309" w:name="_Toc461095176"/>
      <w:bookmarkStart w:id="310" w:name="_Toc461179208"/>
      <w:bookmarkStart w:id="311" w:name="_Toc461179832"/>
      <w:bookmarkStart w:id="312" w:name="_Toc461547901"/>
      <w:bookmarkStart w:id="313" w:name="_Toc462401929"/>
      <w:bookmarkStart w:id="314" w:name="_Toc462403050"/>
      <w:bookmarkStart w:id="315" w:name="_Toc462403375"/>
      <w:bookmarkStart w:id="316" w:name="_Toc468180494"/>
      <w:bookmarkStart w:id="317" w:name="_Toc468181026"/>
      <w:bookmarkStart w:id="318" w:name="_Toc468191421"/>
      <w:bookmarkEnd w:id="294"/>
      <w:bookmarkEnd w:id="295"/>
      <w:bookmarkEnd w:id="296"/>
      <w:bookmarkEnd w:id="297"/>
      <w:bookmarkEnd w:id="298"/>
      <w:bookmarkEnd w:id="299"/>
      <w:bookmarkEnd w:id="300"/>
      <w:bookmarkEnd w:id="301"/>
      <w:bookmarkEnd w:id="302"/>
      <w:bookmarkEnd w:id="303"/>
      <w:bookmarkEnd w:id="304"/>
      <w:bookmarkEnd w:id="305"/>
      <w:bookmarkEnd w:id="306"/>
      <w:r w:rsidRPr="00181755">
        <w:rPr>
          <w:rFonts w:asciiTheme="minorHAnsi" w:hAnsiTheme="minorHAnsi"/>
        </w:rPr>
        <w:t xml:space="preserve">Az </w:t>
      </w:r>
      <w:r w:rsidR="00396B01" w:rsidRPr="00181755">
        <w:rPr>
          <w:rFonts w:asciiTheme="minorHAnsi" w:hAnsiTheme="minorHAnsi"/>
        </w:rPr>
        <w:t>ICAAP</w:t>
      </w:r>
      <w:r w:rsidRPr="00181755">
        <w:rPr>
          <w:rFonts w:asciiTheme="minorHAnsi" w:hAnsiTheme="minorHAnsi"/>
        </w:rPr>
        <w:t xml:space="preserve">, az </w:t>
      </w:r>
      <w:r w:rsidR="00396B01" w:rsidRPr="00181755">
        <w:rPr>
          <w:rFonts w:asciiTheme="minorHAnsi" w:hAnsiTheme="minorHAnsi"/>
        </w:rPr>
        <w:t>ILAAP</w:t>
      </w:r>
      <w:r w:rsidRPr="00181755">
        <w:rPr>
          <w:rFonts w:asciiTheme="minorHAnsi" w:hAnsiTheme="minorHAnsi"/>
        </w:rPr>
        <w:t xml:space="preserve"> és a </w:t>
      </w:r>
      <w:r w:rsidR="00396B01" w:rsidRPr="00181755">
        <w:rPr>
          <w:rFonts w:asciiTheme="minorHAnsi" w:hAnsiTheme="minorHAnsi"/>
        </w:rPr>
        <w:t>BMA vizsgálat</w:t>
      </w:r>
      <w:r w:rsidR="003F29E3" w:rsidRPr="00181755">
        <w:rPr>
          <w:rFonts w:asciiTheme="minorHAnsi" w:hAnsiTheme="minorHAnsi"/>
        </w:rPr>
        <w:t xml:space="preserve"> előkészítése</w:t>
      </w:r>
      <w:bookmarkEnd w:id="307"/>
      <w:bookmarkEnd w:id="308"/>
      <w:bookmarkEnd w:id="309"/>
      <w:bookmarkEnd w:id="310"/>
      <w:bookmarkEnd w:id="311"/>
      <w:bookmarkEnd w:id="312"/>
      <w:bookmarkEnd w:id="313"/>
      <w:bookmarkEnd w:id="314"/>
      <w:bookmarkEnd w:id="315"/>
      <w:bookmarkEnd w:id="316"/>
      <w:bookmarkEnd w:id="317"/>
      <w:bookmarkEnd w:id="318"/>
    </w:p>
    <w:p w14:paraId="66B15252" w14:textId="7A6C6FB2" w:rsidR="003F29E3" w:rsidRPr="00181755" w:rsidRDefault="003F29E3" w:rsidP="00181755">
      <w:pPr>
        <w:rPr>
          <w:rFonts w:asciiTheme="minorHAnsi" w:hAnsiTheme="minorHAnsi"/>
        </w:rPr>
      </w:pPr>
      <w:r w:rsidRPr="00181755">
        <w:rPr>
          <w:rFonts w:asciiTheme="minorHAnsi" w:hAnsiTheme="minorHAnsi"/>
        </w:rPr>
        <w:t xml:space="preserve">A vonatkozó hazai és európai jogszabályok a felügyeleti felülvizsgálat évente történő végrehajtását írják elő. A folyamat hatékony lebonyolítása és sikere érdekében az MNB a társfelügyeletekkel egyeztetve a tárgyévet megelőző év végén előre meghatározza és közzéteszi </w:t>
      </w:r>
      <w:r w:rsidR="00E3405D" w:rsidRPr="00181755">
        <w:rPr>
          <w:rFonts w:asciiTheme="minorHAnsi" w:hAnsiTheme="minorHAnsi"/>
        </w:rPr>
        <w:t xml:space="preserve">a komplex felügyeleti felülvizsgálatok vonatkozásában a </w:t>
      </w:r>
      <w:r w:rsidRPr="00181755">
        <w:rPr>
          <w:rFonts w:asciiTheme="minorHAnsi" w:hAnsiTheme="minorHAnsi"/>
        </w:rPr>
        <w:t>felügyeleti értékelés éves menetrendjét</w:t>
      </w:r>
      <w:r w:rsidR="00255B21" w:rsidRPr="00181755">
        <w:rPr>
          <w:rFonts w:asciiTheme="minorHAnsi" w:hAnsiTheme="minorHAnsi"/>
        </w:rPr>
        <w:t>.</w:t>
      </w:r>
      <w:r w:rsidRPr="00181755">
        <w:rPr>
          <w:rFonts w:asciiTheme="minorHAnsi" w:hAnsiTheme="minorHAnsi"/>
        </w:rPr>
        <w:t xml:space="preserve"> Az ICAAP Felülvizsgálati Menetrend</w:t>
      </w:r>
      <w:r w:rsidR="00E3405D" w:rsidRPr="00181755">
        <w:rPr>
          <w:rFonts w:asciiTheme="minorHAnsi" w:hAnsiTheme="minorHAnsi"/>
        </w:rPr>
        <w:t xml:space="preserve"> (a továbbiakban Menetrend)</w:t>
      </w:r>
      <w:r w:rsidRPr="00181755">
        <w:rPr>
          <w:rFonts w:asciiTheme="minorHAnsi" w:hAnsiTheme="minorHAnsi"/>
        </w:rPr>
        <w:t xml:space="preserve"> új elem a 2. pilléres felügyelési gyakorlatban, célja az adott felülvizsgálati fordulóra (vagyis az adott évi felülvizsgálatok összességére) vonatkozóan egységes keretben megjeleníteni az intézményekkel szemben támasztott felügyeleti elvárásokat. A Menetrend tartalmazza a következő időszakra vonatkozóan a</w:t>
      </w:r>
      <w:r w:rsidR="005F53B5" w:rsidRPr="00181755">
        <w:rPr>
          <w:rFonts w:asciiTheme="minorHAnsi" w:hAnsiTheme="minorHAnsi"/>
        </w:rPr>
        <w:t xml:space="preserve"> fő fókuszpontokat</w:t>
      </w:r>
      <w:r w:rsidRPr="00181755">
        <w:rPr>
          <w:rFonts w:asciiTheme="minorHAnsi" w:hAnsiTheme="minorHAnsi"/>
        </w:rPr>
        <w:t>, illetve bármilyen más, az adott felülvizsgálati fordulóra érvényes speciális felügyeleti elvárást. A</w:t>
      </w:r>
      <w:r w:rsidR="00624A9B" w:rsidRPr="00181755">
        <w:rPr>
          <w:rFonts w:asciiTheme="minorHAnsi" w:hAnsiTheme="minorHAnsi"/>
        </w:rPr>
        <w:t>z ICAAP-ILAAP-BMA vizsgálatokra</w:t>
      </w:r>
      <w:r w:rsidRPr="00181755">
        <w:rPr>
          <w:rFonts w:asciiTheme="minorHAnsi" w:hAnsiTheme="minorHAnsi"/>
        </w:rPr>
        <w:t xml:space="preserve"> vonatkozó általános felügyeleti elvárásokat jelen </w:t>
      </w:r>
      <w:r w:rsidR="00EB1BE0">
        <w:rPr>
          <w:rFonts w:asciiTheme="minorHAnsi" w:hAnsiTheme="minorHAnsi"/>
        </w:rPr>
        <w:t>kézikönyv</w:t>
      </w:r>
      <w:r w:rsidRPr="00181755">
        <w:rPr>
          <w:rFonts w:asciiTheme="minorHAnsi" w:hAnsiTheme="minorHAnsi"/>
        </w:rPr>
        <w:t xml:space="preserve"> tárgyalja, </w:t>
      </w:r>
      <w:r w:rsidR="00E3405D" w:rsidRPr="00181755">
        <w:rPr>
          <w:rFonts w:asciiTheme="minorHAnsi" w:hAnsiTheme="minorHAnsi"/>
        </w:rPr>
        <w:t xml:space="preserve">a </w:t>
      </w:r>
      <w:r w:rsidRPr="00181755">
        <w:rPr>
          <w:rFonts w:asciiTheme="minorHAnsi" w:hAnsiTheme="minorHAnsi"/>
        </w:rPr>
        <w:t xml:space="preserve">Menetrend kizárólag az adott éves felülvizsgálatra vonatkozó, időszakos sajátosságokat és fókuszpontokat </w:t>
      </w:r>
      <w:r w:rsidR="00C10814" w:rsidRPr="00181755">
        <w:rPr>
          <w:rFonts w:asciiTheme="minorHAnsi" w:hAnsiTheme="minorHAnsi"/>
        </w:rPr>
        <w:t>részletezi</w:t>
      </w:r>
      <w:r w:rsidRPr="00181755">
        <w:rPr>
          <w:rFonts w:asciiTheme="minorHAnsi" w:hAnsiTheme="minorHAnsi"/>
        </w:rPr>
        <w:t xml:space="preserve">. A Menetrend közzététele biztosítja, hogy az intézmények kellő ismerettel és előretekintéssel rendelkezzenek az MNB elvárásairól, </w:t>
      </w:r>
      <w:r w:rsidR="00624A9B" w:rsidRPr="00181755">
        <w:rPr>
          <w:rFonts w:asciiTheme="minorHAnsi" w:hAnsiTheme="minorHAnsi"/>
        </w:rPr>
        <w:t xml:space="preserve">valamint </w:t>
      </w:r>
      <w:r w:rsidRPr="00181755">
        <w:rPr>
          <w:rFonts w:asciiTheme="minorHAnsi" w:hAnsiTheme="minorHAnsi"/>
        </w:rPr>
        <w:t xml:space="preserve">fel tudjanak készülni a felügyeleti párbeszédre és kellően magas színvonalon végezzék el belső eljárásaikat. </w:t>
      </w:r>
    </w:p>
    <w:p w14:paraId="2FF9C7C6" w14:textId="4BFE6134" w:rsidR="00624A9B" w:rsidRPr="00181755" w:rsidRDefault="00AD4DF5" w:rsidP="00181755">
      <w:pPr>
        <w:spacing w:after="240"/>
        <w:rPr>
          <w:rFonts w:asciiTheme="minorHAnsi" w:hAnsiTheme="minorHAnsi"/>
        </w:rPr>
      </w:pPr>
      <w:r w:rsidRPr="00181755">
        <w:rPr>
          <w:rFonts w:asciiTheme="minorHAnsi" w:hAnsiTheme="minorHAnsi"/>
        </w:rPr>
        <w:t>Az MNB</w:t>
      </w:r>
      <w:r w:rsidR="00906962" w:rsidRPr="00181755">
        <w:rPr>
          <w:rFonts w:asciiTheme="minorHAnsi" w:hAnsiTheme="minorHAnsi"/>
        </w:rPr>
        <w:t xml:space="preserve"> </w:t>
      </w:r>
      <w:r w:rsidR="00624A9B" w:rsidRPr="00181755">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181755" w:rsidRDefault="003F29E3" w:rsidP="00181755">
      <w:pPr>
        <w:pStyle w:val="Cmsor2"/>
        <w:rPr>
          <w:rFonts w:asciiTheme="minorHAnsi" w:hAnsiTheme="minorHAnsi"/>
        </w:rPr>
      </w:pPr>
      <w:bookmarkStart w:id="319" w:name="_Toc461195768"/>
      <w:bookmarkStart w:id="320" w:name="_Toc461197750"/>
      <w:bookmarkStart w:id="321" w:name="_Toc461201276"/>
      <w:bookmarkStart w:id="322" w:name="_Toc461547902"/>
      <w:bookmarkStart w:id="323" w:name="_Toc462401930"/>
      <w:bookmarkStart w:id="324" w:name="_Toc462403051"/>
      <w:bookmarkStart w:id="325" w:name="_Toc462403376"/>
      <w:bookmarkStart w:id="326" w:name="_Toc468180495"/>
      <w:bookmarkStart w:id="327" w:name="_Toc468181027"/>
      <w:bookmarkStart w:id="328" w:name="_Toc468191422"/>
      <w:bookmarkEnd w:id="319"/>
      <w:r w:rsidRPr="00181755">
        <w:rPr>
          <w:rFonts w:asciiTheme="minorHAnsi" w:hAnsiTheme="minorHAnsi"/>
        </w:rPr>
        <w:t>Az ICAAP</w:t>
      </w:r>
      <w:r w:rsidR="00306E67" w:rsidRPr="00181755">
        <w:rPr>
          <w:rFonts w:asciiTheme="minorHAnsi" w:hAnsiTheme="minorHAnsi"/>
        </w:rPr>
        <w:t xml:space="preserve">, az </w:t>
      </w:r>
      <w:r w:rsidRPr="00181755">
        <w:rPr>
          <w:rFonts w:asciiTheme="minorHAnsi" w:hAnsiTheme="minorHAnsi"/>
        </w:rPr>
        <w:t>ILAAP</w:t>
      </w:r>
      <w:r w:rsidR="00306E67" w:rsidRPr="00181755">
        <w:rPr>
          <w:rFonts w:asciiTheme="minorHAnsi" w:hAnsiTheme="minorHAnsi"/>
        </w:rPr>
        <w:t xml:space="preserve"> és a </w:t>
      </w:r>
      <w:r w:rsidR="00624A9B" w:rsidRPr="00181755">
        <w:rPr>
          <w:rFonts w:asciiTheme="minorHAnsi" w:hAnsiTheme="minorHAnsi"/>
        </w:rPr>
        <w:t>BMA vizsgálat</w:t>
      </w:r>
      <w:r w:rsidR="00306E67" w:rsidRPr="00181755">
        <w:rPr>
          <w:rFonts w:asciiTheme="minorHAnsi" w:hAnsiTheme="minorHAnsi"/>
        </w:rPr>
        <w:t>ok</w:t>
      </w:r>
      <w:r w:rsidRPr="00181755">
        <w:rPr>
          <w:rFonts w:asciiTheme="minorHAnsi" w:hAnsiTheme="minorHAnsi"/>
        </w:rPr>
        <w:t xml:space="preserve"> dokumentáció</w:t>
      </w:r>
      <w:r w:rsidR="00624A9B" w:rsidRPr="00181755">
        <w:rPr>
          <w:rFonts w:asciiTheme="minorHAnsi" w:hAnsiTheme="minorHAnsi"/>
        </w:rPr>
        <w:t>jának</w:t>
      </w:r>
      <w:r w:rsidRPr="00181755">
        <w:rPr>
          <w:rFonts w:asciiTheme="minorHAnsi" w:hAnsiTheme="minorHAnsi"/>
        </w:rPr>
        <w:t xml:space="preserve"> bekérése</w:t>
      </w:r>
      <w:bookmarkStart w:id="329" w:name="_Az_ICAAP-dokumentáció_bekérése"/>
      <w:bookmarkStart w:id="330" w:name="_Toc468181028"/>
      <w:bookmarkStart w:id="331" w:name="_Toc461179209"/>
      <w:bookmarkStart w:id="332" w:name="_Toc461179833"/>
      <w:bookmarkEnd w:id="320"/>
      <w:bookmarkEnd w:id="321"/>
      <w:bookmarkEnd w:id="322"/>
      <w:bookmarkEnd w:id="323"/>
      <w:bookmarkEnd w:id="324"/>
      <w:bookmarkEnd w:id="325"/>
      <w:bookmarkEnd w:id="326"/>
      <w:bookmarkEnd w:id="327"/>
      <w:bookmarkEnd w:id="328"/>
      <w:bookmarkEnd w:id="329"/>
      <w:bookmarkEnd w:id="330"/>
    </w:p>
    <w:bookmarkEnd w:id="331"/>
    <w:bookmarkEnd w:id="332"/>
    <w:p w14:paraId="66B15255" w14:textId="58443F1F" w:rsidR="003F29E3" w:rsidRPr="00181755" w:rsidRDefault="003F29E3" w:rsidP="00181755">
      <w:pPr>
        <w:rPr>
          <w:rFonts w:asciiTheme="minorHAnsi" w:hAnsiTheme="minorHAnsi"/>
        </w:rPr>
      </w:pPr>
      <w:r w:rsidRPr="00181755">
        <w:rPr>
          <w:rFonts w:asciiTheme="minorHAnsi" w:hAnsiTheme="minorHAnsi"/>
        </w:rPr>
        <w:t>Az MNB az intézményektől minden felülvizsgálati fordulóban egy hivatalos, felsővezetői jóváhagyással bíró ICAAP</w:t>
      </w:r>
      <w:r w:rsidR="00C651A1" w:rsidRPr="00181755">
        <w:rPr>
          <w:rFonts w:asciiTheme="minorHAnsi" w:hAnsiTheme="minorHAnsi"/>
        </w:rPr>
        <w:t xml:space="preserve">, </w:t>
      </w:r>
      <w:r w:rsidRPr="00181755">
        <w:rPr>
          <w:rFonts w:asciiTheme="minorHAnsi" w:hAnsiTheme="minorHAnsi"/>
        </w:rPr>
        <w:t>és ILAAP dokumentációt</w:t>
      </w:r>
      <w:r w:rsidR="0075653C" w:rsidRPr="00181755">
        <w:rPr>
          <w:rFonts w:asciiTheme="minorHAnsi" w:hAnsiTheme="minorHAnsi"/>
        </w:rPr>
        <w:t>,</w:t>
      </w:r>
      <w:r w:rsidRPr="00181755">
        <w:rPr>
          <w:rStyle w:val="Lbjegyzet-hivatkozs"/>
          <w:rFonts w:asciiTheme="minorHAnsi" w:hAnsiTheme="minorHAnsi"/>
        </w:rPr>
        <w:footnoteReference w:id="16"/>
      </w:r>
      <w:r w:rsidR="0075653C" w:rsidRPr="00181755">
        <w:rPr>
          <w:rFonts w:asciiTheme="minorHAnsi" w:hAnsiTheme="minorHAnsi"/>
        </w:rPr>
        <w:t xml:space="preserve"> valamint </w:t>
      </w:r>
      <w:r w:rsidR="00906962" w:rsidRPr="00181755">
        <w:rPr>
          <w:rFonts w:asciiTheme="minorHAnsi" w:hAnsiTheme="minorHAnsi"/>
        </w:rPr>
        <w:t xml:space="preserve">a BMA vizsgálattal kapcsolatban </w:t>
      </w:r>
      <w:r w:rsidR="0075653C" w:rsidRPr="00181755">
        <w:rPr>
          <w:rFonts w:asciiTheme="minorHAnsi" w:hAnsiTheme="minorHAnsi"/>
        </w:rPr>
        <w:t>stratégiát és üzleti tervet</w:t>
      </w:r>
      <w:r w:rsidRPr="00181755">
        <w:rPr>
          <w:rFonts w:asciiTheme="minorHAnsi" w:hAnsiTheme="minorHAnsi"/>
        </w:rPr>
        <w:t xml:space="preserve"> </w:t>
      </w:r>
      <w:r w:rsidR="0075653C" w:rsidRPr="00181755">
        <w:rPr>
          <w:rFonts w:asciiTheme="minorHAnsi" w:hAnsiTheme="minorHAnsi"/>
        </w:rPr>
        <w:t xml:space="preserve">vár el. </w:t>
      </w:r>
      <w:r w:rsidRPr="00181755">
        <w:rPr>
          <w:rFonts w:asciiTheme="minorHAnsi" w:hAnsiTheme="minorHAnsi"/>
        </w:rPr>
        <w:t xml:space="preserve">A dokumentációban foglaltaknak igazodniuk kell a felügyeleti </w:t>
      </w:r>
      <w:r w:rsidR="00EB1BE0">
        <w:rPr>
          <w:rFonts w:asciiTheme="minorHAnsi" w:hAnsiTheme="minorHAnsi"/>
        </w:rPr>
        <w:t>módszertani kézikönyvben</w:t>
      </w:r>
      <w:r w:rsidRPr="00181755">
        <w:rPr>
          <w:rFonts w:asciiTheme="minorHAnsi" w:hAnsiTheme="minorHAnsi"/>
        </w:rPr>
        <w:t xml:space="preserve"> lefektetett elvárásokhoz.</w:t>
      </w:r>
      <w:r w:rsidR="00DA7581" w:rsidRPr="00181755">
        <w:rPr>
          <w:rFonts w:asciiTheme="minorHAnsi" w:hAnsiTheme="minorHAnsi"/>
        </w:rPr>
        <w:t xml:space="preserve"> </w:t>
      </w:r>
      <w:r w:rsidR="00EB1BE0">
        <w:rPr>
          <w:rFonts w:asciiTheme="minorHAnsi" w:hAnsiTheme="minorHAnsi"/>
        </w:rPr>
        <w:t xml:space="preserve">Az </w:t>
      </w:r>
      <w:r w:rsidR="00DA7581" w:rsidRPr="00181755">
        <w:rPr>
          <w:rFonts w:asciiTheme="minorHAnsi" w:hAnsiTheme="minorHAnsi"/>
        </w:rPr>
        <w:t>EBA ajánlás</w:t>
      </w:r>
      <w:r w:rsidR="00DA7581" w:rsidRPr="00181755">
        <w:rPr>
          <w:rStyle w:val="Lbjegyzet-hivatkozs"/>
          <w:rFonts w:asciiTheme="minorHAnsi" w:hAnsiTheme="minorHAnsi"/>
        </w:rPr>
        <w:footnoteReference w:id="17"/>
      </w:r>
      <w:r w:rsidR="00DA7581" w:rsidRPr="00181755">
        <w:rPr>
          <w:rFonts w:asciiTheme="minorHAnsi" w:hAnsiTheme="minorHAnsi"/>
        </w:rPr>
        <w:t xml:space="preserve"> alapján évente felülvizsgált</w:t>
      </w:r>
      <w:r w:rsidRPr="00181755">
        <w:rPr>
          <w:rFonts w:asciiTheme="minorHAnsi" w:hAnsiTheme="minorHAnsi"/>
        </w:rPr>
        <w:t xml:space="preserve"> ICAAP és ILAAP dokumentációval kapcsolatban az MNB </w:t>
      </w:r>
      <w:r w:rsidR="00DA7581" w:rsidRPr="00181755">
        <w:rPr>
          <w:rFonts w:asciiTheme="minorHAnsi" w:hAnsiTheme="minorHAnsi"/>
        </w:rPr>
        <w:t xml:space="preserve">különösen </w:t>
      </w:r>
      <w:r w:rsidRPr="00181755">
        <w:rPr>
          <w:rFonts w:asciiTheme="minorHAnsi" w:hAnsiTheme="minorHAnsi"/>
        </w:rPr>
        <w:t>a következőket várja el:</w:t>
      </w:r>
    </w:p>
    <w:p w14:paraId="66B15256" w14:textId="7F4A76AE"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 xml:space="preserve">tartalmazza az adott intézmény ICAAP és ILAAP módszertani útmutatóját, amely részletesen bemutatja </w:t>
      </w:r>
      <w:r w:rsidR="004335F3" w:rsidRPr="00181755">
        <w:rPr>
          <w:rFonts w:asciiTheme="minorHAnsi" w:hAnsiTheme="minorHAnsi"/>
          <w:lang w:val="hu-HU"/>
        </w:rPr>
        <w:t xml:space="preserve">kockázattípusonként </w:t>
      </w:r>
      <w:r w:rsidRPr="00181755">
        <w:rPr>
          <w:rFonts w:asciiTheme="minorHAnsi" w:hAnsiTheme="minorHAnsi"/>
        </w:rPr>
        <w:t xml:space="preserve">az implementált megközelítéseket, </w:t>
      </w:r>
      <w:r w:rsidR="004335F3" w:rsidRPr="00181755">
        <w:rPr>
          <w:rFonts w:asciiTheme="minorHAnsi" w:hAnsiTheme="minorHAnsi"/>
          <w:lang w:val="hu-HU"/>
        </w:rPr>
        <w:t xml:space="preserve">a kockázatkezelési </w:t>
      </w:r>
      <w:r w:rsidR="00E22DE4" w:rsidRPr="00181755">
        <w:rPr>
          <w:rFonts w:asciiTheme="minorHAnsi" w:hAnsiTheme="minorHAnsi"/>
          <w:lang w:val="hu-HU"/>
        </w:rPr>
        <w:t>eljárásokat</w:t>
      </w:r>
      <w:r w:rsidR="004335F3" w:rsidRPr="00181755">
        <w:rPr>
          <w:rFonts w:asciiTheme="minorHAnsi" w:hAnsiTheme="minorHAnsi"/>
          <w:lang w:val="hu-HU"/>
        </w:rPr>
        <w:t xml:space="preserve"> és a tőkekövetelmény számítási módszertanokat,</w:t>
      </w:r>
      <w:r w:rsidR="00306E67" w:rsidRPr="00181755">
        <w:rPr>
          <w:rFonts w:asciiTheme="minorHAnsi" w:hAnsiTheme="minorHAnsi"/>
          <w:lang w:val="hu-HU"/>
        </w:rPr>
        <w:t xml:space="preserve"> az 1. pilléres kezelésmódtól való eltérés indokát,</w:t>
      </w:r>
      <w:r w:rsidR="004335F3" w:rsidRPr="00181755">
        <w:rPr>
          <w:rFonts w:asciiTheme="minorHAnsi" w:hAnsiTheme="minorHAnsi"/>
          <w:lang w:val="hu-HU"/>
        </w:rPr>
        <w:t xml:space="preserve"> valamint</w:t>
      </w:r>
      <w:r w:rsidRPr="00181755">
        <w:rPr>
          <w:rFonts w:asciiTheme="minorHAnsi" w:hAnsiTheme="minorHAnsi"/>
        </w:rPr>
        <w:t xml:space="preserve"> pontos hivatkozásokat tartalmaz az ICAAP, illetve az IL</w:t>
      </w:r>
      <w:r w:rsidR="006636DD" w:rsidRPr="00181755">
        <w:rPr>
          <w:rFonts w:asciiTheme="minorHAnsi" w:hAnsiTheme="minorHAnsi"/>
        </w:rPr>
        <w:t>AAP dokumentáció összes elemére</w:t>
      </w:r>
      <w:r w:rsidR="006636DD" w:rsidRPr="00181755">
        <w:rPr>
          <w:rFonts w:asciiTheme="minorHAnsi" w:hAnsiTheme="minorHAnsi"/>
          <w:lang w:val="hu-HU"/>
        </w:rPr>
        <w:t>,</w:t>
      </w:r>
    </w:p>
    <w:p w14:paraId="58E831F5" w14:textId="0F668C5A" w:rsidR="00DB2661" w:rsidRPr="00181755" w:rsidRDefault="00DB2661"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 ICAAP módszertani útmutatóban ismertetni kell az ICAAP keretren</w:t>
      </w:r>
      <w:r w:rsidR="00306E67" w:rsidRPr="00181755">
        <w:rPr>
          <w:rFonts w:asciiTheme="minorHAnsi" w:hAnsiTheme="minorHAnsi"/>
          <w:lang w:val="hu-HU"/>
        </w:rPr>
        <w:t>dszert, és annak kiterjedési körét</w:t>
      </w:r>
      <w:r w:rsidR="006636DD" w:rsidRPr="00181755">
        <w:rPr>
          <w:rFonts w:asciiTheme="minorHAnsi" w:hAnsiTheme="minorHAnsi"/>
          <w:lang w:val="hu-HU"/>
        </w:rPr>
        <w:t>,</w:t>
      </w:r>
    </w:p>
    <w:p w14:paraId="66B15257" w14:textId="70F5CA30" w:rsidR="003F29E3" w:rsidRPr="00181755" w:rsidRDefault="007D2DE2"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az intézmények </w:t>
      </w:r>
      <w:r w:rsidR="00AB432B" w:rsidRPr="00181755">
        <w:rPr>
          <w:rFonts w:asciiTheme="minorHAnsi" w:hAnsiTheme="minorHAnsi"/>
          <w:lang w:val="hu-HU"/>
        </w:rPr>
        <w:t xml:space="preserve">ICAAP </w:t>
      </w:r>
      <w:r w:rsidRPr="00181755">
        <w:rPr>
          <w:rFonts w:asciiTheme="minorHAnsi" w:hAnsiTheme="minorHAnsi"/>
          <w:lang w:val="hu-HU"/>
        </w:rPr>
        <w:t xml:space="preserve">módszertani útmutatójának kellően átfogónak kell lennie, és </w:t>
      </w:r>
      <w:r w:rsidR="00AB432B" w:rsidRPr="00181755">
        <w:rPr>
          <w:rFonts w:asciiTheme="minorHAnsi" w:hAnsiTheme="minorHAnsi"/>
          <w:lang w:val="hu-HU"/>
        </w:rPr>
        <w:t xml:space="preserve">az intézmény számára </w:t>
      </w:r>
      <w:r w:rsidRPr="00181755">
        <w:rPr>
          <w:rFonts w:asciiTheme="minorHAnsi" w:hAnsiTheme="minorHAnsi"/>
          <w:lang w:val="hu-HU"/>
        </w:rPr>
        <w:t>valamennyi releváns</w:t>
      </w:r>
      <w:r w:rsidR="00AB432B" w:rsidRPr="00181755">
        <w:rPr>
          <w:rFonts w:asciiTheme="minorHAnsi" w:hAnsiTheme="minorHAnsi"/>
          <w:lang w:val="hu-HU"/>
        </w:rPr>
        <w:t xml:space="preserve"> kock</w:t>
      </w:r>
      <w:r w:rsidR="00306E67" w:rsidRPr="00181755">
        <w:rPr>
          <w:rFonts w:asciiTheme="minorHAnsi" w:hAnsiTheme="minorHAnsi"/>
          <w:lang w:val="hu-HU"/>
        </w:rPr>
        <w:t>ázatot és annak kezelésmódját magában kell foglalnia</w:t>
      </w:r>
      <w:r w:rsidR="00AB432B" w:rsidRPr="00181755">
        <w:rPr>
          <w:rFonts w:asciiTheme="minorHAnsi" w:hAnsiTheme="minorHAnsi"/>
          <w:lang w:val="hu-HU"/>
        </w:rPr>
        <w:t>;</w:t>
      </w:r>
      <w:r w:rsidR="003F29E3" w:rsidRPr="00181755">
        <w:rPr>
          <w:rFonts w:asciiTheme="minorHAnsi" w:hAnsiTheme="minorHAnsi"/>
        </w:rPr>
        <w:t>tartalmazza az ICAAP Felülvizsgálati Menetrend</w:t>
      </w:r>
      <w:r w:rsidR="006636DD" w:rsidRPr="00181755">
        <w:rPr>
          <w:rFonts w:asciiTheme="minorHAnsi" w:hAnsiTheme="minorHAnsi"/>
        </w:rPr>
        <w:t>ben megjelölt kötelező elemeket</w:t>
      </w:r>
      <w:r w:rsidR="006636DD" w:rsidRPr="00181755">
        <w:rPr>
          <w:rFonts w:asciiTheme="minorHAnsi" w:hAnsiTheme="minorHAnsi"/>
          <w:lang w:val="hu-HU"/>
        </w:rPr>
        <w:t>,</w:t>
      </w:r>
    </w:p>
    <w:p w14:paraId="66B15258" w14:textId="6859CA54"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az ICAAP dokumentációnak tartalmaznia kell a tőkeszámítás eredményét kockázattípusonként bem</w:t>
      </w:r>
      <w:r w:rsidR="006636DD" w:rsidRPr="00181755">
        <w:rPr>
          <w:rFonts w:asciiTheme="minorHAnsi" w:hAnsiTheme="minorHAnsi"/>
        </w:rPr>
        <w:t>utató ún. SREP áttekintő lapot</w:t>
      </w:r>
      <w:r w:rsidR="006636DD" w:rsidRPr="00181755">
        <w:rPr>
          <w:rFonts w:asciiTheme="minorHAnsi" w:hAnsiTheme="minorHAnsi"/>
          <w:lang w:val="hu-HU"/>
        </w:rPr>
        <w:t>,</w:t>
      </w:r>
    </w:p>
    <w:p w14:paraId="66B15259" w14:textId="1AF9A8FB"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 rendelkezésre álló információk, dokumentumok alapján egyértelműen meghatározható legyen, mit tekint az adott intézmény az I</w:t>
      </w:r>
      <w:r w:rsidR="006636DD" w:rsidRPr="00181755">
        <w:rPr>
          <w:rFonts w:asciiTheme="minorHAnsi" w:hAnsiTheme="minorHAnsi"/>
        </w:rPr>
        <w:t>CAAP, illetve az ILAAP részének</w:t>
      </w:r>
      <w:r w:rsidR="006636DD" w:rsidRPr="00181755">
        <w:rPr>
          <w:rFonts w:asciiTheme="minorHAnsi" w:hAnsiTheme="minorHAnsi"/>
          <w:lang w:val="hu-HU"/>
        </w:rPr>
        <w:t>,</w:t>
      </w:r>
    </w:p>
    <w:p w14:paraId="7F7D8B72" w14:textId="5C9A31C3" w:rsidR="00CC191B" w:rsidRPr="00181755" w:rsidRDefault="00CC191B" w:rsidP="00181755">
      <w:pPr>
        <w:rPr>
          <w:rFonts w:asciiTheme="minorHAnsi" w:hAnsiTheme="minorHAnsi"/>
        </w:rPr>
      </w:pPr>
      <w:r w:rsidRPr="00181755">
        <w:rPr>
          <w:rFonts w:asciiTheme="minorHAnsi" w:hAnsiTheme="minorHAnsi"/>
        </w:rPr>
        <w:t xml:space="preserve">A </w:t>
      </w:r>
      <w:r w:rsidR="00624A9B" w:rsidRPr="00181755">
        <w:rPr>
          <w:rFonts w:asciiTheme="minorHAnsi" w:hAnsiTheme="minorHAnsi"/>
        </w:rPr>
        <w:t xml:space="preserve">BMA vizsgálat keretében az MNB a </w:t>
      </w:r>
      <w:r w:rsidRPr="00181755">
        <w:rPr>
          <w:rFonts w:asciiTheme="minorHAnsi" w:hAnsiTheme="minorHAnsi"/>
        </w:rPr>
        <w:t>stratégiával és üzleti tervvel kapcsolatban a következőket várja el:</w:t>
      </w:r>
    </w:p>
    <w:p w14:paraId="11CF3790"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legalább éves gyakorisággal felülvizsgálatra kerüljön,</w:t>
      </w:r>
    </w:p>
    <w:p w14:paraId="046657F3" w14:textId="02D8029B"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 főbb stratégiai irányokat és célkitűzéseket,</w:t>
      </w:r>
    </w:p>
    <w:p w14:paraId="1B7F0BC2" w14:textId="5496B052"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legyen összhangban az intézmény által kinyilvánított kockázati étvággyal,</w:t>
      </w:r>
    </w:p>
    <w:p w14:paraId="6AC76B34" w14:textId="2160F314"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az üzleti környezet (</w:t>
      </w:r>
      <w:r w:rsidR="000C2AE6" w:rsidRPr="00181755">
        <w:rPr>
          <w:rFonts w:asciiTheme="minorHAnsi" w:hAnsiTheme="minorHAnsi"/>
          <w:lang w:val="hu-HU"/>
        </w:rPr>
        <w:t xml:space="preserve">pl. </w:t>
      </w:r>
      <w:r w:rsidRPr="00181755">
        <w:rPr>
          <w:rFonts w:asciiTheme="minorHAnsi" w:hAnsiTheme="minorHAnsi"/>
          <w:lang w:val="hu-HU"/>
        </w:rPr>
        <w:t xml:space="preserve">makrokörnyezet, szabályozói környezet, </w:t>
      </w:r>
      <w:r w:rsidR="00F24903" w:rsidRPr="00181755">
        <w:rPr>
          <w:rFonts w:asciiTheme="minorHAnsi" w:hAnsiTheme="minorHAnsi"/>
          <w:lang w:val="hu-HU"/>
        </w:rPr>
        <w:t>versenyhelyzet</w:t>
      </w:r>
      <w:r w:rsidRPr="00181755">
        <w:rPr>
          <w:rFonts w:asciiTheme="minorHAnsi" w:hAnsiTheme="minorHAnsi"/>
          <w:lang w:val="hu-HU"/>
        </w:rPr>
        <w:t>) elemzését,</w:t>
      </w:r>
    </w:p>
    <w:p w14:paraId="08783B34" w14:textId="2241E6DD" w:rsidR="000C2AE6"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képezze részét a főbb mérleg és eredménykimutatás tételekre vonatkozó minimum 3 éves időhorizontra </w:t>
      </w:r>
      <w:r w:rsidR="00F24903" w:rsidRPr="00181755">
        <w:rPr>
          <w:rFonts w:asciiTheme="minorHAnsi" w:hAnsiTheme="minorHAnsi"/>
          <w:lang w:val="hu-HU"/>
        </w:rPr>
        <w:t>előretekintő</w:t>
      </w:r>
      <w:r w:rsidRPr="00181755">
        <w:rPr>
          <w:rFonts w:asciiTheme="minorHAnsi" w:hAnsiTheme="minorHAnsi"/>
          <w:lang w:val="hu-HU"/>
        </w:rPr>
        <w:t xml:space="preserve"> előrejelzés, </w:t>
      </w:r>
    </w:p>
    <w:p w14:paraId="2C539920" w14:textId="12CB58B9" w:rsidR="00CC191B"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tartalmazza </w:t>
      </w:r>
      <w:r w:rsidR="00CC191B" w:rsidRPr="00181755">
        <w:rPr>
          <w:rFonts w:asciiTheme="minorHAnsi" w:hAnsiTheme="minorHAnsi"/>
          <w:lang w:val="hu-HU"/>
        </w:rPr>
        <w:t>az előrejelzések készítése során használt főbb feltételezések</w:t>
      </w:r>
      <w:r w:rsidRPr="00181755">
        <w:rPr>
          <w:rFonts w:asciiTheme="minorHAnsi" w:hAnsiTheme="minorHAnsi"/>
          <w:lang w:val="hu-HU"/>
        </w:rPr>
        <w:t>et,</w:t>
      </w:r>
      <w:r w:rsidR="00303B36" w:rsidRPr="00181755">
        <w:rPr>
          <w:rFonts w:asciiTheme="minorHAnsi" w:hAnsiTheme="minorHAnsi"/>
          <w:lang w:val="hu-HU"/>
        </w:rPr>
        <w:t xml:space="preserve"> </w:t>
      </w:r>
    </w:p>
    <w:p w14:paraId="10B0C6F9"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az alkalmazott adatok, feltevések, módszerek jól kidolgozottak és dokumentáltak legyenek,</w:t>
      </w:r>
    </w:p>
    <w:p w14:paraId="58CBAA8C" w14:textId="3F470F0E"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azonosítsa a főbb versenyelőnyöket, sebezhetőségi pontokat és a megvalósításhoz kapcsolódó főbb kockázatokat,</w:t>
      </w:r>
    </w:p>
    <w:p w14:paraId="4B20E027" w14:textId="53B67628" w:rsidR="00303B36" w:rsidRPr="00181755" w:rsidRDefault="000C2AE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tartalmazza a tervek megvalósításához kapcsolódó folyamatban lévő és tervezett </w:t>
      </w:r>
      <w:r w:rsidR="00BF4F3E" w:rsidRPr="00181755">
        <w:rPr>
          <w:rFonts w:asciiTheme="minorHAnsi" w:hAnsiTheme="minorHAnsi"/>
          <w:lang w:val="hu-HU"/>
        </w:rPr>
        <w:t>lényegesebb</w:t>
      </w:r>
      <w:r w:rsidRPr="00181755">
        <w:rPr>
          <w:rFonts w:asciiTheme="minorHAnsi" w:hAnsiTheme="minorHAnsi"/>
          <w:lang w:val="hu-HU"/>
        </w:rPr>
        <w:t xml:space="preserve"> intézkedéseket</w:t>
      </w:r>
      <w:r w:rsidR="004C60BC" w:rsidRPr="00181755">
        <w:rPr>
          <w:rFonts w:asciiTheme="minorHAnsi" w:hAnsiTheme="minorHAnsi"/>
          <w:lang w:val="hu-HU"/>
        </w:rPr>
        <w:t>,</w:t>
      </w:r>
      <w:r w:rsidR="00303B36" w:rsidRPr="00181755">
        <w:rPr>
          <w:rFonts w:asciiTheme="minorHAnsi" w:hAnsiTheme="minorHAnsi"/>
          <w:lang w:val="hu-HU"/>
        </w:rPr>
        <w:t xml:space="preserve"> </w:t>
      </w:r>
    </w:p>
    <w:p w14:paraId="067FEF51" w14:textId="430EDDC4" w:rsidR="00E22DE4" w:rsidRPr="00181755" w:rsidRDefault="00303B3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 tervek teljesülése utólag kerüljön visszamérésre</w:t>
      </w:r>
      <w:r w:rsidR="004C60BC" w:rsidRPr="00181755">
        <w:rPr>
          <w:rFonts w:asciiTheme="minorHAnsi" w:hAnsiTheme="minorHAnsi"/>
          <w:lang w:val="hu-HU"/>
        </w:rPr>
        <w:t>.</w:t>
      </w:r>
    </w:p>
    <w:p w14:paraId="01A76065" w14:textId="767AFEEB" w:rsidR="00E22DE4" w:rsidRPr="00181755" w:rsidRDefault="00E22DE4" w:rsidP="00181755">
      <w:pPr>
        <w:rPr>
          <w:rFonts w:asciiTheme="minorHAnsi" w:hAnsiTheme="minorHAnsi"/>
        </w:rPr>
      </w:pPr>
      <w:r w:rsidRPr="00181755">
        <w:rPr>
          <w:rFonts w:asciiTheme="minorHAnsi" w:hAnsiTheme="minorHAnsi"/>
        </w:rPr>
        <w:t xml:space="preserve">Az MNB az ICAAP-ILAAP-BMA vizsgálatokhoz kapcsolódó </w:t>
      </w:r>
      <w:r w:rsidR="00306E67" w:rsidRPr="00181755">
        <w:rPr>
          <w:rFonts w:asciiTheme="minorHAnsi" w:hAnsiTheme="minorHAnsi"/>
        </w:rPr>
        <w:t xml:space="preserve">részletes </w:t>
      </w:r>
      <w:r w:rsidRPr="00181755">
        <w:rPr>
          <w:rFonts w:asciiTheme="minorHAnsi" w:hAnsiTheme="minorHAnsi"/>
        </w:rPr>
        <w:t>dokumentációs igényé</w:t>
      </w:r>
      <w:r w:rsidR="00FE1A7E" w:rsidRPr="00181755">
        <w:rPr>
          <w:rFonts w:asciiTheme="minorHAnsi" w:hAnsiTheme="minorHAnsi"/>
        </w:rPr>
        <w:t>t a helyszíni vizsgálat</w:t>
      </w:r>
      <w:r w:rsidR="00306E67" w:rsidRPr="00181755">
        <w:rPr>
          <w:rFonts w:asciiTheme="minorHAnsi" w:hAnsiTheme="minorHAnsi"/>
        </w:rPr>
        <w:t>oka</w:t>
      </w:r>
      <w:r w:rsidR="00FE1A7E" w:rsidRPr="00181755">
        <w:rPr>
          <w:rFonts w:asciiTheme="minorHAnsi" w:hAnsiTheme="minorHAnsi"/>
        </w:rPr>
        <w:t xml:space="preserve">t megelőzően </w:t>
      </w:r>
      <w:r w:rsidR="007D2DE2" w:rsidRPr="00181755">
        <w:rPr>
          <w:rFonts w:asciiTheme="minorHAnsi" w:hAnsiTheme="minorHAnsi"/>
        </w:rPr>
        <w:t xml:space="preserve">(kellő időben) </w:t>
      </w:r>
      <w:r w:rsidR="00FE1A7E" w:rsidRPr="00181755">
        <w:rPr>
          <w:rFonts w:asciiTheme="minorHAnsi" w:hAnsiTheme="minorHAnsi"/>
        </w:rPr>
        <w:t xml:space="preserve">megküldi </w:t>
      </w:r>
      <w:r w:rsidRPr="00181755">
        <w:rPr>
          <w:rFonts w:asciiTheme="minorHAnsi" w:hAnsiTheme="minorHAnsi"/>
        </w:rPr>
        <w:t>az intézmények</w:t>
      </w:r>
      <w:r w:rsidR="00FE1A7E" w:rsidRPr="00181755">
        <w:rPr>
          <w:rFonts w:asciiTheme="minorHAnsi" w:hAnsiTheme="minorHAnsi"/>
        </w:rPr>
        <w:t>nek</w:t>
      </w:r>
      <w:r w:rsidRPr="00181755">
        <w:rPr>
          <w:rFonts w:asciiTheme="minorHAnsi" w:hAnsiTheme="minorHAnsi"/>
        </w:rPr>
        <w:t>. A</w:t>
      </w:r>
      <w:r w:rsidR="00B7657B" w:rsidRPr="00181755">
        <w:rPr>
          <w:rFonts w:asciiTheme="minorHAnsi" w:hAnsiTheme="minorHAnsi"/>
        </w:rPr>
        <w:t>z MNB továbbá a kiértesítő levélben egyértelműen megjelöli, hogy</w:t>
      </w:r>
      <w:r w:rsidR="00306E67" w:rsidRPr="00181755">
        <w:rPr>
          <w:rFonts w:asciiTheme="minorHAnsi" w:hAnsiTheme="minorHAnsi"/>
        </w:rPr>
        <w:t xml:space="preserve"> milyen intézményi körre (konszolidált, szubkonszolidált vagy egyedi),</w:t>
      </w:r>
      <w:r w:rsidR="00FE1A7E" w:rsidRPr="00181755">
        <w:rPr>
          <w:rFonts w:asciiTheme="minorHAnsi" w:hAnsiTheme="minorHAnsi"/>
        </w:rPr>
        <w:t xml:space="preserve"> mikori időpontra várja</w:t>
      </w:r>
      <w:r w:rsidR="00B7657B" w:rsidRPr="00181755">
        <w:rPr>
          <w:rFonts w:asciiTheme="minorHAnsi" w:hAnsiTheme="minorHAnsi"/>
        </w:rPr>
        <w:t xml:space="preserve"> a szükséges</w:t>
      </w:r>
      <w:r w:rsidRPr="00181755">
        <w:rPr>
          <w:rFonts w:asciiTheme="minorHAnsi" w:hAnsiTheme="minorHAnsi"/>
        </w:rPr>
        <w:t xml:space="preserve"> </w:t>
      </w:r>
      <w:r w:rsidR="00B7657B" w:rsidRPr="00181755">
        <w:rPr>
          <w:rFonts w:asciiTheme="minorHAnsi" w:hAnsiTheme="minorHAnsi"/>
        </w:rPr>
        <w:t xml:space="preserve">dokumentumok Felügyelet felé történő beküldését, illetve </w:t>
      </w:r>
      <w:r w:rsidR="00FE1A7E" w:rsidRPr="00181755">
        <w:rPr>
          <w:rFonts w:asciiTheme="minorHAnsi" w:hAnsiTheme="minorHAnsi"/>
        </w:rPr>
        <w:t xml:space="preserve">meghatározza, hogy </w:t>
      </w:r>
      <w:r w:rsidR="00B7657B" w:rsidRPr="00181755">
        <w:rPr>
          <w:rFonts w:asciiTheme="minorHAnsi" w:hAnsiTheme="minorHAnsi"/>
        </w:rPr>
        <w:t xml:space="preserve">az </w:t>
      </w:r>
      <w:r w:rsidRPr="00181755">
        <w:rPr>
          <w:rFonts w:asciiTheme="minorHAnsi" w:hAnsiTheme="minorHAnsi"/>
        </w:rPr>
        <w:t>adatok</w:t>
      </w:r>
      <w:r w:rsidR="00B7657B" w:rsidRPr="00181755">
        <w:rPr>
          <w:rFonts w:asciiTheme="minorHAnsi" w:hAnsiTheme="minorHAnsi"/>
        </w:rPr>
        <w:t>at</w:t>
      </w:r>
      <w:r w:rsidRPr="00181755">
        <w:rPr>
          <w:rFonts w:asciiTheme="minorHAnsi" w:hAnsiTheme="minorHAnsi"/>
        </w:rPr>
        <w:t xml:space="preserve"> és számítások</w:t>
      </w:r>
      <w:r w:rsidR="00B7657B" w:rsidRPr="00181755">
        <w:rPr>
          <w:rFonts w:asciiTheme="minorHAnsi" w:hAnsiTheme="minorHAnsi"/>
        </w:rPr>
        <w:t>at milyen formában (esetenként konkrét excel sablon alapján), illetve milyen referencia időpontra vonatkozóan kéri.</w:t>
      </w:r>
    </w:p>
    <w:p w14:paraId="66B1525B" w14:textId="77777777" w:rsidR="003F29E3" w:rsidRPr="00181755" w:rsidRDefault="003F29E3" w:rsidP="008C1553">
      <w:pPr>
        <w:spacing w:after="240"/>
        <w:rPr>
          <w:rFonts w:asciiTheme="minorHAnsi" w:hAnsiTheme="minorHAnsi"/>
        </w:rPr>
      </w:pPr>
      <w:r w:rsidRPr="00181755">
        <w:rPr>
          <w:rFonts w:asciiTheme="minorHAnsi" w:hAnsiTheme="minorHAnsi"/>
        </w:rPr>
        <w:t xml:space="preserve">Sztenderd és komplex felügyeleti felülvizsgálat esetén a helyszíni vizsgálati szakasz kapcsán, illetve az intézménnyel folytatott párbeszéd személyre szabott jellege és intenzitása az MNB részére történő további információátadást tehet szükségessé. </w:t>
      </w:r>
    </w:p>
    <w:p w14:paraId="778EE3F6" w14:textId="08AD0813" w:rsidR="003F29E3" w:rsidRPr="00181755" w:rsidRDefault="003F29E3" w:rsidP="00181755">
      <w:pPr>
        <w:pStyle w:val="Cmsor2"/>
        <w:rPr>
          <w:rFonts w:asciiTheme="minorHAnsi" w:hAnsiTheme="minorHAnsi"/>
        </w:rPr>
      </w:pPr>
      <w:bookmarkStart w:id="333" w:name="_Toc461195770"/>
      <w:bookmarkStart w:id="334" w:name="_Toc461524853"/>
      <w:bookmarkStart w:id="335" w:name="_Toc461547904"/>
      <w:bookmarkStart w:id="336" w:name="_Toc461550197"/>
      <w:bookmarkStart w:id="337" w:name="_Toc462401932"/>
      <w:bookmarkStart w:id="338" w:name="_Toc462403053"/>
      <w:bookmarkStart w:id="339" w:name="_Toc462403378"/>
      <w:bookmarkStart w:id="340" w:name="_Toc462403807"/>
      <w:bookmarkStart w:id="341" w:name="_Toc462645675"/>
      <w:bookmarkStart w:id="342" w:name="_Toc468180497"/>
      <w:bookmarkStart w:id="343" w:name="_Toc468181029"/>
      <w:bookmarkStart w:id="344" w:name="_A_belső_tőkemegfelelés"/>
      <w:bookmarkStart w:id="345" w:name="_Toc378590311"/>
      <w:bookmarkStart w:id="346" w:name="_Toc378592153"/>
      <w:bookmarkStart w:id="347" w:name="_Toc461095178"/>
      <w:bookmarkStart w:id="348" w:name="_Toc461179210"/>
      <w:bookmarkStart w:id="349" w:name="_Toc461179834"/>
      <w:bookmarkStart w:id="350" w:name="_Toc461547905"/>
      <w:bookmarkStart w:id="351" w:name="_Toc462401933"/>
      <w:bookmarkStart w:id="352" w:name="_Toc462403054"/>
      <w:bookmarkStart w:id="353" w:name="_Toc462403379"/>
      <w:bookmarkStart w:id="354" w:name="_Toc468180498"/>
      <w:bookmarkStart w:id="355" w:name="_Toc468181030"/>
      <w:bookmarkStart w:id="356" w:name="_Toc468191423"/>
      <w:bookmarkEnd w:id="333"/>
      <w:bookmarkEnd w:id="334"/>
      <w:bookmarkEnd w:id="335"/>
      <w:bookmarkEnd w:id="336"/>
      <w:bookmarkEnd w:id="337"/>
      <w:bookmarkEnd w:id="338"/>
      <w:bookmarkEnd w:id="339"/>
      <w:bookmarkEnd w:id="340"/>
      <w:bookmarkEnd w:id="341"/>
      <w:bookmarkEnd w:id="342"/>
      <w:bookmarkEnd w:id="343"/>
      <w:bookmarkEnd w:id="344"/>
      <w:r w:rsidRPr="00181755">
        <w:rPr>
          <w:rFonts w:asciiTheme="minorHAnsi" w:hAnsiTheme="minorHAnsi"/>
        </w:rPr>
        <w:t>A</w:t>
      </w:r>
      <w:r w:rsidR="000D0BEE" w:rsidRPr="00181755">
        <w:rPr>
          <w:rFonts w:asciiTheme="minorHAnsi" w:hAnsiTheme="minorHAnsi"/>
        </w:rPr>
        <w:t>z ICAAP, az ILAAP és a BMA vizsgálat</w:t>
      </w:r>
      <w:r w:rsidRPr="00181755">
        <w:rPr>
          <w:rFonts w:asciiTheme="minorHAnsi" w:hAnsiTheme="minorHAnsi"/>
        </w:rPr>
        <w:t>felügyeleti értékelése</w:t>
      </w:r>
      <w:bookmarkEnd w:id="345"/>
      <w:bookmarkEnd w:id="346"/>
      <w:bookmarkEnd w:id="347"/>
      <w:bookmarkEnd w:id="348"/>
      <w:bookmarkEnd w:id="349"/>
      <w:bookmarkEnd w:id="350"/>
      <w:bookmarkEnd w:id="351"/>
      <w:bookmarkEnd w:id="352"/>
      <w:bookmarkEnd w:id="353"/>
      <w:bookmarkEnd w:id="354"/>
      <w:bookmarkEnd w:id="355"/>
      <w:bookmarkEnd w:id="356"/>
    </w:p>
    <w:p w14:paraId="66B1525E" w14:textId="61F769C1" w:rsidR="003F29E3" w:rsidRPr="00181755" w:rsidRDefault="003F29E3" w:rsidP="00181755">
      <w:pPr>
        <w:rPr>
          <w:rFonts w:asciiTheme="minorHAnsi" w:hAnsiTheme="minorHAnsi"/>
        </w:rPr>
      </w:pPr>
      <w:r w:rsidRPr="00181755">
        <w:rPr>
          <w:rFonts w:asciiTheme="minorHAnsi" w:hAnsiTheme="minorHAnsi"/>
        </w:rPr>
        <w:t>A</w:t>
      </w:r>
      <w:r w:rsidR="00E41D2C" w:rsidRPr="00181755">
        <w:rPr>
          <w:rFonts w:asciiTheme="minorHAnsi" w:hAnsiTheme="minorHAnsi"/>
        </w:rPr>
        <w:t xml:space="preserve">z intézmények által végzett saját </w:t>
      </w:r>
      <w:r w:rsidRPr="00181755">
        <w:rPr>
          <w:rFonts w:asciiTheme="minorHAnsi" w:hAnsiTheme="minorHAnsi"/>
        </w:rPr>
        <w:t xml:space="preserve">és </w:t>
      </w:r>
      <w:r w:rsidR="00E41D2C" w:rsidRPr="00181755">
        <w:rPr>
          <w:rFonts w:asciiTheme="minorHAnsi" w:hAnsiTheme="minorHAnsi"/>
        </w:rPr>
        <w:t xml:space="preserve">a </w:t>
      </w:r>
      <w:r w:rsidRPr="00181755">
        <w:rPr>
          <w:rFonts w:asciiTheme="minorHAnsi" w:hAnsiTheme="minorHAnsi"/>
        </w:rPr>
        <w:t xml:space="preserve">felügyeleti értékelés szorosan összekapcsolódik, hiszen a </w:t>
      </w:r>
      <w:r w:rsidR="00E41D2C" w:rsidRPr="00181755">
        <w:rPr>
          <w:rFonts w:asciiTheme="minorHAnsi" w:hAnsiTheme="minorHAnsi"/>
        </w:rPr>
        <w:t xml:space="preserve">vizsgálatok eredményével és a </w:t>
      </w:r>
      <w:r w:rsidRPr="00181755">
        <w:rPr>
          <w:rFonts w:asciiTheme="minorHAnsi" w:hAnsiTheme="minorHAnsi"/>
        </w:rPr>
        <w:t>gazdasági tőkeszükséglet mértékével kapcsolatban az MNB minden felügyelt intézmény esetében párbeszédet folytat. Ennek kezdeti lépését az ICAAP</w:t>
      </w:r>
      <w:r w:rsidR="00E41D2C" w:rsidRPr="00181755">
        <w:rPr>
          <w:rFonts w:asciiTheme="minorHAnsi" w:hAnsiTheme="minorHAnsi"/>
        </w:rPr>
        <w:t>,</w:t>
      </w:r>
      <w:r w:rsidRPr="00181755">
        <w:rPr>
          <w:rFonts w:asciiTheme="minorHAnsi" w:hAnsiTheme="minorHAnsi"/>
        </w:rPr>
        <w:t xml:space="preserve"> ILAAP</w:t>
      </w:r>
      <w:r w:rsidR="00E41D2C" w:rsidRPr="00181755">
        <w:rPr>
          <w:rFonts w:asciiTheme="minorHAnsi" w:hAnsiTheme="minorHAnsi"/>
        </w:rPr>
        <w:t xml:space="preserve"> és BMA</w:t>
      </w:r>
      <w:r w:rsidRPr="00181755">
        <w:rPr>
          <w:rFonts w:asciiTheme="minorHAnsi" w:hAnsiTheme="minorHAnsi"/>
        </w:rPr>
        <w:t xml:space="preserve"> dokumentáció MNB-hez való eljuttatása képezi, legnagyobb részét </w:t>
      </w:r>
      <w:r w:rsidR="00E41D2C" w:rsidRPr="00181755">
        <w:rPr>
          <w:rFonts w:asciiTheme="minorHAnsi" w:hAnsiTheme="minorHAnsi"/>
        </w:rPr>
        <w:t>pedig a helyszíni vizsgál</w:t>
      </w:r>
      <w:r w:rsidR="00C32848" w:rsidRPr="00181755">
        <w:rPr>
          <w:rFonts w:asciiTheme="minorHAnsi" w:hAnsiTheme="minorHAnsi"/>
        </w:rPr>
        <w:t>at során folytatott dialógus, valamint</w:t>
      </w:r>
      <w:r w:rsidR="00E41D2C" w:rsidRPr="00181755">
        <w:rPr>
          <w:rFonts w:asciiTheme="minorHAnsi" w:hAnsiTheme="minorHAnsi"/>
        </w:rPr>
        <w:t xml:space="preserve"> az azt követő írásos és szóbeli egyeztetések </w:t>
      </w:r>
      <w:r w:rsidRPr="00181755">
        <w:rPr>
          <w:rFonts w:asciiTheme="minorHAnsi" w:hAnsiTheme="minorHAnsi"/>
        </w:rPr>
        <w:t>teszi</w:t>
      </w:r>
      <w:r w:rsidR="00E41D2C" w:rsidRPr="00181755">
        <w:rPr>
          <w:rFonts w:asciiTheme="minorHAnsi" w:hAnsiTheme="minorHAnsi"/>
        </w:rPr>
        <w:t>k</w:t>
      </w:r>
      <w:r w:rsidRPr="00181755">
        <w:rPr>
          <w:rFonts w:asciiTheme="minorHAnsi" w:hAnsiTheme="minorHAnsi"/>
        </w:rPr>
        <w:t xml:space="preserve"> ki</w:t>
      </w:r>
      <w:r w:rsidR="00C32848" w:rsidRPr="00181755">
        <w:rPr>
          <w:rFonts w:asciiTheme="minorHAnsi" w:hAnsiTheme="minorHAnsi"/>
        </w:rPr>
        <w:t>. A párbeszéd</w:t>
      </w:r>
      <w:r w:rsidRPr="00181755">
        <w:rPr>
          <w:rFonts w:asciiTheme="minorHAnsi" w:hAnsiTheme="minorHAnsi"/>
        </w:rPr>
        <w:t xml:space="preserve"> lezáró momentuma pedig a</w:t>
      </w:r>
      <w:r w:rsidR="00E41D2C" w:rsidRPr="00181755">
        <w:rPr>
          <w:rFonts w:asciiTheme="minorHAnsi" w:hAnsiTheme="minorHAnsi"/>
        </w:rPr>
        <w:t xml:space="preserve"> vizsgálattal kapcsolatos</w:t>
      </w:r>
      <w:r w:rsidR="00422836" w:rsidRPr="00181755">
        <w:rPr>
          <w:rFonts w:asciiTheme="minorHAnsi" w:hAnsiTheme="minorHAnsi"/>
        </w:rPr>
        <w:t xml:space="preserve"> </w:t>
      </w:r>
      <w:r w:rsidRPr="00181755">
        <w:rPr>
          <w:rFonts w:asciiTheme="minorHAnsi" w:hAnsiTheme="minorHAnsi"/>
        </w:rPr>
        <w:t xml:space="preserve">végleges </w:t>
      </w:r>
      <w:r w:rsidR="00C32848" w:rsidRPr="00181755">
        <w:rPr>
          <w:rFonts w:asciiTheme="minorHAnsi" w:hAnsiTheme="minorHAnsi"/>
        </w:rPr>
        <w:t xml:space="preserve">MNB </w:t>
      </w:r>
      <w:r w:rsidRPr="00181755">
        <w:rPr>
          <w:rFonts w:asciiTheme="minorHAnsi" w:hAnsiTheme="minorHAnsi"/>
        </w:rPr>
        <w:t xml:space="preserve">álláspont kialakítása. A párbeszéd intenzitása elsősorban az adott intézmény tevékenységének összetettségétől, illetve a két fél értékelése között mutatkozó különbségek mértékétől függ. A gyakorlatban ez azt jelenti, hogy </w:t>
      </w:r>
      <w:r w:rsidR="002318D5" w:rsidRPr="00181755">
        <w:rPr>
          <w:rFonts w:asciiTheme="minorHAnsi" w:hAnsiTheme="minorHAnsi"/>
        </w:rPr>
        <w:t>a</w:t>
      </w:r>
      <w:r w:rsidRPr="00181755">
        <w:rPr>
          <w:rFonts w:asciiTheme="minorHAnsi" w:hAnsiTheme="minorHAnsi"/>
        </w:rPr>
        <w:t xml:space="preserve"> komplex intézmények esetében az ICAAP</w:t>
      </w:r>
      <w:r w:rsidR="00E41D2C" w:rsidRPr="00181755">
        <w:rPr>
          <w:rFonts w:asciiTheme="minorHAnsi" w:hAnsiTheme="minorHAnsi"/>
        </w:rPr>
        <w:t>, az</w:t>
      </w:r>
      <w:r w:rsidRPr="00181755">
        <w:rPr>
          <w:rFonts w:asciiTheme="minorHAnsi" w:hAnsiTheme="minorHAnsi"/>
        </w:rPr>
        <w:t xml:space="preserve"> ILAAP</w:t>
      </w:r>
      <w:r w:rsidR="00E41D2C" w:rsidRPr="00181755">
        <w:rPr>
          <w:rFonts w:asciiTheme="minorHAnsi" w:hAnsiTheme="minorHAnsi"/>
        </w:rPr>
        <w:t xml:space="preserve"> és </w:t>
      </w:r>
      <w:r w:rsidR="00C32848" w:rsidRPr="00181755">
        <w:rPr>
          <w:rFonts w:asciiTheme="minorHAnsi" w:hAnsiTheme="minorHAnsi"/>
        </w:rPr>
        <w:t xml:space="preserve">a </w:t>
      </w:r>
      <w:r w:rsidR="00E41D2C" w:rsidRPr="00181755">
        <w:rPr>
          <w:rFonts w:asciiTheme="minorHAnsi" w:hAnsiTheme="minorHAnsi"/>
        </w:rPr>
        <w:t>BMA</w:t>
      </w:r>
      <w:r w:rsidRPr="00181755">
        <w:rPr>
          <w:rFonts w:asciiTheme="minorHAnsi" w:hAnsiTheme="minorHAnsi"/>
        </w:rPr>
        <w:t xml:space="preserve"> dokumentáció befogadását és feldolgozását követően az MNB testre szabott, több hetes helyszíni egyeztetést folytat.</w:t>
      </w:r>
      <w:r w:rsidR="00E41D2C" w:rsidRPr="00181755">
        <w:rPr>
          <w:rFonts w:asciiTheme="minorHAnsi" w:hAnsiTheme="minorHAnsi"/>
        </w:rPr>
        <w:t xml:space="preserve"> </w:t>
      </w:r>
      <w:r w:rsidR="00C32848" w:rsidRPr="00181755">
        <w:rPr>
          <w:rFonts w:asciiTheme="minorHAnsi" w:hAnsiTheme="minorHAnsi"/>
        </w:rPr>
        <w:t>Ezen intézményi kör esetén a</w:t>
      </w:r>
      <w:r w:rsidR="00E41D2C" w:rsidRPr="00181755">
        <w:rPr>
          <w:rFonts w:asciiTheme="minorHAnsi" w:hAnsiTheme="minorHAnsi"/>
        </w:rPr>
        <w:t xml:space="preserve">z MNB </w:t>
      </w:r>
      <w:r w:rsidR="00C32848" w:rsidRPr="00181755">
        <w:rPr>
          <w:rFonts w:asciiTheme="minorHAnsi" w:hAnsiTheme="minorHAnsi"/>
        </w:rPr>
        <w:t>célja a párbeszéd további erősítése, és az intézmények módszertanának alaposabb megértése.</w:t>
      </w:r>
      <w:r w:rsidRPr="00181755">
        <w:rPr>
          <w:rFonts w:asciiTheme="minorHAnsi" w:hAnsiTheme="minorHAnsi"/>
        </w:rPr>
        <w:t xml:space="preserve"> Sztenderd ICAAP felülvizsgálat esetén az átfogó vizsgálat keretében lefolytatott ICAAP felülvizsgálat terjedelmében, intenzitásában az átfogó vizsgálatok eljárási kereteihez igazodik.</w:t>
      </w:r>
    </w:p>
    <w:p w14:paraId="66B1525F" w14:textId="47EB47EF" w:rsidR="003F29E3" w:rsidRPr="00181755" w:rsidRDefault="003F29E3" w:rsidP="00181755">
      <w:pPr>
        <w:rPr>
          <w:rFonts w:asciiTheme="minorHAnsi" w:hAnsiTheme="minorHAnsi"/>
        </w:rPr>
      </w:pPr>
      <w:r w:rsidRPr="00181755">
        <w:rPr>
          <w:rFonts w:asciiTheme="minorHAnsi" w:hAnsiTheme="minorHAnsi"/>
        </w:rPr>
        <w:t>A</w:t>
      </w:r>
      <w:r w:rsidR="00950015" w:rsidRPr="00181755">
        <w:rPr>
          <w:rFonts w:asciiTheme="minorHAnsi" w:hAnsiTheme="minorHAnsi"/>
        </w:rPr>
        <w:t>z ICAAP</w:t>
      </w:r>
      <w:r w:rsidRPr="00181755">
        <w:rPr>
          <w:rFonts w:asciiTheme="minorHAnsi" w:hAnsiTheme="minorHAnsi"/>
        </w:rPr>
        <w:t xml:space="preserve"> </w:t>
      </w:r>
      <w:r w:rsidR="00950015" w:rsidRPr="00181755">
        <w:rPr>
          <w:rFonts w:asciiTheme="minorHAnsi" w:hAnsiTheme="minorHAnsi"/>
        </w:rPr>
        <w:t>felül</w:t>
      </w:r>
      <w:r w:rsidR="00E41D2C" w:rsidRPr="00181755">
        <w:rPr>
          <w:rFonts w:asciiTheme="minorHAnsi" w:hAnsiTheme="minorHAnsi"/>
        </w:rPr>
        <w:t>vizsgálati</w:t>
      </w:r>
      <w:r w:rsidR="00C32848" w:rsidRPr="00181755">
        <w:rPr>
          <w:rFonts w:asciiTheme="minorHAnsi" w:hAnsiTheme="minorHAnsi"/>
        </w:rPr>
        <w:t xml:space="preserve"> párbeszéd</w:t>
      </w:r>
      <w:r w:rsidRPr="00181755">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181755">
        <w:rPr>
          <w:rFonts w:asciiTheme="minorHAnsi" w:hAnsiTheme="minorHAnsi"/>
        </w:rPr>
        <w:t>, eljárást</w:t>
      </w:r>
      <w:r w:rsidR="00950015" w:rsidRPr="00181755">
        <w:rPr>
          <w:rFonts w:asciiTheme="minorHAnsi" w:hAnsiTheme="minorHAnsi"/>
        </w:rPr>
        <w:t xml:space="preserve"> és módszertant</w:t>
      </w:r>
      <w:r w:rsidRPr="00181755">
        <w:rPr>
          <w:rFonts w:asciiTheme="minorHAnsi" w:hAnsiTheme="minorHAnsi"/>
        </w:rPr>
        <w:t xml:space="preserve"> elfogadhatónak tart, azonban a </w:t>
      </w:r>
      <w:r w:rsidR="00C32848" w:rsidRPr="00181755">
        <w:rPr>
          <w:rFonts w:asciiTheme="minorHAnsi" w:hAnsiTheme="minorHAnsi"/>
        </w:rPr>
        <w:t xml:space="preserve">vizsgálati </w:t>
      </w:r>
      <w:r w:rsidRPr="00181755">
        <w:rPr>
          <w:rFonts w:asciiTheme="minorHAnsi" w:hAnsiTheme="minorHAnsi"/>
        </w:rPr>
        <w:t>folyamat</w:t>
      </w:r>
      <w:r w:rsidR="00C32848" w:rsidRPr="00181755">
        <w:rPr>
          <w:rFonts w:asciiTheme="minorHAnsi" w:hAnsiTheme="minorHAnsi"/>
        </w:rPr>
        <w:t>ok</w:t>
      </w:r>
      <w:r w:rsidRPr="00181755">
        <w:rPr>
          <w:rFonts w:asciiTheme="minorHAnsi" w:hAnsiTheme="minorHAnsi"/>
        </w:rPr>
        <w:t xml:space="preserve"> </w:t>
      </w:r>
      <w:r w:rsidR="00C32848" w:rsidRPr="00181755">
        <w:rPr>
          <w:rFonts w:asciiTheme="minorHAnsi" w:hAnsiTheme="minorHAnsi"/>
        </w:rPr>
        <w:t xml:space="preserve">harmonizálásának </w:t>
      </w:r>
      <w:r w:rsidRPr="00181755">
        <w:rPr>
          <w:rFonts w:asciiTheme="minorHAnsi" w:hAnsiTheme="minorHAnsi"/>
        </w:rPr>
        <w:t xml:space="preserve">biztosítása érdekében előzetesen kidolgozott módszertant követve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Pr>
          <w:rFonts w:asciiTheme="minorHAnsi" w:hAnsiTheme="minorHAnsi"/>
        </w:rPr>
        <w:t>kézikönyvekben</w:t>
      </w:r>
      <w:r w:rsidRPr="00181755">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1E6FB73B" w14:textId="3A26865F" w:rsidR="00950015" w:rsidRPr="00181755" w:rsidRDefault="00950015" w:rsidP="00181755">
      <w:pPr>
        <w:rPr>
          <w:rFonts w:asciiTheme="minorHAnsi" w:hAnsiTheme="minorHAnsi"/>
        </w:rPr>
      </w:pPr>
      <w:r w:rsidRPr="00181755">
        <w:rPr>
          <w:rFonts w:asciiTheme="minorHAnsi" w:hAnsiTheme="minorHAnsi"/>
        </w:rPr>
        <w:t>A BMA vizsgálati dialógus lényege az intézmények stratégiai és üzleti tervezésének, mögöttes feltételezéseinek és az intézményi céloknak a megismerése és megértése.</w:t>
      </w:r>
    </w:p>
    <w:p w14:paraId="66B15261" w14:textId="1BCF2663" w:rsidR="003F29E3" w:rsidRPr="00181755" w:rsidRDefault="003F29E3" w:rsidP="00181755">
      <w:pPr>
        <w:spacing w:after="240"/>
        <w:rPr>
          <w:rFonts w:asciiTheme="minorHAnsi" w:hAnsiTheme="minorHAnsi"/>
        </w:rPr>
      </w:pPr>
      <w:r w:rsidRPr="00181755">
        <w:rPr>
          <w:rFonts w:asciiTheme="minorHAnsi" w:hAnsiTheme="minorHAnsi"/>
        </w:rPr>
        <w:t>Az ILAAP</w:t>
      </w:r>
      <w:r w:rsidR="00950015" w:rsidRPr="00181755">
        <w:rPr>
          <w:rFonts w:asciiTheme="minorHAnsi" w:hAnsiTheme="minorHAnsi"/>
        </w:rPr>
        <w:t xml:space="preserve"> felülvizsgálattal kapcsolatos</w:t>
      </w:r>
      <w:r w:rsidRPr="00181755">
        <w:rPr>
          <w:rFonts w:asciiTheme="minorHAnsi" w:hAnsiTheme="minorHAnsi"/>
        </w:rPr>
        <w:t xml:space="preserve"> párbeszéd </w:t>
      </w:r>
      <w:r w:rsidR="002318D5" w:rsidRPr="00181755">
        <w:rPr>
          <w:rFonts w:asciiTheme="minorHAnsi" w:hAnsiTheme="minorHAnsi"/>
        </w:rPr>
        <w:t xml:space="preserve">célja a </w:t>
      </w:r>
      <w:r w:rsidR="00613115" w:rsidRPr="00181755">
        <w:rPr>
          <w:rFonts w:asciiTheme="minorHAnsi" w:hAnsiTheme="minorHAnsi"/>
        </w:rPr>
        <w:t>mind</w:t>
      </w:r>
      <w:r w:rsidR="002318D5" w:rsidRPr="00181755">
        <w:rPr>
          <w:rFonts w:asciiTheme="minorHAnsi" w:hAnsiTheme="minorHAnsi"/>
        </w:rPr>
        <w:t xml:space="preserve"> felügyeleti elvárás</w:t>
      </w:r>
      <w:r w:rsidR="00613115" w:rsidRPr="00181755">
        <w:rPr>
          <w:rFonts w:asciiTheme="minorHAnsi" w:hAnsiTheme="minorHAnsi"/>
        </w:rPr>
        <w:t>ok hatékony és proaktív érvényesítése, mind</w:t>
      </w:r>
      <w:r w:rsidR="002318D5" w:rsidRPr="00181755">
        <w:rPr>
          <w:rFonts w:asciiTheme="minorHAnsi" w:hAnsiTheme="minorHAnsi"/>
        </w:rPr>
        <w:t xml:space="preserve"> a felügyelt intézmények támogatása</w:t>
      </w:r>
      <w:r w:rsidRPr="00181755">
        <w:rPr>
          <w:rFonts w:asciiTheme="minorHAnsi" w:hAnsiTheme="minorHAnsi"/>
        </w:rPr>
        <w:t xml:space="preserve">. </w:t>
      </w:r>
    </w:p>
    <w:p w14:paraId="66B15262" w14:textId="77777777" w:rsidR="003F29E3" w:rsidRPr="00181755" w:rsidRDefault="003F29E3" w:rsidP="00181755">
      <w:pPr>
        <w:pStyle w:val="Cmsor2"/>
        <w:rPr>
          <w:rFonts w:asciiTheme="minorHAnsi" w:hAnsiTheme="minorHAnsi"/>
        </w:rPr>
      </w:pPr>
      <w:bookmarkStart w:id="357" w:name="_A_kockázatcsökkentő_intézkedések"/>
      <w:bookmarkStart w:id="358" w:name="_Toc378590312"/>
      <w:bookmarkStart w:id="359" w:name="_Toc378592154"/>
      <w:bookmarkStart w:id="360" w:name="_Toc461095179"/>
      <w:bookmarkStart w:id="361" w:name="_Toc461197752"/>
      <w:bookmarkStart w:id="362" w:name="_Toc461201278"/>
      <w:bookmarkStart w:id="363" w:name="_Toc461547906"/>
      <w:bookmarkStart w:id="364" w:name="_Toc462401934"/>
      <w:bookmarkStart w:id="365" w:name="_Toc462403055"/>
      <w:bookmarkStart w:id="366" w:name="_Toc462403380"/>
      <w:bookmarkStart w:id="367" w:name="_Toc468180499"/>
      <w:bookmarkStart w:id="368" w:name="_Toc468181031"/>
      <w:bookmarkStart w:id="369" w:name="_Toc468191424"/>
      <w:bookmarkStart w:id="370" w:name="_Toc461179211"/>
      <w:bookmarkStart w:id="371" w:name="_Toc461179835"/>
      <w:bookmarkEnd w:id="357"/>
      <w:r w:rsidRPr="00181755">
        <w:rPr>
          <w:rFonts w:asciiTheme="minorHAnsi" w:hAnsiTheme="minorHAnsi"/>
        </w:rPr>
        <w:t>A kockázatcsökkentő intézkedések és a gazdasági tőkeszükséglet</w:t>
      </w:r>
      <w:r w:rsidRPr="00181755">
        <w:rPr>
          <w:rFonts w:asciiTheme="minorHAnsi" w:hAnsiTheme="minorHAnsi"/>
          <w:lang w:val="hu-HU"/>
        </w:rPr>
        <w:t>, valamint a likviditási többlettartalék</w:t>
      </w:r>
      <w:r w:rsidRPr="00181755">
        <w:rPr>
          <w:rFonts w:asciiTheme="minorHAnsi" w:hAnsiTheme="minorHAnsi"/>
        </w:rPr>
        <w:t xml:space="preserve"> meghatározása</w:t>
      </w:r>
      <w:bookmarkEnd w:id="358"/>
      <w:bookmarkEnd w:id="359"/>
      <w:bookmarkEnd w:id="360"/>
      <w:bookmarkEnd w:id="361"/>
      <w:bookmarkEnd w:id="362"/>
      <w:bookmarkEnd w:id="363"/>
      <w:bookmarkEnd w:id="364"/>
      <w:bookmarkEnd w:id="365"/>
      <w:bookmarkEnd w:id="366"/>
      <w:bookmarkEnd w:id="367"/>
      <w:bookmarkEnd w:id="368"/>
      <w:bookmarkEnd w:id="369"/>
    </w:p>
    <w:bookmarkEnd w:id="370"/>
    <w:bookmarkEnd w:id="371"/>
    <w:p w14:paraId="72FDBA62" w14:textId="208F37E1" w:rsidR="00950015" w:rsidRPr="00181755" w:rsidRDefault="003F29E3" w:rsidP="008C1553">
      <w:pPr>
        <w:spacing w:after="240"/>
        <w:rPr>
          <w:rFonts w:asciiTheme="minorHAnsi" w:hAnsiTheme="minorHAnsi"/>
        </w:rPr>
      </w:pPr>
      <w:r w:rsidRPr="00181755">
        <w:rPr>
          <w:rFonts w:asciiTheme="minorHAnsi" w:hAnsiTheme="minorHAnsi"/>
        </w:rPr>
        <w:t>A</w:t>
      </w:r>
      <w:r w:rsidR="00721261" w:rsidRPr="00181755">
        <w:rPr>
          <w:rFonts w:asciiTheme="minorHAnsi" w:hAnsiTheme="minorHAnsi"/>
        </w:rPr>
        <w:t xml:space="preserve">z ICAAP és az ILAAP vizsgálati </w:t>
      </w:r>
      <w:r w:rsidRPr="00181755">
        <w:rPr>
          <w:rFonts w:asciiTheme="minorHAnsi" w:hAnsiTheme="minorHAnsi"/>
        </w:rPr>
        <w:t>folyamatok tartalmi részének végeztével az MNB a komplex felügyeleti felülvizsgálatoknál minden alkalommal, kis és közepes intézményeknél pedig az átfogó vizsgálat részeként lefolytatott sztenderd ICAAP felülvizsgálat esetén, értékelő jelentést készít (sztenderd ICAAP felülvizsgálat esetén az átfogó vizsgálati jelentés részeként</w:t>
      </w:r>
      <w:r w:rsidRPr="00181755">
        <w:rPr>
          <w:rStyle w:val="Lbjegyzet-hivatkozs"/>
          <w:rFonts w:asciiTheme="minorHAnsi" w:hAnsiTheme="minorHAnsi"/>
        </w:rPr>
        <w:footnoteReference w:id="18"/>
      </w:r>
      <w:r w:rsidRPr="00181755">
        <w:rPr>
          <w:rFonts w:asciiTheme="minorHAnsi" w:hAnsiTheme="minorHAnsi"/>
        </w:rPr>
        <w:t>), amely részletesen tartalmazza a felügyelt intézmény gazdasági tőkeszámítására és belső tőkemegfelelésére, likviditás megfelelőségére</w:t>
      </w:r>
      <w:r w:rsidR="00920F30" w:rsidRPr="00181755">
        <w:rPr>
          <w:rFonts w:asciiTheme="minorHAnsi" w:hAnsiTheme="minorHAnsi"/>
        </w:rPr>
        <w:t>, illetve üzleti modelljére</w:t>
      </w:r>
      <w:r w:rsidRPr="00181755">
        <w:rPr>
          <w:rFonts w:asciiTheme="minorHAnsi" w:hAnsiTheme="minorHAnsi"/>
        </w:rPr>
        <w:t xml:space="preserve"> vonatkozó felügyeleti megállapításokat, előírt kockázatcsökkentő intézkedéseket, továbbá az MNB által indokoltnak tartott SREP tőkeszükségletet, illetve likviditási többlettartalékot. A vizsgálati jelentést az MNB a felügyelt intézmény számára megküldi, melynek módjában áll azt </w:t>
      </w:r>
      <w:r w:rsidR="00721261" w:rsidRPr="00181755">
        <w:rPr>
          <w:rFonts w:asciiTheme="minorHAnsi" w:hAnsiTheme="minorHAnsi"/>
        </w:rPr>
        <w:t>meghatározott</w:t>
      </w:r>
      <w:r w:rsidRPr="00181755">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181755">
        <w:rPr>
          <w:rFonts w:asciiTheme="minorHAnsi" w:hAnsiTheme="minorHAnsi"/>
        </w:rPr>
        <w:t xml:space="preserve"> időközben bevezetett (MNB által még nem értékelt) módosításokat,</w:t>
      </w:r>
      <w:r w:rsidRPr="00181755">
        <w:rPr>
          <w:rFonts w:asciiTheme="minorHAnsi" w:hAnsiTheme="minorHAnsi"/>
        </w:rPr>
        <w:t xml:space="preserve"> az ICAAP</w:t>
      </w:r>
      <w:r w:rsidR="00920F30" w:rsidRPr="00181755">
        <w:rPr>
          <w:rFonts w:asciiTheme="minorHAnsi" w:hAnsiTheme="minorHAnsi"/>
        </w:rPr>
        <w:t>,</w:t>
      </w:r>
      <w:r w:rsidRPr="00181755">
        <w:rPr>
          <w:rFonts w:asciiTheme="minorHAnsi" w:hAnsiTheme="minorHAnsi"/>
        </w:rPr>
        <w:t xml:space="preserve"> az ILAAP </w:t>
      </w:r>
      <w:r w:rsidR="00920F30" w:rsidRPr="00181755">
        <w:rPr>
          <w:rFonts w:asciiTheme="minorHAnsi" w:hAnsiTheme="minorHAnsi"/>
        </w:rPr>
        <w:t>vagy a BMA</w:t>
      </w:r>
      <w:r w:rsidRPr="00181755">
        <w:rPr>
          <w:rFonts w:asciiTheme="minorHAnsi" w:hAnsiTheme="minorHAnsi"/>
        </w:rPr>
        <w:t xml:space="preserve"> részleges ismételt végrehajtására irányuló esetleges kezdeményezéseket már nem tudja méltányolni. </w:t>
      </w:r>
    </w:p>
    <w:p w14:paraId="7BB34CA4" w14:textId="77777777" w:rsidR="003F29E3" w:rsidRPr="00181755" w:rsidRDefault="003F29E3" w:rsidP="00181755">
      <w:pPr>
        <w:pStyle w:val="Cmsor2"/>
        <w:rPr>
          <w:rFonts w:asciiTheme="minorHAnsi" w:hAnsiTheme="minorHAnsi"/>
        </w:rPr>
      </w:pPr>
      <w:bookmarkStart w:id="372" w:name="_Toc461195773"/>
      <w:bookmarkStart w:id="373" w:name="_Toc461524856"/>
      <w:bookmarkStart w:id="374" w:name="_Toc461547907"/>
      <w:bookmarkStart w:id="375" w:name="_Toc461550200"/>
      <w:bookmarkStart w:id="376" w:name="_Toc462401935"/>
      <w:bookmarkStart w:id="377" w:name="_Toc462403056"/>
      <w:bookmarkStart w:id="378" w:name="_Toc462403381"/>
      <w:bookmarkStart w:id="379" w:name="_Toc462403810"/>
      <w:bookmarkStart w:id="380" w:name="_Toc462645678"/>
      <w:bookmarkStart w:id="381" w:name="_Toc468180500"/>
      <w:bookmarkStart w:id="382" w:name="_Toc468181032"/>
      <w:bookmarkStart w:id="383" w:name="_Közös_kockázatértékelés_és"/>
      <w:bookmarkStart w:id="384" w:name="_Toc378592155"/>
      <w:bookmarkStart w:id="385" w:name="_Toc461095180"/>
      <w:bookmarkStart w:id="386" w:name="_Toc461179212"/>
      <w:bookmarkStart w:id="387" w:name="_Toc461179836"/>
      <w:bookmarkStart w:id="388" w:name="_Toc461547908"/>
      <w:bookmarkStart w:id="389" w:name="_Toc462401936"/>
      <w:bookmarkStart w:id="390" w:name="_Toc462403057"/>
      <w:bookmarkStart w:id="391" w:name="_Toc462403382"/>
      <w:bookmarkStart w:id="392" w:name="_Toc468180501"/>
      <w:bookmarkStart w:id="393" w:name="_Toc468181033"/>
      <w:bookmarkStart w:id="394" w:name="_Toc468191425"/>
      <w:bookmarkEnd w:id="372"/>
      <w:bookmarkEnd w:id="373"/>
      <w:bookmarkEnd w:id="374"/>
      <w:bookmarkEnd w:id="375"/>
      <w:bookmarkEnd w:id="376"/>
      <w:bookmarkEnd w:id="377"/>
      <w:bookmarkEnd w:id="378"/>
      <w:bookmarkEnd w:id="379"/>
      <w:bookmarkEnd w:id="380"/>
      <w:bookmarkEnd w:id="381"/>
      <w:bookmarkEnd w:id="382"/>
      <w:bookmarkEnd w:id="383"/>
      <w:r w:rsidRPr="00181755">
        <w:rPr>
          <w:rFonts w:asciiTheme="minorHAnsi" w:hAnsiTheme="minorHAnsi"/>
        </w:rPr>
        <w:t>Közös kockázatértékelés és együttdöntési eljárás</w:t>
      </w:r>
      <w:bookmarkEnd w:id="384"/>
      <w:bookmarkEnd w:id="385"/>
      <w:bookmarkEnd w:id="386"/>
      <w:bookmarkEnd w:id="387"/>
      <w:bookmarkEnd w:id="388"/>
      <w:bookmarkEnd w:id="389"/>
      <w:bookmarkEnd w:id="390"/>
      <w:bookmarkEnd w:id="391"/>
      <w:bookmarkEnd w:id="392"/>
      <w:bookmarkEnd w:id="393"/>
      <w:bookmarkEnd w:id="394"/>
    </w:p>
    <w:p w14:paraId="66B15267" w14:textId="0BC067BD" w:rsidR="003F29E3" w:rsidRPr="00181755" w:rsidRDefault="003F29E3" w:rsidP="00181755">
      <w:pPr>
        <w:rPr>
          <w:rFonts w:asciiTheme="minorHAnsi" w:hAnsiTheme="minorHAnsi"/>
        </w:rPr>
      </w:pPr>
      <w:r w:rsidRPr="00181755">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181755">
        <w:rPr>
          <w:rFonts w:asciiTheme="minorHAnsi" w:hAnsiTheme="minorHAnsi"/>
        </w:rPr>
        <w:t xml:space="preserve">CRR 20. cikke, a </w:t>
      </w:r>
      <w:r w:rsidRPr="00181755">
        <w:rPr>
          <w:rFonts w:asciiTheme="minorHAnsi" w:hAnsiTheme="minorHAnsi"/>
        </w:rPr>
        <w:t>CRD</w:t>
      </w:r>
      <w:r w:rsidR="005C65E5" w:rsidRPr="00181755">
        <w:rPr>
          <w:rFonts w:asciiTheme="minorHAnsi" w:hAnsiTheme="minorHAnsi"/>
        </w:rPr>
        <w:t xml:space="preserve"> IV. 113</w:t>
      </w:r>
      <w:r w:rsidRPr="00181755">
        <w:rPr>
          <w:rFonts w:asciiTheme="minorHAnsi" w:hAnsiTheme="minorHAnsi"/>
        </w:rPr>
        <w:t>. cikke</w:t>
      </w:r>
      <w:r w:rsidR="008C22D5" w:rsidRPr="00181755">
        <w:rPr>
          <w:rFonts w:asciiTheme="minorHAnsi" w:hAnsiTheme="minorHAnsi"/>
        </w:rPr>
        <w:t xml:space="preserve"> (amely a Hpt. 173 § és Bszt. 162§ (5) d pontban került implementálásra)</w:t>
      </w:r>
      <w:r w:rsidRPr="00181755">
        <w:rPr>
          <w:rFonts w:asciiTheme="minorHAnsi" w:hAnsiTheme="minorHAnsi"/>
        </w:rPr>
        <w:t>, a felügyeleti kollégiumok operatív működését, illetve a közös kockázatértékelési és együttdöntési eljárást pedig a</w:t>
      </w:r>
      <w:r w:rsidR="008C22D5" w:rsidRPr="00181755">
        <w:rPr>
          <w:rFonts w:asciiTheme="minorHAnsi" w:hAnsiTheme="minorHAnsi"/>
        </w:rPr>
        <w:t xml:space="preserve"> Bizottság 710/2014/EU végrehajtási rendelete tartalmazza </w:t>
      </w:r>
      <w:r w:rsidRPr="00181755">
        <w:rPr>
          <w:rFonts w:asciiTheme="minorHAnsi" w:hAnsiTheme="minorHAnsi"/>
        </w:rPr>
        <w:t>részletesen</w:t>
      </w:r>
      <w:r w:rsidR="008C22D5" w:rsidRPr="00181755">
        <w:rPr>
          <w:rStyle w:val="Lbjegyzet-hivatkozs"/>
          <w:rFonts w:asciiTheme="minorHAnsi" w:hAnsiTheme="minorHAnsi"/>
        </w:rPr>
        <w:footnoteReference w:id="19"/>
      </w:r>
      <w:r w:rsidRPr="00181755">
        <w:rPr>
          <w:rFonts w:asciiTheme="minorHAnsi" w:hAnsiTheme="minorHAnsi"/>
        </w:rPr>
        <w:t xml:space="preserve">. </w:t>
      </w:r>
    </w:p>
    <w:p w14:paraId="66B15268" w14:textId="6F587328" w:rsidR="003F29E3" w:rsidRPr="00181755" w:rsidRDefault="003F29E3" w:rsidP="00181755">
      <w:pPr>
        <w:rPr>
          <w:rFonts w:asciiTheme="minorHAnsi" w:hAnsiTheme="minorHAnsi"/>
        </w:rPr>
      </w:pPr>
      <w:r w:rsidRPr="00181755">
        <w:rPr>
          <w:rFonts w:asciiTheme="minorHAnsi" w:hAnsiTheme="minorHAnsi"/>
        </w:rPr>
        <w:t>A közös kockázatértékelés és együttdöntési eljárás (</w:t>
      </w:r>
      <w:r w:rsidRPr="00181755">
        <w:rPr>
          <w:rFonts w:asciiTheme="minorHAnsi" w:hAnsiTheme="minorHAnsi"/>
          <w:i/>
        </w:rPr>
        <w:t>joint risk assessment and decision</w:t>
      </w:r>
      <w:r w:rsidRPr="00181755">
        <w:rPr>
          <w:rFonts w:asciiTheme="minorHAnsi" w:hAnsiTheme="minorHAnsi"/>
        </w:rPr>
        <w:t xml:space="preserve">, JRAD) első lépése, hogy az illetékes nemzeti felügyeletek az ICAAP és ILAAP felülvizsgálatok értékelő szakaszának végeztével a kockázatértékelés eredményét, a </w:t>
      </w:r>
      <w:r w:rsidR="00CE1BEB" w:rsidRPr="00181755">
        <w:rPr>
          <w:rFonts w:asciiTheme="minorHAnsi" w:hAnsiTheme="minorHAnsi"/>
        </w:rPr>
        <w:t>folyamatos felügyelés keretében és az egyéb felügyeleti</w:t>
      </w:r>
      <w:r w:rsidRPr="00181755">
        <w:rPr>
          <w:rFonts w:asciiTheme="minorHAnsi" w:hAnsiTheme="minorHAnsi"/>
        </w:rPr>
        <w:t xml:space="preserve"> felülvizsgálatok </w:t>
      </w:r>
      <w:r w:rsidR="00CE1BEB" w:rsidRPr="00181755">
        <w:rPr>
          <w:rFonts w:asciiTheme="minorHAnsi" w:hAnsiTheme="minorHAnsi"/>
        </w:rPr>
        <w:t xml:space="preserve">alapján megállapított </w:t>
      </w:r>
      <w:r w:rsidRPr="00181755">
        <w:rPr>
          <w:rFonts w:asciiTheme="minorHAnsi" w:hAnsiTheme="minorHAnsi"/>
        </w:rPr>
        <w:t>következtetéseit, továbbá a CRD</w:t>
      </w:r>
      <w:r w:rsidR="00A82A54" w:rsidRPr="00181755">
        <w:rPr>
          <w:rFonts w:asciiTheme="minorHAnsi" w:hAnsiTheme="minorHAnsi"/>
        </w:rPr>
        <w:t xml:space="preserve"> IV</w:t>
      </w:r>
      <w:r w:rsidRPr="00181755">
        <w:rPr>
          <w:rFonts w:asciiTheme="minorHAnsi" w:hAnsiTheme="minorHAnsi"/>
        </w:rPr>
        <w:t xml:space="preserve"> minimumkövetelményeinek teljesülését egy – a nemzetközi felügyeleti közösség által kidolgozott – egységes struktúrában is </w:t>
      </w:r>
      <w:r w:rsidR="00CE1BEB" w:rsidRPr="00181755">
        <w:rPr>
          <w:rFonts w:asciiTheme="minorHAnsi" w:hAnsiTheme="minorHAnsi"/>
        </w:rPr>
        <w:t>értékelik</w:t>
      </w:r>
      <w:r w:rsidRPr="00181755">
        <w:rPr>
          <w:rFonts w:asciiTheme="minorHAnsi" w:hAnsiTheme="minorHAnsi"/>
        </w:rPr>
        <w:t>, majd elküldik a konszolidáló felügyelet számára. A közös értékelés alapjául szolgáló sablonokban az egyes kockázattípusok, illetve az ICAAP részfolyamatai alapvetően egy négyfokozatú skálán, a CRD</w:t>
      </w:r>
      <w:r w:rsidR="00A82A54" w:rsidRPr="00181755">
        <w:rPr>
          <w:rFonts w:asciiTheme="minorHAnsi" w:hAnsiTheme="minorHAnsi"/>
        </w:rPr>
        <w:t xml:space="preserve"> IV</w:t>
      </w:r>
      <w:r w:rsidRPr="00181755">
        <w:rPr>
          <w:rFonts w:asciiTheme="minorHAnsi" w:hAnsiTheme="minorHAnsi"/>
        </w:rPr>
        <w:t xml:space="preserve"> előírásainak való megfelelés pedig leíró jelleggel kerül értékelésre. </w:t>
      </w:r>
    </w:p>
    <w:p w14:paraId="66B15269" w14:textId="77777777" w:rsidR="003F29E3" w:rsidRPr="00181755" w:rsidRDefault="003F29E3" w:rsidP="00181755">
      <w:pPr>
        <w:rPr>
          <w:rFonts w:asciiTheme="minorHAnsi" w:hAnsiTheme="minorHAnsi"/>
        </w:rPr>
      </w:pPr>
      <w:r w:rsidRPr="00181755">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w:t>
      </w:r>
      <w:r w:rsidR="00A82A54" w:rsidRPr="00181755">
        <w:rPr>
          <w:rFonts w:asciiTheme="minorHAnsi" w:hAnsiTheme="minorHAnsi"/>
        </w:rPr>
        <w:t xml:space="preserve">IV </w:t>
      </w:r>
      <w:r w:rsidRPr="00181755">
        <w:rPr>
          <w:rFonts w:asciiTheme="minorHAnsi" w:hAnsiTheme="minorHAnsi"/>
        </w:rPr>
        <w:t>minimumkövetelmények minden lényeges aspektusa tárgyalásra és megvitatásra kerül, aminek eredményeként a kollégiumi tagok egységes módszertan alapján, összehasonlítható módon közösen értékelik a csoport egyes tagjainak és egészének kockázati jellemzőit és tőkemegfelelését.</w:t>
      </w:r>
      <w:r w:rsidR="00403ABE" w:rsidRPr="00181755">
        <w:rPr>
          <w:rFonts w:asciiTheme="minorHAnsi" w:hAnsiTheme="minorHAnsi"/>
        </w:rPr>
        <w:t xml:space="preserve"> </w:t>
      </w:r>
    </w:p>
    <w:p w14:paraId="66B1526A" w14:textId="490F9F83" w:rsidR="003F29E3" w:rsidRPr="00181755" w:rsidRDefault="003F29E3" w:rsidP="00181755">
      <w:pPr>
        <w:rPr>
          <w:rFonts w:asciiTheme="minorHAnsi" w:hAnsiTheme="minorHAnsi"/>
        </w:rPr>
      </w:pPr>
      <w:r w:rsidRPr="00181755">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r w:rsidRPr="00181755">
        <w:rPr>
          <w:rFonts w:asciiTheme="minorHAnsi" w:hAnsiTheme="minorHAnsi"/>
          <w:i/>
        </w:rPr>
        <w:t>joint decision</w:t>
      </w:r>
      <w:r w:rsidRPr="00181755">
        <w:rPr>
          <w:rFonts w:asciiTheme="minorHAnsi" w:hAnsiTheme="minorHAnsi"/>
        </w:rPr>
        <w:t>) is. Az elkészült jelentéseket a konszolidáló felügyelet az összes érintett társfelügyeleti hatóságnak és a csoportvezető intézménynek egyaránt megküldi</w:t>
      </w:r>
      <w:r w:rsidR="00CE1BEB" w:rsidRPr="00181755">
        <w:rPr>
          <w:rFonts w:asciiTheme="minorHAnsi" w:hAnsiTheme="minorHAnsi"/>
        </w:rPr>
        <w:t>, és ezzel zárul a</w:t>
      </w:r>
      <w:r w:rsidR="00282E08" w:rsidRPr="00181755">
        <w:rPr>
          <w:rFonts w:asciiTheme="minorHAnsi" w:hAnsiTheme="minorHAnsi"/>
        </w:rPr>
        <w:t xml:space="preserve"> teljes</w:t>
      </w:r>
      <w:r w:rsidR="00CE1BEB" w:rsidRPr="00181755">
        <w:rPr>
          <w:rFonts w:asciiTheme="minorHAnsi" w:hAnsiTheme="minorHAnsi"/>
        </w:rPr>
        <w:t xml:space="preserve"> SREP értékelési folyamat</w:t>
      </w:r>
      <w:r w:rsidRPr="00181755">
        <w:rPr>
          <w:rFonts w:asciiTheme="minorHAnsi" w:hAnsiTheme="minorHAnsi"/>
        </w:rPr>
        <w:t>.</w:t>
      </w:r>
    </w:p>
    <w:p w14:paraId="66B1526B" w14:textId="77777777" w:rsidR="003F29E3" w:rsidRPr="00181755" w:rsidRDefault="003F29E3" w:rsidP="00181755">
      <w:pPr>
        <w:spacing w:after="240"/>
        <w:rPr>
          <w:rFonts w:asciiTheme="minorHAnsi" w:hAnsiTheme="minorHAnsi"/>
        </w:rPr>
      </w:pPr>
      <w:r w:rsidRPr="00181755">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181755" w:rsidRDefault="003F29E3" w:rsidP="00181755">
      <w:pPr>
        <w:pStyle w:val="Cmsor2"/>
        <w:rPr>
          <w:rFonts w:asciiTheme="minorHAnsi" w:hAnsiTheme="minorHAnsi"/>
        </w:rPr>
      </w:pPr>
      <w:bookmarkStart w:id="395" w:name="_Toc461195775"/>
      <w:bookmarkStart w:id="396" w:name="_Toc461524858"/>
      <w:bookmarkStart w:id="397" w:name="_Toc461547909"/>
      <w:bookmarkStart w:id="398" w:name="_Toc461550202"/>
      <w:bookmarkStart w:id="399" w:name="_Toc462401937"/>
      <w:bookmarkStart w:id="400" w:name="_Toc462403058"/>
      <w:bookmarkStart w:id="401" w:name="_Toc462403383"/>
      <w:bookmarkStart w:id="402" w:name="_Toc462403812"/>
      <w:bookmarkStart w:id="403" w:name="_Toc462645680"/>
      <w:bookmarkStart w:id="404" w:name="_Toc468180502"/>
      <w:bookmarkStart w:id="405" w:name="_Toc468181034"/>
      <w:bookmarkStart w:id="406" w:name="_A_SREP_lezárása"/>
      <w:bookmarkStart w:id="407" w:name="_Toc378590313"/>
      <w:bookmarkStart w:id="408" w:name="_Toc378592156"/>
      <w:bookmarkStart w:id="409" w:name="_Toc461095181"/>
      <w:bookmarkStart w:id="410" w:name="_Toc461547910"/>
      <w:bookmarkStart w:id="411" w:name="_Toc462401938"/>
      <w:bookmarkStart w:id="412" w:name="_Toc462403059"/>
      <w:bookmarkStart w:id="413" w:name="_Toc462403384"/>
      <w:bookmarkStart w:id="414" w:name="_Toc468180503"/>
      <w:bookmarkStart w:id="415" w:name="_Toc468181035"/>
      <w:bookmarkStart w:id="416" w:name="_Toc468191426"/>
      <w:bookmarkStart w:id="417" w:name="_Toc461179213"/>
      <w:bookmarkStart w:id="418" w:name="_Toc461179837"/>
      <w:bookmarkEnd w:id="395"/>
      <w:bookmarkEnd w:id="396"/>
      <w:bookmarkEnd w:id="397"/>
      <w:bookmarkEnd w:id="398"/>
      <w:bookmarkEnd w:id="399"/>
      <w:bookmarkEnd w:id="400"/>
      <w:bookmarkEnd w:id="401"/>
      <w:bookmarkEnd w:id="402"/>
      <w:bookmarkEnd w:id="403"/>
      <w:bookmarkEnd w:id="404"/>
      <w:bookmarkEnd w:id="405"/>
      <w:bookmarkEnd w:id="406"/>
      <w:r w:rsidRPr="00181755">
        <w:rPr>
          <w:rFonts w:asciiTheme="minorHAnsi" w:hAnsiTheme="minorHAnsi"/>
        </w:rPr>
        <w:t>Az ICAAP</w:t>
      </w:r>
      <w:r w:rsidR="00A44BB9" w:rsidRPr="00181755">
        <w:rPr>
          <w:rFonts w:asciiTheme="minorHAnsi" w:hAnsiTheme="minorHAnsi"/>
          <w:lang w:val="hu-HU"/>
        </w:rPr>
        <w:t>, az</w:t>
      </w:r>
      <w:r w:rsidRPr="00181755">
        <w:rPr>
          <w:rFonts w:asciiTheme="minorHAnsi" w:hAnsiTheme="minorHAnsi"/>
        </w:rPr>
        <w:t xml:space="preserve"> ILAAP </w:t>
      </w:r>
      <w:r w:rsidR="00A44BB9" w:rsidRPr="00181755">
        <w:rPr>
          <w:rFonts w:asciiTheme="minorHAnsi" w:hAnsiTheme="minorHAnsi"/>
          <w:lang w:val="hu-HU"/>
        </w:rPr>
        <w:t>és a BMA vizsgálatok</w:t>
      </w:r>
      <w:r w:rsidRPr="00181755">
        <w:rPr>
          <w:rFonts w:asciiTheme="minorHAnsi" w:hAnsiTheme="minorHAnsi"/>
        </w:rPr>
        <w:t xml:space="preserve"> lezárása</w:t>
      </w:r>
      <w:bookmarkEnd w:id="407"/>
      <w:bookmarkEnd w:id="408"/>
      <w:r w:rsidRPr="00181755">
        <w:rPr>
          <w:rFonts w:asciiTheme="minorHAnsi" w:hAnsiTheme="minorHAnsi"/>
        </w:rPr>
        <w:t>, felügyeleti intézkedések</w:t>
      </w:r>
      <w:bookmarkEnd w:id="409"/>
      <w:bookmarkEnd w:id="410"/>
      <w:bookmarkEnd w:id="411"/>
      <w:bookmarkEnd w:id="412"/>
      <w:bookmarkEnd w:id="413"/>
      <w:bookmarkEnd w:id="414"/>
      <w:bookmarkEnd w:id="415"/>
      <w:bookmarkEnd w:id="416"/>
    </w:p>
    <w:p w14:paraId="66B1526E" w14:textId="77777777" w:rsidR="003F29E3" w:rsidRPr="00181755" w:rsidRDefault="003F29E3" w:rsidP="00181755">
      <w:pPr>
        <w:rPr>
          <w:rFonts w:asciiTheme="minorHAnsi" w:hAnsiTheme="minorHAnsi"/>
        </w:rPr>
      </w:pPr>
      <w:bookmarkStart w:id="419" w:name="_Toc325030412"/>
      <w:bookmarkEnd w:id="417"/>
      <w:bookmarkEnd w:id="418"/>
      <w:bookmarkEnd w:id="419"/>
      <w:r w:rsidRPr="00181755">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181755">
        <w:rPr>
          <w:rFonts w:asciiTheme="minorHAnsi" w:hAnsiTheme="minorHAnsi"/>
        </w:rPr>
        <w:t>.</w:t>
      </w:r>
      <w:r w:rsidRPr="00181755">
        <w:rPr>
          <w:rStyle w:val="Lbjegyzet-hivatkozs"/>
          <w:rFonts w:asciiTheme="minorHAnsi" w:hAnsiTheme="minorHAnsi"/>
        </w:rPr>
        <w:footnoteReference w:id="20"/>
      </w:r>
      <w:r w:rsidRPr="00181755">
        <w:rPr>
          <w:rFonts w:asciiTheme="minorHAnsi" w:hAnsiTheme="minorHAnsi"/>
        </w:rPr>
        <w:t xml:space="preserve"> </w:t>
      </w:r>
    </w:p>
    <w:p w14:paraId="66B1526F" w14:textId="77777777" w:rsidR="003F29E3" w:rsidRPr="00181755" w:rsidRDefault="003F29E3" w:rsidP="00181755">
      <w:pPr>
        <w:rPr>
          <w:rFonts w:asciiTheme="minorHAnsi" w:hAnsiTheme="minorHAnsi"/>
        </w:rPr>
      </w:pPr>
      <w:r w:rsidRPr="00181755">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181755" w:rsidRDefault="003F29E3" w:rsidP="00181755">
      <w:pPr>
        <w:rPr>
          <w:rFonts w:asciiTheme="minorHAnsi" w:hAnsiTheme="minorHAnsi"/>
        </w:rPr>
      </w:pPr>
      <w:r w:rsidRPr="00181755">
        <w:rPr>
          <w:rFonts w:asciiTheme="minorHAnsi" w:hAnsiTheme="minorHAnsi"/>
        </w:rPr>
        <w:t>A prudenciális levél tartalma a következő:</w:t>
      </w:r>
    </w:p>
    <w:p w14:paraId="66B15271" w14:textId="77777777" w:rsidR="003F29E3" w:rsidRPr="00181755" w:rsidRDefault="003F29E3" w:rsidP="00181755">
      <w:pPr>
        <w:pStyle w:val="felsorolsos"/>
        <w:rPr>
          <w:rFonts w:asciiTheme="minorHAnsi" w:hAnsiTheme="minorHAnsi"/>
        </w:rPr>
      </w:pPr>
      <w:r w:rsidRPr="00181755">
        <w:rPr>
          <w:rFonts w:asciiTheme="minorHAnsi" w:hAnsiTheme="minorHAnsi"/>
        </w:rPr>
        <w:t>vezetői összefoglaló,</w:t>
      </w:r>
    </w:p>
    <w:p w14:paraId="66B15272" w14:textId="77777777" w:rsidR="003F29E3" w:rsidRPr="00181755" w:rsidRDefault="003F29E3" w:rsidP="00181755">
      <w:pPr>
        <w:pStyle w:val="felsorolsos"/>
        <w:rPr>
          <w:rFonts w:asciiTheme="minorHAnsi" w:hAnsiTheme="minorHAnsi"/>
        </w:rPr>
      </w:pPr>
      <w:r w:rsidRPr="00181755">
        <w:rPr>
          <w:rFonts w:asciiTheme="minorHAnsi" w:hAnsiTheme="minorHAnsi"/>
        </w:rPr>
        <w:t>kockázatértékelés a fő kockázatcsoportokra,</w:t>
      </w:r>
    </w:p>
    <w:p w14:paraId="5BF7FE2F" w14:textId="08C48DB0" w:rsidR="00C651A1" w:rsidRPr="00181755" w:rsidRDefault="00C651A1" w:rsidP="00181755">
      <w:pPr>
        <w:pStyle w:val="felsorolsos"/>
        <w:rPr>
          <w:rFonts w:asciiTheme="minorHAnsi" w:hAnsiTheme="minorHAnsi"/>
        </w:rPr>
      </w:pPr>
      <w:r w:rsidRPr="00181755">
        <w:rPr>
          <w:rFonts w:asciiTheme="minorHAnsi" w:hAnsiTheme="minorHAnsi"/>
          <w:lang w:val="hu-HU"/>
        </w:rPr>
        <w:t>BMA felülvizsgálat eredménye,</w:t>
      </w:r>
    </w:p>
    <w:p w14:paraId="66B1527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ICAAP felülvizsgálat</w:t>
      </w:r>
      <w:r w:rsidRPr="00181755">
        <w:rPr>
          <w:rFonts w:asciiTheme="minorHAnsi" w:hAnsiTheme="minorHAnsi"/>
        </w:rPr>
        <w:t xml:space="preserve"> alapján szükségesnek tartott tőke,</w:t>
      </w:r>
    </w:p>
    <w:p w14:paraId="66B15274" w14:textId="77777777" w:rsidR="003F29E3" w:rsidRPr="00181755" w:rsidRDefault="003F29E3" w:rsidP="00181755">
      <w:pPr>
        <w:pStyle w:val="felsorolsos"/>
        <w:rPr>
          <w:rFonts w:asciiTheme="minorHAnsi" w:hAnsiTheme="minorHAnsi"/>
        </w:rPr>
      </w:pPr>
      <w:r w:rsidRPr="00181755">
        <w:rPr>
          <w:rFonts w:asciiTheme="minorHAnsi" w:hAnsiTheme="minorHAnsi"/>
        </w:rPr>
        <w:t>ILAAP felülvizsgálat alapján szükségesnek tartott likviditási követelmények,</w:t>
      </w:r>
    </w:p>
    <w:p w14:paraId="66B15275" w14:textId="77777777" w:rsidR="003F29E3" w:rsidRPr="00181755" w:rsidRDefault="003F29E3" w:rsidP="00181755">
      <w:pPr>
        <w:pStyle w:val="felsorolsos"/>
        <w:rPr>
          <w:rFonts w:asciiTheme="minorHAnsi" w:hAnsiTheme="minorHAnsi"/>
        </w:rPr>
      </w:pPr>
      <w:r w:rsidRPr="00181755">
        <w:rPr>
          <w:rFonts w:asciiTheme="minorHAnsi" w:hAnsiTheme="minorHAnsi"/>
        </w:rPr>
        <w:t>összefoglaló az elvárt kockázatenyhítő intézkedésekről, kiemelve a legfontosabb felügyeleti elvárásokat.</w:t>
      </w:r>
    </w:p>
    <w:p w14:paraId="66B15276" w14:textId="7546FF58" w:rsidR="003F29E3" w:rsidRPr="00181755" w:rsidRDefault="003F29E3" w:rsidP="00181755">
      <w:pPr>
        <w:rPr>
          <w:rFonts w:asciiTheme="minorHAnsi" w:hAnsiTheme="minorHAnsi"/>
        </w:rPr>
      </w:pPr>
      <w:r w:rsidRPr="00181755">
        <w:rPr>
          <w:rFonts w:asciiTheme="minorHAnsi" w:hAnsiTheme="minorHAnsi"/>
        </w:rPr>
        <w:t xml:space="preserve">A </w:t>
      </w:r>
      <w:r w:rsidR="00A44BB9" w:rsidRPr="00181755">
        <w:rPr>
          <w:rFonts w:asciiTheme="minorHAnsi" w:hAnsiTheme="minorHAnsi"/>
        </w:rPr>
        <w:t xml:space="preserve">prudenciális levélben </w:t>
      </w:r>
      <w:r w:rsidRPr="00181755">
        <w:rPr>
          <w:rFonts w:asciiTheme="minorHAnsi" w:hAnsiTheme="minorHAnsi"/>
        </w:rPr>
        <w:t xml:space="preserve">az MNB megállapítja az intézmény számára előírt </w:t>
      </w:r>
      <w:r w:rsidR="004252EA" w:rsidRPr="00181755">
        <w:rPr>
          <w:rFonts w:asciiTheme="minorHAnsi" w:hAnsiTheme="minorHAnsi"/>
        </w:rPr>
        <w:t>SREP tőke</w:t>
      </w:r>
      <w:r w:rsidRPr="00181755">
        <w:rPr>
          <w:rFonts w:asciiTheme="minorHAnsi" w:hAnsiTheme="minorHAnsi"/>
        </w:rPr>
        <w:t xml:space="preserve">követelményt (TSCR), a teljes SREP mutatót </w:t>
      </w:r>
      <w:r w:rsidR="00E3405D" w:rsidRPr="00181755">
        <w:rPr>
          <w:rFonts w:asciiTheme="minorHAnsi" w:hAnsiTheme="minorHAnsi"/>
        </w:rPr>
        <w:t xml:space="preserve">(TSCR ratio) </w:t>
      </w:r>
      <w:r w:rsidRPr="00181755">
        <w:rPr>
          <w:rFonts w:asciiTheme="minorHAnsi" w:hAnsiTheme="minorHAnsi"/>
        </w:rPr>
        <w:t>és a teljes tőkekövetelményt (OCR). Az új szabályozásnak megfelelően az MNB azt is előírja, hogy ezeket a kötelezettségeket milyen típusú tőkével kell az intézményeknek a tőkekövetelményeket teljesítenie.</w:t>
      </w:r>
    </w:p>
    <w:p w14:paraId="66B15277" w14:textId="3FBECFE0" w:rsidR="003F29E3" w:rsidRPr="00181755" w:rsidRDefault="003F29E3" w:rsidP="00181755">
      <w:pPr>
        <w:rPr>
          <w:rFonts w:asciiTheme="minorHAnsi" w:hAnsiTheme="minorHAnsi"/>
        </w:rPr>
      </w:pPr>
      <w:r w:rsidRPr="00181755">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181755">
        <w:rPr>
          <w:rFonts w:asciiTheme="minorHAnsi" w:hAnsiTheme="minorHAnsi"/>
        </w:rPr>
        <w:t xml:space="preserve">is </w:t>
      </w:r>
      <w:r w:rsidRPr="00181755">
        <w:rPr>
          <w:rFonts w:asciiTheme="minorHAnsi" w:hAnsiTheme="minorHAnsi"/>
        </w:rPr>
        <w:t>sor</w:t>
      </w:r>
      <w:r w:rsidR="00A44BB9" w:rsidRPr="00181755">
        <w:rPr>
          <w:rFonts w:asciiTheme="minorHAnsi" w:hAnsiTheme="minorHAnsi"/>
        </w:rPr>
        <w:t xml:space="preserve"> kerülhet</w:t>
      </w:r>
      <w:r w:rsidRPr="00181755">
        <w:rPr>
          <w:rFonts w:asciiTheme="minorHAnsi" w:hAnsiTheme="minorHAnsi"/>
        </w:rPr>
        <w:t xml:space="preserve">. </w:t>
      </w:r>
    </w:p>
    <w:p w14:paraId="66B15278" w14:textId="77777777" w:rsidR="003F29E3" w:rsidRPr="00181755" w:rsidRDefault="003F29E3" w:rsidP="00181755">
      <w:pPr>
        <w:rPr>
          <w:rFonts w:asciiTheme="minorHAnsi" w:hAnsiTheme="minorHAnsi"/>
        </w:rPr>
      </w:pPr>
      <w:r w:rsidRPr="00181755">
        <w:rPr>
          <w:rFonts w:asciiTheme="minorHAnsi" w:hAnsiTheme="minorHAnsi"/>
        </w:rPr>
        <w:t xml:space="preserve">Felügyeleti intézkedések meghozatalát indokolják különösen az alábbi körülmények: </w:t>
      </w:r>
    </w:p>
    <w:p w14:paraId="66B15279"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felügyelt intézmény nem fogadja el az MNB részéről szükségesnek ítélt kockázatcsökkentő intézkedéseket vagy a megállapított </w:t>
      </w:r>
      <w:r w:rsidR="004252EA" w:rsidRPr="00181755">
        <w:rPr>
          <w:rFonts w:asciiTheme="minorHAnsi" w:hAnsiTheme="minorHAnsi"/>
          <w:lang w:val="hu-HU"/>
        </w:rPr>
        <w:t>SREP tőke</w:t>
      </w:r>
      <w:r w:rsidRPr="00181755">
        <w:rPr>
          <w:rFonts w:asciiTheme="minorHAnsi" w:hAnsiTheme="minorHAnsi"/>
        </w:rPr>
        <w:t>követelmény szintjét,</w:t>
      </w:r>
    </w:p>
    <w:p w14:paraId="66B1527A" w14:textId="77777777" w:rsidR="003F29E3" w:rsidRPr="00181755" w:rsidRDefault="003F29E3" w:rsidP="00181755">
      <w:pPr>
        <w:pStyle w:val="felsorolsos"/>
        <w:rPr>
          <w:rFonts w:asciiTheme="minorHAnsi" w:hAnsiTheme="minorHAnsi"/>
        </w:rPr>
      </w:pPr>
      <w:r w:rsidRPr="00181755">
        <w:rPr>
          <w:rFonts w:asciiTheme="minorHAnsi" w:hAnsiTheme="minorHAnsi"/>
        </w:rPr>
        <w:t>az MNB</w:t>
      </w:r>
      <w:r w:rsidRPr="00181755">
        <w:rPr>
          <w:rFonts w:asciiTheme="minorHAnsi" w:hAnsiTheme="minorHAnsi"/>
          <w:lang w:val="hu-HU"/>
        </w:rPr>
        <w:t xml:space="preserve"> a</w:t>
      </w:r>
      <w:r w:rsidRPr="00181755">
        <w:rPr>
          <w:rFonts w:asciiTheme="minorHAnsi" w:hAnsiTheme="minorHAnsi"/>
        </w:rPr>
        <w:t xml:space="preserve"> jogszabályi előírásoknak megfelelő tőkemegfelelést nem látja biztosítottnak,</w:t>
      </w:r>
    </w:p>
    <w:p w14:paraId="66B1527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egy </w:t>
      </w:r>
      <w:r w:rsidR="00467A7D" w:rsidRPr="00181755">
        <w:rPr>
          <w:rFonts w:asciiTheme="minorHAnsi" w:hAnsiTheme="minorHAnsi"/>
          <w:lang w:val="hu-HU"/>
        </w:rPr>
        <w:t>–</w:t>
      </w:r>
      <w:r w:rsidRPr="00181755">
        <w:rPr>
          <w:rFonts w:asciiTheme="minorHAnsi" w:hAnsiTheme="minorHAnsi"/>
        </w:rPr>
        <w:t xml:space="preserve"> általa megállapított mértékű </w:t>
      </w:r>
      <w:r w:rsidR="00467A7D" w:rsidRPr="00181755">
        <w:rPr>
          <w:rFonts w:asciiTheme="minorHAnsi" w:hAnsiTheme="minorHAnsi"/>
          <w:lang w:val="hu-HU"/>
        </w:rPr>
        <w:t>–</w:t>
      </w:r>
      <w:r w:rsidRPr="00181755">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w:t>
      </w:r>
    </w:p>
    <w:p w14:paraId="66B1527E" w14:textId="77777777" w:rsidR="003F29E3" w:rsidRPr="00181755" w:rsidRDefault="003F29E3" w:rsidP="00181755">
      <w:pPr>
        <w:pStyle w:val="felsorolsos"/>
        <w:rPr>
          <w:rFonts w:asciiTheme="minorHAnsi" w:hAnsiTheme="minorHAnsi"/>
        </w:rPr>
      </w:pPr>
      <w:r w:rsidRPr="00181755">
        <w:rPr>
          <w:rFonts w:asciiTheme="minorHAnsi" w:hAnsiTheme="minorHAnsi"/>
        </w:rPr>
        <w:t>az MNB súlyos hiányosságokat tár fel az intézmény belső módszerének kockázat-megállapításával kapcsolatban,</w:t>
      </w:r>
    </w:p>
    <w:p w14:paraId="66B1527F"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181755" w:rsidRDefault="003F29E3" w:rsidP="00181755">
      <w:pPr>
        <w:pStyle w:val="felsorolsos"/>
        <w:rPr>
          <w:rFonts w:asciiTheme="minorHAnsi" w:hAnsiTheme="minorHAnsi"/>
        </w:rPr>
      </w:pPr>
      <w:r w:rsidRPr="00181755">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8C1553" w:rsidRDefault="003F29E3" w:rsidP="008C1553">
      <w:pPr>
        <w:pStyle w:val="felsorolsos"/>
        <w:spacing w:after="240"/>
        <w:ind w:left="1066" w:hanging="357"/>
        <w:rPr>
          <w:rFonts w:asciiTheme="minorHAnsi" w:hAnsiTheme="minorHAnsi"/>
        </w:rPr>
      </w:pPr>
      <w:r w:rsidRPr="00181755">
        <w:rPr>
          <w:rFonts w:asciiTheme="minorHAnsi" w:hAnsiTheme="minorHAnsi"/>
        </w:rPr>
        <w:t>a piaci kockázat esetén az intézmény által alkalmazott belső modell alkalmazásakor a túllépések száma jelzi, hogy a belső modell nem vagy már nem kellőképpen pontos.</w:t>
      </w:r>
    </w:p>
    <w:p w14:paraId="0A37BC34" w14:textId="68240375" w:rsidR="003F29E3" w:rsidRPr="00181755" w:rsidRDefault="003F29E3" w:rsidP="00181755">
      <w:pPr>
        <w:pStyle w:val="Cmsor3"/>
        <w:ind w:left="0" w:firstLine="0"/>
        <w:rPr>
          <w:rFonts w:asciiTheme="minorHAnsi" w:hAnsiTheme="minorHAnsi"/>
        </w:rPr>
      </w:pPr>
      <w:bookmarkStart w:id="420" w:name="_Toc461547911"/>
      <w:bookmarkStart w:id="421" w:name="_Toc462401939"/>
      <w:bookmarkStart w:id="422" w:name="_Toc462403060"/>
      <w:bookmarkStart w:id="423" w:name="_Toc462403385"/>
      <w:bookmarkStart w:id="424" w:name="_Toc462403814"/>
      <w:bookmarkStart w:id="425" w:name="_Toc462645682"/>
      <w:bookmarkStart w:id="426" w:name="_Toc468180504"/>
      <w:bookmarkStart w:id="427" w:name="_Toc468181036"/>
      <w:bookmarkStart w:id="428" w:name="_Toc461095182"/>
      <w:bookmarkStart w:id="429" w:name="_Toc461179838"/>
      <w:bookmarkStart w:id="430" w:name="_Toc461547912"/>
      <w:bookmarkStart w:id="431" w:name="_Toc462401940"/>
      <w:bookmarkStart w:id="432" w:name="_Toc462403061"/>
      <w:bookmarkStart w:id="433" w:name="_Toc462403386"/>
      <w:bookmarkStart w:id="434" w:name="_Toc468180505"/>
      <w:bookmarkStart w:id="435" w:name="_Toc468181037"/>
      <w:bookmarkStart w:id="436" w:name="_Toc468191427"/>
      <w:bookmarkEnd w:id="420"/>
      <w:bookmarkEnd w:id="421"/>
      <w:bookmarkEnd w:id="422"/>
      <w:bookmarkEnd w:id="423"/>
      <w:bookmarkEnd w:id="424"/>
      <w:bookmarkEnd w:id="425"/>
      <w:bookmarkEnd w:id="426"/>
      <w:bookmarkEnd w:id="427"/>
      <w:r w:rsidRPr="00181755">
        <w:rPr>
          <w:rFonts w:asciiTheme="minorHAnsi" w:hAnsiTheme="minorHAnsi"/>
        </w:rPr>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Pr="00181755">
        <w:rPr>
          <w:rFonts w:asciiTheme="minorHAnsi" w:hAnsiTheme="minorHAnsi"/>
        </w:rPr>
        <w:t xml:space="preserve"> intézkedések alkalmazásának esetkörei a hitelintézetekkel szemben</w:t>
      </w:r>
      <w:bookmarkEnd w:id="428"/>
      <w:bookmarkEnd w:id="429"/>
      <w:bookmarkEnd w:id="430"/>
      <w:bookmarkEnd w:id="431"/>
      <w:bookmarkEnd w:id="432"/>
      <w:bookmarkEnd w:id="433"/>
      <w:bookmarkEnd w:id="434"/>
      <w:bookmarkEnd w:id="435"/>
      <w:bookmarkEnd w:id="4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86" w14:textId="77777777" w:rsidTr="00C645A0">
        <w:tc>
          <w:tcPr>
            <w:tcW w:w="4761" w:type="dxa"/>
          </w:tcPr>
          <w:p w14:paraId="66B1528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8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88" w14:textId="77777777" w:rsidTr="00C645A0">
        <w:tc>
          <w:tcPr>
            <w:tcW w:w="9523" w:type="dxa"/>
            <w:gridSpan w:val="2"/>
          </w:tcPr>
          <w:p w14:paraId="66B1528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8B" w14:textId="77777777" w:rsidTr="00C645A0">
        <w:tc>
          <w:tcPr>
            <w:tcW w:w="4761" w:type="dxa"/>
          </w:tcPr>
          <w:p w14:paraId="66B15289" w14:textId="77777777" w:rsidR="003F29E3" w:rsidRPr="00181755" w:rsidRDefault="003F29E3" w:rsidP="00181755">
            <w:pPr>
              <w:rPr>
                <w:rFonts w:asciiTheme="minorHAnsi" w:hAnsiTheme="minorHAnsi"/>
                <w:b/>
              </w:rPr>
            </w:pPr>
            <w:r w:rsidRPr="00181755">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181755">
              <w:rPr>
                <w:rFonts w:asciiTheme="minorHAnsi" w:hAnsiTheme="minorHAnsi"/>
                <w:i/>
              </w:rPr>
              <w:t xml:space="preserve">(Hpt. </w:t>
            </w:r>
            <w:r w:rsidRPr="00181755">
              <w:rPr>
                <w:rFonts w:asciiTheme="minorHAnsi" w:hAnsiTheme="minorHAnsi"/>
                <w:bCs/>
                <w:i/>
              </w:rPr>
              <w:t xml:space="preserve">184. § </w:t>
            </w:r>
            <w:r w:rsidRPr="00181755">
              <w:rPr>
                <w:rFonts w:asciiTheme="minorHAnsi" w:hAnsiTheme="minorHAnsi"/>
                <w:i/>
              </w:rPr>
              <w:t>(1) bekezdés)</w:t>
            </w:r>
          </w:p>
        </w:tc>
        <w:tc>
          <w:tcPr>
            <w:tcW w:w="4762" w:type="dxa"/>
          </w:tcPr>
          <w:p w14:paraId="66B1528A" w14:textId="77777777" w:rsidR="003F29E3" w:rsidRPr="00181755" w:rsidRDefault="003F29E3" w:rsidP="00181755">
            <w:pPr>
              <w:rPr>
                <w:rFonts w:asciiTheme="minorHAnsi" w:hAnsiTheme="minorHAnsi"/>
                <w:b/>
              </w:rPr>
            </w:pPr>
            <w:r w:rsidRPr="00181755">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181755">
              <w:rPr>
                <w:rFonts w:asciiTheme="minorHAnsi" w:hAnsiTheme="minorHAnsi"/>
                <w:i/>
              </w:rPr>
              <w:t>185. § (1) bekezdés a-h) pontjai</w:t>
            </w:r>
            <w:r w:rsidRPr="00181755">
              <w:rPr>
                <w:rFonts w:asciiTheme="minorHAnsi" w:hAnsiTheme="minorHAnsi"/>
              </w:rPr>
              <w:t>)</w:t>
            </w:r>
          </w:p>
        </w:tc>
      </w:tr>
      <w:tr w:rsidR="003F29E3" w:rsidRPr="00181755" w14:paraId="66B1529A" w14:textId="77777777" w:rsidTr="00C645A0">
        <w:tc>
          <w:tcPr>
            <w:tcW w:w="4761" w:type="dxa"/>
          </w:tcPr>
          <w:p w14:paraId="66B1528C" w14:textId="48A57EAA" w:rsidR="005101AA" w:rsidRPr="00181755" w:rsidRDefault="005101AA"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 számára a következő esetekben:</w:t>
            </w:r>
          </w:p>
          <w:p w14:paraId="66B1528D" w14:textId="77777777" w:rsidR="005101AA" w:rsidRPr="00181755" w:rsidRDefault="005101AA" w:rsidP="00181755">
            <w:pPr>
              <w:rPr>
                <w:rFonts w:asciiTheme="minorHAnsi" w:hAnsiTheme="minorHAnsi"/>
              </w:rPr>
            </w:pPr>
            <w:r w:rsidRPr="00181755">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181755" w:rsidRDefault="005101AA" w:rsidP="00181755">
            <w:pPr>
              <w:rPr>
                <w:rFonts w:asciiTheme="minorHAnsi" w:hAnsiTheme="minorHAnsi"/>
              </w:rPr>
            </w:pPr>
            <w:r w:rsidRPr="00181755">
              <w:rPr>
                <w:rFonts w:asciiTheme="minorHAnsi" w:hAnsiTheme="minorHAnsi"/>
              </w:rPr>
              <w:t>- a hitelintézet tőkekövetelménye nem fedez egyes kockázatokat,</w:t>
            </w:r>
          </w:p>
          <w:p w14:paraId="66B1528F" w14:textId="77777777" w:rsidR="005101AA" w:rsidRPr="00181755" w:rsidRDefault="005101AA" w:rsidP="00181755">
            <w:pPr>
              <w:rPr>
                <w:rFonts w:asciiTheme="minorHAnsi" w:hAnsiTheme="minorHAnsi"/>
              </w:rPr>
            </w:pPr>
            <w:r w:rsidRPr="00181755">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181755" w:rsidRDefault="005101AA" w:rsidP="00181755">
            <w:pPr>
              <w:rPr>
                <w:rFonts w:asciiTheme="minorHAnsi" w:hAnsiTheme="minorHAnsi"/>
              </w:rPr>
            </w:pPr>
            <w:r w:rsidRPr="00181755">
              <w:rPr>
                <w:rFonts w:asciiTheme="minorHAnsi" w:hAnsiTheme="minorHAnsi"/>
              </w:rPr>
              <w:t>- a hitelintézet által alkalmazott módszerre vonatkozó követelmények nem teljesítése nem megfelelő tőkekövetelményt eredményez,</w:t>
            </w:r>
          </w:p>
          <w:p w14:paraId="66B15291" w14:textId="77777777" w:rsidR="005101AA" w:rsidRPr="00181755" w:rsidRDefault="005101AA" w:rsidP="00181755">
            <w:pPr>
              <w:rPr>
                <w:rFonts w:asciiTheme="minorHAnsi" w:hAnsiTheme="minorHAnsi"/>
              </w:rPr>
            </w:pPr>
            <w:r w:rsidRPr="00181755">
              <w:rPr>
                <w:rFonts w:asciiTheme="minorHAnsi" w:hAnsiTheme="minorHAnsi"/>
              </w:rPr>
              <w:t>- a hitelintézet valószínűsíthetően alulbecsli a kockázatait,</w:t>
            </w:r>
          </w:p>
          <w:p w14:paraId="66B15292" w14:textId="77777777" w:rsidR="003F29E3" w:rsidRPr="00181755" w:rsidRDefault="003F29E3" w:rsidP="00181755">
            <w:pPr>
              <w:rPr>
                <w:rFonts w:asciiTheme="minorHAnsi" w:hAnsiTheme="minorHAnsi"/>
                <w:b/>
              </w:rPr>
            </w:pPr>
            <w:r w:rsidRPr="00181755">
              <w:rPr>
                <w:rFonts w:asciiTheme="minorHAnsi" w:hAnsiTheme="minorHAnsi"/>
              </w:rPr>
              <w:t>- a hitelintézet tájékoztatja az MNB-t, hogy a stressz-teszt eredményei jelentősen meghaladják a korrelációkereskedési portfólióra vonatkozó tőkekövetelményüket.</w:t>
            </w:r>
            <w:r w:rsidRPr="00181755">
              <w:rPr>
                <w:rFonts w:asciiTheme="minorHAnsi" w:hAnsiTheme="minorHAnsi"/>
                <w:b/>
                <w:bCs/>
              </w:rPr>
              <w:t xml:space="preserve"> </w:t>
            </w:r>
            <w:r w:rsidRPr="00181755">
              <w:rPr>
                <w:rFonts w:asciiTheme="minorHAnsi" w:hAnsiTheme="minorHAnsi"/>
                <w:bCs/>
                <w:i/>
              </w:rPr>
              <w:t xml:space="preserve">( Hpt. 186. § </w:t>
            </w:r>
            <w:r w:rsidRPr="00181755">
              <w:rPr>
                <w:rFonts w:asciiTheme="minorHAnsi" w:hAnsiTheme="minorHAnsi"/>
                <w:i/>
              </w:rPr>
              <w:t>(1) bekezdés)</w:t>
            </w:r>
          </w:p>
        </w:tc>
        <w:tc>
          <w:tcPr>
            <w:tcW w:w="4762" w:type="dxa"/>
          </w:tcPr>
          <w:p w14:paraId="66B15293" w14:textId="60862934" w:rsidR="00F21C76" w:rsidRPr="00181755" w:rsidRDefault="00F21C76"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hitelintézetnek.</w:t>
            </w:r>
            <w:r w:rsidR="00403ABE" w:rsidRPr="00181755">
              <w:rPr>
                <w:rFonts w:asciiTheme="minorHAnsi" w:hAnsiTheme="minorHAnsi"/>
              </w:rPr>
              <w:t xml:space="preserve"> </w:t>
            </w:r>
            <w:r w:rsidRPr="00181755">
              <w:rPr>
                <w:rFonts w:asciiTheme="minorHAnsi" w:hAnsiTheme="minorHAnsi"/>
              </w:rPr>
              <w:t>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94" w14:textId="77777777" w:rsidR="00F21C76" w:rsidRPr="00181755" w:rsidRDefault="00F21C76" w:rsidP="00181755">
            <w:pPr>
              <w:rPr>
                <w:rFonts w:asciiTheme="minorHAnsi" w:hAnsiTheme="minorHAnsi"/>
              </w:rPr>
            </w:pPr>
            <w:r w:rsidRPr="00181755">
              <w:rPr>
                <w:rFonts w:asciiTheme="minorHAnsi" w:hAnsiTheme="minorHAnsi"/>
              </w:rPr>
              <w:t>- a hitelintézet belső tőkemegfelelés értékelési folyamatának mennyiségi és minőségi szempontjai,</w:t>
            </w:r>
          </w:p>
          <w:p w14:paraId="66B15295" w14:textId="77777777" w:rsidR="00F21C76" w:rsidRPr="00181755" w:rsidRDefault="00F21C76" w:rsidP="00181755">
            <w:pPr>
              <w:rPr>
                <w:rFonts w:asciiTheme="minorHAnsi" w:hAnsiTheme="minorHAnsi"/>
              </w:rPr>
            </w:pPr>
            <w:r w:rsidRPr="00181755">
              <w:rPr>
                <w:rFonts w:asciiTheme="minorHAnsi" w:hAnsiTheme="minorHAnsi"/>
              </w:rPr>
              <w:t>- a hitelintézet irányítási és kockázatkezelési rendszerének megfelelősége,</w:t>
            </w:r>
          </w:p>
          <w:p w14:paraId="66B15296" w14:textId="77777777" w:rsidR="00F21C76" w:rsidRPr="00181755" w:rsidRDefault="00F21C76" w:rsidP="00181755">
            <w:pPr>
              <w:rPr>
                <w:rFonts w:asciiTheme="minorHAnsi" w:hAnsiTheme="minorHAnsi"/>
              </w:rPr>
            </w:pPr>
            <w:r w:rsidRPr="00181755">
              <w:rPr>
                <w:rFonts w:asciiTheme="minorHAnsi" w:hAnsiTheme="minorHAnsi"/>
              </w:rPr>
              <w:t>- a hitelintézetnél végrehajtott felügyeleti felülvizsgálat eredménye, és</w:t>
            </w:r>
          </w:p>
          <w:p w14:paraId="66B15297" w14:textId="77777777" w:rsidR="00F21C76" w:rsidRPr="00181755" w:rsidRDefault="00F21C76" w:rsidP="00181755">
            <w:pPr>
              <w:rPr>
                <w:rFonts w:asciiTheme="minorHAnsi" w:hAnsiTheme="minorHAnsi"/>
              </w:rPr>
            </w:pPr>
            <w:r w:rsidRPr="00181755">
              <w:rPr>
                <w:rFonts w:asciiTheme="minorHAnsi" w:hAnsiTheme="minorHAnsi"/>
              </w:rPr>
              <w:t>- a hitelintézet rendszerszintű kockázata.</w:t>
            </w:r>
          </w:p>
          <w:p w14:paraId="66B15298" w14:textId="15E798B8" w:rsidR="00F21C76" w:rsidRPr="00181755" w:rsidRDefault="00F21C76" w:rsidP="00181755">
            <w:pPr>
              <w:rPr>
                <w:rFonts w:asciiTheme="minorHAnsi" w:hAnsiTheme="minorHAnsi"/>
              </w:rPr>
            </w:pPr>
            <w:r w:rsidRPr="00181755">
              <w:rPr>
                <w:rFonts w:asciiTheme="minorHAnsi" w:hAnsiTheme="minorHAnsi"/>
              </w:rPr>
              <w:t>A hitelintézet számára előírt többlet</w:t>
            </w:r>
            <w:r w:rsidR="008D7D57" w:rsidRPr="00181755">
              <w:rPr>
                <w:rFonts w:asciiTheme="minorHAnsi" w:hAnsiTheme="minorHAnsi"/>
              </w:rPr>
              <w:t>-</w:t>
            </w:r>
            <w:r w:rsidRPr="00181755">
              <w:rPr>
                <w:rFonts w:asciiTheme="minorHAnsi" w:hAnsiTheme="minorHAnsi"/>
              </w:rPr>
              <w:t xml:space="preserve">tőkekövetelmény nem lehet magasabb, mint a 79. § (2) bekezdés </w:t>
            </w:r>
            <w:r w:rsidRPr="00181755">
              <w:rPr>
                <w:rFonts w:asciiTheme="minorHAnsi" w:hAnsiTheme="minorHAnsi"/>
                <w:i/>
                <w:iCs/>
              </w:rPr>
              <w:t xml:space="preserve">a) </w:t>
            </w:r>
            <w:r w:rsidRPr="00181755">
              <w:rPr>
                <w:rFonts w:asciiTheme="minorHAnsi" w:hAnsiTheme="minorHAnsi"/>
              </w:rPr>
              <w:t>pontja szerinti tőkekövetelmény másfélszerese.</w:t>
            </w:r>
          </w:p>
          <w:p w14:paraId="66B15299" w14:textId="77777777" w:rsidR="003F29E3" w:rsidRPr="00181755" w:rsidRDefault="003F29E3" w:rsidP="00181755">
            <w:pPr>
              <w:rPr>
                <w:rFonts w:asciiTheme="minorHAnsi" w:hAnsiTheme="minorHAnsi"/>
              </w:rPr>
            </w:pPr>
          </w:p>
        </w:tc>
      </w:tr>
      <w:tr w:rsidR="003F29E3" w:rsidRPr="00181755" w14:paraId="66B1529C" w14:textId="77777777" w:rsidTr="00C645A0">
        <w:tc>
          <w:tcPr>
            <w:tcW w:w="9523" w:type="dxa"/>
            <w:gridSpan w:val="2"/>
          </w:tcPr>
          <w:p w14:paraId="66B1529B"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9F" w14:textId="77777777" w:rsidTr="00C645A0">
        <w:tc>
          <w:tcPr>
            <w:tcW w:w="4761" w:type="dxa"/>
          </w:tcPr>
          <w:p w14:paraId="66B1529D" w14:textId="2D29539A" w:rsidR="003F29E3" w:rsidRPr="00181755" w:rsidRDefault="003F29E3" w:rsidP="00181755">
            <w:pPr>
              <w:rPr>
                <w:rFonts w:asciiTheme="minorHAnsi" w:hAnsiTheme="minorHAnsi"/>
              </w:rPr>
            </w:pPr>
            <w:r w:rsidRPr="00181755">
              <w:rPr>
                <w:rFonts w:asciiTheme="minorHAnsi" w:eastAsia="Calibri" w:hAnsiTheme="minorHAnsi"/>
                <w:iCs/>
              </w:rPr>
              <w:t xml:space="preserve">A hitelintézet </w:t>
            </w:r>
            <w:r w:rsidRPr="00181755">
              <w:rPr>
                <w:rFonts w:asciiTheme="minorHAnsi" w:eastAsia="Calibri" w:hAnsiTheme="minorHAnsi"/>
              </w:rPr>
              <w:t>szavatoló tőkéje nem éri el hitelintézet esetében a 79. § (2) bekezdésben rögzített tőkekövetelmény nyolcvan százalékát.</w:t>
            </w:r>
            <w:r w:rsidR="007A2F89" w:rsidRPr="00181755">
              <w:rPr>
                <w:rFonts w:asciiTheme="minorHAnsi" w:eastAsia="Calibri" w:hAnsiTheme="minorHAnsi"/>
              </w:rPr>
              <w:t xml:space="preserve"> (Hpt. 184.§ (3) bekezdés a) pontja</w:t>
            </w:r>
          </w:p>
        </w:tc>
        <w:tc>
          <w:tcPr>
            <w:tcW w:w="4762" w:type="dxa"/>
          </w:tcPr>
          <w:p w14:paraId="66B1529E" w14:textId="70DA82BD"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3" w14:textId="77777777" w:rsidTr="007A2F89">
        <w:trPr>
          <w:trHeight w:val="2994"/>
        </w:trPr>
        <w:tc>
          <w:tcPr>
            <w:tcW w:w="4761" w:type="dxa"/>
          </w:tcPr>
          <w:p w14:paraId="66B152A0"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t>A hitelintézet szavatoló tőkéje nem biztosítja a kockázatok fedezetét és megbízható kezelését, vagy</w:t>
            </w:r>
          </w:p>
          <w:p w14:paraId="66B152A1"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181755">
              <w:rPr>
                <w:rFonts w:asciiTheme="minorHAnsi" w:eastAsia="Calibri" w:hAnsiTheme="minorHAnsi"/>
                <w:iCs/>
              </w:rPr>
              <w:t>.</w:t>
            </w:r>
            <w:r w:rsidRPr="00181755">
              <w:rPr>
                <w:rFonts w:asciiTheme="minorHAnsi" w:eastAsia="Calibri" w:hAnsiTheme="minorHAnsi"/>
                <w:iCs/>
                <w:vertAlign w:val="superscript"/>
              </w:rPr>
              <w:footnoteReference w:id="21"/>
            </w:r>
            <w:r w:rsidRPr="00181755">
              <w:rPr>
                <w:rFonts w:asciiTheme="minorHAnsi" w:eastAsia="Calibri" w:hAnsiTheme="minorHAnsi"/>
                <w:iCs/>
              </w:rPr>
              <w:t xml:space="preserve"> (Hpt. 184.§ (7) bekezdés)</w:t>
            </w:r>
          </w:p>
        </w:tc>
        <w:tc>
          <w:tcPr>
            <w:tcW w:w="4762" w:type="dxa"/>
          </w:tcPr>
          <w:p w14:paraId="66B152A2" w14:textId="09D679D6"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7" w14:textId="77777777" w:rsidTr="00C645A0">
        <w:tc>
          <w:tcPr>
            <w:tcW w:w="4761" w:type="dxa"/>
          </w:tcPr>
          <w:p w14:paraId="66B152A4" w14:textId="77777777" w:rsidR="003F29E3" w:rsidRPr="00181755" w:rsidRDefault="003F29E3" w:rsidP="00181755">
            <w:pPr>
              <w:rPr>
                <w:rFonts w:asciiTheme="minorHAnsi" w:hAnsiTheme="minorHAnsi"/>
                <w:b/>
              </w:rPr>
            </w:pPr>
            <w:r w:rsidRPr="00181755">
              <w:rPr>
                <w:rFonts w:asciiTheme="minorHAnsi" w:hAnsiTheme="minorHAnsi"/>
              </w:rPr>
              <w:t>A hitelintézet egynél többször nyújtott már az 575/2013/EU rendelet 248. cikke szerinti burkolt támogatást, és ezzel nem ér el jelentős kockázat-transzferálást. (Hpt. 177.§ (10) bekezdés)</w:t>
            </w:r>
          </w:p>
        </w:tc>
        <w:tc>
          <w:tcPr>
            <w:tcW w:w="4762" w:type="dxa"/>
          </w:tcPr>
          <w:p w14:paraId="66B152A5" w14:textId="040CACE2"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p w14:paraId="66B152A6" w14:textId="77777777" w:rsidR="003F29E3" w:rsidRPr="00181755" w:rsidRDefault="003F29E3" w:rsidP="00181755">
            <w:pPr>
              <w:rPr>
                <w:rFonts w:asciiTheme="minorHAnsi" w:hAnsiTheme="minorHAnsi"/>
              </w:rPr>
            </w:pPr>
          </w:p>
        </w:tc>
      </w:tr>
      <w:tr w:rsidR="003F29E3" w:rsidRPr="00181755" w14:paraId="66B152AA" w14:textId="77777777" w:rsidTr="00C645A0">
        <w:tc>
          <w:tcPr>
            <w:tcW w:w="4761" w:type="dxa"/>
          </w:tcPr>
          <w:p w14:paraId="66B152A8" w14:textId="77777777" w:rsidR="003F29E3" w:rsidRPr="00181755" w:rsidRDefault="003F29E3" w:rsidP="00181755">
            <w:pPr>
              <w:rPr>
                <w:rFonts w:asciiTheme="minorHAnsi" w:hAnsiTheme="minorHAnsi"/>
              </w:rPr>
            </w:pPr>
            <w:r w:rsidRPr="00181755">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(Hpt. 177. § (12) bekezdés)</w:t>
            </w:r>
          </w:p>
        </w:tc>
        <w:tc>
          <w:tcPr>
            <w:tcW w:w="4762" w:type="dxa"/>
          </w:tcPr>
          <w:p w14:paraId="66B152A9" w14:textId="75511F08"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tc>
      </w:tr>
      <w:tr w:rsidR="00F21C76" w:rsidRPr="00181755" w14:paraId="66B152AD" w14:textId="77777777" w:rsidTr="00C645A0">
        <w:tc>
          <w:tcPr>
            <w:tcW w:w="4761" w:type="dxa"/>
          </w:tcPr>
          <w:p w14:paraId="66B152AB" w14:textId="77777777" w:rsidR="00F21C76" w:rsidRPr="00181755" w:rsidRDefault="00F21C76" w:rsidP="00181755">
            <w:pPr>
              <w:rPr>
                <w:rFonts w:asciiTheme="minorHAnsi" w:hAnsiTheme="minorHAnsi"/>
              </w:rPr>
            </w:pPr>
            <w:r w:rsidRPr="00181755">
              <w:rPr>
                <w:rFonts w:asciiTheme="minorHAnsi" w:eastAsia="Calibri" w:hAnsiTheme="minorHAnsi"/>
              </w:rPr>
              <w:t>Az MNB a hitelintézet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AC" w14:textId="77777777" w:rsidR="00F21C76" w:rsidRPr="00181755" w:rsidRDefault="00F21C76" w:rsidP="00181755">
            <w:pPr>
              <w:rPr>
                <w:rFonts w:asciiTheme="minorHAnsi" w:hAnsiTheme="minorHAnsi"/>
              </w:rPr>
            </w:pPr>
            <w:r w:rsidRPr="00181755">
              <w:rPr>
                <w:rFonts w:asciiTheme="minorHAnsi" w:hAnsiTheme="minorHAnsi"/>
              </w:rPr>
              <w:t>Hpt. 177. § (16) bekezdés alapján az MNB kötelezi a hitelintézetet a helyreállítási terv három hónapon belüli átdolgozására.</w:t>
            </w:r>
          </w:p>
        </w:tc>
      </w:tr>
      <w:tr w:rsidR="003F29E3" w:rsidRPr="00181755" w14:paraId="66B152B2" w14:textId="77777777" w:rsidTr="00C645A0">
        <w:tc>
          <w:tcPr>
            <w:tcW w:w="4761" w:type="dxa"/>
          </w:tcPr>
          <w:p w14:paraId="66B152AE"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hitelintézet belső módszerének kockázat</w:t>
            </w:r>
            <w:r w:rsidR="00255B21" w:rsidRPr="00181755">
              <w:rPr>
                <w:rFonts w:asciiTheme="minorHAnsi" w:hAnsiTheme="minorHAnsi"/>
              </w:rPr>
              <w:t>-megállapításával kapcsolatban.</w:t>
            </w:r>
            <w:r w:rsidRPr="00181755">
              <w:rPr>
                <w:rFonts w:asciiTheme="minorHAnsi" w:hAnsiTheme="minorHAnsi"/>
                <w:vertAlign w:val="superscript"/>
              </w:rPr>
              <w:footnoteReference w:id="22"/>
            </w:r>
          </w:p>
        </w:tc>
        <w:tc>
          <w:tcPr>
            <w:tcW w:w="4762" w:type="dxa"/>
          </w:tcPr>
          <w:p w14:paraId="66B152AF" w14:textId="77777777" w:rsidR="003F29E3" w:rsidRPr="00181755" w:rsidRDefault="003F29E3" w:rsidP="00181755">
            <w:pPr>
              <w:rPr>
                <w:rFonts w:asciiTheme="minorHAnsi" w:hAnsiTheme="minorHAnsi"/>
              </w:rPr>
            </w:pPr>
            <w:r w:rsidRPr="00181755">
              <w:rPr>
                <w:rFonts w:asciiTheme="minorHAnsi" w:hAnsiTheme="minorHAnsi"/>
              </w:rPr>
              <w:t>A Hpt. a 179. § (3) bekezdés alapján az MNB</w:t>
            </w:r>
          </w:p>
          <w:p w14:paraId="66B152B0" w14:textId="77777777" w:rsidR="003F29E3" w:rsidRPr="00181755" w:rsidRDefault="003F29E3" w:rsidP="00181755">
            <w:pPr>
              <w:rPr>
                <w:rFonts w:asciiTheme="minorHAnsi" w:hAnsiTheme="minorHAnsi"/>
              </w:rPr>
            </w:pPr>
            <w:r w:rsidRPr="00181755">
              <w:rPr>
                <w:rFonts w:asciiTheme="minorHAnsi" w:hAnsiTheme="minorHAnsi"/>
              </w:rPr>
              <w:t>- előírja a hitelintézet számára a módszertan korrigálását, vagy</w:t>
            </w:r>
          </w:p>
          <w:p w14:paraId="66B152B1" w14:textId="44207A4E" w:rsidR="003F29E3" w:rsidRPr="00181755" w:rsidRDefault="003F29E3" w:rsidP="00181755">
            <w:pPr>
              <w:rPr>
                <w:rFonts w:asciiTheme="minorHAnsi" w:hAnsiTheme="minorHAnsi"/>
              </w:rPr>
            </w:pPr>
            <w:r w:rsidRPr="00181755">
              <w:rPr>
                <w:rFonts w:asciiTheme="minorHAnsi" w:hAnsiTheme="minorHAnsi"/>
              </w:rPr>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B7" w14:textId="77777777" w:rsidTr="00C645A0">
        <w:tc>
          <w:tcPr>
            <w:tcW w:w="4761" w:type="dxa"/>
          </w:tcPr>
          <w:p w14:paraId="66B152B3" w14:textId="77777777" w:rsidR="003F29E3" w:rsidRPr="00181755" w:rsidRDefault="003F29E3" w:rsidP="00181755">
            <w:pPr>
              <w:rPr>
                <w:rFonts w:asciiTheme="minorHAnsi" w:hAnsiTheme="minorHAnsi"/>
              </w:rPr>
            </w:pPr>
            <w:r w:rsidRPr="00181755">
              <w:rPr>
                <w:rFonts w:asciiTheme="minorHAnsi" w:hAnsiTheme="minorHAnsi"/>
              </w:rPr>
              <w:t>Az MNB megállapítja, hogy a hitelintézet által alkalmazott belső módszer már nem felel meg a rá vonatkozó követelményeknek.</w:t>
            </w:r>
          </w:p>
        </w:tc>
        <w:tc>
          <w:tcPr>
            <w:tcW w:w="4762" w:type="dxa"/>
          </w:tcPr>
          <w:p w14:paraId="66B152B4" w14:textId="77777777" w:rsidR="003F29E3" w:rsidRPr="00181755" w:rsidRDefault="003F29E3" w:rsidP="00181755">
            <w:pPr>
              <w:rPr>
                <w:rFonts w:asciiTheme="minorHAnsi" w:hAnsiTheme="minorHAnsi"/>
              </w:rPr>
            </w:pPr>
            <w:r w:rsidRPr="00181755">
              <w:rPr>
                <w:rFonts w:asciiTheme="minorHAnsi" w:hAnsiTheme="minorHAnsi"/>
              </w:rPr>
              <w:t>Az MNB a Hpt. a 179. § (4) bekezdés alapján előírja a hitelintézet számára, hogy</w:t>
            </w:r>
          </w:p>
          <w:p w14:paraId="66B152B5"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B6"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BC" w14:textId="77777777" w:rsidTr="00C645A0">
        <w:tc>
          <w:tcPr>
            <w:tcW w:w="4761" w:type="dxa"/>
          </w:tcPr>
          <w:p w14:paraId="66B152B8" w14:textId="77777777" w:rsidR="003F29E3" w:rsidRPr="00181755" w:rsidRDefault="003F29E3" w:rsidP="00181755">
            <w:pPr>
              <w:rPr>
                <w:rFonts w:asciiTheme="minorHAnsi" w:hAnsiTheme="minorHAnsi"/>
              </w:rPr>
            </w:pPr>
            <w:r w:rsidRPr="00181755">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181755" w:rsidRDefault="003F29E3" w:rsidP="00181755">
            <w:pPr>
              <w:rPr>
                <w:rFonts w:asciiTheme="minorHAnsi" w:hAnsiTheme="minorHAnsi"/>
              </w:rPr>
            </w:pPr>
            <w:r w:rsidRPr="00181755">
              <w:rPr>
                <w:rFonts w:asciiTheme="minorHAnsi" w:hAnsiTheme="minorHAnsi"/>
              </w:rPr>
              <w:t>Az MNB 179. § (6) bekezdés alapján:</w:t>
            </w:r>
          </w:p>
          <w:p w14:paraId="66B152BA"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BB"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C1" w14:textId="77777777" w:rsidTr="00C645A0">
        <w:tc>
          <w:tcPr>
            <w:tcW w:w="4761" w:type="dxa"/>
          </w:tcPr>
          <w:p w14:paraId="66B152BD" w14:textId="77777777" w:rsidR="003F29E3" w:rsidRPr="00181755" w:rsidRDefault="003F29E3" w:rsidP="00181755">
            <w:pPr>
              <w:rPr>
                <w:rFonts w:asciiTheme="minorHAnsi" w:hAnsiTheme="minorHAnsi"/>
              </w:rPr>
            </w:pPr>
            <w:r w:rsidRPr="00181755">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181755" w:rsidRDefault="003F29E3" w:rsidP="00181755">
            <w:pPr>
              <w:rPr>
                <w:rFonts w:asciiTheme="minorHAnsi" w:hAnsiTheme="minorHAnsi"/>
              </w:rPr>
            </w:pPr>
            <w:r w:rsidRPr="00181755">
              <w:rPr>
                <w:rFonts w:asciiTheme="minorHAnsi" w:hAnsiTheme="minorHAnsi"/>
              </w:rPr>
              <w:t>Az MNB a 179. § (7) bekezdés alapján</w:t>
            </w:r>
          </w:p>
          <w:p w14:paraId="66B152BF"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C0"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66B152C2" w14:textId="77777777" w:rsidR="003F29E3" w:rsidRPr="00181755" w:rsidRDefault="003F29E3" w:rsidP="00181755">
      <w:pPr>
        <w:rPr>
          <w:rFonts w:asciiTheme="minorHAnsi" w:hAnsiTheme="minorHAnsi"/>
        </w:rPr>
      </w:pPr>
    </w:p>
    <w:p w14:paraId="66B152C3" w14:textId="14D1FE9C" w:rsidR="003F29E3" w:rsidRPr="00181755" w:rsidRDefault="00AB1BC5" w:rsidP="00181755">
      <w:pPr>
        <w:pStyle w:val="Cmsor3"/>
        <w:ind w:left="0" w:firstLine="0"/>
        <w:rPr>
          <w:rFonts w:asciiTheme="minorHAnsi" w:hAnsiTheme="minorHAnsi"/>
        </w:rPr>
      </w:pPr>
      <w:r w:rsidRPr="00181755">
        <w:rPr>
          <w:rFonts w:asciiTheme="minorHAnsi" w:hAnsiTheme="minorHAnsi"/>
        </w:rPr>
        <w:br w:type="page"/>
      </w:r>
      <w:bookmarkStart w:id="437" w:name="_Toc461095183"/>
      <w:bookmarkStart w:id="438" w:name="_Toc461179839"/>
      <w:bookmarkStart w:id="439" w:name="_Toc461201282"/>
      <w:bookmarkStart w:id="440" w:name="_Toc461547913"/>
      <w:bookmarkStart w:id="441" w:name="_Toc462401941"/>
      <w:bookmarkStart w:id="442" w:name="_Toc462403062"/>
      <w:bookmarkStart w:id="443" w:name="_Toc462403387"/>
      <w:bookmarkStart w:id="444" w:name="_Toc468180506"/>
      <w:bookmarkStart w:id="445" w:name="_Toc468181038"/>
      <w:bookmarkStart w:id="446" w:name="_Toc468191428"/>
      <w:r w:rsidR="003F29E3" w:rsidRPr="00181755">
        <w:rPr>
          <w:rFonts w:asciiTheme="minorHAnsi" w:hAnsiTheme="minorHAnsi"/>
        </w:rPr>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003F29E3" w:rsidRPr="00181755">
        <w:rPr>
          <w:rFonts w:asciiTheme="minorHAnsi" w:hAnsiTheme="minorHAnsi"/>
        </w:rPr>
        <w:t xml:space="preserve"> intézkedések alkalmazásának esetkörei a </w:t>
      </w:r>
      <w:r w:rsidR="003F29E3" w:rsidRPr="00181755">
        <w:rPr>
          <w:rFonts w:asciiTheme="minorHAnsi" w:hAnsiTheme="minorHAnsi"/>
          <w:lang w:val="hu-HU"/>
        </w:rPr>
        <w:t>befektetési vállalkozásokkal</w:t>
      </w:r>
      <w:r w:rsidR="003F29E3" w:rsidRPr="00181755">
        <w:rPr>
          <w:rFonts w:asciiTheme="minorHAnsi" w:hAnsiTheme="minorHAnsi"/>
        </w:rPr>
        <w:t xml:space="preserve"> szemben</w:t>
      </w:r>
      <w:bookmarkEnd w:id="437"/>
      <w:bookmarkEnd w:id="438"/>
      <w:bookmarkEnd w:id="439"/>
      <w:bookmarkEnd w:id="440"/>
      <w:bookmarkEnd w:id="441"/>
      <w:bookmarkEnd w:id="442"/>
      <w:bookmarkEnd w:id="443"/>
      <w:bookmarkEnd w:id="444"/>
      <w:bookmarkEnd w:id="445"/>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C6" w14:textId="77777777" w:rsidTr="00C645A0">
        <w:tc>
          <w:tcPr>
            <w:tcW w:w="4761" w:type="dxa"/>
          </w:tcPr>
          <w:p w14:paraId="66B152C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C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C8" w14:textId="77777777" w:rsidTr="00C645A0">
        <w:tc>
          <w:tcPr>
            <w:tcW w:w="9523" w:type="dxa"/>
            <w:gridSpan w:val="2"/>
          </w:tcPr>
          <w:p w14:paraId="66B152C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CE" w14:textId="77777777" w:rsidTr="00C645A0">
        <w:tc>
          <w:tcPr>
            <w:tcW w:w="4761" w:type="dxa"/>
          </w:tcPr>
          <w:p w14:paraId="66B152C9" w14:textId="77777777" w:rsidR="003F29E3" w:rsidRPr="00181755" w:rsidRDefault="003F29E3" w:rsidP="00181755">
            <w:pPr>
              <w:rPr>
                <w:rFonts w:asciiTheme="minorHAnsi" w:hAnsiTheme="minorHAnsi"/>
                <w:b/>
              </w:rPr>
            </w:pPr>
            <w:r w:rsidRPr="00181755">
              <w:rPr>
                <w:rFonts w:asciiTheme="minorHAnsi" w:hAnsiTheme="minorHAnsi"/>
              </w:rPr>
              <w:t>A Bszt.-ben foglalt kötelezettségek sérelme.</w:t>
            </w:r>
          </w:p>
        </w:tc>
        <w:tc>
          <w:tcPr>
            <w:tcW w:w="4762" w:type="dxa"/>
          </w:tcPr>
          <w:p w14:paraId="66B152CA" w14:textId="36556C6D" w:rsidR="003F29E3" w:rsidRPr="00181755" w:rsidRDefault="003F29E3" w:rsidP="00181755">
            <w:pPr>
              <w:rPr>
                <w:rFonts w:asciiTheme="minorHAnsi" w:hAnsiTheme="minorHAnsi"/>
              </w:rPr>
            </w:pPr>
            <w:r w:rsidRPr="00181755">
              <w:rPr>
                <w:rFonts w:asciiTheme="minorHAnsi" w:hAnsiTheme="minorHAnsi"/>
              </w:rPr>
              <w:t>Az MNB a befektetési vállalkozást többlet</w:t>
            </w:r>
            <w:r w:rsidR="008D7D57" w:rsidRPr="00181755">
              <w:rPr>
                <w:rFonts w:asciiTheme="minorHAnsi" w:hAnsiTheme="minorHAnsi"/>
              </w:rPr>
              <w:t>-</w:t>
            </w:r>
            <w:r w:rsidRPr="00181755">
              <w:rPr>
                <w:rFonts w:asciiTheme="minorHAnsi" w:hAnsiTheme="minorHAnsi"/>
              </w:rPr>
              <w:t>tőkekövetelmény elérésére kötelezheti. 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CB" w14:textId="77777777" w:rsidR="003F29E3" w:rsidRPr="00181755" w:rsidRDefault="003F29E3" w:rsidP="00181755">
            <w:pPr>
              <w:rPr>
                <w:rFonts w:asciiTheme="minorHAnsi" w:hAnsiTheme="minorHAnsi"/>
              </w:rPr>
            </w:pPr>
            <w:r w:rsidRPr="00181755">
              <w:rPr>
                <w:rFonts w:asciiTheme="minorHAnsi" w:hAnsiTheme="minorHAnsi"/>
              </w:rPr>
              <w:t>- a befektetési vállalkozás belső tőkemegfelelés értékelési folyamatának mennyiségi és minőségi szempontjai,</w:t>
            </w:r>
          </w:p>
          <w:p w14:paraId="66B152CC" w14:textId="77777777" w:rsidR="003F29E3" w:rsidRPr="00181755" w:rsidRDefault="003F29E3" w:rsidP="00181755">
            <w:pPr>
              <w:rPr>
                <w:rFonts w:asciiTheme="minorHAnsi" w:hAnsiTheme="minorHAnsi"/>
              </w:rPr>
            </w:pPr>
            <w:r w:rsidRPr="00181755">
              <w:rPr>
                <w:rFonts w:asciiTheme="minorHAnsi" w:hAnsiTheme="minorHAnsi"/>
              </w:rPr>
              <w:t>- a befektetési vállalkozás irányítási és kockázatkezelési rendszerének megfelelősége és</w:t>
            </w:r>
          </w:p>
          <w:p w14:paraId="66B152CD" w14:textId="14719C8A" w:rsidR="003F29E3" w:rsidRPr="00181755" w:rsidRDefault="003F29E3" w:rsidP="00181755">
            <w:pPr>
              <w:rPr>
                <w:rFonts w:asciiTheme="minorHAnsi" w:hAnsiTheme="minorHAnsi"/>
              </w:rPr>
            </w:pPr>
            <w:r w:rsidRPr="00181755">
              <w:rPr>
                <w:rFonts w:asciiTheme="minorHAnsi" w:hAnsiTheme="minorHAnsi"/>
              </w:rPr>
              <w:t>- a befektetési vállalkozásnál végrehajtott felügyeleti felülvizsgálat eredménye. (Bszt. 16</w:t>
            </w:r>
            <w:r w:rsidR="007C1584" w:rsidRPr="00181755">
              <w:rPr>
                <w:rFonts w:asciiTheme="minorHAnsi" w:hAnsiTheme="minorHAnsi"/>
              </w:rPr>
              <w:t>4</w:t>
            </w:r>
            <w:r w:rsidRPr="00181755">
              <w:rPr>
                <w:rFonts w:asciiTheme="minorHAnsi" w:hAnsiTheme="minorHAnsi"/>
              </w:rPr>
              <w:t>. § (</w:t>
            </w:r>
            <w:r w:rsidR="007C1584" w:rsidRPr="00181755">
              <w:rPr>
                <w:rFonts w:asciiTheme="minorHAnsi" w:hAnsiTheme="minorHAnsi"/>
              </w:rPr>
              <w:t>4</w:t>
            </w:r>
            <w:r w:rsidRPr="00181755">
              <w:rPr>
                <w:rFonts w:asciiTheme="minorHAnsi" w:hAnsiTheme="minorHAnsi"/>
              </w:rPr>
              <w:t>) bekezdés)</w:t>
            </w:r>
          </w:p>
        </w:tc>
      </w:tr>
      <w:tr w:rsidR="003F29E3" w:rsidRPr="00181755" w14:paraId="66B152D0" w14:textId="77777777" w:rsidTr="00C645A0">
        <w:tc>
          <w:tcPr>
            <w:tcW w:w="9523" w:type="dxa"/>
            <w:gridSpan w:val="2"/>
          </w:tcPr>
          <w:p w14:paraId="66B152CF"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D4" w14:textId="77777777" w:rsidTr="00C645A0">
        <w:tc>
          <w:tcPr>
            <w:tcW w:w="4761" w:type="dxa"/>
          </w:tcPr>
          <w:p w14:paraId="66B152D1" w14:textId="77777777" w:rsidR="003F29E3" w:rsidRPr="00181755" w:rsidRDefault="003F29E3" w:rsidP="00181755">
            <w:pPr>
              <w:rPr>
                <w:rFonts w:asciiTheme="minorHAnsi" w:hAnsiTheme="minorHAnsi"/>
                <w:b/>
              </w:rPr>
            </w:pPr>
            <w:r w:rsidRPr="00181755">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181755">
              <w:rPr>
                <w:rFonts w:asciiTheme="minorHAnsi" w:hAnsiTheme="minorHAnsi"/>
                <w:i/>
              </w:rPr>
              <w:t>(Bszt. 162. § 10 bekezdés)</w:t>
            </w:r>
          </w:p>
        </w:tc>
        <w:tc>
          <w:tcPr>
            <w:tcW w:w="4762" w:type="dxa"/>
          </w:tcPr>
          <w:p w14:paraId="66B152D2"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3" w14:textId="77777777" w:rsidR="003F29E3" w:rsidRPr="00181755" w:rsidRDefault="003F29E3" w:rsidP="00181755">
            <w:pPr>
              <w:rPr>
                <w:rFonts w:asciiTheme="minorHAnsi" w:hAnsiTheme="minorHAnsi"/>
              </w:rPr>
            </w:pPr>
          </w:p>
        </w:tc>
      </w:tr>
      <w:tr w:rsidR="003F29E3" w:rsidRPr="00181755" w14:paraId="66B152D8" w14:textId="77777777" w:rsidTr="00C645A0">
        <w:tc>
          <w:tcPr>
            <w:tcW w:w="4761" w:type="dxa"/>
          </w:tcPr>
          <w:p w14:paraId="66B152D5"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 Bszt. 162.§ (12) bekezdés)</w:t>
            </w:r>
          </w:p>
        </w:tc>
        <w:tc>
          <w:tcPr>
            <w:tcW w:w="4762" w:type="dxa"/>
          </w:tcPr>
          <w:p w14:paraId="66B152D6"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7" w14:textId="77777777" w:rsidR="003F29E3" w:rsidRPr="00181755" w:rsidRDefault="003F29E3" w:rsidP="00181755">
            <w:pPr>
              <w:rPr>
                <w:rFonts w:asciiTheme="minorHAnsi" w:hAnsiTheme="minorHAnsi"/>
              </w:rPr>
            </w:pPr>
          </w:p>
        </w:tc>
      </w:tr>
      <w:tr w:rsidR="00F21C76" w:rsidRPr="00181755" w14:paraId="66B152DB" w14:textId="77777777" w:rsidTr="00C645A0">
        <w:tc>
          <w:tcPr>
            <w:tcW w:w="4761" w:type="dxa"/>
          </w:tcPr>
          <w:p w14:paraId="66B152D9" w14:textId="77777777" w:rsidR="00F21C76" w:rsidRPr="00181755" w:rsidRDefault="00F21C76" w:rsidP="00181755">
            <w:pPr>
              <w:rPr>
                <w:rFonts w:asciiTheme="minorHAnsi" w:hAnsiTheme="minorHAnsi"/>
              </w:rPr>
            </w:pPr>
            <w:r w:rsidRPr="00181755">
              <w:rPr>
                <w:rFonts w:asciiTheme="minorHAnsi" w:eastAsia="Calibri" w:hAnsiTheme="minorHAnsi"/>
              </w:rPr>
              <w:t>Az MNB a befektetési vállalkozás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DA" w14:textId="77777777" w:rsidR="00F21C76" w:rsidRPr="00181755" w:rsidRDefault="00F21C76" w:rsidP="00181755">
            <w:pPr>
              <w:rPr>
                <w:rFonts w:asciiTheme="minorHAnsi" w:hAnsiTheme="minorHAnsi"/>
              </w:rPr>
            </w:pPr>
            <w:r w:rsidRPr="00181755">
              <w:rPr>
                <w:rFonts w:asciiTheme="minorHAnsi" w:hAnsiTheme="minorHAnsi"/>
              </w:rPr>
              <w:t>Bszt. 162. § (17) bekezdés alapján az MNB kötelezi a befektetési vállalkozást a helyreállítási terv három hónapon belüli átdolgozására.</w:t>
            </w:r>
          </w:p>
        </w:tc>
      </w:tr>
      <w:tr w:rsidR="003F29E3" w:rsidRPr="00181755" w14:paraId="66B152E0" w14:textId="77777777" w:rsidTr="00C645A0">
        <w:tc>
          <w:tcPr>
            <w:tcW w:w="4761" w:type="dxa"/>
          </w:tcPr>
          <w:p w14:paraId="66B152DC"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befektetési vállalkozás belső módszerének kockázat-megállapításával kapcsolatban</w:t>
            </w:r>
            <w:r w:rsidRPr="00181755">
              <w:rPr>
                <w:rFonts w:asciiTheme="minorHAnsi" w:hAnsiTheme="minorHAnsi"/>
                <w:vertAlign w:val="superscript"/>
              </w:rPr>
              <w:footnoteReference w:id="23"/>
            </w:r>
            <w:r w:rsidR="00B16C16" w:rsidRPr="00181755">
              <w:rPr>
                <w:rFonts w:asciiTheme="minorHAnsi" w:hAnsiTheme="minorHAnsi"/>
              </w:rPr>
              <w:t>.</w:t>
            </w:r>
          </w:p>
        </w:tc>
        <w:tc>
          <w:tcPr>
            <w:tcW w:w="4762" w:type="dxa"/>
          </w:tcPr>
          <w:p w14:paraId="66B152DD" w14:textId="77777777" w:rsidR="003F29E3" w:rsidRPr="00181755" w:rsidRDefault="003F29E3" w:rsidP="00181755">
            <w:pPr>
              <w:rPr>
                <w:rFonts w:asciiTheme="minorHAnsi" w:hAnsiTheme="minorHAnsi"/>
              </w:rPr>
            </w:pPr>
            <w:r w:rsidRPr="00181755">
              <w:rPr>
                <w:rFonts w:asciiTheme="minorHAnsi" w:hAnsiTheme="minorHAnsi"/>
              </w:rPr>
              <w:t>Az MNB a Bszt. 163/A. § (3) bekezdése alapján</w:t>
            </w:r>
          </w:p>
          <w:p w14:paraId="66B152DE" w14:textId="77777777" w:rsidR="003F29E3" w:rsidRPr="00181755" w:rsidRDefault="003F29E3" w:rsidP="00181755">
            <w:pPr>
              <w:rPr>
                <w:rFonts w:asciiTheme="minorHAnsi" w:hAnsiTheme="minorHAnsi"/>
              </w:rPr>
            </w:pPr>
            <w:r w:rsidRPr="00181755">
              <w:rPr>
                <w:rFonts w:asciiTheme="minorHAnsi" w:hAnsiTheme="minorHAnsi"/>
              </w:rPr>
              <w:t>- előírja a befektetési vállalkozás számára a módszertan korrigálását, vagy</w:t>
            </w:r>
          </w:p>
          <w:p w14:paraId="66B152DF" w14:textId="658F158D" w:rsidR="003F29E3" w:rsidRPr="00181755" w:rsidRDefault="003F29E3" w:rsidP="00181755">
            <w:pPr>
              <w:rPr>
                <w:rFonts w:asciiTheme="minorHAnsi" w:hAnsiTheme="minorHAnsi"/>
              </w:rPr>
            </w:pPr>
            <w:r w:rsidRPr="00181755">
              <w:rPr>
                <w:rFonts w:asciiTheme="minorHAnsi" w:hAnsiTheme="minorHAnsi"/>
              </w:rPr>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E5" w14:textId="77777777" w:rsidTr="00C645A0">
        <w:tc>
          <w:tcPr>
            <w:tcW w:w="4761" w:type="dxa"/>
          </w:tcPr>
          <w:p w14:paraId="66B152E1" w14:textId="77777777" w:rsidR="003F29E3" w:rsidRPr="00181755" w:rsidRDefault="003F29E3" w:rsidP="00181755">
            <w:pPr>
              <w:rPr>
                <w:rFonts w:asciiTheme="minorHAnsi" w:hAnsiTheme="minorHAnsi"/>
              </w:rPr>
            </w:pPr>
            <w:r w:rsidRPr="00181755">
              <w:rPr>
                <w:rFonts w:asciiTheme="minorHAnsi" w:hAnsiTheme="minorHAnsi"/>
              </w:rPr>
              <w:t>Az MNB megállapítja, hogy a befektetési vállalkozás által alkalmazott belső módszer már nem felel meg a rá vonatkozó követelményeknek.</w:t>
            </w:r>
          </w:p>
        </w:tc>
        <w:tc>
          <w:tcPr>
            <w:tcW w:w="4762" w:type="dxa"/>
          </w:tcPr>
          <w:p w14:paraId="66B152E2" w14:textId="77777777" w:rsidR="003F29E3" w:rsidRPr="00181755" w:rsidRDefault="003F29E3" w:rsidP="00181755">
            <w:pPr>
              <w:rPr>
                <w:rFonts w:asciiTheme="minorHAnsi" w:hAnsiTheme="minorHAnsi"/>
              </w:rPr>
            </w:pPr>
            <w:r w:rsidRPr="00181755">
              <w:rPr>
                <w:rFonts w:asciiTheme="minorHAnsi" w:hAnsiTheme="minorHAnsi"/>
              </w:rPr>
              <w:t>Az MNB Bszt. 163/A.§ (4) bekezdés alapján előírja a befektetési vállalkozás számára, hogy</w:t>
            </w:r>
          </w:p>
          <w:p w14:paraId="66B152E3"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E4"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EA" w14:textId="77777777" w:rsidTr="00C645A0">
        <w:tc>
          <w:tcPr>
            <w:tcW w:w="4761" w:type="dxa"/>
          </w:tcPr>
          <w:p w14:paraId="66B152E6" w14:textId="77777777" w:rsidR="003F29E3" w:rsidRPr="00181755" w:rsidRDefault="003F29E3" w:rsidP="00181755">
            <w:pPr>
              <w:rPr>
                <w:rFonts w:asciiTheme="minorHAnsi" w:hAnsiTheme="minorHAnsi"/>
              </w:rPr>
            </w:pPr>
            <w:r w:rsidRPr="00181755">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181755" w:rsidRDefault="003F29E3" w:rsidP="00181755">
            <w:pPr>
              <w:rPr>
                <w:rFonts w:asciiTheme="minorHAnsi" w:hAnsiTheme="minorHAnsi"/>
              </w:rPr>
            </w:pPr>
            <w:r w:rsidRPr="00181755">
              <w:rPr>
                <w:rFonts w:asciiTheme="minorHAnsi" w:hAnsiTheme="minorHAnsi"/>
              </w:rPr>
              <w:t>Az MNB Bszt. 163/A. § (6) bekezdés alapján</w:t>
            </w:r>
          </w:p>
          <w:p w14:paraId="66B152E8"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E9"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EF" w14:textId="77777777" w:rsidTr="00C645A0">
        <w:tc>
          <w:tcPr>
            <w:tcW w:w="4761" w:type="dxa"/>
          </w:tcPr>
          <w:p w14:paraId="66B152EB" w14:textId="77777777" w:rsidR="003F29E3" w:rsidRPr="00181755" w:rsidRDefault="003F29E3" w:rsidP="00181755">
            <w:pPr>
              <w:rPr>
                <w:rFonts w:asciiTheme="minorHAnsi" w:hAnsiTheme="minorHAnsi"/>
              </w:rPr>
            </w:pPr>
            <w:r w:rsidRPr="00181755">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181755" w:rsidRDefault="003F29E3" w:rsidP="00181755">
            <w:pPr>
              <w:rPr>
                <w:rFonts w:asciiTheme="minorHAnsi" w:hAnsiTheme="minorHAnsi"/>
              </w:rPr>
            </w:pPr>
            <w:r w:rsidRPr="00181755">
              <w:rPr>
                <w:rFonts w:asciiTheme="minorHAnsi" w:hAnsiTheme="minorHAnsi"/>
              </w:rPr>
              <w:t>Az MNB a Bszt. 163/A. § (7) bekezdés alapján</w:t>
            </w:r>
          </w:p>
          <w:p w14:paraId="66B152ED"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EE"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5DD80C74" w14:textId="77777777" w:rsidR="006636DD" w:rsidRPr="00181755" w:rsidRDefault="006636DD" w:rsidP="00181755">
      <w:pPr>
        <w:rPr>
          <w:rFonts w:asciiTheme="minorHAnsi" w:hAnsiTheme="minorHAnsi"/>
        </w:rPr>
      </w:pPr>
    </w:p>
    <w:p w14:paraId="66B152F1" w14:textId="0CBE40C6" w:rsidR="003F29E3" w:rsidRPr="00181755" w:rsidRDefault="003F29E3" w:rsidP="00181755">
      <w:pPr>
        <w:rPr>
          <w:rFonts w:asciiTheme="minorHAnsi" w:hAnsiTheme="minorHAnsi"/>
        </w:rPr>
      </w:pPr>
      <w:r w:rsidRPr="00181755">
        <w:rPr>
          <w:rFonts w:asciiTheme="minorHAnsi" w:hAnsiTheme="minorHAnsi"/>
        </w:rPr>
        <w:t>A nemzetközi intézménycsoportok felülvizsgálatát szabályozó közös kockázatérték</w:t>
      </w:r>
      <w:r w:rsidR="004B7E48" w:rsidRPr="00181755">
        <w:rPr>
          <w:rFonts w:asciiTheme="minorHAnsi" w:hAnsiTheme="minorHAnsi"/>
        </w:rPr>
        <w:t xml:space="preserve">elési és együttdöntési eljárás </w:t>
      </w:r>
      <w:r w:rsidRPr="00181755">
        <w:rPr>
          <w:rFonts w:asciiTheme="minorHAnsi" w:hAnsiTheme="minorHAnsi"/>
        </w:rPr>
        <w:t>esetén a</w:t>
      </w:r>
      <w:r w:rsidR="00FE477C" w:rsidRPr="00181755">
        <w:rPr>
          <w:rFonts w:asciiTheme="minorHAnsi" w:hAnsiTheme="minorHAnsi"/>
        </w:rPr>
        <w:t xml:space="preserve"> SREP értékelési folyamat (melynek részét képezik a</w:t>
      </w:r>
      <w:r w:rsidRPr="00181755">
        <w:rPr>
          <w:rFonts w:asciiTheme="minorHAnsi" w:hAnsiTheme="minorHAnsi"/>
        </w:rPr>
        <w:t>z ICAAP és ILAAP felülvizsgálatok</w:t>
      </w:r>
      <w:r w:rsidR="00FE477C" w:rsidRPr="00181755">
        <w:rPr>
          <w:rFonts w:asciiTheme="minorHAnsi" w:hAnsiTheme="minorHAnsi"/>
        </w:rPr>
        <w:t xml:space="preserve"> is)</w:t>
      </w:r>
      <w:r w:rsidRPr="00181755">
        <w:rPr>
          <w:rFonts w:asciiTheme="minorHAnsi" w:hAnsiTheme="minorHAnsi"/>
        </w:rPr>
        <w:t xml:space="preserve"> lezárását a 2. pilléres tőkemegfelelésre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181755">
        <w:rPr>
          <w:rFonts w:asciiTheme="minorHAnsi" w:hAnsiTheme="minorHAnsi"/>
        </w:rPr>
        <w:t>.</w:t>
      </w:r>
      <w:r w:rsidRPr="00181755">
        <w:rPr>
          <w:rFonts w:asciiTheme="minorHAnsi" w:hAnsiTheme="minorHAnsi"/>
          <w:vertAlign w:val="superscript"/>
        </w:rPr>
        <w:footnoteReference w:id="24"/>
      </w:r>
      <w:r w:rsidRPr="00181755">
        <w:rPr>
          <w:rFonts w:asciiTheme="minorHAnsi" w:hAnsiTheme="minorHAnsi"/>
        </w:rPr>
        <w:t xml:space="preserve"> A konszolidáló felügyelet a</w:t>
      </w:r>
      <w:r w:rsidR="00E6018B" w:rsidRPr="00181755">
        <w:rPr>
          <w:rFonts w:asciiTheme="minorHAnsi" w:hAnsiTheme="minorHAnsi"/>
        </w:rPr>
        <w:t>z</w:t>
      </w:r>
      <w:r w:rsidRPr="00181755">
        <w:rPr>
          <w:rFonts w:asciiTheme="minorHAnsi" w:hAnsiTheme="minorHAnsi"/>
        </w:rPr>
        <w:t xml:space="preserve"> </w:t>
      </w:r>
      <w:r w:rsidR="00E6018B" w:rsidRPr="00181755">
        <w:rPr>
          <w:rFonts w:asciiTheme="minorHAnsi" w:hAnsiTheme="minorHAnsi"/>
        </w:rPr>
        <w:t>intézmény</w:t>
      </w:r>
      <w:r w:rsidRPr="00181755">
        <w:rPr>
          <w:rFonts w:asciiTheme="minorHAnsi" w:hAnsiTheme="minorHAnsi"/>
        </w:rPr>
        <w:t xml:space="preserve">csoport legfelső vezetését, az érintett társfelügyeletek pedig az illetékességi körükbe tartozó leányvállalatokat mindazonáltal prudenciális levélben is tájékoztatják a közös kockázatértékelés eredményéről, a </w:t>
      </w:r>
      <w:r w:rsidR="00E6018B" w:rsidRPr="00181755">
        <w:rPr>
          <w:rFonts w:asciiTheme="minorHAnsi" w:hAnsiTheme="minorHAnsi"/>
        </w:rPr>
        <w:t>teljes SREP tőkemutató</w:t>
      </w:r>
      <w:r w:rsidRPr="00181755">
        <w:rPr>
          <w:rFonts w:asciiTheme="minorHAnsi" w:hAnsiTheme="minorHAnsi"/>
        </w:rPr>
        <w:t xml:space="preserve"> minimálisan előírt szintjéről, továbbá a releváns kockázatcsökkentő intézkedésekről.</w:t>
      </w:r>
    </w:p>
    <w:p w14:paraId="66B152F2" w14:textId="68A43CBA" w:rsidR="003F29E3" w:rsidRPr="00181755" w:rsidRDefault="003F29E3" w:rsidP="00181755">
      <w:pPr>
        <w:rPr>
          <w:rFonts w:asciiTheme="minorHAnsi" w:hAnsiTheme="minorHAnsi"/>
        </w:rPr>
      </w:pPr>
      <w:r w:rsidRPr="00181755">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 számottevő változást eredményeznek a gazdasági tőkeszükséglet – szabályozói tőkekövetelményhez viszonyított relatív – mértékében. </w:t>
      </w:r>
      <w:r w:rsidR="00E6018B" w:rsidRPr="00181755">
        <w:rPr>
          <w:rFonts w:asciiTheme="minorHAnsi" w:hAnsiTheme="minorHAnsi"/>
        </w:rPr>
        <w:t xml:space="preserve">Az MNB a teljes SREP tőkemutató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181755">
        <w:rPr>
          <w:rFonts w:asciiTheme="minorHAnsi" w:hAnsiTheme="minorHAnsi"/>
        </w:rPr>
        <w:t xml:space="preserve">szabályozott folyamatára). </w:t>
      </w:r>
    </w:p>
    <w:p w14:paraId="66B152F3" w14:textId="79C79523" w:rsidR="003F29E3" w:rsidRPr="00181755" w:rsidRDefault="003F29E3" w:rsidP="00181755">
      <w:pPr>
        <w:spacing w:after="240"/>
        <w:rPr>
          <w:rFonts w:asciiTheme="minorHAnsi" w:hAnsiTheme="minorHAnsi"/>
        </w:rPr>
      </w:pPr>
      <w:bookmarkStart w:id="447" w:name="_Toc286929918"/>
      <w:bookmarkStart w:id="448" w:name="_Toc325034474"/>
      <w:bookmarkStart w:id="449" w:name="_Toc325093276"/>
      <w:r w:rsidRPr="00181755">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181755">
        <w:rPr>
          <w:rFonts w:asciiTheme="minorHAnsi" w:hAnsiTheme="minorHAnsi"/>
        </w:rPr>
        <w:t>BMA,</w:t>
      </w:r>
      <w:r w:rsidRPr="00181755">
        <w:rPr>
          <w:rFonts w:asciiTheme="minorHAnsi" w:hAnsiTheme="minorHAnsi"/>
        </w:rPr>
        <w:t xml:space="preserve"> illetve ILAAP felülvizsgálat keretében, vagy a lezárás során meghatározott konkrét időpontot követően kerül sor</w:t>
      </w:r>
      <w:bookmarkEnd w:id="447"/>
      <w:r w:rsidRPr="00181755">
        <w:rPr>
          <w:rFonts w:asciiTheme="minorHAnsi" w:hAnsiTheme="minorHAnsi"/>
        </w:rPr>
        <w:t>.</w:t>
      </w:r>
      <w:bookmarkEnd w:id="448"/>
      <w:bookmarkEnd w:id="449"/>
    </w:p>
    <w:p w14:paraId="339BA100" w14:textId="20A652D1" w:rsidR="003F29E3" w:rsidRPr="00181755" w:rsidRDefault="00AB47CB" w:rsidP="00181755">
      <w:pPr>
        <w:pStyle w:val="Cmsor2"/>
        <w:rPr>
          <w:rFonts w:asciiTheme="minorHAnsi" w:hAnsiTheme="minorHAnsi"/>
        </w:rPr>
      </w:pPr>
      <w:bookmarkStart w:id="450" w:name="_Toc461195777"/>
      <w:bookmarkStart w:id="451" w:name="_Toc461524860"/>
      <w:bookmarkStart w:id="452" w:name="_Toc461547914"/>
      <w:bookmarkStart w:id="453" w:name="_Toc461550204"/>
      <w:bookmarkStart w:id="454" w:name="_Toc462401942"/>
      <w:bookmarkStart w:id="455" w:name="_Toc462403063"/>
      <w:bookmarkStart w:id="456" w:name="_Toc462403388"/>
      <w:bookmarkStart w:id="457" w:name="_Toc462403817"/>
      <w:bookmarkStart w:id="458" w:name="_Toc462645685"/>
      <w:bookmarkStart w:id="459" w:name="_Toc468180507"/>
      <w:bookmarkStart w:id="460" w:name="_Toc468181039"/>
      <w:bookmarkStart w:id="461" w:name="_Toc461095184"/>
      <w:bookmarkStart w:id="462" w:name="_Toc461547915"/>
      <w:bookmarkStart w:id="463" w:name="_Toc462401943"/>
      <w:bookmarkStart w:id="464" w:name="_Toc462403064"/>
      <w:bookmarkStart w:id="465" w:name="_Toc462403389"/>
      <w:bookmarkStart w:id="466" w:name="_Toc468180508"/>
      <w:bookmarkStart w:id="467" w:name="_Toc468181040"/>
      <w:bookmarkStart w:id="468" w:name="_Toc468191429"/>
      <w:bookmarkStart w:id="469" w:name="_Toc461179214"/>
      <w:bookmarkStart w:id="470" w:name="_Toc461179840"/>
      <w:bookmarkEnd w:id="450"/>
      <w:bookmarkEnd w:id="451"/>
      <w:bookmarkEnd w:id="452"/>
      <w:bookmarkEnd w:id="453"/>
      <w:bookmarkEnd w:id="454"/>
      <w:bookmarkEnd w:id="455"/>
      <w:bookmarkEnd w:id="456"/>
      <w:bookmarkEnd w:id="457"/>
      <w:bookmarkEnd w:id="458"/>
      <w:bookmarkEnd w:id="459"/>
      <w:bookmarkEnd w:id="460"/>
      <w:r w:rsidRPr="00181755">
        <w:rPr>
          <w:rFonts w:asciiTheme="minorHAnsi" w:hAnsiTheme="minorHAnsi"/>
        </w:rPr>
        <w:t xml:space="preserve">Éves értékelés a </w:t>
      </w:r>
      <w:r w:rsidR="003C4C89" w:rsidRPr="00181755">
        <w:rPr>
          <w:rFonts w:asciiTheme="minorHAnsi" w:hAnsiTheme="minorHAnsi"/>
        </w:rPr>
        <w:t>teljes SREP folyamat tapasztalatairól a komplex SREP alá tartozó intézmények esetén</w:t>
      </w:r>
      <w:bookmarkEnd w:id="461"/>
      <w:bookmarkEnd w:id="462"/>
      <w:bookmarkEnd w:id="463"/>
      <w:bookmarkEnd w:id="464"/>
      <w:bookmarkEnd w:id="465"/>
      <w:bookmarkEnd w:id="466"/>
      <w:bookmarkEnd w:id="467"/>
      <w:bookmarkEnd w:id="468"/>
    </w:p>
    <w:bookmarkEnd w:id="469"/>
    <w:bookmarkEnd w:id="470"/>
    <w:p w14:paraId="774E29B9" w14:textId="2AABB3E7" w:rsidR="003C4C89" w:rsidRPr="00181755" w:rsidRDefault="003C4C89" w:rsidP="00181755">
      <w:pPr>
        <w:rPr>
          <w:rFonts w:asciiTheme="minorHAnsi" w:hAnsiTheme="minorHAnsi"/>
        </w:rPr>
      </w:pPr>
      <w:r w:rsidRPr="00181755">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181755" w:rsidRDefault="003F29E3" w:rsidP="00181755">
      <w:pPr>
        <w:pStyle w:val="Cmsor1"/>
        <w:rPr>
          <w:rFonts w:asciiTheme="minorHAnsi" w:hAnsiTheme="minorHAnsi"/>
        </w:rPr>
      </w:pPr>
      <w:r w:rsidRPr="00181755">
        <w:rPr>
          <w:rFonts w:asciiTheme="minorHAnsi" w:hAnsiTheme="minorHAnsi"/>
        </w:rPr>
        <w:br w:type="page"/>
      </w:r>
      <w:bookmarkStart w:id="471" w:name="_III._Az_ICAAP"/>
      <w:bookmarkStart w:id="472" w:name="_Toc156101215"/>
      <w:bookmarkStart w:id="473" w:name="_Toc378256224"/>
      <w:bookmarkStart w:id="474" w:name="_Toc378592032"/>
      <w:bookmarkStart w:id="475" w:name="_Toc461095185"/>
      <w:bookmarkStart w:id="476" w:name="_Toc461179215"/>
      <w:bookmarkStart w:id="477" w:name="_Toc461179841"/>
      <w:bookmarkStart w:id="478" w:name="_Toc461197756"/>
      <w:bookmarkStart w:id="479" w:name="_Toc461201284"/>
      <w:bookmarkStart w:id="480" w:name="_Toc461547916"/>
      <w:bookmarkStart w:id="481" w:name="_Toc462401944"/>
      <w:bookmarkStart w:id="482" w:name="_Toc462403065"/>
      <w:bookmarkStart w:id="483" w:name="_Toc462403390"/>
      <w:bookmarkStart w:id="484" w:name="_Toc468180509"/>
      <w:bookmarkStart w:id="485" w:name="_Toc468181041"/>
      <w:bookmarkStart w:id="486" w:name="_Toc468191430"/>
      <w:bookmarkEnd w:id="471"/>
      <w:r w:rsidRPr="00181755">
        <w:rPr>
          <w:rFonts w:asciiTheme="minorHAnsi" w:hAnsiTheme="minorHAnsi"/>
        </w:rPr>
        <w:t>Az ICAAP összetevői</w:t>
      </w:r>
      <w:bookmarkEnd w:id="472"/>
      <w:bookmarkEnd w:id="473"/>
      <w:bookmarkEnd w:id="474"/>
      <w:r w:rsidRPr="00181755">
        <w:rPr>
          <w:rFonts w:asciiTheme="minorHAnsi" w:hAnsiTheme="minorHAnsi"/>
        </w:rPr>
        <w:t xml:space="preserve"> és felügyeleti felülvizsgálat</w:t>
      </w:r>
      <w:r w:rsidR="00543F79" w:rsidRPr="00181755">
        <w:rPr>
          <w:rFonts w:asciiTheme="minorHAnsi" w:hAnsiTheme="minorHAnsi"/>
        </w:rPr>
        <w:t>a</w:t>
      </w:r>
      <w:bookmarkEnd w:id="475"/>
      <w:bookmarkEnd w:id="476"/>
      <w:bookmarkEnd w:id="477"/>
      <w:bookmarkEnd w:id="478"/>
      <w:bookmarkEnd w:id="479"/>
      <w:bookmarkEnd w:id="480"/>
      <w:bookmarkEnd w:id="481"/>
      <w:bookmarkEnd w:id="482"/>
      <w:bookmarkEnd w:id="483"/>
      <w:bookmarkEnd w:id="484"/>
      <w:bookmarkEnd w:id="485"/>
      <w:bookmarkEnd w:id="486"/>
    </w:p>
    <w:p w14:paraId="28F22359" w14:textId="77777777" w:rsidR="00073510" w:rsidRPr="00181755" w:rsidRDefault="00073510" w:rsidP="00181755">
      <w:pPr>
        <w:pStyle w:val="Cmsor2"/>
        <w:rPr>
          <w:rFonts w:asciiTheme="minorHAnsi" w:hAnsiTheme="minorHAnsi"/>
        </w:rPr>
      </w:pPr>
      <w:bookmarkStart w:id="487" w:name="_Toc461195780"/>
      <w:bookmarkStart w:id="488" w:name="_Toc461524863"/>
      <w:bookmarkStart w:id="489" w:name="_Toc461547917"/>
      <w:bookmarkStart w:id="490" w:name="_Toc461550207"/>
      <w:bookmarkStart w:id="491" w:name="_Toc462401945"/>
      <w:bookmarkStart w:id="492" w:name="_Toc462403066"/>
      <w:bookmarkStart w:id="493" w:name="_Toc462403391"/>
      <w:bookmarkStart w:id="494" w:name="_Toc462403820"/>
      <w:bookmarkStart w:id="495" w:name="_Toc462645688"/>
      <w:bookmarkStart w:id="496" w:name="_Toc468180510"/>
      <w:bookmarkStart w:id="497" w:name="_Toc468181042"/>
      <w:bookmarkStart w:id="498" w:name="_Toc462401946"/>
      <w:bookmarkStart w:id="499" w:name="_Toc462403067"/>
      <w:bookmarkStart w:id="500" w:name="_Toc462403392"/>
      <w:bookmarkStart w:id="501" w:name="_Toc468180511"/>
      <w:bookmarkStart w:id="502" w:name="_Toc468181043"/>
      <w:bookmarkStart w:id="503" w:name="_Toc468191431"/>
      <w:bookmarkStart w:id="504" w:name="_Toc461095186"/>
      <w:bookmarkStart w:id="505" w:name="_Toc461547918"/>
      <w:bookmarkStart w:id="506" w:name="_Toc461179216"/>
      <w:bookmarkStart w:id="507" w:name="_Toc461179842"/>
      <w:bookmarkEnd w:id="487"/>
      <w:bookmarkEnd w:id="488"/>
      <w:bookmarkEnd w:id="489"/>
      <w:bookmarkEnd w:id="490"/>
      <w:bookmarkEnd w:id="491"/>
      <w:bookmarkEnd w:id="492"/>
      <w:bookmarkEnd w:id="493"/>
      <w:bookmarkEnd w:id="494"/>
      <w:bookmarkEnd w:id="495"/>
      <w:bookmarkEnd w:id="496"/>
      <w:bookmarkEnd w:id="497"/>
      <w:r w:rsidRPr="00181755">
        <w:rPr>
          <w:rFonts w:asciiTheme="minorHAnsi" w:hAnsiTheme="minorHAnsi"/>
          <w:lang w:val="hu-HU"/>
        </w:rPr>
        <w:t>ICAAP</w:t>
      </w:r>
      <w:r w:rsidRPr="00181755">
        <w:rPr>
          <w:rFonts w:asciiTheme="minorHAnsi" w:hAnsiTheme="minorHAnsi"/>
        </w:rPr>
        <w:t xml:space="preserve"> irányítás és kontrollrendszerek – kockázatkezelés</w:t>
      </w:r>
      <w:bookmarkEnd w:id="498"/>
      <w:bookmarkEnd w:id="499"/>
      <w:bookmarkEnd w:id="500"/>
      <w:bookmarkEnd w:id="501"/>
      <w:bookmarkEnd w:id="502"/>
      <w:bookmarkEnd w:id="503"/>
    </w:p>
    <w:p w14:paraId="6C42CB38" w14:textId="3C42E68B" w:rsidR="00073510" w:rsidRPr="00181755" w:rsidRDefault="00073510" w:rsidP="00181755">
      <w:pPr>
        <w:spacing w:after="240"/>
        <w:rPr>
          <w:rFonts w:asciiTheme="minorHAnsi" w:hAnsiTheme="minorHAnsi"/>
        </w:rPr>
      </w:pPr>
      <w:r w:rsidRPr="00181755">
        <w:rPr>
          <w:rFonts w:asciiTheme="minorHAnsi" w:hAnsiTheme="minorHAnsi"/>
        </w:rPr>
        <w:t>A SREP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181755" w:rsidRDefault="00073510" w:rsidP="00181755">
      <w:pPr>
        <w:pStyle w:val="Cmsor3"/>
        <w:rPr>
          <w:rFonts w:asciiTheme="minorHAnsi" w:hAnsiTheme="minorHAnsi"/>
        </w:rPr>
      </w:pPr>
      <w:bookmarkStart w:id="508" w:name="_Toc462401947"/>
      <w:bookmarkStart w:id="509" w:name="_Toc462403068"/>
      <w:bookmarkStart w:id="510" w:name="_Toc462403393"/>
      <w:bookmarkStart w:id="511" w:name="_Toc468180512"/>
      <w:bookmarkStart w:id="512" w:name="_Toc468181044"/>
      <w:bookmarkStart w:id="513" w:name="_Toc468191432"/>
      <w:r w:rsidRPr="00181755">
        <w:rPr>
          <w:rFonts w:asciiTheme="minorHAnsi" w:hAnsiTheme="minorHAnsi"/>
          <w:lang w:val="hu-HU"/>
        </w:rPr>
        <w:t>ICAAP tudatosság</w:t>
      </w:r>
      <w:bookmarkEnd w:id="508"/>
      <w:bookmarkEnd w:id="509"/>
      <w:bookmarkEnd w:id="510"/>
      <w:bookmarkEnd w:id="511"/>
      <w:bookmarkEnd w:id="512"/>
      <w:bookmarkEnd w:id="513"/>
    </w:p>
    <w:p w14:paraId="4F625AE0" w14:textId="77777777" w:rsidR="00073510" w:rsidRPr="00181755" w:rsidRDefault="00073510" w:rsidP="00181755">
      <w:pPr>
        <w:rPr>
          <w:rFonts w:asciiTheme="minorHAnsi" w:hAnsiTheme="minorHAnsi"/>
        </w:rPr>
      </w:pPr>
      <w:r w:rsidRPr="00181755">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181755" w:rsidRDefault="00073510" w:rsidP="00181755">
      <w:pPr>
        <w:rPr>
          <w:rFonts w:asciiTheme="minorHAnsi" w:hAnsiTheme="minorHAnsi"/>
        </w:rPr>
      </w:pPr>
      <w:r w:rsidRPr="00181755">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181755" w:rsidRDefault="00073510" w:rsidP="00181755">
      <w:pPr>
        <w:rPr>
          <w:rFonts w:asciiTheme="minorHAnsi" w:hAnsiTheme="minorHAnsi"/>
        </w:rPr>
      </w:pPr>
      <w:r w:rsidRPr="00181755">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181755" w:rsidRDefault="00073510" w:rsidP="00181755">
      <w:pPr>
        <w:rPr>
          <w:rFonts w:asciiTheme="minorHAnsi" w:hAnsiTheme="minorHAnsi"/>
        </w:rPr>
      </w:pPr>
      <w:r w:rsidRPr="00181755">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181755" w:rsidRDefault="00073510" w:rsidP="00181755">
      <w:pPr>
        <w:rPr>
          <w:rFonts w:asciiTheme="minorHAnsi" w:hAnsiTheme="minorHAnsi"/>
        </w:rPr>
      </w:pPr>
      <w:r w:rsidRPr="00181755">
        <w:rPr>
          <w:rFonts w:asciiTheme="minorHAnsi" w:hAnsiTheme="minorHAnsi"/>
        </w:rPr>
        <w:t>Az MNB olyan átfogó szemléletű ICAAP kockázatkezelési gyakorlat megvalósítását tartja követendőnek, amely:</w:t>
      </w:r>
    </w:p>
    <w:p w14:paraId="604522F3"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 </w:t>
      </w:r>
      <w:r w:rsidRPr="00181755">
        <w:rPr>
          <w:rFonts w:asciiTheme="minorHAnsi" w:hAnsiTheme="minorHAnsi"/>
          <w:lang w:val="hu-HU"/>
        </w:rPr>
        <w:t xml:space="preserve">szabályozói megfelelésen túlmenően, a </w:t>
      </w:r>
      <w:r w:rsidRPr="00181755">
        <w:rPr>
          <w:rFonts w:asciiTheme="minorHAnsi" w:hAnsiTheme="minorHAnsi"/>
        </w:rPr>
        <w:t>kockázatok belső gazdasági tartalmából indul ki,</w:t>
      </w:r>
      <w:r w:rsidRPr="00181755">
        <w:rPr>
          <w:rFonts w:asciiTheme="minorHAnsi" w:hAnsiTheme="minorHAnsi"/>
          <w:lang w:val="hu-HU"/>
        </w:rPr>
        <w:t xml:space="preserve"> </w:t>
      </w:r>
      <w:r w:rsidRPr="00181755">
        <w:rPr>
          <w:rFonts w:asciiTheme="minorHAnsi" w:hAnsiTheme="minorHAnsi"/>
        </w:rPr>
        <w:t xml:space="preserve"> </w:t>
      </w:r>
    </w:p>
    <w:p w14:paraId="4BAFC837" w14:textId="77777777" w:rsidR="00073510" w:rsidRPr="00181755" w:rsidRDefault="00073510" w:rsidP="00181755">
      <w:pPr>
        <w:pStyle w:val="felsorolsos"/>
        <w:rPr>
          <w:rFonts w:asciiTheme="minorHAnsi" w:hAnsiTheme="minorHAnsi"/>
        </w:rPr>
      </w:pPr>
      <w:r w:rsidRPr="00181755">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lehetővé teszi a kockázatok </w:t>
      </w:r>
      <w:r w:rsidRPr="00181755">
        <w:rPr>
          <w:rFonts w:asciiTheme="minorHAnsi" w:hAnsiTheme="minorHAnsi"/>
          <w:lang w:val="hu-HU"/>
        </w:rPr>
        <w:t xml:space="preserve">ICAAP keretében történő, </w:t>
      </w:r>
      <w:r w:rsidRPr="00181755">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181755">
        <w:rPr>
          <w:rFonts w:asciiTheme="minorHAnsi" w:hAnsiTheme="minorHAnsi"/>
          <w:lang w:val="hu-HU"/>
        </w:rPr>
        <w:t>,</w:t>
      </w:r>
    </w:p>
    <w:p w14:paraId="7F4A88B1" w14:textId="7945C0B4"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a rövid, éven belüli és pontosan 1 éves időhorizonton felmerülő kockázatok mellett az intézmény középtávú </w:t>
      </w:r>
      <w:r w:rsidR="00D61BEA" w:rsidRPr="00181755">
        <w:rPr>
          <w:rFonts w:asciiTheme="minorHAnsi" w:hAnsiTheme="minorHAnsi"/>
          <w:lang w:val="hu-HU"/>
        </w:rPr>
        <w:t xml:space="preserve">(3-5 éves) </w:t>
      </w:r>
      <w:r w:rsidRPr="00181755">
        <w:rPr>
          <w:rFonts w:asciiTheme="minorHAnsi" w:hAnsiTheme="minorHAnsi"/>
          <w:lang w:val="hu-HU"/>
        </w:rPr>
        <w:t>életképességét is felméri,</w:t>
      </w:r>
      <w:r w:rsidR="006E73B4" w:rsidRPr="00181755">
        <w:rPr>
          <w:rFonts w:asciiTheme="minorHAnsi" w:hAnsiTheme="minorHAnsi"/>
          <w:lang w:val="hu-HU"/>
        </w:rPr>
        <w:t xml:space="preserve"> és</w:t>
      </w:r>
    </w:p>
    <w:p w14:paraId="696AD925" w14:textId="48CD71D5"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mindezen szempontok alapján tényleges felsővezetői döntések meghozatalára kerül sor. </w:t>
      </w:r>
    </w:p>
    <w:p w14:paraId="3FBA2A52" w14:textId="339712C5" w:rsidR="00073510" w:rsidRPr="00181755" w:rsidRDefault="00073510" w:rsidP="00181755">
      <w:pPr>
        <w:spacing w:after="240"/>
        <w:rPr>
          <w:rFonts w:asciiTheme="minorHAnsi" w:hAnsiTheme="minorHAnsi"/>
        </w:rPr>
      </w:pPr>
      <w:r w:rsidRPr="00181755">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181755">
        <w:rPr>
          <w:rFonts w:asciiTheme="minorHAnsi" w:hAnsiTheme="minorHAnsi"/>
        </w:rPr>
        <w:t>legalább</w:t>
      </w:r>
      <w:r w:rsidRPr="00181755">
        <w:rPr>
          <w:rFonts w:asciiTheme="minorHAnsi" w:hAnsiTheme="minorHAnsi"/>
        </w:rPr>
        <w:t xml:space="preserve"> negyedéves</w:t>
      </w:r>
      <w:r w:rsidR="0053246F" w:rsidRPr="00181755">
        <w:rPr>
          <w:rFonts w:asciiTheme="minorHAnsi" w:hAnsiTheme="minorHAnsi"/>
        </w:rPr>
        <w:t>, szükség esetén</w:t>
      </w:r>
      <w:r w:rsidRPr="00181755">
        <w:rPr>
          <w:rFonts w:asciiTheme="minorHAnsi" w:hAnsiTheme="minorHAnsi"/>
        </w:rPr>
        <w:t xml:space="preserve"> havi gyakoriság elvárt</w:t>
      </w:r>
      <w:r w:rsidR="000776E3" w:rsidRPr="00181755">
        <w:rPr>
          <w:rFonts w:asciiTheme="minorHAnsi" w:hAnsiTheme="minorHAnsi"/>
        </w:rPr>
        <w:t xml:space="preserve"> (például amennyiben az intézmény tők</w:t>
      </w:r>
      <w:r w:rsidR="00F661F6" w:rsidRPr="00181755">
        <w:rPr>
          <w:rFonts w:asciiTheme="minorHAnsi" w:hAnsiTheme="minorHAnsi"/>
        </w:rPr>
        <w:t>ehelyzete azt indokolja, azaz a mindenkor hatályban lévő</w:t>
      </w:r>
      <w:r w:rsidR="000776E3" w:rsidRPr="00181755">
        <w:rPr>
          <w:rFonts w:asciiTheme="minorHAnsi" w:hAnsiTheme="minorHAnsi"/>
        </w:rPr>
        <w:t xml:space="preserve"> OCR </w:t>
      </w:r>
      <w:r w:rsidR="00F661F6" w:rsidRPr="00181755">
        <w:rPr>
          <w:rFonts w:asciiTheme="minorHAnsi" w:hAnsiTheme="minorHAnsi"/>
        </w:rPr>
        <w:t xml:space="preserve">ráta </w:t>
      </w:r>
      <w:r w:rsidR="000776E3" w:rsidRPr="00181755">
        <w:rPr>
          <w:rFonts w:asciiTheme="minorHAnsi" w:hAnsiTheme="minorHAnsi"/>
        </w:rPr>
        <w:t xml:space="preserve">által </w:t>
      </w:r>
      <w:r w:rsidR="00F661F6" w:rsidRPr="00181755">
        <w:rPr>
          <w:rFonts w:asciiTheme="minorHAnsi" w:hAnsiTheme="minorHAnsi"/>
        </w:rPr>
        <w:t xml:space="preserve">a TREA arányában </w:t>
      </w:r>
      <w:r w:rsidR="000776E3" w:rsidRPr="00181755">
        <w:rPr>
          <w:rFonts w:asciiTheme="minorHAnsi" w:hAnsiTheme="minorHAnsi"/>
        </w:rPr>
        <w:t>meghatározott tőkekövetelmény fel</w:t>
      </w:r>
      <w:r w:rsidR="00F661F6" w:rsidRPr="00181755">
        <w:rPr>
          <w:rFonts w:asciiTheme="minorHAnsi" w:hAnsiTheme="minorHAnsi"/>
        </w:rPr>
        <w:t>etti szabad tőke nem éri el az 2</w:t>
      </w:r>
      <w:r w:rsidR="000776E3" w:rsidRPr="00181755">
        <w:rPr>
          <w:rFonts w:asciiTheme="minorHAnsi" w:hAnsiTheme="minorHAnsi"/>
        </w:rPr>
        <w:t>%-os mértéket)</w:t>
      </w:r>
      <w:r w:rsidRPr="00181755">
        <w:rPr>
          <w:rFonts w:asciiTheme="minorHAnsi" w:hAnsiTheme="minorHAnsi"/>
        </w:rPr>
        <w:t xml:space="preserve">. </w:t>
      </w:r>
    </w:p>
    <w:p w14:paraId="63F66254" w14:textId="77777777" w:rsidR="00073510" w:rsidRPr="00181755" w:rsidRDefault="00073510" w:rsidP="00181755">
      <w:pPr>
        <w:pStyle w:val="Cmsor3"/>
        <w:rPr>
          <w:rFonts w:asciiTheme="minorHAnsi" w:hAnsiTheme="minorHAnsi"/>
        </w:rPr>
      </w:pPr>
      <w:bookmarkStart w:id="514" w:name="_Toc462401948"/>
      <w:bookmarkStart w:id="515" w:name="_Toc462403069"/>
      <w:bookmarkStart w:id="516" w:name="_Toc462403394"/>
      <w:bookmarkStart w:id="517" w:name="_Toc468180513"/>
      <w:bookmarkStart w:id="518" w:name="_Toc468181045"/>
      <w:bookmarkStart w:id="519" w:name="_Toc468191433"/>
      <w:r w:rsidRPr="00181755">
        <w:rPr>
          <w:rFonts w:asciiTheme="minorHAnsi" w:hAnsiTheme="minorHAnsi"/>
          <w:lang w:val="hu-HU"/>
        </w:rPr>
        <w:t>ICAAP szabályozottság, vállalatirányítás és belső ellenőrzés</w:t>
      </w:r>
      <w:bookmarkEnd w:id="514"/>
      <w:bookmarkEnd w:id="515"/>
      <w:bookmarkEnd w:id="516"/>
      <w:bookmarkEnd w:id="517"/>
      <w:bookmarkEnd w:id="518"/>
      <w:bookmarkEnd w:id="519"/>
    </w:p>
    <w:p w14:paraId="7E2728D9" w14:textId="10E54611" w:rsidR="00073510" w:rsidRPr="00181755" w:rsidRDefault="00073510" w:rsidP="00181755">
      <w:pPr>
        <w:rPr>
          <w:rFonts w:asciiTheme="minorHAnsi" w:hAnsiTheme="minorHAnsi"/>
        </w:rPr>
      </w:pPr>
      <w:bookmarkStart w:id="520" w:name="_Toc462401949"/>
      <w:bookmarkStart w:id="521" w:name="_Toc462403070"/>
      <w:r w:rsidRPr="00181755">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181755">
        <w:rPr>
          <w:rFonts w:asciiTheme="minorHAnsi" w:hAnsiTheme="minorHAnsi"/>
        </w:rPr>
        <w:t>fő</w:t>
      </w:r>
      <w:r w:rsidRPr="00181755">
        <w:rPr>
          <w:rFonts w:asciiTheme="minorHAnsi" w:hAnsiTheme="minorHAnsi"/>
        </w:rPr>
        <w:t xml:space="preserve"> elem</w:t>
      </w:r>
      <w:r w:rsidR="00247390" w:rsidRPr="00181755">
        <w:rPr>
          <w:rFonts w:asciiTheme="minorHAnsi" w:hAnsiTheme="minorHAnsi"/>
        </w:rPr>
        <w:t>ei</w:t>
      </w:r>
      <w:r w:rsidRPr="00181755">
        <w:rPr>
          <w:rFonts w:asciiTheme="minorHAnsi" w:hAnsiTheme="minorHAnsi"/>
        </w:rPr>
        <w:t>t (</w:t>
      </w:r>
      <w:r w:rsidR="00247390" w:rsidRPr="00181755">
        <w:rPr>
          <w:rFonts w:asciiTheme="minorHAnsi" w:hAnsiTheme="minorHAnsi"/>
        </w:rPr>
        <w:t xml:space="preserve">ICAAP </w:t>
      </w:r>
      <w:r w:rsidRPr="00181755">
        <w:rPr>
          <w:rFonts w:asciiTheme="minorHAnsi" w:hAnsiTheme="minorHAnsi"/>
        </w:rPr>
        <w:t>keretrendszer</w:t>
      </w:r>
      <w:r w:rsidR="00247390" w:rsidRPr="00181755">
        <w:rPr>
          <w:rFonts w:asciiTheme="minorHAnsi" w:hAnsiTheme="minorHAnsi"/>
        </w:rPr>
        <w:t>, ICAAP stratégia, kockázati étvágy</w:t>
      </w:r>
      <w:r w:rsidRPr="00181755">
        <w:rPr>
          <w:rFonts w:asciiTheme="minorHAnsi" w:hAnsiTheme="minorHAnsi"/>
        </w:rPr>
        <w:t>) jóvá kell hagynia az intézmény Igazgatóságának és Felügyelő Bizottságának</w:t>
      </w:r>
      <w:r w:rsidR="00455C12" w:rsidRPr="00181755">
        <w:rPr>
          <w:rFonts w:asciiTheme="minorHAnsi" w:hAnsiTheme="minorHAnsi"/>
        </w:rPr>
        <w:t xml:space="preserve"> (a fentebbiek szerint, legalább éves gyakorisággal, azaz a megelőző jóváhagyást követő 12 hónapon belül)</w:t>
      </w:r>
      <w:r w:rsidRPr="00181755">
        <w:rPr>
          <w:rFonts w:asciiTheme="minorHAnsi" w:hAnsiTheme="minorHAnsi"/>
        </w:rPr>
        <w:t>.</w:t>
      </w:r>
      <w:bookmarkEnd w:id="520"/>
      <w:bookmarkEnd w:id="521"/>
    </w:p>
    <w:p w14:paraId="3F570218" w14:textId="77777777" w:rsidR="00073510" w:rsidRPr="00181755" w:rsidRDefault="00073510" w:rsidP="00181755">
      <w:pPr>
        <w:rPr>
          <w:rFonts w:asciiTheme="minorHAnsi" w:hAnsiTheme="minorHAnsi"/>
        </w:rPr>
      </w:pPr>
      <w:r w:rsidRPr="00181755">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legalább egyszer teljes körűen le kell vizsgálnia csoport- (azaz, összevont konszolidált) és egyedi (azaz, az egyes csoporttagok) szinten az ICAAP keretrendszer megfelelő működését, szervezeti beágyazottságát az alábbiak szerint:</w:t>
      </w:r>
    </w:p>
    <w:p w14:paraId="07F836E7" w14:textId="7FFD2ECB" w:rsidR="00073510" w:rsidRPr="00181755" w:rsidRDefault="00073510" w:rsidP="00181755">
      <w:pPr>
        <w:pStyle w:val="Listaszerbekezds"/>
        <w:numPr>
          <w:ilvl w:val="0"/>
          <w:numId w:val="9"/>
        </w:numPr>
        <w:contextualSpacing w:val="0"/>
        <w:rPr>
          <w:rFonts w:asciiTheme="minorHAnsi" w:hAnsiTheme="minorHAnsi"/>
        </w:rPr>
      </w:pPr>
      <w:r w:rsidRPr="00181755">
        <w:rPr>
          <w:rFonts w:asciiTheme="minorHAnsi" w:hAnsiTheme="minorHAnsi"/>
          <w:sz w:val="22"/>
          <w:szCs w:val="22"/>
          <w:lang w:val="hu-HU"/>
        </w:rPr>
        <w:t>rendelkezzen megfelelő éves ICAAP ellenőrzési tervvel, annak</w:t>
      </w:r>
      <w:r w:rsidR="00737B3F" w:rsidRPr="00181755">
        <w:rPr>
          <w:rFonts w:asciiTheme="minorHAnsi" w:hAnsiTheme="minorHAnsi"/>
          <w:sz w:val="22"/>
          <w:szCs w:val="22"/>
          <w:lang w:val="hu-HU"/>
        </w:rPr>
        <w:t>,</w:t>
      </w:r>
      <w:r w:rsidRPr="00181755">
        <w:rPr>
          <w:rFonts w:asciiTheme="minorHAnsi" w:hAnsiTheme="minorHAnsi"/>
          <w:sz w:val="22"/>
          <w:szCs w:val="22"/>
          <w:lang w:val="hu-HU"/>
        </w:rPr>
        <w:t xml:space="preserve"> </w:t>
      </w:r>
      <w:r w:rsidR="00737B3F" w:rsidRPr="00181755">
        <w:rPr>
          <w:rFonts w:asciiTheme="minorHAnsi" w:hAnsiTheme="minorHAnsi"/>
          <w:sz w:val="22"/>
          <w:szCs w:val="22"/>
          <w:lang w:val="hu-HU"/>
        </w:rPr>
        <w:t xml:space="preserve">valamint a korábbi auditok keretében feltárt hiányosságok megszüntetésének </w:t>
      </w:r>
      <w:r w:rsidR="000937F9" w:rsidRPr="00181755">
        <w:rPr>
          <w:rFonts w:asciiTheme="minorHAnsi" w:hAnsiTheme="minorHAnsi"/>
          <w:sz w:val="22"/>
          <w:szCs w:val="22"/>
          <w:lang w:val="hu-HU"/>
        </w:rPr>
        <w:t>(azaz, annak bemutatását, h</w:t>
      </w:r>
      <w:r w:rsidR="00EC1477" w:rsidRPr="00181755">
        <w:rPr>
          <w:rFonts w:asciiTheme="minorHAnsi" w:hAnsiTheme="minorHAnsi"/>
          <w:sz w:val="22"/>
          <w:szCs w:val="22"/>
          <w:lang w:val="hu-HU"/>
        </w:rPr>
        <w:t xml:space="preserve">ogy a belső ellenőrzés által </w:t>
      </w:r>
      <w:r w:rsidR="000937F9" w:rsidRPr="00181755">
        <w:rPr>
          <w:rFonts w:asciiTheme="minorHAnsi" w:hAnsiTheme="minorHAnsi"/>
          <w:sz w:val="22"/>
          <w:szCs w:val="22"/>
          <w:lang w:val="hu-HU"/>
        </w:rPr>
        <w:t xml:space="preserve">ICAAP témakörökben tett megállapításait a felelős terület határidőben végrehajtotta) </w:t>
      </w:r>
      <w:r w:rsidRPr="00181755">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181755" w:rsidRDefault="00073510" w:rsidP="00181755">
      <w:pPr>
        <w:pStyle w:val="Listaszerbekezds"/>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 xml:space="preserve">fedje le az intézmény minden csoporttagját, ICAAP modelljét, valamint csoportszinten és </w:t>
      </w:r>
      <w:r w:rsidR="00EB29C1" w:rsidRPr="00181755">
        <w:rPr>
          <w:rFonts w:asciiTheme="minorHAnsi" w:hAnsiTheme="minorHAnsi"/>
          <w:sz w:val="22"/>
          <w:szCs w:val="22"/>
          <w:lang w:val="hu-HU"/>
        </w:rPr>
        <w:t>csoport</w:t>
      </w:r>
      <w:r w:rsidRPr="00181755">
        <w:rPr>
          <w:rFonts w:asciiTheme="minorHAnsi" w:hAnsiTheme="minorHAnsi"/>
          <w:sz w:val="22"/>
          <w:szCs w:val="22"/>
          <w:lang w:val="hu-HU"/>
        </w:rPr>
        <w:t>szemléletben is kerüljön mindez elvégzésre,</w:t>
      </w:r>
      <w:r w:rsidR="00247390" w:rsidRPr="00181755">
        <w:rPr>
          <w:rFonts w:asciiTheme="minorHAnsi" w:hAnsiTheme="minorHAnsi"/>
          <w:sz w:val="22"/>
          <w:szCs w:val="22"/>
          <w:lang w:val="hu-HU"/>
        </w:rPr>
        <w:t xml:space="preserve"> </w:t>
      </w:r>
      <w:r w:rsidR="00247390" w:rsidRPr="00181755">
        <w:rPr>
          <w:rFonts w:asciiTheme="minorHAnsi" w:hAnsiTheme="minorHAnsi"/>
          <w:color w:val="000000" w:themeColor="text1"/>
        </w:rPr>
        <w:t>azzal a kiegészítéssel, hogy harmadik országban működő, illetőleg a vizsgálat vonatkozási időpontjában 500 m</w:t>
      </w:r>
      <w:r w:rsidR="00247390" w:rsidRPr="00181755">
        <w:rPr>
          <w:rFonts w:asciiTheme="minorHAnsi" w:hAnsiTheme="minorHAnsi"/>
          <w:color w:val="000000" w:themeColor="text1"/>
          <w:lang w:val="hu-HU"/>
        </w:rPr>
        <w:t>illiá</w:t>
      </w:r>
      <w:r w:rsidR="00247390" w:rsidRPr="00181755">
        <w:rPr>
          <w:rFonts w:asciiTheme="minorHAnsi" w:hAnsiTheme="minorHAnsi"/>
          <w:color w:val="000000" w:themeColor="text1"/>
        </w:rPr>
        <w:t xml:space="preserve">rd </w:t>
      </w:r>
      <w:r w:rsidR="00515450" w:rsidRPr="00181755">
        <w:rPr>
          <w:rFonts w:asciiTheme="minorHAnsi" w:hAnsiTheme="minorHAnsi"/>
          <w:color w:val="000000" w:themeColor="text1"/>
          <w:lang w:val="hu-HU"/>
        </w:rPr>
        <w:t>forint</w:t>
      </w:r>
      <w:r w:rsidR="00247390" w:rsidRPr="00181755">
        <w:rPr>
          <w:rFonts w:asciiTheme="minorHAnsi" w:hAnsiTheme="minorHAnsi"/>
          <w:color w:val="000000" w:themeColor="text1"/>
        </w:rPr>
        <w:t xml:space="preserve"> értéknél alacsonyabb szubkonszolidált mérlegfőösszeggel rendelkező leányvállalat esetén egyszerűsített ICAAP keretrendszer is elfogadható</w:t>
      </w:r>
      <w:r w:rsidR="00247390" w:rsidRPr="00181755">
        <w:rPr>
          <w:rFonts w:asciiTheme="minorHAnsi" w:hAnsiTheme="minorHAnsi"/>
          <w:color w:val="000000" w:themeColor="text1"/>
          <w:lang w:val="hu-HU"/>
        </w:rPr>
        <w:t>,</w:t>
      </w:r>
    </w:p>
    <w:p w14:paraId="4C3B3110" w14:textId="77777777" w:rsidR="00073510" w:rsidRPr="00181755" w:rsidRDefault="00073510" w:rsidP="00181755">
      <w:pPr>
        <w:pStyle w:val="Listaszerbekezds"/>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az ICAAP keretrendszert folyamatszemléletben tekintse át,</w:t>
      </w:r>
    </w:p>
    <w:p w14:paraId="15D60E61" w14:textId="77777777" w:rsidR="00073510" w:rsidRPr="00181755" w:rsidRDefault="00073510" w:rsidP="00181755">
      <w:pPr>
        <w:pStyle w:val="Listaszerbekezds"/>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181755" w:rsidRDefault="00073510" w:rsidP="00181755">
      <w:pPr>
        <w:pStyle w:val="Listaszerbekezds"/>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181755" w:rsidRDefault="00073510" w:rsidP="00181755">
      <w:pPr>
        <w:pStyle w:val="felsorolsos"/>
        <w:numPr>
          <w:ilvl w:val="0"/>
          <w:numId w:val="0"/>
        </w:numPr>
        <w:spacing w:after="240"/>
        <w:rPr>
          <w:rFonts w:asciiTheme="minorHAnsi" w:hAnsiTheme="minorHAnsi"/>
        </w:rPr>
      </w:pPr>
      <w:r w:rsidRPr="00181755">
        <w:rPr>
          <w:rFonts w:asciiTheme="minorHAnsi" w:hAnsiTheme="minorHAnsi"/>
          <w:color w:val="000000"/>
          <w:szCs w:val="22"/>
          <w:lang w:val="hu-HU" w:eastAsia="hu-HU"/>
        </w:rPr>
        <w:t xml:space="preserve">Az előzőek szerint, a belső tőkeszükséglet-számítási folyamatnak be kell épülnie az intézmény kockázatmérési és </w:t>
      </w:r>
      <w:r w:rsidR="006E73B4" w:rsidRPr="00181755">
        <w:rPr>
          <w:rFonts w:asciiTheme="minorHAnsi" w:hAnsiTheme="minorHAnsi"/>
          <w:color w:val="000000"/>
          <w:szCs w:val="22"/>
          <w:lang w:val="hu-HU" w:eastAsia="hu-HU"/>
        </w:rPr>
        <w:t>-</w:t>
      </w:r>
      <w:r w:rsidRPr="00181755">
        <w:rPr>
          <w:rFonts w:asciiTheme="minorHAnsi" w:hAnsiTheme="minorHAnsi"/>
          <w:color w:val="000000"/>
          <w:szCs w:val="22"/>
          <w:lang w:val="hu-HU" w:eastAsia="hu-HU"/>
        </w:rPr>
        <w:t>kontroll folyamataiba. Ennek lépéseit az alábbi pontokkal lényegében összhangban álló módon javasolt végrehajtani.</w:t>
      </w:r>
    </w:p>
    <w:p w14:paraId="3BFF2D86" w14:textId="77777777" w:rsidR="00073510" w:rsidRPr="00181755" w:rsidRDefault="00073510" w:rsidP="00181755">
      <w:pPr>
        <w:pStyle w:val="Cmsor3"/>
        <w:rPr>
          <w:rFonts w:asciiTheme="minorHAnsi" w:hAnsiTheme="minorHAnsi"/>
        </w:rPr>
      </w:pPr>
      <w:bookmarkStart w:id="522" w:name="_Toc462401950"/>
      <w:bookmarkStart w:id="523" w:name="_Toc462403071"/>
      <w:bookmarkStart w:id="524" w:name="_Toc462403395"/>
      <w:bookmarkStart w:id="525" w:name="_Toc468180514"/>
      <w:bookmarkStart w:id="526" w:name="_Toc468181046"/>
      <w:bookmarkStart w:id="527" w:name="_Toc468191434"/>
      <w:r w:rsidRPr="00181755">
        <w:rPr>
          <w:rFonts w:asciiTheme="minorHAnsi" w:hAnsiTheme="minorHAnsi"/>
        </w:rPr>
        <w:t>A tőkemegfelelés belső értékelési eljárására kialakított keretrendszer</w:t>
      </w:r>
      <w:bookmarkEnd w:id="522"/>
      <w:bookmarkEnd w:id="523"/>
      <w:bookmarkEnd w:id="524"/>
      <w:bookmarkEnd w:id="525"/>
      <w:bookmarkEnd w:id="526"/>
      <w:bookmarkEnd w:id="527"/>
    </w:p>
    <w:p w14:paraId="47825275" w14:textId="77777777" w:rsidR="00073510" w:rsidRPr="00181755" w:rsidRDefault="00073510" w:rsidP="00181755">
      <w:pPr>
        <w:rPr>
          <w:rFonts w:asciiTheme="minorHAnsi" w:hAnsiTheme="minorHAnsi"/>
        </w:rPr>
      </w:pPr>
      <w:r w:rsidRPr="00181755">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181755" w:rsidRDefault="00073510" w:rsidP="00181755">
      <w:pPr>
        <w:rPr>
          <w:rFonts w:asciiTheme="minorHAnsi" w:hAnsiTheme="minorHAnsi"/>
        </w:rPr>
      </w:pPr>
      <w:r w:rsidRPr="00181755">
        <w:rPr>
          <w:rFonts w:asciiTheme="minorHAnsi" w:hAnsiTheme="minorHAnsi"/>
        </w:rPr>
        <w:t>Az értékelés során az MNB figyelembe veszi, hogy:</w:t>
      </w:r>
    </w:p>
    <w:p w14:paraId="034F4957" w14:textId="581D3117" w:rsidR="00073510" w:rsidRPr="00181755" w:rsidRDefault="00073510" w:rsidP="00181755">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az intézmény által alkalmazott módszerek és feltevések megfelelőek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és egymással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 xml:space="preserve">összhangban </w:t>
      </w:r>
      <w:r w:rsidRPr="00181755">
        <w:rPr>
          <w:rFonts w:asciiTheme="minorHAnsi" w:eastAsia="Calibri" w:hAnsiTheme="minorHAnsi" w:cs="Calibri"/>
          <w:sz w:val="22"/>
          <w:szCs w:val="22"/>
          <w:lang w:val="hu-HU"/>
        </w:rPr>
        <w:t>állóak-e</w:t>
      </w:r>
      <w:r w:rsidRPr="00181755">
        <w:rPr>
          <w:rFonts w:asciiTheme="minorHAnsi" w:eastAsia="Calibri" w:hAnsiTheme="minorHAnsi" w:cs="Calibri"/>
          <w:sz w:val="22"/>
          <w:szCs w:val="22"/>
        </w:rPr>
        <w:t xml:space="preserve"> minden kockázatra vonatkozóan, megbízható, empirikus bementi adatokon alapulnak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megbízhatóan kalibrált paramétereket használnak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és egyenlően alkalmazzák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őket a kockázatok mérése, valamint a tőkekezelés céljából</w:t>
      </w:r>
      <w:r w:rsidR="006E73B4" w:rsidRPr="00181755">
        <w:rPr>
          <w:rFonts w:asciiTheme="minorHAnsi" w:eastAsia="Calibri" w:hAnsiTheme="minorHAnsi" w:cs="Calibri"/>
          <w:sz w:val="22"/>
          <w:szCs w:val="22"/>
          <w:lang w:val="hu-HU"/>
        </w:rPr>
        <w:t>,</w:t>
      </w:r>
    </w:p>
    <w:p w14:paraId="5E557348" w14:textId="6FFC4C2F" w:rsidR="00073510" w:rsidRPr="00181755" w:rsidRDefault="00073510" w:rsidP="00181755">
      <w:pPr>
        <w:pStyle w:val="Listaszerbekezds"/>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konfidenciaszint összhangban van-e a kockázatvállalási hajlandósággal, és 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diverzifikációs feltevések tükrözik-e az üzleti modellt és a kockázati</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stratégiákat</w:t>
      </w:r>
      <w:r w:rsidR="006E73B4" w:rsidRPr="00181755">
        <w:rPr>
          <w:rFonts w:asciiTheme="minorHAnsi" w:eastAsia="Calibri" w:hAnsiTheme="minorHAnsi" w:cs="Calibri"/>
          <w:sz w:val="22"/>
          <w:szCs w:val="22"/>
          <w:lang w:val="hu-HU"/>
        </w:rPr>
        <w:t>.</w:t>
      </w:r>
    </w:p>
    <w:p w14:paraId="0F3488E5" w14:textId="6A471155"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modelljéhez és annak összetettségéhez. A vezető 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181755">
        <w:rPr>
          <w:rFonts w:asciiTheme="minorHAnsi" w:eastAsia="Calibri" w:hAnsiTheme="minorHAnsi" w:cs="Calibri"/>
        </w:rPr>
        <w:t>,</w:t>
      </w:r>
      <w:r w:rsidRPr="00181755">
        <w:rPr>
          <w:rFonts w:asciiTheme="minorHAnsi" w:eastAsia="Calibri" w:hAnsiTheme="minorHAnsi" w:cs="Calibri"/>
        </w:rPr>
        <w:t xml:space="preserve"> valamint a tőketervek és a stratégia közti összhang megteremtése.</w:t>
      </w:r>
    </w:p>
    <w:p w14:paraId="6D7476B5"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eljárás hatékonyságának értékelése során az MNB figyelembe veszi, hogy az intézmény szabályzatai, eljárásai és eszközi elősegítik-e az alábbiakat:</w:t>
      </w:r>
    </w:p>
    <w:p w14:paraId="27FADC77" w14:textId="6E390685" w:rsidR="00073510" w:rsidRPr="00181755" w:rsidRDefault="00073510" w:rsidP="00181755">
      <w:pPr>
        <w:pStyle w:val="Listaszerbekezds"/>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 értékelési eljárása különböző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elemeiért felelős funkciók és/vagy irányító bizottságok egyértelmű azonosítása</w:t>
      </w:r>
      <w:r w:rsidR="006E73B4" w:rsidRPr="00181755">
        <w:rPr>
          <w:rFonts w:asciiTheme="minorHAnsi" w:eastAsia="Calibri" w:hAnsiTheme="minorHAnsi" w:cs="Calibri"/>
          <w:sz w:val="22"/>
          <w:szCs w:val="22"/>
          <w:lang w:val="hu-HU"/>
        </w:rPr>
        <w:t>,</w:t>
      </w:r>
    </w:p>
    <w:p w14:paraId="5DE88B7C" w14:textId="1CBC0BD0" w:rsidR="00073510" w:rsidRPr="00181755" w:rsidRDefault="00073510" w:rsidP="00181755">
      <w:pPr>
        <w:pStyle w:val="Listaszerbekezds"/>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tőketervezés: tőkeforrások kiszámítása a jövőbe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tekintve (többek között feltételezett stresszhelyzetekben) az átfogó stratégiával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vagy jelentős ügyletekkel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kapcsolatban</w:t>
      </w:r>
      <w:r w:rsidR="006E73B4" w:rsidRPr="00181755">
        <w:rPr>
          <w:rFonts w:asciiTheme="minorHAnsi" w:eastAsia="Calibri" w:hAnsiTheme="minorHAnsi" w:cs="Calibri"/>
          <w:sz w:val="22"/>
          <w:szCs w:val="22"/>
          <w:lang w:val="hu-HU"/>
        </w:rPr>
        <w:t>,</w:t>
      </w:r>
    </w:p>
    <w:p w14:paraId="3D3BEE1C" w14:textId="751DE8D3" w:rsidR="00073510" w:rsidRPr="00181755" w:rsidRDefault="00073510" w:rsidP="00181755">
      <w:pPr>
        <w:pStyle w:val="Listaszerbekezds"/>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tőkeforrások felosztása és nyomon követése üzletágak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kockázattípusok között (pl. az üzletágakra, szervezetekre vagy egyes kockázatokra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meghatározott kockázati korlátok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vannak-e az intézmény 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tőkeforrásainak megfelelőségére vonatkozó</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célkitűzéssel)</w:t>
      </w:r>
      <w:r w:rsidR="006E73B4" w:rsidRPr="00181755">
        <w:rPr>
          <w:rFonts w:asciiTheme="minorHAnsi" w:eastAsia="Calibri" w:hAnsiTheme="minorHAnsi" w:cs="Calibri"/>
          <w:sz w:val="22"/>
          <w:szCs w:val="22"/>
          <w:lang w:val="hu-HU"/>
        </w:rPr>
        <w:t>,</w:t>
      </w:r>
    </w:p>
    <w:p w14:paraId="3F2A8EC0" w14:textId="1779E4AF" w:rsidR="00073510" w:rsidRPr="00181755" w:rsidRDefault="00073510" w:rsidP="00181755">
      <w:pPr>
        <w:pStyle w:val="Listaszerbekezds"/>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 rendszeres és azonnali jelentése a felső vezetés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 vezető testület felé. Így különösen a jelentéstétel gyakoriságának megfelelőnek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kell lennie a kockázatok és az üzleti forgalom növekedése, a meglévő belső</w:t>
      </w:r>
      <w:r w:rsidRPr="00181755">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181755">
        <w:rPr>
          <w:rFonts w:asciiTheme="minorHAnsi" w:eastAsia="Calibri" w:hAnsiTheme="minorHAnsi" w:cs="Calibri"/>
          <w:sz w:val="22"/>
          <w:szCs w:val="22"/>
          <w:lang w:val="hu-HU"/>
        </w:rPr>
        <w:t>,</w:t>
      </w:r>
      <w:r w:rsidRPr="00181755">
        <w:rPr>
          <w:rFonts w:asciiTheme="minorHAnsi" w:eastAsia="Calibri" w:hAnsiTheme="minorHAnsi" w:cs="Calibri"/>
          <w:sz w:val="22"/>
          <w:szCs w:val="22"/>
          <w:lang w:val="hu-HU"/>
        </w:rPr>
        <w:t xml:space="preserve"> valamint</w:t>
      </w:r>
    </w:p>
    <w:p w14:paraId="53D7F47A" w14:textId="75C02533" w:rsidR="000B53CC" w:rsidRPr="00181755" w:rsidRDefault="00073510" w:rsidP="00181755">
      <w:pPr>
        <w:pStyle w:val="Listaszerbekezds"/>
        <w:numPr>
          <w:ilvl w:val="0"/>
          <w:numId w:val="28"/>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szCs w:val="22"/>
        </w:rPr>
        <w:t>a felső vezetés vagy a vezető testület tudomásszerzése és intézkedése,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amennyiben az üzleti stratégia és/vagy jelentős egyedi ügyletek nincsenek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az ICAAP eljárással</w:t>
      </w:r>
      <w:r w:rsidRPr="00181755">
        <w:rPr>
          <w:rFonts w:asciiTheme="minorHAnsi" w:eastAsia="Calibri" w:hAnsiTheme="minorHAnsi" w:cs="Calibri"/>
          <w:sz w:val="22"/>
          <w:szCs w:val="22"/>
          <w:lang w:val="hu-HU"/>
        </w:rPr>
        <w:t xml:space="preserve"> és</w:t>
      </w:r>
      <w:r w:rsidRPr="00181755">
        <w:rPr>
          <w:rFonts w:asciiTheme="minorHAnsi" w:eastAsia="Calibri" w:hAnsiTheme="minorHAnsi" w:cs="Calibri"/>
          <w:sz w:val="22"/>
          <w:szCs w:val="22"/>
        </w:rPr>
        <w:t xml:space="preserve"> a rendelkezésre álló belső tőkével.</w:t>
      </w:r>
    </w:p>
    <w:p w14:paraId="44BA6021"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További elvárás a tőkemegfelelés belső értékelési eljárása tekintetében, hogy átfogó jellege által megfelelően lefedje az üzletágakat, a szervezeteket és azokat a kockázatokat, amelyeknek az intézmény ki van téve, vagy ki lehet téve, valamint emellett biztosított legyen a jogszabályi megfelelés.</w:t>
      </w:r>
    </w:p>
    <w:p w14:paraId="3D06ACE0"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fentiek megítélése során az MNB többek között az alábbi szempontokat értékeli:</w:t>
      </w:r>
    </w:p>
    <w:p w14:paraId="4422F3E1" w14:textId="367010C9" w:rsidR="00073510" w:rsidRPr="00181755" w:rsidRDefault="00073510" w:rsidP="00181755">
      <w:pPr>
        <w:pStyle w:val="Listaszerbekezds"/>
        <w:numPr>
          <w:ilvl w:val="0"/>
          <w:numId w:val="29"/>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eljárását egységes és arányos módon végzik-e el az intézmény minden</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releváns üzletágánál és szervezeténél a kockázatok azonosítása és értékelése</w:t>
      </w:r>
      <w:r w:rsidRPr="00181755">
        <w:rPr>
          <w:rFonts w:asciiTheme="minorHAnsi" w:eastAsia="Calibri" w:hAnsiTheme="minorHAnsi" w:cs="Calibri"/>
          <w:sz w:val="22"/>
          <w:lang w:val="hu-HU"/>
        </w:rPr>
        <w:t xml:space="preserve"> </w:t>
      </w:r>
      <w:r w:rsidR="000B53CC" w:rsidRPr="00181755">
        <w:rPr>
          <w:rFonts w:asciiTheme="minorHAnsi" w:eastAsia="Calibri" w:hAnsiTheme="minorHAnsi" w:cs="Calibri"/>
          <w:sz w:val="22"/>
        </w:rPr>
        <w:t>tekintetében</w:t>
      </w:r>
      <w:r w:rsidR="000B53CC" w:rsidRPr="00181755">
        <w:rPr>
          <w:rFonts w:asciiTheme="minorHAnsi" w:eastAsia="Calibri" w:hAnsiTheme="minorHAnsi" w:cs="Calibri"/>
          <w:sz w:val="22"/>
          <w:lang w:val="hu-HU"/>
        </w:rPr>
        <w:t>,</w:t>
      </w:r>
    </w:p>
    <w:p w14:paraId="0BF2C4CD" w14:textId="6899C199" w:rsidR="00073510" w:rsidRPr="00181755" w:rsidRDefault="00073510" w:rsidP="00181755">
      <w:pPr>
        <w:pStyle w:val="Listaszerbekezds"/>
        <w:numPr>
          <w:ilvl w:val="0"/>
          <w:numId w:val="29"/>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eljárása lefedi-e az összes lényeges kockázatot, függetlenül attól, hogy</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kockázat a konszolidáció hatálya alá nem tartozó szervezettől (különleges célú</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gazdasági eszközöktől, különleges cél</w:t>
      </w:r>
      <w:r w:rsidR="000B53CC" w:rsidRPr="00181755">
        <w:rPr>
          <w:rFonts w:asciiTheme="minorHAnsi" w:eastAsia="Calibri" w:hAnsiTheme="minorHAnsi" w:cs="Calibri"/>
          <w:sz w:val="22"/>
        </w:rPr>
        <w:t>ú gazdasági egységektől) ered-e</w:t>
      </w:r>
      <w:r w:rsidR="000B53CC" w:rsidRPr="00181755">
        <w:rPr>
          <w:rFonts w:asciiTheme="minorHAnsi" w:eastAsia="Calibri" w:hAnsiTheme="minorHAnsi" w:cs="Calibri"/>
          <w:sz w:val="22"/>
          <w:lang w:val="hu-HU"/>
        </w:rPr>
        <w:t>,</w:t>
      </w:r>
      <w:r w:rsidRPr="00181755">
        <w:rPr>
          <w:rFonts w:asciiTheme="minorHAnsi" w:eastAsia="Calibri" w:hAnsiTheme="minorHAnsi" w:cs="Calibri"/>
          <w:sz w:val="22"/>
        </w:rPr>
        <w:t xml:space="preserve"> valamint</w:t>
      </w:r>
    </w:p>
    <w:p w14:paraId="2A74D1E9" w14:textId="4D060BCA" w:rsidR="006E73B4" w:rsidRPr="00181755" w:rsidRDefault="00073510" w:rsidP="00181755">
      <w:pPr>
        <w:pStyle w:val="Listaszerbekezds"/>
        <w:numPr>
          <w:ilvl w:val="0"/>
          <w:numId w:val="29"/>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rPr>
        <w:t>amennyiben egy szervezet belső irányítási szabályai vagy folyamatai különböznek</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csoporthoz tartozó egyéb szervezetekétől, ezek az eltérések indokoltak-e</w:t>
      </w:r>
      <w:r w:rsidRPr="00181755">
        <w:rPr>
          <w:rFonts w:asciiTheme="minorHAnsi" w:eastAsia="Calibri" w:hAnsiTheme="minorHAnsi" w:cs="Calibri"/>
          <w:sz w:val="22"/>
          <w:lang w:val="hu-HU"/>
        </w:rPr>
        <w:t>.</w:t>
      </w:r>
    </w:p>
    <w:p w14:paraId="56686109" w14:textId="77777777" w:rsidR="00073510" w:rsidRPr="00181755" w:rsidRDefault="00073510" w:rsidP="00181755">
      <w:pPr>
        <w:pStyle w:val="Cmsor3"/>
        <w:rPr>
          <w:rFonts w:asciiTheme="minorHAnsi" w:hAnsiTheme="minorHAnsi"/>
        </w:rPr>
      </w:pPr>
      <w:bookmarkStart w:id="528" w:name="_Toc462401951"/>
      <w:bookmarkStart w:id="529" w:name="_Toc462403072"/>
      <w:bookmarkStart w:id="530" w:name="_Toc462403396"/>
      <w:bookmarkStart w:id="531" w:name="_Toc468180515"/>
      <w:bookmarkStart w:id="532" w:name="_Toc468181047"/>
      <w:bookmarkStart w:id="533" w:name="_Toc468191435"/>
      <w:r w:rsidRPr="00181755">
        <w:rPr>
          <w:rFonts w:asciiTheme="minorHAnsi" w:hAnsiTheme="minorHAnsi"/>
        </w:rPr>
        <w:t>Az ICAAP integráltsága</w:t>
      </w:r>
      <w:bookmarkEnd w:id="528"/>
      <w:bookmarkEnd w:id="529"/>
      <w:bookmarkEnd w:id="530"/>
      <w:bookmarkEnd w:id="531"/>
      <w:bookmarkEnd w:id="532"/>
      <w:bookmarkEnd w:id="533"/>
    </w:p>
    <w:p w14:paraId="7D5F71FA" w14:textId="77777777" w:rsidR="00073510" w:rsidRPr="00181755" w:rsidRDefault="00073510" w:rsidP="00181755">
      <w:pPr>
        <w:autoSpaceDE w:val="0"/>
        <w:autoSpaceDN w:val="0"/>
        <w:adjustRightInd w:val="0"/>
        <w:jc w:val="left"/>
        <w:rPr>
          <w:rFonts w:asciiTheme="minorHAnsi" w:eastAsia="Calibri" w:hAnsiTheme="minorHAnsi" w:cs="Calibri"/>
        </w:rPr>
      </w:pPr>
      <w:r w:rsidRPr="00181755">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181755" w:rsidRDefault="00073510" w:rsidP="00181755">
      <w:pPr>
        <w:pStyle w:val="felsorolsos"/>
        <w:rPr>
          <w:rFonts w:asciiTheme="minorHAnsi" w:hAnsiTheme="minorHAnsi"/>
        </w:rPr>
      </w:pPr>
      <w:r w:rsidRPr="00181755">
        <w:rPr>
          <w:rFonts w:asciiTheme="minorHAnsi" w:hAnsiTheme="minorHAnsi"/>
        </w:rPr>
        <w:t>a pontos felelősségi- és hatásköröket definiálni, elkerülve a hatásköri ütközéseket,</w:t>
      </w:r>
    </w:p>
    <w:p w14:paraId="314C9633" w14:textId="77777777" w:rsidR="00073510" w:rsidRPr="00181755" w:rsidRDefault="00073510" w:rsidP="00181755">
      <w:pPr>
        <w:pStyle w:val="felsorolsos"/>
        <w:rPr>
          <w:rFonts w:asciiTheme="minorHAnsi" w:hAnsiTheme="minorHAnsi"/>
        </w:rPr>
      </w:pPr>
      <w:r w:rsidRPr="00181755">
        <w:rPr>
          <w:rFonts w:asciiTheme="minorHAnsi" w:hAnsiTheme="minorHAnsi"/>
        </w:rPr>
        <w:t>a kockázatkezelési folyamatokat bemutatni,</w:t>
      </w:r>
    </w:p>
    <w:p w14:paraId="622B0116" w14:textId="77777777" w:rsidR="00073510" w:rsidRPr="00181755" w:rsidRDefault="00073510" w:rsidP="00181755">
      <w:pPr>
        <w:pStyle w:val="felsorolsos"/>
        <w:rPr>
          <w:rFonts w:asciiTheme="minorHAnsi" w:hAnsiTheme="minorHAnsi"/>
        </w:rPr>
      </w:pPr>
      <w:r w:rsidRPr="00181755">
        <w:rPr>
          <w:rFonts w:asciiTheme="minorHAnsi" w:hAnsiTheme="minorHAnsi"/>
        </w:rPr>
        <w:t>az arányosság figyelembevételével a kockázatkezelést alosztályokra tagolni (</w:t>
      </w:r>
      <w:r w:rsidRPr="00181755">
        <w:rPr>
          <w:rFonts w:asciiTheme="minorHAnsi" w:hAnsiTheme="minorHAnsi"/>
          <w:lang w:val="hu-HU"/>
        </w:rPr>
        <w:t xml:space="preserve">a </w:t>
      </w:r>
      <w:r w:rsidRPr="00181755">
        <w:rPr>
          <w:rFonts w:asciiTheme="minorHAnsi" w:hAnsiTheme="minorHAnsi"/>
        </w:rPr>
        <w:t xml:space="preserve">szervezeti felépítés átláthatóságának és funkcionalitásának mértékét, a szegregáció szintjét, az üzleti terület, </w:t>
      </w:r>
      <w:r w:rsidRPr="00181755">
        <w:rPr>
          <w:rFonts w:asciiTheme="minorHAnsi" w:hAnsiTheme="minorHAnsi"/>
          <w:lang w:val="hu-HU"/>
        </w:rPr>
        <w:t xml:space="preserve">a </w:t>
      </w:r>
      <w:r w:rsidRPr="00181755">
        <w:rPr>
          <w:rFonts w:asciiTheme="minorHAnsi" w:hAnsiTheme="minorHAnsi"/>
        </w:rPr>
        <w:t>back office és a kockázatkezelés szervezeti szétválasztásának mértékét meghatározni és bemutatni),</w:t>
      </w:r>
    </w:p>
    <w:p w14:paraId="26D58BAD" w14:textId="546133FF" w:rsidR="00073510" w:rsidRPr="00181755" w:rsidRDefault="00073510" w:rsidP="00181755">
      <w:pPr>
        <w:pStyle w:val="felsorolsos"/>
        <w:rPr>
          <w:rFonts w:asciiTheme="minorHAnsi" w:hAnsiTheme="minorHAnsi"/>
        </w:rPr>
      </w:pPr>
      <w:r w:rsidRPr="00181755">
        <w:rPr>
          <w:rFonts w:asciiTheme="minorHAnsi" w:hAnsiTheme="minorHAnsi"/>
        </w:rPr>
        <w:t>a belső ellenőrzés és kontroll, compliance funkciót bemutatni (a belső kontroll funkciók függetlenségének mértékét a felügyelt, ellenőrzött tevékenységektől),</w:t>
      </w:r>
      <w:r w:rsidR="00C76F21" w:rsidRPr="00181755">
        <w:rPr>
          <w:rFonts w:asciiTheme="minorHAnsi" w:hAnsiTheme="minorHAnsi"/>
          <w:lang w:val="hu-HU"/>
        </w:rPr>
        <w:t xml:space="preserve"> </w:t>
      </w:r>
      <w:r w:rsidR="00C76F21" w:rsidRPr="00181755">
        <w:rPr>
          <w:rFonts w:asciiTheme="minorHAnsi" w:hAnsiTheme="minorHAnsi"/>
        </w:rPr>
        <w:t>az ICAAP témakörök megfelelő</w:t>
      </w:r>
      <w:r w:rsidR="00C76F21" w:rsidRPr="00181755">
        <w:rPr>
          <w:rFonts w:asciiTheme="minorHAnsi" w:hAnsiTheme="minorHAnsi"/>
          <w:lang w:val="hu-HU"/>
        </w:rPr>
        <w:t xml:space="preserve"> </w:t>
      </w:r>
      <w:r w:rsidR="00C76F21" w:rsidRPr="00181755">
        <w:rPr>
          <w:rFonts w:asciiTheme="minorHAnsi" w:hAnsiTheme="minorHAnsi"/>
        </w:rPr>
        <w:t>minőségű, gyakoriságú vizsgálatát a belső ellenőrzés által</w:t>
      </w:r>
      <w:r w:rsidR="00C76F21" w:rsidRPr="00181755">
        <w:rPr>
          <w:rFonts w:asciiTheme="minorHAnsi" w:hAnsiTheme="minorHAnsi"/>
          <w:lang w:val="hu-HU"/>
        </w:rPr>
        <w:t xml:space="preserve"> biztosítani kell,</w:t>
      </w:r>
    </w:p>
    <w:p w14:paraId="695C27CA" w14:textId="77777777" w:rsidR="00073510" w:rsidRPr="00181755" w:rsidRDefault="00073510" w:rsidP="00181755">
      <w:pPr>
        <w:pStyle w:val="felsorolsos"/>
        <w:rPr>
          <w:rFonts w:asciiTheme="minorHAnsi" w:hAnsiTheme="minorHAnsi"/>
        </w:rPr>
      </w:pPr>
      <w:r w:rsidRPr="00181755">
        <w:rPr>
          <w:rFonts w:asciiTheme="minorHAnsi" w:hAnsiTheme="minorHAnsi"/>
        </w:rPr>
        <w:t>a VIR, controlling, belső információs rendszert bemutatni,</w:t>
      </w:r>
    </w:p>
    <w:p w14:paraId="0F6F5637" w14:textId="77777777" w:rsidR="00073510" w:rsidRPr="00181755" w:rsidRDefault="00073510" w:rsidP="00181755">
      <w:pPr>
        <w:pStyle w:val="felsorolsos"/>
        <w:rPr>
          <w:rFonts w:asciiTheme="minorHAnsi" w:hAnsiTheme="minorHAnsi"/>
        </w:rPr>
      </w:pPr>
      <w:r w:rsidRPr="00181755">
        <w:rPr>
          <w:rFonts w:asciiTheme="minorHAnsi" w:hAnsiTheme="minorHAnsi"/>
        </w:rPr>
        <w:t>a riportálás jellegét, annak tartalmát és rendszerességét meghatározni különböző szinteken,</w:t>
      </w:r>
    </w:p>
    <w:p w14:paraId="3D4B29B0" w14:textId="42BC4D97" w:rsidR="00073510" w:rsidRPr="00181755" w:rsidRDefault="00073510" w:rsidP="00181755">
      <w:pPr>
        <w:pStyle w:val="felsorolsos"/>
        <w:rPr>
          <w:rFonts w:asciiTheme="minorHAnsi" w:hAnsiTheme="minorHAnsi"/>
        </w:rPr>
      </w:pPr>
      <w:r w:rsidRPr="00181755">
        <w:rPr>
          <w:rFonts w:asciiTheme="minorHAnsi" w:hAnsiTheme="minorHAnsi"/>
        </w:rPr>
        <w:t>a kockázati stratégia, a kockázattudatosság szervezeten belüli terjesztését bemutatni, (tájékoztatás, képzés),</w:t>
      </w:r>
    </w:p>
    <w:p w14:paraId="078B1723" w14:textId="77777777" w:rsidR="00073510" w:rsidRPr="00181755" w:rsidRDefault="00073510" w:rsidP="00181755">
      <w:pPr>
        <w:pStyle w:val="felsorolsos"/>
        <w:rPr>
          <w:rFonts w:asciiTheme="minorHAnsi" w:hAnsiTheme="minorHAnsi"/>
        </w:rPr>
      </w:pPr>
      <w:r w:rsidRPr="00181755">
        <w:rPr>
          <w:rFonts w:asciiTheme="minorHAnsi" w:hAnsiTheme="minorHAnsi"/>
        </w:rPr>
        <w:t>a csoportszintű kockázatkezelést, koordinációt alkalmazni és bemutatni,</w:t>
      </w:r>
    </w:p>
    <w:p w14:paraId="0D8D58E2" w14:textId="4878EBD3" w:rsidR="00073510" w:rsidRPr="00181755" w:rsidRDefault="00073510" w:rsidP="00181755">
      <w:pPr>
        <w:pStyle w:val="felsorolsos"/>
        <w:rPr>
          <w:rFonts w:asciiTheme="minorHAnsi" w:hAnsiTheme="minorHAnsi"/>
        </w:rPr>
      </w:pPr>
      <w:r w:rsidRPr="00181755">
        <w:rPr>
          <w:rFonts w:asciiTheme="minorHAnsi" w:hAnsiTheme="minorHAnsi"/>
        </w:rPr>
        <w:t>a kockázatkezelési rendszernek megfelelő javadalmazási politikát alkalmazni és bemutatni.</w:t>
      </w:r>
    </w:p>
    <w:p w14:paraId="02979066" w14:textId="77777777" w:rsidR="00073510" w:rsidRPr="00181755" w:rsidRDefault="00073510" w:rsidP="00181755">
      <w:pPr>
        <w:pStyle w:val="Cmsor3"/>
        <w:rPr>
          <w:rFonts w:asciiTheme="minorHAnsi" w:hAnsiTheme="minorHAnsi"/>
        </w:rPr>
      </w:pPr>
      <w:bookmarkStart w:id="534" w:name="_Toc462401952"/>
      <w:bookmarkStart w:id="535" w:name="_Toc462403073"/>
      <w:bookmarkStart w:id="536" w:name="_Toc462403397"/>
      <w:bookmarkStart w:id="537" w:name="_Toc468180516"/>
      <w:bookmarkStart w:id="538" w:name="_Toc468181048"/>
      <w:bookmarkStart w:id="539" w:name="_Toc468191436"/>
      <w:r w:rsidRPr="00181755">
        <w:rPr>
          <w:rFonts w:asciiTheme="minorHAnsi" w:hAnsiTheme="minorHAnsi"/>
        </w:rPr>
        <w:t>Kockázati stratégi</w:t>
      </w:r>
      <w:r w:rsidRPr="00181755">
        <w:rPr>
          <w:rFonts w:asciiTheme="minorHAnsi" w:hAnsiTheme="minorHAnsi"/>
          <w:lang w:val="hu-HU"/>
        </w:rPr>
        <w:t>a</w:t>
      </w:r>
      <w:bookmarkEnd w:id="534"/>
      <w:bookmarkEnd w:id="535"/>
      <w:bookmarkEnd w:id="536"/>
      <w:bookmarkEnd w:id="537"/>
      <w:bookmarkEnd w:id="538"/>
      <w:bookmarkEnd w:id="539"/>
    </w:p>
    <w:p w14:paraId="0B8B58AC" w14:textId="77777777" w:rsidR="00073510" w:rsidRPr="00181755" w:rsidRDefault="00073510" w:rsidP="00181755">
      <w:pPr>
        <w:rPr>
          <w:rFonts w:asciiTheme="minorHAnsi" w:hAnsiTheme="minorHAnsi"/>
        </w:rPr>
      </w:pPr>
      <w:r w:rsidRPr="00181755">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181755">
        <w:rPr>
          <w:rFonts w:asciiTheme="minorHAnsi" w:hAnsiTheme="minorHAnsi"/>
          <w:vertAlign w:val="superscript"/>
        </w:rPr>
        <w:footnoteReference w:id="25"/>
      </w:r>
    </w:p>
    <w:p w14:paraId="7BD57A20" w14:textId="77777777" w:rsidR="00073510" w:rsidRPr="00181755" w:rsidRDefault="00073510" w:rsidP="00181755">
      <w:pPr>
        <w:rPr>
          <w:rFonts w:asciiTheme="minorHAnsi" w:hAnsiTheme="minorHAnsi"/>
        </w:rPr>
      </w:pPr>
      <w:r w:rsidRPr="00181755">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181755" w:rsidRDefault="005D37CB" w:rsidP="00181755">
      <w:pPr>
        <w:rPr>
          <w:rFonts w:asciiTheme="minorHAnsi" w:hAnsiTheme="minorHAnsi"/>
        </w:rPr>
      </w:pPr>
      <w:r w:rsidRPr="00181755">
        <w:rPr>
          <w:rFonts w:asciiTheme="minorHAnsi" w:hAnsiTheme="minorHAnsi"/>
        </w:rPr>
        <w:t>Az MNB elvárása anyabank által üzemeltetett, helyi szinten igénybe vett informatikai, modellezési</w:t>
      </w:r>
      <w:r w:rsidR="00B672CC" w:rsidRPr="00181755">
        <w:rPr>
          <w:rFonts w:asciiTheme="minorHAnsi" w:hAnsiTheme="minorHAnsi"/>
        </w:rPr>
        <w:t xml:space="preserve"> és kockázatkezelési-tervezési</w:t>
      </w:r>
      <w:r w:rsidRPr="00181755">
        <w:rPr>
          <w:rFonts w:asciiTheme="minorHAnsi" w:hAnsiTheme="minorHAnsi"/>
        </w:rPr>
        <w:t xml:space="preserve"> folyamatok esetén az, hogy a leánybanki intézményi tudás, annak magas szintje biztosított legyen (képzésekkel, megfelelő erőforrások allokálásával).</w:t>
      </w:r>
      <w:r w:rsidR="0088793F" w:rsidRPr="00181755">
        <w:rPr>
          <w:rFonts w:asciiTheme="minorHAnsi" w:hAnsiTheme="minorHAnsi"/>
        </w:rPr>
        <w:t xml:space="preserve"> </w:t>
      </w:r>
    </w:p>
    <w:p w14:paraId="7184D763" w14:textId="77777777" w:rsidR="00073510" w:rsidRPr="00181755" w:rsidRDefault="00073510" w:rsidP="00181755">
      <w:pPr>
        <w:keepNext/>
        <w:rPr>
          <w:rFonts w:asciiTheme="minorHAnsi" w:hAnsiTheme="minorHAnsi"/>
          <w:b/>
        </w:rPr>
      </w:pPr>
      <w:r w:rsidRPr="00181755">
        <w:rPr>
          <w:rFonts w:asciiTheme="minorHAnsi" w:hAnsiTheme="minorHAnsi"/>
          <w:b/>
        </w:rPr>
        <w:t>A kockázati stratégia elkészítésének lépései</w:t>
      </w:r>
    </w:p>
    <w:p w14:paraId="1047E6C1" w14:textId="77777777" w:rsidR="00073510" w:rsidRPr="00181755" w:rsidRDefault="00073510" w:rsidP="00181755">
      <w:pPr>
        <w:pStyle w:val="Cmsor4"/>
        <w:rPr>
          <w:rFonts w:asciiTheme="minorHAnsi" w:hAnsiTheme="minorHAnsi"/>
        </w:rPr>
      </w:pPr>
      <w:bookmarkStart w:id="540" w:name="_Toc462401953"/>
      <w:bookmarkStart w:id="541" w:name="_Toc462403074"/>
      <w:bookmarkStart w:id="542" w:name="_Toc462403398"/>
      <w:bookmarkStart w:id="543" w:name="_Toc468180517"/>
      <w:bookmarkStart w:id="544" w:name="_Toc468181049"/>
      <w:bookmarkStart w:id="545" w:name="_Toc468191437"/>
      <w:r w:rsidRPr="00181755">
        <w:rPr>
          <w:rFonts w:asciiTheme="minorHAnsi" w:hAnsiTheme="minorHAnsi"/>
        </w:rPr>
        <w:t>Kockázatvállalási politika</w:t>
      </w:r>
      <w:bookmarkEnd w:id="540"/>
      <w:bookmarkEnd w:id="541"/>
      <w:bookmarkEnd w:id="542"/>
      <w:bookmarkEnd w:id="543"/>
      <w:bookmarkEnd w:id="544"/>
      <w:bookmarkEnd w:id="545"/>
    </w:p>
    <w:p w14:paraId="316C4245" w14:textId="77777777" w:rsidR="00073510" w:rsidRPr="00181755" w:rsidRDefault="00073510" w:rsidP="00181755">
      <w:pPr>
        <w:pStyle w:val="szmozottfelsorols"/>
        <w:keepNext/>
        <w:ind w:left="714" w:hanging="357"/>
        <w:rPr>
          <w:rFonts w:asciiTheme="minorHAnsi" w:hAnsiTheme="minorHAnsi"/>
          <w:sz w:val="22"/>
          <w:szCs w:val="22"/>
        </w:rPr>
      </w:pPr>
      <w:r w:rsidRPr="00181755">
        <w:rPr>
          <w:rFonts w:asciiTheme="minorHAnsi" w:hAnsiTheme="minorHAnsi"/>
          <w:sz w:val="22"/>
          <w:szCs w:val="22"/>
        </w:rPr>
        <w:t>Csoporttagok rögzítése, az ICAAP kiterjedésének behatárolása</w:t>
      </w:r>
    </w:p>
    <w:p w14:paraId="213727D6" w14:textId="77777777" w:rsidR="00073510" w:rsidRPr="00181755" w:rsidRDefault="00073510" w:rsidP="00181755">
      <w:pPr>
        <w:keepNext/>
        <w:ind w:left="709"/>
        <w:rPr>
          <w:rFonts w:asciiTheme="minorHAnsi" w:hAnsiTheme="minorHAnsi"/>
        </w:rPr>
      </w:pPr>
      <w:r w:rsidRPr="00181755">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Kockázatkezelési irányelvek/alapelvek megfogalmazása</w:t>
      </w:r>
    </w:p>
    <w:p w14:paraId="06A38F84" w14:textId="77777777" w:rsidR="00073510" w:rsidRPr="00181755" w:rsidRDefault="00073510" w:rsidP="00181755">
      <w:pPr>
        <w:ind w:left="709"/>
        <w:rPr>
          <w:rFonts w:asciiTheme="minorHAnsi" w:hAnsiTheme="minorHAnsi"/>
        </w:rPr>
      </w:pPr>
      <w:r w:rsidRPr="00181755">
        <w:rPr>
          <w:rFonts w:asciiTheme="minorHAnsi" w:hAnsiTheme="minorHAnsi"/>
        </w:rPr>
        <w:t>Az egységes és prudens kockázatkezelés feltételeként az intézmény megfogalmazza kockázatkezelési alapelveit, melyet az egész szervezeten belül egységesen elvár (pl. független kontroll, kockázattudatosság növelése,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Kockázat/hozam átváltásának meghatározása</w:t>
      </w:r>
    </w:p>
    <w:p w14:paraId="71DF2FF9" w14:textId="77777777" w:rsidR="00073510" w:rsidRPr="00181755" w:rsidRDefault="00073510" w:rsidP="00181755">
      <w:pPr>
        <w:ind w:left="709"/>
        <w:rPr>
          <w:rFonts w:asciiTheme="minorHAnsi" w:hAnsiTheme="minorHAnsi"/>
        </w:rPr>
      </w:pPr>
      <w:r w:rsidRPr="00181755">
        <w:rPr>
          <w:rFonts w:asciiTheme="minorHAnsi" w:hAnsiTheme="minorHAnsi"/>
        </w:rPr>
        <w:t>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elvárások, stb., és mérlegelni kell a következőket:</w:t>
      </w:r>
    </w:p>
    <w:p w14:paraId="1A4056A0" w14:textId="61FBC67B" w:rsidR="00073510" w:rsidRPr="00181755" w:rsidRDefault="00073510" w:rsidP="008C1553">
      <w:pPr>
        <w:pStyle w:val="alfelsorols"/>
        <w:numPr>
          <w:ilvl w:val="1"/>
          <w:numId w:val="58"/>
        </w:numPr>
      </w:pPr>
      <w:r w:rsidRPr="00181755">
        <w:t>milyen típusú és milyen mértékű kockázatot szándékozik felvállalni, és milyen megtérülés várható belőle</w:t>
      </w:r>
      <w:r w:rsidR="001176B8" w:rsidRPr="00181755">
        <w:rPr>
          <w:lang w:val="hu-HU"/>
        </w:rPr>
        <w:t>,</w:t>
      </w:r>
    </w:p>
    <w:p w14:paraId="3147F2A5" w14:textId="12FA4BCE" w:rsidR="00073510" w:rsidRPr="00181755" w:rsidRDefault="00073510" w:rsidP="008C1553">
      <w:pPr>
        <w:pStyle w:val="alfelsorols"/>
        <w:numPr>
          <w:ilvl w:val="1"/>
          <w:numId w:val="58"/>
        </w:numPr>
      </w:pPr>
      <w:r w:rsidRPr="00181755">
        <w:t>rendelkezik-e valamely területen komparatív előnnyel</w:t>
      </w:r>
      <w:r w:rsidR="001176B8" w:rsidRPr="00181755">
        <w:rPr>
          <w:lang w:val="hu-HU"/>
        </w:rPr>
        <w:t>,</w:t>
      </w:r>
    </w:p>
    <w:p w14:paraId="30347876" w14:textId="77777777" w:rsidR="00073510" w:rsidRPr="00181755" w:rsidRDefault="00073510" w:rsidP="008C1553">
      <w:pPr>
        <w:pStyle w:val="alfelsorols"/>
        <w:numPr>
          <w:ilvl w:val="1"/>
          <w:numId w:val="58"/>
        </w:numPr>
      </w:pPr>
      <w:r w:rsidRPr="00181755">
        <w:t>mekkora a tőkeszükséglete a tényleges kockázatoknak.</w:t>
      </w:r>
    </w:p>
    <w:p w14:paraId="67FE1C82" w14:textId="77777777" w:rsidR="00073510" w:rsidRPr="00181755" w:rsidRDefault="00073510" w:rsidP="00181755">
      <w:pPr>
        <w:ind w:left="709"/>
        <w:rPr>
          <w:rFonts w:asciiTheme="minorHAnsi" w:hAnsiTheme="minorHAnsi"/>
        </w:rPr>
      </w:pPr>
      <w:r w:rsidRPr="00181755">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Visszamérés</w:t>
      </w:r>
    </w:p>
    <w:p w14:paraId="202EBBC8" w14:textId="10C3F5CE" w:rsidR="00073510" w:rsidRPr="00181755" w:rsidRDefault="00073510" w:rsidP="00181755">
      <w:pPr>
        <w:spacing w:after="240"/>
        <w:ind w:left="709"/>
        <w:rPr>
          <w:rFonts w:asciiTheme="minorHAnsi" w:hAnsiTheme="minorHAnsi"/>
        </w:rPr>
      </w:pPr>
      <w:r w:rsidRPr="00181755">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181755" w:rsidRDefault="00073510" w:rsidP="00181755">
      <w:pPr>
        <w:pStyle w:val="Cmsor4"/>
        <w:rPr>
          <w:rFonts w:asciiTheme="minorHAnsi" w:hAnsiTheme="minorHAnsi"/>
        </w:rPr>
      </w:pPr>
      <w:bookmarkStart w:id="546" w:name="_Toc462401954"/>
      <w:bookmarkStart w:id="547" w:name="_Toc462403075"/>
      <w:bookmarkStart w:id="548" w:name="_Toc462403399"/>
      <w:bookmarkStart w:id="549" w:name="_Toc468180518"/>
      <w:bookmarkStart w:id="550" w:name="_Toc468181050"/>
      <w:bookmarkStart w:id="551" w:name="_Toc468191438"/>
      <w:r w:rsidRPr="00181755">
        <w:rPr>
          <w:rFonts w:asciiTheme="minorHAnsi" w:hAnsiTheme="minorHAnsi"/>
        </w:rPr>
        <w:t>Kockázati étvágy, kockázatvállalási hajlandóság megfogalmazása</w:t>
      </w:r>
      <w:bookmarkEnd w:id="546"/>
      <w:bookmarkEnd w:id="547"/>
      <w:bookmarkEnd w:id="548"/>
      <w:bookmarkEnd w:id="549"/>
      <w:bookmarkEnd w:id="550"/>
      <w:bookmarkEnd w:id="551"/>
    </w:p>
    <w:p w14:paraId="1D4C85D0" w14:textId="77777777" w:rsidR="00073510" w:rsidRPr="00181755" w:rsidRDefault="00073510" w:rsidP="00181755">
      <w:pPr>
        <w:rPr>
          <w:rFonts w:asciiTheme="minorHAnsi" w:hAnsiTheme="minorHAnsi"/>
        </w:rPr>
      </w:pPr>
      <w:r w:rsidRPr="00181755">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181755" w:rsidRDefault="00073510" w:rsidP="00181755">
      <w:pPr>
        <w:rPr>
          <w:rFonts w:asciiTheme="minorHAnsi" w:hAnsiTheme="minorHAnsi"/>
        </w:rPr>
      </w:pPr>
      <w:r w:rsidRPr="00181755">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Pr>
          <w:rFonts w:asciiTheme="minorHAnsi" w:hAnsiTheme="minorHAnsi"/>
        </w:rPr>
        <w:t>kézikönyben</w:t>
      </w:r>
      <w:r w:rsidRPr="00181755">
        <w:rPr>
          <w:rFonts w:asciiTheme="minorHAnsi" w:hAnsiTheme="minorHAnsi"/>
        </w:rPr>
        <w:t xml:space="preserve"> adott kockázati definíciókra.) A kockázati szerkezetét részletesen ismernie kell az adott intézménynek (ill</w:t>
      </w:r>
      <w:r w:rsidR="00EB1BE0">
        <w:rPr>
          <w:rFonts w:asciiTheme="minorHAnsi" w:hAnsiTheme="minorHAnsi"/>
        </w:rPr>
        <w:t>etve</w:t>
      </w:r>
      <w:r w:rsidRPr="00181755">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181755" w:rsidRDefault="00073510" w:rsidP="00181755">
      <w:pPr>
        <w:rPr>
          <w:rFonts w:asciiTheme="minorHAnsi" w:hAnsiTheme="minorHAnsi"/>
        </w:rPr>
      </w:pPr>
      <w:r w:rsidRPr="00181755">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 értve a mérlegen kívüli tevékenységekben rejlő kockázatokat is.</w:t>
      </w:r>
    </w:p>
    <w:p w14:paraId="3610C994" w14:textId="77777777" w:rsidR="00073510" w:rsidRPr="00181755" w:rsidRDefault="00073510" w:rsidP="00181755">
      <w:pPr>
        <w:rPr>
          <w:rFonts w:asciiTheme="minorHAnsi" w:hAnsiTheme="minorHAnsi"/>
        </w:rPr>
      </w:pPr>
      <w:r w:rsidRPr="00181755">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7777777" w:rsidR="00073510" w:rsidRPr="00181755" w:rsidRDefault="00073510" w:rsidP="00181755">
      <w:pPr>
        <w:rPr>
          <w:rFonts w:asciiTheme="minorHAnsi" w:hAnsiTheme="minorHAnsi"/>
        </w:rPr>
      </w:pPr>
      <w:r w:rsidRPr="00181755">
        <w:rPr>
          <w:rFonts w:asciiTheme="minorHAnsi" w:hAnsiTheme="minorHAnsi"/>
        </w:rPr>
        <w:t xml:space="preserve">A kockázati étvágy és kockázati tolerancia meghatározása különböző formában kerülhet kifejezésre akár minőségi, vagy mennyiségi elvárásként (pl. jövedelmezőség, kockázati mutatók (KRI, limitek). Kitérhet azokra a területekre is, ahol az intézmény kockázat tűrése minimális (pl. diszpreferált ágazatok, termékek). </w:t>
      </w:r>
    </w:p>
    <w:p w14:paraId="0CF9E2BF" w14:textId="79326732" w:rsidR="00073510" w:rsidRPr="00181755" w:rsidRDefault="00073510" w:rsidP="00181755">
      <w:pPr>
        <w:spacing w:after="240"/>
        <w:rPr>
          <w:rFonts w:asciiTheme="minorHAnsi" w:hAnsiTheme="minorHAnsi"/>
        </w:rPr>
      </w:pPr>
      <w:r w:rsidRPr="00181755">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181755" w:rsidRDefault="00073510" w:rsidP="00181755">
      <w:pPr>
        <w:pStyle w:val="Cmsor4"/>
        <w:rPr>
          <w:rFonts w:asciiTheme="minorHAnsi" w:hAnsiTheme="minorHAnsi"/>
        </w:rPr>
      </w:pPr>
      <w:bookmarkStart w:id="552" w:name="_Toc462401955"/>
      <w:bookmarkStart w:id="553" w:name="_Toc462403076"/>
      <w:bookmarkStart w:id="554" w:name="_Toc462403400"/>
      <w:bookmarkStart w:id="555" w:name="_Toc468180519"/>
      <w:bookmarkStart w:id="556" w:name="_Toc468181051"/>
      <w:bookmarkStart w:id="557" w:name="_Toc468191439"/>
      <w:r w:rsidRPr="00181755">
        <w:rPr>
          <w:rFonts w:asciiTheme="minorHAnsi" w:hAnsiTheme="minorHAnsi"/>
        </w:rPr>
        <w:t>Elérni kívánt kockázati szerkezet</w:t>
      </w:r>
      <w:bookmarkEnd w:id="552"/>
      <w:bookmarkEnd w:id="553"/>
      <w:bookmarkEnd w:id="554"/>
      <w:bookmarkEnd w:id="555"/>
      <w:bookmarkEnd w:id="556"/>
      <w:bookmarkEnd w:id="557"/>
    </w:p>
    <w:p w14:paraId="67CA908A" w14:textId="77777777" w:rsidR="00073510" w:rsidRPr="00181755" w:rsidRDefault="00073510" w:rsidP="00181755">
      <w:pPr>
        <w:rPr>
          <w:rFonts w:asciiTheme="minorHAnsi" w:hAnsiTheme="minorHAnsi"/>
        </w:rPr>
      </w:pPr>
      <w:r w:rsidRPr="00181755">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181755" w:rsidRDefault="00073510" w:rsidP="00181755">
      <w:pPr>
        <w:pStyle w:val="felsorolsos"/>
        <w:rPr>
          <w:rFonts w:asciiTheme="minorHAnsi" w:hAnsiTheme="minorHAnsi"/>
          <w:b/>
        </w:rPr>
      </w:pPr>
      <w:r w:rsidRPr="00181755">
        <w:rPr>
          <w:rFonts w:asciiTheme="minorHAnsi" w:hAnsiTheme="minorHAnsi"/>
        </w:rPr>
        <w:t>A limitrendszer és a mutatórendszer további szintekhez rendelése (</w:t>
      </w:r>
      <w:r w:rsidR="004E0090" w:rsidRPr="00181755">
        <w:rPr>
          <w:rFonts w:asciiTheme="minorHAnsi" w:hAnsiTheme="minorHAnsi"/>
          <w:lang w:val="hu-HU"/>
        </w:rPr>
        <w:t>a</w:t>
      </w:r>
      <w:r w:rsidRPr="00181755">
        <w:rPr>
          <w:rFonts w:asciiTheme="minorHAnsi" w:hAnsiTheme="minorHAnsi"/>
        </w:rPr>
        <w:t>z aggregált limitek hozzárendelése kockázattípusokhoz, ill</w:t>
      </w:r>
      <w:r w:rsidR="004E0090" w:rsidRPr="00181755">
        <w:rPr>
          <w:rFonts w:asciiTheme="minorHAnsi" w:hAnsiTheme="minorHAnsi"/>
          <w:lang w:val="hu-HU"/>
        </w:rPr>
        <w:t>etve</w:t>
      </w:r>
      <w:r w:rsidRPr="00181755">
        <w:rPr>
          <w:rFonts w:asciiTheme="minorHAnsi" w:hAnsiTheme="minorHAnsi"/>
        </w:rPr>
        <w:t xml:space="preserve"> mélyebb szintekhez)</w:t>
      </w:r>
      <w:r w:rsidR="004E0090" w:rsidRPr="00181755">
        <w:rPr>
          <w:rFonts w:asciiTheme="minorHAnsi" w:hAnsiTheme="minorHAnsi"/>
          <w:lang w:val="hu-HU"/>
        </w:rPr>
        <w:t>,</w:t>
      </w:r>
      <w:r w:rsidRPr="00181755">
        <w:rPr>
          <w:rFonts w:asciiTheme="minorHAnsi" w:hAnsiTheme="minorHAnsi"/>
        </w:rPr>
        <w:t xml:space="preserve"> </w:t>
      </w:r>
    </w:p>
    <w:p w14:paraId="6C016EE7" w14:textId="77777777" w:rsidR="00073510" w:rsidRPr="00181755" w:rsidRDefault="00073510" w:rsidP="00181755">
      <w:pPr>
        <w:pStyle w:val="felsorolsos"/>
        <w:rPr>
          <w:rFonts w:asciiTheme="minorHAnsi" w:hAnsiTheme="minorHAnsi"/>
        </w:rPr>
      </w:pPr>
      <w:r w:rsidRPr="00181755">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465E0D5C" w:rsidR="003F29E3" w:rsidRPr="00181755" w:rsidRDefault="00073510" w:rsidP="00181755">
      <w:pPr>
        <w:spacing w:after="240"/>
        <w:rPr>
          <w:rFonts w:asciiTheme="minorHAnsi" w:hAnsiTheme="minorHAnsi"/>
        </w:rPr>
      </w:pPr>
      <w:r w:rsidRPr="00181755">
        <w:rPr>
          <w:rFonts w:asciiTheme="minorHAnsi" w:hAnsiTheme="minorHAnsi"/>
        </w:rPr>
        <w:t>A kockázati étvágy alakulása, ill</w:t>
      </w:r>
      <w:r w:rsidR="00D647EA">
        <w:rPr>
          <w:rFonts w:asciiTheme="minorHAnsi" w:hAnsiTheme="minorHAnsi"/>
        </w:rPr>
        <w:t>etve</w:t>
      </w:r>
      <w:r w:rsidRPr="00181755">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58" w:name="_Toc461547919"/>
      <w:bookmarkStart w:id="559" w:name="_Toc462401957"/>
      <w:bookmarkStart w:id="560" w:name="_Toc462403078"/>
      <w:bookmarkStart w:id="561" w:name="_Toc462403402"/>
      <w:bookmarkStart w:id="562" w:name="_Toc462403831"/>
      <w:bookmarkStart w:id="563" w:name="_Toc462645699"/>
      <w:bookmarkStart w:id="564" w:name="_Toc468180521"/>
      <w:bookmarkStart w:id="565" w:name="_Toc461547924"/>
      <w:bookmarkStart w:id="566" w:name="_Toc462401962"/>
      <w:bookmarkStart w:id="567" w:name="_Toc462403083"/>
      <w:bookmarkStart w:id="568" w:name="_Toc462403407"/>
      <w:bookmarkStart w:id="569" w:name="_Toc462403836"/>
      <w:bookmarkStart w:id="570" w:name="_Toc462645704"/>
      <w:bookmarkStart w:id="571" w:name="_Toc468180526"/>
      <w:bookmarkStart w:id="572" w:name="_Toc461547931"/>
      <w:bookmarkStart w:id="573" w:name="_Toc462401969"/>
      <w:bookmarkStart w:id="574" w:name="_Toc462403090"/>
      <w:bookmarkStart w:id="575" w:name="_Toc462403414"/>
      <w:bookmarkStart w:id="576" w:name="_Toc462403843"/>
      <w:bookmarkStart w:id="577" w:name="_Toc462645711"/>
      <w:bookmarkStart w:id="578" w:name="_Toc468180533"/>
      <w:bookmarkStart w:id="579" w:name="_A_kockázati_stratégia"/>
      <w:bookmarkStart w:id="580" w:name="_III.1.1._Kockázatvállalási_politika"/>
      <w:bookmarkStart w:id="581" w:name="_III.1.2._Kockázati_étvágy,"/>
      <w:bookmarkStart w:id="582" w:name="_III.1.3._Elérni_kívánt"/>
      <w:bookmarkStart w:id="583" w:name="_III.1.5._Kockázatkezelési_szervezet"/>
      <w:bookmarkStart w:id="584" w:name="_Javadalmazási_politika"/>
      <w:bookmarkStart w:id="585" w:name="_III.1_A_belső"/>
      <w:bookmarkStart w:id="586" w:name="_III.1.4._Kockázati_kultúra"/>
      <w:bookmarkStart w:id="587" w:name="_Kockázatkezelési_rendszer"/>
      <w:bookmarkEnd w:id="504"/>
      <w:bookmarkEnd w:id="505"/>
      <w:bookmarkEnd w:id="506"/>
      <w:bookmarkEnd w:id="50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66B15365" w14:textId="77777777" w:rsidR="003F29E3" w:rsidRPr="00181755" w:rsidRDefault="003F29E3" w:rsidP="00181755">
      <w:pPr>
        <w:pStyle w:val="Cmsor4"/>
        <w:rPr>
          <w:rFonts w:asciiTheme="minorHAnsi" w:hAnsiTheme="minorHAnsi"/>
        </w:rPr>
      </w:pPr>
      <w:bookmarkStart w:id="588" w:name="_Kockázatkezelési_folyamat_lépései"/>
      <w:bookmarkStart w:id="589" w:name="_Toc378592086"/>
      <w:bookmarkStart w:id="590" w:name="_Toc461095198"/>
      <w:bookmarkStart w:id="591" w:name="_Toc461179854"/>
      <w:bookmarkStart w:id="592" w:name="_Toc461201297"/>
      <w:bookmarkStart w:id="593" w:name="_Toc461547940"/>
      <w:bookmarkStart w:id="594" w:name="_Toc462401978"/>
      <w:bookmarkStart w:id="595" w:name="_Toc462403099"/>
      <w:bookmarkStart w:id="596" w:name="_Toc462403423"/>
      <w:bookmarkStart w:id="597" w:name="_Toc468180542"/>
      <w:bookmarkStart w:id="598" w:name="_Toc468181052"/>
      <w:bookmarkStart w:id="599" w:name="_Toc468191440"/>
      <w:bookmarkEnd w:id="588"/>
      <w:r w:rsidRPr="00181755">
        <w:rPr>
          <w:rFonts w:asciiTheme="minorHAnsi" w:hAnsiTheme="minorHAnsi"/>
        </w:rPr>
        <w:t>Kockázatkezelési folyamat lépései</w:t>
      </w:r>
      <w:bookmarkEnd w:id="589"/>
      <w:bookmarkEnd w:id="590"/>
      <w:bookmarkEnd w:id="591"/>
      <w:bookmarkEnd w:id="592"/>
      <w:bookmarkEnd w:id="593"/>
      <w:bookmarkEnd w:id="594"/>
      <w:bookmarkEnd w:id="595"/>
      <w:bookmarkEnd w:id="596"/>
      <w:bookmarkEnd w:id="597"/>
      <w:bookmarkEnd w:id="598"/>
      <w:bookmarkEnd w:id="599"/>
    </w:p>
    <w:p w14:paraId="66B15366"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A kockázatok teljes körű feltárása</w:t>
      </w:r>
    </w:p>
    <w:p w14:paraId="66B15367" w14:textId="1BFE5895" w:rsidR="003F29E3" w:rsidRPr="00181755" w:rsidRDefault="003F29E3" w:rsidP="00181755">
      <w:pPr>
        <w:rPr>
          <w:rFonts w:asciiTheme="minorHAnsi" w:hAnsiTheme="minorHAnsi"/>
        </w:rPr>
      </w:pPr>
      <w:r w:rsidRPr="00181755">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181755">
        <w:rPr>
          <w:rFonts w:asciiTheme="minorHAnsi" w:hAnsiTheme="minorHAnsi"/>
        </w:rPr>
        <w:t xml:space="preserve">az ICAAP keretében </w:t>
      </w:r>
      <w:r w:rsidRPr="00181755">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181755">
        <w:rPr>
          <w:rFonts w:asciiTheme="minorHAnsi" w:hAnsiTheme="minorHAnsi"/>
        </w:rPr>
        <w:t>, ICAAP dokumentáció stb.</w:t>
      </w:r>
      <w:r w:rsidRPr="00181755">
        <w:rPr>
          <w:rFonts w:asciiTheme="minorHAnsi" w:hAnsiTheme="minorHAnsi"/>
        </w:rPr>
        <w:t xml:space="preserve"> keretein belül). </w:t>
      </w:r>
    </w:p>
    <w:p w14:paraId="66B15369" w14:textId="2F42D551" w:rsidR="003F29E3" w:rsidRPr="00181755" w:rsidRDefault="003F29E3" w:rsidP="00181755">
      <w:pPr>
        <w:rPr>
          <w:rFonts w:asciiTheme="minorHAnsi" w:hAnsiTheme="minorHAnsi"/>
        </w:rPr>
      </w:pPr>
      <w:r w:rsidRPr="00181755">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A kockázat mértékének meghatározása (a kockázatok és fedezeti tényezők számszerűsítése)</w:t>
      </w:r>
    </w:p>
    <w:p w14:paraId="66B1536B" w14:textId="2CADA513" w:rsidR="003F29E3" w:rsidRPr="00181755" w:rsidRDefault="003F29E3" w:rsidP="00181755">
      <w:pPr>
        <w:rPr>
          <w:rFonts w:asciiTheme="minorHAnsi" w:hAnsiTheme="minorHAnsi"/>
        </w:rPr>
      </w:pPr>
      <w:r w:rsidRPr="00181755">
        <w:rPr>
          <w:rFonts w:asciiTheme="minorHAnsi" w:hAnsiTheme="minorHAnsi"/>
        </w:rPr>
        <w:t>A kockázatok mértékének meghatározása azért elengedhetetlen, hogy az intézmény a döntéshozatal során, illetve a</w:t>
      </w:r>
      <w:r w:rsidR="00073510" w:rsidRPr="00181755">
        <w:rPr>
          <w:rFonts w:asciiTheme="minorHAnsi" w:hAnsiTheme="minorHAnsi"/>
        </w:rPr>
        <w:t>z ICAAP</w:t>
      </w:r>
      <w:r w:rsidRPr="00181755">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77777777" w:rsidR="003F29E3" w:rsidRPr="00181755" w:rsidRDefault="003F29E3" w:rsidP="00181755">
      <w:pPr>
        <w:rPr>
          <w:rFonts w:asciiTheme="minorHAnsi" w:hAnsiTheme="minorHAnsi"/>
        </w:rPr>
      </w:pPr>
      <w:r w:rsidRPr="00181755">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181755" w:rsidRDefault="003F29E3" w:rsidP="00181755">
      <w:pPr>
        <w:rPr>
          <w:rFonts w:asciiTheme="minorHAnsi" w:hAnsiTheme="minorHAnsi"/>
        </w:rPr>
      </w:pPr>
      <w:r w:rsidRPr="00181755">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181755" w:rsidRDefault="003F29E3" w:rsidP="00181755">
      <w:pPr>
        <w:rPr>
          <w:rFonts w:asciiTheme="minorHAnsi" w:hAnsiTheme="minorHAnsi"/>
        </w:rPr>
      </w:pPr>
      <w:r w:rsidRPr="00181755">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181755" w:rsidRDefault="003F29E3" w:rsidP="00181755">
      <w:pPr>
        <w:rPr>
          <w:rFonts w:asciiTheme="minorHAnsi" w:hAnsiTheme="minorHAnsi"/>
        </w:rPr>
      </w:pPr>
      <w:r w:rsidRPr="00181755">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181755">
        <w:rPr>
          <w:rFonts w:asciiTheme="minorHAnsi" w:hAnsiTheme="minorHAnsi"/>
        </w:rPr>
        <w:t>,</w:t>
      </w:r>
      <w:r w:rsidRPr="00181755">
        <w:rPr>
          <w:rFonts w:asciiTheme="minorHAnsi" w:hAnsiTheme="minorHAnsi"/>
        </w:rPr>
        <w:t xml:space="preserve"> pontos, áttekinthető, érthető, releváns és használható információkhoz jussanak. </w:t>
      </w:r>
    </w:p>
    <w:p w14:paraId="66B15371"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Kockázatok és a kockázatcsökkentő eszközök összevetése</w:t>
      </w:r>
    </w:p>
    <w:p w14:paraId="66B15372" w14:textId="77777777" w:rsidR="003F29E3" w:rsidRPr="00181755" w:rsidRDefault="003F29E3" w:rsidP="00181755">
      <w:pPr>
        <w:rPr>
          <w:rFonts w:asciiTheme="minorHAnsi" w:hAnsiTheme="minorHAnsi"/>
        </w:rPr>
      </w:pPr>
      <w:r w:rsidRPr="00181755">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181755" w:rsidRDefault="003F29E3" w:rsidP="00181755">
      <w:pPr>
        <w:rPr>
          <w:rFonts w:asciiTheme="minorHAnsi" w:hAnsiTheme="minorHAnsi"/>
        </w:rPr>
      </w:pPr>
      <w:r w:rsidRPr="00181755">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181755" w:rsidRDefault="003F29E3" w:rsidP="00181755">
      <w:pPr>
        <w:rPr>
          <w:rFonts w:asciiTheme="minorHAnsi" w:hAnsiTheme="minorHAnsi"/>
        </w:rPr>
      </w:pPr>
      <w:r w:rsidRPr="00181755">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Kockázat monitoring</w:t>
      </w:r>
    </w:p>
    <w:p w14:paraId="66B15377" w14:textId="4FB248C9" w:rsidR="003F29E3" w:rsidRPr="00181755" w:rsidRDefault="003F29E3" w:rsidP="00181755">
      <w:pPr>
        <w:rPr>
          <w:rFonts w:asciiTheme="minorHAnsi" w:hAnsiTheme="minorHAnsi"/>
        </w:rPr>
      </w:pPr>
      <w:r w:rsidRPr="00181755">
        <w:rPr>
          <w:rFonts w:asciiTheme="minorHAnsi" w:hAnsiTheme="minorHAnsi"/>
        </w:rPr>
        <w:t>A kockázati monitoring azt jelenti, hogy az intézmény meggyőződik arról, hogy a (tényleges) kockázati profilja megegyezik a (tervezett, elvárt) preferenciáival</w:t>
      </w:r>
      <w:r w:rsidR="004B7E48" w:rsidRPr="00181755">
        <w:rPr>
          <w:rFonts w:asciiTheme="minorHAnsi" w:hAnsiTheme="minorHAnsi"/>
        </w:rPr>
        <w:t>.</w:t>
      </w:r>
      <w:r w:rsidRPr="00181755">
        <w:rPr>
          <w:rFonts w:asciiTheme="minorHAnsi" w:hAnsiTheme="minorHAnsi"/>
          <w:vertAlign w:val="superscript"/>
        </w:rPr>
        <w:footnoteReference w:id="26"/>
      </w:r>
      <w:r w:rsidRPr="00181755">
        <w:rPr>
          <w:rFonts w:asciiTheme="minorHAnsi" w:hAnsiTheme="minorHAnsi"/>
        </w:rPr>
        <w:t xml:space="preserve"> A monitoring során az előre meghatározott limitek kihasználtságát is ellenőrzik</w:t>
      </w:r>
      <w:r w:rsidR="004E0090" w:rsidRPr="00181755">
        <w:rPr>
          <w:rFonts w:asciiTheme="minorHAnsi" w:hAnsiTheme="minorHAnsi"/>
        </w:rPr>
        <w:t>,</w:t>
      </w:r>
      <w:r w:rsidRPr="00181755">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181755" w:rsidRDefault="003F29E3" w:rsidP="00181755">
      <w:pPr>
        <w:rPr>
          <w:rFonts w:asciiTheme="minorHAnsi" w:hAnsiTheme="minorHAnsi"/>
        </w:rPr>
      </w:pPr>
      <w:r w:rsidRPr="00181755">
        <w:rPr>
          <w:rFonts w:asciiTheme="minorHAnsi" w:hAnsiTheme="minorHAnsi"/>
        </w:rPr>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Utólagos ellenőrzés, visszajelzés</w:t>
      </w:r>
    </w:p>
    <w:p w14:paraId="66B1537A" w14:textId="77777777" w:rsidR="003F29E3" w:rsidRPr="00181755" w:rsidRDefault="003F29E3" w:rsidP="00181755">
      <w:pPr>
        <w:rPr>
          <w:rFonts w:asciiTheme="minorHAnsi" w:hAnsiTheme="minorHAnsi"/>
        </w:rPr>
      </w:pPr>
      <w:r w:rsidRPr="00181755">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181755" w:rsidRDefault="003F29E3" w:rsidP="00181755">
      <w:pPr>
        <w:pStyle w:val="felsorolsos"/>
        <w:rPr>
          <w:rFonts w:asciiTheme="minorHAnsi" w:hAnsiTheme="minorHAnsi"/>
        </w:rPr>
      </w:pPr>
      <w:r w:rsidRPr="00181755">
        <w:rPr>
          <w:rFonts w:asciiTheme="minorHAnsi" w:hAnsiTheme="minorHAnsi"/>
        </w:rPr>
        <w:t>kockázat csökkentéssel, a kockázat hatásainak csökkentése érdekében tett lépésekkel (pl. plusz fedezet bevonás</w:t>
      </w:r>
      <w:r w:rsidRPr="00181755">
        <w:rPr>
          <w:rFonts w:asciiTheme="minorHAnsi" w:hAnsiTheme="minorHAnsi"/>
          <w:lang w:val="hu-HU"/>
        </w:rPr>
        <w:t>a</w:t>
      </w:r>
      <w:r w:rsidRPr="00181755">
        <w:rPr>
          <w:rFonts w:asciiTheme="minorHAnsi" w:hAnsiTheme="minorHAnsi"/>
        </w:rPr>
        <w:t xml:space="preserve"> hitelügyleteknél, biztosítás, stb.)</w:t>
      </w:r>
      <w:r w:rsidR="004E0090" w:rsidRPr="00181755">
        <w:rPr>
          <w:rFonts w:asciiTheme="minorHAnsi" w:hAnsiTheme="minorHAnsi"/>
          <w:lang w:val="hu-HU"/>
        </w:rPr>
        <w:t>,</w:t>
      </w:r>
    </w:p>
    <w:p w14:paraId="66B1537C" w14:textId="69190934" w:rsidR="003F29E3" w:rsidRPr="00181755" w:rsidRDefault="003F29E3" w:rsidP="00181755">
      <w:pPr>
        <w:pStyle w:val="felsorolsos"/>
        <w:rPr>
          <w:rFonts w:asciiTheme="minorHAnsi" w:hAnsiTheme="minorHAnsi"/>
        </w:rPr>
      </w:pPr>
      <w:r w:rsidRPr="00181755">
        <w:rPr>
          <w:rFonts w:asciiTheme="minorHAnsi" w:hAnsiTheme="minorHAnsi"/>
        </w:rPr>
        <w:t xml:space="preserve">kockázat transzferálásával, vagyis kinnlevőség harmadik fél részére </w:t>
      </w:r>
      <w:r w:rsidRPr="00181755">
        <w:rPr>
          <w:rFonts w:asciiTheme="minorHAnsi" w:hAnsiTheme="minorHAnsi"/>
          <w:lang w:val="hu-HU"/>
        </w:rPr>
        <w:t>történő átadásával</w:t>
      </w:r>
      <w:r w:rsidRPr="00181755">
        <w:rPr>
          <w:rFonts w:asciiTheme="minorHAnsi" w:hAnsiTheme="minorHAnsi"/>
        </w:rPr>
        <w:t xml:space="preserve"> (pl. követelés-eladás, fedezeti ügyletek)</w:t>
      </w:r>
      <w:r w:rsidR="004E0090" w:rsidRPr="00181755">
        <w:rPr>
          <w:rFonts w:asciiTheme="minorHAnsi" w:hAnsiTheme="minorHAnsi"/>
          <w:lang w:val="hu-HU"/>
        </w:rPr>
        <w:t>,</w:t>
      </w:r>
    </w:p>
    <w:p w14:paraId="66B1537D" w14:textId="00830CE0" w:rsidR="003F29E3" w:rsidRPr="00181755" w:rsidRDefault="003F29E3" w:rsidP="00181755">
      <w:pPr>
        <w:pStyle w:val="felsorolsos"/>
        <w:rPr>
          <w:rFonts w:asciiTheme="minorHAnsi" w:hAnsiTheme="minorHAnsi"/>
        </w:rPr>
      </w:pPr>
      <w:r w:rsidRPr="00181755">
        <w:rPr>
          <w:rFonts w:asciiTheme="minorHAnsi" w:hAnsiTheme="minorHAnsi"/>
        </w:rPr>
        <w:t>a kockázati tőke újra allokálásával, vagyis limit-emeléssel. Ez csak úgy lehetséges, ha más egységek nem használták ki teljesen a saját limitjüket, vagy a</w:t>
      </w:r>
      <w:r w:rsidRPr="00181755">
        <w:rPr>
          <w:rFonts w:asciiTheme="minorHAnsi" w:hAnsiTheme="minorHAnsi"/>
          <w:lang w:val="hu-HU"/>
        </w:rPr>
        <w:t xml:space="preserve">z intézmény </w:t>
      </w:r>
      <w:r w:rsidRPr="00181755">
        <w:rPr>
          <w:rFonts w:asciiTheme="minorHAnsi" w:hAnsiTheme="minorHAnsi"/>
        </w:rPr>
        <w:t>pótlólagos tőkét tud hozzárendelni az ügylet fedezésére. Bizonyos üzleti megfontolások miatt alkalmazható, a</w:t>
      </w:r>
      <w:r w:rsidRPr="00181755">
        <w:rPr>
          <w:rFonts w:asciiTheme="minorHAnsi" w:hAnsiTheme="minorHAnsi"/>
          <w:lang w:val="hu-HU"/>
        </w:rPr>
        <w:t xml:space="preserve">z intézmény </w:t>
      </w:r>
      <w:r w:rsidRPr="00181755">
        <w:rPr>
          <w:rFonts w:asciiTheme="minorHAnsi" w:hAnsiTheme="minorHAnsi"/>
        </w:rPr>
        <w:t>kockázatviselési képességétől függően</w:t>
      </w:r>
      <w:r w:rsidR="004E0090" w:rsidRPr="00181755">
        <w:rPr>
          <w:rFonts w:asciiTheme="minorHAnsi" w:hAnsiTheme="minorHAnsi"/>
          <w:lang w:val="hu-HU"/>
        </w:rPr>
        <w:t>,</w:t>
      </w:r>
    </w:p>
    <w:p w14:paraId="66B1537E" w14:textId="77777777" w:rsidR="003F29E3" w:rsidRPr="00181755" w:rsidRDefault="003F29E3" w:rsidP="00181755">
      <w:pPr>
        <w:pStyle w:val="felsorolsos"/>
        <w:rPr>
          <w:rFonts w:asciiTheme="minorHAnsi" w:hAnsiTheme="minorHAnsi"/>
        </w:rPr>
      </w:pPr>
      <w:r w:rsidRPr="00181755">
        <w:rPr>
          <w:rFonts w:asciiTheme="minorHAnsi" w:hAnsiTheme="minorHAnsi"/>
        </w:rPr>
        <w:t>fedezeti tőke emelésével, pótlólagos tőkebevonással (pl. tőkeemelés, részvény kibocsátás)</w:t>
      </w:r>
      <w:r w:rsidRPr="00181755">
        <w:rPr>
          <w:rFonts w:asciiTheme="minorHAnsi" w:hAnsiTheme="minorHAnsi"/>
          <w:lang w:val="hu-HU"/>
        </w:rPr>
        <w:t>.</w:t>
      </w:r>
    </w:p>
    <w:p w14:paraId="66B1537F" w14:textId="77777777" w:rsidR="003F29E3" w:rsidRPr="00181755" w:rsidRDefault="003F29E3" w:rsidP="00181755">
      <w:pPr>
        <w:rPr>
          <w:rFonts w:asciiTheme="minorHAnsi" w:hAnsiTheme="minorHAnsi"/>
        </w:rPr>
      </w:pPr>
      <w:r w:rsidRPr="00181755">
        <w:rPr>
          <w:rFonts w:asciiTheme="minorHAnsi" w:hAnsiTheme="minorHAnsi"/>
        </w:rPr>
        <w:t>Az utólagos ellenőrzés az utolsó lépés a kockázatkezelési folyamatban, ugyanakkor az alapja lehet a további lépéseknek.</w:t>
      </w:r>
    </w:p>
    <w:p w14:paraId="66B153BC" w14:textId="35D03E9D" w:rsidR="003F29E3" w:rsidRPr="00181755" w:rsidRDefault="003F29E3" w:rsidP="00181755">
      <w:pPr>
        <w:spacing w:after="240"/>
        <w:rPr>
          <w:rFonts w:asciiTheme="minorHAnsi" w:hAnsiTheme="minorHAnsi"/>
        </w:rPr>
      </w:pPr>
      <w:r w:rsidRPr="00181755">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181755">
        <w:rPr>
          <w:rFonts w:asciiTheme="minorHAnsi" w:hAnsiTheme="minorHAnsi"/>
        </w:rPr>
        <w:t>z intézmény</w:t>
      </w:r>
      <w:r w:rsidRPr="00181755">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181755" w:rsidRDefault="003F29E3" w:rsidP="00181755">
      <w:pPr>
        <w:pStyle w:val="Cmsor2"/>
        <w:rPr>
          <w:rFonts w:asciiTheme="minorHAnsi" w:hAnsiTheme="minorHAnsi"/>
        </w:rPr>
      </w:pPr>
      <w:bookmarkStart w:id="600" w:name="_III._2._Lényeges"/>
      <w:bookmarkStart w:id="601" w:name="_Toc156101217"/>
      <w:bookmarkStart w:id="602" w:name="_Toc378256232"/>
      <w:bookmarkStart w:id="603" w:name="_Toc378592040"/>
      <w:bookmarkStart w:id="604" w:name="_Toc461095201"/>
      <w:bookmarkStart w:id="605" w:name="_Toc461179217"/>
      <w:bookmarkStart w:id="606" w:name="_Toc461179857"/>
      <w:bookmarkStart w:id="607" w:name="_Toc461197758"/>
      <w:bookmarkStart w:id="608" w:name="_Toc461201300"/>
      <w:bookmarkStart w:id="609" w:name="_Toc461547943"/>
      <w:bookmarkStart w:id="610" w:name="_Toc462401981"/>
      <w:bookmarkStart w:id="611" w:name="_Toc462403102"/>
      <w:bookmarkStart w:id="612" w:name="_Toc462403426"/>
      <w:bookmarkStart w:id="613" w:name="_Toc468180545"/>
      <w:bookmarkStart w:id="614" w:name="_Toc468181053"/>
      <w:bookmarkStart w:id="615" w:name="_Toc468191441"/>
      <w:bookmarkEnd w:id="600"/>
      <w:r w:rsidRPr="00181755">
        <w:rPr>
          <w:rFonts w:asciiTheme="minorHAnsi" w:hAnsiTheme="minorHAnsi"/>
        </w:rPr>
        <w:t>Lényeges kockázatok értékelése</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6B153BE" w14:textId="10FEE2E8" w:rsidR="003F29E3" w:rsidRPr="00181755" w:rsidRDefault="003F29E3" w:rsidP="00181755">
      <w:pPr>
        <w:rPr>
          <w:rFonts w:asciiTheme="minorHAnsi" w:hAnsiTheme="minorHAnsi"/>
        </w:rPr>
      </w:pPr>
      <w:r w:rsidRPr="00181755">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181755">
        <w:rPr>
          <w:rFonts w:asciiTheme="minorHAnsi" w:hAnsiTheme="minorHAnsi"/>
        </w:rPr>
        <w:t>, valamint</w:t>
      </w:r>
      <w:r w:rsidRPr="00181755">
        <w:rPr>
          <w:rFonts w:asciiTheme="minorHAnsi" w:hAnsiTheme="minorHAnsi"/>
        </w:rPr>
        <w:t xml:space="preserve"> a kockázat kezelésére vonatkozó alapvető </w:t>
      </w:r>
      <w:r w:rsidR="00F4370C" w:rsidRPr="00181755">
        <w:rPr>
          <w:rFonts w:asciiTheme="minorHAnsi" w:hAnsiTheme="minorHAnsi"/>
        </w:rPr>
        <w:t xml:space="preserve">elveket és a felügyeleti fő </w:t>
      </w:r>
      <w:r w:rsidRPr="00181755">
        <w:rPr>
          <w:rFonts w:asciiTheme="minorHAnsi" w:hAnsiTheme="minorHAnsi"/>
        </w:rPr>
        <w:t xml:space="preserve">elvárásokat. A felügyeleti felülvizsgálati folyamat során sem lehet figyelmen kívül hagyni azonban a közvetlenül hatályos CRR fő rendelkezéseit, </w:t>
      </w:r>
      <w:r w:rsidR="0065241E" w:rsidRPr="00181755">
        <w:rPr>
          <w:rFonts w:asciiTheme="minorHAnsi" w:hAnsiTheme="minorHAnsi"/>
        </w:rPr>
        <w:t>valamint a kapcsolódó ajánlásokat és végrehajtási rendeleteket</w:t>
      </w:r>
      <w:r w:rsidRPr="00181755">
        <w:rPr>
          <w:rFonts w:asciiTheme="minorHAnsi" w:hAnsiTheme="minorHAnsi"/>
        </w:rPr>
        <w:t>, amely</w:t>
      </w:r>
      <w:r w:rsidR="0065241E" w:rsidRPr="00181755">
        <w:rPr>
          <w:rFonts w:asciiTheme="minorHAnsi" w:hAnsiTheme="minorHAnsi"/>
        </w:rPr>
        <w:t>ek</w:t>
      </w:r>
      <w:r w:rsidRPr="00181755">
        <w:rPr>
          <w:rFonts w:asciiTheme="minorHAnsi" w:hAnsiTheme="minorHAnsi"/>
        </w:rPr>
        <w:t xml:space="preserve"> számos esetben támpontot biztosít</w:t>
      </w:r>
      <w:r w:rsidR="0065241E" w:rsidRPr="00181755">
        <w:rPr>
          <w:rFonts w:asciiTheme="minorHAnsi" w:hAnsiTheme="minorHAnsi"/>
        </w:rPr>
        <w:t>anak</w:t>
      </w:r>
      <w:r w:rsidRPr="00181755">
        <w:rPr>
          <w:rFonts w:asciiTheme="minorHAnsi" w:hAnsiTheme="minorHAnsi"/>
        </w:rPr>
        <w:t xml:space="preserve"> a 2. pilléres elvárások vonatkozásában.</w:t>
      </w:r>
    </w:p>
    <w:p w14:paraId="66B153BF" w14:textId="2CE4274D" w:rsidR="003F29E3" w:rsidRPr="00181755" w:rsidRDefault="003F29E3" w:rsidP="00181755">
      <w:pPr>
        <w:rPr>
          <w:rFonts w:asciiTheme="minorHAnsi" w:hAnsiTheme="minorHAnsi"/>
        </w:rPr>
      </w:pPr>
      <w:r w:rsidRPr="00181755">
        <w:rPr>
          <w:rFonts w:asciiTheme="minorHAnsi" w:hAnsiTheme="minorHAnsi"/>
        </w:rPr>
        <w:t xml:space="preserve">Az intézményeknek törekedniük kell arra, hogy minden lényeges </w:t>
      </w:r>
      <w:r w:rsidR="00EB1BE0">
        <w:rPr>
          <w:rFonts w:asciiTheme="minorHAnsi" w:hAnsiTheme="minorHAnsi"/>
        </w:rPr>
        <w:t>kockázatukat megfeleltessék a kézikönyv</w:t>
      </w:r>
      <w:r w:rsidRPr="00181755">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181755" w:rsidRDefault="003F29E3" w:rsidP="00181755">
      <w:pPr>
        <w:rPr>
          <w:rFonts w:asciiTheme="minorHAnsi" w:hAnsiTheme="minorHAnsi"/>
        </w:rPr>
      </w:pPr>
      <w:r w:rsidRPr="00181755">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181755">
        <w:rPr>
          <w:rFonts w:asciiTheme="minorHAnsi" w:hAnsiTheme="minorHAnsi"/>
        </w:rPr>
        <w:t>típusú</w:t>
      </w:r>
      <w:r w:rsidRPr="00181755">
        <w:rPr>
          <w:rFonts w:asciiTheme="minorHAnsi" w:hAnsiTheme="minorHAnsi"/>
        </w:rPr>
        <w:t xml:space="preserve"> kockázat a környezeti hatások eredményeképpen másik </w:t>
      </w:r>
      <w:r w:rsidR="00F4370C" w:rsidRPr="00181755">
        <w:rPr>
          <w:rFonts w:asciiTheme="minorHAnsi" w:hAnsiTheme="minorHAnsi"/>
        </w:rPr>
        <w:t xml:space="preserve">típusú </w:t>
      </w:r>
      <w:r w:rsidRPr="00181755">
        <w:rPr>
          <w:rFonts w:asciiTheme="minorHAnsi" w:hAnsiTheme="minorHAnsi"/>
        </w:rPr>
        <w:t>kockázattá alakulhat át</w:t>
      </w:r>
      <w:r w:rsidR="00665EE7" w:rsidRPr="00181755">
        <w:rPr>
          <w:rFonts w:asciiTheme="minorHAnsi" w:hAnsiTheme="minorHAnsi"/>
        </w:rPr>
        <w:t xml:space="preserve"> (p</w:t>
      </w:r>
      <w:r w:rsidRPr="00181755">
        <w:rPr>
          <w:rFonts w:asciiTheme="minorHAnsi" w:hAnsiTheme="minorHAnsi"/>
        </w:rPr>
        <w:t>élda erre a deviza alapú hiteltermékekben rejlő deviza árfolyamkockázat megnövekedésének hatása a hitelkockázatra</w:t>
      </w:r>
      <w:r w:rsidR="00665EE7" w:rsidRPr="00181755">
        <w:rPr>
          <w:rFonts w:asciiTheme="minorHAnsi" w:hAnsiTheme="minorHAnsi"/>
        </w:rPr>
        <w:t>)</w:t>
      </w:r>
      <w:r w:rsidRPr="00181755">
        <w:rPr>
          <w:rFonts w:asciiTheme="minorHAnsi" w:hAnsiTheme="minorHAnsi"/>
        </w:rPr>
        <w:t>.</w:t>
      </w:r>
    </w:p>
    <w:p w14:paraId="66B153C2" w14:textId="7811CDE7" w:rsidR="003F29E3" w:rsidRPr="00181755" w:rsidRDefault="00F4370C" w:rsidP="00181755">
      <w:pPr>
        <w:spacing w:after="240"/>
        <w:rPr>
          <w:rFonts w:asciiTheme="minorHAnsi" w:hAnsiTheme="minorHAnsi"/>
        </w:rPr>
      </w:pPr>
      <w:r w:rsidRPr="00181755">
        <w:rPr>
          <w:rFonts w:asciiTheme="minorHAnsi" w:hAnsiTheme="minorHAnsi"/>
        </w:rPr>
        <w:t>A kockázatok megfelelő azonosítása, kezelése szempontjából a</w:t>
      </w:r>
      <w:r w:rsidR="003F29E3" w:rsidRPr="00181755">
        <w:rPr>
          <w:rFonts w:asciiTheme="minorHAnsi" w:hAnsiTheme="minorHAnsi"/>
        </w:rPr>
        <w:t xml:space="preserve">lapvető </w:t>
      </w:r>
      <w:r w:rsidRPr="00181755">
        <w:rPr>
          <w:rFonts w:asciiTheme="minorHAnsi" w:hAnsiTheme="minorHAnsi"/>
        </w:rPr>
        <w:t>fontosságú</w:t>
      </w:r>
      <w:r w:rsidR="003F29E3" w:rsidRPr="00181755">
        <w:rPr>
          <w:rFonts w:asciiTheme="minorHAnsi" w:hAnsiTheme="minorHAnsi"/>
        </w:rPr>
        <w:t>, hogy az intézmények megbízható és konzisztens adatokkal rendelkezzenek (megfelelő adatminőség</w:t>
      </w:r>
      <w:r w:rsidRPr="00181755">
        <w:rPr>
          <w:rFonts w:asciiTheme="minorHAnsi" w:hAnsiTheme="minorHAnsi"/>
        </w:rPr>
        <w:t>et biztosítsanak</w:t>
      </w:r>
      <w:r w:rsidR="003F29E3" w:rsidRPr="00181755">
        <w:rPr>
          <w:rFonts w:asciiTheme="minorHAnsi" w:hAnsiTheme="minorHAnsi"/>
        </w:rPr>
        <w:t>)</w:t>
      </w:r>
      <w:r w:rsidRPr="00181755">
        <w:rPr>
          <w:rFonts w:asciiTheme="minorHAnsi" w:hAnsiTheme="minorHAnsi"/>
        </w:rPr>
        <w:t xml:space="preserve">. </w:t>
      </w:r>
    </w:p>
    <w:p w14:paraId="66B153C3" w14:textId="77777777" w:rsidR="003F29E3" w:rsidRPr="00181755" w:rsidRDefault="003F29E3" w:rsidP="00181755">
      <w:pPr>
        <w:pStyle w:val="Cmsor3"/>
        <w:rPr>
          <w:rFonts w:asciiTheme="minorHAnsi" w:hAnsiTheme="minorHAnsi"/>
        </w:rPr>
      </w:pPr>
      <w:bookmarkStart w:id="616" w:name="_III.2.1._Az_1."/>
      <w:bookmarkStart w:id="617" w:name="_Toc417311945"/>
      <w:bookmarkStart w:id="618" w:name="_III._2.1.1_Hitelkockázat"/>
      <w:bookmarkStart w:id="619" w:name="_Toc378256234"/>
      <w:bookmarkStart w:id="620" w:name="_Toc378592042"/>
      <w:bookmarkStart w:id="621" w:name="_Toc461095202"/>
      <w:bookmarkStart w:id="622" w:name="_Toc461179858"/>
      <w:bookmarkStart w:id="623" w:name="_Toc461201301"/>
      <w:bookmarkStart w:id="624" w:name="_Toc461547944"/>
      <w:bookmarkStart w:id="625" w:name="_Toc462401982"/>
      <w:bookmarkStart w:id="626" w:name="_Toc462403103"/>
      <w:bookmarkStart w:id="627" w:name="_Toc462403427"/>
      <w:bookmarkStart w:id="628" w:name="_Toc468180546"/>
      <w:bookmarkStart w:id="629" w:name="_Toc468181054"/>
      <w:bookmarkStart w:id="630" w:name="_Toc468191442"/>
      <w:bookmarkEnd w:id="616"/>
      <w:bookmarkEnd w:id="617"/>
      <w:bookmarkEnd w:id="618"/>
      <w:r w:rsidRPr="00181755">
        <w:rPr>
          <w:rFonts w:asciiTheme="minorHAnsi" w:hAnsiTheme="minorHAnsi"/>
        </w:rPr>
        <w:t>Hitelkockázat</w:t>
      </w:r>
      <w:bookmarkEnd w:id="619"/>
      <w:bookmarkEnd w:id="620"/>
      <w:bookmarkEnd w:id="621"/>
      <w:bookmarkEnd w:id="622"/>
      <w:bookmarkEnd w:id="623"/>
      <w:bookmarkEnd w:id="624"/>
      <w:bookmarkEnd w:id="625"/>
      <w:bookmarkEnd w:id="626"/>
      <w:bookmarkEnd w:id="627"/>
      <w:bookmarkEnd w:id="628"/>
      <w:bookmarkEnd w:id="629"/>
      <w:bookmarkEnd w:id="630"/>
    </w:p>
    <w:p w14:paraId="5B74B742" w14:textId="637F005F" w:rsidR="0065241E" w:rsidRPr="00181755" w:rsidRDefault="0065241E" w:rsidP="00181755">
      <w:pPr>
        <w:rPr>
          <w:rFonts w:asciiTheme="minorHAnsi" w:hAnsiTheme="minorHAnsi"/>
          <w:b/>
        </w:rPr>
      </w:pPr>
      <w:r w:rsidRPr="00181755">
        <w:rPr>
          <w:rFonts w:asciiTheme="minorHAnsi" w:hAnsiTheme="minorHAnsi"/>
          <w:b/>
        </w:rPr>
        <w:t>Definíció</w:t>
      </w:r>
    </w:p>
    <w:p w14:paraId="66B153C4" w14:textId="5E150B0E" w:rsidR="003F29E3" w:rsidRPr="00181755" w:rsidRDefault="003F29E3" w:rsidP="00181755">
      <w:pPr>
        <w:rPr>
          <w:rFonts w:asciiTheme="minorHAnsi" w:hAnsiTheme="minorHAnsi"/>
        </w:rPr>
      </w:pPr>
      <w:r w:rsidRPr="00181755">
        <w:rPr>
          <w:rFonts w:asciiTheme="minorHAnsi" w:hAnsiTheme="minorHAnsi"/>
        </w:rPr>
        <w:t xml:space="preserve">A hitelkockázat a szerződéses partnerek </w:t>
      </w:r>
      <w:r w:rsidR="00FC7A15" w:rsidRPr="00181755">
        <w:rPr>
          <w:rFonts w:asciiTheme="minorHAnsi" w:hAnsiTheme="minorHAnsi"/>
        </w:rPr>
        <w:t xml:space="preserve">hitel-, halasztott pénzügyi teljesítés vagy más hiteljellegű jogviszonyból fakadó fizetési kötelezettségének </w:t>
      </w:r>
      <w:r w:rsidRPr="00181755">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181755" w:rsidRDefault="004B5E63" w:rsidP="00181755">
      <w:pPr>
        <w:keepNext/>
        <w:rPr>
          <w:rFonts w:asciiTheme="minorHAnsi" w:hAnsiTheme="minorHAnsi"/>
        </w:rPr>
      </w:pPr>
      <w:r w:rsidRPr="00181755">
        <w:rPr>
          <w:rFonts w:asciiTheme="minorHAnsi" w:hAnsiTheme="minorHAnsi"/>
        </w:rPr>
        <w:t>Az intézménynek a hitelkockázatok értékeléséhez az alábbi hitelkockázati altípusokat kell figyelembe venniük</w:t>
      </w:r>
      <w:r w:rsidR="0065241E" w:rsidRPr="00181755">
        <w:rPr>
          <w:rFonts w:asciiTheme="minorHAnsi" w:hAnsiTheme="minorHAnsi"/>
        </w:rPr>
        <w:t>:</w:t>
      </w:r>
    </w:p>
    <w:p w14:paraId="60BA115B" w14:textId="77777777" w:rsidR="0065241E" w:rsidRPr="00181755" w:rsidRDefault="0065241E" w:rsidP="00181755">
      <w:pPr>
        <w:pStyle w:val="felsorolsos"/>
        <w:rPr>
          <w:rFonts w:asciiTheme="minorHAnsi" w:hAnsiTheme="minorHAnsi"/>
        </w:rPr>
      </w:pPr>
      <w:r w:rsidRPr="00181755">
        <w:rPr>
          <w:rFonts w:asciiTheme="minorHAnsi" w:hAnsiTheme="minorHAnsi"/>
        </w:rPr>
        <w:t xml:space="preserve">banki kölcsönökkel kapcsolatos nemfizetési kockázat, </w:t>
      </w:r>
    </w:p>
    <w:p w14:paraId="0D66B9CD" w14:textId="77777777" w:rsidR="0065241E" w:rsidRPr="00181755" w:rsidRDefault="0065241E" w:rsidP="00181755">
      <w:pPr>
        <w:pStyle w:val="felsorolsos"/>
        <w:rPr>
          <w:rFonts w:asciiTheme="minorHAnsi" w:hAnsiTheme="minorHAnsi"/>
        </w:rPr>
      </w:pPr>
      <w:r w:rsidRPr="00181755">
        <w:rPr>
          <w:rFonts w:asciiTheme="minorHAnsi" w:hAnsiTheme="minorHAnsi"/>
        </w:rPr>
        <w:t>bizonyos (tipikusan kötvény) befektetések kockázata (a kifizetések nem a szerződésnek megfelelően történnek),</w:t>
      </w:r>
    </w:p>
    <w:p w14:paraId="38F29569" w14:textId="77777777" w:rsidR="0065241E" w:rsidRPr="00181755" w:rsidRDefault="0065241E" w:rsidP="00181755">
      <w:pPr>
        <w:pStyle w:val="felsorolsos"/>
        <w:rPr>
          <w:rFonts w:asciiTheme="minorHAnsi" w:hAnsiTheme="minorHAnsi"/>
        </w:rPr>
      </w:pPr>
      <w:r w:rsidRPr="00181755">
        <w:rPr>
          <w:rFonts w:asciiTheme="minorHAnsi" w:hAnsiTheme="minorHAnsi"/>
        </w:rPr>
        <w:t>egyéb szerződéses partner, szolgáltatást igénybe vevő ügyfél nemfizetési kockázata,</w:t>
      </w:r>
    </w:p>
    <w:p w14:paraId="4D5AAFDD" w14:textId="77777777" w:rsidR="0065241E" w:rsidRPr="00181755" w:rsidRDefault="0065241E" w:rsidP="00181755">
      <w:pPr>
        <w:pStyle w:val="felsorolsos"/>
        <w:rPr>
          <w:rFonts w:asciiTheme="minorHAnsi" w:hAnsiTheme="minorHAnsi"/>
        </w:rPr>
      </w:pPr>
      <w:r w:rsidRPr="00181755">
        <w:rPr>
          <w:rFonts w:asciiTheme="minorHAnsi" w:hAnsiTheme="minorHAnsi"/>
        </w:rPr>
        <w:t>felhígulási kockázat,</w:t>
      </w:r>
    </w:p>
    <w:p w14:paraId="5D38B6A2" w14:textId="77777777" w:rsidR="0065241E" w:rsidRPr="00181755" w:rsidRDefault="0065241E" w:rsidP="00181755">
      <w:pPr>
        <w:pStyle w:val="felsorolsos"/>
        <w:rPr>
          <w:rFonts w:asciiTheme="minorHAnsi" w:hAnsiTheme="minorHAnsi"/>
        </w:rPr>
      </w:pPr>
      <w:r w:rsidRPr="00181755">
        <w:rPr>
          <w:rFonts w:asciiTheme="minorHAnsi" w:hAnsiTheme="minorHAnsi"/>
        </w:rPr>
        <w:t>partnerkockázat (professzionális pénz- és tőkepiaci szereplőkkel szembeni hitelkockázat),</w:t>
      </w:r>
    </w:p>
    <w:p w14:paraId="2049EB43" w14:textId="15D65748" w:rsidR="0065241E" w:rsidRPr="00181755" w:rsidRDefault="0065241E" w:rsidP="00181755">
      <w:pPr>
        <w:pStyle w:val="felsorolsos"/>
        <w:rPr>
          <w:rFonts w:asciiTheme="minorHAnsi" w:hAnsiTheme="minorHAnsi"/>
        </w:rPr>
      </w:pPr>
      <w:r w:rsidRPr="00181755">
        <w:rPr>
          <w:rFonts w:asciiTheme="minorHAnsi" w:hAnsiTheme="minorHAnsi"/>
          <w:lang w:val="hu-HU"/>
        </w:rPr>
        <w:t xml:space="preserve">speciális hitelezési kitettségek (olyan </w:t>
      </w:r>
      <w:r w:rsidR="00E43698" w:rsidRPr="00181755">
        <w:rPr>
          <w:rFonts w:asciiTheme="minorHAnsi" w:hAnsiTheme="minorHAnsi"/>
          <w:lang w:val="hu-HU"/>
        </w:rPr>
        <w:t>kitettségek, melyek kockázata a finanszírozott eszköz vagy projekt – pl. kereskedelmi ingatlan, erőmű, tőzsdei árucikk – jövedelemtermelő képességétől függ</w:t>
      </w:r>
      <w:r w:rsidRPr="00181755">
        <w:rPr>
          <w:rFonts w:asciiTheme="minorHAnsi" w:hAnsiTheme="minorHAnsi"/>
          <w:lang w:val="hu-HU"/>
        </w:rPr>
        <w:t>),</w:t>
      </w:r>
    </w:p>
    <w:p w14:paraId="4ED32A61" w14:textId="77777777" w:rsidR="0065241E" w:rsidRPr="00181755" w:rsidRDefault="0065241E" w:rsidP="00181755">
      <w:pPr>
        <w:pStyle w:val="felsorolsos"/>
        <w:rPr>
          <w:rFonts w:asciiTheme="minorHAnsi" w:hAnsiTheme="minorHAnsi"/>
        </w:rPr>
      </w:pPr>
      <w:r w:rsidRPr="00181755">
        <w:rPr>
          <w:rFonts w:asciiTheme="minorHAnsi" w:hAnsiTheme="minorHAnsi"/>
          <w:lang w:val="hu-HU"/>
        </w:rPr>
        <w:t>devizahitelezés kockázata,</w:t>
      </w:r>
    </w:p>
    <w:p w14:paraId="7E6C9A68" w14:textId="36464A77" w:rsidR="00172059" w:rsidRPr="00181755" w:rsidRDefault="00172059" w:rsidP="00181755">
      <w:pPr>
        <w:pStyle w:val="felsorolsos"/>
        <w:rPr>
          <w:rFonts w:asciiTheme="minorHAnsi" w:hAnsiTheme="minorHAnsi"/>
        </w:rPr>
      </w:pPr>
      <w:r w:rsidRPr="00181755">
        <w:rPr>
          <w:rFonts w:asciiTheme="minorHAnsi" w:hAnsiTheme="minorHAnsi"/>
          <w:lang w:val="hu-HU"/>
        </w:rPr>
        <w:t>elszámolási kockázat,</w:t>
      </w:r>
    </w:p>
    <w:p w14:paraId="160D9831" w14:textId="5ADF2D29" w:rsidR="0065241E" w:rsidRPr="00181755" w:rsidRDefault="0065241E" w:rsidP="00181755">
      <w:pPr>
        <w:pStyle w:val="felsorolsos"/>
        <w:rPr>
          <w:rFonts w:asciiTheme="minorHAnsi" w:hAnsiTheme="minorHAnsi"/>
        </w:rPr>
      </w:pPr>
      <w:r w:rsidRPr="00181755">
        <w:rPr>
          <w:rFonts w:asciiTheme="minorHAnsi" w:hAnsiTheme="minorHAnsi"/>
        </w:rPr>
        <w:t>koncentrációs kockázat,</w:t>
      </w:r>
    </w:p>
    <w:p w14:paraId="2294582F" w14:textId="7669D41C" w:rsidR="0065241E" w:rsidRPr="00181755" w:rsidRDefault="0065241E" w:rsidP="00181755">
      <w:pPr>
        <w:pStyle w:val="felsorolsos"/>
        <w:rPr>
          <w:rFonts w:asciiTheme="minorHAnsi" w:hAnsiTheme="minorHAnsi"/>
        </w:rPr>
      </w:pPr>
      <w:r w:rsidRPr="00181755">
        <w:rPr>
          <w:rFonts w:asciiTheme="minorHAnsi" w:hAnsiTheme="minorHAnsi"/>
        </w:rPr>
        <w:t>országkockázat,</w:t>
      </w:r>
    </w:p>
    <w:p w14:paraId="359F321E" w14:textId="6FFFBA62" w:rsidR="0065241E" w:rsidRPr="00181755" w:rsidRDefault="0065241E" w:rsidP="00181755">
      <w:pPr>
        <w:pStyle w:val="felsorolsos"/>
        <w:rPr>
          <w:rFonts w:asciiTheme="minorHAnsi" w:hAnsiTheme="minorHAnsi"/>
        </w:rPr>
      </w:pPr>
      <w:r w:rsidRPr="00181755">
        <w:rPr>
          <w:rFonts w:asciiTheme="minorHAnsi" w:hAnsiTheme="minorHAnsi"/>
        </w:rPr>
        <w:t>reziduális kockázat,</w:t>
      </w:r>
    </w:p>
    <w:p w14:paraId="37526C8F" w14:textId="12E1E6EA" w:rsidR="0065241E" w:rsidRPr="00181755" w:rsidRDefault="0065241E" w:rsidP="00181755">
      <w:pPr>
        <w:pStyle w:val="felsorolsos"/>
        <w:rPr>
          <w:rFonts w:asciiTheme="minorHAnsi" w:hAnsiTheme="minorHAnsi"/>
        </w:rPr>
      </w:pPr>
      <w:r w:rsidRPr="00181755">
        <w:rPr>
          <w:rFonts w:asciiTheme="minorHAnsi" w:hAnsiTheme="minorHAnsi"/>
        </w:rPr>
        <w:t>értékpapírosítási kockázat,</w:t>
      </w:r>
    </w:p>
    <w:p w14:paraId="431DBEDC" w14:textId="50CCD1C5" w:rsidR="0065241E" w:rsidRPr="00181755" w:rsidRDefault="0065241E" w:rsidP="00181755">
      <w:pPr>
        <w:pStyle w:val="felsorolsos"/>
        <w:rPr>
          <w:rFonts w:asciiTheme="minorHAnsi" w:hAnsiTheme="minorHAnsi"/>
        </w:rPr>
      </w:pPr>
      <w:r w:rsidRPr="00181755">
        <w:rPr>
          <w:rFonts w:asciiTheme="minorHAnsi" w:hAnsiTheme="minorHAnsi"/>
        </w:rPr>
        <w:t xml:space="preserve">a biztosító nemfizetésének kockázata. </w:t>
      </w:r>
    </w:p>
    <w:p w14:paraId="1A3E2A49" w14:textId="2D7DE03A" w:rsidR="0065241E" w:rsidRPr="00181755" w:rsidRDefault="0065241E" w:rsidP="00181755">
      <w:pPr>
        <w:rPr>
          <w:rFonts w:asciiTheme="minorHAnsi" w:hAnsiTheme="minorHAnsi"/>
          <w:b/>
        </w:rPr>
      </w:pPr>
      <w:r w:rsidRPr="00181755">
        <w:rPr>
          <w:rFonts w:asciiTheme="minorHAnsi" w:hAnsiTheme="minorHAnsi"/>
          <w:b/>
        </w:rPr>
        <w:t>Kockázatértékelés és -kezelés</w:t>
      </w:r>
    </w:p>
    <w:p w14:paraId="15767C50" w14:textId="5C2D8721" w:rsidR="006204E5" w:rsidRPr="00181755" w:rsidRDefault="006204E5" w:rsidP="00181755">
      <w:pPr>
        <w:rPr>
          <w:rFonts w:asciiTheme="minorHAnsi" w:hAnsiTheme="minorHAnsi"/>
        </w:rPr>
      </w:pPr>
      <w:r w:rsidRPr="00181755">
        <w:rPr>
          <w:rFonts w:asciiTheme="minorHAnsi" w:hAnsiTheme="minorHAnsi"/>
        </w:rPr>
        <w:t xml:space="preserve">A hitelkockázatot az intézményeknek intézkedésekkel, eljárásokkal, </w:t>
      </w:r>
      <w:r w:rsidR="00CE6414" w:rsidRPr="00181755">
        <w:rPr>
          <w:rFonts w:asciiTheme="minorHAnsi" w:hAnsiTheme="minorHAnsi"/>
        </w:rPr>
        <w:t>és/vagy</w:t>
      </w:r>
      <w:r w:rsidRPr="00181755">
        <w:rPr>
          <w:rFonts w:asciiTheme="minorHAnsi" w:hAnsiTheme="minorHAnsi"/>
        </w:rPr>
        <w:t xml:space="preserve"> tők</w:t>
      </w:r>
      <w:r w:rsidR="002B5167" w:rsidRPr="00181755">
        <w:rPr>
          <w:rFonts w:asciiTheme="minorHAnsi" w:hAnsiTheme="minorHAnsi"/>
        </w:rPr>
        <w:t>ével</w:t>
      </w:r>
      <w:r w:rsidRPr="00181755">
        <w:rPr>
          <w:rFonts w:asciiTheme="minorHAnsi" w:hAnsiTheme="minorHAnsi"/>
        </w:rPr>
        <w:t xml:space="preserve"> kell fedezniük.</w:t>
      </w:r>
    </w:p>
    <w:p w14:paraId="66B153C6" w14:textId="77777777" w:rsidR="003F29E3" w:rsidRPr="00181755" w:rsidRDefault="003F29E3" w:rsidP="00181755">
      <w:pPr>
        <w:rPr>
          <w:rFonts w:asciiTheme="minorHAnsi" w:hAnsiTheme="minorHAnsi"/>
        </w:rPr>
      </w:pPr>
      <w:r w:rsidRPr="00181755">
        <w:rPr>
          <w:rFonts w:asciiTheme="minorHAnsi" w:hAnsiTheme="minorHAnsi"/>
        </w:rPr>
        <w:t>Az ICAAP-ben az intézmény lefekteti hitelkockázati tőkeszámítási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181755" w:rsidRDefault="00EA0537" w:rsidP="00181755">
      <w:pPr>
        <w:rPr>
          <w:rFonts w:asciiTheme="minorHAnsi" w:hAnsiTheme="minorHAnsi"/>
        </w:rPr>
      </w:pPr>
      <w:r w:rsidRPr="00181755">
        <w:rPr>
          <w:rFonts w:asciiTheme="minorHAnsi" w:hAnsiTheme="minorHAnsi"/>
        </w:rPr>
        <w:t>A hitelkockázat vonatkozásában az ICAAP során az intézmények</w:t>
      </w:r>
      <w:r w:rsidR="00CE6414" w:rsidRPr="00181755">
        <w:rPr>
          <w:rFonts w:asciiTheme="minorHAnsi" w:hAnsiTheme="minorHAnsi"/>
        </w:rPr>
        <w:t>nek</w:t>
      </w:r>
      <w:r w:rsidRPr="00181755">
        <w:rPr>
          <w:rFonts w:asciiTheme="minorHAnsi" w:hAnsiTheme="minorHAnsi"/>
        </w:rPr>
        <w:t xml:space="preserve"> figyelembe kell vennie minden összetevőt, mely meghatározza a potenciális hitelezési veszteségeket, így különösen: a</w:t>
      </w:r>
      <w:r w:rsidR="00F957F8" w:rsidRPr="00181755">
        <w:rPr>
          <w:rFonts w:asciiTheme="minorHAnsi" w:hAnsiTheme="minorHAnsi"/>
        </w:rPr>
        <w:t xml:space="preserve"> </w:t>
      </w:r>
      <w:r w:rsidRPr="00181755">
        <w:rPr>
          <w:rFonts w:asciiTheme="minorHAnsi" w:hAnsiTheme="minorHAnsi"/>
        </w:rPr>
        <w:t>hitelfelvevőket és az adott kötelezettség visszafizetésére való képességüket érintő</w:t>
      </w:r>
      <w:r w:rsidR="00F957F8" w:rsidRPr="00181755">
        <w:rPr>
          <w:rFonts w:asciiTheme="minorHAnsi" w:hAnsiTheme="minorHAnsi"/>
        </w:rPr>
        <w:t xml:space="preserve"> </w:t>
      </w:r>
      <w:r w:rsidRPr="00181755">
        <w:rPr>
          <w:rFonts w:asciiTheme="minorHAnsi" w:hAnsiTheme="minorHAnsi"/>
        </w:rPr>
        <w:t>hitelesemény (azaz nemteljesítés) vagy több összefüggő hitelesemény valószínűségét (PD); a</w:t>
      </w:r>
      <w:r w:rsidR="00F957F8" w:rsidRPr="00181755">
        <w:rPr>
          <w:rFonts w:asciiTheme="minorHAnsi" w:hAnsiTheme="minorHAnsi"/>
        </w:rPr>
        <w:t xml:space="preserve"> </w:t>
      </w:r>
      <w:r w:rsidRPr="00181755">
        <w:rPr>
          <w:rFonts w:asciiTheme="minorHAnsi" w:hAnsiTheme="minorHAnsi"/>
        </w:rPr>
        <w:t xml:space="preserve">hitelkockázati kitettségek mértékét (EAD); valamint a </w:t>
      </w:r>
      <w:r w:rsidR="00CE6414" w:rsidRPr="00181755">
        <w:rPr>
          <w:rFonts w:asciiTheme="minorHAnsi" w:hAnsiTheme="minorHAnsi"/>
        </w:rPr>
        <w:t xml:space="preserve">hitelfelvevők nemteljesítése esetén </w:t>
      </w:r>
      <w:r w:rsidRPr="00181755">
        <w:rPr>
          <w:rFonts w:asciiTheme="minorHAnsi" w:hAnsiTheme="minorHAnsi"/>
        </w:rPr>
        <w:t>a hitelkitettségek megtérülési rátáját (LGD). Az intézményeknek minden összetevő esetében</w:t>
      </w:r>
      <w:r w:rsidR="00F957F8" w:rsidRPr="00181755">
        <w:rPr>
          <w:rFonts w:asciiTheme="minorHAnsi" w:hAnsiTheme="minorHAnsi"/>
        </w:rPr>
        <w:t xml:space="preserve"> </w:t>
      </w:r>
      <w:r w:rsidRPr="00181755">
        <w:rPr>
          <w:rFonts w:asciiTheme="minorHAnsi" w:hAnsiTheme="minorHAnsi"/>
        </w:rPr>
        <w:t>figyelembe kell venniük annak a lehetőségét, hogy ezek az összetevők idővel változhatnak és</w:t>
      </w:r>
      <w:r w:rsidR="00F957F8" w:rsidRPr="00181755">
        <w:rPr>
          <w:rFonts w:asciiTheme="minorHAnsi" w:hAnsiTheme="minorHAnsi"/>
        </w:rPr>
        <w:t xml:space="preserve"> </w:t>
      </w:r>
      <w:r w:rsidRPr="00181755">
        <w:rPr>
          <w:rFonts w:asciiTheme="minorHAnsi" w:hAnsiTheme="minorHAnsi"/>
        </w:rPr>
        <w:t>a várt eredményekhez képest rosszabbodhatnak.</w:t>
      </w:r>
    </w:p>
    <w:p w14:paraId="195CFFF9" w14:textId="046B781A" w:rsidR="001D65B5" w:rsidRPr="00181755" w:rsidRDefault="001D65B5" w:rsidP="00181755">
      <w:pPr>
        <w:rPr>
          <w:rFonts w:asciiTheme="minorHAnsi" w:hAnsiTheme="minorHAnsi"/>
        </w:rPr>
      </w:pPr>
      <w:r w:rsidRPr="00181755">
        <w:rPr>
          <w:rFonts w:asciiTheme="minorHAnsi" w:hAnsiTheme="minorHAnsi"/>
        </w:rPr>
        <w:t>Az inté</w:t>
      </w:r>
      <w:r w:rsidR="00F957F8" w:rsidRPr="00181755">
        <w:rPr>
          <w:rFonts w:asciiTheme="minorHAnsi" w:hAnsiTheme="minorHAnsi"/>
        </w:rPr>
        <w:t>zménynek nem csak az aktuális, hanem a jövőbeli hitelkockázatait is fel kell mérnie és össze kell kötnie azt a hitelkockázati stratégiával, tervezéssel, stressz</w:t>
      </w:r>
      <w:r w:rsidR="00CE29ED" w:rsidRPr="00181755">
        <w:rPr>
          <w:rFonts w:asciiTheme="minorHAnsi" w:hAnsiTheme="minorHAnsi"/>
        </w:rPr>
        <w:t>-</w:t>
      </w:r>
      <w:r w:rsidR="00F957F8" w:rsidRPr="00181755">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181755" w:rsidRDefault="00D85ECC" w:rsidP="00181755">
      <w:pPr>
        <w:rPr>
          <w:rFonts w:asciiTheme="minorHAnsi" w:hAnsiTheme="minorHAnsi"/>
        </w:rPr>
      </w:pPr>
      <w:r w:rsidRPr="00181755">
        <w:rPr>
          <w:rFonts w:asciiTheme="minorHAnsi" w:hAnsiTheme="minorHAnsi"/>
        </w:rPr>
        <w:t>Az ICAAP keretrendszeren belül a</w:t>
      </w:r>
      <w:r w:rsidR="00D3418F" w:rsidRPr="00181755">
        <w:rPr>
          <w:rFonts w:asciiTheme="minorHAnsi" w:hAnsiTheme="minorHAnsi"/>
        </w:rPr>
        <w:t xml:space="preserve"> hitelezési tevékenység alapját képező</w:t>
      </w:r>
      <w:r w:rsidRPr="00181755">
        <w:rPr>
          <w:rFonts w:asciiTheme="minorHAnsi" w:hAnsiTheme="minorHAnsi"/>
        </w:rPr>
        <w:t xml:space="preserve"> </w:t>
      </w:r>
      <w:r w:rsidR="00D3418F" w:rsidRPr="00181755">
        <w:rPr>
          <w:rFonts w:asciiTheme="minorHAnsi" w:hAnsiTheme="minorHAnsi"/>
        </w:rPr>
        <w:t xml:space="preserve">irányítási és kockázatkezelési keretrendszer </w:t>
      </w:r>
      <w:r w:rsidRPr="00181755">
        <w:rPr>
          <w:rFonts w:asciiTheme="minorHAnsi" w:hAnsiTheme="minorHAnsi"/>
        </w:rPr>
        <w:t>az alábbiakat foglalja magában</w:t>
      </w:r>
      <w:r w:rsidR="00D3418F" w:rsidRPr="00181755">
        <w:rPr>
          <w:rFonts w:asciiTheme="minorHAnsi" w:hAnsiTheme="minorHAnsi"/>
        </w:rPr>
        <w:t>:</w:t>
      </w:r>
    </w:p>
    <w:p w14:paraId="144B11C5" w14:textId="12134A27" w:rsidR="00D3418F" w:rsidRPr="00181755" w:rsidRDefault="00851F37" w:rsidP="00181755">
      <w:pPr>
        <w:pStyle w:val="felsorolsos"/>
        <w:rPr>
          <w:rFonts w:asciiTheme="minorHAnsi" w:hAnsiTheme="minorHAnsi"/>
        </w:rPr>
      </w:pPr>
      <w:r w:rsidRPr="00181755">
        <w:rPr>
          <w:rFonts w:asciiTheme="minorHAnsi" w:hAnsiTheme="minorHAnsi"/>
          <w:lang w:val="hu-HU"/>
        </w:rPr>
        <w:t xml:space="preserve">ésszerű, egyértelműen kialakított és dokumentált, a vezetői testület által jóváhagyott </w:t>
      </w:r>
      <w:r w:rsidR="00D3418F" w:rsidRPr="00181755">
        <w:rPr>
          <w:rFonts w:asciiTheme="minorHAnsi" w:hAnsiTheme="minorHAnsi"/>
          <w:lang w:val="hu-HU"/>
        </w:rPr>
        <w:t>hitelkockázati stratégia és hitelkockázat-vállalási hajlandóság</w:t>
      </w:r>
      <w:r w:rsidR="008C1553">
        <w:rPr>
          <w:rFonts w:asciiTheme="minorHAnsi" w:hAnsiTheme="minorHAnsi"/>
          <w:lang w:val="hu-HU"/>
        </w:rPr>
        <w:t>,</w:t>
      </w:r>
    </w:p>
    <w:p w14:paraId="5490145F" w14:textId="5515E163" w:rsidR="00D3418F" w:rsidRPr="00181755" w:rsidRDefault="00D85ECC" w:rsidP="00181755">
      <w:pPr>
        <w:pStyle w:val="felsorolsos"/>
        <w:rPr>
          <w:rFonts w:asciiTheme="minorHAnsi" w:hAnsiTheme="minorHAnsi"/>
        </w:rPr>
      </w:pPr>
      <w:r w:rsidRPr="00181755">
        <w:rPr>
          <w:rFonts w:asciiTheme="minorHAnsi" w:hAnsiTheme="minorHAnsi"/>
          <w:lang w:val="hu-HU"/>
        </w:rPr>
        <w:t xml:space="preserve">a hitelkockázat hatékony kezelését, mérését és mérséklését lehetővé tevő </w:t>
      </w:r>
      <w:r w:rsidR="00D3418F" w:rsidRPr="00181755">
        <w:rPr>
          <w:rFonts w:asciiTheme="minorHAnsi" w:hAnsiTheme="minorHAnsi"/>
          <w:lang w:val="hu-HU"/>
        </w:rPr>
        <w:t>szervezeti keretek</w:t>
      </w:r>
      <w:r w:rsidR="00A473D2" w:rsidRPr="00181755">
        <w:rPr>
          <w:rFonts w:asciiTheme="minorHAnsi" w:hAnsiTheme="minorHAnsi"/>
          <w:lang w:val="hu-HU"/>
        </w:rPr>
        <w:t>, és a kapcsolódó feladatok elvégzéséhez elege</w:t>
      </w:r>
      <w:r w:rsidR="008C1553">
        <w:rPr>
          <w:rFonts w:asciiTheme="minorHAnsi" w:hAnsiTheme="minorHAnsi"/>
          <w:lang w:val="hu-HU"/>
        </w:rPr>
        <w:t>ndő emberi és műszaki erőforrás,</w:t>
      </w:r>
    </w:p>
    <w:p w14:paraId="5899BB56" w14:textId="1B91360F" w:rsidR="00D3418F" w:rsidRPr="00181755" w:rsidRDefault="00D85ECC" w:rsidP="00181755">
      <w:pPr>
        <w:pStyle w:val="felsorolsos"/>
        <w:rPr>
          <w:rFonts w:asciiTheme="minorHAnsi" w:hAnsiTheme="minorHAnsi"/>
        </w:rPr>
      </w:pPr>
      <w:r w:rsidRPr="00181755">
        <w:rPr>
          <w:rFonts w:asciiTheme="minorHAnsi" w:hAnsiTheme="minorHAnsi"/>
          <w:lang w:val="hu-HU"/>
        </w:rPr>
        <w:t>a hitelkockázatok azonosítására, kezelésére, mérésére</w:t>
      </w:r>
      <w:r w:rsidR="00971B9D" w:rsidRPr="00181755">
        <w:rPr>
          <w:rFonts w:asciiTheme="minorHAnsi" w:hAnsiTheme="minorHAnsi"/>
          <w:lang w:val="hu-HU"/>
        </w:rPr>
        <w:t>,</w:t>
      </w:r>
      <w:r w:rsidRPr="00181755">
        <w:rPr>
          <w:rFonts w:asciiTheme="minorHAnsi" w:hAnsiTheme="minorHAnsi"/>
          <w:lang w:val="hu-HU"/>
        </w:rPr>
        <w:t xml:space="preserve"> mérséklésére</w:t>
      </w:r>
      <w:r w:rsidR="00971B9D" w:rsidRPr="00181755">
        <w:rPr>
          <w:rFonts w:asciiTheme="minorHAnsi" w:hAnsiTheme="minorHAnsi"/>
          <w:lang w:val="hu-HU"/>
        </w:rPr>
        <w:t>, monitoringozására és riportálására</w:t>
      </w:r>
      <w:r w:rsidRPr="00181755">
        <w:rPr>
          <w:rFonts w:asciiTheme="minorHAnsi" w:hAnsiTheme="minorHAnsi"/>
          <w:lang w:val="hu-HU"/>
        </w:rPr>
        <w:t xml:space="preserve"> vonatkozó szabályzatok és eljárások</w:t>
      </w:r>
      <w:r w:rsidR="00971B9D" w:rsidRPr="00181755">
        <w:rPr>
          <w:rFonts w:asciiTheme="minorHAnsi" w:hAnsiTheme="minorHAnsi"/>
          <w:lang w:val="hu-HU"/>
        </w:rPr>
        <w:t>, valamint azzal összhan</w:t>
      </w:r>
      <w:r w:rsidR="008C1553">
        <w:rPr>
          <w:rFonts w:asciiTheme="minorHAnsi" w:hAnsiTheme="minorHAnsi"/>
          <w:lang w:val="hu-HU"/>
        </w:rPr>
        <w:t>gban lévő gyakorlati folyamatok,</w:t>
      </w:r>
    </w:p>
    <w:p w14:paraId="58B78271" w14:textId="0DB7B53C" w:rsidR="00521B30" w:rsidRPr="00181755" w:rsidRDefault="00D85ECC" w:rsidP="00181755">
      <w:pPr>
        <w:pStyle w:val="felsorolsos"/>
        <w:rPr>
          <w:rFonts w:asciiTheme="minorHAnsi" w:hAnsiTheme="minorHAnsi"/>
        </w:rPr>
      </w:pPr>
      <w:r w:rsidRPr="00181755">
        <w:rPr>
          <w:rFonts w:asciiTheme="minorHAnsi" w:hAnsiTheme="minorHAnsi"/>
          <w:lang w:val="hu-HU"/>
        </w:rPr>
        <w:t>a hitelkockázati stratégiával és hitelkockázat-vállalási hajlandósággal összhangban lévő belső ellenőrzési keretrendszer</w:t>
      </w:r>
      <w:r w:rsidR="00971B9D" w:rsidRPr="00181755">
        <w:rPr>
          <w:rFonts w:asciiTheme="minorHAnsi" w:hAnsiTheme="minorHAnsi"/>
          <w:lang w:val="hu-HU"/>
        </w:rPr>
        <w:t>.</w:t>
      </w:r>
    </w:p>
    <w:p w14:paraId="6BF882A5"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66B153E0" w14:textId="63FE4BF1" w:rsidR="003F29E3" w:rsidRPr="00181755" w:rsidRDefault="003F29E3" w:rsidP="00181755">
      <w:pPr>
        <w:rPr>
          <w:rFonts w:asciiTheme="minorHAnsi" w:hAnsiTheme="minorHAnsi"/>
        </w:rPr>
      </w:pPr>
      <w:r w:rsidRPr="00181755">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181755">
        <w:rPr>
          <w:rFonts w:asciiTheme="minorHAnsi" w:hAnsiTheme="minorHAnsi"/>
        </w:rPr>
        <w:t>, IRB</w:t>
      </w:r>
      <w:r w:rsidRPr="00181755">
        <w:rPr>
          <w:rFonts w:asciiTheme="minorHAnsi" w:hAnsiTheme="minorHAnsi"/>
        </w:rPr>
        <w:t xml:space="preserve">) – melynek két változata az alap- és fejlett módszer </w:t>
      </w:r>
      <w:r w:rsidR="00C1121F" w:rsidRPr="00181755">
        <w:rPr>
          <w:rFonts w:asciiTheme="minorHAnsi" w:hAnsiTheme="minorHAnsi"/>
        </w:rPr>
        <w:t xml:space="preserve">(FIRB és AIRB) </w:t>
      </w:r>
      <w:r w:rsidRPr="00181755">
        <w:rPr>
          <w:rFonts w:asciiTheme="minorHAnsi" w:hAnsiTheme="minorHAnsi"/>
        </w:rPr>
        <w:t>– alkalmazásához felügyeleti engedély szükséges</w:t>
      </w:r>
      <w:r w:rsidR="006015F3" w:rsidRPr="00181755">
        <w:rPr>
          <w:rFonts w:asciiTheme="minorHAnsi" w:hAnsiTheme="minorHAnsi"/>
        </w:rPr>
        <w:t>.</w:t>
      </w:r>
    </w:p>
    <w:p w14:paraId="66B153E1" w14:textId="2DB446F3" w:rsidR="00F44850" w:rsidRPr="00181755" w:rsidRDefault="003F29E3" w:rsidP="00181755">
      <w:pPr>
        <w:rPr>
          <w:rFonts w:asciiTheme="minorHAnsi" w:hAnsiTheme="minorHAnsi"/>
        </w:rPr>
      </w:pPr>
      <w:r w:rsidRPr="00181755">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181755">
        <w:rPr>
          <w:rFonts w:asciiTheme="minorHAnsi" w:hAnsiTheme="minorHAnsi"/>
        </w:rPr>
        <w:t xml:space="preserve">pl.: </w:t>
      </w:r>
      <w:r w:rsidRPr="00181755">
        <w:rPr>
          <w:rFonts w:asciiTheme="minorHAnsi" w:hAnsiTheme="minorHAnsi"/>
        </w:rPr>
        <w:t xml:space="preserve">kockázatvállalási </w:t>
      </w:r>
      <w:r w:rsidR="00F77009" w:rsidRPr="00181755">
        <w:rPr>
          <w:rFonts w:asciiTheme="minorHAnsi" w:hAnsiTheme="minorHAnsi"/>
        </w:rPr>
        <w:t xml:space="preserve">és </w:t>
      </w:r>
      <w:r w:rsidR="001064F6" w:rsidRPr="00181755">
        <w:rPr>
          <w:rFonts w:asciiTheme="minorHAnsi" w:hAnsiTheme="minorHAnsi"/>
        </w:rPr>
        <w:t>-</w:t>
      </w:r>
      <w:r w:rsidR="00F77009" w:rsidRPr="00181755">
        <w:rPr>
          <w:rFonts w:asciiTheme="minorHAnsi" w:hAnsiTheme="minorHAnsi"/>
        </w:rPr>
        <w:t xml:space="preserve">kezelési </w:t>
      </w:r>
      <w:r w:rsidRPr="00181755">
        <w:rPr>
          <w:rFonts w:asciiTheme="minorHAnsi" w:hAnsiTheme="minorHAnsi"/>
        </w:rPr>
        <w:t>szabályzatban, stb.), valamint az egyéb termékjellemzők meghatározása (sztenderd termékek). A szabályzatnak ki kell terjednie a granularitás</w:t>
      </w:r>
      <w:r w:rsidRPr="00181755">
        <w:rPr>
          <w:rStyle w:val="Lbjegyzet-hivatkozs"/>
          <w:rFonts w:asciiTheme="minorHAnsi" w:hAnsiTheme="minorHAnsi"/>
        </w:rPr>
        <w:footnoteReference w:id="27"/>
      </w:r>
      <w:r w:rsidRPr="00181755">
        <w:rPr>
          <w:rFonts w:asciiTheme="minorHAnsi" w:hAnsiTheme="minorHAnsi"/>
        </w:rPr>
        <w:t xml:space="preserve"> meghatározására is.</w:t>
      </w:r>
    </w:p>
    <w:p w14:paraId="66B153E2" w14:textId="7812AF6A" w:rsidR="003F29E3" w:rsidRPr="00181755" w:rsidRDefault="003F29E3" w:rsidP="00181755">
      <w:pPr>
        <w:keepNext/>
        <w:rPr>
          <w:rFonts w:asciiTheme="minorHAnsi" w:hAnsiTheme="minorHAnsi"/>
        </w:rPr>
      </w:pPr>
      <w:r w:rsidRPr="00181755">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181755" w:rsidRDefault="003F29E3" w:rsidP="00181755">
      <w:pPr>
        <w:pStyle w:val="felsorolsos"/>
        <w:keepNext/>
        <w:rPr>
          <w:rFonts w:asciiTheme="minorHAnsi" w:hAnsiTheme="minorHAnsi"/>
        </w:rPr>
      </w:pPr>
      <w:r w:rsidRPr="00181755">
        <w:rPr>
          <w:rFonts w:asciiTheme="minorHAnsi" w:hAnsiTheme="minorHAnsi"/>
          <w:lang w:val="hu-HU"/>
        </w:rPr>
        <w:t>a</w:t>
      </w:r>
      <w:r w:rsidRPr="00181755">
        <w:rPr>
          <w:rFonts w:asciiTheme="minorHAnsi" w:hAnsiTheme="minorHAnsi"/>
        </w:rPr>
        <w:t xml:space="preserve"> termékek „kvázi pool</w:t>
      </w:r>
      <w:r w:rsidR="006204E5" w:rsidRPr="00181755">
        <w:rPr>
          <w:rFonts w:asciiTheme="minorHAnsi" w:hAnsiTheme="minorHAnsi"/>
          <w:lang w:val="hu-HU"/>
        </w:rPr>
        <w:t>”-</w:t>
      </w:r>
      <w:r w:rsidRPr="00181755">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181755">
        <w:rPr>
          <w:rFonts w:asciiTheme="minorHAnsi" w:hAnsiTheme="minorHAnsi"/>
          <w:lang w:val="hu-HU"/>
        </w:rPr>
        <w:t>-</w:t>
      </w:r>
      <w:r w:rsidRPr="00181755">
        <w:rPr>
          <w:rFonts w:asciiTheme="minorHAnsi" w:hAnsiTheme="minorHAnsi"/>
        </w:rPr>
        <w:t>okra a granularitás teljesülése érdekében.</w:t>
      </w:r>
    </w:p>
    <w:p w14:paraId="66B153E4" w14:textId="77777777" w:rsidR="003F29E3" w:rsidRPr="00181755" w:rsidRDefault="003F29E3" w:rsidP="00181755">
      <w:pPr>
        <w:pStyle w:val="felsorolsos"/>
        <w:rPr>
          <w:rFonts w:asciiTheme="minorHAnsi" w:hAnsiTheme="minorHAnsi"/>
        </w:rPr>
      </w:pPr>
      <w:r w:rsidRPr="00181755">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181755" w:rsidRDefault="003F29E3" w:rsidP="00181755">
      <w:pPr>
        <w:rPr>
          <w:rFonts w:asciiTheme="minorHAnsi" w:hAnsiTheme="minorHAnsi"/>
          <w:b/>
          <w:bCs/>
        </w:rPr>
      </w:pPr>
      <w:r w:rsidRPr="00181755">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181755" w:rsidRDefault="003F29E3" w:rsidP="00181755">
      <w:pPr>
        <w:rPr>
          <w:rFonts w:asciiTheme="minorHAnsi" w:hAnsiTheme="minorHAnsi"/>
        </w:rPr>
      </w:pPr>
      <w:r w:rsidRPr="00181755">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181755">
        <w:rPr>
          <w:rFonts w:asciiTheme="minorHAnsi" w:hAnsiTheme="minorHAnsi"/>
        </w:rPr>
        <w:t xml:space="preserve">azonban </w:t>
      </w:r>
      <w:r w:rsidR="00BA5B0A" w:rsidRPr="00181755">
        <w:rPr>
          <w:rFonts w:asciiTheme="minorHAnsi" w:hAnsiTheme="minorHAnsi"/>
        </w:rPr>
        <w:t xml:space="preserve">a kalibrációs nehézségek </w:t>
      </w:r>
      <w:r w:rsidR="00B66344" w:rsidRPr="00181755">
        <w:rPr>
          <w:rFonts w:asciiTheme="minorHAnsi" w:hAnsiTheme="minorHAnsi"/>
        </w:rPr>
        <w:t>miatt jelentős modellkockázatot hordozhatnak magukban.</w:t>
      </w:r>
      <w:r w:rsidRPr="00181755">
        <w:rPr>
          <w:rStyle w:val="Lbjegyzet-hivatkozs"/>
          <w:rFonts w:asciiTheme="minorHAnsi" w:hAnsiTheme="minorHAnsi"/>
        </w:rPr>
        <w:footnoteReference w:id="28"/>
      </w:r>
      <w:r w:rsidR="00E368A0" w:rsidRPr="00181755">
        <w:rPr>
          <w:rFonts w:asciiTheme="minorHAnsi" w:hAnsiTheme="minorHAnsi"/>
        </w:rPr>
        <w:t>.</w:t>
      </w:r>
      <w:r w:rsidRPr="00181755">
        <w:rPr>
          <w:rFonts w:asciiTheme="minorHAnsi" w:hAnsiTheme="minorHAnsi"/>
        </w:rPr>
        <w:t xml:space="preserve"> E modellek megítélésekor az MNB </w:t>
      </w:r>
      <w:r w:rsidR="00432197" w:rsidRPr="00181755">
        <w:rPr>
          <w:rFonts w:asciiTheme="minorHAnsi" w:hAnsiTheme="minorHAnsi"/>
        </w:rPr>
        <w:t xml:space="preserve">próbálja megérteni </w:t>
      </w:r>
      <w:r w:rsidR="001064F6" w:rsidRPr="00181755">
        <w:rPr>
          <w:rFonts w:asciiTheme="minorHAnsi" w:hAnsiTheme="minorHAnsi"/>
        </w:rPr>
        <w:t xml:space="preserve">és rekonstruálni </w:t>
      </w:r>
      <w:r w:rsidR="00432197" w:rsidRPr="00181755">
        <w:rPr>
          <w:rFonts w:asciiTheme="minorHAnsi" w:hAnsiTheme="minorHAnsi"/>
        </w:rPr>
        <w:t>a modellt és annak működését, de a modell értékelésénél</w:t>
      </w:r>
      <w:r w:rsidRPr="00181755">
        <w:rPr>
          <w:rFonts w:asciiTheme="minorHAnsi" w:hAnsiTheme="minorHAnsi"/>
        </w:rPr>
        <w:t xml:space="preserve"> fontos eszköz </w:t>
      </w:r>
      <w:r w:rsidR="001064F6" w:rsidRPr="00181755">
        <w:rPr>
          <w:rFonts w:asciiTheme="minorHAnsi" w:hAnsiTheme="minorHAnsi"/>
        </w:rPr>
        <w:t>a</w:t>
      </w:r>
      <w:r w:rsidR="004E0090" w:rsidRPr="00181755">
        <w:rPr>
          <w:rFonts w:asciiTheme="minorHAnsi" w:hAnsiTheme="minorHAnsi"/>
        </w:rPr>
        <w:t xml:space="preserve"> </w:t>
      </w:r>
      <w:r w:rsidRPr="00181755">
        <w:rPr>
          <w:rFonts w:asciiTheme="minorHAnsi" w:hAnsiTheme="minorHAnsi"/>
        </w:rPr>
        <w:t>benchmark</w:t>
      </w:r>
      <w:r w:rsidR="00432197" w:rsidRPr="00181755">
        <w:rPr>
          <w:rFonts w:asciiTheme="minorHAnsi" w:hAnsiTheme="minorHAnsi"/>
        </w:rPr>
        <w:t>olás</w:t>
      </w:r>
      <w:r w:rsidR="001064F6" w:rsidRPr="00181755">
        <w:rPr>
          <w:rFonts w:asciiTheme="minorHAnsi" w:hAnsiTheme="minorHAnsi"/>
        </w:rPr>
        <w:t xml:space="preserve"> is</w:t>
      </w:r>
      <w:r w:rsidR="00432197" w:rsidRPr="00181755">
        <w:rPr>
          <w:rFonts w:asciiTheme="minorHAnsi" w:hAnsiTheme="minorHAnsi"/>
        </w:rPr>
        <w:t>, melynek során az MNB az IRB modell (nem kellően granuláris kitettsé</w:t>
      </w:r>
      <w:r w:rsidR="001064F6" w:rsidRPr="00181755">
        <w:rPr>
          <w:rFonts w:asciiTheme="minorHAnsi" w:hAnsiTheme="minorHAnsi"/>
        </w:rPr>
        <w:t>gek esetén annak szimulációja</w:t>
      </w:r>
      <w:r w:rsidR="00432197" w:rsidRPr="00181755">
        <w:rPr>
          <w:rFonts w:asciiTheme="minorHAnsi" w:hAnsiTheme="minorHAnsi"/>
        </w:rPr>
        <w:t>) eredményeivel összeveti a Bank által használt portfóliómodell eredményét</w:t>
      </w:r>
      <w:r w:rsidRPr="00181755">
        <w:rPr>
          <w:rFonts w:asciiTheme="minorHAnsi" w:hAnsiTheme="minorHAnsi"/>
        </w:rPr>
        <w:t>.</w:t>
      </w:r>
      <w:r w:rsidR="004E0090" w:rsidRPr="00181755">
        <w:rPr>
          <w:rFonts w:asciiTheme="minorHAnsi" w:hAnsiTheme="minorHAnsi"/>
        </w:rPr>
        <w:t xml:space="preserve"> </w:t>
      </w:r>
    </w:p>
    <w:p w14:paraId="66B153E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3EA" w14:textId="7E60F28E" w:rsidR="003F29E3" w:rsidRPr="00181755" w:rsidRDefault="003F29E3" w:rsidP="00181755">
      <w:pPr>
        <w:rPr>
          <w:rFonts w:asciiTheme="minorHAnsi" w:hAnsiTheme="minorHAnsi"/>
        </w:rPr>
      </w:pPr>
      <w:r w:rsidRPr="00181755">
        <w:rPr>
          <w:rFonts w:asciiTheme="minorHAnsi" w:hAnsiTheme="minorHAnsi"/>
        </w:rPr>
        <w:t xml:space="preserve">A hitelezési kockázatok a CRD </w:t>
      </w:r>
      <w:r w:rsidR="00A82A54" w:rsidRPr="00181755">
        <w:rPr>
          <w:rFonts w:asciiTheme="minorHAnsi" w:hAnsiTheme="minorHAnsi"/>
        </w:rPr>
        <w:t xml:space="preserve">IV </w:t>
      </w:r>
      <w:r w:rsidRPr="00181755">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77777777" w:rsidR="003F29E3" w:rsidRPr="00181755" w:rsidRDefault="003F29E3" w:rsidP="00181755">
      <w:pPr>
        <w:rPr>
          <w:rFonts w:asciiTheme="minorHAnsi" w:hAnsiTheme="minorHAnsi"/>
        </w:rPr>
      </w:pPr>
      <w:r w:rsidRPr="00181755">
        <w:rPr>
          <w:rFonts w:asciiTheme="minorHAnsi" w:hAnsiTheme="minorHAnsi"/>
        </w:rPr>
        <w:t>A hitelkockázat súlyára és komplexitására tekintettel, ezzel párhuzamosan automatikusan pótlólagos tőkekövetelmény kerül előírásra azon komplex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p>
    <w:p w14:paraId="66B153ED" w14:textId="21155033" w:rsidR="003F29E3" w:rsidRPr="00181755" w:rsidRDefault="003F29E3" w:rsidP="00181755">
      <w:pPr>
        <w:spacing w:after="240"/>
        <w:rPr>
          <w:rFonts w:asciiTheme="minorHAnsi" w:hAnsiTheme="minorHAnsi"/>
        </w:rPr>
      </w:pPr>
      <w:r w:rsidRPr="00181755">
        <w:rPr>
          <w:rFonts w:asciiTheme="minorHAnsi" w:hAnsiTheme="minorHAnsi"/>
        </w:rPr>
        <w:t xml:space="preserve">A hitelezési folyamatok és a tőkeszámítás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A következőkben ezek kerülnek összefoglaló jelleggel bemutatásra. </w:t>
      </w:r>
    </w:p>
    <w:p w14:paraId="66B153EE" w14:textId="49B27018" w:rsidR="003F29E3" w:rsidRPr="00181755" w:rsidRDefault="003F29E3" w:rsidP="00181755">
      <w:pPr>
        <w:pStyle w:val="Cmsor4"/>
        <w:rPr>
          <w:rFonts w:asciiTheme="minorHAnsi" w:hAnsiTheme="minorHAnsi"/>
        </w:rPr>
      </w:pPr>
      <w:bookmarkStart w:id="631" w:name="_A_hitelkockázati_modell"/>
      <w:bookmarkStart w:id="632" w:name="_Toc378592166"/>
      <w:bookmarkStart w:id="633" w:name="_Toc461095203"/>
      <w:bookmarkStart w:id="634" w:name="_Toc461179859"/>
      <w:bookmarkStart w:id="635" w:name="_Toc461201302"/>
      <w:bookmarkStart w:id="636" w:name="_Toc461547945"/>
      <w:bookmarkStart w:id="637" w:name="_Toc462401983"/>
      <w:bookmarkStart w:id="638" w:name="_Toc462403104"/>
      <w:bookmarkStart w:id="639" w:name="_Toc462403428"/>
      <w:bookmarkStart w:id="640" w:name="_Toc468180547"/>
      <w:bookmarkStart w:id="641" w:name="_Toc468181055"/>
      <w:bookmarkStart w:id="642" w:name="_Toc468191443"/>
      <w:bookmarkEnd w:id="631"/>
      <w:r w:rsidRPr="00181755">
        <w:rPr>
          <w:rFonts w:asciiTheme="minorHAnsi" w:hAnsiTheme="minorHAnsi"/>
        </w:rPr>
        <w:t>A hitelkockázati modell feltevései</w:t>
      </w:r>
      <w:bookmarkEnd w:id="632"/>
      <w:bookmarkEnd w:id="633"/>
      <w:bookmarkEnd w:id="634"/>
      <w:bookmarkEnd w:id="635"/>
      <w:bookmarkEnd w:id="636"/>
      <w:bookmarkEnd w:id="637"/>
      <w:bookmarkEnd w:id="638"/>
      <w:bookmarkEnd w:id="639"/>
      <w:bookmarkEnd w:id="640"/>
      <w:bookmarkEnd w:id="641"/>
      <w:bookmarkEnd w:id="642"/>
    </w:p>
    <w:p w14:paraId="66B153EF" w14:textId="77777777" w:rsidR="003F29E3" w:rsidRPr="00181755" w:rsidRDefault="003F29E3" w:rsidP="00181755">
      <w:pPr>
        <w:rPr>
          <w:rFonts w:asciiTheme="minorHAnsi" w:hAnsiTheme="minorHAnsi"/>
        </w:rPr>
      </w:pPr>
      <w:r w:rsidRPr="00181755">
        <w:rPr>
          <w:rFonts w:asciiTheme="minorHAnsi" w:hAnsiTheme="minorHAnsi"/>
        </w:rPr>
        <w:t>A fejlett tőkeszámítási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w:t>
      </w:r>
      <w:r w:rsidRPr="00D647EA">
        <w:rPr>
          <w:rFonts w:asciiTheme="minorHAnsi" w:hAnsiTheme="minorHAnsi"/>
        </w:rPr>
        <w:t>probability of default</w:t>
      </w:r>
      <w:r w:rsidRPr="00181755">
        <w:rPr>
          <w:rFonts w:asciiTheme="minorHAnsi" w:hAnsiTheme="minorHAnsi"/>
        </w:rPr>
        <w:t xml:space="preserve">,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181755" w:rsidRDefault="003F29E3" w:rsidP="00181755">
      <w:pPr>
        <w:rPr>
          <w:rFonts w:asciiTheme="minorHAnsi" w:hAnsiTheme="minorHAnsi"/>
        </w:rPr>
      </w:pPr>
      <w:r w:rsidRPr="00181755">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181755" w:rsidRDefault="003F29E3" w:rsidP="00181755">
      <w:pPr>
        <w:rPr>
          <w:rFonts w:asciiTheme="minorHAnsi" w:hAnsiTheme="minorHAnsi"/>
        </w:rPr>
      </w:pPr>
      <w:r w:rsidRPr="00181755">
        <w:rPr>
          <w:rFonts w:asciiTheme="minorHAnsi" w:hAnsiTheme="minorHAnsi"/>
        </w:rPr>
        <w:t>A 2. pillérben az IRB-modelltől eltérő megközelítést alkalmazó intézmények esetében az MNB a következőket várja el:</w:t>
      </w:r>
    </w:p>
    <w:p w14:paraId="66B153F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181755" w:rsidRDefault="003F29E3" w:rsidP="00181755">
      <w:pPr>
        <w:pStyle w:val="felsorolsos"/>
        <w:rPr>
          <w:rFonts w:asciiTheme="minorHAnsi" w:hAnsiTheme="minorHAnsi"/>
        </w:rPr>
      </w:pPr>
      <w:r w:rsidRPr="00181755">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181755">
        <w:rPr>
          <w:rFonts w:asciiTheme="minorHAnsi" w:hAnsiTheme="minorHAnsi"/>
        </w:rPr>
        <w:t>en megfeleltethető az IRB-model</w:t>
      </w:r>
      <w:r w:rsidR="006015F3" w:rsidRPr="00181755">
        <w:rPr>
          <w:rFonts w:asciiTheme="minorHAnsi" w:hAnsiTheme="minorHAnsi"/>
          <w:lang w:val="hu-HU"/>
        </w:rPr>
        <w:t>l</w:t>
      </w:r>
      <w:r w:rsidRPr="00181755">
        <w:rPr>
          <w:rFonts w:asciiTheme="minorHAnsi" w:hAnsiTheme="minorHAnsi"/>
        </w:rPr>
        <w:t xml:space="preserve"> korrelációs együtthatójának, ezért az MNB ezen összehasonlítás elvégzését elvárja az intézményektől.</w:t>
      </w:r>
      <w:r w:rsidRPr="00181755">
        <w:rPr>
          <w:rStyle w:val="Lbjegyzet-hivatkozs"/>
          <w:rFonts w:asciiTheme="minorHAnsi" w:hAnsiTheme="minorHAnsi"/>
          <w:szCs w:val="22"/>
        </w:rPr>
        <w:t xml:space="preserve"> </w:t>
      </w:r>
      <w:r w:rsidRPr="00181755">
        <w:rPr>
          <w:rStyle w:val="Lbjegyzet-hivatkozs"/>
          <w:rFonts w:asciiTheme="minorHAnsi" w:hAnsiTheme="minorHAnsi"/>
          <w:szCs w:val="22"/>
        </w:rPr>
        <w:footnoteReference w:id="29"/>
      </w:r>
      <w:r w:rsidRPr="00181755">
        <w:rPr>
          <w:rFonts w:asciiTheme="minorHAnsi" w:hAnsiTheme="minorHAnsi"/>
        </w:rPr>
        <w:t xml:space="preserve"> </w:t>
      </w:r>
    </w:p>
    <w:p w14:paraId="66B153F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181755" w:rsidRDefault="003F29E3" w:rsidP="00D647EA">
      <w:pPr>
        <w:pStyle w:val="alfelsorols"/>
        <w:numPr>
          <w:ilvl w:val="0"/>
          <w:numId w:val="61"/>
        </w:numPr>
        <w:ind w:left="1701"/>
      </w:pPr>
      <w:r w:rsidRPr="00181755">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181755" w:rsidRDefault="003F29E3" w:rsidP="00D647EA">
      <w:pPr>
        <w:pStyle w:val="alfelsorols"/>
        <w:numPr>
          <w:ilvl w:val="0"/>
          <w:numId w:val="61"/>
        </w:numPr>
        <w:ind w:left="1701"/>
      </w:pPr>
      <w:r w:rsidRPr="00181755">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5C048587" w:rsidR="003F29E3" w:rsidRPr="00181755" w:rsidRDefault="003F29E3" w:rsidP="00D647EA">
      <w:pPr>
        <w:pStyle w:val="alfelsorols"/>
        <w:numPr>
          <w:ilvl w:val="0"/>
          <w:numId w:val="61"/>
        </w:numPr>
        <w:ind w:left="1701"/>
      </w:pPr>
      <w:r w:rsidRPr="00181755">
        <w:t xml:space="preserve">a 2. pilléres hitelkockázati modell mechanizmusát nem befolyásoló paraméterek – nemteljesítéskori kitettség (EAD), nemteljesítéskori veszteségráta (LGD) és hitelegyenértékesítési faktor (CCF) – vonatkozásában számszerűsítsék az 1. </w:t>
      </w:r>
      <w:r w:rsidR="008C1553">
        <w:t>pillértől való eltérés hatásait</w:t>
      </w:r>
      <w:r w:rsidR="008C1553">
        <w:rPr>
          <w:lang w:val="hu-HU"/>
        </w:rPr>
        <w:t>,</w:t>
      </w:r>
    </w:p>
    <w:p w14:paraId="66B153F9" w14:textId="77777777" w:rsidR="003F29E3" w:rsidRPr="00181755" w:rsidRDefault="003F29E3" w:rsidP="00D647EA">
      <w:pPr>
        <w:pStyle w:val="alfelsorols"/>
        <w:numPr>
          <w:ilvl w:val="0"/>
          <w:numId w:val="61"/>
        </w:numPr>
        <w:ind w:left="1701"/>
      </w:pPr>
      <w:r w:rsidRPr="00181755">
        <w:t>tegyék lehetővé a kétféle módszertanban használt paraméterek (EAD,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72EB9F1A" w:rsidR="003F29E3" w:rsidRPr="00181755" w:rsidRDefault="004D6790" w:rsidP="00181755">
      <w:pPr>
        <w:pStyle w:val="Cmsor4"/>
        <w:rPr>
          <w:rFonts w:asciiTheme="minorHAnsi" w:hAnsiTheme="minorHAnsi"/>
        </w:rPr>
      </w:pPr>
      <w:bookmarkStart w:id="643" w:name="_Toc461095204"/>
      <w:bookmarkStart w:id="644" w:name="_Toc461179860"/>
      <w:bookmarkStart w:id="645" w:name="_Toc461201303"/>
      <w:bookmarkStart w:id="646" w:name="_Toc461547946"/>
      <w:bookmarkStart w:id="647" w:name="_Toc462401984"/>
      <w:bookmarkStart w:id="648" w:name="_Toc462403105"/>
      <w:bookmarkStart w:id="649" w:name="_Toc462403429"/>
      <w:bookmarkStart w:id="650" w:name="_Toc468180548"/>
      <w:bookmarkStart w:id="651" w:name="_Toc468181056"/>
      <w:bookmarkStart w:id="652" w:name="_Toc468191444"/>
      <w:r w:rsidRPr="00181755">
        <w:rPr>
          <w:rFonts w:asciiTheme="minorHAnsi" w:hAnsiTheme="minorHAnsi"/>
          <w:lang w:val="hu-HU"/>
        </w:rPr>
        <w:t>M</w:t>
      </w:r>
      <w:r w:rsidRPr="00181755">
        <w:rPr>
          <w:rFonts w:asciiTheme="minorHAnsi" w:hAnsiTheme="minorHAnsi"/>
        </w:rPr>
        <w:t>odellekkel kapcsolatos alapvető elvárások</w:t>
      </w:r>
      <w:bookmarkEnd w:id="643"/>
      <w:bookmarkEnd w:id="644"/>
      <w:bookmarkEnd w:id="645"/>
      <w:bookmarkEnd w:id="646"/>
      <w:bookmarkEnd w:id="647"/>
      <w:bookmarkEnd w:id="648"/>
      <w:bookmarkEnd w:id="649"/>
      <w:bookmarkEnd w:id="650"/>
      <w:bookmarkEnd w:id="651"/>
      <w:bookmarkEnd w:id="652"/>
    </w:p>
    <w:p w14:paraId="4D0AC1A1" w14:textId="5AC3632E" w:rsidR="004D6790" w:rsidRPr="00181755" w:rsidRDefault="00924F40" w:rsidP="00181755">
      <w:pPr>
        <w:rPr>
          <w:rFonts w:asciiTheme="minorHAnsi" w:hAnsiTheme="minorHAnsi"/>
        </w:rPr>
      </w:pPr>
      <w:bookmarkStart w:id="653" w:name="_A_nemteljesítési_valószínűség"/>
      <w:bookmarkStart w:id="654" w:name="_Toc378592167"/>
      <w:bookmarkEnd w:id="653"/>
      <w:r w:rsidRPr="00181755">
        <w:rPr>
          <w:rFonts w:asciiTheme="minorHAnsi" w:hAnsiTheme="minorHAnsi"/>
        </w:rPr>
        <w:t>A</w:t>
      </w:r>
      <w:r w:rsidR="00EB21BA" w:rsidRPr="00181755">
        <w:rPr>
          <w:rFonts w:asciiTheme="minorHAnsi" w:hAnsiTheme="minorHAnsi"/>
        </w:rPr>
        <w:t xml:space="preserve"> hitelkockázati</w:t>
      </w:r>
      <w:r w:rsidR="004D6790" w:rsidRPr="00181755">
        <w:rPr>
          <w:rFonts w:asciiTheme="minorHAnsi" w:hAnsiTheme="minorHAnsi"/>
        </w:rPr>
        <w:t xml:space="preserve"> modellekkel kapcsolatban a</w:t>
      </w:r>
      <w:r w:rsidRPr="00181755">
        <w:rPr>
          <w:rFonts w:asciiTheme="minorHAnsi" w:hAnsiTheme="minorHAnsi"/>
        </w:rPr>
        <w:t>z MNB</w:t>
      </w:r>
      <w:r w:rsidR="004D6790" w:rsidRPr="00181755">
        <w:rPr>
          <w:rFonts w:asciiTheme="minorHAnsi" w:hAnsiTheme="minorHAnsi"/>
        </w:rPr>
        <w:t xml:space="preserve"> fő </w:t>
      </w:r>
      <w:r w:rsidR="00EB21BA" w:rsidRPr="00181755">
        <w:rPr>
          <w:rFonts w:asciiTheme="minorHAnsi" w:hAnsiTheme="minorHAnsi"/>
        </w:rPr>
        <w:t xml:space="preserve">általános </w:t>
      </w:r>
      <w:r w:rsidR="004D6790" w:rsidRPr="00181755">
        <w:rPr>
          <w:rFonts w:asciiTheme="minorHAnsi" w:hAnsiTheme="minorHAnsi"/>
        </w:rPr>
        <w:t>elvárás</w:t>
      </w:r>
      <w:r w:rsidRPr="00181755">
        <w:rPr>
          <w:rFonts w:asciiTheme="minorHAnsi" w:hAnsiTheme="minorHAnsi"/>
        </w:rPr>
        <w:t>ai a következők</w:t>
      </w:r>
      <w:r w:rsidR="004D6790" w:rsidRPr="00181755">
        <w:rPr>
          <w:rFonts w:asciiTheme="minorHAnsi" w:hAnsiTheme="minorHAnsi"/>
        </w:rPr>
        <w:t>:</w:t>
      </w:r>
    </w:p>
    <w:p w14:paraId="66A42095" w14:textId="0D609180" w:rsidR="004D6790" w:rsidRPr="00181755" w:rsidRDefault="00EB21BA" w:rsidP="00540601">
      <w:pPr>
        <w:pStyle w:val="alfelsorols"/>
        <w:numPr>
          <w:ilvl w:val="0"/>
          <w:numId w:val="63"/>
        </w:numPr>
        <w:spacing w:after="120"/>
        <w:ind w:left="1134" w:hanging="357"/>
      </w:pPr>
      <w:r w:rsidRPr="00181755">
        <w:t>modellek teljeskörű, részletes és egyértelmű dokumentálása,</w:t>
      </w:r>
    </w:p>
    <w:p w14:paraId="646ADCEC" w14:textId="3637259D" w:rsidR="00EB21BA" w:rsidRPr="00181755" w:rsidRDefault="00EB21BA" w:rsidP="00540601">
      <w:pPr>
        <w:pStyle w:val="alfelsorols"/>
        <w:numPr>
          <w:ilvl w:val="0"/>
          <w:numId w:val="63"/>
        </w:numPr>
        <w:spacing w:after="120"/>
        <w:ind w:left="1134" w:hanging="357"/>
      </w:pPr>
      <w:r w:rsidRPr="00181755">
        <w:t xml:space="preserve">fogalmak, eljárások és folyamatok rögzítése, </w:t>
      </w:r>
    </w:p>
    <w:p w14:paraId="0DD5F945" w14:textId="22E9103C" w:rsidR="00EB21BA" w:rsidRPr="00181755" w:rsidRDefault="00EB21BA" w:rsidP="00540601">
      <w:pPr>
        <w:pStyle w:val="alfelsorols"/>
        <w:numPr>
          <w:ilvl w:val="0"/>
          <w:numId w:val="63"/>
        </w:numPr>
        <w:spacing w:after="120"/>
        <w:ind w:left="1134" w:hanging="357"/>
      </w:pPr>
      <w:r w:rsidRPr="00181755">
        <w:t xml:space="preserve">megfelelő adatminőség biztosítása, </w:t>
      </w:r>
    </w:p>
    <w:p w14:paraId="383F9A05" w14:textId="2BE7FFC2" w:rsidR="00EB21BA" w:rsidRPr="00181755" w:rsidRDefault="00EB21BA" w:rsidP="00540601">
      <w:pPr>
        <w:pStyle w:val="alfelsorols"/>
        <w:numPr>
          <w:ilvl w:val="0"/>
          <w:numId w:val="63"/>
        </w:numPr>
        <w:spacing w:after="120"/>
        <w:ind w:left="1134" w:hanging="357"/>
      </w:pPr>
      <w:r w:rsidRPr="00181755">
        <w:t>modellezéshez felhasznált adatok</w:t>
      </w:r>
      <w:r w:rsidRPr="00181755">
        <w:rPr>
          <w:lang w:val="hu-HU"/>
        </w:rPr>
        <w:t xml:space="preserve"> </w:t>
      </w:r>
      <w:r w:rsidR="0030457D" w:rsidRPr="00181755">
        <w:rPr>
          <w:lang w:val="hu-HU"/>
        </w:rPr>
        <w:t>megfelelő</w:t>
      </w:r>
      <w:r w:rsidRPr="00181755">
        <w:t xml:space="preserve"> gyűjtése, tárolása és karbantartása, </w:t>
      </w:r>
    </w:p>
    <w:p w14:paraId="6B4A396B" w14:textId="3073E013" w:rsidR="00875A74" w:rsidRPr="00181755" w:rsidRDefault="00875A74" w:rsidP="00540601">
      <w:pPr>
        <w:pStyle w:val="alfelsorols"/>
        <w:numPr>
          <w:ilvl w:val="0"/>
          <w:numId w:val="63"/>
        </w:numPr>
        <w:spacing w:after="120"/>
        <w:ind w:left="1134" w:hanging="357"/>
      </w:pPr>
      <w:r w:rsidRPr="00181755">
        <w:t xml:space="preserve">modellek éves validációjának megvalósítása, </w:t>
      </w:r>
    </w:p>
    <w:p w14:paraId="747003FE" w14:textId="488EE381" w:rsidR="00EB21BA" w:rsidRPr="00181755" w:rsidRDefault="00875A74" w:rsidP="00540601">
      <w:pPr>
        <w:pStyle w:val="alfelsorols"/>
        <w:numPr>
          <w:ilvl w:val="0"/>
          <w:numId w:val="63"/>
        </w:numPr>
        <w:spacing w:after="120"/>
        <w:ind w:left="1134" w:hanging="357"/>
      </w:pPr>
      <w:r w:rsidRPr="00181755">
        <w:t xml:space="preserve">modellek teljesítményének és stabilitásának </w:t>
      </w:r>
      <w:r w:rsidR="00EB21BA" w:rsidRPr="00181755">
        <w:t>rendszeres monitoring</w:t>
      </w:r>
      <w:r w:rsidRPr="00181755">
        <w:t>ozása, riportálása</w:t>
      </w:r>
      <w:r w:rsidR="00EB21BA" w:rsidRPr="00181755">
        <w:t xml:space="preserve">, </w:t>
      </w:r>
    </w:p>
    <w:p w14:paraId="2B474C1F" w14:textId="77777777" w:rsidR="0030457D" w:rsidRPr="00181755" w:rsidRDefault="0030457D" w:rsidP="00540601">
      <w:pPr>
        <w:pStyle w:val="alfelsorols"/>
        <w:numPr>
          <w:ilvl w:val="0"/>
          <w:numId w:val="63"/>
        </w:numPr>
        <w:spacing w:after="120"/>
        <w:ind w:left="1134" w:hanging="357"/>
      </w:pPr>
      <w:r w:rsidRPr="00181755">
        <w:t>modellek rendszeres újrafejlesztése, amelyre a validáció</w:t>
      </w:r>
      <w:r w:rsidRPr="00181755">
        <w:rPr>
          <w:lang w:val="hu-HU"/>
        </w:rPr>
        <w:t xml:space="preserve"> vagy monitoring</w:t>
      </w:r>
      <w:r w:rsidRPr="00181755">
        <w:t xml:space="preserve"> eredménye alapján </w:t>
      </w:r>
      <w:r w:rsidRPr="00181755">
        <w:rPr>
          <w:lang w:val="hu-HU"/>
        </w:rPr>
        <w:t xml:space="preserve">(meghatározott trigger értékek elérése esetén) </w:t>
      </w:r>
      <w:r w:rsidRPr="00181755">
        <w:t>sort kell keríteni,</w:t>
      </w:r>
    </w:p>
    <w:p w14:paraId="298D1C1E" w14:textId="79105F12" w:rsidR="00EB21BA" w:rsidRPr="00181755" w:rsidRDefault="00EB21BA" w:rsidP="00540601">
      <w:pPr>
        <w:pStyle w:val="alfelsorols"/>
        <w:numPr>
          <w:ilvl w:val="0"/>
          <w:numId w:val="63"/>
        </w:numPr>
        <w:ind w:left="1134" w:hanging="357"/>
      </w:pPr>
      <w:r w:rsidRPr="00181755">
        <w:t>naprakész, rendszeresen aktualizált modell leltár kialakítása, alkalmazása,</w:t>
      </w:r>
      <w:r w:rsidR="00875A74" w:rsidRPr="00181755">
        <w:t xml:space="preserve"> amelyben nyomon követhetőek a modellekkel kapcsolatos felülvizsgálatok és validációk időpontjai.</w:t>
      </w:r>
    </w:p>
    <w:p w14:paraId="53F86B32" w14:textId="6758BD3F" w:rsidR="00FB6B5A" w:rsidRPr="00181755" w:rsidRDefault="00EF0330" w:rsidP="00540601">
      <w:pPr>
        <w:pStyle w:val="Cmsor4"/>
        <w:spacing w:before="240"/>
        <w:ind w:left="862" w:hanging="862"/>
        <w:rPr>
          <w:rFonts w:asciiTheme="minorHAnsi" w:hAnsiTheme="minorHAnsi"/>
          <w:lang w:val="hu-HU"/>
        </w:rPr>
      </w:pPr>
      <w:bookmarkStart w:id="655" w:name="_Toc461095205"/>
      <w:bookmarkStart w:id="656" w:name="_Toc461179861"/>
      <w:bookmarkStart w:id="657" w:name="_Toc461201304"/>
      <w:bookmarkStart w:id="658" w:name="_Toc461547947"/>
      <w:bookmarkStart w:id="659" w:name="_Toc462401985"/>
      <w:bookmarkStart w:id="660" w:name="_Toc462403106"/>
      <w:bookmarkStart w:id="661" w:name="_Toc462403430"/>
      <w:bookmarkStart w:id="662" w:name="_Toc468180549"/>
      <w:bookmarkStart w:id="663" w:name="_Toc468181057"/>
      <w:bookmarkStart w:id="664" w:name="_Toc468191445"/>
      <w:r w:rsidRPr="00181755">
        <w:rPr>
          <w:rFonts w:asciiTheme="minorHAnsi" w:hAnsiTheme="minorHAnsi"/>
          <w:lang w:val="hu-HU"/>
        </w:rPr>
        <w:t>Minősítő rendszerek</w:t>
      </w:r>
      <w:bookmarkEnd w:id="655"/>
      <w:bookmarkEnd w:id="656"/>
      <w:bookmarkEnd w:id="657"/>
      <w:bookmarkEnd w:id="658"/>
      <w:bookmarkEnd w:id="659"/>
      <w:bookmarkEnd w:id="660"/>
      <w:bookmarkEnd w:id="661"/>
      <w:bookmarkEnd w:id="662"/>
      <w:bookmarkEnd w:id="663"/>
      <w:bookmarkEnd w:id="664"/>
    </w:p>
    <w:p w14:paraId="76AF7B88" w14:textId="5AFDDC26" w:rsidR="00FB6B5A" w:rsidRPr="00181755" w:rsidRDefault="00FB6B5A" w:rsidP="00181755">
      <w:pPr>
        <w:tabs>
          <w:tab w:val="left" w:pos="0"/>
        </w:tabs>
        <w:rPr>
          <w:rFonts w:asciiTheme="minorHAnsi" w:hAnsiTheme="minorHAnsi"/>
        </w:rPr>
      </w:pPr>
      <w:r w:rsidRPr="00181755">
        <w:rPr>
          <w:rFonts w:asciiTheme="minorHAnsi" w:hAnsiTheme="minorHAnsi"/>
        </w:rPr>
        <w:t xml:space="preserve">Fejlett hitelkockázati módszer alkalmazása esetén az intézmények az ügyfelek minősítését minősítő rendszerek (rating/scoring modellek) segítségével végzik. A minősítő rendszerek alapvető célja, hogy megkülönböztesse az ügyfeleket/ügyleteket kockázatossági szempontból. A minősítő rendszer keretében az intézmények meghatározott kvalitatív, illetve kvantitatív változók mentén értékelik az ügyfél/ügylet kockázatosságát, azokhoz score-okat rendelnek, majd a végső scoring eredmény alapján meghatározott kockázati kategóriákba sorolják az ügyfelet/ügyletet. Az intézmények az egyes kockázati kategóriákhoz kalibrálnak nemteljesítési valószínűséget. </w:t>
      </w:r>
    </w:p>
    <w:p w14:paraId="45230E5C" w14:textId="38C7FD83" w:rsidR="00FB6B5A" w:rsidRPr="00181755" w:rsidRDefault="00FB6B5A" w:rsidP="00181755">
      <w:pPr>
        <w:tabs>
          <w:tab w:val="left" w:pos="0"/>
        </w:tabs>
        <w:rPr>
          <w:rFonts w:asciiTheme="minorHAnsi" w:hAnsiTheme="minorHAnsi"/>
        </w:rPr>
      </w:pPr>
      <w:r w:rsidRPr="00181755">
        <w:rPr>
          <w:rFonts w:asciiTheme="minorHAnsi" w:hAnsiTheme="minorHAnsi"/>
        </w:rPr>
        <w:t xml:space="preserve">A minősítő rendszerekkel kapcsolatban az MNB alapvetően a CRR-ben meghatározott </w:t>
      </w:r>
      <w:r w:rsidR="00924F40" w:rsidRPr="00181755">
        <w:rPr>
          <w:rFonts w:asciiTheme="minorHAnsi" w:hAnsiTheme="minorHAnsi"/>
        </w:rPr>
        <w:t>követelményeket</w:t>
      </w:r>
      <w:r w:rsidRPr="00181755">
        <w:rPr>
          <w:rFonts w:asciiTheme="minorHAnsi" w:hAnsiTheme="minorHAnsi"/>
        </w:rPr>
        <w:t xml:space="preserve"> várja el mind 1., mind 2. pillérben. </w:t>
      </w:r>
      <w:r w:rsidR="00875A74" w:rsidRPr="00181755">
        <w:rPr>
          <w:rFonts w:asciiTheme="minorHAnsi" w:hAnsiTheme="minorHAnsi"/>
        </w:rPr>
        <w:t xml:space="preserve">Az MNB </w:t>
      </w:r>
      <w:r w:rsidR="009C2C9F" w:rsidRPr="00181755">
        <w:rPr>
          <w:rFonts w:asciiTheme="minorHAnsi" w:hAnsiTheme="minorHAnsi"/>
        </w:rPr>
        <w:t>az elvárások közül kiemeli a minősítési rendszerek választásának (szegmentáció</w:t>
      </w:r>
      <w:r w:rsidR="00924F40" w:rsidRPr="00181755">
        <w:rPr>
          <w:rFonts w:asciiTheme="minorHAnsi" w:hAnsiTheme="minorHAnsi"/>
        </w:rPr>
        <w:t>já</w:t>
      </w:r>
      <w:r w:rsidR="009C2C9F" w:rsidRPr="00181755">
        <w:rPr>
          <w:rFonts w:asciiTheme="minorHAnsi" w:hAnsiTheme="minorHAnsi"/>
        </w:rPr>
        <w:t xml:space="preserve">nak) fontosságát. Az intézménynek biztosítania kell, hogy </w:t>
      </w:r>
      <w:r w:rsidR="00924F40" w:rsidRPr="00181755">
        <w:rPr>
          <w:rFonts w:asciiTheme="minorHAnsi" w:hAnsiTheme="minorHAnsi"/>
        </w:rPr>
        <w:t>konzisztens</w:t>
      </w:r>
      <w:r w:rsidR="009C2C9F" w:rsidRPr="00181755">
        <w:rPr>
          <w:rFonts w:asciiTheme="minorHAnsi" w:hAnsiTheme="minorHAnsi"/>
        </w:rPr>
        <w:t xml:space="preserve"> és részletes dokumentáció alapján egyértelmű legyen a releváns munkatársak számára, hogy mely minősítő rendszert szükséges alkalmazni egy adott ügyletre/ügyfélre vonatkozóan. Különösen gyakran felmerül</w:t>
      </w:r>
      <w:r w:rsidR="0030457D" w:rsidRPr="00181755">
        <w:rPr>
          <w:rFonts w:asciiTheme="minorHAnsi" w:hAnsiTheme="minorHAnsi"/>
        </w:rPr>
        <w:t>ő probléma</w:t>
      </w:r>
      <w:r w:rsidR="009C2C9F" w:rsidRPr="00181755">
        <w:rPr>
          <w:rFonts w:asciiTheme="minorHAnsi" w:hAnsiTheme="minorHAnsi"/>
        </w:rPr>
        <w:t xml:space="preserve"> a speciális hitelezési jellegű kitettségek vállalati vagy pr</w:t>
      </w:r>
      <w:r w:rsidR="00924F40" w:rsidRPr="00181755">
        <w:rPr>
          <w:rFonts w:asciiTheme="minorHAnsi" w:hAnsiTheme="minorHAnsi"/>
        </w:rPr>
        <w:t>ojekt szegmensbe való besorolásának</w:t>
      </w:r>
      <w:r w:rsidR="009C2C9F" w:rsidRPr="00181755">
        <w:rPr>
          <w:rFonts w:asciiTheme="minorHAnsi" w:hAnsiTheme="minorHAnsi"/>
        </w:rPr>
        <w:t xml:space="preserve"> és minősít</w:t>
      </w:r>
      <w:r w:rsidR="00924F40" w:rsidRPr="00181755">
        <w:rPr>
          <w:rFonts w:asciiTheme="minorHAnsi" w:hAnsiTheme="minorHAnsi"/>
        </w:rPr>
        <w:t>ésének kérdésköre, amely</w:t>
      </w:r>
      <w:r w:rsidR="0030457D" w:rsidRPr="00181755">
        <w:rPr>
          <w:rFonts w:asciiTheme="minorHAnsi" w:hAnsiTheme="minorHAnsi"/>
        </w:rPr>
        <w:t>et az MNB</w:t>
      </w:r>
      <w:r w:rsidR="00924F40" w:rsidRPr="00181755">
        <w:rPr>
          <w:rFonts w:asciiTheme="minorHAnsi" w:hAnsiTheme="minorHAnsi"/>
        </w:rPr>
        <w:t xml:space="preserve"> egyértelmű definíciók </w:t>
      </w:r>
      <w:r w:rsidR="00CB19DD" w:rsidRPr="00181755">
        <w:rPr>
          <w:rFonts w:asciiTheme="minorHAnsi" w:hAnsiTheme="minorHAnsi"/>
        </w:rPr>
        <w:t xml:space="preserve">és szabályzatok </w:t>
      </w:r>
      <w:r w:rsidR="00924F40" w:rsidRPr="00181755">
        <w:rPr>
          <w:rFonts w:asciiTheme="minorHAnsi" w:hAnsiTheme="minorHAnsi"/>
        </w:rPr>
        <w:t xml:space="preserve">alkalmazásával </w:t>
      </w:r>
      <w:r w:rsidR="0030457D" w:rsidRPr="00181755">
        <w:rPr>
          <w:rFonts w:asciiTheme="minorHAnsi" w:hAnsiTheme="minorHAnsi"/>
        </w:rPr>
        <w:t>kezelhetőnek tart</w:t>
      </w:r>
      <w:r w:rsidR="00924F40" w:rsidRPr="00181755">
        <w:rPr>
          <w:rFonts w:asciiTheme="minorHAnsi" w:hAnsiTheme="minorHAnsi"/>
        </w:rPr>
        <w:t xml:space="preserve">. </w:t>
      </w:r>
    </w:p>
    <w:p w14:paraId="3C3F5688" w14:textId="49773A9B" w:rsidR="00EB21BA" w:rsidRPr="00181755" w:rsidRDefault="00EB21BA" w:rsidP="008C1553">
      <w:pPr>
        <w:pStyle w:val="alfelsorols"/>
      </w:pPr>
      <w:r w:rsidRPr="00181755">
        <w:t xml:space="preserve">Az MNB az ICAAP felülvizsgálat keretében a minősítő rendszerekkel kapcsolatosan </w:t>
      </w:r>
      <w:r w:rsidR="00924F40" w:rsidRPr="00181755">
        <w:t>továbbá a</w:t>
      </w:r>
      <w:r w:rsidRPr="00181755">
        <w:t xml:space="preserve"> következő elvárásokat fogalmazza meg: </w:t>
      </w:r>
    </w:p>
    <w:p w14:paraId="175E4F1C" w14:textId="08F65E72" w:rsidR="00022991" w:rsidRPr="00181755" w:rsidRDefault="00022991" w:rsidP="00540601">
      <w:pPr>
        <w:pStyle w:val="alfelsorols"/>
        <w:numPr>
          <w:ilvl w:val="0"/>
          <w:numId w:val="44"/>
        </w:numPr>
        <w:spacing w:after="120"/>
        <w:ind w:left="1134" w:hanging="425"/>
      </w:pPr>
      <w:r w:rsidRPr="00181755">
        <w:t>Az intézményeknek olyan minősítő rendszert kell alkalmazniuk, amelyet megbízhatónak tartanak, és amely</w:t>
      </w:r>
      <w:r w:rsidR="0030457D" w:rsidRPr="00181755">
        <w:rPr>
          <w:lang w:val="hu-HU"/>
        </w:rPr>
        <w:t>e</w:t>
      </w:r>
      <w:r w:rsidRPr="00181755">
        <w:t xml:space="preserve">t a belső folyamataikban és a tőkeszámításunkban is felhasználnak. </w:t>
      </w:r>
    </w:p>
    <w:p w14:paraId="105799DE" w14:textId="2603AF1E" w:rsidR="00CB19DD" w:rsidRPr="00181755" w:rsidRDefault="00CB19DD" w:rsidP="00540601">
      <w:pPr>
        <w:pStyle w:val="alfelsorols"/>
        <w:numPr>
          <w:ilvl w:val="0"/>
          <w:numId w:val="44"/>
        </w:numPr>
        <w:spacing w:after="120"/>
        <w:ind w:left="1134" w:hanging="425"/>
      </w:pPr>
      <w:r w:rsidRPr="00181755">
        <w:t>A minősítő rendszernek biztosítania kell az ügyfelek megfelelő megkülönböztetését kezelve a belső folyamatok</w:t>
      </w:r>
      <w:r w:rsidR="00CE5128" w:rsidRPr="00181755">
        <w:t xml:space="preserve"> és</w:t>
      </w:r>
      <w:r w:rsidRPr="00181755">
        <w:t xml:space="preserve"> </w:t>
      </w:r>
      <w:r w:rsidR="00CE5128" w:rsidRPr="00181755">
        <w:t xml:space="preserve">hitelezési gyakorlat változását, valamint konzervatívabb szemléletmód alkalmazását. A minősítő rendszernek megbízható módon meg kell tudnia ragadni a portfólió minőségében bekövetkezett változásokat. </w:t>
      </w:r>
    </w:p>
    <w:p w14:paraId="28D8A24B" w14:textId="674D15B0" w:rsidR="00FB6B5A" w:rsidRPr="00181755" w:rsidRDefault="00FB6B5A" w:rsidP="00540601">
      <w:pPr>
        <w:pStyle w:val="alfelsorols"/>
        <w:numPr>
          <w:ilvl w:val="0"/>
          <w:numId w:val="44"/>
        </w:numPr>
        <w:spacing w:after="120"/>
        <w:ind w:left="1134" w:hanging="425"/>
      </w:pPr>
      <w:r w:rsidRPr="00181755">
        <w:t xml:space="preserve">A minősítő rendszeren belül meghatározott rating kategóriáknak monotonitást kell tükrözniük, vagyis a magasabb rating kategóriába a magasabb kockázatú ügyfeleket/ügyleteket (magasabb nemteljesítési rátával) kell sorolni, míg alacsonyabb </w:t>
      </w:r>
      <w:r w:rsidR="004323AA" w:rsidRPr="00181755">
        <w:rPr>
          <w:lang w:val="hu-HU"/>
        </w:rPr>
        <w:t>kockázatú</w:t>
      </w:r>
      <w:r w:rsidRPr="00181755">
        <w:t xml:space="preserve"> ügyfeleknek/ügyleteknek alacsonyabb rating kategóriával kell rendelkezni</w:t>
      </w:r>
      <w:r w:rsidR="004323AA" w:rsidRPr="00181755">
        <w:rPr>
          <w:lang w:val="hu-HU"/>
        </w:rPr>
        <w:t>ük</w:t>
      </w:r>
      <w:r w:rsidRPr="00181755">
        <w:t xml:space="preserve">. </w:t>
      </w:r>
    </w:p>
    <w:p w14:paraId="66B153FB" w14:textId="6A80F882" w:rsidR="003F29E3" w:rsidRPr="00181755" w:rsidRDefault="00FB6B5A" w:rsidP="00181755">
      <w:pPr>
        <w:tabs>
          <w:tab w:val="left" w:pos="0"/>
        </w:tabs>
        <w:rPr>
          <w:rFonts w:asciiTheme="minorHAnsi" w:hAnsiTheme="minorHAnsi"/>
        </w:rPr>
      </w:pPr>
      <w:bookmarkStart w:id="665" w:name="_Toc468181058"/>
      <w:r w:rsidRPr="00181755">
        <w:rPr>
          <w:rFonts w:asciiTheme="minorHAnsi" w:hAnsiTheme="minorHAnsi"/>
        </w:rPr>
        <w:t xml:space="preserve">Az intézményeknek </w:t>
      </w:r>
      <w:r w:rsidR="00C72868" w:rsidRPr="00181755">
        <w:rPr>
          <w:rFonts w:asciiTheme="minorHAnsi" w:hAnsiTheme="minorHAnsi"/>
        </w:rPr>
        <w:t xml:space="preserve">rendszeres vezetői riportokban </w:t>
      </w:r>
      <w:r w:rsidRPr="00181755">
        <w:rPr>
          <w:rFonts w:asciiTheme="minorHAnsi" w:hAnsiTheme="minorHAnsi"/>
        </w:rPr>
        <w:t>fel kell mérniük a rating kategóriák közötti migráció kockázatát. Amennyiben a</w:t>
      </w:r>
      <w:r w:rsidR="00A8489E" w:rsidRPr="00181755">
        <w:rPr>
          <w:rFonts w:asciiTheme="minorHAnsi" w:hAnsiTheme="minorHAnsi"/>
        </w:rPr>
        <w:t>z intézmény</w:t>
      </w:r>
      <w:r w:rsidR="00924F40" w:rsidRPr="00181755">
        <w:rPr>
          <w:rFonts w:asciiTheme="minorHAnsi" w:hAnsiTheme="minorHAnsi"/>
        </w:rPr>
        <w:t xml:space="preserve"> a</w:t>
      </w:r>
      <w:r w:rsidRPr="00181755">
        <w:rPr>
          <w:rFonts w:asciiTheme="minorHAnsi" w:hAnsiTheme="minorHAnsi"/>
        </w:rPr>
        <w:t xml:space="preserve"> migrációs kockázat</w:t>
      </w:r>
      <w:r w:rsidR="009C2C9F" w:rsidRPr="00181755">
        <w:rPr>
          <w:rFonts w:asciiTheme="minorHAnsi" w:hAnsiTheme="minorHAnsi"/>
        </w:rPr>
        <w:t>o</w:t>
      </w:r>
      <w:r w:rsidR="00924F40" w:rsidRPr="00181755">
        <w:rPr>
          <w:rFonts w:asciiTheme="minorHAnsi" w:hAnsiTheme="minorHAnsi"/>
        </w:rPr>
        <w:t>k emelkedését tapasztalja</w:t>
      </w:r>
      <w:r w:rsidRPr="00181755">
        <w:rPr>
          <w:rFonts w:asciiTheme="minorHAnsi" w:hAnsiTheme="minorHAnsi"/>
        </w:rPr>
        <w:t xml:space="preserve"> (pl.: migrációs mátrixok </w:t>
      </w:r>
      <w:r w:rsidR="00924F40" w:rsidRPr="00181755">
        <w:rPr>
          <w:rFonts w:asciiTheme="minorHAnsi" w:hAnsiTheme="minorHAnsi"/>
        </w:rPr>
        <w:t>segítségével</w:t>
      </w:r>
      <w:r w:rsidRPr="00181755">
        <w:rPr>
          <w:rFonts w:asciiTheme="minorHAnsi" w:hAnsiTheme="minorHAnsi"/>
        </w:rPr>
        <w:t>), akkor</w:t>
      </w:r>
      <w:r w:rsidR="009C2C9F" w:rsidRPr="00181755">
        <w:rPr>
          <w:rFonts w:asciiTheme="minorHAnsi" w:hAnsiTheme="minorHAnsi"/>
        </w:rPr>
        <w:t xml:space="preserve"> </w:t>
      </w:r>
      <w:r w:rsidR="00924F40" w:rsidRPr="00181755">
        <w:rPr>
          <w:rFonts w:asciiTheme="minorHAnsi" w:hAnsiTheme="minorHAnsi"/>
        </w:rPr>
        <w:t xml:space="preserve">meg kell </w:t>
      </w:r>
      <w:r w:rsidR="009C2C9F" w:rsidRPr="00181755">
        <w:rPr>
          <w:rFonts w:asciiTheme="minorHAnsi" w:hAnsiTheme="minorHAnsi"/>
        </w:rPr>
        <w:t>vizsgál</w:t>
      </w:r>
      <w:r w:rsidR="00924F40" w:rsidRPr="00181755">
        <w:rPr>
          <w:rFonts w:asciiTheme="minorHAnsi" w:hAnsiTheme="minorHAnsi"/>
        </w:rPr>
        <w:t>nia annak okát (</w:t>
      </w:r>
      <w:r w:rsidR="00094D59" w:rsidRPr="00181755">
        <w:rPr>
          <w:rFonts w:asciiTheme="minorHAnsi" w:hAnsiTheme="minorHAnsi"/>
        </w:rPr>
        <w:t xml:space="preserve">pl.: a </w:t>
      </w:r>
      <w:r w:rsidR="009C2C9F" w:rsidRPr="00181755">
        <w:rPr>
          <w:rFonts w:asciiTheme="minorHAnsi" w:hAnsiTheme="minorHAnsi"/>
        </w:rPr>
        <w:t>portfólió romlás</w:t>
      </w:r>
      <w:r w:rsidR="00094D59" w:rsidRPr="00181755">
        <w:rPr>
          <w:rFonts w:asciiTheme="minorHAnsi" w:hAnsiTheme="minorHAnsi"/>
        </w:rPr>
        <w:t>á</w:t>
      </w:r>
      <w:r w:rsidR="00924F40" w:rsidRPr="00181755">
        <w:rPr>
          <w:rFonts w:asciiTheme="minorHAnsi" w:hAnsiTheme="minorHAnsi"/>
        </w:rPr>
        <w:t>ból</w:t>
      </w:r>
      <w:r w:rsidR="009C2C9F" w:rsidRPr="00181755">
        <w:rPr>
          <w:rFonts w:asciiTheme="minorHAnsi" w:hAnsiTheme="minorHAnsi"/>
        </w:rPr>
        <w:t>, vagy a minősítő rendszer PIT jellegéből</w:t>
      </w:r>
      <w:r w:rsidR="00924F40" w:rsidRPr="00181755">
        <w:rPr>
          <w:rFonts w:asciiTheme="minorHAnsi" w:hAnsiTheme="minorHAnsi"/>
        </w:rPr>
        <w:t xml:space="preserve"> fakad</w:t>
      </w:r>
      <w:r w:rsidR="00094D59" w:rsidRPr="00181755">
        <w:rPr>
          <w:rFonts w:asciiTheme="minorHAnsi" w:hAnsiTheme="minorHAnsi"/>
        </w:rPr>
        <w:t>-e a kockázat</w:t>
      </w:r>
      <w:r w:rsidR="00924F40" w:rsidRPr="00181755">
        <w:rPr>
          <w:rFonts w:asciiTheme="minorHAnsi" w:hAnsiTheme="minorHAnsi"/>
        </w:rPr>
        <w:t>)</w:t>
      </w:r>
      <w:r w:rsidR="00CB5B8E" w:rsidRPr="00181755">
        <w:rPr>
          <w:rFonts w:asciiTheme="minorHAnsi" w:hAnsiTheme="minorHAnsi"/>
        </w:rPr>
        <w:t>. Az intézményeknek továbbá számszerűsítenie kell a tőkekövetelmény mértékét egy a ciklikusságtól megtisztított minősítő rendszer feltevése mellett is</w:t>
      </w:r>
      <w:r w:rsidR="0069041D" w:rsidRPr="00181755">
        <w:rPr>
          <w:rFonts w:asciiTheme="minorHAnsi" w:hAnsiTheme="minorHAnsi"/>
        </w:rPr>
        <w:t>, oly módon, hogy az idősorra újrafuttatja ugyanazt a modellt, kihagyva annak ciklikus magyarázó változóit</w:t>
      </w:r>
      <w:r w:rsidR="00CB5B8E" w:rsidRPr="00181755">
        <w:rPr>
          <w:rFonts w:asciiTheme="minorHAnsi" w:hAnsiTheme="minorHAnsi"/>
        </w:rPr>
        <w:t>.</w:t>
      </w:r>
      <w:bookmarkEnd w:id="665"/>
      <w:r w:rsidR="00CB5B8E" w:rsidRPr="00181755">
        <w:rPr>
          <w:rFonts w:asciiTheme="minorHAnsi" w:hAnsiTheme="minorHAnsi"/>
        </w:rPr>
        <w:t xml:space="preserve"> </w:t>
      </w:r>
      <w:bookmarkStart w:id="666" w:name="_Toc461095206"/>
      <w:bookmarkStart w:id="667" w:name="_Toc461179862"/>
      <w:bookmarkStart w:id="668" w:name="_Toc461201305"/>
      <w:bookmarkStart w:id="669" w:name="_Toc461547948"/>
      <w:bookmarkStart w:id="670" w:name="_Toc462401986"/>
      <w:bookmarkStart w:id="671" w:name="_Toc462403107"/>
      <w:bookmarkStart w:id="672" w:name="_Toc462403431"/>
      <w:bookmarkStart w:id="673" w:name="_Toc468180550"/>
      <w:bookmarkStart w:id="674" w:name="_Toc468181059"/>
      <w:r w:rsidR="003F29E3" w:rsidRPr="00181755">
        <w:rPr>
          <w:rFonts w:asciiTheme="minorHAnsi" w:hAnsiTheme="minorHAnsi"/>
        </w:rPr>
        <w:t>A nemteljesítési valószínűség becslése</w:t>
      </w:r>
      <w:bookmarkEnd w:id="654"/>
      <w:bookmarkEnd w:id="666"/>
      <w:bookmarkEnd w:id="667"/>
      <w:bookmarkEnd w:id="668"/>
      <w:bookmarkEnd w:id="669"/>
      <w:bookmarkEnd w:id="670"/>
      <w:bookmarkEnd w:id="671"/>
      <w:bookmarkEnd w:id="672"/>
      <w:bookmarkEnd w:id="673"/>
      <w:bookmarkEnd w:id="674"/>
    </w:p>
    <w:p w14:paraId="66B153FC" w14:textId="21A72CC3" w:rsidR="003F29E3" w:rsidRPr="00181755" w:rsidRDefault="003F29E3" w:rsidP="00181755">
      <w:pPr>
        <w:rPr>
          <w:rFonts w:asciiTheme="minorHAnsi" w:hAnsiTheme="minorHAnsi"/>
        </w:rPr>
      </w:pPr>
      <w:r w:rsidRPr="00181755">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 amely lehet feltételes vagy feltétlen: előbbi a hitelminőség egy adott időpillanatra és/vagy környezeti helyzetre vonatkoztatott állapotát, utóbbi pedig az ügyletet általános vagy „fundamentális” nemteljesítési kockázat mértékét tükrözi</w:t>
      </w:r>
      <w:r w:rsidRPr="00181755">
        <w:rPr>
          <w:rStyle w:val="Lbjegyzet-hivatkozs"/>
          <w:rFonts w:asciiTheme="minorHAnsi" w:hAnsiTheme="minorHAnsi"/>
        </w:rPr>
        <w:footnoteReference w:id="30"/>
      </w:r>
      <w:r w:rsidRPr="00181755">
        <w:rPr>
          <w:rFonts w:asciiTheme="minorHAnsi" w:hAnsiTheme="minorHAnsi"/>
        </w:rPr>
        <w:t xml:space="preserve">. A nemteljesítés definícióját a CRR 178. cikke tartalmazza. </w:t>
      </w:r>
      <w:r w:rsidR="00636B53" w:rsidRPr="00181755">
        <w:rPr>
          <w:rFonts w:asciiTheme="minorHAnsi" w:hAnsiTheme="minorHAnsi"/>
        </w:rPr>
        <w:t>Az MNB kiemelten fontosnak tartja, hogy az intézmények a jogszabállyal összhangban határozzák meg a nemteljesítési definíciójukat, és azt megfelelően alkalmazzák a gyakorlatukban is. Különös</w:t>
      </w:r>
      <w:r w:rsidR="00A33F86" w:rsidRPr="00181755">
        <w:rPr>
          <w:rFonts w:asciiTheme="minorHAnsi" w:hAnsiTheme="minorHAnsi"/>
        </w:rPr>
        <w:t>en</w:t>
      </w:r>
      <w:r w:rsidR="00636B53" w:rsidRPr="00181755">
        <w:rPr>
          <w:rFonts w:asciiTheme="minorHAnsi" w:hAnsiTheme="minorHAnsi"/>
        </w:rPr>
        <w:t xml:space="preserve"> hangsúlyos a </w:t>
      </w:r>
      <w:r w:rsidR="00A33F86" w:rsidRPr="00181755">
        <w:rPr>
          <w:rFonts w:asciiTheme="minorHAnsi" w:hAnsiTheme="minorHAnsi"/>
        </w:rPr>
        <w:t xml:space="preserve">téma </w:t>
      </w:r>
      <w:r w:rsidR="00636B53" w:rsidRPr="00181755">
        <w:rPr>
          <w:rFonts w:asciiTheme="minorHAnsi" w:hAnsiTheme="minorHAnsi"/>
        </w:rPr>
        <w:t>a 90 napnál kevesebb késedelemmel</w:t>
      </w:r>
      <w:r w:rsidR="00A33F86" w:rsidRPr="00181755">
        <w:rPr>
          <w:rFonts w:asciiTheme="minorHAnsi" w:hAnsiTheme="minorHAnsi"/>
        </w:rPr>
        <w:t xml:space="preserve"> rendelkező</w:t>
      </w:r>
      <w:r w:rsidR="00636B53" w:rsidRPr="00181755">
        <w:rPr>
          <w:rFonts w:asciiTheme="minorHAnsi" w:hAnsiTheme="minorHAnsi"/>
        </w:rPr>
        <w:t xml:space="preserve">, de várhatóan nemteljesítő ügyletek kezelése </w:t>
      </w:r>
      <w:r w:rsidR="00A33F86" w:rsidRPr="00181755">
        <w:rPr>
          <w:rFonts w:asciiTheme="minorHAnsi" w:hAnsiTheme="minorHAnsi"/>
        </w:rPr>
        <w:t>esetében</w:t>
      </w:r>
      <w:r w:rsidR="00636B53" w:rsidRPr="00181755">
        <w:rPr>
          <w:rStyle w:val="Lbjegyzet-hivatkozs"/>
          <w:rFonts w:asciiTheme="minorHAnsi" w:hAnsiTheme="minorHAnsi"/>
        </w:rPr>
        <w:footnoteReference w:id="31"/>
      </w:r>
      <w:r w:rsidR="00636B53" w:rsidRPr="00181755">
        <w:rPr>
          <w:rFonts w:asciiTheme="minorHAnsi" w:hAnsiTheme="minorHAnsi"/>
        </w:rPr>
        <w:t xml:space="preserve">. </w:t>
      </w:r>
    </w:p>
    <w:p w14:paraId="66B153FD" w14:textId="77777777" w:rsidR="003F29E3" w:rsidRPr="00181755" w:rsidRDefault="003F29E3" w:rsidP="00181755">
      <w:pPr>
        <w:rPr>
          <w:rFonts w:asciiTheme="minorHAnsi" w:hAnsiTheme="minorHAnsi"/>
        </w:rPr>
      </w:pPr>
      <w:r w:rsidRPr="00181755">
        <w:rPr>
          <w:rFonts w:asciiTheme="minorHAnsi" w:hAnsiTheme="minorHAnsi"/>
        </w:rPr>
        <w:t xml:space="preserve">Ugyan bizonyos alkalmazásoknál (pl. árazás, céltartalékolás) célszerű lehet a feltételes PD-k használata, az ismert tőkeszámítási modellek bemeneti változói a feltétlen nemteljesítési valószínűségek, vagyis az ügyletek hosszú távú, gazdasági cikluson átívelő, átlagos PD-i. A </w:t>
      </w:r>
      <w:r w:rsidR="006015F3" w:rsidRPr="00181755">
        <w:rPr>
          <w:rFonts w:asciiTheme="minorHAnsi" w:hAnsiTheme="minorHAnsi"/>
        </w:rPr>
        <w:t>nemteljesítési</w:t>
      </w:r>
      <w:r w:rsidRPr="00181755">
        <w:rPr>
          <w:rFonts w:asciiTheme="minorHAnsi" w:hAnsiTheme="minorHAnsi"/>
        </w:rPr>
        <w:t xml:space="preserve"> valószínűségek becslése tehát csak akkor megfelelő, ha az intézmények</w:t>
      </w:r>
    </w:p>
    <w:p w14:paraId="66B153FE" w14:textId="4BD69CAC" w:rsidR="00C1121F" w:rsidRPr="00181755" w:rsidRDefault="00C1121F" w:rsidP="00181755">
      <w:pPr>
        <w:pStyle w:val="felsorolsos"/>
        <w:rPr>
          <w:rFonts w:asciiTheme="minorHAnsi" w:hAnsiTheme="minorHAnsi"/>
        </w:rPr>
      </w:pPr>
      <w:r w:rsidRPr="00181755">
        <w:rPr>
          <w:rFonts w:asciiTheme="minorHAnsi" w:hAnsiTheme="minorHAnsi"/>
        </w:rPr>
        <w:t xml:space="preserve">a jogszabályi </w:t>
      </w:r>
      <w:r w:rsidR="004323AA" w:rsidRPr="00181755">
        <w:rPr>
          <w:rFonts w:asciiTheme="minorHAnsi" w:hAnsiTheme="minorHAnsi"/>
          <w:lang w:val="hu-HU"/>
        </w:rPr>
        <w:t>előírásoknak</w:t>
      </w:r>
      <w:r w:rsidRPr="00181755">
        <w:rPr>
          <w:rFonts w:asciiTheme="minorHAnsi" w:hAnsiTheme="minorHAnsi"/>
        </w:rPr>
        <w:t xml:space="preserve"> megfelelő nemteljesítési definíció</w:t>
      </w:r>
      <w:r w:rsidR="00636B53" w:rsidRPr="00181755">
        <w:rPr>
          <w:rFonts w:asciiTheme="minorHAnsi" w:hAnsiTheme="minorHAnsi"/>
          <w:lang w:val="hu-HU"/>
        </w:rPr>
        <w:t xml:space="preserve">t alkalmazzák, </w:t>
      </w:r>
    </w:p>
    <w:p w14:paraId="66B153FF" w14:textId="7291CC71" w:rsidR="003F29E3" w:rsidRPr="00181755" w:rsidRDefault="003F29E3" w:rsidP="00181755">
      <w:pPr>
        <w:pStyle w:val="felsorolsos"/>
        <w:rPr>
          <w:rFonts w:asciiTheme="minorHAnsi" w:hAnsiTheme="minorHAnsi"/>
        </w:rPr>
      </w:pPr>
      <w:r w:rsidRPr="00181755">
        <w:rPr>
          <w:rFonts w:asciiTheme="minorHAnsi" w:hAnsiTheme="minorHAnsi"/>
        </w:rPr>
        <w:t>a PD mértékét kellően hosszú, többéves idősor alapján</w:t>
      </w:r>
      <w:r w:rsidR="00537232" w:rsidRPr="00181755">
        <w:rPr>
          <w:rFonts w:asciiTheme="minorHAnsi" w:hAnsiTheme="minorHAnsi"/>
          <w:lang w:val="hu-HU"/>
        </w:rPr>
        <w:t xml:space="preserve"> összhangban a CRR 180. cikk (1) h) pontjával, legalább öt éves tapasztalat alapján</w:t>
      </w:r>
      <w:r w:rsidRPr="00181755">
        <w:rPr>
          <w:rFonts w:asciiTheme="minorHAnsi" w:hAnsiTheme="minorHAnsi"/>
        </w:rPr>
        <w:t xml:space="preserve"> határozzák meg</w:t>
      </w:r>
      <w:r w:rsidR="0069041D" w:rsidRPr="00181755">
        <w:rPr>
          <w:rStyle w:val="Lbjegyzet-hivatkozs"/>
          <w:rFonts w:asciiTheme="minorHAnsi" w:hAnsiTheme="minorHAnsi"/>
        </w:rPr>
        <w:footnoteReference w:id="32"/>
      </w:r>
      <w:r w:rsidR="00537232" w:rsidRPr="00181755">
        <w:rPr>
          <w:rFonts w:asciiTheme="minorHAnsi" w:hAnsiTheme="minorHAnsi"/>
          <w:lang w:val="hu-HU"/>
        </w:rPr>
        <w:t xml:space="preserve">. Amennyiben a legalább öt éves idősor </w:t>
      </w:r>
      <w:r w:rsidR="00544B6E" w:rsidRPr="00181755">
        <w:rPr>
          <w:rFonts w:asciiTheme="minorHAnsi" w:hAnsiTheme="minorHAnsi"/>
          <w:lang w:val="hu-HU"/>
        </w:rPr>
        <w:t>nem tartalmaz olyan reprezentatív időszakot, mely kellőképp képes megragadni a default ráta szórásának lehetséges tartományát</w:t>
      </w:r>
      <w:r w:rsidR="00544B6E" w:rsidRPr="00181755">
        <w:rPr>
          <w:rStyle w:val="Lbjegyzet-hivatkozs"/>
          <w:rFonts w:asciiTheme="minorHAnsi" w:hAnsiTheme="minorHAnsi"/>
          <w:lang w:val="hu-HU"/>
        </w:rPr>
        <w:footnoteReference w:id="33"/>
      </w:r>
      <w:r w:rsidR="00544B6E" w:rsidRPr="00181755">
        <w:rPr>
          <w:rFonts w:asciiTheme="minorHAnsi" w:hAnsiTheme="minorHAnsi"/>
          <w:lang w:val="hu-HU"/>
        </w:rPr>
        <w:t>, úgy az intézménynek a becslési bizonytalanság ellensúlyozása végett nagyobb konzervatív pótlékot kell érvényesíteni a paraméterbecslés során</w:t>
      </w:r>
      <w:r w:rsidR="004E0090" w:rsidRPr="00181755">
        <w:rPr>
          <w:rFonts w:asciiTheme="minorHAnsi" w:hAnsiTheme="minorHAnsi"/>
          <w:lang w:val="hu-HU"/>
        </w:rPr>
        <w:t>,</w:t>
      </w:r>
    </w:p>
    <w:p w14:paraId="66B15400" w14:textId="5E5D0AF4" w:rsidR="003F29E3" w:rsidRPr="00181755" w:rsidRDefault="003F29E3" w:rsidP="00181755">
      <w:pPr>
        <w:pStyle w:val="felsorolsos"/>
        <w:rPr>
          <w:rFonts w:asciiTheme="minorHAnsi" w:hAnsiTheme="minorHAnsi"/>
        </w:rPr>
      </w:pPr>
      <w:r w:rsidRPr="00181755">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181755">
        <w:rPr>
          <w:rFonts w:asciiTheme="minorHAnsi" w:hAnsiTheme="minorHAnsi"/>
          <w:lang w:val="hu-HU"/>
        </w:rPr>
        <w:t>, valamint bizonyítják a választott PD-becslési technika megfelelőségét</w:t>
      </w:r>
      <w:r w:rsidR="004E0090" w:rsidRPr="00181755">
        <w:rPr>
          <w:rFonts w:asciiTheme="minorHAnsi" w:hAnsiTheme="minorHAnsi"/>
          <w:lang w:val="hu-HU"/>
        </w:rPr>
        <w:t>,</w:t>
      </w:r>
    </w:p>
    <w:p w14:paraId="66B1540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becslés statisztikai bizonytalanságát konzervatív korrekcióval, előretekintő szemléletben ellensúlyozzák. </w:t>
      </w:r>
    </w:p>
    <w:p w14:paraId="66B15403" w14:textId="233A987E" w:rsidR="003F29E3" w:rsidRPr="00181755" w:rsidRDefault="003F29E3" w:rsidP="00181755">
      <w:pPr>
        <w:rPr>
          <w:rFonts w:asciiTheme="minorHAnsi" w:hAnsiTheme="minorHAnsi"/>
        </w:rPr>
      </w:pPr>
      <w:r w:rsidRPr="00181755">
        <w:rPr>
          <w:rFonts w:asciiTheme="minorHAnsi" w:hAnsiTheme="minorHAnsi"/>
        </w:rPr>
        <w:t>Az MNB elvárja továbbá, hogy a PD-becslés ne eseti megoldásokon és eljárásokon keresztül, hanem az ICAAP dokumentációban</w:t>
      </w:r>
      <w:r w:rsidR="009A49E5" w:rsidRPr="00181755">
        <w:rPr>
          <w:rFonts w:asciiTheme="minorHAnsi" w:hAnsiTheme="minorHAnsi"/>
        </w:rPr>
        <w:t xml:space="preserve"> vagy a modell dokumentációjában</w:t>
      </w:r>
      <w:r w:rsidRPr="00181755">
        <w:rPr>
          <w:rFonts w:asciiTheme="minorHAnsi" w:hAnsiTheme="minorHAnsi"/>
        </w:rPr>
        <w:t xml:space="preserve"> rögzített részletes módszertan alapján történjen – az éves visszaméréshez és újrakalibrációhoz hasonlóan. </w:t>
      </w:r>
      <w:r w:rsidR="001510EC" w:rsidRPr="00181755">
        <w:rPr>
          <w:rFonts w:asciiTheme="minorHAnsi" w:hAnsiTheme="minorHAnsi"/>
        </w:rPr>
        <w:t>Az MNB továbbá elvárja, hogy a</w:t>
      </w:r>
      <w:r w:rsidR="00A8489E" w:rsidRPr="00181755">
        <w:rPr>
          <w:rFonts w:asciiTheme="minorHAnsi" w:hAnsiTheme="minorHAnsi"/>
        </w:rPr>
        <w:t>z intézmény</w:t>
      </w:r>
      <w:r w:rsidR="001510EC" w:rsidRPr="00181755">
        <w:rPr>
          <w:rFonts w:asciiTheme="minorHAnsi" w:hAnsiTheme="minorHAnsi"/>
        </w:rPr>
        <w:t xml:space="preserve"> az éves rendszeres, a minősítő rendszer, valamint a kalibráció megfelelőségének visszamérését célzó validáció során vizsgálja a kalibrált PD-k és a rating kategóriánkénti átlagos default ráták közti kapcsolatot. </w:t>
      </w:r>
      <w:r w:rsidRPr="00181755">
        <w:rPr>
          <w:rFonts w:asciiTheme="minorHAnsi" w:hAnsiTheme="minorHAnsi"/>
        </w:rPr>
        <w:t xml:space="preserve">Amennyiben továbbá a becslés során felhasznált adatok nem felelnek meg a PD-fogalom követelményeinek (pl. NPL-arányok használata), úgy részletesen alá kell támasztani a becslés során alkalmazott feltevéseket. </w:t>
      </w:r>
    </w:p>
    <w:p w14:paraId="66B15404" w14:textId="00207A15" w:rsidR="003F29E3" w:rsidRPr="00181755" w:rsidRDefault="003F29E3" w:rsidP="00181755">
      <w:pPr>
        <w:pStyle w:val="Cmsor4"/>
        <w:rPr>
          <w:rFonts w:asciiTheme="minorHAnsi" w:hAnsiTheme="minorHAnsi"/>
        </w:rPr>
      </w:pPr>
      <w:bookmarkStart w:id="675" w:name="_A_veszteségráta_becslése"/>
      <w:bookmarkStart w:id="676" w:name="_Toc378592168"/>
      <w:bookmarkStart w:id="677" w:name="_Toc461095207"/>
      <w:bookmarkStart w:id="678" w:name="_Toc461179863"/>
      <w:bookmarkStart w:id="679" w:name="_Toc461201306"/>
      <w:bookmarkStart w:id="680" w:name="_Toc461547949"/>
      <w:bookmarkStart w:id="681" w:name="_Toc462401987"/>
      <w:bookmarkStart w:id="682" w:name="_Toc462403108"/>
      <w:bookmarkStart w:id="683" w:name="_Toc462403432"/>
      <w:bookmarkStart w:id="684" w:name="_Toc468180551"/>
      <w:bookmarkStart w:id="685" w:name="_Toc468181060"/>
      <w:bookmarkStart w:id="686" w:name="_Toc468191446"/>
      <w:bookmarkEnd w:id="675"/>
      <w:r w:rsidRPr="00181755">
        <w:rPr>
          <w:rFonts w:asciiTheme="minorHAnsi" w:hAnsiTheme="minorHAnsi"/>
        </w:rPr>
        <w:t xml:space="preserve">A </w:t>
      </w:r>
      <w:r w:rsidR="00BB6A08" w:rsidRPr="00181755">
        <w:rPr>
          <w:rFonts w:asciiTheme="minorHAnsi" w:hAnsiTheme="minorHAnsi"/>
          <w:lang w:val="hu-HU"/>
        </w:rPr>
        <w:t>nemteljesítéskori</w:t>
      </w:r>
      <w:r w:rsidRPr="00181755">
        <w:rPr>
          <w:rFonts w:asciiTheme="minorHAnsi" w:hAnsiTheme="minorHAnsi"/>
          <w:lang w:val="hu-HU"/>
        </w:rPr>
        <w:t xml:space="preserve"> </w:t>
      </w:r>
      <w:r w:rsidRPr="00181755">
        <w:rPr>
          <w:rFonts w:asciiTheme="minorHAnsi" w:hAnsiTheme="minorHAnsi"/>
        </w:rPr>
        <w:t>veszteségráta becslése</w:t>
      </w:r>
      <w:bookmarkEnd w:id="676"/>
      <w:bookmarkEnd w:id="677"/>
      <w:bookmarkEnd w:id="678"/>
      <w:bookmarkEnd w:id="679"/>
      <w:bookmarkEnd w:id="680"/>
      <w:bookmarkEnd w:id="681"/>
      <w:bookmarkEnd w:id="682"/>
      <w:bookmarkEnd w:id="683"/>
      <w:bookmarkEnd w:id="684"/>
      <w:bookmarkEnd w:id="685"/>
      <w:bookmarkEnd w:id="686"/>
    </w:p>
    <w:p w14:paraId="66B15405" w14:textId="07546E42" w:rsidR="003F29E3" w:rsidRPr="00181755" w:rsidRDefault="003F29E3" w:rsidP="00181755">
      <w:pPr>
        <w:rPr>
          <w:rFonts w:asciiTheme="minorHAnsi" w:hAnsiTheme="minorHAnsi"/>
        </w:rPr>
      </w:pPr>
      <w:r w:rsidRPr="00181755">
        <w:rPr>
          <w:rFonts w:asciiTheme="minorHAnsi" w:hAnsiTheme="minorHAnsi"/>
        </w:rPr>
        <w:t>A nemteljesítési valószínűséggel azonos fontosságú kockázati jellemző a nemteljesítéskori veszteségráta</w:t>
      </w:r>
      <w:r w:rsidR="00BB6A08" w:rsidRPr="00181755">
        <w:rPr>
          <w:rFonts w:asciiTheme="minorHAnsi" w:hAnsiTheme="minorHAnsi"/>
        </w:rPr>
        <w:t xml:space="preserve"> (LGD)</w:t>
      </w:r>
      <w:r w:rsidRPr="00181755">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181755">
        <w:rPr>
          <w:rFonts w:asciiTheme="minorHAnsi" w:hAnsiTheme="minorHAnsi"/>
        </w:rPr>
        <w:t xml:space="preserve"> </w:t>
      </w:r>
      <w:r w:rsidR="008B47F7" w:rsidRPr="00181755">
        <w:rPr>
          <w:rFonts w:asciiTheme="minorHAnsi" w:hAnsiTheme="minorHAnsi"/>
        </w:rPr>
        <w:t xml:space="preserve">Az MNB alapvetően elvárja, hogy az intézmények </w:t>
      </w:r>
      <w:r w:rsidR="00274E3A" w:rsidRPr="00181755">
        <w:rPr>
          <w:rFonts w:asciiTheme="minorHAnsi" w:hAnsiTheme="minorHAnsi"/>
        </w:rPr>
        <w:t>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181755">
        <w:rPr>
          <w:rStyle w:val="Lbjegyzet-hivatkozs"/>
          <w:rFonts w:asciiTheme="minorHAnsi" w:hAnsiTheme="minorHAnsi"/>
        </w:rPr>
        <w:footnoteReference w:id="34"/>
      </w:r>
      <w:r w:rsidR="00274E3A" w:rsidRPr="00181755">
        <w:rPr>
          <w:rFonts w:asciiTheme="minorHAnsi" w:hAnsiTheme="minorHAnsi"/>
        </w:rPr>
        <w:t>,</w:t>
      </w:r>
      <w:r w:rsidR="00824831" w:rsidRPr="00181755">
        <w:rPr>
          <w:rFonts w:asciiTheme="minorHAnsi" w:hAnsiTheme="minorHAnsi"/>
        </w:rPr>
        <w:t xml:space="preserve"> és </w:t>
      </w:r>
      <w:r w:rsidR="00274E3A" w:rsidRPr="00181755">
        <w:rPr>
          <w:rFonts w:asciiTheme="minorHAnsi" w:hAnsiTheme="minorHAnsi"/>
        </w:rPr>
        <w:t>gyűjtse</w:t>
      </w:r>
      <w:r w:rsidR="00824831" w:rsidRPr="00181755">
        <w:rPr>
          <w:rFonts w:asciiTheme="minorHAnsi" w:hAnsiTheme="minorHAnsi"/>
        </w:rPr>
        <w:t xml:space="preserve"> a közvetett és közvetlen költsége</w:t>
      </w:r>
      <w:r w:rsidR="00274E3A" w:rsidRPr="00181755">
        <w:rPr>
          <w:rFonts w:asciiTheme="minorHAnsi" w:hAnsiTheme="minorHAnsi"/>
        </w:rPr>
        <w:t>get</w:t>
      </w:r>
      <w:r w:rsidR="00824831" w:rsidRPr="00181755">
        <w:rPr>
          <w:rFonts w:asciiTheme="minorHAnsi" w:hAnsiTheme="minorHAnsi"/>
        </w:rPr>
        <w:t xml:space="preserve"> is</w:t>
      </w:r>
      <w:r w:rsidR="008B47F7" w:rsidRPr="00181755">
        <w:rPr>
          <w:rFonts w:asciiTheme="minorHAnsi" w:hAnsiTheme="minorHAnsi"/>
        </w:rPr>
        <w:t xml:space="preserve">. Amennyiben az intézmény azonban valamely </w:t>
      </w:r>
      <w:r w:rsidRPr="00181755">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181755">
        <w:rPr>
          <w:rFonts w:asciiTheme="minorHAnsi" w:hAnsiTheme="minorHAnsi"/>
        </w:rPr>
        <w:t>akkor</w:t>
      </w:r>
      <w:r w:rsidRPr="00181755">
        <w:rPr>
          <w:rFonts w:asciiTheme="minorHAnsi" w:hAnsiTheme="minorHAnsi"/>
        </w:rPr>
        <w:t xml:space="preserve"> konzervatív szakértői feltevésekre kell hagyatkozni</w:t>
      </w:r>
      <w:r w:rsidR="008B47F7" w:rsidRPr="00181755">
        <w:rPr>
          <w:rFonts w:asciiTheme="minorHAnsi" w:hAnsiTheme="minorHAnsi"/>
        </w:rPr>
        <w:t>a</w:t>
      </w:r>
      <w:r w:rsidRPr="00181755">
        <w:rPr>
          <w:rFonts w:asciiTheme="minorHAnsi" w:hAnsiTheme="minorHAnsi"/>
        </w:rPr>
        <w:t xml:space="preserve">. </w:t>
      </w:r>
      <w:r w:rsidR="00824831" w:rsidRPr="00181755">
        <w:rPr>
          <w:rFonts w:asciiTheme="minorHAnsi" w:hAnsiTheme="minorHAnsi"/>
        </w:rPr>
        <w:t>Az LGD-becslés</w:t>
      </w:r>
      <w:r w:rsidRPr="00181755">
        <w:rPr>
          <w:rFonts w:asciiTheme="minorHAnsi" w:hAnsiTheme="minorHAnsi"/>
        </w:rPr>
        <w:t xml:space="preserve"> során különös tekintettel kell lenni az alábbiakra:</w:t>
      </w:r>
    </w:p>
    <w:p w14:paraId="56CC1220" w14:textId="0EA07B6D" w:rsidR="0058369F" w:rsidRPr="00181755" w:rsidRDefault="0058369F" w:rsidP="00181755">
      <w:pPr>
        <w:pStyle w:val="felsorolsos"/>
        <w:rPr>
          <w:rFonts w:asciiTheme="minorHAnsi" w:hAnsiTheme="minorHAnsi"/>
        </w:rPr>
      </w:pPr>
      <w:r w:rsidRPr="00181755">
        <w:rPr>
          <w:rFonts w:asciiTheme="minorHAnsi" w:hAnsiTheme="minorHAnsi"/>
        </w:rPr>
        <w:t>A downturn érték megállapítás</w:t>
      </w:r>
      <w:r w:rsidR="002D7458" w:rsidRPr="00181755">
        <w:rPr>
          <w:rFonts w:asciiTheme="minorHAnsi" w:hAnsiTheme="minorHAnsi"/>
          <w:lang w:val="hu-HU"/>
        </w:rPr>
        <w:t>á</w:t>
      </w:r>
      <w:r w:rsidRPr="00181755">
        <w:rPr>
          <w:rFonts w:asciiTheme="minorHAnsi" w:hAnsiTheme="minorHAnsi"/>
        </w:rPr>
        <w:t>hoz egy lehetőség, hogy az intézmény felméri azokat a mak</w:t>
      </w:r>
      <w:r w:rsidR="002D7458" w:rsidRPr="00181755">
        <w:rPr>
          <w:rFonts w:asciiTheme="minorHAnsi" w:hAnsiTheme="minorHAnsi"/>
          <w:lang w:val="hu-HU"/>
        </w:rPr>
        <w:t>r</w:t>
      </w:r>
      <w:r w:rsidRPr="00181755">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181755">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181755">
        <w:rPr>
          <w:rFonts w:asciiTheme="minorHAnsi" w:hAnsiTheme="minorHAnsi"/>
          <w:lang w:val="hu-HU"/>
        </w:rPr>
        <w:t>etve</w:t>
      </w:r>
      <w:r w:rsidRPr="00181755">
        <w:rPr>
          <w:rFonts w:asciiTheme="minorHAnsi" w:hAnsiTheme="minorHAnsi"/>
          <w:lang w:val="hu-HU"/>
        </w:rPr>
        <w:t xml:space="preserve"> az aktuális portfólión megfigyelt azon tényezőkre, melyek nem reprezentatívak a becsléshez felhasznált adatok szempontjából.</w:t>
      </w:r>
    </w:p>
    <w:p w14:paraId="66B15406" w14:textId="3DABBA06" w:rsidR="003F29E3" w:rsidRPr="00181755" w:rsidRDefault="003F29E3" w:rsidP="00181755">
      <w:pPr>
        <w:pStyle w:val="felsorolsos"/>
        <w:rPr>
          <w:rFonts w:asciiTheme="minorHAnsi" w:hAnsiTheme="minorHAnsi"/>
        </w:rPr>
      </w:pPr>
      <w:r w:rsidRPr="00181755">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181755" w:rsidRDefault="003F29E3" w:rsidP="00181755">
      <w:pPr>
        <w:pStyle w:val="felsorolsos"/>
        <w:rPr>
          <w:rFonts w:asciiTheme="minorHAnsi" w:hAnsiTheme="minorHAnsi"/>
        </w:rPr>
      </w:pPr>
      <w:r w:rsidRPr="00181755">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181755">
        <w:rPr>
          <w:rFonts w:asciiTheme="minorHAnsi" w:hAnsiTheme="minorHAnsi"/>
          <w:lang w:val="hu-HU"/>
        </w:rPr>
        <w:t>, vagy a gyógyulási ráta különösen konzervatív módon történő figyelembe vételét</w:t>
      </w:r>
      <w:r w:rsidRPr="00181755">
        <w:rPr>
          <w:rFonts w:asciiTheme="minorHAnsi" w:hAnsiTheme="minorHAnsi"/>
        </w:rPr>
        <w:t xml:space="preserve"> </w:t>
      </w:r>
      <w:r w:rsidR="00D95B73" w:rsidRPr="00181755">
        <w:rPr>
          <w:rFonts w:asciiTheme="minorHAnsi" w:hAnsiTheme="minorHAnsi"/>
          <w:lang w:val="hu-HU"/>
        </w:rPr>
        <w:t xml:space="preserve">látja </w:t>
      </w:r>
      <w:r w:rsidRPr="00181755">
        <w:rPr>
          <w:rFonts w:asciiTheme="minorHAnsi" w:hAnsiTheme="minorHAnsi"/>
        </w:rPr>
        <w:t>célravezetőnek.</w:t>
      </w:r>
      <w:r w:rsidRPr="00181755">
        <w:rPr>
          <w:rStyle w:val="Lbjegyzet-hivatkozs"/>
          <w:rFonts w:asciiTheme="minorHAnsi" w:hAnsiTheme="minorHAnsi"/>
        </w:rPr>
        <w:footnoteReference w:id="35"/>
      </w:r>
      <w:r w:rsidRPr="00181755">
        <w:rPr>
          <w:rFonts w:asciiTheme="minorHAnsi" w:hAnsiTheme="minorHAnsi"/>
        </w:rPr>
        <w:t xml:space="preserve"> </w:t>
      </w:r>
    </w:p>
    <w:p w14:paraId="12454738" w14:textId="722D287C" w:rsidR="00512DD5" w:rsidRPr="00181755" w:rsidRDefault="00512DD5" w:rsidP="00181755">
      <w:pPr>
        <w:pStyle w:val="felsorolsos"/>
        <w:rPr>
          <w:rFonts w:asciiTheme="minorHAnsi" w:hAnsiTheme="minorHAnsi"/>
        </w:rPr>
      </w:pPr>
      <w:r w:rsidRPr="00181755">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181755" w:rsidRDefault="003F29E3" w:rsidP="00181755">
      <w:pPr>
        <w:pStyle w:val="felsorolsos"/>
        <w:rPr>
          <w:rFonts w:asciiTheme="minorHAnsi" w:hAnsiTheme="minorHAnsi"/>
        </w:rPr>
      </w:pPr>
      <w:r w:rsidRPr="00181755">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181755">
        <w:rPr>
          <w:rFonts w:asciiTheme="minorHAnsi" w:hAnsiTheme="minorHAnsi"/>
          <w:lang w:val="hu-HU"/>
        </w:rPr>
        <w:t>felhasználása</w:t>
      </w:r>
      <w:r w:rsidRPr="00181755">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181755" w:rsidRDefault="00E01951" w:rsidP="00181755">
      <w:pPr>
        <w:pStyle w:val="felsorolsos"/>
        <w:rPr>
          <w:rFonts w:asciiTheme="minorHAnsi" w:hAnsiTheme="minorHAnsi"/>
        </w:rPr>
      </w:pPr>
      <w:r w:rsidRPr="00181755">
        <w:rPr>
          <w:rFonts w:asciiTheme="minorHAnsi" w:hAnsiTheme="minorHAnsi"/>
          <w:lang w:val="hu-HU"/>
        </w:rPr>
        <w:t>A fenti követelményeket kiegészítve, az</w:t>
      </w:r>
      <w:r w:rsidR="00B95E10" w:rsidRPr="00181755">
        <w:rPr>
          <w:rFonts w:asciiTheme="minorHAnsi" w:hAnsiTheme="minorHAnsi"/>
          <w:lang w:val="hu-HU"/>
        </w:rPr>
        <w:t xml:space="preserve"> intézményeknek </w:t>
      </w:r>
      <w:r w:rsidR="006054A2" w:rsidRPr="00181755">
        <w:rPr>
          <w:rFonts w:asciiTheme="minorHAnsi" w:hAnsiTheme="minorHAnsi"/>
          <w:lang w:val="hu-HU"/>
        </w:rPr>
        <w:t>a nemteljesítő portfólióko</w:t>
      </w:r>
      <w:r w:rsidRPr="00181755">
        <w:rPr>
          <w:rFonts w:asciiTheme="minorHAnsi" w:hAnsiTheme="minorHAnsi"/>
          <w:lang w:val="hu-HU"/>
        </w:rPr>
        <w:t xml:space="preserve">n </w:t>
      </w:r>
      <w:r w:rsidR="006054A2" w:rsidRPr="00181755">
        <w:rPr>
          <w:rFonts w:asciiTheme="minorHAnsi" w:hAnsiTheme="minorHAnsi"/>
          <w:lang w:val="hu-HU"/>
        </w:rPr>
        <w:t>külön veszteségráta-becslésekkel kell rendelkezniük</w:t>
      </w:r>
      <w:r w:rsidRPr="00181755">
        <w:rPr>
          <w:rFonts w:asciiTheme="minorHAnsi" w:hAnsiTheme="minorHAnsi"/>
          <w:lang w:val="hu-HU"/>
        </w:rPr>
        <w:t>, melyek figyelembe veszik a teljesítő portfólióktól eltérő kockázati jellemzőket</w:t>
      </w:r>
      <w:r w:rsidR="006054A2" w:rsidRPr="00181755">
        <w:rPr>
          <w:rFonts w:asciiTheme="minorHAnsi" w:hAnsiTheme="minorHAnsi"/>
          <w:lang w:val="hu-HU"/>
        </w:rPr>
        <w:t xml:space="preserve">. </w:t>
      </w:r>
      <w:r w:rsidRPr="00181755">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181755">
        <w:rPr>
          <w:rFonts w:asciiTheme="minorHAnsi" w:hAnsiTheme="minorHAnsi"/>
          <w:lang w:val="hu-HU"/>
        </w:rPr>
        <w:t>. M</w:t>
      </w:r>
      <w:r w:rsidRPr="00181755">
        <w:rPr>
          <w:rFonts w:asciiTheme="minorHAnsi" w:hAnsiTheme="minorHAnsi"/>
          <w:lang w:val="hu-HU"/>
        </w:rPr>
        <w:t xml:space="preserve">ásrészt az ELBE-becslésen felül, mely a várható veszteséget jelenti, </w:t>
      </w:r>
      <w:r w:rsidR="00024A69" w:rsidRPr="00181755">
        <w:rPr>
          <w:rFonts w:asciiTheme="minorHAnsi" w:hAnsiTheme="minorHAnsi"/>
          <w:lang w:val="hu-HU"/>
        </w:rPr>
        <w:t xml:space="preserve">az intézménynek </w:t>
      </w:r>
      <w:r w:rsidRPr="00181755">
        <w:rPr>
          <w:rFonts w:asciiTheme="minorHAnsi" w:hAnsiTheme="minorHAnsi"/>
          <w:lang w:val="hu-HU"/>
        </w:rPr>
        <w:t>meg kell becsülnie a</w:t>
      </w:r>
      <w:r w:rsidR="00024A69" w:rsidRPr="00181755">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181755">
        <w:rPr>
          <w:rFonts w:asciiTheme="minorHAnsi" w:hAnsiTheme="minorHAnsi"/>
          <w:lang w:val="hu-HU"/>
        </w:rPr>
        <w:t>.</w:t>
      </w:r>
      <w:r w:rsidR="00024A69" w:rsidRPr="00181755">
        <w:rPr>
          <w:rFonts w:asciiTheme="minorHAnsi" w:hAnsiTheme="minorHAnsi"/>
          <w:lang w:val="hu-HU"/>
        </w:rPr>
        <w:t xml:space="preserve"> A várható veszteségeken felüli nem várt</w:t>
      </w:r>
      <w:r w:rsidR="008F77EF" w:rsidRPr="00181755">
        <w:rPr>
          <w:rFonts w:asciiTheme="minorHAnsi" w:hAnsiTheme="minorHAnsi"/>
          <w:lang w:val="hu-HU"/>
        </w:rPr>
        <w:t xml:space="preserve"> </w:t>
      </w:r>
      <w:r w:rsidR="00024A69" w:rsidRPr="00181755">
        <w:rPr>
          <w:rFonts w:asciiTheme="minorHAnsi" w:hAnsiTheme="minorHAnsi"/>
          <w:lang w:val="hu-HU"/>
        </w:rPr>
        <w:t xml:space="preserve">veszteségeket </w:t>
      </w:r>
      <w:r w:rsidR="005D4ECF" w:rsidRPr="00181755">
        <w:rPr>
          <w:rFonts w:asciiTheme="minorHAnsi" w:hAnsiTheme="minorHAnsi"/>
          <w:lang w:val="hu-HU"/>
        </w:rPr>
        <w:t xml:space="preserve">is </w:t>
      </w:r>
      <w:r w:rsidR="00024A69" w:rsidRPr="00181755">
        <w:rPr>
          <w:rFonts w:asciiTheme="minorHAnsi" w:hAnsiTheme="minorHAnsi"/>
          <w:lang w:val="hu-HU"/>
        </w:rPr>
        <w:t>tartalmazó veszteségráta-becslés adja a nemteljesítő portfóliók LGD-it.</w:t>
      </w:r>
      <w:r w:rsidR="006054A2" w:rsidRPr="00181755">
        <w:rPr>
          <w:rFonts w:asciiTheme="minorHAnsi" w:hAnsiTheme="minorHAnsi"/>
          <w:lang w:val="hu-HU"/>
        </w:rPr>
        <w:t xml:space="preserve"> </w:t>
      </w:r>
      <w:r w:rsidR="008F77EF" w:rsidRPr="00181755">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181755">
        <w:rPr>
          <w:rFonts w:asciiTheme="minorHAnsi" w:hAnsiTheme="minorHAnsi"/>
          <w:lang w:val="hu-HU"/>
        </w:rPr>
        <w:t xml:space="preserve"> </w:t>
      </w:r>
    </w:p>
    <w:p w14:paraId="66B1540C" w14:textId="099DE885" w:rsidR="003F29E3" w:rsidRPr="00181755" w:rsidRDefault="003F29E3" w:rsidP="00181755">
      <w:pPr>
        <w:spacing w:after="240"/>
        <w:rPr>
          <w:rFonts w:asciiTheme="minorHAnsi" w:hAnsiTheme="minorHAnsi"/>
        </w:rPr>
      </w:pPr>
      <w:r w:rsidRPr="00181755">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181755" w:rsidRDefault="00D949B9" w:rsidP="00181755">
      <w:pPr>
        <w:pStyle w:val="Cmsor4"/>
        <w:rPr>
          <w:rFonts w:asciiTheme="minorHAnsi" w:hAnsiTheme="minorHAnsi"/>
          <w:lang w:val="hu-HU"/>
        </w:rPr>
      </w:pPr>
      <w:bookmarkStart w:id="687" w:name="_Késedelmes_tételek,_várható"/>
      <w:bookmarkStart w:id="688" w:name="_Toc461095208"/>
      <w:bookmarkStart w:id="689" w:name="_Toc461179864"/>
      <w:bookmarkStart w:id="690" w:name="_Toc461201307"/>
      <w:bookmarkStart w:id="691" w:name="_Toc461547950"/>
      <w:bookmarkStart w:id="692" w:name="_Toc462401988"/>
      <w:bookmarkStart w:id="693" w:name="_Toc462403109"/>
      <w:bookmarkStart w:id="694" w:name="_Toc462403433"/>
      <w:bookmarkStart w:id="695" w:name="_Toc468180552"/>
      <w:bookmarkStart w:id="696" w:name="_Toc468181061"/>
      <w:bookmarkStart w:id="697" w:name="_Toc468191447"/>
      <w:bookmarkStart w:id="698" w:name="_Toc378592169"/>
      <w:bookmarkEnd w:id="687"/>
      <w:r w:rsidRPr="00181755">
        <w:rPr>
          <w:rFonts w:asciiTheme="minorHAnsi" w:hAnsiTheme="minorHAnsi"/>
          <w:lang w:val="hu-HU"/>
        </w:rPr>
        <w:t>Lakossági jelzálog LGD – felügyeleti benchmark</w:t>
      </w:r>
      <w:bookmarkEnd w:id="688"/>
      <w:bookmarkEnd w:id="689"/>
      <w:bookmarkEnd w:id="690"/>
      <w:bookmarkEnd w:id="691"/>
      <w:bookmarkEnd w:id="692"/>
      <w:bookmarkEnd w:id="693"/>
      <w:bookmarkEnd w:id="694"/>
      <w:bookmarkEnd w:id="695"/>
      <w:bookmarkEnd w:id="696"/>
      <w:bookmarkEnd w:id="697"/>
    </w:p>
    <w:p w14:paraId="66B1540E" w14:textId="623D73BC" w:rsidR="002A1FD1" w:rsidRPr="00181755" w:rsidRDefault="002A1FD1" w:rsidP="00181755">
      <w:pPr>
        <w:rPr>
          <w:rFonts w:asciiTheme="minorHAnsi" w:hAnsiTheme="minorHAnsi"/>
        </w:rPr>
      </w:pPr>
      <w:r w:rsidRPr="00181755">
        <w:rPr>
          <w:rFonts w:asciiTheme="minorHAnsi" w:hAnsiTheme="minorHAnsi"/>
          <w:lang w:eastAsia="x-none"/>
        </w:rPr>
        <w:t>M</w:t>
      </w:r>
      <w:r w:rsidR="007A66E3" w:rsidRPr="00181755">
        <w:rPr>
          <w:rFonts w:asciiTheme="minorHAnsi" w:hAnsiTheme="minorHAnsi"/>
          <w:lang w:eastAsia="x-none"/>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181755">
        <w:rPr>
          <w:rFonts w:asciiTheme="minorHAnsi" w:hAnsiTheme="minorHAnsi"/>
          <w:lang w:eastAsia="x-none"/>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181755">
        <w:rPr>
          <w:rFonts w:asciiTheme="minorHAnsi" w:hAnsiTheme="minorHAnsi"/>
          <w:lang w:eastAsia="x-none"/>
        </w:rPr>
        <w:t xml:space="preserve"> Az MNB benchmark LGD-je két</w:t>
      </w:r>
      <w:r w:rsidRPr="00181755">
        <w:rPr>
          <w:rFonts w:asciiTheme="minorHAnsi" w:hAnsiTheme="minorHAnsi"/>
          <w:lang w:eastAsia="x-none"/>
        </w:rPr>
        <w:t xml:space="preserve"> behajtási kimenet</w:t>
      </w:r>
      <w:r w:rsidR="007A66E3" w:rsidRPr="00181755">
        <w:rPr>
          <w:rFonts w:asciiTheme="minorHAnsi" w:hAnsiTheme="minorHAnsi"/>
          <w:lang w:eastAsia="x-none"/>
        </w:rPr>
        <w:t xml:space="preserve"> downturn-helyzetbeli értékét modellezi: </w:t>
      </w:r>
      <w:r w:rsidR="008B47F7" w:rsidRPr="00181755">
        <w:rPr>
          <w:rFonts w:asciiTheme="minorHAnsi" w:hAnsiTheme="minorHAnsi"/>
          <w:lang w:eastAsia="x-none"/>
        </w:rPr>
        <w:t xml:space="preserve">1) </w:t>
      </w:r>
      <w:r w:rsidR="007A66E3" w:rsidRPr="00181755">
        <w:rPr>
          <w:rFonts w:asciiTheme="minorHAnsi" w:hAnsiTheme="minorHAnsi"/>
          <w:lang w:eastAsia="x-none"/>
        </w:rPr>
        <w:t>az ügyfél fizetőképességének helyreállását jellemző gyógyulási-rátát</w:t>
      </w:r>
      <w:r w:rsidRPr="00181755">
        <w:rPr>
          <w:rFonts w:asciiTheme="minorHAnsi" w:hAnsiTheme="minorHAnsi"/>
          <w:lang w:eastAsia="x-none"/>
        </w:rPr>
        <w:t xml:space="preserve">, és </w:t>
      </w:r>
      <w:r w:rsidR="008B47F7" w:rsidRPr="00181755">
        <w:rPr>
          <w:rFonts w:asciiTheme="minorHAnsi" w:hAnsiTheme="minorHAnsi"/>
          <w:lang w:eastAsia="x-none"/>
        </w:rPr>
        <w:t xml:space="preserve">2) </w:t>
      </w:r>
      <w:r w:rsidRPr="00181755">
        <w:rPr>
          <w:rFonts w:asciiTheme="minorHAnsi" w:hAnsiTheme="minorHAnsi"/>
          <w:lang w:eastAsia="x-none"/>
        </w:rPr>
        <w:t xml:space="preserve">a fedezet alapú térülés esetén megfigyelhető veszteség-szintet. </w:t>
      </w:r>
    </w:p>
    <w:p w14:paraId="66B1540F" w14:textId="77777777" w:rsidR="002A1FD1" w:rsidRPr="00181755" w:rsidRDefault="002A1FD1" w:rsidP="00181755">
      <w:pPr>
        <w:rPr>
          <w:rFonts w:asciiTheme="minorHAnsi" w:hAnsiTheme="minorHAnsi"/>
        </w:rPr>
      </w:pPr>
      <w:r w:rsidRPr="00181755">
        <w:rPr>
          <w:rFonts w:asciiTheme="minorHAnsi" w:hAnsiTheme="minorHAnsi"/>
          <w:lang w:eastAsia="x-none"/>
        </w:rPr>
        <w:t>A gyógyulási ráta downturn értékéhez az MNB a gyógyulási ráta szempontjából legkedvezőtlenebb évet használja fel. A töb</w:t>
      </w:r>
      <w:r w:rsidR="00324C44" w:rsidRPr="00181755">
        <w:rPr>
          <w:rFonts w:asciiTheme="minorHAnsi" w:hAnsiTheme="minorHAnsi"/>
          <w:lang w:eastAsia="x-none"/>
        </w:rPr>
        <w:t xml:space="preserve">bszörös nemteljesítés és </w:t>
      </w:r>
      <w:r w:rsidRPr="00181755">
        <w:rPr>
          <w:rFonts w:asciiTheme="minorHAnsi" w:hAnsiTheme="minorHAnsi"/>
          <w:lang w:eastAsia="x-none"/>
        </w:rPr>
        <w:t>gyógyulás</w:t>
      </w:r>
      <w:r w:rsidR="00324C44" w:rsidRPr="00181755">
        <w:rPr>
          <w:rFonts w:asciiTheme="minorHAnsi" w:hAnsiTheme="minorHAnsi"/>
          <w:lang w:eastAsia="x-none"/>
        </w:rPr>
        <w:t xml:space="preserve"> </w:t>
      </w:r>
      <w:r w:rsidRPr="00181755">
        <w:rPr>
          <w:rFonts w:asciiTheme="minorHAnsi" w:hAnsiTheme="minorHAnsi"/>
          <w:lang w:eastAsia="x-none"/>
        </w:rPr>
        <w:t>becslést torzító hatásának k</w:t>
      </w:r>
      <w:r w:rsidR="00324C44" w:rsidRPr="00181755">
        <w:rPr>
          <w:rFonts w:asciiTheme="minorHAnsi" w:hAnsiTheme="minorHAnsi"/>
          <w:lang w:eastAsia="x-none"/>
        </w:rPr>
        <w:t>iküszöbölése érdekében az MNB a többszörös default</w:t>
      </w:r>
      <w:r w:rsidRPr="00181755">
        <w:rPr>
          <w:rFonts w:asciiTheme="minorHAnsi" w:hAnsiTheme="minorHAnsi"/>
          <w:lang w:eastAsia="x-none"/>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CB2872" w:rsidR="00324C44" w:rsidRPr="00181755" w:rsidRDefault="002A1FD1" w:rsidP="00181755">
      <w:pPr>
        <w:rPr>
          <w:rFonts w:asciiTheme="minorHAnsi" w:hAnsiTheme="minorHAnsi"/>
        </w:rPr>
      </w:pPr>
      <w:r w:rsidRPr="00181755">
        <w:rPr>
          <w:rFonts w:asciiTheme="minorHAnsi" w:hAnsiTheme="minorHAnsi"/>
          <w:lang w:eastAsia="x-none"/>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181755">
        <w:rPr>
          <w:rFonts w:asciiTheme="minorHAnsi" w:hAnsiTheme="minorHAnsi"/>
          <w:lang w:eastAsia="x-none"/>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181755">
        <w:rPr>
          <w:rFonts w:asciiTheme="minorHAnsi" w:hAnsiTheme="minorHAnsi"/>
          <w:lang w:eastAsia="x-none"/>
        </w:rPr>
        <w:t xml:space="preserve"> Az MNB a fedezeti szorzó, diszkont-kamatláb, értékesítési idő tekintetében rendszeresen végez becsléseket, visszaméréseket, e paraméterek értékeit rendszeresen felülvizsgálja.</w:t>
      </w:r>
    </w:p>
    <w:p w14:paraId="66B15411" w14:textId="77777777" w:rsidR="00D949B9" w:rsidRPr="00181755" w:rsidRDefault="00324C44" w:rsidP="00181755">
      <w:pPr>
        <w:rPr>
          <w:rFonts w:asciiTheme="minorHAnsi" w:hAnsiTheme="minorHAnsi"/>
        </w:rPr>
      </w:pPr>
      <w:r w:rsidRPr="00181755">
        <w:rPr>
          <w:rFonts w:asciiTheme="minorHAnsi" w:hAnsiTheme="minorHAnsi"/>
          <w:lang w:eastAsia="x-none"/>
        </w:rPr>
        <w:t>Az MNB hangsúlyozza, hogy az LGD-nek downturn-nek kell lennie, ezen belül a nemteljesítő ügyletek LGD-jének a várható veszteségeken felüli nem várt veszteségeket i</w:t>
      </w:r>
      <w:r w:rsidR="002C3E60" w:rsidRPr="00181755">
        <w:rPr>
          <w:rFonts w:asciiTheme="minorHAnsi" w:hAnsiTheme="minorHAnsi"/>
          <w:lang w:eastAsia="x-none"/>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66B15412" w14:textId="77777777" w:rsidR="00E50E1F" w:rsidRPr="00181755" w:rsidRDefault="00E50E1F" w:rsidP="00181755">
      <w:pPr>
        <w:rPr>
          <w:rFonts w:asciiTheme="minorHAnsi" w:hAnsiTheme="minorHAnsi"/>
        </w:rPr>
      </w:pPr>
      <w:r w:rsidRPr="00181755">
        <w:rPr>
          <w:rFonts w:asciiTheme="minorHAnsi" w:hAnsiTheme="minorHAnsi"/>
          <w:lang w:eastAsia="x-none"/>
        </w:rPr>
        <w:t>Az MNB e benchmark számítás eredményeként tőkekövetelmény-többletet írhat elő, az értékvesztés megfelelőségét nem ezen kalkuláció alapján értékeli.</w:t>
      </w:r>
    </w:p>
    <w:p w14:paraId="66B15413" w14:textId="5CDB46A0" w:rsidR="003F29E3" w:rsidRPr="00181755" w:rsidRDefault="00361648" w:rsidP="00181755">
      <w:pPr>
        <w:pStyle w:val="Cmsor4"/>
        <w:rPr>
          <w:rFonts w:asciiTheme="minorHAnsi" w:hAnsiTheme="minorHAnsi"/>
        </w:rPr>
      </w:pPr>
      <w:bookmarkStart w:id="699" w:name="_Toc461095209"/>
      <w:bookmarkStart w:id="700" w:name="_Toc461179865"/>
      <w:bookmarkStart w:id="701" w:name="_Toc461201308"/>
      <w:bookmarkStart w:id="702" w:name="_Toc461547951"/>
      <w:bookmarkStart w:id="703" w:name="_Toc462401989"/>
      <w:bookmarkStart w:id="704" w:name="_Toc462403110"/>
      <w:bookmarkStart w:id="705" w:name="_Toc462403434"/>
      <w:bookmarkStart w:id="706" w:name="_Toc468180553"/>
      <w:bookmarkStart w:id="707" w:name="_Toc468181062"/>
      <w:bookmarkStart w:id="708" w:name="_Toc468191448"/>
      <w:r w:rsidRPr="00181755">
        <w:rPr>
          <w:rFonts w:asciiTheme="minorHAnsi" w:hAnsiTheme="minorHAnsi"/>
          <w:lang w:val="hu-HU"/>
        </w:rPr>
        <w:t>Nemteljesítő</w:t>
      </w:r>
      <w:r w:rsidRPr="00181755">
        <w:rPr>
          <w:rFonts w:asciiTheme="minorHAnsi" w:hAnsiTheme="minorHAnsi"/>
        </w:rPr>
        <w:t xml:space="preserve"> </w:t>
      </w:r>
      <w:r w:rsidR="003F29E3" w:rsidRPr="00181755">
        <w:rPr>
          <w:rFonts w:asciiTheme="minorHAnsi" w:hAnsiTheme="minorHAnsi"/>
        </w:rPr>
        <w:t>tételek, várható veszteség és értékvesztés</w:t>
      </w:r>
      <w:bookmarkEnd w:id="698"/>
      <w:bookmarkEnd w:id="699"/>
      <w:bookmarkEnd w:id="700"/>
      <w:bookmarkEnd w:id="701"/>
      <w:bookmarkEnd w:id="702"/>
      <w:bookmarkEnd w:id="703"/>
      <w:bookmarkEnd w:id="704"/>
      <w:bookmarkEnd w:id="705"/>
      <w:bookmarkEnd w:id="706"/>
      <w:bookmarkEnd w:id="707"/>
      <w:bookmarkEnd w:id="708"/>
    </w:p>
    <w:p w14:paraId="66B15414" w14:textId="1E0B291E" w:rsidR="003F29E3" w:rsidRPr="00181755" w:rsidRDefault="003F29E3" w:rsidP="00181755">
      <w:pPr>
        <w:rPr>
          <w:rFonts w:asciiTheme="minorHAnsi" w:hAnsiTheme="minorHAnsi"/>
        </w:rPr>
      </w:pPr>
      <w:r w:rsidRPr="00181755">
        <w:rPr>
          <w:rFonts w:asciiTheme="minorHAnsi" w:hAnsiTheme="minorHAnsi"/>
        </w:rPr>
        <w:t xml:space="preserve">A kockázati kitettség fontos részét képezik a </w:t>
      </w:r>
      <w:r w:rsidR="00047DD4" w:rsidRPr="00181755">
        <w:rPr>
          <w:rFonts w:asciiTheme="minorHAnsi" w:hAnsiTheme="minorHAnsi"/>
        </w:rPr>
        <w:t>sztenderd és IRB módszertant alkalmazó intézményekre egységesen vonatkozó CRR 178. cikkke szerinti default</w:t>
      </w:r>
      <w:r w:rsidR="004E0090" w:rsidRPr="00181755">
        <w:rPr>
          <w:rFonts w:asciiTheme="minorHAnsi" w:hAnsiTheme="minorHAnsi"/>
        </w:rPr>
        <w:t xml:space="preserve"> </w:t>
      </w:r>
      <w:r w:rsidR="00047DD4" w:rsidRPr="00181755">
        <w:rPr>
          <w:rFonts w:asciiTheme="minorHAnsi" w:hAnsiTheme="minorHAnsi"/>
        </w:rPr>
        <w:t xml:space="preserve">definíción alapuló </w:t>
      </w:r>
      <w:r w:rsidRPr="00181755">
        <w:rPr>
          <w:rFonts w:asciiTheme="minorHAnsi" w:hAnsiTheme="minorHAnsi"/>
        </w:rPr>
        <w:t>nemteljesítő kategóriába került tételek.</w:t>
      </w:r>
      <w:r w:rsidR="00047DD4" w:rsidRPr="00181755">
        <w:rPr>
          <w:rFonts w:asciiTheme="minorHAnsi" w:hAnsiTheme="minorHAnsi"/>
        </w:rPr>
        <w:t xml:space="preserve"> Bár a nemteljesítő kitettségek kockázatának, potenciális veszteségeinek fedezetét alapvetően az értékvesztés jelenti</w:t>
      </w:r>
      <w:r w:rsidR="00B93A43" w:rsidRPr="00181755">
        <w:rPr>
          <w:rStyle w:val="Lbjegyzet-hivatkozs"/>
          <w:rFonts w:asciiTheme="minorHAnsi" w:hAnsiTheme="minorHAnsi"/>
        </w:rPr>
        <w:footnoteReference w:id="36"/>
      </w:r>
      <w:r w:rsidR="00047DD4" w:rsidRPr="00181755">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181755">
        <w:rPr>
          <w:rFonts w:asciiTheme="minorHAnsi" w:hAnsiTheme="minorHAnsi"/>
        </w:rPr>
        <w:t>rt veszteség is keletkezhet.</w:t>
      </w:r>
    </w:p>
    <w:p w14:paraId="66B15415" w14:textId="22D50D95" w:rsidR="003F29E3" w:rsidRPr="00181755" w:rsidRDefault="003F29E3" w:rsidP="00181755">
      <w:pPr>
        <w:rPr>
          <w:rFonts w:asciiTheme="minorHAnsi" w:hAnsiTheme="minorHAnsi"/>
        </w:rPr>
      </w:pPr>
      <w:r w:rsidRPr="00181755">
        <w:rPr>
          <w:rFonts w:asciiTheme="minorHAnsi" w:hAnsiTheme="minorHAnsi"/>
        </w:rPr>
        <w:t xml:space="preserve">Az MNB a felülvizsgálat keretében </w:t>
      </w:r>
      <w:r w:rsidR="004746B1" w:rsidRPr="00181755">
        <w:rPr>
          <w:rFonts w:asciiTheme="minorHAnsi" w:hAnsiTheme="minorHAnsi"/>
        </w:rPr>
        <w:t>e</w:t>
      </w:r>
      <w:r w:rsidRPr="00181755">
        <w:rPr>
          <w:rFonts w:asciiTheme="minorHAnsi" w:hAnsiTheme="minorHAnsi"/>
        </w:rPr>
        <w:t xml:space="preserve">lvárja, hogy az intézmények a 2. pillérben felmérjék a </w:t>
      </w:r>
      <w:r w:rsidR="009A2C5B" w:rsidRPr="00181755">
        <w:rPr>
          <w:rFonts w:asciiTheme="minorHAnsi" w:hAnsiTheme="minorHAnsi"/>
        </w:rPr>
        <w:t>nemteljesítő kitettségek</w:t>
      </w:r>
      <w:r w:rsidRPr="00181755">
        <w:rPr>
          <w:rFonts w:asciiTheme="minorHAnsi" w:hAnsiTheme="minorHAnsi"/>
        </w:rPr>
        <w:t xml:space="preserve"> kockázatát, </w:t>
      </w:r>
      <w:r w:rsidR="009A2C5B" w:rsidRPr="00181755">
        <w:rPr>
          <w:rFonts w:asciiTheme="minorHAnsi" w:hAnsiTheme="minorHAnsi"/>
        </w:rPr>
        <w:t>melynek során egyrészt a várható veszteségek</w:t>
      </w:r>
      <w:r w:rsidRPr="00181755">
        <w:rPr>
          <w:rFonts w:asciiTheme="minorHAnsi" w:hAnsiTheme="minorHAnsi"/>
        </w:rPr>
        <w:t xml:space="preserve"> vonatkozásában demonstrálják a</w:t>
      </w:r>
      <w:r w:rsidR="00047DD4" w:rsidRPr="00181755">
        <w:rPr>
          <w:rFonts w:asciiTheme="minorHAnsi" w:hAnsiTheme="minorHAnsi"/>
        </w:rPr>
        <w:t xml:space="preserve"> </w:t>
      </w:r>
      <w:r w:rsidRPr="00181755">
        <w:rPr>
          <w:rFonts w:asciiTheme="minorHAnsi" w:hAnsiTheme="minorHAnsi"/>
        </w:rPr>
        <w:t xml:space="preserve">megképzett </w:t>
      </w:r>
      <w:r w:rsidR="009A2C5B" w:rsidRPr="00181755">
        <w:rPr>
          <w:rFonts w:asciiTheme="minorHAnsi" w:hAnsiTheme="minorHAnsi"/>
        </w:rPr>
        <w:t xml:space="preserve">értékvesztés </w:t>
      </w:r>
      <w:r w:rsidRPr="00181755">
        <w:rPr>
          <w:rFonts w:asciiTheme="minorHAnsi" w:hAnsiTheme="minorHAnsi"/>
        </w:rPr>
        <w:t>elégséges mértékét</w:t>
      </w:r>
      <w:r w:rsidR="009A2C5B" w:rsidRPr="00181755">
        <w:rPr>
          <w:rFonts w:asciiTheme="minorHAnsi" w:hAnsiTheme="minorHAnsi"/>
        </w:rPr>
        <w:t xml:space="preserve">, másrészt a várható veszteségeken felül fennálló nem várt veszteségekre </w:t>
      </w:r>
      <w:r w:rsidR="009B4844" w:rsidRPr="00181755">
        <w:rPr>
          <w:rFonts w:asciiTheme="minorHAnsi" w:hAnsiTheme="minorHAnsi"/>
        </w:rPr>
        <w:t>megfelelő szintű tőkekövetelményt számítanak</w:t>
      </w:r>
      <w:r w:rsidRPr="00181755">
        <w:rPr>
          <w:rFonts w:asciiTheme="minorHAnsi" w:hAnsiTheme="minorHAnsi"/>
        </w:rPr>
        <w:t xml:space="preserve">. </w:t>
      </w:r>
      <w:r w:rsidR="00495E5D" w:rsidRPr="00181755">
        <w:rPr>
          <w:rFonts w:asciiTheme="minorHAnsi" w:hAnsiTheme="minorHAnsi"/>
        </w:rPr>
        <w:t>Ennek érdekében a veszteségráta becsléséről szóló fejezetben elmondottaknak megfelelően az intézménynek megbízható ELBE ill</w:t>
      </w:r>
      <w:r w:rsidR="004E0090" w:rsidRPr="00181755">
        <w:rPr>
          <w:rFonts w:asciiTheme="minorHAnsi" w:hAnsiTheme="minorHAnsi"/>
        </w:rPr>
        <w:t>etve</w:t>
      </w:r>
      <w:r w:rsidR="00495E5D" w:rsidRPr="00181755">
        <w:rPr>
          <w:rFonts w:asciiTheme="minorHAnsi" w:hAnsiTheme="minorHAnsi"/>
        </w:rPr>
        <w:t xml:space="preserve"> LGD becslést kell kidolgozniuk a nemteljesítő portfóliókon.</w:t>
      </w:r>
    </w:p>
    <w:p w14:paraId="66B15416" w14:textId="77777777" w:rsidR="005709D8" w:rsidRPr="00181755" w:rsidRDefault="005E767A" w:rsidP="00181755">
      <w:pPr>
        <w:rPr>
          <w:rFonts w:asciiTheme="minorHAnsi" w:hAnsiTheme="minorHAnsi"/>
        </w:rPr>
      </w:pPr>
      <w:r w:rsidRPr="00181755">
        <w:rPr>
          <w:rFonts w:asciiTheme="minorHAnsi" w:hAnsiTheme="minorHAnsi"/>
        </w:rPr>
        <w:t xml:space="preserve">Az MNB eddigi tapasztalatai szerint az intézmények nagyobb hányada nem </w:t>
      </w:r>
      <w:r w:rsidR="00644805" w:rsidRPr="00181755">
        <w:rPr>
          <w:rFonts w:asciiTheme="minorHAnsi" w:hAnsiTheme="minorHAnsi"/>
        </w:rPr>
        <w:t xml:space="preserve">rendelkezett </w:t>
      </w:r>
      <w:r w:rsidR="00D17378" w:rsidRPr="00181755">
        <w:rPr>
          <w:rFonts w:asciiTheme="minorHAnsi" w:hAnsiTheme="minorHAnsi"/>
        </w:rPr>
        <w:t xml:space="preserve">megfelelő </w:t>
      </w:r>
      <w:r w:rsidR="00644805" w:rsidRPr="00181755">
        <w:rPr>
          <w:rFonts w:asciiTheme="minorHAnsi" w:hAnsiTheme="minorHAnsi"/>
        </w:rPr>
        <w:t>ELBE ill. LGD-becsléssel</w:t>
      </w:r>
      <w:r w:rsidR="00D17378" w:rsidRPr="00181755">
        <w:rPr>
          <w:rFonts w:asciiTheme="minorHAnsi" w:hAnsiTheme="minorHAnsi"/>
        </w:rPr>
        <w:t xml:space="preserve"> a nemteljesítő kitettségekre</w:t>
      </w:r>
      <w:r w:rsidRPr="00181755">
        <w:rPr>
          <w:rFonts w:asciiTheme="minorHAnsi" w:hAnsiTheme="minorHAnsi"/>
        </w:rPr>
        <w:t xml:space="preserve">. Megbízható </w:t>
      </w:r>
      <w:r w:rsidR="00644805" w:rsidRPr="00181755">
        <w:rPr>
          <w:rFonts w:asciiTheme="minorHAnsi" w:hAnsiTheme="minorHAnsi"/>
        </w:rPr>
        <w:t>paraméterek</w:t>
      </w:r>
      <w:r w:rsidRPr="00181755">
        <w:rPr>
          <w:rFonts w:asciiTheme="minorHAnsi" w:hAnsiTheme="minorHAnsi"/>
        </w:rPr>
        <w:t xml:space="preserve"> hiányában az MNB az értékvesztést tekinti ELBE-(várható veszteség) </w:t>
      </w:r>
      <w:r w:rsidR="00644805" w:rsidRPr="00181755">
        <w:rPr>
          <w:rFonts w:asciiTheme="minorHAnsi" w:hAnsiTheme="minorHAnsi"/>
        </w:rPr>
        <w:t>becslésnek</w:t>
      </w:r>
      <w:r w:rsidR="00D17378" w:rsidRPr="00181755">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181755">
        <w:rPr>
          <w:rFonts w:asciiTheme="minorHAnsi" w:hAnsiTheme="minorHAnsi"/>
        </w:rPr>
        <w:t>dó értékvesztést eredményező értékvesztési</w:t>
      </w:r>
      <w:r w:rsidR="00D17378" w:rsidRPr="00181755">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181755">
        <w:rPr>
          <w:rFonts w:asciiTheme="minorHAnsi" w:hAnsiTheme="minorHAnsi"/>
        </w:rPr>
        <w:t>valóban felhasználható-e a jövőben más kockázatok fedezésére.</w:t>
      </w:r>
    </w:p>
    <w:p w14:paraId="66B15417" w14:textId="033D4FA9" w:rsidR="005E767A" w:rsidRPr="00181755" w:rsidRDefault="005709D8" w:rsidP="00181755">
      <w:pPr>
        <w:rPr>
          <w:rFonts w:asciiTheme="minorHAnsi" w:hAnsiTheme="minorHAnsi"/>
        </w:rPr>
      </w:pPr>
      <w:r w:rsidRPr="00181755">
        <w:rPr>
          <w:rFonts w:asciiTheme="minorHAnsi" w:hAnsiTheme="minorHAnsi"/>
        </w:rPr>
        <w:t>Az MNB a</w:t>
      </w:r>
      <w:r w:rsidR="00644805" w:rsidRPr="00181755">
        <w:rPr>
          <w:rFonts w:asciiTheme="minorHAnsi" w:hAnsiTheme="minorHAnsi"/>
        </w:rPr>
        <w:t xml:space="preserve"> nemteljesítő kitettség LGD-jének</w:t>
      </w:r>
      <w:r w:rsidR="005E767A" w:rsidRPr="00181755">
        <w:rPr>
          <w:rFonts w:asciiTheme="minorHAnsi" w:hAnsiTheme="minorHAnsi"/>
        </w:rPr>
        <w:t xml:space="preserve"> </w:t>
      </w:r>
      <w:r w:rsidR="00644805" w:rsidRPr="00181755">
        <w:rPr>
          <w:rFonts w:asciiTheme="minorHAnsi" w:hAnsiTheme="minorHAnsi"/>
        </w:rPr>
        <w:t>a szabályozói LGD-</w:t>
      </w:r>
      <w:r w:rsidR="005B2BDE" w:rsidRPr="00181755">
        <w:rPr>
          <w:rFonts w:asciiTheme="minorHAnsi" w:hAnsiTheme="minorHAnsi"/>
        </w:rPr>
        <w:t>érté</w:t>
      </w:r>
      <w:r w:rsidR="00644805" w:rsidRPr="00181755">
        <w:rPr>
          <w:rFonts w:asciiTheme="minorHAnsi" w:hAnsiTheme="minorHAnsi"/>
        </w:rPr>
        <w:t>ket</w:t>
      </w:r>
      <w:r w:rsidR="007E4E5B" w:rsidRPr="00181755">
        <w:rPr>
          <w:rStyle w:val="Lbjegyzet-hivatkozs"/>
          <w:rFonts w:asciiTheme="minorHAnsi" w:hAnsiTheme="minorHAnsi"/>
        </w:rPr>
        <w:footnoteReference w:id="37"/>
      </w:r>
      <w:r w:rsidRPr="00181755">
        <w:rPr>
          <w:rFonts w:asciiTheme="minorHAnsi" w:hAnsiTheme="minorHAnsi"/>
        </w:rPr>
        <w:t xml:space="preserve"> állítja be</w:t>
      </w:r>
      <w:r w:rsidR="00644805" w:rsidRPr="00181755">
        <w:rPr>
          <w:rFonts w:asciiTheme="minorHAnsi" w:hAnsiTheme="minorHAnsi"/>
        </w:rPr>
        <w:t>, ill</w:t>
      </w:r>
      <w:r w:rsidR="007E4E5B" w:rsidRPr="00181755">
        <w:rPr>
          <w:rFonts w:asciiTheme="minorHAnsi" w:hAnsiTheme="minorHAnsi"/>
        </w:rPr>
        <w:t>etve</w:t>
      </w:r>
      <w:r w:rsidR="00644805" w:rsidRPr="00181755">
        <w:rPr>
          <w:rFonts w:asciiTheme="minorHAnsi" w:hAnsiTheme="minorHAnsi"/>
        </w:rPr>
        <w:t xml:space="preserve"> bizonyos portfóliókon (</w:t>
      </w:r>
      <w:r w:rsidR="007514BB" w:rsidRPr="00181755">
        <w:rPr>
          <w:rFonts w:asciiTheme="minorHAnsi" w:hAnsiTheme="minorHAnsi"/>
        </w:rPr>
        <w:t xml:space="preserve">pl. </w:t>
      </w:r>
      <w:r w:rsidR="00644805" w:rsidRPr="00181755">
        <w:rPr>
          <w:rFonts w:asciiTheme="minorHAnsi" w:hAnsiTheme="minorHAnsi"/>
        </w:rPr>
        <w:t>lakossági jelzálog, projekt) pe</w:t>
      </w:r>
      <w:r w:rsidR="00F740B6" w:rsidRPr="00181755">
        <w:rPr>
          <w:rFonts w:asciiTheme="minorHAnsi" w:hAnsiTheme="minorHAnsi"/>
        </w:rPr>
        <w:t xml:space="preserve">dig benchmark LGD-ket </w:t>
      </w:r>
      <w:r w:rsidRPr="00181755">
        <w:rPr>
          <w:rFonts w:asciiTheme="minorHAnsi" w:hAnsiTheme="minorHAnsi"/>
        </w:rPr>
        <w:t>határoz meg, ha a</w:t>
      </w:r>
      <w:r w:rsidR="00A8489E" w:rsidRPr="00181755">
        <w:rPr>
          <w:rFonts w:asciiTheme="minorHAnsi" w:hAnsiTheme="minorHAnsi"/>
        </w:rPr>
        <w:t>z intézmény</w:t>
      </w:r>
      <w:r w:rsidRPr="00181755">
        <w:rPr>
          <w:rFonts w:asciiTheme="minorHAnsi" w:hAnsiTheme="minorHAnsi"/>
        </w:rPr>
        <w:t xml:space="preserve"> nem rendelkezik külön LGD-becsléssel.</w:t>
      </w:r>
    </w:p>
    <w:p w14:paraId="66B15418" w14:textId="43AC8110" w:rsidR="00402081" w:rsidRPr="00181755" w:rsidRDefault="00402081" w:rsidP="00181755">
      <w:pPr>
        <w:rPr>
          <w:rFonts w:asciiTheme="minorHAnsi" w:hAnsiTheme="minorHAnsi"/>
        </w:rPr>
      </w:pPr>
      <w:r w:rsidRPr="00181755">
        <w:rPr>
          <w:rFonts w:asciiTheme="minorHAnsi" w:hAnsiTheme="minorHAnsi"/>
        </w:rPr>
        <w:t xml:space="preserve">Az IRB-t alkalmazó intézmények a tőkeszámítás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181755">
        <w:rPr>
          <w:rFonts w:asciiTheme="minorHAnsi" w:hAnsiTheme="minorHAnsi"/>
        </w:rPr>
        <w:t>Mivel az 1. és 2. pilléres szavatoló tőke értéke meg kell, hogy egyezzen, ezért az 1. pillérben IRB-t alkalmazó intézmények esetébe</w:t>
      </w:r>
      <w:r w:rsidR="000D42A4" w:rsidRPr="00181755">
        <w:rPr>
          <w:rFonts w:asciiTheme="minorHAnsi" w:hAnsiTheme="minorHAnsi"/>
        </w:rPr>
        <w:t>n</w:t>
      </w:r>
      <w:r w:rsidR="007514BB" w:rsidRPr="00181755">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181755" w:rsidRDefault="006668C3" w:rsidP="00181755">
      <w:pPr>
        <w:rPr>
          <w:rFonts w:asciiTheme="minorHAnsi" w:hAnsiTheme="minorHAnsi"/>
        </w:rPr>
      </w:pPr>
      <w:r w:rsidRPr="00181755">
        <w:rPr>
          <w:rFonts w:asciiTheme="minorHAnsi" w:hAnsiTheme="minorHAnsi"/>
        </w:rPr>
        <w:t>Az MNB az IRB-shortfall és a nemteljesítő portfólió tőkekövetelmény-számításának tekintetében a CRR-nek a saját LGD-becsléssel rendelkező IRB-módszerre</w:t>
      </w:r>
      <w:r w:rsidR="008B085A" w:rsidRPr="00181755">
        <w:rPr>
          <w:rFonts w:asciiTheme="minorHAnsi" w:hAnsiTheme="minorHAnsi"/>
        </w:rPr>
        <w:t xml:space="preserve"> (AIRB)</w:t>
      </w:r>
      <w:r w:rsidRPr="00181755">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6B1541A" w14:textId="5F01B309" w:rsidR="008B085A" w:rsidRPr="00181755" w:rsidRDefault="008B085A" w:rsidP="00181755">
      <w:pPr>
        <w:rPr>
          <w:rFonts w:asciiTheme="minorHAnsi" w:hAnsiTheme="minorHAnsi"/>
        </w:rPr>
      </w:pPr>
      <w:r w:rsidRPr="00181755">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 LGD</w:t>
      </w:r>
      <w:r w:rsidR="00A10F1D" w:rsidRPr="00181755">
        <w:rPr>
          <w:rFonts w:asciiTheme="minorHAnsi" w:hAnsiTheme="minorHAnsi"/>
        </w:rPr>
        <w:t xml:space="preserve"> a portfóliószegmens</w:t>
      </w:r>
      <w:r w:rsidR="00A26BBA" w:rsidRPr="00181755">
        <w:rPr>
          <w:rFonts w:asciiTheme="minorHAnsi" w:hAnsiTheme="minorHAnsi"/>
        </w:rPr>
        <w:t>, homogén kockázatú ügyfelek csoportjának</w:t>
      </w:r>
      <w:r w:rsidR="00A10F1D" w:rsidRPr="00181755">
        <w:rPr>
          <w:rFonts w:asciiTheme="minorHAnsi" w:hAnsiTheme="minorHAnsi"/>
        </w:rPr>
        <w:t xml:space="preserve"> kockázati profiljától (pl. fedezettség) függően elegendő vagy nem a kockázatok fedezésére.</w:t>
      </w:r>
      <w:r w:rsidR="00FA170E" w:rsidRPr="00181755">
        <w:rPr>
          <w:rFonts w:asciiTheme="minorHAnsi" w:hAnsiTheme="minorHAnsi"/>
        </w:rPr>
        <w:t xml:space="preserve"> </w:t>
      </w:r>
      <w:r w:rsidR="00135319" w:rsidRPr="00181755">
        <w:rPr>
          <w:rFonts w:asciiTheme="minorHAnsi" w:hAnsiTheme="minorHAnsi"/>
        </w:rPr>
        <w:t xml:space="preserve">Az MNB tapasztalatai alapján elmondható, hogy </w:t>
      </w:r>
      <w:r w:rsidR="00BA1427" w:rsidRPr="00181755">
        <w:rPr>
          <w:rFonts w:asciiTheme="minorHAnsi" w:hAnsiTheme="minorHAnsi"/>
        </w:rPr>
        <w:t>bizonyos</w:t>
      </w:r>
      <w:r w:rsidR="00135319" w:rsidRPr="00181755">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181755">
        <w:rPr>
          <w:rFonts w:asciiTheme="minorHAnsi" w:hAnsiTheme="minorHAnsi"/>
        </w:rPr>
        <w:t xml:space="preserve">Mivel megbízható LGD-becslés hiányában a szabályozói LGD-k csak </w:t>
      </w:r>
      <w:r w:rsidR="00135319" w:rsidRPr="00181755">
        <w:rPr>
          <w:rFonts w:asciiTheme="minorHAnsi" w:hAnsiTheme="minorHAnsi"/>
        </w:rPr>
        <w:t>mint portfóliószintű átlag értelmezhető – mely az egyes ügyletek esetén lehet több vagy kevesebb a tényleges kockázatnál – ezért a tőkekövetelmény max{0;(LGD-ELBE)} formuláját az MNB a 2. pillérben nem ügyletszinten, hanem enyhítésként portfóliószegmens (általában rating modell) szinten kalkulálja</w:t>
      </w:r>
      <w:r w:rsidR="00370124" w:rsidRPr="00181755">
        <w:rPr>
          <w:rFonts w:asciiTheme="minorHAnsi" w:hAnsiTheme="minorHAnsi"/>
        </w:rPr>
        <w:t xml:space="preserve">, azaz szegmensen belül </w:t>
      </w:r>
      <w:r w:rsidR="005F6FF2" w:rsidRPr="00181755">
        <w:rPr>
          <w:rFonts w:asciiTheme="minorHAnsi" w:hAnsiTheme="minorHAnsi"/>
        </w:rPr>
        <w:t>egy kitettség negatív tőkeköve</w:t>
      </w:r>
      <w:r w:rsidR="00221776" w:rsidRPr="00181755">
        <w:rPr>
          <w:rFonts w:asciiTheme="minorHAnsi" w:hAnsiTheme="minorHAnsi"/>
        </w:rPr>
        <w:t>te</w:t>
      </w:r>
      <w:r w:rsidR="005F6FF2" w:rsidRPr="00181755">
        <w:rPr>
          <w:rFonts w:asciiTheme="minorHAnsi" w:hAnsiTheme="minorHAnsi"/>
        </w:rPr>
        <w:t>lménye (LGD</w:t>
      </w:r>
      <w:r w:rsidR="0031185D" w:rsidRPr="00181755">
        <w:rPr>
          <w:rFonts w:asciiTheme="minorHAnsi" w:hAnsiTheme="minorHAnsi"/>
        </w:rPr>
        <w:t>-értékvesztés</w:t>
      </w:r>
      <w:r w:rsidR="005F6FF2" w:rsidRPr="00181755">
        <w:rPr>
          <w:rFonts w:asciiTheme="minorHAnsi" w:hAnsiTheme="minorHAnsi"/>
        </w:rPr>
        <w:t>&lt;</w:t>
      </w:r>
      <w:r w:rsidR="00221776" w:rsidRPr="00181755">
        <w:rPr>
          <w:rFonts w:asciiTheme="minorHAnsi" w:hAnsiTheme="minorHAnsi"/>
        </w:rPr>
        <w:t>0</w:t>
      </w:r>
      <w:r w:rsidR="005F6FF2" w:rsidRPr="00181755">
        <w:rPr>
          <w:rFonts w:asciiTheme="minorHAnsi" w:hAnsiTheme="minorHAnsi"/>
        </w:rPr>
        <w:t>) „nettósítható” egy másik kitettség tőkekövet</w:t>
      </w:r>
      <w:r w:rsidR="00221776" w:rsidRPr="00181755">
        <w:rPr>
          <w:rFonts w:asciiTheme="minorHAnsi" w:hAnsiTheme="minorHAnsi"/>
        </w:rPr>
        <w:t>e</w:t>
      </w:r>
      <w:r w:rsidR="005F6FF2" w:rsidRPr="00181755">
        <w:rPr>
          <w:rFonts w:asciiTheme="minorHAnsi" w:hAnsiTheme="minorHAnsi"/>
        </w:rPr>
        <w:t>lményével</w:t>
      </w:r>
      <w:r w:rsidR="00135319" w:rsidRPr="00181755">
        <w:rPr>
          <w:rFonts w:asciiTheme="minorHAnsi" w:hAnsiTheme="minorHAnsi"/>
        </w:rPr>
        <w:t xml:space="preserve">. Annak, hogy a szegmensek között nem engedett a „nettósítás”, az oka az, hogy a szegmenseken belül viszonylag homogén a kockázati profil, </w:t>
      </w:r>
      <w:r w:rsidR="00964406" w:rsidRPr="00181755">
        <w:rPr>
          <w:rFonts w:asciiTheme="minorHAnsi" w:hAnsiTheme="minorHAnsi"/>
        </w:rPr>
        <w:t xml:space="preserve">az értékvesztés-szint egy adott portfóliószegmens, pl. mikro, SME, projekt </w:t>
      </w:r>
      <w:r w:rsidR="00BA1427" w:rsidRPr="00181755">
        <w:rPr>
          <w:rFonts w:asciiTheme="minorHAnsi" w:hAnsiTheme="minorHAnsi"/>
        </w:rPr>
        <w:t xml:space="preserve">esetén </w:t>
      </w:r>
      <w:r w:rsidR="00964406" w:rsidRPr="00181755">
        <w:rPr>
          <w:rFonts w:asciiTheme="minorHAnsi" w:hAnsiTheme="minorHAnsi"/>
        </w:rPr>
        <w:t>jellemző</w:t>
      </w:r>
      <w:r w:rsidR="00BA1427" w:rsidRPr="00181755">
        <w:rPr>
          <w:rFonts w:asciiTheme="minorHAnsi" w:hAnsiTheme="minorHAnsi"/>
        </w:rPr>
        <w:t>, hogy megfelelő-e vagy sem a szabályozói átlag (pl. projektek esetében nem)</w:t>
      </w:r>
      <w:r w:rsidR="00964406" w:rsidRPr="00181755">
        <w:rPr>
          <w:rFonts w:asciiTheme="minorHAnsi" w:hAnsiTheme="minorHAnsi"/>
        </w:rPr>
        <w:t>.</w:t>
      </w:r>
      <w:r w:rsidR="005F6FF2" w:rsidRPr="00181755">
        <w:rPr>
          <w:rFonts w:asciiTheme="minorHAnsi" w:hAnsiTheme="minorHAnsi"/>
        </w:rPr>
        <w:t xml:space="preserve"> Elfogadott nemteljesítő LGD és ELBE becslés esetén azonban a max{0;(LGD-ELBE)} formula kitettség-szinten alkalmazandó, </w:t>
      </w:r>
      <w:r w:rsidR="004614E8" w:rsidRPr="00181755">
        <w:rPr>
          <w:rFonts w:asciiTheme="minorHAnsi" w:hAnsiTheme="minorHAnsi"/>
        </w:rPr>
        <w:t>ekkor</w:t>
      </w:r>
      <w:r w:rsidR="005F6FF2" w:rsidRPr="00181755">
        <w:rPr>
          <w:rFonts w:asciiTheme="minorHAnsi" w:hAnsiTheme="minorHAnsi"/>
        </w:rPr>
        <w:t xml:space="preserve"> </w:t>
      </w:r>
      <w:r w:rsidR="00B965B3" w:rsidRPr="00181755">
        <w:rPr>
          <w:rFonts w:asciiTheme="minorHAnsi" w:hAnsiTheme="minorHAnsi"/>
        </w:rPr>
        <w:t>teljesül</w:t>
      </w:r>
      <w:r w:rsidR="004614E8" w:rsidRPr="00181755">
        <w:rPr>
          <w:rFonts w:asciiTheme="minorHAnsi" w:hAnsiTheme="minorHAnsi"/>
        </w:rPr>
        <w:t>nie kell</w:t>
      </w:r>
      <w:r w:rsidR="00B965B3" w:rsidRPr="00181755">
        <w:rPr>
          <w:rFonts w:asciiTheme="minorHAnsi" w:hAnsiTheme="minorHAnsi"/>
        </w:rPr>
        <w:t>, hogy LGD&gt;ELBE</w:t>
      </w:r>
      <w:r w:rsidR="005F6FF2" w:rsidRPr="00181755">
        <w:rPr>
          <w:rFonts w:asciiTheme="minorHAnsi" w:hAnsiTheme="minorHAnsi"/>
        </w:rPr>
        <w:t>.</w:t>
      </w:r>
    </w:p>
    <w:p w14:paraId="2C3961A4" w14:textId="05E0CC30" w:rsidR="003F29E3" w:rsidRPr="00181755" w:rsidRDefault="00471B20" w:rsidP="00181755">
      <w:pPr>
        <w:spacing w:after="240"/>
        <w:rPr>
          <w:rFonts w:asciiTheme="minorHAnsi" w:hAnsiTheme="minorHAnsi"/>
        </w:rPr>
      </w:pPr>
      <w:r w:rsidRPr="00181755">
        <w:rPr>
          <w:rFonts w:asciiTheme="minorHAnsi" w:hAnsiTheme="minorHAnsi"/>
        </w:rPr>
        <w:t>Teljesítő kitettségeknél</w:t>
      </w:r>
      <w:r w:rsidR="00DE2211" w:rsidRPr="00181755">
        <w:rPr>
          <w:rFonts w:asciiTheme="minorHAnsi" w:hAnsiTheme="minorHAnsi"/>
        </w:rPr>
        <w:t xml:space="preserve"> természetes módon</w:t>
      </w:r>
      <w:r w:rsidRPr="00181755">
        <w:rPr>
          <w:rFonts w:asciiTheme="minorHAnsi" w:hAnsiTheme="minorHAnsi"/>
        </w:rPr>
        <w:t xml:space="preserve"> – általában dekonjunkturális helyzetben, magas default- és veszteségráták esetén –</w:t>
      </w:r>
      <w:r w:rsidR="00DE2211" w:rsidRPr="00181755">
        <w:rPr>
          <w:rFonts w:asciiTheme="minorHAnsi" w:hAnsiTheme="minorHAnsi"/>
        </w:rPr>
        <w:t xml:space="preserve"> alakul</w:t>
      </w:r>
      <w:r w:rsidR="000D42A4" w:rsidRPr="00181755">
        <w:rPr>
          <w:rFonts w:asciiTheme="minorHAnsi" w:hAnsiTheme="minorHAnsi"/>
        </w:rPr>
        <w:t>h</w:t>
      </w:r>
      <w:r w:rsidR="00DE2211" w:rsidRPr="00181755">
        <w:rPr>
          <w:rFonts w:asciiTheme="minorHAnsi" w:hAnsiTheme="minorHAnsi"/>
        </w:rPr>
        <w:t>at</w:t>
      </w:r>
      <w:r w:rsidRPr="00181755">
        <w:rPr>
          <w:rFonts w:asciiTheme="minorHAnsi" w:hAnsiTheme="minorHAnsi"/>
        </w:rPr>
        <w:t xml:space="preserve"> </w:t>
      </w:r>
      <w:r w:rsidR="00DE2211" w:rsidRPr="00181755">
        <w:rPr>
          <w:rFonts w:asciiTheme="minorHAnsi" w:hAnsiTheme="minorHAnsi"/>
        </w:rPr>
        <w:t>ki értékvesztés-többlet a hosszútávú átlagos default-rátából számított PD és a downturn LGD szorzataként ad</w:t>
      </w:r>
      <w:r w:rsidRPr="00181755">
        <w:rPr>
          <w:rFonts w:asciiTheme="minorHAnsi" w:hAnsiTheme="minorHAnsi"/>
        </w:rPr>
        <w:t>ódó várható veszteséghez képest.</w:t>
      </w:r>
      <w:r w:rsidR="00DE2211" w:rsidRPr="00181755">
        <w:rPr>
          <w:rFonts w:asciiTheme="minorHAnsi" w:hAnsiTheme="minorHAnsi"/>
        </w:rPr>
        <w:t xml:space="preserve"> </w:t>
      </w:r>
      <w:r w:rsidRPr="00181755">
        <w:rPr>
          <w:rFonts w:asciiTheme="minorHAnsi" w:hAnsiTheme="minorHAnsi"/>
        </w:rPr>
        <w:t>Ekkor</w:t>
      </w:r>
      <w:r w:rsidR="00DE2211" w:rsidRPr="00181755">
        <w:rPr>
          <w:rFonts w:asciiTheme="minorHAnsi" w:hAnsiTheme="minorHAnsi"/>
        </w:rPr>
        <w:t xml:space="preserve">, megbízható PD- és LGD-becslés esetén az MNB elfogadja, hogy a megképzett értékvesztés a várható veszteségen felül a nem várt veszteségek egy részére is fedezetet nyújt. </w:t>
      </w:r>
    </w:p>
    <w:p w14:paraId="66B1541E" w14:textId="77777777" w:rsidR="003F29E3" w:rsidRPr="00181755" w:rsidRDefault="003F29E3" w:rsidP="00181755">
      <w:pPr>
        <w:pStyle w:val="Cmsor4"/>
        <w:rPr>
          <w:rFonts w:asciiTheme="minorHAnsi" w:hAnsiTheme="minorHAnsi"/>
        </w:rPr>
      </w:pPr>
      <w:bookmarkStart w:id="709" w:name="_Részesedések_és_ingatlanbefektetése"/>
      <w:bookmarkStart w:id="710" w:name="_Toc378592170"/>
      <w:bookmarkStart w:id="711" w:name="_Toc461095210"/>
      <w:bookmarkStart w:id="712" w:name="_Toc461179866"/>
      <w:bookmarkStart w:id="713" w:name="_Toc461201309"/>
      <w:bookmarkStart w:id="714" w:name="_Toc461547952"/>
      <w:bookmarkStart w:id="715" w:name="_Toc462401990"/>
      <w:bookmarkStart w:id="716" w:name="_Toc462403111"/>
      <w:bookmarkStart w:id="717" w:name="_Toc462403435"/>
      <w:bookmarkStart w:id="718" w:name="_Toc468180554"/>
      <w:bookmarkStart w:id="719" w:name="_Toc468181063"/>
      <w:bookmarkStart w:id="720" w:name="_Toc468191449"/>
      <w:bookmarkEnd w:id="709"/>
      <w:r w:rsidRPr="00181755">
        <w:rPr>
          <w:rFonts w:asciiTheme="minorHAnsi" w:hAnsiTheme="minorHAnsi"/>
        </w:rPr>
        <w:t xml:space="preserve">Részesedések </w:t>
      </w:r>
      <w:bookmarkEnd w:id="710"/>
      <w:r w:rsidRPr="00181755">
        <w:rPr>
          <w:rFonts w:asciiTheme="minorHAnsi" w:hAnsiTheme="minorHAnsi"/>
        </w:rPr>
        <w:t>(Részvényjellegű kitettségek)</w:t>
      </w:r>
      <w:bookmarkEnd w:id="711"/>
      <w:bookmarkEnd w:id="712"/>
      <w:bookmarkEnd w:id="713"/>
      <w:bookmarkEnd w:id="714"/>
      <w:bookmarkEnd w:id="715"/>
      <w:bookmarkEnd w:id="716"/>
      <w:bookmarkEnd w:id="717"/>
      <w:bookmarkEnd w:id="718"/>
      <w:bookmarkEnd w:id="719"/>
      <w:bookmarkEnd w:id="720"/>
    </w:p>
    <w:p w14:paraId="66B1541F" w14:textId="7B970385" w:rsidR="003F29E3" w:rsidRPr="00181755" w:rsidRDefault="003F29E3" w:rsidP="00181755">
      <w:pPr>
        <w:rPr>
          <w:rFonts w:asciiTheme="minorHAnsi" w:hAnsiTheme="minorHAnsi"/>
        </w:rPr>
      </w:pPr>
      <w:r w:rsidRPr="00181755">
        <w:rPr>
          <w:rFonts w:asciiTheme="minorHAnsi" w:hAnsiTheme="minorHAnsi"/>
        </w:rPr>
        <w:t xml:space="preserve">A </w:t>
      </w:r>
      <w:r w:rsidR="002A78A3" w:rsidRPr="00181755">
        <w:rPr>
          <w:rFonts w:asciiTheme="minorHAnsi" w:hAnsiTheme="minorHAnsi"/>
        </w:rPr>
        <w:t>kockázatok</w:t>
      </w:r>
      <w:r w:rsidRPr="00181755">
        <w:rPr>
          <w:rFonts w:asciiTheme="minorHAnsi" w:hAnsiTheme="minorHAnsi"/>
        </w:rPr>
        <w:t xml:space="preserve"> teljes</w:t>
      </w:r>
      <w:r w:rsidR="002A78A3" w:rsidRPr="00181755">
        <w:rPr>
          <w:rFonts w:asciiTheme="minorHAnsi" w:hAnsiTheme="minorHAnsi"/>
        </w:rPr>
        <w:t>körű</w:t>
      </w:r>
      <w:r w:rsidRPr="00181755">
        <w:rPr>
          <w:rFonts w:asciiTheme="minorHAnsi" w:hAnsiTheme="minorHAnsi"/>
        </w:rPr>
        <w:t xml:space="preserve"> számbavétele megköveteli a részesedések kockázatának felmérését is. </w:t>
      </w:r>
      <w:r w:rsidR="00E776ED" w:rsidRPr="00181755">
        <w:rPr>
          <w:rFonts w:asciiTheme="minorHAnsi" w:hAnsiTheme="minorHAnsi"/>
        </w:rPr>
        <w:t xml:space="preserve">Ennek keretében meg kell vizsgálni az összevont felügyelet alá bevont és </w:t>
      </w:r>
      <w:r w:rsidR="002A78A3" w:rsidRPr="00181755">
        <w:rPr>
          <w:rFonts w:asciiTheme="minorHAnsi" w:hAnsiTheme="minorHAnsi"/>
        </w:rPr>
        <w:t xml:space="preserve">a </w:t>
      </w:r>
      <w:r w:rsidR="00E776ED" w:rsidRPr="00181755">
        <w:rPr>
          <w:rFonts w:asciiTheme="minorHAnsi" w:hAnsiTheme="minorHAnsi"/>
        </w:rPr>
        <w:t>be nem vont részesedéseket. Az összevont felügyeleti körbe bevont intézményekben lévő részesedéseket az intézményeknek be kell sorolnia a</w:t>
      </w:r>
      <w:r w:rsidR="002A78A3" w:rsidRPr="00181755">
        <w:rPr>
          <w:rFonts w:asciiTheme="minorHAnsi" w:hAnsiTheme="minorHAnsi"/>
        </w:rPr>
        <w:t>z alkalmazott módszertannak</w:t>
      </w:r>
      <w:r w:rsidR="00E776ED" w:rsidRPr="00181755">
        <w:rPr>
          <w:rFonts w:asciiTheme="minorHAnsi" w:hAnsiTheme="minorHAnsi"/>
        </w:rPr>
        <w:t xml:space="preserve"> megfelelő kitett</w:t>
      </w:r>
      <w:r w:rsidR="000B53CC" w:rsidRPr="00181755">
        <w:rPr>
          <w:rFonts w:asciiTheme="minorHAnsi" w:hAnsiTheme="minorHAnsi"/>
        </w:rPr>
        <w:t>ségi kategóriába, amely alapján</w:t>
      </w:r>
      <w:r w:rsidRPr="00181755">
        <w:rPr>
          <w:rFonts w:asciiTheme="minorHAnsi" w:hAnsiTheme="minorHAnsi"/>
        </w:rPr>
        <w:t xml:space="preserve"> az adott részesedés természetének megfelelő kockázati mértéket kell alkalmazni</w:t>
      </w:r>
      <w:r w:rsidR="002A78A3" w:rsidRPr="00181755">
        <w:rPr>
          <w:rFonts w:asciiTheme="minorHAnsi" w:hAnsiTheme="minorHAnsi"/>
        </w:rPr>
        <w:t>a</w:t>
      </w:r>
      <w:r w:rsidRPr="00181755">
        <w:rPr>
          <w:rFonts w:asciiTheme="minorHAnsi" w:hAnsiTheme="minorHAnsi"/>
        </w:rPr>
        <w:t xml:space="preserve">. </w:t>
      </w:r>
    </w:p>
    <w:p w14:paraId="3063A83F" w14:textId="77D99701" w:rsidR="003F29E3" w:rsidRPr="00181755" w:rsidRDefault="003F29E3" w:rsidP="00181755">
      <w:pPr>
        <w:rPr>
          <w:rFonts w:asciiTheme="minorHAnsi" w:hAnsiTheme="minorHAnsi"/>
        </w:rPr>
      </w:pPr>
      <w:r w:rsidRPr="00181755">
        <w:rPr>
          <w:rFonts w:asciiTheme="minorHAnsi" w:hAnsiTheme="minorHAnsi"/>
        </w:rPr>
        <w:t xml:space="preserve">A részesedésekre (részvényjellegű kitettségekre) vonatkozó belső kockázatmérési módszerek alkalmazása esetén továbbá nem lehet figyelmen kívül hagyni a CRR (155. cikk) vonatkozó rendelkezéseit. Különösen az egyszerű súlyozási módszer kapcsán az MNB fontosnak </w:t>
      </w:r>
      <w:r w:rsidR="00D36CD1" w:rsidRPr="00181755">
        <w:rPr>
          <w:rFonts w:asciiTheme="minorHAnsi" w:hAnsiTheme="minorHAnsi"/>
        </w:rPr>
        <w:t>tartja</w:t>
      </w:r>
      <w:r w:rsidRPr="00181755">
        <w:rPr>
          <w:rFonts w:asciiTheme="minorHAnsi" w:hAnsiTheme="minorHAnsi"/>
        </w:rPr>
        <w:t xml:space="preserve"> megjegyezni az alábbiakat: </w:t>
      </w:r>
    </w:p>
    <w:p w14:paraId="66B15422" w14:textId="77777777" w:rsidR="003F29E3" w:rsidRPr="00181755" w:rsidRDefault="003F29E3" w:rsidP="00181755">
      <w:pPr>
        <w:pStyle w:val="felsorolsos"/>
        <w:rPr>
          <w:rFonts w:asciiTheme="minorHAnsi" w:hAnsiTheme="minorHAnsi"/>
        </w:rPr>
      </w:pPr>
      <w:r w:rsidRPr="00181755">
        <w:rPr>
          <w:rFonts w:asciiTheme="minorHAnsi" w:hAnsiTheme="minorHAnsi"/>
        </w:rPr>
        <w:t>A tőzsdén forgalmazott részvényekre és részesedést megtestesítő értékpapírokra (befektetési jegyekre) vonatkozó, CRR-ben meghatározott kockázati súly, illetve várható veszteségérték érvényesítését csak abban az esetben fogadja el, ha a kitettség esetében a magas közkézhányad és a forgalom alátámasztja a kedvezményes súlyok alkalmazását.</w:t>
      </w:r>
    </w:p>
    <w:p w14:paraId="66B15423"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közvetlen befektetések és részesedések kockázati paramétereinek megválasztásakor a CRR 165. cikk rendelkezései tekinthetők irányadónak, melyektől való eltéréseket az intézményeknek minden esetben indokolniuk kell. </w:t>
      </w:r>
    </w:p>
    <w:p w14:paraId="66B15424" w14:textId="77777777" w:rsidR="003F29E3" w:rsidRPr="00181755" w:rsidRDefault="00E776ED" w:rsidP="00181755">
      <w:pPr>
        <w:rPr>
          <w:rFonts w:asciiTheme="minorHAnsi" w:hAnsiTheme="minorHAnsi"/>
        </w:rPr>
      </w:pPr>
      <w:r w:rsidRPr="00181755">
        <w:rPr>
          <w:rFonts w:asciiTheme="minorHAnsi" w:hAnsiTheme="minorHAnsi"/>
        </w:rPr>
        <w:t>Amennyiben az összevont felügyelet alá vont részesedések mögött jövedelemtermelő vagy értékesítendő ingatlanportfólió áll, úgy annak a kockázatát be kell vonni az ilyen portfólióelemek vagy biztosítékok esetében alkalmazott gazdasági tőkeszámításba.</w:t>
      </w:r>
    </w:p>
    <w:p w14:paraId="66B15425" w14:textId="77777777" w:rsidR="00E776ED" w:rsidRPr="00181755" w:rsidRDefault="00E776ED" w:rsidP="00181755">
      <w:pPr>
        <w:rPr>
          <w:rFonts w:asciiTheme="minorHAnsi" w:hAnsiTheme="minorHAnsi"/>
        </w:rPr>
      </w:pPr>
      <w:r w:rsidRPr="00181755">
        <w:rPr>
          <w:rFonts w:asciiTheme="minorHAnsi" w:hAnsiTheme="minorHAnsi"/>
        </w:rPr>
        <w:t xml:space="preserve">Az összevont felügyeleti körbe be nem vont intézményekben lévő részesedések esetén </w:t>
      </w:r>
      <w:r w:rsidR="002A78A3" w:rsidRPr="00181755">
        <w:rPr>
          <w:rFonts w:asciiTheme="minorHAnsi" w:hAnsiTheme="minorHAnsi"/>
        </w:rPr>
        <w:t xml:space="preserve">az intézményeknek </w:t>
      </w:r>
      <w:r w:rsidRPr="00181755">
        <w:rPr>
          <w:rFonts w:asciiTheme="minorHAnsi" w:hAnsiTheme="minorHAnsi"/>
        </w:rPr>
        <w:t xml:space="preserve">a CRR alapján </w:t>
      </w:r>
      <w:r w:rsidR="002A78A3" w:rsidRPr="00181755">
        <w:rPr>
          <w:rFonts w:asciiTheme="minorHAnsi" w:hAnsiTheme="minorHAnsi"/>
        </w:rPr>
        <w:t xml:space="preserve">vagy </w:t>
      </w:r>
      <w:r w:rsidRPr="00181755">
        <w:rPr>
          <w:rFonts w:asciiTheme="minorHAnsi" w:hAnsiTheme="minorHAnsi"/>
        </w:rPr>
        <w:t>a szavatoló</w:t>
      </w:r>
      <w:r w:rsidR="009B68AF" w:rsidRPr="00181755">
        <w:rPr>
          <w:rFonts w:asciiTheme="minorHAnsi" w:hAnsiTheme="minorHAnsi"/>
        </w:rPr>
        <w:t xml:space="preserve"> tőkében kell korrekciókat alkalmazniuk, vagy </w:t>
      </w:r>
      <w:r w:rsidR="002A78A3" w:rsidRPr="00181755">
        <w:rPr>
          <w:rFonts w:asciiTheme="minorHAnsi" w:hAnsiTheme="minorHAnsi"/>
        </w:rPr>
        <w:t>a részesedéseket</w:t>
      </w:r>
      <w:r w:rsidR="009B68AF" w:rsidRPr="00181755">
        <w:rPr>
          <w:rFonts w:asciiTheme="minorHAnsi" w:hAnsiTheme="minorHAnsi"/>
        </w:rPr>
        <w:t xml:space="preserve"> megfelelő kockázati súlyok alkalmazásával kitettségek között kell figyelembe venniük. Az intézményeknek minden esetben a CRR szabályai szerint kell eljárniuk.</w:t>
      </w:r>
      <w:r w:rsidR="009B68AF" w:rsidRPr="00181755">
        <w:rPr>
          <w:rStyle w:val="Lbjegyzet-hivatkozs"/>
          <w:rFonts w:asciiTheme="minorHAnsi" w:hAnsiTheme="minorHAnsi"/>
        </w:rPr>
        <w:footnoteReference w:id="38"/>
      </w:r>
      <w:r w:rsidR="009B68AF" w:rsidRPr="00181755">
        <w:rPr>
          <w:rFonts w:asciiTheme="minorHAnsi" w:hAnsiTheme="minorHAnsi"/>
        </w:rPr>
        <w:t xml:space="preserve"> </w:t>
      </w:r>
    </w:p>
    <w:p w14:paraId="73482BF6" w14:textId="5523B0D1" w:rsidR="005D5056" w:rsidRPr="00181755" w:rsidRDefault="005D5056" w:rsidP="00181755">
      <w:pPr>
        <w:rPr>
          <w:rFonts w:asciiTheme="minorHAnsi" w:hAnsiTheme="minorHAnsi"/>
        </w:rPr>
      </w:pPr>
      <w:bookmarkStart w:id="721" w:name="_Különleges_hitelezési_kitettségek"/>
      <w:bookmarkStart w:id="722" w:name="_Toc378592171"/>
      <w:bookmarkEnd w:id="721"/>
      <w:r w:rsidRPr="00181755">
        <w:rPr>
          <w:rFonts w:asciiTheme="minorHAnsi" w:hAnsiTheme="minorHAnsi"/>
        </w:rPr>
        <w:t>Amennyiben az intézmény rendelkezik az I. pilléres módszertantól eltérő II. pilléres értékelési módszertannal, az MNB elvárja, hogy:</w:t>
      </w:r>
    </w:p>
    <w:p w14:paraId="509EAC17" w14:textId="7182F905" w:rsidR="005D5056" w:rsidRPr="00181755" w:rsidRDefault="005D5056" w:rsidP="00181755">
      <w:pPr>
        <w:pStyle w:val="Listaszerbekezds"/>
        <w:numPr>
          <w:ilvl w:val="0"/>
          <w:numId w:val="23"/>
        </w:numPr>
        <w:rPr>
          <w:rFonts w:asciiTheme="minorHAnsi" w:hAnsiTheme="minorHAnsi"/>
        </w:rPr>
      </w:pPr>
      <w:r w:rsidRPr="00181755">
        <w:rPr>
          <w:rFonts w:asciiTheme="minorHAnsi" w:hAnsiTheme="minorHAnsi"/>
          <w:sz w:val="22"/>
          <w:lang w:val="hu-HU"/>
        </w:rPr>
        <w:t>a</w:t>
      </w:r>
      <w:r w:rsidRPr="00181755">
        <w:rPr>
          <w:rFonts w:asciiTheme="minorHAnsi" w:hAnsiTheme="minorHAnsi"/>
          <w:sz w:val="22"/>
        </w:rPr>
        <w:t xml:space="preserve"> szabályozói kategorizáláson túl a</w:t>
      </w:r>
      <w:r w:rsidR="00A8489E" w:rsidRPr="00181755">
        <w:rPr>
          <w:rFonts w:asciiTheme="minorHAnsi" w:hAnsiTheme="minorHAnsi"/>
          <w:sz w:val="22"/>
          <w:lang w:val="hu-HU"/>
        </w:rPr>
        <w:t>z intézmény</w:t>
      </w:r>
      <w:r w:rsidRPr="00181755">
        <w:rPr>
          <w:rFonts w:asciiTheme="minorHAnsi" w:hAnsiTheme="minorHAnsi"/>
          <w:sz w:val="22"/>
        </w:rPr>
        <w:t xml:space="preserve"> végezzen kockázat alapú szegmentációt, elsősorban a nem pénzügyi intézmények esetében</w:t>
      </w:r>
      <w:r w:rsidRPr="00181755">
        <w:rPr>
          <w:rFonts w:asciiTheme="minorHAnsi" w:hAnsiTheme="minorHAnsi"/>
          <w:sz w:val="22"/>
          <w:lang w:val="hu-HU"/>
        </w:rPr>
        <w:t>,</w:t>
      </w:r>
    </w:p>
    <w:p w14:paraId="217710BA" w14:textId="17E6B35A" w:rsidR="005D5056" w:rsidRPr="00181755" w:rsidRDefault="005D5056" w:rsidP="00181755">
      <w:pPr>
        <w:pStyle w:val="Listaszerbekezds"/>
        <w:numPr>
          <w:ilvl w:val="0"/>
          <w:numId w:val="23"/>
        </w:numPr>
        <w:rPr>
          <w:rFonts w:asciiTheme="minorHAnsi" w:hAnsiTheme="minorHAnsi"/>
        </w:rPr>
      </w:pPr>
      <w:r w:rsidRPr="00181755">
        <w:rPr>
          <w:rFonts w:asciiTheme="minorHAnsi" w:hAnsiTheme="minorHAnsi"/>
          <w:sz w:val="22"/>
          <w:lang w:val="hu-HU"/>
        </w:rPr>
        <w:t>különítse el az ingatlanpiaci részesedéseket,</w:t>
      </w:r>
    </w:p>
    <w:p w14:paraId="4C31E2EE" w14:textId="4FB01507" w:rsidR="005D5056" w:rsidRPr="00181755" w:rsidRDefault="005D5056" w:rsidP="00181755">
      <w:pPr>
        <w:pStyle w:val="Listaszerbekezds"/>
        <w:numPr>
          <w:ilvl w:val="0"/>
          <w:numId w:val="23"/>
        </w:numPr>
        <w:spacing w:after="240"/>
        <w:ind w:left="1423" w:hanging="357"/>
        <w:rPr>
          <w:rFonts w:asciiTheme="minorHAnsi" w:hAnsiTheme="minorHAnsi"/>
        </w:rPr>
      </w:pPr>
      <w:r w:rsidRPr="00181755">
        <w:rPr>
          <w:rFonts w:asciiTheme="minorHAnsi" w:hAnsiTheme="minorHAnsi"/>
          <w:sz w:val="22"/>
        </w:rPr>
        <w:t>megfelelő</w:t>
      </w:r>
      <w:r w:rsidRPr="00181755">
        <w:rPr>
          <w:rFonts w:asciiTheme="minorHAnsi" w:hAnsiTheme="minorHAnsi"/>
          <w:sz w:val="22"/>
          <w:lang w:val="hu-HU"/>
        </w:rPr>
        <w:t xml:space="preserve"> és prudens</w:t>
      </w:r>
      <w:r w:rsidRPr="00181755">
        <w:rPr>
          <w:rFonts w:asciiTheme="minorHAnsi" w:hAnsiTheme="minorHAnsi"/>
          <w:sz w:val="22"/>
        </w:rPr>
        <w:t xml:space="preserve"> módon kezelje a felmerülő kockázatokat</w:t>
      </w:r>
      <w:r w:rsidRPr="00181755">
        <w:rPr>
          <w:rFonts w:asciiTheme="minorHAnsi" w:hAnsiTheme="minorHAnsi"/>
          <w:sz w:val="22"/>
          <w:lang w:val="hu-HU"/>
        </w:rPr>
        <w:t>, illetve számszerűsítse a tőkekövetelmény mértékét.</w:t>
      </w:r>
    </w:p>
    <w:p w14:paraId="66B15426" w14:textId="77777777" w:rsidR="003F29E3" w:rsidRPr="00181755" w:rsidRDefault="00A050B8" w:rsidP="00181755">
      <w:pPr>
        <w:pStyle w:val="Cmsor4"/>
        <w:rPr>
          <w:rFonts w:asciiTheme="minorHAnsi" w:hAnsiTheme="minorHAnsi"/>
        </w:rPr>
      </w:pPr>
      <w:bookmarkStart w:id="723" w:name="_Toc461095211"/>
      <w:bookmarkStart w:id="724" w:name="_Toc461179867"/>
      <w:bookmarkStart w:id="725" w:name="_Toc461201310"/>
      <w:bookmarkStart w:id="726" w:name="_Toc461547953"/>
      <w:bookmarkStart w:id="727" w:name="_Toc462401991"/>
      <w:bookmarkStart w:id="728" w:name="_Toc462403112"/>
      <w:bookmarkStart w:id="729" w:name="_Toc462403436"/>
      <w:bookmarkStart w:id="730" w:name="_Toc468180555"/>
      <w:bookmarkStart w:id="731" w:name="_Toc468181064"/>
      <w:bookmarkStart w:id="732" w:name="_Toc468191450"/>
      <w:r w:rsidRPr="00181755">
        <w:rPr>
          <w:rFonts w:asciiTheme="minorHAnsi" w:hAnsiTheme="minorHAnsi"/>
          <w:lang w:val="hu-HU"/>
        </w:rPr>
        <w:t>Speciális</w:t>
      </w:r>
      <w:r w:rsidR="003F29E3" w:rsidRPr="00181755">
        <w:rPr>
          <w:rFonts w:asciiTheme="minorHAnsi" w:hAnsiTheme="minorHAnsi"/>
        </w:rPr>
        <w:t xml:space="preserve"> hitelezési kitettségek</w:t>
      </w:r>
      <w:bookmarkEnd w:id="722"/>
      <w:bookmarkEnd w:id="723"/>
      <w:bookmarkEnd w:id="724"/>
      <w:bookmarkEnd w:id="725"/>
      <w:bookmarkEnd w:id="726"/>
      <w:bookmarkEnd w:id="727"/>
      <w:bookmarkEnd w:id="728"/>
      <w:bookmarkEnd w:id="729"/>
      <w:bookmarkEnd w:id="730"/>
      <w:bookmarkEnd w:id="731"/>
      <w:bookmarkEnd w:id="732"/>
      <w:r w:rsidR="003F29E3" w:rsidRPr="00181755">
        <w:rPr>
          <w:rFonts w:asciiTheme="minorHAnsi" w:hAnsiTheme="minorHAnsi"/>
        </w:rPr>
        <w:t xml:space="preserve"> </w:t>
      </w:r>
    </w:p>
    <w:p w14:paraId="66B15427" w14:textId="0F0567F2" w:rsidR="003F29E3" w:rsidRPr="00181755" w:rsidRDefault="003F29E3" w:rsidP="00181755">
      <w:pPr>
        <w:rPr>
          <w:rFonts w:asciiTheme="minorHAnsi" w:hAnsiTheme="minorHAnsi"/>
        </w:rPr>
      </w:pPr>
      <w:r w:rsidRPr="00181755">
        <w:rPr>
          <w:rFonts w:asciiTheme="minorHAnsi" w:hAnsiTheme="minorHAnsi"/>
        </w:rPr>
        <w:t xml:space="preserve">A </w:t>
      </w:r>
      <w:r w:rsidR="00B55C72" w:rsidRPr="00181755">
        <w:rPr>
          <w:rFonts w:asciiTheme="minorHAnsi" w:hAnsiTheme="minorHAnsi"/>
        </w:rPr>
        <w:t>magyar bankrendszer a legnagyobb veszteségeit</w:t>
      </w:r>
      <w:r w:rsidRPr="00181755">
        <w:rPr>
          <w:rFonts w:asciiTheme="minorHAnsi" w:hAnsiTheme="minorHAnsi"/>
        </w:rPr>
        <w:t xml:space="preserve"> </w:t>
      </w:r>
      <w:r w:rsidR="00A050B8" w:rsidRPr="00181755">
        <w:rPr>
          <w:rFonts w:asciiTheme="minorHAnsi" w:hAnsiTheme="minorHAnsi"/>
        </w:rPr>
        <w:t>speciális</w:t>
      </w:r>
      <w:r w:rsidRPr="00181755">
        <w:rPr>
          <w:rFonts w:asciiTheme="minorHAnsi" w:hAnsiTheme="minorHAnsi"/>
        </w:rPr>
        <w:t xml:space="preserve"> hitelezési kitettségek (SL)</w:t>
      </w:r>
      <w:r w:rsidR="00B55C72" w:rsidRPr="00181755">
        <w:rPr>
          <w:rFonts w:asciiTheme="minorHAnsi" w:hAnsiTheme="minorHAnsi"/>
        </w:rPr>
        <w:t>, azon belül is a kereskedelmi ingatlanfinanszírozási projektek</w:t>
      </w:r>
      <w:r w:rsidRPr="00181755">
        <w:rPr>
          <w:rFonts w:asciiTheme="minorHAnsi" w:hAnsiTheme="minorHAnsi"/>
        </w:rPr>
        <w:t xml:space="preserve"> esetében </w:t>
      </w:r>
      <w:r w:rsidR="00B55C72" w:rsidRPr="00181755">
        <w:rPr>
          <w:rFonts w:asciiTheme="minorHAnsi" w:hAnsiTheme="minorHAnsi"/>
        </w:rPr>
        <w:t>szenvedte el. Ennek oka e portfóliók koncentrációjának kontrollálatlan felépülésében, és a gazdasági ciklusra mutatott érzékenységében keresendők. A projekt portfóliók</w:t>
      </w:r>
      <w:r w:rsidRPr="00181755">
        <w:rPr>
          <w:rFonts w:asciiTheme="minorHAnsi" w:hAnsiTheme="minorHAnsi"/>
        </w:rPr>
        <w:t xml:space="preserve"> sajátosságaira tekintettel az MNB különös gondosságot és tájékozottságot vár el az intézményektől</w:t>
      </w:r>
      <w:r w:rsidR="00B55C72" w:rsidRPr="00181755">
        <w:rPr>
          <w:rFonts w:asciiTheme="minorHAnsi" w:hAnsiTheme="minorHAnsi"/>
        </w:rPr>
        <w:t xml:space="preserve"> a kockázatkezelés és </w:t>
      </w:r>
      <w:r w:rsidR="00543F79" w:rsidRPr="00181755">
        <w:rPr>
          <w:rFonts w:asciiTheme="minorHAnsi" w:hAnsiTheme="minorHAnsi"/>
        </w:rPr>
        <w:t>-</w:t>
      </w:r>
      <w:r w:rsidR="00B55C72" w:rsidRPr="00181755">
        <w:rPr>
          <w:rFonts w:asciiTheme="minorHAnsi" w:hAnsiTheme="minorHAnsi"/>
        </w:rPr>
        <w:t xml:space="preserve">mérés különböző területein. </w:t>
      </w:r>
      <w:r w:rsidR="00543F79" w:rsidRPr="00181755">
        <w:rPr>
          <w:rFonts w:asciiTheme="minorHAnsi" w:hAnsiTheme="minorHAnsi"/>
        </w:rPr>
        <w:t>Ennek megfelelően</w:t>
      </w:r>
      <w:r w:rsidRPr="00181755">
        <w:rPr>
          <w:rFonts w:asciiTheme="minorHAnsi" w:hAnsiTheme="minorHAnsi"/>
        </w:rPr>
        <w:t xml:space="preserve"> az intézményeknek</w:t>
      </w:r>
    </w:p>
    <w:p w14:paraId="27C15B0F" w14:textId="6AB4E4C9" w:rsidR="00B55C72" w:rsidRPr="00181755" w:rsidRDefault="003F29E3" w:rsidP="00181755">
      <w:pPr>
        <w:pStyle w:val="felsorolsos"/>
        <w:rPr>
          <w:rFonts w:asciiTheme="minorHAnsi" w:hAnsiTheme="minorHAnsi"/>
        </w:rPr>
      </w:pPr>
      <w:r w:rsidRPr="00181755">
        <w:rPr>
          <w:rFonts w:asciiTheme="minorHAnsi" w:hAnsiTheme="minorHAnsi"/>
        </w:rPr>
        <w:t>a szegmentációs elveket</w:t>
      </w:r>
      <w:r w:rsidRPr="00181755">
        <w:rPr>
          <w:rFonts w:asciiTheme="minorHAnsi" w:hAnsiTheme="minorHAnsi"/>
          <w:lang w:val="hu-HU"/>
        </w:rPr>
        <w:t xml:space="preserve"> </w:t>
      </w:r>
      <w:r w:rsidR="008408EC" w:rsidRPr="00181755">
        <w:rPr>
          <w:rFonts w:asciiTheme="minorHAnsi" w:hAnsiTheme="minorHAnsi"/>
          <w:lang w:val="hu-HU"/>
        </w:rPr>
        <w:t>és a default definíciót</w:t>
      </w:r>
      <w:r w:rsidRPr="00181755">
        <w:rPr>
          <w:rFonts w:asciiTheme="minorHAnsi" w:hAnsiTheme="minorHAnsi"/>
        </w:rPr>
        <w:t xml:space="preserve"> átgondoltan kell kialakítaniuk és következetesen alkalmazniuk</w:t>
      </w:r>
      <w:r w:rsidR="00543F79" w:rsidRPr="00181755">
        <w:rPr>
          <w:rFonts w:asciiTheme="minorHAnsi" w:hAnsiTheme="minorHAnsi"/>
          <w:lang w:val="hu-HU"/>
        </w:rPr>
        <w:t>,</w:t>
      </w:r>
    </w:p>
    <w:p w14:paraId="66B15429" w14:textId="50306954" w:rsidR="003F29E3" w:rsidRPr="00181755" w:rsidRDefault="00B55C72" w:rsidP="00181755">
      <w:pPr>
        <w:pStyle w:val="felsorolsos"/>
        <w:rPr>
          <w:rFonts w:asciiTheme="minorHAnsi" w:hAnsiTheme="minorHAnsi"/>
        </w:rPr>
      </w:pPr>
      <w:r w:rsidRPr="00181755">
        <w:rPr>
          <w:rFonts w:asciiTheme="minorHAnsi" w:hAnsiTheme="minorHAnsi"/>
          <w:lang w:val="hu-HU"/>
        </w:rPr>
        <w:t xml:space="preserve">olyan </w:t>
      </w:r>
      <w:r w:rsidR="00EF34A7" w:rsidRPr="00181755">
        <w:rPr>
          <w:rFonts w:asciiTheme="minorHAnsi" w:hAnsiTheme="minorHAnsi"/>
          <w:lang w:val="hu-HU"/>
        </w:rPr>
        <w:t>projektértékelést</w:t>
      </w:r>
      <w:r w:rsidR="001F5722" w:rsidRPr="00181755">
        <w:rPr>
          <w:rFonts w:asciiTheme="minorHAnsi" w:hAnsiTheme="minorHAnsi"/>
          <w:lang w:val="hu-HU"/>
        </w:rPr>
        <w:t xml:space="preserve"> és </w:t>
      </w:r>
      <w:r w:rsidRPr="00181755">
        <w:rPr>
          <w:rFonts w:asciiTheme="minorHAnsi" w:hAnsiTheme="minorHAnsi"/>
          <w:lang w:val="hu-HU"/>
        </w:rPr>
        <w:t>minősítő rendszer</w:t>
      </w:r>
      <w:r w:rsidR="007759D3" w:rsidRPr="00181755">
        <w:rPr>
          <w:rFonts w:asciiTheme="minorHAnsi" w:hAnsiTheme="minorHAnsi"/>
          <w:lang w:val="hu-HU"/>
        </w:rPr>
        <w:t>t</w:t>
      </w:r>
      <w:r w:rsidRPr="00181755">
        <w:rPr>
          <w:rFonts w:asciiTheme="minorHAnsi" w:hAnsiTheme="minorHAnsi"/>
          <w:lang w:val="hu-HU"/>
        </w:rPr>
        <w:t xml:space="preserve"> kell kialakítaniuk, mely figyelembe veszi az </w:t>
      </w:r>
      <w:r w:rsidR="0050430D" w:rsidRPr="00181755">
        <w:rPr>
          <w:rFonts w:asciiTheme="minorHAnsi" w:hAnsiTheme="minorHAnsi"/>
          <w:lang w:val="hu-HU"/>
        </w:rPr>
        <w:t xml:space="preserve">ilyen kitettségek speciális sajátosságait és kockázati jellemzőit, </w:t>
      </w:r>
      <w:r w:rsidR="001F5722" w:rsidRPr="00181755">
        <w:rPr>
          <w:rFonts w:asciiTheme="minorHAnsi" w:hAnsiTheme="minorHAnsi"/>
          <w:lang w:val="hu-HU"/>
        </w:rPr>
        <w:t>elsősorban a projekt jövedelemtermelő képességét jellemző pénzügyi erőt</w:t>
      </w:r>
      <w:r w:rsidR="00554995" w:rsidRPr="00181755">
        <w:rPr>
          <w:rFonts w:asciiTheme="minorHAnsi" w:hAnsiTheme="minorHAnsi"/>
          <w:lang w:val="hu-HU"/>
        </w:rPr>
        <w:t xml:space="preserve">, </w:t>
      </w:r>
      <w:r w:rsidR="001F5722" w:rsidRPr="00181755">
        <w:rPr>
          <w:rFonts w:asciiTheme="minorHAnsi" w:hAnsiTheme="minorHAnsi"/>
          <w:lang w:val="hu-HU"/>
        </w:rPr>
        <w:t xml:space="preserve">az </w:t>
      </w:r>
      <w:r w:rsidR="00554995" w:rsidRPr="00181755">
        <w:rPr>
          <w:rFonts w:asciiTheme="minorHAnsi" w:hAnsiTheme="minorHAnsi"/>
          <w:lang w:val="hu-HU"/>
        </w:rPr>
        <w:t>LTV-t, DSCR-t</w:t>
      </w:r>
      <w:r w:rsidR="00221776" w:rsidRPr="00181755">
        <w:rPr>
          <w:rFonts w:asciiTheme="minorHAnsi" w:hAnsiTheme="minorHAnsi"/>
          <w:lang w:val="hu-HU"/>
        </w:rPr>
        <w:t>,</w:t>
      </w:r>
      <w:r w:rsidR="00554995" w:rsidRPr="00181755">
        <w:rPr>
          <w:rFonts w:asciiTheme="minorHAnsi" w:hAnsiTheme="minorHAnsi"/>
          <w:lang w:val="hu-HU"/>
        </w:rPr>
        <w:t xml:space="preserve"> és azok stressztűrő képességét, </w:t>
      </w:r>
      <w:r w:rsidR="001F5722" w:rsidRPr="00181755">
        <w:rPr>
          <w:rFonts w:asciiTheme="minorHAnsi" w:hAnsiTheme="minorHAnsi"/>
          <w:lang w:val="hu-HU"/>
        </w:rPr>
        <w:t xml:space="preserve">továbbá az eszköz egyéb jellemzőit, a </w:t>
      </w:r>
      <w:r w:rsidR="00554995" w:rsidRPr="00181755">
        <w:rPr>
          <w:rFonts w:asciiTheme="minorHAnsi" w:hAnsiTheme="minorHAnsi"/>
          <w:lang w:val="hu-HU"/>
        </w:rPr>
        <w:t>politikai, jogi környezetet, szponzor erejét, PPP megállapodásból származó bevételeket, egyéb fedezeteket</w:t>
      </w:r>
      <w:r w:rsidR="003F29E3" w:rsidRPr="00181755">
        <w:rPr>
          <w:rFonts w:asciiTheme="minorHAnsi" w:hAnsiTheme="minorHAnsi"/>
        </w:rPr>
        <w:t>,</w:t>
      </w:r>
    </w:p>
    <w:p w14:paraId="435787CB" w14:textId="6C4592A8" w:rsidR="00C37BCF" w:rsidRPr="00181755" w:rsidRDefault="003F29E3" w:rsidP="00181755">
      <w:pPr>
        <w:pStyle w:val="felsorolsos"/>
        <w:rPr>
          <w:rFonts w:asciiTheme="minorHAnsi" w:hAnsiTheme="minorHAnsi"/>
        </w:rPr>
      </w:pPr>
      <w:r w:rsidRPr="00181755">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181755">
        <w:rPr>
          <w:rFonts w:asciiTheme="minorHAnsi" w:hAnsiTheme="minorHAnsi"/>
          <w:lang w:val="hu-HU"/>
        </w:rPr>
        <w:t>, valamint az ügyfél kockázata és az eszköz (ingatlan) értéke közötti szoros korrelációt, azaz a PD és LGD együttmozgását is kezelniük kell</w:t>
      </w:r>
      <w:r w:rsidR="00C37BCF" w:rsidRPr="00181755">
        <w:rPr>
          <w:rFonts w:asciiTheme="minorHAnsi" w:hAnsiTheme="minorHAnsi"/>
          <w:lang w:val="hu-HU"/>
        </w:rPr>
        <w:t>,</w:t>
      </w:r>
    </w:p>
    <w:p w14:paraId="66B1542A" w14:textId="44181A63" w:rsidR="003F29E3" w:rsidRPr="00181755" w:rsidRDefault="00E1383E" w:rsidP="00181755">
      <w:pPr>
        <w:pStyle w:val="felsorolsos"/>
        <w:rPr>
          <w:rFonts w:asciiTheme="minorHAnsi" w:hAnsiTheme="minorHAnsi"/>
        </w:rPr>
      </w:pPr>
      <w:r w:rsidRPr="00181755">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26EBB9C7" w14:textId="39BEDA66" w:rsidR="00F822ED" w:rsidRPr="00181755" w:rsidRDefault="003F29E3" w:rsidP="00181755">
      <w:pPr>
        <w:rPr>
          <w:rFonts w:asciiTheme="minorHAnsi" w:hAnsiTheme="minorHAnsi"/>
        </w:rPr>
      </w:pPr>
      <w:r w:rsidRPr="00181755">
        <w:rPr>
          <w:rFonts w:asciiTheme="minorHAnsi" w:hAnsiTheme="minorHAnsi"/>
        </w:rPr>
        <w:t>Az MNB elvárja az intézményektől az ingatlanfinanszírozási portfólió esetében is a 2. pillér alatti egységes, a vállalatoktól elkülönített kezelését mind a szegmentáció, a rating, a paraméterbecslés, a tőkeszámítás és mind a riportolás tekintetében</w:t>
      </w:r>
      <w:r w:rsidRPr="00181755">
        <w:rPr>
          <w:rStyle w:val="Lbjegyzet-hivatkozs"/>
          <w:rFonts w:asciiTheme="minorHAnsi" w:hAnsiTheme="minorHAnsi"/>
        </w:rPr>
        <w:footnoteReference w:id="39"/>
      </w:r>
      <w:r w:rsidRPr="00181755">
        <w:rPr>
          <w:rFonts w:asciiTheme="minorHAnsi" w:hAnsiTheme="minorHAnsi"/>
        </w:rPr>
        <w:t xml:space="preserve">. </w:t>
      </w:r>
      <w:r w:rsidR="00E1383E" w:rsidRPr="00181755">
        <w:rPr>
          <w:rFonts w:asciiTheme="minorHAnsi" w:hAnsiTheme="minorHAnsi"/>
        </w:rPr>
        <w:t xml:space="preserve">Mivel a különleges hitelezési kitettségek kockázatát elsősorban a </w:t>
      </w:r>
      <w:r w:rsidR="00C61D19" w:rsidRPr="00181755">
        <w:rPr>
          <w:rFonts w:asciiTheme="minorHAnsi" w:hAnsiTheme="minorHAnsi"/>
        </w:rPr>
        <w:t xml:space="preserve">finanszírozott projekt jövedelemtermelő képessége határozza meg, ezért a szegmentáció során az eszköz (ingatlan) által generált jövedelem és a hitel visszafizetésének forrása közötti szoros kapcsolatot kell elsődlegesnek tekinteni akkor is, ha egyébként az intézmény a finanszírozás során nem a hagyományos projektfinanszírozási struktúrákat követi. Így a projekt kockázattal hasonló módon – a vállalatoktól elkülönítetten – kell </w:t>
      </w:r>
      <w:r w:rsidR="00957D38" w:rsidRPr="00181755">
        <w:rPr>
          <w:rFonts w:asciiTheme="minorHAnsi" w:hAnsiTheme="minorHAnsi"/>
        </w:rPr>
        <w:t>értékelni</w:t>
      </w:r>
      <w:r w:rsidR="00C61D19" w:rsidRPr="00181755">
        <w:rPr>
          <w:rFonts w:asciiTheme="minorHAnsi" w:hAnsiTheme="minorHAnsi"/>
        </w:rPr>
        <w:t xml:space="preserve"> azokat az eseteket, amikor az intézmény nem cash-flow, hanem fedezet alapon finanszíroz, nem biztosítja a cash-flow feletti, a projekteknél hagyományosan meglévő kontrollt (pl. escrow számla, cash-sweep mechanizmus, jelzálogjog az eszközön), vagy a finanszírozott cég nem szigorú értelemben vett projektcég (SPV), hanem projekteket egyesítő holdingcég, (ingatlan)alap.</w:t>
      </w:r>
      <w:r w:rsidR="00C61D19" w:rsidRPr="00181755" w:rsidDel="00E1383E">
        <w:rPr>
          <w:rFonts w:asciiTheme="minorHAnsi" w:hAnsiTheme="minorHAnsi"/>
        </w:rPr>
        <w:t xml:space="preserve"> </w:t>
      </w:r>
      <w:r w:rsidR="00396543" w:rsidRPr="00181755">
        <w:rPr>
          <w:rFonts w:asciiTheme="minorHAnsi" w:hAnsiTheme="minorHAnsi"/>
        </w:rPr>
        <w:t>Problematikus lehet az eszköz által generált cash-flow és a visszafizetés</w:t>
      </w:r>
      <w:r w:rsidR="00957D38" w:rsidRPr="00181755">
        <w:rPr>
          <w:rFonts w:asciiTheme="minorHAnsi" w:hAnsiTheme="minorHAnsi"/>
        </w:rPr>
        <w:t xml:space="preserve"> közötti kapcsolat elsődlegességének eldöntése</w:t>
      </w:r>
      <w:r w:rsidR="00396543" w:rsidRPr="00181755">
        <w:rPr>
          <w:rFonts w:asciiTheme="minorHAnsi" w:hAnsiTheme="minorHAnsi"/>
        </w:rPr>
        <w:t xml:space="preserve"> </w:t>
      </w:r>
      <w:r w:rsidR="00957D38" w:rsidRPr="00181755">
        <w:rPr>
          <w:rFonts w:asciiTheme="minorHAnsi" w:hAnsiTheme="minorHAnsi"/>
        </w:rPr>
        <w:t>a vállalatcsoporton belüli bérbeadás, kezességvállalás esetén. Ilyen esetekben a kockázati transzfer csak a hitel futamidejével összhangban lévő bérleti szerződés és megfelelő erősségű kezességvállalás és csoportkapcsolatok esetén vehető figyelembe.</w:t>
      </w:r>
    </w:p>
    <w:p w14:paraId="66B1542E" w14:textId="03B4D896" w:rsidR="003F29E3" w:rsidRPr="00181755" w:rsidRDefault="00F822ED" w:rsidP="00181755">
      <w:pPr>
        <w:rPr>
          <w:rFonts w:asciiTheme="minorHAnsi" w:hAnsiTheme="minorHAnsi"/>
        </w:rPr>
      </w:pPr>
      <w:r w:rsidRPr="00181755">
        <w:rPr>
          <w:rFonts w:asciiTheme="minorHAnsi" w:hAnsiTheme="minorHAnsi"/>
        </w:rPr>
        <w:t>A jövedelmet – akár továbbértékesítéssel, akár a fejlesztés utáni hasznosítással – csak jövőben generáló telek-finanszírozási- ill. építési fázisban lévő ingatlanprojektek a kereskedelmi ingatlanfinanszírozás legkockázatosabb alszegmenseit jelentik, a vállalattól gyökeresen különböző kockázati profillal rendelkeznek, ezért ebben az esetben különösen lényeges a vállalatoktól elkülönített kezelésmód.</w:t>
      </w:r>
    </w:p>
    <w:p w14:paraId="314433EE" w14:textId="4BE59AA7" w:rsidR="00A4103A" w:rsidRPr="00181755" w:rsidRDefault="00A4103A" w:rsidP="00181755">
      <w:pPr>
        <w:rPr>
          <w:rFonts w:asciiTheme="minorHAnsi" w:hAnsiTheme="minorHAnsi"/>
        </w:rPr>
      </w:pPr>
      <w:r w:rsidRPr="00181755">
        <w:rPr>
          <w:rFonts w:asciiTheme="minorHAnsi" w:hAnsiTheme="minorHAnsi"/>
        </w:rPr>
        <w:t>A megfelelő kockázatmérés</w:t>
      </w:r>
      <w:r w:rsidR="005A3DE2" w:rsidRPr="00181755">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181755">
        <w:rPr>
          <w:rFonts w:asciiTheme="minorHAnsi" w:hAnsiTheme="minorHAnsi"/>
        </w:rPr>
        <w:t>o</w:t>
      </w:r>
      <w:r w:rsidR="005A3DE2" w:rsidRPr="00181755">
        <w:rPr>
          <w:rFonts w:asciiTheme="minorHAnsi" w:hAnsiTheme="minorHAnsi"/>
        </w:rPr>
        <w:t>n</w:t>
      </w:r>
      <w:r w:rsidR="002F35E0" w:rsidRPr="00181755">
        <w:rPr>
          <w:rFonts w:asciiTheme="minorHAnsi" w:hAnsiTheme="minorHAnsi"/>
        </w:rPr>
        <w:t>/</w:t>
      </w:r>
      <w:r w:rsidR="005A3DE2" w:rsidRPr="00181755">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E19E2A2" w:rsidR="006E70E5" w:rsidRPr="00181755" w:rsidRDefault="005A3DE2" w:rsidP="00181755">
      <w:pPr>
        <w:rPr>
          <w:rFonts w:asciiTheme="minorHAnsi" w:hAnsiTheme="minorHAnsi"/>
        </w:rPr>
      </w:pPr>
      <w:r w:rsidRPr="00181755">
        <w:rPr>
          <w:rFonts w:asciiTheme="minorHAnsi" w:hAnsiTheme="minorHAnsi"/>
        </w:rPr>
        <w:t>Megfelelő default darabszám esetén elvárt a PD/LGD- (esetleg veszteségráta-) alapú kockázatmérés és tőkekövetelmény-számítás alkalmazása a komplex SREP alá tartozó intézmények esetében.</w:t>
      </w:r>
      <w:r w:rsidR="006E70E5" w:rsidRPr="00181755">
        <w:rPr>
          <w:rFonts w:asciiTheme="minorHAnsi" w:hAnsiTheme="minorHAnsi"/>
        </w:rPr>
        <w:t xml:space="preserve"> A belső tőkeszámításhoz alkalmazott paraméterbecslés során a projektfinanszírozás speciális kockázati jellemzőiből fakadó számos probléma merült fel a felügyeleti felülvizsgálatok alatt és a tőkekövetelmény </w:t>
      </w:r>
      <w:r w:rsidR="0064349E" w:rsidRPr="00181755">
        <w:rPr>
          <w:rFonts w:asciiTheme="minorHAnsi" w:hAnsiTheme="minorHAnsi"/>
        </w:rPr>
        <w:t>meghatáro</w:t>
      </w:r>
      <w:r w:rsidR="006E70E5" w:rsidRPr="00181755">
        <w:rPr>
          <w:rFonts w:asciiTheme="minorHAnsi" w:hAnsiTheme="minorHAnsi"/>
        </w:rPr>
        <w:t>zásakor, melynek kezelésére a</w:t>
      </w:r>
      <w:r w:rsidR="000B53CC" w:rsidRPr="00181755">
        <w:rPr>
          <w:rFonts w:asciiTheme="minorHAnsi" w:hAnsiTheme="minorHAnsi"/>
        </w:rPr>
        <w:t>z</w:t>
      </w:r>
      <w:r w:rsidR="006E70E5" w:rsidRPr="00181755">
        <w:rPr>
          <w:rFonts w:asciiTheme="minorHAnsi" w:hAnsiTheme="minorHAnsi"/>
        </w:rPr>
        <w:t xml:space="preserve"> </w:t>
      </w:r>
      <w:r w:rsidR="00916901" w:rsidRPr="00181755">
        <w:rPr>
          <w:rFonts w:asciiTheme="minorHAnsi" w:hAnsiTheme="minorHAnsi"/>
        </w:rPr>
        <w:t>intézményeknek</w:t>
      </w:r>
      <w:r w:rsidR="006E70E5" w:rsidRPr="00181755">
        <w:rPr>
          <w:rFonts w:asciiTheme="minorHAnsi" w:hAnsiTheme="minorHAnsi"/>
        </w:rPr>
        <w:t xml:space="preserve"> a jövőben továbbra is kiemelt hangsúlyt kell fektetniük, az alábbiakat kiemelve:</w:t>
      </w:r>
    </w:p>
    <w:p w14:paraId="65FB8174" w14:textId="13299329" w:rsidR="006E70E5" w:rsidRPr="00181755" w:rsidRDefault="006E70E5" w:rsidP="00181755">
      <w:pPr>
        <w:pStyle w:val="felsorolsos"/>
        <w:rPr>
          <w:rFonts w:asciiTheme="minorHAnsi" w:hAnsiTheme="minorHAnsi"/>
        </w:rPr>
      </w:pPr>
      <w:r w:rsidRPr="00181755">
        <w:rPr>
          <w:rFonts w:asciiTheme="minorHAnsi" w:hAnsiTheme="minorHAnsi"/>
          <w:lang w:val="hu-HU"/>
        </w:rPr>
        <w:t>Az</w:t>
      </w:r>
      <w:r w:rsidRPr="00181755">
        <w:rPr>
          <w:rFonts w:asciiTheme="minorHAnsi" w:hAnsiTheme="minorHAnsi"/>
        </w:rPr>
        <w:t xml:space="preserve"> elemszámból fakadó becslési-statisztikai bizonytalanságok konzervatív pótlékkal történő kezelése.</w:t>
      </w:r>
    </w:p>
    <w:p w14:paraId="7CA22A82" w14:textId="7FB485D0"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PD-LGD korrelációjának a projekt hitelképességével összefüggő PD és a projektingatlan értékével </w:t>
      </w:r>
      <w:r w:rsidR="0064349E" w:rsidRPr="00181755">
        <w:rPr>
          <w:rFonts w:asciiTheme="minorHAnsi" w:hAnsiTheme="minorHAnsi"/>
          <w:lang w:val="hu-HU"/>
        </w:rPr>
        <w:t>ös</w:t>
      </w:r>
      <w:r w:rsidRPr="00181755">
        <w:rPr>
          <w:rFonts w:asciiTheme="minorHAnsi" w:hAnsiTheme="minorHAnsi"/>
          <w:lang w:val="hu-HU"/>
        </w:rPr>
        <w:t>szefüggő LGD közötti szoros korreláció kezelése.</w:t>
      </w:r>
    </w:p>
    <w:p w14:paraId="7445C897" w14:textId="6FAE6EB1" w:rsidR="006E70E5" w:rsidRPr="00181755" w:rsidRDefault="006E70E5" w:rsidP="00181755">
      <w:pPr>
        <w:pStyle w:val="felsorolsos"/>
        <w:rPr>
          <w:rFonts w:asciiTheme="minorHAnsi" w:hAnsiTheme="minorHAnsi"/>
        </w:rPr>
      </w:pPr>
      <w:r w:rsidRPr="00181755">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181755">
        <w:rPr>
          <w:rFonts w:asciiTheme="minorHAnsi" w:hAnsiTheme="minorHAnsi"/>
          <w:lang w:val="hu-HU"/>
        </w:rPr>
        <w:t>eseté</w:t>
      </w:r>
      <w:r w:rsidRPr="00181755">
        <w:rPr>
          <w:rFonts w:asciiTheme="minorHAnsi" w:hAnsiTheme="minorHAnsi"/>
          <w:lang w:val="hu-HU"/>
        </w:rPr>
        <w:t>ben.</w:t>
      </w:r>
    </w:p>
    <w:p w14:paraId="17C7FDC7" w14:textId="77777777" w:rsidR="0064349E" w:rsidRPr="00181755" w:rsidRDefault="006E70E5" w:rsidP="00181755">
      <w:pPr>
        <w:rPr>
          <w:rFonts w:asciiTheme="minorHAnsi" w:hAnsiTheme="minorHAnsi"/>
        </w:rPr>
      </w:pPr>
      <w:r w:rsidRPr="00181755">
        <w:rPr>
          <w:rFonts w:asciiTheme="minorHAnsi" w:hAnsiTheme="minorHAnsi"/>
        </w:rPr>
        <w:t xml:space="preserve">Külön figyelmet érdemel a kereskedelmi ingatlanfinanszírozás szempontjából különösen releváns ciklikusság kérdése. A projektingatlanok értéke rendkívül volatilis lehet, a különböző piaci események hatására gyakran változhat a projekt élettartama alatt. Az ügyfél kockázata és a projektingatlan értéke közötti szoros korreláció miatt az éppen magas ingatlanárakból fakadó alacsony LTV-ből nem feltétlenül következik az alacsony </w:t>
      </w:r>
      <w:r w:rsidR="00FE0E08" w:rsidRPr="00181755">
        <w:rPr>
          <w:rFonts w:asciiTheme="minorHAnsi" w:hAnsiTheme="minorHAnsi"/>
        </w:rPr>
        <w:t>veszte</w:t>
      </w:r>
      <w:r w:rsidRPr="00181755">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181755">
        <w:rPr>
          <w:rFonts w:asciiTheme="minorHAnsi" w:hAnsiTheme="minorHAnsi"/>
        </w:rPr>
        <w:t>tőkeköve</w:t>
      </w:r>
      <w:r w:rsidRPr="00181755">
        <w:rPr>
          <w:rFonts w:asciiTheme="minorHAnsi" w:hAnsiTheme="minorHAnsi"/>
        </w:rPr>
        <w:t xml:space="preserve">telmény prociklikusságát is, azaz a downturn időszakban megnő, konjunkturális időszakban lecsökken a </w:t>
      </w:r>
      <w:r w:rsidR="00FE0E08" w:rsidRPr="00181755">
        <w:rPr>
          <w:rFonts w:asciiTheme="minorHAnsi" w:hAnsiTheme="minorHAnsi"/>
        </w:rPr>
        <w:t>tőkekö</w:t>
      </w:r>
      <w:r w:rsidRPr="00181755">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egyrészt a PD-becslés során a default-ráta idősorában a konjunkturális és downturn időszakok </w:t>
      </w:r>
      <w:r w:rsidR="00FE0E08" w:rsidRPr="00181755">
        <w:rPr>
          <w:rFonts w:asciiTheme="minorHAnsi" w:hAnsiTheme="minorHAnsi"/>
        </w:rPr>
        <w:t>ará</w:t>
      </w:r>
      <w:r w:rsidRPr="00181755">
        <w:rPr>
          <w:rFonts w:asciiTheme="minorHAnsi" w:hAnsiTheme="minorHAnsi"/>
        </w:rPr>
        <w:t xml:space="preserve">nyának helyes megválasztásával, másrészt az LGD-ben a downturn-becslés, a PD-LGD korrelációjának </w:t>
      </w:r>
      <w:r w:rsidR="00FE0E08" w:rsidRPr="00181755">
        <w:rPr>
          <w:rFonts w:asciiTheme="minorHAnsi" w:hAnsiTheme="minorHAnsi"/>
        </w:rPr>
        <w:t>figyelem</w:t>
      </w:r>
      <w:r w:rsidRPr="00181755">
        <w:rPr>
          <w:rFonts w:asciiTheme="minorHAnsi" w:hAnsiTheme="minorHAnsi"/>
        </w:rPr>
        <w:t>be vételével kezelendő.</w:t>
      </w:r>
      <w:r w:rsidR="00B166E6" w:rsidRPr="00181755">
        <w:rPr>
          <w:rFonts w:asciiTheme="minorHAnsi" w:hAnsiTheme="minorHAnsi"/>
        </w:rPr>
        <w:t xml:space="preserve"> </w:t>
      </w:r>
      <w:r w:rsidR="005A3DE2" w:rsidRPr="00181755">
        <w:rPr>
          <w:rFonts w:asciiTheme="minorHAnsi" w:hAnsiTheme="minorHAnsi"/>
        </w:rPr>
        <w:t xml:space="preserve"> </w:t>
      </w:r>
    </w:p>
    <w:p w14:paraId="55000C7F" w14:textId="0EB88D74" w:rsidR="00D36CD1" w:rsidRPr="00181755" w:rsidRDefault="00D36CD1" w:rsidP="00181755">
      <w:pPr>
        <w:rPr>
          <w:rFonts w:asciiTheme="minorHAnsi" w:hAnsiTheme="minorHAnsi"/>
        </w:rPr>
      </w:pPr>
      <w:r w:rsidRPr="00181755">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181755">
        <w:rPr>
          <w:rFonts w:asciiTheme="minorHAnsi" w:hAnsiTheme="minorHAnsi"/>
        </w:rPr>
        <w:t>, azonban ebben az esetben is elvárt a kvantitatív alapú visszamérés és slotting kategóriákhoz történő kalibráció</w:t>
      </w:r>
      <w:r w:rsidRPr="00181755">
        <w:rPr>
          <w:rFonts w:asciiTheme="minorHAnsi" w:hAnsiTheme="minorHAnsi"/>
        </w:rPr>
        <w:t>.</w:t>
      </w:r>
    </w:p>
    <w:p w14:paraId="6C66965E" w14:textId="591744BA" w:rsidR="006E70E5" w:rsidRPr="00181755" w:rsidRDefault="006E70E5" w:rsidP="00181755">
      <w:pPr>
        <w:rPr>
          <w:rFonts w:asciiTheme="minorHAnsi" w:hAnsiTheme="minorHAnsi"/>
        </w:rPr>
      </w:pPr>
      <w:r w:rsidRPr="00181755">
        <w:rPr>
          <w:rFonts w:asciiTheme="minorHAnsi" w:hAnsiTheme="minorHAnsi"/>
        </w:rPr>
        <w:t>A ciklikusság problémája azonban igazán a minősítő rendszeren keresztül, a minősítési kategóriák közötti migrációkon érhető tetten. A minősítési kategóriánként mért kockázati paraméterek ugyan lehetnek ciklustól függetlenek, ha a minősítő rendszer változói erősen korrelálnak a gazdasági változókkal, akkor a gazdaság változását követő migrációk miatt a tőkekövetelmény prociklikus lesz. A kereskedelmi ingatlanprojektek minősítő rendszereiben is felhasznált kockázati jellemzők értékei erősen ciklikusak, legyen szó akár a kvantitatív (LTV, DSCR), akár a kvalitatív paraméterekről (szponzor ereje, piaci környezet). A fenti problémákra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részben megoldást. A stressztűrő képesség elsősorban a projekt cash-flow tervének stresszelésén keresztül, árfolyam-stressz, bérleti díj csökkenés vagy egyéb romló ingatlanpiaci tendenciák beépítésével vizsgálható. 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69D9A7EE" w:rsidR="0014015A" w:rsidRPr="00181755" w:rsidRDefault="0014015A" w:rsidP="00181755">
      <w:pPr>
        <w:rPr>
          <w:rFonts w:asciiTheme="minorHAnsi" w:hAnsiTheme="minorHAnsi"/>
        </w:rPr>
      </w:pPr>
      <w:r w:rsidRPr="00181755">
        <w:rPr>
          <w:rFonts w:asciiTheme="minorHAnsi" w:hAnsiTheme="minorHAnsi"/>
        </w:rPr>
        <w:t>Gyakran előforduló probléma, hogy az intézmény arra alapozza tőkeszámítási módszertanát, hogy a korábbi rossz minőségű projekt portfólió már nem reprezentatív a jelenlegi projekt portfólió szempontjából. Az MNB az újonnan folyósított projektek kedvezőbb kockázati profiljának alátámasztását csak egy, a fentebb részletezett szempontokat figyelembe vevő minősítő rendszer alkalmazásán keresztül tartja megvalósíthatónak.</w:t>
      </w:r>
    </w:p>
    <w:p w14:paraId="66B1542F" w14:textId="4F764B62" w:rsidR="003F29E3" w:rsidRPr="00181755" w:rsidRDefault="003F29E3" w:rsidP="00181755">
      <w:pPr>
        <w:rPr>
          <w:rFonts w:asciiTheme="minorHAnsi" w:hAnsiTheme="minorHAnsi"/>
        </w:rPr>
      </w:pPr>
      <w:r w:rsidRPr="00181755">
        <w:rPr>
          <w:rFonts w:asciiTheme="minorHAnsi" w:hAnsiTheme="minorHAnsi"/>
        </w:rPr>
        <w:t xml:space="preserve">Általánosan elmondható az is, hogy a nemteljesítő ingatlanfinanszírozási kitettségek esetében </w:t>
      </w:r>
      <w:r w:rsidR="00916901" w:rsidRPr="00181755">
        <w:rPr>
          <w:rFonts w:asciiTheme="minorHAnsi" w:hAnsiTheme="minorHAnsi"/>
        </w:rPr>
        <w:t>az intézmények</w:t>
      </w:r>
      <w:r w:rsidRPr="00181755">
        <w:rPr>
          <w:rFonts w:asciiTheme="minorHAnsi" w:hAnsiTheme="minorHAnsi"/>
        </w:rPr>
        <w:t xml:space="preserve"> nem jártak el körültekintően a kockázatok felmérésekor, a szükséges értékvesztést időben elnyújtva számolták el. </w:t>
      </w:r>
      <w:r w:rsidR="00916901" w:rsidRPr="00181755">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181755">
        <w:rPr>
          <w:rFonts w:asciiTheme="minorHAnsi" w:hAnsiTheme="minorHAnsi"/>
        </w:rPr>
        <w:t>Az MNB ezért</w:t>
      </w:r>
      <w:r w:rsidR="00D36CD1" w:rsidRPr="00181755">
        <w:rPr>
          <w:rFonts w:asciiTheme="minorHAnsi" w:hAnsiTheme="minorHAnsi"/>
        </w:rPr>
        <w:t xml:space="preserve"> továbbra is</w:t>
      </w:r>
      <w:r w:rsidRPr="00181755">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w:t>
      </w:r>
      <w:r w:rsidRPr="00181755">
        <w:rPr>
          <w:rFonts w:asciiTheme="minorHAnsi" w:hAnsiTheme="minorHAnsi"/>
          <w:iCs/>
        </w:rPr>
        <w:t xml:space="preserve">Az MNB e tekintetben elsősorban azt várja el az intézményektől, hogy olyan kockázatmérési modelleket alakítsanak ki, amelyekkel az intézmény a portfólió működésében – és a jövedelemtermelő ingatlanok esetében mindenekelőtt </w:t>
      </w:r>
      <w:r w:rsidR="00916901" w:rsidRPr="00181755">
        <w:rPr>
          <w:rFonts w:asciiTheme="minorHAnsi" w:hAnsiTheme="minorHAnsi"/>
          <w:iCs/>
        </w:rPr>
        <w:t>az ingatlan, ingatlanok</w:t>
      </w:r>
      <w:r w:rsidRPr="00181755">
        <w:rPr>
          <w:rFonts w:asciiTheme="minorHAnsi" w:hAnsiTheme="minorHAnsi"/>
          <w:iCs/>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181755">
        <w:rPr>
          <w:rFonts w:asciiTheme="minorHAnsi" w:hAnsiTheme="minorHAnsi"/>
          <w:iCs/>
        </w:rPr>
        <w:t xml:space="preserve"> Ennek egy lehetséges megvalósítása a projektértékelés alapjául szolgáló cash-flow stresszelése lehet.</w:t>
      </w:r>
    </w:p>
    <w:p w14:paraId="66303194" w14:textId="1B0C2A2B" w:rsidR="003F29E3" w:rsidRPr="00181755" w:rsidRDefault="00916901" w:rsidP="00181755">
      <w:pPr>
        <w:spacing w:after="240"/>
        <w:rPr>
          <w:rFonts w:asciiTheme="minorHAnsi" w:hAnsiTheme="minorHAnsi"/>
        </w:rPr>
      </w:pPr>
      <w:r w:rsidRPr="00181755">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181755">
        <w:rPr>
          <w:rFonts w:asciiTheme="minorHAnsi" w:hAnsiTheme="minorHAnsi"/>
        </w:rPr>
        <w:t>Az MNB tapasztalatai</w:t>
      </w:r>
      <w:r w:rsidRPr="00181755">
        <w:rPr>
          <w:rFonts w:asciiTheme="minorHAnsi" w:hAnsiTheme="minorHAnsi"/>
        </w:rPr>
        <w:t xml:space="preserve"> alapján elvárható, hogy </w:t>
      </w:r>
      <w:r w:rsidR="004B3145" w:rsidRPr="00181755">
        <w:rPr>
          <w:rFonts w:asciiTheme="minorHAnsi" w:hAnsiTheme="minorHAnsi"/>
        </w:rPr>
        <w:t>az intézmények</w:t>
      </w:r>
      <w:r w:rsidRPr="00181755">
        <w:rPr>
          <w:rFonts w:asciiTheme="minorHAnsi" w:hAnsiTheme="minorHAnsi"/>
        </w:rPr>
        <w:t xml:space="preserve"> a nettó kitettség legalább 12%-át elérő tőkekövetelményt képezzenek a belső tőkeszámítás során, mely kifejezi a várható körülményekkel összhangban értékelt projektek értékének „nem várt” csökkenését.</w:t>
      </w:r>
      <w:r w:rsidR="004B3145" w:rsidRPr="00181755">
        <w:rPr>
          <w:rFonts w:asciiTheme="minorHAnsi" w:hAnsiTheme="minorHAnsi"/>
        </w:rPr>
        <w:t xml:space="preserve"> </w:t>
      </w:r>
      <w:r w:rsidR="007550D9" w:rsidRPr="00181755">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p>
    <w:p w14:paraId="66B15433" w14:textId="77777777" w:rsidR="003F29E3" w:rsidRPr="00181755" w:rsidRDefault="003F29E3" w:rsidP="00181755">
      <w:pPr>
        <w:pStyle w:val="Cmsor4"/>
        <w:rPr>
          <w:rFonts w:asciiTheme="minorHAnsi" w:hAnsiTheme="minorHAnsi"/>
        </w:rPr>
      </w:pPr>
      <w:bookmarkStart w:id="733" w:name="_Mérlegen_kívüli_tételek"/>
      <w:bookmarkStart w:id="734" w:name="_Toc378592172"/>
      <w:bookmarkStart w:id="735" w:name="_Toc461095212"/>
      <w:bookmarkStart w:id="736" w:name="_Toc461179868"/>
      <w:bookmarkStart w:id="737" w:name="_Toc461201311"/>
      <w:bookmarkStart w:id="738" w:name="_Toc461547954"/>
      <w:bookmarkStart w:id="739" w:name="_Toc462401992"/>
      <w:bookmarkStart w:id="740" w:name="_Toc462403113"/>
      <w:bookmarkStart w:id="741" w:name="_Toc462403437"/>
      <w:bookmarkStart w:id="742" w:name="_Toc468180556"/>
      <w:bookmarkStart w:id="743" w:name="_Toc468181065"/>
      <w:bookmarkStart w:id="744" w:name="_Toc468191451"/>
      <w:bookmarkEnd w:id="733"/>
      <w:r w:rsidRPr="00181755">
        <w:rPr>
          <w:rFonts w:asciiTheme="minorHAnsi" w:hAnsiTheme="minorHAnsi"/>
        </w:rPr>
        <w:t>Mérlegen kívüli tételek kezelése</w:t>
      </w:r>
      <w:bookmarkEnd w:id="734"/>
      <w:bookmarkEnd w:id="735"/>
      <w:bookmarkEnd w:id="736"/>
      <w:bookmarkEnd w:id="737"/>
      <w:bookmarkEnd w:id="738"/>
      <w:bookmarkEnd w:id="739"/>
      <w:bookmarkEnd w:id="740"/>
      <w:bookmarkEnd w:id="741"/>
      <w:bookmarkEnd w:id="742"/>
      <w:bookmarkEnd w:id="743"/>
      <w:bookmarkEnd w:id="744"/>
    </w:p>
    <w:p w14:paraId="472904B5" w14:textId="26D5DE0D" w:rsidR="00EA2425" w:rsidRPr="00181755" w:rsidRDefault="003F29E3" w:rsidP="00181755">
      <w:pPr>
        <w:rPr>
          <w:rFonts w:asciiTheme="minorHAnsi" w:hAnsiTheme="minorHAnsi"/>
        </w:rPr>
      </w:pPr>
      <w:r w:rsidRPr="00181755">
        <w:rPr>
          <w:rFonts w:asciiTheme="minorHAnsi" w:hAnsiTheme="minorHAnsi"/>
        </w:rPr>
        <w:t xml:space="preserve">A hitelkitettségek teljeskörű számbavételének igénye a mérlegen kívüli tételek megfelelő kezelését is megköveteli. Az MNB </w:t>
      </w:r>
      <w:r w:rsidR="00482794" w:rsidRPr="00181755">
        <w:rPr>
          <w:rFonts w:asciiTheme="minorHAnsi" w:hAnsiTheme="minorHAnsi"/>
        </w:rPr>
        <w:t>a komplex SREP alá tartozó intézményeket</w:t>
      </w:r>
      <w:r w:rsidRPr="00181755">
        <w:rPr>
          <w:rFonts w:asciiTheme="minorHAnsi" w:hAnsiTheme="minorHAnsi"/>
        </w:rPr>
        <w:t xml:space="preserve"> ösztönöz</w:t>
      </w:r>
      <w:r w:rsidR="00482794" w:rsidRPr="00181755">
        <w:rPr>
          <w:rFonts w:asciiTheme="minorHAnsi" w:hAnsiTheme="minorHAnsi"/>
        </w:rPr>
        <w:t>i a</w:t>
      </w:r>
      <w:r w:rsidRPr="00181755">
        <w:rPr>
          <w:rFonts w:asciiTheme="minorHAnsi" w:hAnsiTheme="minorHAnsi"/>
        </w:rPr>
        <w:t xml:space="preserve"> saját </w:t>
      </w:r>
      <w:r w:rsidR="00482794" w:rsidRPr="00181755">
        <w:rPr>
          <w:rFonts w:asciiTheme="minorHAnsi" w:hAnsiTheme="minorHAnsi"/>
        </w:rPr>
        <w:t>hitelegyenértékesi tényező (CCF)</w:t>
      </w:r>
      <w:r w:rsidRPr="00181755">
        <w:rPr>
          <w:rFonts w:asciiTheme="minorHAnsi" w:hAnsiTheme="minorHAnsi"/>
        </w:rPr>
        <w:t xml:space="preserve"> </w:t>
      </w:r>
      <w:r w:rsidR="00482794" w:rsidRPr="00181755">
        <w:rPr>
          <w:rFonts w:asciiTheme="minorHAnsi" w:hAnsiTheme="minorHAnsi"/>
        </w:rPr>
        <w:t>becslésének</w:t>
      </w:r>
      <w:r w:rsidRPr="00181755">
        <w:rPr>
          <w:rFonts w:asciiTheme="minorHAnsi" w:hAnsiTheme="minorHAnsi"/>
        </w:rPr>
        <w:t xml:space="preserve"> elvégzésére</w:t>
      </w:r>
      <w:r w:rsidR="00482794" w:rsidRPr="00181755">
        <w:rPr>
          <w:rFonts w:asciiTheme="minorHAnsi" w:hAnsiTheme="minorHAnsi"/>
        </w:rPr>
        <w:t xml:space="preserve">. </w:t>
      </w:r>
      <w:r w:rsidR="00D95B73" w:rsidRPr="00181755">
        <w:rPr>
          <w:rFonts w:asciiTheme="minorHAnsi" w:hAnsiTheme="minorHAnsi"/>
        </w:rPr>
        <w:t xml:space="preserve">Kiemelendő az azonnali felmondhatóság okán 0%-os szabályozói CCF-fel rendelkező mérlegen kívüli kitettségek (általában hitelkeretek, adott garanciák), </w:t>
      </w:r>
      <w:r w:rsidR="00482794" w:rsidRPr="00181755">
        <w:rPr>
          <w:rFonts w:asciiTheme="minorHAnsi" w:hAnsiTheme="minorHAnsi"/>
        </w:rPr>
        <w:t>és az alacsony/közepes kockázatú, 20%-os CCF-fel rendelkező mérlegen kívüli tételek,</w:t>
      </w:r>
      <w:r w:rsidR="00D95B73" w:rsidRPr="00181755">
        <w:rPr>
          <w:rFonts w:asciiTheme="minorHAnsi" w:hAnsiTheme="minorHAnsi"/>
        </w:rPr>
        <w:t xml:space="preserve"> melye</w:t>
      </w:r>
      <w:r w:rsidR="00EA2425" w:rsidRPr="00181755">
        <w:rPr>
          <w:rFonts w:asciiTheme="minorHAnsi" w:hAnsiTheme="minorHAnsi"/>
        </w:rPr>
        <w:t>ke</w:t>
      </w:r>
      <w:r w:rsidR="00D95B73" w:rsidRPr="00181755">
        <w:rPr>
          <w:rFonts w:asciiTheme="minorHAnsi" w:hAnsiTheme="minorHAnsi"/>
        </w:rPr>
        <w:t>n</w:t>
      </w:r>
      <w:r w:rsidR="005C7F0A" w:rsidRPr="00181755">
        <w:rPr>
          <w:rFonts w:asciiTheme="minorHAnsi" w:hAnsiTheme="minorHAnsi"/>
        </w:rPr>
        <w:t xml:space="preserve"> –</w:t>
      </w:r>
      <w:r w:rsidR="00D95B73" w:rsidRPr="00181755">
        <w:rPr>
          <w:rFonts w:asciiTheme="minorHAnsi" w:hAnsiTheme="minorHAnsi"/>
        </w:rPr>
        <w:t xml:space="preserve"> az</w:t>
      </w:r>
      <w:r w:rsidR="005C7F0A" w:rsidRPr="00181755">
        <w:rPr>
          <w:rFonts w:asciiTheme="minorHAnsi" w:hAnsiTheme="minorHAnsi"/>
        </w:rPr>
        <w:t xml:space="preserve"> </w:t>
      </w:r>
      <w:r w:rsidR="00D95B73" w:rsidRPr="00181755">
        <w:rPr>
          <w:rFonts w:asciiTheme="minorHAnsi" w:hAnsiTheme="minorHAnsi"/>
        </w:rPr>
        <w:t>MNB tapasztalatai és az intézmények saját becslése</w:t>
      </w:r>
      <w:r w:rsidR="00AF1DEF" w:rsidRPr="00181755">
        <w:rPr>
          <w:rFonts w:asciiTheme="minorHAnsi" w:hAnsiTheme="minorHAnsi"/>
        </w:rPr>
        <w:t>i</w:t>
      </w:r>
      <w:r w:rsidR="00D95B73" w:rsidRPr="00181755">
        <w:rPr>
          <w:rFonts w:asciiTheme="minorHAnsi" w:hAnsiTheme="minorHAnsi"/>
        </w:rPr>
        <w:t xml:space="preserve"> </w:t>
      </w:r>
      <w:r w:rsidR="005C7F0A" w:rsidRPr="00181755">
        <w:rPr>
          <w:rFonts w:asciiTheme="minorHAnsi" w:hAnsiTheme="minorHAnsi"/>
        </w:rPr>
        <w:t>alapján –</w:t>
      </w:r>
      <w:r w:rsidR="00D95B73" w:rsidRPr="00181755">
        <w:rPr>
          <w:rFonts w:asciiTheme="minorHAnsi" w:hAnsiTheme="minorHAnsi"/>
        </w:rPr>
        <w:t xml:space="preserve"> </w:t>
      </w:r>
      <w:r w:rsidR="005C7F0A" w:rsidRPr="00181755">
        <w:rPr>
          <w:rFonts w:asciiTheme="minorHAnsi" w:hAnsiTheme="minorHAnsi"/>
        </w:rPr>
        <w:t xml:space="preserve">az alkalmazott CCF </w:t>
      </w:r>
      <w:r w:rsidR="00D95B73" w:rsidRPr="00181755">
        <w:rPr>
          <w:rFonts w:asciiTheme="minorHAnsi" w:hAnsiTheme="minorHAnsi"/>
        </w:rPr>
        <w:t>nem</w:t>
      </w:r>
      <w:r w:rsidR="005C7F0A" w:rsidRPr="00181755">
        <w:rPr>
          <w:rFonts w:asciiTheme="minorHAnsi" w:hAnsiTheme="minorHAnsi"/>
        </w:rPr>
        <w:t xml:space="preserve"> </w:t>
      </w:r>
      <w:r w:rsidR="00D95B73" w:rsidRPr="00181755">
        <w:rPr>
          <w:rFonts w:asciiTheme="minorHAnsi" w:hAnsiTheme="minorHAnsi"/>
        </w:rPr>
        <w:t>ragadja meg e tételek valós kockázatát, ezért</w:t>
      </w:r>
      <w:r w:rsidR="00482794" w:rsidRPr="00181755">
        <w:rPr>
          <w:rFonts w:asciiTheme="minorHAnsi" w:hAnsiTheme="minorHAnsi"/>
        </w:rPr>
        <w:t>, valamint a saját becslés kialakítására ösztönző jelleggel</w:t>
      </w:r>
      <w:r w:rsidR="00D95B73" w:rsidRPr="00181755">
        <w:rPr>
          <w:rFonts w:asciiTheme="minorHAnsi" w:hAnsiTheme="minorHAnsi"/>
        </w:rPr>
        <w:t xml:space="preserve"> ezekre magasabb</w:t>
      </w:r>
      <w:r w:rsidR="00EE6A2E" w:rsidRPr="00181755">
        <w:rPr>
          <w:rFonts w:asciiTheme="minorHAnsi" w:hAnsiTheme="minorHAnsi"/>
        </w:rPr>
        <w:t>, 50%-os</w:t>
      </w:r>
      <w:r w:rsidR="00D95B73" w:rsidRPr="00181755">
        <w:rPr>
          <w:rFonts w:asciiTheme="minorHAnsi" w:hAnsiTheme="minorHAnsi"/>
        </w:rPr>
        <w:t xml:space="preserve"> paraméterérték előírása indokolt 2. pillérben. </w:t>
      </w:r>
    </w:p>
    <w:p w14:paraId="0AB032EE" w14:textId="41B37170" w:rsidR="00EA2425" w:rsidRPr="00181755" w:rsidRDefault="000D3DAC" w:rsidP="00181755">
      <w:pPr>
        <w:rPr>
          <w:rFonts w:asciiTheme="minorHAnsi" w:hAnsiTheme="minorHAnsi"/>
        </w:rPr>
      </w:pPr>
      <w:r w:rsidRPr="00181755">
        <w:rPr>
          <w:rFonts w:asciiTheme="minorHAnsi" w:hAnsiTheme="minorHAnsi"/>
        </w:rPr>
        <w:t xml:space="preserve">Viszonylag ritkán fordulnak elő, de jellemzően nagy kockázatot jelenthetnek a projektek </w:t>
      </w:r>
      <w:r w:rsidR="00A9781D">
        <w:rPr>
          <w:rFonts w:asciiTheme="minorHAnsi" w:hAnsiTheme="minorHAnsi"/>
        </w:rPr>
        <w:t>esetében fennálló hitelkeretek.</w:t>
      </w:r>
      <w:r w:rsidRPr="00181755">
        <w:rPr>
          <w:rFonts w:asciiTheme="minorHAnsi" w:hAnsiTheme="minorHAnsi"/>
        </w:rPr>
        <w:t xml:space="preserve"> Ezek a mérlegen kívüli tételek jellemzően a projekt m</w:t>
      </w:r>
      <w:r w:rsidR="00DE7A6C" w:rsidRPr="00181755">
        <w:rPr>
          <w:rFonts w:asciiTheme="minorHAnsi" w:hAnsiTheme="minorHAnsi"/>
        </w:rPr>
        <w:t>egvalósulásának következő fázisai</w:t>
      </w:r>
      <w:r w:rsidRPr="00181755">
        <w:rPr>
          <w:rFonts w:asciiTheme="minorHAnsi" w:hAnsiTheme="minorHAnsi"/>
        </w:rPr>
        <w:t>hoz kapcsolódó hitelkeretek, esetleg pl. árfolyam- vagy kamatkockázat fedezetére szolgáló treasury keretek. Ezen keretek defaultkori lehívásának valószínűsége statisztikailag nem mérhető, azonban az MNB úgy ítéli, hogy downturn helyzetben a kihasználtság nagyon magas lehet, ezért</w:t>
      </w:r>
      <w:r w:rsidR="00B33CFB" w:rsidRPr="00181755">
        <w:rPr>
          <w:rFonts w:asciiTheme="minorHAnsi" w:hAnsiTheme="minorHAnsi"/>
        </w:rPr>
        <w:t xml:space="preserve"> a projektek mérlegen kívüli kitettségeire</w:t>
      </w:r>
      <w:r w:rsidR="000B53CC" w:rsidRPr="00181755">
        <w:rPr>
          <w:rFonts w:asciiTheme="minorHAnsi" w:hAnsiTheme="minorHAnsi"/>
        </w:rPr>
        <w:t xml:space="preserve"> –</w:t>
      </w:r>
      <w:r w:rsidR="00EE6A2E" w:rsidRPr="00181755">
        <w:rPr>
          <w:rFonts w:asciiTheme="minorHAnsi" w:hAnsiTheme="minorHAnsi"/>
        </w:rPr>
        <w:t xml:space="preserve"> attól eltérő mérték alátámasztásának hiányában –</w:t>
      </w:r>
      <w:r w:rsidRPr="00181755">
        <w:rPr>
          <w:rFonts w:asciiTheme="minorHAnsi" w:hAnsiTheme="minorHAnsi"/>
        </w:rPr>
        <w:t xml:space="preserve"> </w:t>
      </w:r>
      <w:r w:rsidR="00EE6A2E" w:rsidRPr="00181755">
        <w:rPr>
          <w:rFonts w:asciiTheme="minorHAnsi" w:hAnsiTheme="minorHAnsi"/>
        </w:rPr>
        <w:t>100</w:t>
      </w:r>
      <w:r w:rsidRPr="00181755">
        <w:rPr>
          <w:rFonts w:asciiTheme="minorHAnsi" w:hAnsiTheme="minorHAnsi"/>
        </w:rPr>
        <w:t xml:space="preserve"> százalék</w:t>
      </w:r>
      <w:r w:rsidR="00B33CFB" w:rsidRPr="00181755">
        <w:rPr>
          <w:rFonts w:asciiTheme="minorHAnsi" w:hAnsiTheme="minorHAnsi"/>
        </w:rPr>
        <w:t>os CCF beállítását tartja indokoltnak.</w:t>
      </w:r>
    </w:p>
    <w:p w14:paraId="58184598" w14:textId="1E961563" w:rsidR="00DE7A6C" w:rsidRPr="00181755" w:rsidRDefault="00DE7A6C" w:rsidP="00181755">
      <w:pPr>
        <w:rPr>
          <w:rFonts w:asciiTheme="minorHAnsi" w:hAnsiTheme="minorHAnsi"/>
        </w:rPr>
      </w:pPr>
      <w:r w:rsidRPr="00181755">
        <w:rPr>
          <w:rFonts w:asciiTheme="minorHAnsi" w:hAnsiTheme="minorHAnsi"/>
        </w:rPr>
        <w:t>Az MNB minden komplex SREP alá tartozó intézmény esetében elvárja a lakossági hitelkártya és folyószámlahitelek esetében a saját downturn CCF-becslés kidolgozását. Ennek hiányában az MNB 100%-os CCF-et alkalmaz a SREP tőkekövetelmény meghatározásakor.</w:t>
      </w:r>
    </w:p>
    <w:p w14:paraId="66B15434" w14:textId="22298333" w:rsidR="003F29E3" w:rsidRPr="00181755" w:rsidRDefault="00E25394" w:rsidP="00181755">
      <w:pPr>
        <w:rPr>
          <w:rFonts w:asciiTheme="minorHAnsi" w:hAnsiTheme="minorHAnsi"/>
        </w:rPr>
      </w:pPr>
      <w:r w:rsidRPr="00181755">
        <w:rPr>
          <w:rFonts w:asciiTheme="minorHAnsi" w:hAnsiTheme="minorHAnsi"/>
        </w:rPr>
        <w:t xml:space="preserve">AZ MNB elvárja belső módszer esetén a CCF-becsléshez kapcsolódó leggyakrabban alkalmazott becslési módszertanok (bootstrap szimuláció, döntési fák, konzervatív pótlék számítása esetén konfidencia intervallumok) közti választás szakmai alátámasztását, indoklását. </w:t>
      </w:r>
      <w:r w:rsidR="00E67E1D" w:rsidRPr="00181755">
        <w:rPr>
          <w:rFonts w:asciiTheme="minorHAnsi" w:hAnsiTheme="minorHAnsi"/>
        </w:rPr>
        <w:t>Az MNB a k</w:t>
      </w:r>
      <w:r w:rsidR="003F29E3" w:rsidRPr="00181755">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Pr="00181755">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181755">
        <w:rPr>
          <w:rFonts w:asciiTheme="minorHAnsi" w:hAnsiTheme="minorHAnsi"/>
        </w:rPr>
        <w:t>a</w:t>
      </w:r>
      <w:r w:rsidRPr="00181755">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5" w14:textId="2BF0A024" w:rsidR="003F29E3" w:rsidRPr="00181755" w:rsidRDefault="00E25394" w:rsidP="00181755">
      <w:pPr>
        <w:spacing w:after="240"/>
        <w:rPr>
          <w:rFonts w:asciiTheme="minorHAnsi" w:hAnsiTheme="minorHAnsi"/>
        </w:rPr>
      </w:pPr>
      <w:r w:rsidRPr="00181755">
        <w:rPr>
          <w:rFonts w:asciiTheme="minorHAnsi" w:hAnsiTheme="minorHAnsi"/>
        </w:rPr>
        <w:t>Az MNB tapasztalata alapján az egyes termékek hitelegyenértékesítési tényezőjének becslése során szignifikánsan pontosabb eredmény kapható, amennyiben a</w:t>
      </w:r>
      <w:r w:rsidR="00CD4CD9" w:rsidRPr="00181755">
        <w:rPr>
          <w:rFonts w:asciiTheme="minorHAnsi" w:hAnsiTheme="minorHAnsi"/>
        </w:rPr>
        <w:t>z adott</w:t>
      </w:r>
      <w:r w:rsidRPr="00181755">
        <w:rPr>
          <w:rFonts w:asciiTheme="minorHAnsi" w:hAnsiTheme="minorHAnsi"/>
        </w:rPr>
        <w:t xml:space="preserve"> </w:t>
      </w:r>
      <w:r w:rsidR="00CD4CD9" w:rsidRPr="00181755">
        <w:rPr>
          <w:rFonts w:asciiTheme="minorHAnsi" w:hAnsiTheme="minorHAnsi"/>
        </w:rPr>
        <w:t xml:space="preserve">termékszegmens esetén külön-külön történik a hitelegyenértékesítési tényező becslése a </w:t>
      </w:r>
      <w:r w:rsidR="006D6B65" w:rsidRPr="00181755">
        <w:rPr>
          <w:rFonts w:asciiTheme="minorHAnsi" w:hAnsiTheme="minorHAnsi"/>
        </w:rPr>
        <w:t>keretkihasználtság mértéke szerint kialakított alszegmenseken belül</w:t>
      </w:r>
      <w:r w:rsidR="00CD4CD9" w:rsidRPr="00181755">
        <w:rPr>
          <w:rFonts w:asciiTheme="minorHAnsi" w:hAnsiTheme="minorHAnsi"/>
        </w:rPr>
        <w:t>. Az ügyletek elválasztására a felügyelt intézmény szakértőileg vagy statisztikailag határozhat meg küszöb értéket</w:t>
      </w:r>
      <w:r w:rsidR="006D6B65" w:rsidRPr="00181755">
        <w:rPr>
          <w:rFonts w:asciiTheme="minorHAnsi" w:hAnsiTheme="minorHAnsi"/>
        </w:rPr>
        <w:t xml:space="preserve"> a keretkihasználtság szintjére vonatkozóan</w:t>
      </w:r>
      <w:r w:rsidR="00CD4CD9" w:rsidRPr="00181755">
        <w:rPr>
          <w:rFonts w:asciiTheme="minorHAnsi" w:hAnsiTheme="minorHAnsi"/>
        </w:rPr>
        <w:t xml:space="preserve">. </w:t>
      </w:r>
      <w:r w:rsidR="006D6B65" w:rsidRPr="00181755">
        <w:rPr>
          <w:rFonts w:asciiTheme="minorHAnsi" w:hAnsiTheme="minorHAnsi"/>
        </w:rPr>
        <w:t>A keretkihasználtság szerint megbontott</w:t>
      </w:r>
      <w:r w:rsidR="008C2186" w:rsidRPr="00181755">
        <w:rPr>
          <w:rFonts w:asciiTheme="minorHAnsi" w:hAnsiTheme="minorHAnsi"/>
        </w:rPr>
        <w:t xml:space="preserve"> termékszegmenseken </w:t>
      </w:r>
      <w:r w:rsidR="006D6B65" w:rsidRPr="00181755">
        <w:rPr>
          <w:rFonts w:asciiTheme="minorHAnsi" w:hAnsiTheme="minorHAnsi"/>
        </w:rPr>
        <w:t>belül</w:t>
      </w:r>
      <w:r w:rsidR="008C2186" w:rsidRPr="00181755">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181755">
        <w:rPr>
          <w:rFonts w:asciiTheme="minorHAnsi" w:hAnsiTheme="minorHAnsi"/>
          <w:b/>
        </w:rPr>
        <w:t xml:space="preserve"> </w:t>
      </w:r>
    </w:p>
    <w:p w14:paraId="66B15436" w14:textId="77777777" w:rsidR="003F29E3" w:rsidRPr="00181755" w:rsidRDefault="003F29E3" w:rsidP="00181755">
      <w:pPr>
        <w:pStyle w:val="Cmsor4"/>
        <w:rPr>
          <w:rFonts w:asciiTheme="minorHAnsi" w:hAnsiTheme="minorHAnsi"/>
        </w:rPr>
      </w:pPr>
      <w:bookmarkStart w:id="745" w:name="_Partnerkockázat"/>
      <w:bookmarkStart w:id="746" w:name="_Toc378592173"/>
      <w:bookmarkStart w:id="747" w:name="_Toc461095213"/>
      <w:bookmarkStart w:id="748" w:name="_Toc461179869"/>
      <w:bookmarkStart w:id="749" w:name="_Toc461201312"/>
      <w:bookmarkStart w:id="750" w:name="_Toc461547955"/>
      <w:bookmarkStart w:id="751" w:name="_Toc462401993"/>
      <w:bookmarkStart w:id="752" w:name="_Toc462403114"/>
      <w:bookmarkStart w:id="753" w:name="_Toc462403438"/>
      <w:bookmarkStart w:id="754" w:name="_Toc468180557"/>
      <w:bookmarkStart w:id="755" w:name="_Toc468181066"/>
      <w:bookmarkStart w:id="756" w:name="_Toc468191452"/>
      <w:bookmarkEnd w:id="745"/>
      <w:r w:rsidRPr="00181755">
        <w:rPr>
          <w:rFonts w:asciiTheme="minorHAnsi" w:hAnsiTheme="minorHAnsi"/>
        </w:rPr>
        <w:t>Partnerkockázat</w:t>
      </w:r>
      <w:bookmarkEnd w:id="746"/>
      <w:bookmarkEnd w:id="747"/>
      <w:bookmarkEnd w:id="748"/>
      <w:bookmarkEnd w:id="749"/>
      <w:bookmarkEnd w:id="750"/>
      <w:bookmarkEnd w:id="751"/>
      <w:bookmarkEnd w:id="752"/>
      <w:bookmarkEnd w:id="753"/>
      <w:bookmarkEnd w:id="754"/>
      <w:bookmarkEnd w:id="755"/>
      <w:bookmarkEnd w:id="756"/>
    </w:p>
    <w:p w14:paraId="552903DC" w14:textId="77777777" w:rsidR="00BD5A46" w:rsidRPr="00181755" w:rsidRDefault="00BD5A46" w:rsidP="00181755">
      <w:pPr>
        <w:rPr>
          <w:rFonts w:asciiTheme="minorHAnsi" w:hAnsiTheme="minorHAnsi"/>
          <w:b/>
        </w:rPr>
      </w:pPr>
      <w:r w:rsidRPr="00181755">
        <w:rPr>
          <w:rFonts w:asciiTheme="minorHAnsi" w:hAnsiTheme="minorHAnsi"/>
          <w:b/>
        </w:rPr>
        <w:t>Definíció</w:t>
      </w:r>
    </w:p>
    <w:p w14:paraId="66B15437" w14:textId="493C455E" w:rsidR="003F29E3" w:rsidRPr="00181755" w:rsidRDefault="003F29E3" w:rsidP="00181755">
      <w:pPr>
        <w:rPr>
          <w:rFonts w:asciiTheme="minorHAnsi" w:hAnsiTheme="minorHAnsi"/>
        </w:rPr>
      </w:pPr>
      <w:r w:rsidRPr="00181755">
        <w:rPr>
          <w:rFonts w:asciiTheme="minorHAnsi" w:hAnsiTheme="minorHAnsi"/>
        </w:rPr>
        <w:t>A partnerkockázat az abból származó potenciális veszteség, hogy az adott ügylet partnere nem teljesíti szerződéses kötelezettségét az ügylet lezárása (a pénzáramlások végleges elszámolása) előtt. E kockázat, a hitelkockázat egy fajtájaként jellemzően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A partnerkockázatból származó potenciális veszteség –</w:t>
      </w:r>
      <w:r w:rsidR="00CF770E" w:rsidRPr="00181755">
        <w:rPr>
          <w:rFonts w:asciiTheme="minorHAnsi" w:hAnsiTheme="minorHAnsi"/>
        </w:rPr>
        <w:t xml:space="preserve"> </w:t>
      </w:r>
      <w:r w:rsidRPr="00181755">
        <w:rPr>
          <w:rFonts w:asciiTheme="minorHAnsi" w:hAnsiTheme="minorHAnsi"/>
        </w:rPr>
        <w:t xml:space="preserve">a partner nem teljesítése mellett – az ügyletben szereplő piaci instrumentum piaci (valós) értékének negatív irányú változásában jelenik meg a követeléssel rendelkező fél számára. </w:t>
      </w:r>
    </w:p>
    <w:p w14:paraId="0B840595" w14:textId="77777777" w:rsidR="000B53CC" w:rsidRPr="00181755" w:rsidRDefault="000B53CC" w:rsidP="00181755">
      <w:pPr>
        <w:rPr>
          <w:rFonts w:asciiTheme="minorHAnsi" w:hAnsiTheme="minorHAnsi"/>
        </w:rPr>
      </w:pPr>
    </w:p>
    <w:p w14:paraId="65FDDE79" w14:textId="461AC9F2" w:rsidR="00BD5A46" w:rsidRPr="00181755" w:rsidRDefault="00BD5A46" w:rsidP="00181755">
      <w:pPr>
        <w:rPr>
          <w:rFonts w:asciiTheme="minorHAnsi" w:hAnsiTheme="minorHAnsi"/>
          <w:b/>
        </w:rPr>
      </w:pPr>
      <w:r w:rsidRPr="00181755">
        <w:rPr>
          <w:rFonts w:asciiTheme="minorHAnsi" w:hAnsiTheme="minorHAnsi"/>
          <w:b/>
        </w:rPr>
        <w:t xml:space="preserve">Kockázatértékelés és </w:t>
      </w:r>
      <w:r w:rsidR="00DA5242" w:rsidRPr="00181755">
        <w:rPr>
          <w:rFonts w:asciiTheme="minorHAnsi" w:hAnsiTheme="minorHAnsi"/>
          <w:b/>
        </w:rPr>
        <w:t>-</w:t>
      </w:r>
      <w:r w:rsidRPr="00181755">
        <w:rPr>
          <w:rFonts w:asciiTheme="minorHAnsi" w:hAnsiTheme="minorHAnsi"/>
          <w:b/>
        </w:rPr>
        <w:t>kezelés</w:t>
      </w:r>
    </w:p>
    <w:p w14:paraId="56468DF5" w14:textId="77777777" w:rsidR="00BD5A46" w:rsidRPr="00181755" w:rsidRDefault="003F29E3" w:rsidP="00181755">
      <w:pPr>
        <w:rPr>
          <w:rFonts w:asciiTheme="minorHAnsi" w:hAnsiTheme="minorHAnsi"/>
        </w:rPr>
      </w:pPr>
      <w:r w:rsidRPr="00181755">
        <w:rPr>
          <w:rFonts w:asciiTheme="minorHAnsi" w:hAnsiTheme="minorHAnsi"/>
        </w:rPr>
        <w:t xml:space="preserve">A partnerkockázatokhoz kapcsolódó tőkeszükséglet számszerűsítése során alkalmazott eljárás elemei lényegében a közvetlen hitelezési (default) kockázat lépéseivel egyeznek meg, azaz a tőkeszükséglet a – hitelezési – kockázattal súlyozott kitettség arányában kerül meghatározásra. Fő különbség a kockázati kitettség (EAD) számításában van, amelyre vonatkozóan a bázeli szabályozás (CRR) több módszer alkalmazását is lehetővé teszi. A kitettség meghatározását követően kerül sor a kockázati súlyozásra. </w:t>
      </w:r>
    </w:p>
    <w:p w14:paraId="18AFF4F8" w14:textId="3155931B" w:rsidR="00BD5A46" w:rsidRPr="00181755" w:rsidRDefault="00BD5A46" w:rsidP="00181755">
      <w:pPr>
        <w:rPr>
          <w:rFonts w:asciiTheme="minorHAnsi" w:hAnsiTheme="minorHAnsi"/>
          <w:b/>
        </w:rPr>
      </w:pPr>
      <w:r w:rsidRPr="00181755">
        <w:rPr>
          <w:rFonts w:asciiTheme="minorHAnsi" w:hAnsiTheme="minorHAnsi"/>
          <w:b/>
        </w:rPr>
        <w:t>ICAAP felülvizsgálat</w:t>
      </w:r>
    </w:p>
    <w:p w14:paraId="66B15438" w14:textId="6BC0D8AD" w:rsidR="003F29E3" w:rsidRPr="00181755" w:rsidRDefault="003F29E3" w:rsidP="00181755">
      <w:pPr>
        <w:spacing w:after="240"/>
        <w:rPr>
          <w:rFonts w:asciiTheme="minorHAnsi" w:hAnsiTheme="minorHAnsi"/>
        </w:rPr>
      </w:pPr>
      <w:r w:rsidRPr="00181755">
        <w:rPr>
          <w:rFonts w:asciiTheme="minorHAnsi" w:hAnsiTheme="minorHAnsi"/>
        </w:rPr>
        <w:t>Az MNB fontos szempontnak tartja és elvárja, hogy az intézmények biztosítsák a partnerkockázati és a direkt hitelezési (default) kockázati számítások során használt ügyfél- (partner-) kockázati súlyok konzisztens kezelését, azaz mindkét számítás során adott ügyfél (partner) esetében azonos kockázati súlyt alkalmazzanak. (Nem megengedhető pl. sztenderd kockázati súlyok alkalmazása a partnerkockázati számításoknál, miközben a direkt hitelezési kockázatokra vonatkozóan az intézmény IRB súlyokkal számol ugyanarra a partnerre.) A partnerkockázat kezelésében alkalmazott nettósítás használata felügyeleti engedélyhez kötött.</w:t>
      </w:r>
    </w:p>
    <w:p w14:paraId="733446FB" w14:textId="77777777" w:rsidR="00D34A4C" w:rsidRPr="00181755" w:rsidRDefault="00D34A4C" w:rsidP="00181755">
      <w:pPr>
        <w:pStyle w:val="Cmsor4"/>
        <w:rPr>
          <w:rFonts w:asciiTheme="minorHAnsi" w:hAnsiTheme="minorHAnsi"/>
        </w:rPr>
      </w:pPr>
      <w:bookmarkStart w:id="757" w:name="_Toc452540557"/>
      <w:bookmarkStart w:id="758" w:name="_Toc462401994"/>
      <w:bookmarkStart w:id="759" w:name="_Toc462403115"/>
      <w:bookmarkStart w:id="760" w:name="_Toc462403439"/>
      <w:bookmarkStart w:id="761" w:name="_Toc468180558"/>
      <w:bookmarkStart w:id="762" w:name="_Toc468181067"/>
      <w:bookmarkStart w:id="763" w:name="_Toc468191453"/>
      <w:r w:rsidRPr="00181755">
        <w:rPr>
          <w:rFonts w:asciiTheme="minorHAnsi" w:hAnsiTheme="minorHAnsi"/>
        </w:rPr>
        <w:t>A White Label szerződések partnerkockázata a befektetési vállalkozásoknál</w:t>
      </w:r>
      <w:bookmarkEnd w:id="757"/>
      <w:bookmarkEnd w:id="758"/>
      <w:bookmarkEnd w:id="759"/>
      <w:bookmarkEnd w:id="760"/>
      <w:bookmarkEnd w:id="761"/>
      <w:bookmarkEnd w:id="762"/>
      <w:bookmarkEnd w:id="763"/>
    </w:p>
    <w:p w14:paraId="38A193F8" w14:textId="3CF65151" w:rsidR="00453A7E" w:rsidRPr="00181755" w:rsidRDefault="00D34A4C" w:rsidP="00181755">
      <w:pPr>
        <w:spacing w:after="240"/>
        <w:rPr>
          <w:rFonts w:asciiTheme="minorHAnsi" w:hAnsiTheme="minorHAnsi"/>
        </w:rPr>
      </w:pPr>
      <w:r w:rsidRPr="00181755">
        <w:rPr>
          <w:rFonts w:asciiTheme="minorHAnsi" w:hAnsiTheme="minorHAnsi"/>
        </w:rPr>
        <w:t>Az online kereskedési platformok White Label konstrukción keresztül történő működtetése olyan szolgáltatás, ahol a befektetési vállalkozás egy teljes 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181755" w:rsidRDefault="00453A7E" w:rsidP="00181755">
      <w:pPr>
        <w:pStyle w:val="Cmsor4"/>
        <w:rPr>
          <w:rFonts w:asciiTheme="minorHAnsi" w:hAnsiTheme="minorHAnsi"/>
        </w:rPr>
      </w:pPr>
      <w:bookmarkStart w:id="764" w:name="_Toc461095214"/>
      <w:bookmarkStart w:id="765" w:name="_Toc461179870"/>
      <w:bookmarkStart w:id="766" w:name="_Toc461201313"/>
      <w:bookmarkStart w:id="767" w:name="_Toc461547956"/>
      <w:bookmarkStart w:id="768" w:name="_Toc462401995"/>
      <w:bookmarkStart w:id="769" w:name="_Toc462403116"/>
      <w:bookmarkStart w:id="770" w:name="_Toc462403440"/>
      <w:bookmarkStart w:id="771" w:name="_Toc468180559"/>
      <w:bookmarkStart w:id="772" w:name="_Toc468181068"/>
      <w:bookmarkStart w:id="773" w:name="_Toc468191454"/>
      <w:r w:rsidRPr="00181755">
        <w:rPr>
          <w:rFonts w:asciiTheme="minorHAnsi" w:hAnsiTheme="minorHAnsi"/>
        </w:rPr>
        <w:t>Hitelértékelési korrekciós kockázat (CVA)</w:t>
      </w:r>
      <w:bookmarkEnd w:id="764"/>
      <w:bookmarkEnd w:id="765"/>
      <w:bookmarkEnd w:id="766"/>
      <w:bookmarkEnd w:id="767"/>
      <w:bookmarkEnd w:id="768"/>
      <w:bookmarkEnd w:id="769"/>
      <w:bookmarkEnd w:id="770"/>
      <w:bookmarkEnd w:id="771"/>
      <w:bookmarkEnd w:id="772"/>
      <w:bookmarkEnd w:id="773"/>
    </w:p>
    <w:p w14:paraId="46B6E452" w14:textId="1D19751C" w:rsidR="00A011D0" w:rsidRPr="00181755" w:rsidRDefault="003F29E3" w:rsidP="00181755">
      <w:pPr>
        <w:rPr>
          <w:rFonts w:asciiTheme="minorHAnsi" w:hAnsiTheme="minorHAnsi"/>
        </w:rPr>
      </w:pPr>
      <w:r w:rsidRPr="00181755">
        <w:rPr>
          <w:rFonts w:asciiTheme="minorHAnsi" w:hAnsiTheme="minorHAnsi"/>
        </w:rPr>
        <w:t>A 2014. elejétől hatályba lépett szabályozói változások nyomán a számszerűsítendő kockázati kockázatok köre, illetve a kitettségekhez kapcsolódó szavatoló tőke követelmény kibővült</w:t>
      </w:r>
      <w:r w:rsidR="00453A7E" w:rsidRPr="00181755">
        <w:rPr>
          <w:rFonts w:asciiTheme="minorHAnsi" w:hAnsiTheme="minorHAnsi"/>
        </w:rPr>
        <w:t xml:space="preserve"> a partnerkockázati jellegű, de attól </w:t>
      </w:r>
      <w:r w:rsidR="00C76281" w:rsidRPr="00181755">
        <w:rPr>
          <w:rFonts w:asciiTheme="minorHAnsi" w:hAnsiTheme="minorHAnsi"/>
        </w:rPr>
        <w:t>–</w:t>
      </w:r>
      <w:r w:rsidR="00453A7E" w:rsidRPr="00181755">
        <w:rPr>
          <w:rFonts w:asciiTheme="minorHAnsi" w:hAnsiTheme="minorHAnsi"/>
        </w:rPr>
        <w:t xml:space="preserve"> CRR alapján </w:t>
      </w:r>
      <w:r w:rsidR="00C76281" w:rsidRPr="00181755">
        <w:rPr>
          <w:rFonts w:asciiTheme="minorHAnsi" w:hAnsiTheme="minorHAnsi"/>
        </w:rPr>
        <w:t>–</w:t>
      </w:r>
      <w:r w:rsidR="00453A7E" w:rsidRPr="00181755">
        <w:rPr>
          <w:rFonts w:asciiTheme="minorHAnsi" w:hAnsiTheme="minorHAnsi"/>
        </w:rPr>
        <w:t xml:space="preserve"> elkülönülő hitelértékelési korrekciós kockázattal.</w:t>
      </w:r>
      <w:r w:rsidRPr="00181755">
        <w:rPr>
          <w:rFonts w:asciiTheme="minorHAnsi" w:hAnsiTheme="minorHAnsi"/>
        </w:rPr>
        <w:t xml:space="preserve"> </w:t>
      </w:r>
    </w:p>
    <w:p w14:paraId="66B1543A" w14:textId="75AB355D" w:rsidR="003F29E3" w:rsidRPr="00181755" w:rsidRDefault="003F29E3" w:rsidP="00181755">
      <w:pPr>
        <w:spacing w:after="240"/>
        <w:rPr>
          <w:rFonts w:asciiTheme="minorHAnsi" w:hAnsiTheme="minorHAnsi"/>
        </w:rPr>
      </w:pPr>
      <w:r w:rsidRPr="00181755">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181755">
        <w:rPr>
          <w:rFonts w:asciiTheme="minorHAnsi" w:hAnsiTheme="minorHAnsi"/>
        </w:rPr>
        <w:t xml:space="preserve"> </w:t>
      </w:r>
      <w:r w:rsidRPr="00181755">
        <w:rPr>
          <w:rFonts w:asciiTheme="minorHAnsi" w:hAnsiTheme="minorHAnsi"/>
        </w:rPr>
        <w:t xml:space="preserve">kockázatok újonnan megjelenő elemeit is, különös tekintettel a CVA-hoz kapcsolódó kockázatokra. </w:t>
      </w:r>
      <w:r w:rsidR="00B91415" w:rsidRPr="00181755">
        <w:rPr>
          <w:rFonts w:asciiTheme="minorHAnsi" w:hAnsiTheme="minorHAnsi"/>
        </w:rPr>
        <w:t>A</w:t>
      </w:r>
      <w:r w:rsidR="00A011D0" w:rsidRPr="00181755">
        <w:rPr>
          <w:rFonts w:asciiTheme="minorHAnsi" w:hAnsiTheme="minorHAnsi"/>
        </w:rPr>
        <w:t xml:space="preserve"> jelenlegi szabályozási előírások alapján</w:t>
      </w:r>
      <w:r w:rsidR="00517162" w:rsidRPr="00181755">
        <w:rPr>
          <w:rStyle w:val="Lbjegyzet-hivatkozs"/>
          <w:rFonts w:asciiTheme="minorHAnsi" w:hAnsiTheme="minorHAnsi"/>
        </w:rPr>
        <w:footnoteReference w:id="40"/>
      </w:r>
      <w:r w:rsidR="00A011D0" w:rsidRPr="00181755">
        <w:rPr>
          <w:rFonts w:asciiTheme="minorHAnsi" w:hAnsiTheme="minorHAnsi"/>
        </w:rPr>
        <w:t xml:space="preserve"> számszerűsített CVA-hoz kapcsolódó kockázatok viszo</w:t>
      </w:r>
      <w:r w:rsidR="00B91415" w:rsidRPr="00181755">
        <w:rPr>
          <w:rFonts w:asciiTheme="minorHAnsi" w:hAnsiTheme="minorHAnsi"/>
        </w:rPr>
        <w:t xml:space="preserve">nylag alacsony szintűnek mondhatók, a hazai intézmények között. Az arányosság elvét szem előtt tartva </w:t>
      </w:r>
      <w:r w:rsidR="00517162" w:rsidRPr="00181755">
        <w:rPr>
          <w:rFonts w:asciiTheme="minorHAnsi" w:hAnsiTheme="minorHAnsi"/>
        </w:rPr>
        <w:t xml:space="preserve">az MNB </w:t>
      </w:r>
      <w:r w:rsidR="00B91415" w:rsidRPr="00181755">
        <w:rPr>
          <w:rFonts w:asciiTheme="minorHAnsi" w:hAnsiTheme="minorHAnsi"/>
        </w:rPr>
        <w:t xml:space="preserve">e kockázat nagyságának és tőkeszükségletének meghatározásakor - megfelelő folyamatbeli elemek megléte esetén – jelenleg nem tartja elengedhetetlennek </w:t>
      </w:r>
      <w:r w:rsidR="00517162" w:rsidRPr="00181755">
        <w:rPr>
          <w:rFonts w:asciiTheme="minorHAnsi" w:hAnsiTheme="minorHAnsi"/>
        </w:rPr>
        <w:t>fejlett belső modellek alkalmazását</w:t>
      </w:r>
      <w:r w:rsidR="00B91415" w:rsidRPr="00181755">
        <w:rPr>
          <w:rFonts w:asciiTheme="minorHAnsi" w:hAnsiTheme="minorHAnsi"/>
        </w:rPr>
        <w:t xml:space="preserve"> az ICAAP során</w:t>
      </w:r>
      <w:r w:rsidR="00517162" w:rsidRPr="00181755">
        <w:rPr>
          <w:rFonts w:asciiTheme="minorHAnsi" w:hAnsiTheme="minorHAnsi"/>
        </w:rPr>
        <w:t xml:space="preserve">. </w:t>
      </w:r>
      <w:r w:rsidR="00B91415" w:rsidRPr="00181755">
        <w:rPr>
          <w:rFonts w:asciiTheme="minorHAnsi" w:hAnsiTheme="minorHAnsi"/>
        </w:rPr>
        <w:t xml:space="preserve">Természetesen, amennyiben a kockázati pozíciók nagysága </w:t>
      </w:r>
      <w:r w:rsidR="006151E2" w:rsidRPr="00181755">
        <w:rPr>
          <w:rFonts w:asciiTheme="minorHAnsi" w:hAnsiTheme="minorHAnsi"/>
        </w:rPr>
        <w:t>és/vagy összetettsége</w:t>
      </w:r>
      <w:r w:rsidR="003922B2" w:rsidRPr="00181755">
        <w:rPr>
          <w:rFonts w:asciiTheme="minorHAnsi" w:hAnsiTheme="minorHAnsi"/>
        </w:rPr>
        <w:t>, illetve</w:t>
      </w:r>
      <w:r w:rsidR="00DC0DED" w:rsidRPr="00181755">
        <w:rPr>
          <w:rFonts w:asciiTheme="minorHAnsi" w:hAnsiTheme="minorHAnsi"/>
        </w:rPr>
        <w:t xml:space="preserve"> esetlegesen a szabályozás változása</w:t>
      </w:r>
      <w:r w:rsidR="006151E2" w:rsidRPr="00181755">
        <w:rPr>
          <w:rFonts w:asciiTheme="minorHAnsi" w:hAnsiTheme="minorHAnsi"/>
        </w:rPr>
        <w:t xml:space="preserve"> </w:t>
      </w:r>
      <w:r w:rsidR="00B91415" w:rsidRPr="00181755">
        <w:rPr>
          <w:rFonts w:asciiTheme="minorHAnsi" w:hAnsiTheme="minorHAnsi"/>
        </w:rPr>
        <w:t>ezt indokolttá teszi</w:t>
      </w:r>
      <w:r w:rsidR="003922B2" w:rsidRPr="00181755">
        <w:rPr>
          <w:rFonts w:asciiTheme="minorHAnsi" w:hAnsiTheme="minorHAnsi"/>
        </w:rPr>
        <w:t>,</w:t>
      </w:r>
      <w:r w:rsidR="006151E2" w:rsidRPr="00181755">
        <w:rPr>
          <w:rFonts w:asciiTheme="minorHAnsi" w:hAnsiTheme="minorHAnsi"/>
        </w:rPr>
        <w:t xml:space="preserve"> </w:t>
      </w:r>
      <w:r w:rsidR="00DC0DED" w:rsidRPr="00181755">
        <w:rPr>
          <w:rFonts w:asciiTheme="minorHAnsi" w:hAnsiTheme="minorHAnsi"/>
        </w:rPr>
        <w:t>az alkalmazott módszer fejlesztése is elvárt.</w:t>
      </w:r>
      <w:r w:rsidR="00B91415" w:rsidRPr="00181755">
        <w:rPr>
          <w:rFonts w:asciiTheme="minorHAnsi" w:hAnsiTheme="minorHAnsi"/>
        </w:rPr>
        <w:t xml:space="preserve"> </w:t>
      </w:r>
    </w:p>
    <w:p w14:paraId="6E9858F9" w14:textId="77777777" w:rsidR="000B53CC" w:rsidRPr="00181755" w:rsidRDefault="000B53CC" w:rsidP="00181755">
      <w:pPr>
        <w:spacing w:after="240"/>
        <w:rPr>
          <w:rFonts w:asciiTheme="minorHAnsi" w:hAnsiTheme="minorHAnsi"/>
        </w:rPr>
      </w:pPr>
    </w:p>
    <w:p w14:paraId="66B1543B" w14:textId="77777777" w:rsidR="003F29E3" w:rsidRPr="00181755" w:rsidRDefault="00A763E4" w:rsidP="00181755">
      <w:pPr>
        <w:pStyle w:val="Cmsor4"/>
        <w:rPr>
          <w:rFonts w:asciiTheme="minorHAnsi" w:hAnsiTheme="minorHAnsi"/>
        </w:rPr>
      </w:pPr>
      <w:bookmarkStart w:id="774" w:name="_Toc461095215"/>
      <w:bookmarkStart w:id="775" w:name="_Toc461179871"/>
      <w:bookmarkStart w:id="776" w:name="_Toc461201314"/>
      <w:bookmarkStart w:id="777" w:name="_Toc461547957"/>
      <w:bookmarkStart w:id="778" w:name="_Toc462401996"/>
      <w:bookmarkStart w:id="779" w:name="_Toc462403117"/>
      <w:bookmarkStart w:id="780" w:name="_Toc462403441"/>
      <w:bookmarkStart w:id="781" w:name="_Toc468180560"/>
      <w:bookmarkStart w:id="782" w:name="_Toc468181069"/>
      <w:bookmarkStart w:id="783" w:name="_Toc468191455"/>
      <w:r w:rsidRPr="00181755">
        <w:rPr>
          <w:rFonts w:asciiTheme="minorHAnsi" w:hAnsiTheme="minorHAnsi"/>
        </w:rPr>
        <w:t>Devizahitelezés kockázata</w:t>
      </w:r>
      <w:bookmarkEnd w:id="774"/>
      <w:bookmarkEnd w:id="775"/>
      <w:bookmarkEnd w:id="776"/>
      <w:bookmarkEnd w:id="777"/>
      <w:bookmarkEnd w:id="778"/>
      <w:bookmarkEnd w:id="779"/>
      <w:bookmarkEnd w:id="780"/>
      <w:bookmarkEnd w:id="781"/>
      <w:bookmarkEnd w:id="782"/>
      <w:bookmarkEnd w:id="783"/>
    </w:p>
    <w:p w14:paraId="25614947" w14:textId="4C069350" w:rsidR="00BD5A46" w:rsidRPr="00181755" w:rsidRDefault="00BD5A46" w:rsidP="00181755">
      <w:pPr>
        <w:rPr>
          <w:rFonts w:asciiTheme="minorHAnsi" w:hAnsiTheme="minorHAnsi"/>
          <w:b/>
        </w:rPr>
      </w:pPr>
      <w:r w:rsidRPr="00181755">
        <w:rPr>
          <w:rFonts w:asciiTheme="minorHAnsi" w:hAnsiTheme="minorHAnsi"/>
          <w:b/>
        </w:rPr>
        <w:t>Definíció</w:t>
      </w:r>
    </w:p>
    <w:p w14:paraId="32A7CB2D" w14:textId="78079283" w:rsidR="00BD5A46" w:rsidRPr="00181755" w:rsidRDefault="00D463B2" w:rsidP="00181755">
      <w:pPr>
        <w:rPr>
          <w:rFonts w:asciiTheme="minorHAnsi" w:hAnsiTheme="minorHAnsi"/>
        </w:rPr>
      </w:pPr>
      <w:r w:rsidRPr="00181755">
        <w:rPr>
          <w:rFonts w:asciiTheme="minorHAnsi" w:hAnsiTheme="minorHAnsi"/>
        </w:rPr>
        <w:t>Devizahitelezés kockázata a kölcsönfelvevő lakóhelye</w:t>
      </w:r>
      <w:r w:rsidR="00663A64" w:rsidRPr="00181755">
        <w:rPr>
          <w:rFonts w:asciiTheme="minorHAnsi" w:hAnsiTheme="minorHAnsi"/>
        </w:rPr>
        <w:t>/székhelye</w:t>
      </w:r>
      <w:r w:rsidRPr="00181755">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181755" w:rsidRDefault="00BD5A46" w:rsidP="00181755">
      <w:pPr>
        <w:rPr>
          <w:rFonts w:asciiTheme="minorHAnsi" w:hAnsiTheme="minorHAnsi"/>
          <w:b/>
        </w:rPr>
      </w:pPr>
      <w:r w:rsidRPr="00181755">
        <w:rPr>
          <w:rFonts w:asciiTheme="minorHAnsi" w:hAnsiTheme="minorHAnsi"/>
          <w:b/>
        </w:rPr>
        <w:t>Kockázatértékelés és -kezelés</w:t>
      </w:r>
    </w:p>
    <w:p w14:paraId="66B1543C" w14:textId="64D6A870" w:rsidR="003F29E3" w:rsidRPr="00181755" w:rsidRDefault="003F29E3" w:rsidP="00181755">
      <w:pPr>
        <w:rPr>
          <w:rFonts w:asciiTheme="minorHAnsi" w:hAnsiTheme="minorHAnsi"/>
        </w:rPr>
      </w:pPr>
      <w:r w:rsidRPr="00181755">
        <w:rPr>
          <w:rFonts w:asciiTheme="minorHAnsi" w:hAnsiTheme="minorHAnsi"/>
        </w:rPr>
        <w:t xml:space="preserve">A hitelkockázat értékelése során az intézményeknek külön kell értékelniük a </w:t>
      </w:r>
      <w:r w:rsidR="00DD15F5" w:rsidRPr="00181755">
        <w:rPr>
          <w:rFonts w:asciiTheme="minorHAnsi" w:hAnsiTheme="minorHAnsi"/>
        </w:rPr>
        <w:t>fedezettel nem rendelkező ügyfelek</w:t>
      </w:r>
      <w:r w:rsidR="00A542B6" w:rsidRPr="00181755">
        <w:rPr>
          <w:rStyle w:val="Lbjegyzet-hivatkozs"/>
          <w:rFonts w:asciiTheme="minorHAnsi" w:hAnsiTheme="minorHAnsi"/>
        </w:rPr>
        <w:footnoteReference w:id="41"/>
      </w:r>
      <w:r w:rsidR="00DD15F5" w:rsidRPr="00181755">
        <w:rPr>
          <w:rFonts w:asciiTheme="minorHAnsi" w:hAnsiTheme="minorHAnsi"/>
        </w:rPr>
        <w:t xml:space="preserve"> felé fennálló</w:t>
      </w:r>
      <w:r w:rsidR="000A6500" w:rsidRPr="00181755">
        <w:rPr>
          <w:rFonts w:asciiTheme="minorHAnsi" w:hAnsiTheme="minorHAnsi"/>
        </w:rPr>
        <w:t>,</w:t>
      </w:r>
      <w:r w:rsidR="00DD15F5" w:rsidRPr="00181755">
        <w:rPr>
          <w:rFonts w:asciiTheme="minorHAnsi" w:hAnsiTheme="minorHAnsi"/>
        </w:rPr>
        <w:t xml:space="preserve"> </w:t>
      </w:r>
      <w:r w:rsidRPr="00181755">
        <w:rPr>
          <w:rFonts w:asciiTheme="minorHAnsi" w:hAnsiTheme="minorHAnsi"/>
        </w:rPr>
        <w:t xml:space="preserve">devizában denominált </w:t>
      </w:r>
      <w:r w:rsidR="00DD15F5" w:rsidRPr="00181755">
        <w:rPr>
          <w:rFonts w:asciiTheme="minorHAnsi" w:hAnsiTheme="minorHAnsi"/>
        </w:rPr>
        <w:t>kitettségekből eredő hitelkockázatot,</w:t>
      </w:r>
      <w:r w:rsidR="006222C9" w:rsidRPr="00181755">
        <w:rPr>
          <w:rFonts w:asciiTheme="minorHAnsi" w:hAnsiTheme="minorHAnsi"/>
        </w:rPr>
        <w:t xml:space="preserve"> valamint annak materialitását</w:t>
      </w:r>
      <w:r w:rsidRPr="00181755">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1A08CCEC" w:rsidR="006222C9" w:rsidRPr="00181755" w:rsidRDefault="00874CA9" w:rsidP="00181755">
      <w:pPr>
        <w:rPr>
          <w:rFonts w:asciiTheme="minorHAnsi" w:hAnsiTheme="minorHAnsi"/>
        </w:rPr>
      </w:pPr>
      <w:r w:rsidRPr="00181755">
        <w:rPr>
          <w:rFonts w:asciiTheme="minorHAnsi" w:hAnsiTheme="minorHAnsi"/>
        </w:rPr>
        <w:t xml:space="preserve">Összhangban az EBA </w:t>
      </w:r>
      <w:r w:rsidR="00CA0515" w:rsidRPr="00181755">
        <w:rPr>
          <w:rFonts w:asciiTheme="minorHAnsi" w:hAnsiTheme="minorHAnsi"/>
        </w:rPr>
        <w:t>SREP A</w:t>
      </w:r>
      <w:r w:rsidRPr="00181755">
        <w:rPr>
          <w:rFonts w:asciiTheme="minorHAnsi" w:hAnsiTheme="minorHAnsi"/>
        </w:rPr>
        <w:t>jánlásával</w:t>
      </w:r>
      <w:r w:rsidRPr="00181755">
        <w:rPr>
          <w:rStyle w:val="Lbjegyzet-hivatkozs"/>
          <w:rFonts w:asciiTheme="minorHAnsi" w:hAnsiTheme="minorHAnsi"/>
        </w:rPr>
        <w:footnoteReference w:id="42"/>
      </w:r>
      <w:r w:rsidRPr="00181755">
        <w:rPr>
          <w:rFonts w:asciiTheme="minorHAnsi" w:hAnsiTheme="minorHAnsi"/>
        </w:rPr>
        <w:t xml:space="preserve"> m</w:t>
      </w:r>
      <w:r w:rsidR="006222C9" w:rsidRPr="00181755">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181755" w:rsidRDefault="00D463B2" w:rsidP="00181755">
      <w:pPr>
        <w:rPr>
          <w:rFonts w:asciiTheme="minorHAnsi" w:hAnsiTheme="minorHAnsi"/>
          <w:b/>
        </w:rPr>
      </w:pPr>
      <w:r w:rsidRPr="00181755">
        <w:rPr>
          <w:rFonts w:asciiTheme="minorHAnsi" w:hAnsiTheme="minorHAnsi"/>
          <w:b/>
        </w:rPr>
        <w:t>ICAAP felülvizsgálat</w:t>
      </w:r>
    </w:p>
    <w:p w14:paraId="66B1543E" w14:textId="68AAD54E" w:rsidR="003F29E3" w:rsidRPr="00181755" w:rsidRDefault="0035006D" w:rsidP="00181755">
      <w:pPr>
        <w:rPr>
          <w:rFonts w:asciiTheme="minorHAnsi" w:hAnsiTheme="minorHAnsi"/>
        </w:rPr>
      </w:pPr>
      <w:r w:rsidRPr="00181755">
        <w:rPr>
          <w:rFonts w:asciiTheme="minorHAnsi" w:hAnsiTheme="minorHAnsi"/>
        </w:rPr>
        <w:t>Az MNB elvárja, hogy az intézmények</w:t>
      </w:r>
      <w:r w:rsidR="00DD15F5" w:rsidRPr="00181755">
        <w:rPr>
          <w:rFonts w:asciiTheme="minorHAnsi" w:hAnsiTheme="minorHAnsi"/>
        </w:rPr>
        <w:t xml:space="preserve"> megfelelő kockázatkezelési mechanizmusokat működtessenek a devizahitelezés kockázatainak mérésé</w:t>
      </w:r>
      <w:r w:rsidR="00D75FE5" w:rsidRPr="00181755">
        <w:rPr>
          <w:rFonts w:asciiTheme="minorHAnsi" w:hAnsiTheme="minorHAnsi"/>
        </w:rPr>
        <w:t>re</w:t>
      </w:r>
      <w:r w:rsidR="00DD15F5" w:rsidRPr="00181755">
        <w:rPr>
          <w:rFonts w:asciiTheme="minorHAnsi" w:hAnsiTheme="minorHAnsi"/>
        </w:rPr>
        <w:t xml:space="preserve"> és kontrollálásá</w:t>
      </w:r>
      <w:r w:rsidR="00D75FE5" w:rsidRPr="00181755">
        <w:rPr>
          <w:rFonts w:asciiTheme="minorHAnsi" w:hAnsiTheme="minorHAnsi"/>
        </w:rPr>
        <w:t>ra</w:t>
      </w:r>
      <w:r w:rsidR="00415926" w:rsidRPr="00181755">
        <w:rPr>
          <w:rFonts w:asciiTheme="minorHAnsi" w:hAnsiTheme="minorHAnsi"/>
        </w:rPr>
        <w:t>.</w:t>
      </w:r>
      <w:r w:rsidR="006534C6" w:rsidRPr="00181755">
        <w:rPr>
          <w:rFonts w:asciiTheme="minorHAnsi" w:hAnsiTheme="minorHAnsi"/>
        </w:rPr>
        <w:t xml:space="preserve"> </w:t>
      </w:r>
      <w:r w:rsidR="00415926" w:rsidRPr="00181755">
        <w:rPr>
          <w:rFonts w:asciiTheme="minorHAnsi" w:hAnsiTheme="minorHAnsi"/>
        </w:rPr>
        <w:t>Ennek keretében az</w:t>
      </w:r>
      <w:r w:rsidR="003A6D7C" w:rsidRPr="00181755">
        <w:rPr>
          <w:rFonts w:asciiTheme="minorHAnsi" w:hAnsiTheme="minorHAnsi"/>
        </w:rPr>
        <w:t xml:space="preserve"> MNB elvárja, hogy </w:t>
      </w:r>
      <w:r w:rsidR="006534C6" w:rsidRPr="00181755">
        <w:rPr>
          <w:rFonts w:asciiTheme="minorHAnsi" w:hAnsiTheme="minorHAnsi"/>
        </w:rPr>
        <w:t>az</w:t>
      </w:r>
      <w:r w:rsidR="003A6D7C" w:rsidRPr="00181755">
        <w:rPr>
          <w:rFonts w:asciiTheme="minorHAnsi" w:hAnsiTheme="minorHAnsi"/>
        </w:rPr>
        <w:t xml:space="preserve"> intézmények</w:t>
      </w:r>
    </w:p>
    <w:p w14:paraId="66B1543F" w14:textId="20E3BF0F" w:rsidR="00DD15F5" w:rsidRPr="00181755" w:rsidRDefault="003A6D7C" w:rsidP="00181755">
      <w:pPr>
        <w:numPr>
          <w:ilvl w:val="0"/>
          <w:numId w:val="13"/>
        </w:numPr>
        <w:rPr>
          <w:rFonts w:asciiTheme="minorHAnsi" w:hAnsiTheme="minorHAnsi"/>
        </w:rPr>
      </w:pPr>
      <w:r w:rsidRPr="00181755">
        <w:rPr>
          <w:rFonts w:asciiTheme="minorHAnsi" w:hAnsiTheme="minorHAnsi"/>
        </w:rPr>
        <w:t>meg</w:t>
      </w:r>
      <w:r w:rsidR="00C022C2" w:rsidRPr="00181755">
        <w:rPr>
          <w:rFonts w:asciiTheme="minorHAnsi" w:hAnsiTheme="minorHAnsi"/>
        </w:rPr>
        <w:t>határozzák a devizahitelezéssel kapcsolatos kockázati étvágyukat</w:t>
      </w:r>
      <w:r w:rsidR="004A7CB9" w:rsidRPr="00181755">
        <w:rPr>
          <w:rFonts w:asciiTheme="minorHAnsi" w:hAnsiTheme="minorHAnsi"/>
        </w:rPr>
        <w:t xml:space="preserve"> és</w:t>
      </w:r>
      <w:r w:rsidR="00C022C2" w:rsidRPr="00181755">
        <w:rPr>
          <w:rFonts w:asciiTheme="minorHAnsi" w:hAnsiTheme="minorHAnsi"/>
        </w:rPr>
        <w:t xml:space="preserve"> </w:t>
      </w:r>
      <w:r w:rsidR="006534C6" w:rsidRPr="00181755">
        <w:rPr>
          <w:rFonts w:asciiTheme="minorHAnsi" w:hAnsiTheme="minorHAnsi"/>
        </w:rPr>
        <w:t>devizahitelezési politikájukat</w:t>
      </w:r>
      <w:r w:rsidR="004A7CB9" w:rsidRPr="00181755">
        <w:rPr>
          <w:rFonts w:asciiTheme="minorHAnsi" w:hAnsiTheme="minorHAnsi"/>
        </w:rPr>
        <w:t>, valamint megállapítsanak</w:t>
      </w:r>
      <w:r w:rsidR="00415926" w:rsidRPr="00181755">
        <w:rPr>
          <w:rFonts w:asciiTheme="minorHAnsi" w:hAnsiTheme="minorHAnsi"/>
        </w:rPr>
        <w:t xml:space="preserve"> konkrét limiteket (pl.: kitettség-specifikus küszöbértékeket)</w:t>
      </w:r>
      <w:r w:rsidR="00221776" w:rsidRPr="00181755">
        <w:rPr>
          <w:rFonts w:asciiTheme="minorHAnsi" w:hAnsiTheme="minorHAnsi"/>
        </w:rPr>
        <w:t>,</w:t>
      </w:r>
    </w:p>
    <w:p w14:paraId="5B2B5D4E" w14:textId="5C255A6B" w:rsidR="006534C6" w:rsidRPr="00181755" w:rsidRDefault="00415926" w:rsidP="00181755">
      <w:pPr>
        <w:numPr>
          <w:ilvl w:val="0"/>
          <w:numId w:val="13"/>
        </w:numPr>
        <w:rPr>
          <w:rFonts w:asciiTheme="minorHAnsi" w:hAnsiTheme="minorHAnsi"/>
        </w:rPr>
      </w:pPr>
      <w:r w:rsidRPr="00181755">
        <w:rPr>
          <w:rFonts w:asciiTheme="minorHAnsi" w:hAnsiTheme="minorHAnsi"/>
        </w:rPr>
        <w:t xml:space="preserve">tartsák be a devizahitelezéssel kapcsolatosan meghatározott limiteket, </w:t>
      </w:r>
      <w:r w:rsidR="004A7CB9" w:rsidRPr="00181755">
        <w:rPr>
          <w:rFonts w:asciiTheme="minorHAnsi" w:hAnsiTheme="minorHAnsi"/>
        </w:rPr>
        <w:t>de azok</w:t>
      </w:r>
      <w:r w:rsidRPr="00181755">
        <w:rPr>
          <w:rFonts w:asciiTheme="minorHAnsi" w:hAnsiTheme="minorHAnsi"/>
        </w:rPr>
        <w:t xml:space="preserve"> </w:t>
      </w:r>
      <w:r w:rsidR="004A7CB9" w:rsidRPr="00181755">
        <w:rPr>
          <w:rFonts w:asciiTheme="minorHAnsi" w:hAnsiTheme="minorHAnsi"/>
        </w:rPr>
        <w:t xml:space="preserve">potenciális </w:t>
      </w:r>
      <w:r w:rsidRPr="00181755">
        <w:rPr>
          <w:rFonts w:asciiTheme="minorHAnsi" w:hAnsiTheme="minorHAnsi"/>
        </w:rPr>
        <w:t>túllépésének ese</w:t>
      </w:r>
      <w:r w:rsidR="004A7CB9" w:rsidRPr="00181755">
        <w:rPr>
          <w:rFonts w:asciiTheme="minorHAnsi" w:hAnsiTheme="minorHAnsi"/>
        </w:rPr>
        <w:t xml:space="preserve">tére is </w:t>
      </w:r>
      <w:r w:rsidR="003A6D7C" w:rsidRPr="00181755">
        <w:rPr>
          <w:rFonts w:asciiTheme="minorHAnsi" w:hAnsiTheme="minorHAnsi"/>
        </w:rPr>
        <w:t xml:space="preserve">rendelkezzenek </w:t>
      </w:r>
      <w:r w:rsidRPr="00181755">
        <w:rPr>
          <w:rFonts w:asciiTheme="minorHAnsi" w:hAnsiTheme="minorHAnsi"/>
        </w:rPr>
        <w:t xml:space="preserve">megelőző </w:t>
      </w:r>
      <w:r w:rsidR="004A7CB9" w:rsidRPr="00181755">
        <w:rPr>
          <w:rFonts w:asciiTheme="minorHAnsi" w:hAnsiTheme="minorHAnsi"/>
        </w:rPr>
        <w:t>és utólagos</w:t>
      </w:r>
      <w:r w:rsidRPr="00181755">
        <w:rPr>
          <w:rFonts w:asciiTheme="minorHAnsi" w:hAnsiTheme="minorHAnsi"/>
        </w:rPr>
        <w:t xml:space="preserve"> k</w:t>
      </w:r>
      <w:r w:rsidR="004A7CB9" w:rsidRPr="00181755">
        <w:rPr>
          <w:rFonts w:asciiTheme="minorHAnsi" w:hAnsiTheme="minorHAnsi"/>
        </w:rPr>
        <w:t>ockázatkezelési</w:t>
      </w:r>
      <w:r w:rsidRPr="00181755">
        <w:rPr>
          <w:rFonts w:asciiTheme="minorHAnsi" w:hAnsiTheme="minorHAnsi"/>
        </w:rPr>
        <w:t xml:space="preserve"> </w:t>
      </w:r>
      <w:r w:rsidR="004A7CB9" w:rsidRPr="00181755">
        <w:rPr>
          <w:rFonts w:asciiTheme="minorHAnsi" w:hAnsiTheme="minorHAnsi"/>
        </w:rPr>
        <w:t>eljárásokkal</w:t>
      </w:r>
      <w:r w:rsidR="00221776" w:rsidRPr="00181755">
        <w:rPr>
          <w:rFonts w:asciiTheme="minorHAnsi" w:hAnsiTheme="minorHAnsi"/>
        </w:rPr>
        <w:t>,</w:t>
      </w:r>
    </w:p>
    <w:p w14:paraId="775D3193" w14:textId="200AAF03" w:rsidR="006534C6" w:rsidRPr="00181755" w:rsidRDefault="006534C6" w:rsidP="00181755">
      <w:pPr>
        <w:numPr>
          <w:ilvl w:val="0"/>
          <w:numId w:val="13"/>
        </w:numPr>
        <w:rPr>
          <w:rFonts w:asciiTheme="minorHAnsi" w:hAnsiTheme="minorHAnsi"/>
        </w:rPr>
      </w:pPr>
      <w:r w:rsidRPr="00181755">
        <w:rPr>
          <w:rFonts w:asciiTheme="minorHAnsi" w:hAnsiTheme="minorHAnsi"/>
        </w:rPr>
        <w:t>biztosítsák, hogy a devizahitelezési kockázat beépüljön az intézmény értékelési módszereibe, ügylet jóváhagyásával és felülvizsgálat</w:t>
      </w:r>
      <w:r w:rsidR="00415926" w:rsidRPr="00181755">
        <w:rPr>
          <w:rFonts w:asciiTheme="minorHAnsi" w:hAnsiTheme="minorHAnsi"/>
        </w:rPr>
        <w:t>ával kapcsolatos folyamatai</w:t>
      </w:r>
      <w:r w:rsidR="00940552" w:rsidRPr="00181755">
        <w:rPr>
          <w:rFonts w:asciiTheme="minorHAnsi" w:hAnsiTheme="minorHAnsi"/>
        </w:rPr>
        <w:t>ba</w:t>
      </w:r>
      <w:r w:rsidR="00221776" w:rsidRPr="00181755">
        <w:rPr>
          <w:rFonts w:asciiTheme="minorHAnsi" w:hAnsiTheme="minorHAnsi"/>
        </w:rPr>
        <w:t>,</w:t>
      </w:r>
    </w:p>
    <w:p w14:paraId="46480AF6" w14:textId="0242DD66" w:rsidR="004A7CB9" w:rsidRPr="00181755" w:rsidRDefault="00C022C2" w:rsidP="00181755">
      <w:pPr>
        <w:numPr>
          <w:ilvl w:val="0"/>
          <w:numId w:val="13"/>
        </w:numPr>
        <w:rPr>
          <w:rFonts w:asciiTheme="minorHAnsi" w:hAnsiTheme="minorHAnsi"/>
        </w:rPr>
      </w:pPr>
      <w:r w:rsidRPr="00181755">
        <w:rPr>
          <w:rFonts w:asciiTheme="minorHAnsi" w:hAnsiTheme="minorHAnsi"/>
        </w:rPr>
        <w:t>a kockázat azonosítási és monitorozási, riportolási folyamatok fedjék le a devizahitelezés kockázatait is</w:t>
      </w:r>
      <w:r w:rsidR="00221776" w:rsidRPr="00181755">
        <w:rPr>
          <w:rFonts w:asciiTheme="minorHAnsi" w:hAnsiTheme="minorHAnsi"/>
        </w:rPr>
        <w:t>,</w:t>
      </w:r>
    </w:p>
    <w:p w14:paraId="66B15440" w14:textId="5A344A53" w:rsidR="00C022C2" w:rsidRPr="00181755" w:rsidRDefault="004A7CB9" w:rsidP="00181755">
      <w:pPr>
        <w:numPr>
          <w:ilvl w:val="0"/>
          <w:numId w:val="13"/>
        </w:numPr>
        <w:rPr>
          <w:rFonts w:asciiTheme="minorHAnsi" w:hAnsiTheme="minorHAnsi"/>
        </w:rPr>
      </w:pPr>
      <w:r w:rsidRPr="00181755">
        <w:rPr>
          <w:rFonts w:asciiTheme="minorHAnsi" w:hAnsiTheme="minorHAnsi"/>
        </w:rPr>
        <w:t>a monitoringozás során</w:t>
      </w:r>
      <w:r w:rsidR="00415926" w:rsidRPr="00181755">
        <w:rPr>
          <w:rFonts w:asciiTheme="minorHAnsi" w:hAnsiTheme="minorHAnsi"/>
        </w:rPr>
        <w:t xml:space="preserve"> az intézmények rendelkezzenek információval </w:t>
      </w:r>
      <w:r w:rsidRPr="00181755">
        <w:rPr>
          <w:rFonts w:asciiTheme="minorHAnsi" w:hAnsiTheme="minorHAnsi"/>
        </w:rPr>
        <w:t xml:space="preserve">az ügyletek devizakockázatáról, melynek során </w:t>
      </w:r>
      <w:r w:rsidR="00415926" w:rsidRPr="00181755">
        <w:rPr>
          <w:rFonts w:asciiTheme="minorHAnsi" w:hAnsiTheme="minorHAnsi"/>
        </w:rPr>
        <w:t>kövessék nyomon az devizahitelezési kitettségek kapcsán a fedezettség szintjét</w:t>
      </w:r>
      <w:r w:rsidRPr="00181755">
        <w:rPr>
          <w:rFonts w:asciiTheme="minorHAnsi" w:hAnsiTheme="minorHAnsi"/>
        </w:rPr>
        <w:t xml:space="preserve">, a természetes fedezettséget </w:t>
      </w:r>
      <w:r w:rsidR="00415926" w:rsidRPr="00181755">
        <w:rPr>
          <w:rFonts w:asciiTheme="minorHAnsi" w:hAnsiTheme="minorHAnsi"/>
        </w:rPr>
        <w:t>(ideértve a devizaszámla meglétét és forgalmát</w:t>
      </w:r>
      <w:r w:rsidRPr="00181755">
        <w:rPr>
          <w:rFonts w:asciiTheme="minorHAnsi" w:hAnsiTheme="minorHAnsi"/>
        </w:rPr>
        <w:t xml:space="preserve"> is</w:t>
      </w:r>
      <w:r w:rsidR="00415926" w:rsidRPr="00181755">
        <w:rPr>
          <w:rFonts w:asciiTheme="minorHAnsi" w:hAnsiTheme="minorHAnsi"/>
        </w:rPr>
        <w:t>)</w:t>
      </w:r>
      <w:r w:rsidR="00221776" w:rsidRPr="00181755">
        <w:rPr>
          <w:rFonts w:asciiTheme="minorHAnsi" w:hAnsiTheme="minorHAnsi"/>
        </w:rPr>
        <w:t>,</w:t>
      </w:r>
    </w:p>
    <w:p w14:paraId="1928021C" w14:textId="288485E7" w:rsidR="00962BF2" w:rsidRPr="00181755" w:rsidRDefault="00822D50" w:rsidP="00181755">
      <w:pPr>
        <w:numPr>
          <w:ilvl w:val="0"/>
          <w:numId w:val="13"/>
        </w:numPr>
        <w:rPr>
          <w:rFonts w:asciiTheme="minorHAnsi" w:hAnsiTheme="minorHAnsi"/>
        </w:rPr>
      </w:pPr>
      <w:r w:rsidRPr="00181755">
        <w:rPr>
          <w:rFonts w:asciiTheme="minorHAnsi" w:hAnsiTheme="minorHAnsi"/>
        </w:rPr>
        <w:t xml:space="preserve">biztosítsák az árfolyammozgások </w:t>
      </w:r>
      <w:r w:rsidR="00962BF2" w:rsidRPr="00181755">
        <w:rPr>
          <w:rFonts w:asciiTheme="minorHAnsi" w:hAnsiTheme="minorHAnsi"/>
        </w:rPr>
        <w:t xml:space="preserve">devizában denominált portfóliók hitelkockázatára gyakorolt </w:t>
      </w:r>
      <w:r w:rsidRPr="00181755">
        <w:rPr>
          <w:rFonts w:asciiTheme="minorHAnsi" w:hAnsiTheme="minorHAnsi"/>
        </w:rPr>
        <w:t>hatásának folyamatos monitorozásá</w:t>
      </w:r>
      <w:r w:rsidR="006222C9" w:rsidRPr="00181755">
        <w:rPr>
          <w:rFonts w:asciiTheme="minorHAnsi" w:hAnsiTheme="minorHAnsi"/>
        </w:rPr>
        <w:t>t</w:t>
      </w:r>
      <w:r w:rsidR="00221776" w:rsidRPr="00181755">
        <w:rPr>
          <w:rFonts w:asciiTheme="minorHAnsi" w:hAnsiTheme="minorHAnsi"/>
        </w:rPr>
        <w:t>,</w:t>
      </w:r>
    </w:p>
    <w:p w14:paraId="66B15442" w14:textId="7F11BBF1" w:rsidR="00C022C2" w:rsidRPr="00181755" w:rsidRDefault="00962BF2" w:rsidP="00181755">
      <w:pPr>
        <w:numPr>
          <w:ilvl w:val="0"/>
          <w:numId w:val="13"/>
        </w:numPr>
        <w:rPr>
          <w:rFonts w:asciiTheme="minorHAnsi" w:hAnsiTheme="minorHAnsi"/>
        </w:rPr>
      </w:pPr>
      <w:r w:rsidRPr="00181755">
        <w:rPr>
          <w:rFonts w:asciiTheme="minorHAnsi" w:hAnsiTheme="minorHAnsi"/>
        </w:rPr>
        <w:t>rendelkezzenek megfelelő ismeretekkel a lehetséges jövőbeni trendekkel és az árfolyam volatilitással kapcsolatosan</w:t>
      </w:r>
      <w:r w:rsidR="00221776" w:rsidRPr="00181755">
        <w:rPr>
          <w:rFonts w:asciiTheme="minorHAnsi" w:hAnsiTheme="minorHAnsi"/>
        </w:rPr>
        <w:t>,</w:t>
      </w:r>
    </w:p>
    <w:p w14:paraId="2EE59F93" w14:textId="61786B63" w:rsidR="00940552" w:rsidRPr="00181755" w:rsidRDefault="00D75FE5" w:rsidP="00181755">
      <w:pPr>
        <w:numPr>
          <w:ilvl w:val="0"/>
          <w:numId w:val="13"/>
        </w:numPr>
        <w:rPr>
          <w:rFonts w:asciiTheme="minorHAnsi" w:hAnsiTheme="minorHAnsi"/>
        </w:rPr>
      </w:pPr>
      <w:r w:rsidRPr="00181755">
        <w:rPr>
          <w:rFonts w:asciiTheme="minorHAnsi" w:hAnsiTheme="minorHAnsi"/>
        </w:rPr>
        <w:t>fedezetértékelési szabályzat</w:t>
      </w:r>
      <w:r w:rsidR="00A10DCA" w:rsidRPr="00181755">
        <w:rPr>
          <w:rFonts w:asciiTheme="minorHAnsi" w:hAnsiTheme="minorHAnsi"/>
        </w:rPr>
        <w:t>uk</w:t>
      </w:r>
      <w:r w:rsidRPr="00181755">
        <w:rPr>
          <w:rFonts w:asciiTheme="minorHAnsi" w:hAnsiTheme="minorHAnsi"/>
        </w:rPr>
        <w:t>ba építsék bele a devizában denominált fedezetek</w:t>
      </w:r>
      <w:r w:rsidR="00E67E1D" w:rsidRPr="00181755">
        <w:rPr>
          <w:rFonts w:asciiTheme="minorHAnsi" w:hAnsiTheme="minorHAnsi"/>
        </w:rPr>
        <w:t xml:space="preserve"> miatti magasabb kockázat prudens kezelésére vonatkozó szabályokat </w:t>
      </w:r>
      <w:r w:rsidR="00A10DCA" w:rsidRPr="00181755">
        <w:rPr>
          <w:rFonts w:asciiTheme="minorHAnsi" w:hAnsiTheme="minorHAnsi"/>
        </w:rPr>
        <w:t>(pl.: ma</w:t>
      </w:r>
      <w:r w:rsidR="00E67E1D" w:rsidRPr="00181755">
        <w:rPr>
          <w:rFonts w:asciiTheme="minorHAnsi" w:hAnsiTheme="minorHAnsi"/>
        </w:rPr>
        <w:t>gasabb haircut-ok alkalmazása révén</w:t>
      </w:r>
      <w:r w:rsidR="00A10DCA" w:rsidRPr="00181755">
        <w:rPr>
          <w:rFonts w:asciiTheme="minorHAnsi" w:hAnsiTheme="minorHAnsi"/>
        </w:rPr>
        <w:t>)</w:t>
      </w:r>
      <w:r w:rsidRPr="00181755">
        <w:rPr>
          <w:rFonts w:asciiTheme="minorHAnsi" w:hAnsiTheme="minorHAnsi"/>
        </w:rPr>
        <w:t xml:space="preserve">, </w:t>
      </w:r>
      <w:r w:rsidR="00A10DCA" w:rsidRPr="00181755">
        <w:rPr>
          <w:rFonts w:asciiTheme="minorHAnsi" w:hAnsiTheme="minorHAnsi"/>
        </w:rPr>
        <w:t xml:space="preserve">valamint </w:t>
      </w:r>
      <w:r w:rsidR="00E67E1D" w:rsidRPr="00181755">
        <w:rPr>
          <w:rFonts w:asciiTheme="minorHAnsi" w:hAnsiTheme="minorHAnsi"/>
        </w:rPr>
        <w:t xml:space="preserve">rögzítsék </w:t>
      </w:r>
      <w:r w:rsidR="00A10DCA" w:rsidRPr="00181755">
        <w:rPr>
          <w:rFonts w:asciiTheme="minorHAnsi" w:hAnsiTheme="minorHAnsi"/>
        </w:rPr>
        <w:t xml:space="preserve">a </w:t>
      </w:r>
      <w:r w:rsidRPr="00181755">
        <w:rPr>
          <w:rFonts w:asciiTheme="minorHAnsi" w:hAnsiTheme="minorHAnsi"/>
        </w:rPr>
        <w:t xml:space="preserve">kitettség és </w:t>
      </w:r>
      <w:r w:rsidR="00A10DCA" w:rsidRPr="00181755">
        <w:rPr>
          <w:rFonts w:asciiTheme="minorHAnsi" w:hAnsiTheme="minorHAnsi"/>
        </w:rPr>
        <w:t xml:space="preserve">a </w:t>
      </w:r>
      <w:r w:rsidRPr="00181755">
        <w:rPr>
          <w:rFonts w:asciiTheme="minorHAnsi" w:hAnsiTheme="minorHAnsi"/>
        </w:rPr>
        <w:t>fedezet eltérő devizanem</w:t>
      </w:r>
      <w:r w:rsidR="00E67E1D" w:rsidRPr="00181755">
        <w:rPr>
          <w:rFonts w:asciiTheme="minorHAnsi" w:hAnsiTheme="minorHAnsi"/>
        </w:rPr>
        <w:t>é</w:t>
      </w:r>
      <w:r w:rsidRPr="00181755">
        <w:rPr>
          <w:rFonts w:asciiTheme="minorHAnsi" w:hAnsiTheme="minorHAnsi"/>
        </w:rPr>
        <w:t>ből fakadó devizaeltérés</w:t>
      </w:r>
      <w:r w:rsidR="00E67E1D" w:rsidRPr="00181755">
        <w:rPr>
          <w:rFonts w:asciiTheme="minorHAnsi" w:hAnsiTheme="minorHAnsi"/>
        </w:rPr>
        <w:t xml:space="preserve"> (FX mismatch)</w:t>
      </w:r>
      <w:r w:rsidRPr="00181755">
        <w:rPr>
          <w:rFonts w:asciiTheme="minorHAnsi" w:hAnsiTheme="minorHAnsi"/>
        </w:rPr>
        <w:t xml:space="preserve"> kezel</w:t>
      </w:r>
      <w:r w:rsidR="00E67E1D" w:rsidRPr="00181755">
        <w:rPr>
          <w:rFonts w:asciiTheme="minorHAnsi" w:hAnsiTheme="minorHAnsi"/>
        </w:rPr>
        <w:t>ésére vonatkozó előírásokat</w:t>
      </w:r>
      <w:r w:rsidRPr="00181755">
        <w:rPr>
          <w:rFonts w:asciiTheme="minorHAnsi" w:hAnsiTheme="minorHAnsi"/>
        </w:rPr>
        <w:t>;</w:t>
      </w:r>
      <w:r w:rsidR="000B53CC" w:rsidRPr="00181755">
        <w:rPr>
          <w:rFonts w:asciiTheme="minorHAnsi" w:hAnsiTheme="minorHAnsi"/>
        </w:rPr>
        <w:t xml:space="preserve"> </w:t>
      </w:r>
      <w:r w:rsidR="00822D50" w:rsidRPr="00181755">
        <w:rPr>
          <w:rFonts w:asciiTheme="minorHAnsi" w:hAnsiTheme="minorHAnsi"/>
        </w:rPr>
        <w:t>rendszeres időközönként vizsgálják felül a deviza hitelt felvevő ügyfelek fedezeti pozícióját</w:t>
      </w:r>
      <w:r w:rsidR="00221776" w:rsidRPr="00181755">
        <w:rPr>
          <w:rFonts w:asciiTheme="minorHAnsi" w:hAnsiTheme="minorHAnsi"/>
        </w:rPr>
        <w:t>,</w:t>
      </w:r>
    </w:p>
    <w:p w14:paraId="29D04FA7" w14:textId="6D1AE7CE" w:rsidR="00940552" w:rsidRPr="00181755" w:rsidRDefault="00940552" w:rsidP="00181755">
      <w:pPr>
        <w:numPr>
          <w:ilvl w:val="0"/>
          <w:numId w:val="13"/>
        </w:numPr>
        <w:rPr>
          <w:rFonts w:asciiTheme="minorHAnsi" w:hAnsiTheme="minorHAnsi"/>
        </w:rPr>
      </w:pPr>
      <w:r w:rsidRPr="00181755">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181755">
        <w:rPr>
          <w:rFonts w:asciiTheme="minorHAnsi" w:hAnsiTheme="minorHAnsi"/>
        </w:rPr>
        <w:t>,</w:t>
      </w:r>
    </w:p>
    <w:p w14:paraId="66B15444" w14:textId="65D1ED85" w:rsidR="00822D50" w:rsidRPr="00181755" w:rsidRDefault="00940552" w:rsidP="00181755">
      <w:pPr>
        <w:numPr>
          <w:ilvl w:val="0"/>
          <w:numId w:val="13"/>
        </w:numPr>
        <w:rPr>
          <w:rFonts w:asciiTheme="minorHAnsi" w:hAnsiTheme="minorHAnsi"/>
        </w:rPr>
      </w:pPr>
      <w:r w:rsidRPr="00181755">
        <w:rPr>
          <w:rFonts w:asciiTheme="minorHAnsi" w:hAnsiTheme="minorHAnsi"/>
        </w:rPr>
        <w:t>építsenek bele egy potenciális árfolyamsokk hatást az EAD kalkulációjukba</w:t>
      </w:r>
      <w:r w:rsidR="00822D50" w:rsidRPr="00181755">
        <w:rPr>
          <w:rFonts w:asciiTheme="minorHAnsi" w:hAnsiTheme="minorHAnsi"/>
        </w:rPr>
        <w:t xml:space="preserve">. </w:t>
      </w:r>
    </w:p>
    <w:p w14:paraId="66B15445" w14:textId="77777777" w:rsidR="00822D50" w:rsidRPr="00181755" w:rsidRDefault="00822D50" w:rsidP="00181755">
      <w:pPr>
        <w:rPr>
          <w:rFonts w:asciiTheme="minorHAnsi" w:hAnsiTheme="minorHAnsi"/>
        </w:rPr>
      </w:pPr>
      <w:r w:rsidRPr="00181755">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181755" w:rsidRDefault="00B729EB" w:rsidP="00181755">
      <w:pPr>
        <w:numPr>
          <w:ilvl w:val="0"/>
          <w:numId w:val="14"/>
        </w:numPr>
        <w:rPr>
          <w:rFonts w:asciiTheme="minorHAnsi" w:hAnsiTheme="minorHAnsi"/>
        </w:rPr>
      </w:pPr>
      <w:r w:rsidRPr="00181755">
        <w:rPr>
          <w:rFonts w:asciiTheme="minorHAnsi" w:hAnsiTheme="minorHAnsi"/>
        </w:rPr>
        <w:t>a piaci kockázat és hitelkockázat között fennálló nem lineáris viszonyt megfelelő folyamatokkal értékeljék,</w:t>
      </w:r>
    </w:p>
    <w:p w14:paraId="66B15447" w14:textId="3C3BC026" w:rsidR="00B729EB" w:rsidRPr="00181755" w:rsidRDefault="00B729EB" w:rsidP="00181755">
      <w:pPr>
        <w:numPr>
          <w:ilvl w:val="0"/>
          <w:numId w:val="14"/>
        </w:numPr>
        <w:rPr>
          <w:rFonts w:asciiTheme="minorHAnsi" w:hAnsiTheme="minorHAnsi"/>
        </w:rPr>
      </w:pPr>
      <w:r w:rsidRPr="00181755">
        <w:rPr>
          <w:rFonts w:asciiTheme="minorHAnsi" w:hAnsiTheme="minorHAnsi"/>
        </w:rPr>
        <w:t>pr</w:t>
      </w:r>
      <w:r w:rsidR="001D6E01" w:rsidRPr="00181755">
        <w:rPr>
          <w:rFonts w:asciiTheme="minorHAnsi" w:hAnsiTheme="minorHAnsi"/>
        </w:rPr>
        <w:t>u</w:t>
      </w:r>
      <w:r w:rsidRPr="00181755">
        <w:rPr>
          <w:rFonts w:asciiTheme="minorHAnsi" w:hAnsiTheme="minorHAnsi"/>
        </w:rPr>
        <w:t>dens, előretekintő módon határozzák meg a kapcsolódó tőkeszükségletet, figyelembe véve a koncentrációs kockázatot is (domináns devizák)</w:t>
      </w:r>
      <w:r w:rsidR="00221776" w:rsidRPr="00181755">
        <w:rPr>
          <w:rFonts w:asciiTheme="minorHAnsi" w:hAnsiTheme="minorHAnsi"/>
        </w:rPr>
        <w:t>,</w:t>
      </w:r>
    </w:p>
    <w:p w14:paraId="66B15448" w14:textId="77777777" w:rsidR="00B729EB" w:rsidRPr="00181755" w:rsidRDefault="00B729EB" w:rsidP="00181755">
      <w:pPr>
        <w:numPr>
          <w:ilvl w:val="0"/>
          <w:numId w:val="14"/>
        </w:numPr>
        <w:rPr>
          <w:rFonts w:asciiTheme="minorHAnsi" w:hAnsiTheme="minorHAnsi"/>
        </w:rPr>
      </w:pPr>
      <w:r w:rsidRPr="00181755">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181755" w:rsidRDefault="00B729EB" w:rsidP="00181755">
      <w:pPr>
        <w:numPr>
          <w:ilvl w:val="0"/>
          <w:numId w:val="14"/>
        </w:numPr>
        <w:rPr>
          <w:rFonts w:asciiTheme="minorHAnsi" w:hAnsiTheme="minorHAnsi"/>
        </w:rPr>
      </w:pPr>
      <w:r w:rsidRPr="00181755">
        <w:rPr>
          <w:rFonts w:asciiTheme="minorHAnsi" w:hAnsiTheme="minorHAnsi"/>
        </w:rPr>
        <w:t>A stressz</w:t>
      </w:r>
      <w:r w:rsidR="00CE29ED" w:rsidRPr="00181755">
        <w:rPr>
          <w:rFonts w:asciiTheme="minorHAnsi" w:hAnsiTheme="minorHAnsi"/>
        </w:rPr>
        <w:t>-</w:t>
      </w:r>
      <w:r w:rsidRPr="00181755">
        <w:rPr>
          <w:rFonts w:asciiTheme="minorHAnsi" w:hAnsiTheme="minorHAnsi"/>
        </w:rPr>
        <w:t>tesztek során alkalmazzanak kellően súlyos szcenáriókat.</w:t>
      </w:r>
    </w:p>
    <w:p w14:paraId="66B1544B" w14:textId="5B428EAD" w:rsidR="00FA437F" w:rsidRPr="00181755" w:rsidRDefault="00FA437F" w:rsidP="00181755">
      <w:pPr>
        <w:rPr>
          <w:rFonts w:asciiTheme="minorHAnsi" w:hAnsiTheme="minorHAnsi"/>
        </w:rPr>
      </w:pPr>
      <w:r w:rsidRPr="00181755">
        <w:rPr>
          <w:rFonts w:asciiTheme="minorHAnsi" w:hAnsiTheme="minorHAnsi"/>
        </w:rPr>
        <w:t>Az ICAAP felülvizsgálat során a devizahitelezés kockázatkezelése kapcsán az MNB értékeli</w:t>
      </w:r>
      <w:r w:rsidR="00415926" w:rsidRPr="00181755">
        <w:rPr>
          <w:rFonts w:asciiTheme="minorHAnsi" w:hAnsiTheme="minorHAnsi"/>
        </w:rPr>
        <w:t xml:space="preserve"> a fenti szempontrendszer mentén, hogy</w:t>
      </w:r>
      <w:r w:rsidRPr="00181755">
        <w:rPr>
          <w:rFonts w:asciiTheme="minorHAnsi" w:hAnsiTheme="minorHAnsi"/>
        </w:rPr>
        <w:t xml:space="preserve"> a devizahitelezés kockázatának kezelési és tőkeszámítási folyamatai</w:t>
      </w:r>
      <w:r w:rsidR="00D36CD1" w:rsidRPr="00181755">
        <w:rPr>
          <w:rFonts w:asciiTheme="minorHAnsi" w:hAnsiTheme="minorHAnsi"/>
        </w:rPr>
        <w:t>, illetve modelljei</w:t>
      </w:r>
      <w:r w:rsidRPr="00181755">
        <w:rPr>
          <w:rFonts w:asciiTheme="minorHAnsi" w:hAnsiTheme="minorHAnsi"/>
        </w:rPr>
        <w:t xml:space="preserve"> megfelelően kialakítottak-e, </w:t>
      </w:r>
      <w:r w:rsidR="00D75FE5" w:rsidRPr="00181755">
        <w:rPr>
          <w:rFonts w:asciiTheme="minorHAnsi" w:hAnsiTheme="minorHAnsi"/>
        </w:rPr>
        <w:t>valamint</w:t>
      </w:r>
      <w:r w:rsidRPr="00181755">
        <w:rPr>
          <w:rFonts w:asciiTheme="minorHAnsi" w:hAnsiTheme="minorHAnsi"/>
        </w:rPr>
        <w:t xml:space="preserve"> </w:t>
      </w:r>
      <w:r w:rsidR="00415926" w:rsidRPr="00181755">
        <w:rPr>
          <w:rFonts w:asciiTheme="minorHAnsi" w:hAnsiTheme="minorHAnsi"/>
        </w:rPr>
        <w:t xml:space="preserve">vizsgálja </w:t>
      </w:r>
      <w:r w:rsidRPr="00181755">
        <w:rPr>
          <w:rFonts w:asciiTheme="minorHAnsi" w:hAnsiTheme="minorHAnsi"/>
        </w:rPr>
        <w:t>a kockázat fedezéséhez számított tőkeszükséglet megfelelőségét.</w:t>
      </w:r>
    </w:p>
    <w:p w14:paraId="66B1544D" w14:textId="4B355097" w:rsidR="00624DFD" w:rsidRPr="00181755" w:rsidRDefault="00FA437F" w:rsidP="00181755">
      <w:pPr>
        <w:spacing w:after="240"/>
        <w:rPr>
          <w:rFonts w:asciiTheme="minorHAnsi" w:hAnsiTheme="minorHAnsi"/>
        </w:rPr>
      </w:pPr>
      <w:r w:rsidRPr="00181755">
        <w:rPr>
          <w:rFonts w:asciiTheme="minorHAnsi" w:hAnsiTheme="minorHAnsi"/>
        </w:rPr>
        <w:t xml:space="preserve">Amennyiben </w:t>
      </w:r>
      <w:r w:rsidR="00940552" w:rsidRPr="00181755">
        <w:rPr>
          <w:rFonts w:asciiTheme="minorHAnsi" w:hAnsiTheme="minorHAnsi"/>
        </w:rPr>
        <w:t xml:space="preserve">az MNB </w:t>
      </w:r>
      <w:r w:rsidRPr="00181755">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77777777" w:rsidR="00D04A5F" w:rsidRPr="00181755" w:rsidRDefault="00D04A5F" w:rsidP="00181755">
      <w:pPr>
        <w:pStyle w:val="Cmsor4"/>
        <w:rPr>
          <w:rFonts w:asciiTheme="minorHAnsi" w:hAnsiTheme="minorHAnsi"/>
        </w:rPr>
      </w:pPr>
      <w:bookmarkStart w:id="784" w:name="_Toc461095216"/>
      <w:bookmarkStart w:id="785" w:name="_Toc461179872"/>
      <w:bookmarkStart w:id="786" w:name="_Toc461201315"/>
      <w:bookmarkStart w:id="787" w:name="_Toc461547958"/>
      <w:bookmarkStart w:id="788" w:name="_Toc462401997"/>
      <w:bookmarkStart w:id="789" w:name="_Toc462403118"/>
      <w:bookmarkStart w:id="790" w:name="_Toc462403442"/>
      <w:bookmarkStart w:id="791" w:name="_Toc468180561"/>
      <w:bookmarkStart w:id="792" w:name="_Toc468181070"/>
      <w:bookmarkStart w:id="793" w:name="_Toc468191456"/>
      <w:r w:rsidRPr="00181755">
        <w:rPr>
          <w:rFonts w:asciiTheme="minorHAnsi" w:hAnsiTheme="minorHAnsi"/>
        </w:rPr>
        <w:t>Reziduális kockázat</w:t>
      </w:r>
      <w:bookmarkEnd w:id="784"/>
      <w:bookmarkEnd w:id="785"/>
      <w:bookmarkEnd w:id="786"/>
      <w:bookmarkEnd w:id="787"/>
      <w:bookmarkEnd w:id="788"/>
      <w:bookmarkEnd w:id="789"/>
      <w:bookmarkEnd w:id="790"/>
      <w:bookmarkEnd w:id="791"/>
      <w:bookmarkEnd w:id="792"/>
      <w:bookmarkEnd w:id="793"/>
    </w:p>
    <w:p w14:paraId="2C1EE7AB" w14:textId="77777777" w:rsidR="00D463B2" w:rsidRPr="00181755" w:rsidRDefault="00D463B2" w:rsidP="00181755">
      <w:pPr>
        <w:rPr>
          <w:rFonts w:asciiTheme="minorHAnsi" w:hAnsiTheme="minorHAnsi"/>
          <w:b/>
        </w:rPr>
      </w:pPr>
      <w:r w:rsidRPr="00181755">
        <w:rPr>
          <w:rFonts w:asciiTheme="minorHAnsi" w:hAnsiTheme="minorHAnsi"/>
          <w:b/>
        </w:rPr>
        <w:t>Definíció</w:t>
      </w:r>
    </w:p>
    <w:p w14:paraId="66B1544F" w14:textId="38AA6051" w:rsidR="00D04A5F" w:rsidRPr="00181755" w:rsidRDefault="00D04A5F" w:rsidP="00181755">
      <w:pPr>
        <w:rPr>
          <w:rFonts w:asciiTheme="minorHAnsi" w:hAnsiTheme="minorHAnsi"/>
        </w:rPr>
      </w:pPr>
      <w:r w:rsidRPr="00181755">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181755" w:rsidRDefault="00D04A5F" w:rsidP="00181755">
      <w:pPr>
        <w:rPr>
          <w:rFonts w:asciiTheme="minorHAnsi" w:hAnsiTheme="minorHAnsi"/>
        </w:rPr>
      </w:pPr>
      <w:r w:rsidRPr="00181755">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181755">
        <w:rPr>
          <w:rFonts w:asciiTheme="minorHAnsi" w:hAnsiTheme="minorHAnsi"/>
        </w:rPr>
        <w:t>ációs</w:t>
      </w:r>
      <w:r w:rsidRPr="00181755">
        <w:rPr>
          <w:rFonts w:asciiTheme="minorHAnsi" w:hAnsiTheme="minorHAnsi"/>
        </w:rPr>
        <w:t xml:space="preserve"> kockázat), amely a kockázatcsökkentés hatását ronthatja. </w:t>
      </w:r>
    </w:p>
    <w:p w14:paraId="66B15451" w14:textId="77777777" w:rsidR="00D04A5F" w:rsidRPr="00181755" w:rsidRDefault="00D04A5F" w:rsidP="00181755">
      <w:pPr>
        <w:rPr>
          <w:rFonts w:asciiTheme="minorHAnsi" w:hAnsiTheme="minorHAnsi"/>
        </w:rPr>
      </w:pPr>
      <w:r w:rsidRPr="00181755">
        <w:rPr>
          <w:rFonts w:asciiTheme="minorHAnsi" w:hAnsiTheme="minorHAnsi"/>
        </w:rPr>
        <w:t xml:space="preserve">Ez a helyzet például akkor, </w:t>
      </w:r>
    </w:p>
    <w:p w14:paraId="66B15452" w14:textId="730133D7" w:rsidR="00D04A5F" w:rsidRPr="00181755" w:rsidRDefault="00D04A5F" w:rsidP="00181755">
      <w:pPr>
        <w:pStyle w:val="felsorolsos"/>
        <w:rPr>
          <w:rFonts w:asciiTheme="minorHAnsi" w:hAnsiTheme="minorHAnsi"/>
        </w:rPr>
      </w:pPr>
      <w:r w:rsidRPr="00181755">
        <w:rPr>
          <w:rFonts w:asciiTheme="minorHAnsi" w:hAnsiTheme="minorHAnsi"/>
        </w:rPr>
        <w:t>ha az ügyfél nemteljesítését követően a fedezet érvényesítése akadályokba ütközik vagy túlságosan időigényes</w:t>
      </w:r>
      <w:r w:rsidR="00221776" w:rsidRPr="00181755">
        <w:rPr>
          <w:rFonts w:asciiTheme="minorHAnsi" w:hAnsiTheme="minorHAnsi"/>
          <w:lang w:val="hu-HU"/>
        </w:rPr>
        <w:t>,</w:t>
      </w:r>
    </w:p>
    <w:p w14:paraId="66B15453" w14:textId="77777777" w:rsidR="00D04A5F" w:rsidRPr="00181755" w:rsidRDefault="00D04A5F" w:rsidP="00181755">
      <w:pPr>
        <w:pStyle w:val="felsorolsos"/>
        <w:rPr>
          <w:rFonts w:asciiTheme="minorHAnsi" w:hAnsiTheme="minorHAnsi"/>
        </w:rPr>
      </w:pPr>
      <w:r w:rsidRPr="00181755">
        <w:rPr>
          <w:rFonts w:asciiTheme="minorHAnsi" w:hAnsiTheme="minorHAnsi"/>
        </w:rPr>
        <w:t>ha a biztosítékok értékelése nem volt megfelelő (pl. túlértékelés).</w:t>
      </w:r>
    </w:p>
    <w:p w14:paraId="02A7F7EA" w14:textId="5692A1E4" w:rsidR="00D463B2" w:rsidRPr="00181755" w:rsidRDefault="00D463B2" w:rsidP="00181755">
      <w:pPr>
        <w:rPr>
          <w:rFonts w:asciiTheme="minorHAnsi" w:hAnsiTheme="minorHAnsi"/>
          <w:b/>
        </w:rPr>
      </w:pPr>
      <w:r w:rsidRPr="00181755">
        <w:rPr>
          <w:rFonts w:asciiTheme="minorHAnsi" w:hAnsiTheme="minorHAnsi"/>
          <w:b/>
        </w:rPr>
        <w:t>Kockázatértékelés és -kezelés</w:t>
      </w:r>
    </w:p>
    <w:p w14:paraId="19360255" w14:textId="77777777" w:rsidR="00EF222D" w:rsidRPr="00181755" w:rsidRDefault="00D04A5F" w:rsidP="00181755">
      <w:pPr>
        <w:rPr>
          <w:rFonts w:asciiTheme="minorHAnsi" w:hAnsiTheme="minorHAnsi"/>
        </w:rPr>
      </w:pPr>
      <w:r w:rsidRPr="00181755">
        <w:rPr>
          <w:rFonts w:asciiTheme="minorHAnsi" w:hAnsiTheme="minorHAnsi"/>
        </w:rPr>
        <w:t xml:space="preserve">A reziduális kockázatot </w:t>
      </w:r>
      <w:r w:rsidR="00217983" w:rsidRPr="00181755">
        <w:rPr>
          <w:rFonts w:asciiTheme="minorHAnsi" w:hAnsiTheme="minorHAnsi"/>
        </w:rPr>
        <w:t xml:space="preserve">alapvetően </w:t>
      </w:r>
      <w:r w:rsidRPr="00181755">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181755">
        <w:rPr>
          <w:rFonts w:asciiTheme="minorHAnsi" w:hAnsiTheme="minorHAnsi"/>
        </w:rPr>
        <w:t xml:space="preserve"> </w:t>
      </w:r>
    </w:p>
    <w:p w14:paraId="0E03345B" w14:textId="6CF2457F" w:rsidR="00EF222D" w:rsidRPr="00181755" w:rsidRDefault="00EF222D" w:rsidP="00181755">
      <w:pPr>
        <w:rPr>
          <w:rFonts w:asciiTheme="minorHAnsi" w:hAnsiTheme="minorHAnsi"/>
        </w:rPr>
      </w:pPr>
      <w:r w:rsidRPr="00181755">
        <w:rPr>
          <w:rFonts w:asciiTheme="minorHAnsi" w:hAnsiTheme="minorHAnsi"/>
        </w:rPr>
        <w:t>A reziduális kockázat nyomon követésére</w:t>
      </w:r>
      <w:r w:rsidR="00B3599C" w:rsidRPr="00181755">
        <w:rPr>
          <w:rFonts w:asciiTheme="minorHAnsi" w:hAnsiTheme="minorHAnsi"/>
        </w:rPr>
        <w:t xml:space="preserve"> és mérséklésére</w:t>
      </w:r>
      <w:r w:rsidRPr="00181755">
        <w:rPr>
          <w:rFonts w:asciiTheme="minorHAnsi" w:hAnsiTheme="minorHAnsi"/>
        </w:rPr>
        <w:t xml:space="preserve"> szolgál</w:t>
      </w:r>
      <w:r w:rsidR="00B3599C" w:rsidRPr="00181755">
        <w:rPr>
          <w:rFonts w:asciiTheme="minorHAnsi" w:hAnsiTheme="minorHAnsi"/>
        </w:rPr>
        <w:t>hatnak a kockázati</w:t>
      </w:r>
      <w:r w:rsidRPr="00181755">
        <w:rPr>
          <w:rFonts w:asciiTheme="minorHAnsi" w:hAnsiTheme="minorHAnsi"/>
        </w:rPr>
        <w:t xml:space="preserve"> limitek is. A</w:t>
      </w:r>
      <w:r w:rsidR="00A8489E" w:rsidRPr="00181755">
        <w:rPr>
          <w:rFonts w:asciiTheme="minorHAnsi" w:hAnsiTheme="minorHAnsi"/>
        </w:rPr>
        <w:t>z intézmény</w:t>
      </w:r>
      <w:r w:rsidRPr="00181755">
        <w:rPr>
          <w:rFonts w:asciiTheme="minorHAnsi" w:hAnsiTheme="minorHAnsi"/>
        </w:rPr>
        <w:t xml:space="preserve"> reziduális kockázati limitek (többek között </w:t>
      </w:r>
      <w:r w:rsidR="00B3599C" w:rsidRPr="00181755">
        <w:rPr>
          <w:rFonts w:asciiTheme="minorHAnsi" w:hAnsiTheme="minorHAnsi"/>
        </w:rPr>
        <w:t xml:space="preserve">i) </w:t>
      </w:r>
      <w:r w:rsidRPr="00181755">
        <w:rPr>
          <w:rFonts w:asciiTheme="minorHAnsi" w:hAnsiTheme="minorHAnsi"/>
        </w:rPr>
        <w:t xml:space="preserve">fedezetek érvényesíthetőségéhez (pl.: garanciák lehívhatóságának sikeressége), </w:t>
      </w:r>
      <w:r w:rsidR="00B3599C" w:rsidRPr="00181755">
        <w:rPr>
          <w:rFonts w:asciiTheme="minorHAnsi" w:hAnsiTheme="minorHAnsi"/>
        </w:rPr>
        <w:t xml:space="preserve">ii) </w:t>
      </w:r>
      <w:r w:rsidRPr="00181755">
        <w:rPr>
          <w:rFonts w:asciiTheme="minorHAnsi" w:hAnsiTheme="minorHAnsi"/>
        </w:rPr>
        <w:t>ingatlanárak jelentős elmozdulásához (pl.: árindex változása),</w:t>
      </w:r>
      <w:r w:rsidR="00B3599C" w:rsidRPr="00181755">
        <w:rPr>
          <w:rFonts w:asciiTheme="minorHAnsi" w:hAnsiTheme="minorHAnsi"/>
        </w:rPr>
        <w:t xml:space="preserve"> valamint iii)</w:t>
      </w:r>
      <w:r w:rsidRPr="00181755">
        <w:rPr>
          <w:rFonts w:asciiTheme="minorHAnsi" w:hAnsiTheme="minorHAnsi"/>
        </w:rPr>
        <w:t xml:space="preserve"> fedezetekhez kapcsolódó csalások, jogi eljárások gyakoriságához, veszteségéhez (akár </w:t>
      </w:r>
      <w:r w:rsidR="00221776" w:rsidRPr="00181755">
        <w:rPr>
          <w:rFonts w:asciiTheme="minorHAnsi" w:hAnsiTheme="minorHAnsi"/>
        </w:rPr>
        <w:t>működési kockázaton</w:t>
      </w:r>
      <w:r w:rsidRPr="00181755">
        <w:rPr>
          <w:rFonts w:asciiTheme="minorHAnsi" w:hAnsiTheme="minorHAnsi"/>
        </w:rPr>
        <w:t xml:space="preserve"> belül) kapcsolódó limitek) alkalmazásával korlátozhatja a kockázatát. Fontos, hogy a szakmai terület meghatározott időközönként beszámoljon a vezető</w:t>
      </w:r>
      <w:r w:rsidR="001547F9" w:rsidRPr="00181755">
        <w:rPr>
          <w:rFonts w:asciiTheme="minorHAnsi" w:hAnsiTheme="minorHAnsi"/>
        </w:rPr>
        <w:t xml:space="preserve"> ter</w:t>
      </w:r>
      <w:r w:rsidR="00B3599C" w:rsidRPr="00181755">
        <w:rPr>
          <w:rFonts w:asciiTheme="minorHAnsi" w:hAnsiTheme="minorHAnsi"/>
        </w:rPr>
        <w:t>ületnek</w:t>
      </w:r>
      <w:r w:rsidRPr="00181755">
        <w:rPr>
          <w:rFonts w:asciiTheme="minorHAnsi" w:hAnsiTheme="minorHAnsi"/>
        </w:rPr>
        <w:t xml:space="preserve"> a limitek eredményeiről, </w:t>
      </w:r>
      <w:r w:rsidR="00B3599C" w:rsidRPr="00181755">
        <w:rPr>
          <w:rFonts w:asciiTheme="minorHAnsi" w:hAnsiTheme="minorHAnsi"/>
        </w:rPr>
        <w:t>vagy</w:t>
      </w:r>
      <w:r w:rsidRPr="00181755">
        <w:rPr>
          <w:rFonts w:asciiTheme="minorHAnsi" w:hAnsiTheme="minorHAnsi"/>
        </w:rPr>
        <w:t xml:space="preserve"> legalább az effektív trigger szintet </w:t>
      </w:r>
      <w:r w:rsidR="00B3599C" w:rsidRPr="00181755">
        <w:rPr>
          <w:rFonts w:asciiTheme="minorHAnsi" w:hAnsiTheme="minorHAnsi"/>
        </w:rPr>
        <w:t xml:space="preserve">elérő, vagy azt </w:t>
      </w:r>
      <w:r w:rsidRPr="00181755">
        <w:rPr>
          <w:rFonts w:asciiTheme="minorHAnsi" w:hAnsiTheme="minorHAnsi"/>
        </w:rPr>
        <w:t>meghaladó értékekről és a</w:t>
      </w:r>
      <w:r w:rsidR="00B3599C" w:rsidRPr="00181755">
        <w:rPr>
          <w:rFonts w:asciiTheme="minorHAnsi" w:hAnsiTheme="minorHAnsi"/>
        </w:rPr>
        <w:t xml:space="preserve"> megfogalmazott </w:t>
      </w:r>
      <w:r w:rsidRPr="00181755">
        <w:rPr>
          <w:rFonts w:asciiTheme="minorHAnsi" w:hAnsiTheme="minorHAnsi"/>
        </w:rPr>
        <w:t>akciótervekről, végrehajtott intézkedésekről.</w:t>
      </w:r>
    </w:p>
    <w:p w14:paraId="56A9BB7D" w14:textId="2B0C29CA" w:rsidR="00221776" w:rsidRPr="00181755" w:rsidRDefault="00D04A5F" w:rsidP="00181755">
      <w:pPr>
        <w:rPr>
          <w:rFonts w:asciiTheme="minorHAnsi" w:hAnsiTheme="minorHAnsi"/>
          <w:b/>
        </w:rPr>
      </w:pPr>
      <w:r w:rsidRPr="00181755">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58" w14:textId="77777777" w:rsidR="00D04A5F" w:rsidRPr="00181755" w:rsidRDefault="00D04A5F" w:rsidP="00181755">
      <w:pPr>
        <w:rPr>
          <w:rFonts w:asciiTheme="minorHAnsi" w:hAnsiTheme="minorHAnsi"/>
        </w:rPr>
      </w:pPr>
      <w:r w:rsidRPr="00181755">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50D48C82" w:rsidR="00173F45" w:rsidRPr="00181755" w:rsidRDefault="00D04A5F" w:rsidP="00181755">
      <w:pPr>
        <w:rPr>
          <w:rFonts w:asciiTheme="minorHAnsi" w:hAnsiTheme="minorHAnsi"/>
        </w:rPr>
      </w:pPr>
      <w:r w:rsidRPr="00181755">
        <w:rPr>
          <w:rFonts w:asciiTheme="minorHAnsi" w:hAnsiTheme="minorHAnsi"/>
        </w:rPr>
        <w:t>Az MNB a</w:t>
      </w:r>
      <w:r w:rsidR="00173F45" w:rsidRPr="00181755">
        <w:rPr>
          <w:rFonts w:asciiTheme="minorHAnsi" w:hAnsiTheme="minorHAnsi"/>
        </w:rPr>
        <w:t xml:space="preserve"> komplex SREP alá tartozó intézmények esetén a</w:t>
      </w:r>
      <w:r w:rsidRPr="00181755">
        <w:rPr>
          <w:rFonts w:asciiTheme="minorHAnsi" w:hAnsiTheme="minorHAnsi"/>
        </w:rPr>
        <w:t xml:space="preserve"> reziduális kockázatok számbavételének módját és tőkekövetelményét </w:t>
      </w:r>
      <w:r w:rsidR="00173F45" w:rsidRPr="00181755">
        <w:rPr>
          <w:rFonts w:asciiTheme="minorHAnsi" w:hAnsiTheme="minorHAnsi"/>
        </w:rPr>
        <w:t>elsősorban</w:t>
      </w:r>
      <w:r w:rsidRPr="00181755">
        <w:rPr>
          <w:rFonts w:asciiTheme="minorHAnsi" w:hAnsiTheme="minorHAnsi"/>
        </w:rPr>
        <w:t xml:space="preserve"> csak az LGD-becslés</w:t>
      </w:r>
      <w:r w:rsidR="00415B0D" w:rsidRPr="00181755">
        <w:rPr>
          <w:rFonts w:asciiTheme="minorHAnsi" w:hAnsiTheme="minorHAnsi"/>
        </w:rPr>
        <w:t>i</w:t>
      </w:r>
      <w:r w:rsidRPr="00181755">
        <w:rPr>
          <w:rFonts w:asciiTheme="minorHAnsi" w:hAnsiTheme="minorHAnsi"/>
        </w:rPr>
        <w:t xml:space="preserve"> módszertan</w:t>
      </w:r>
      <w:r w:rsidR="006E72B6" w:rsidRPr="00181755">
        <w:rPr>
          <w:rFonts w:asciiTheme="minorHAnsi" w:hAnsiTheme="minorHAnsi"/>
        </w:rPr>
        <w:t xml:space="preserve"> vonatkozásában</w:t>
      </w:r>
      <w:r w:rsidRPr="00181755">
        <w:rPr>
          <w:rFonts w:asciiTheme="minorHAnsi" w:hAnsiTheme="minorHAnsi"/>
        </w:rPr>
        <w:t xml:space="preserve"> </w:t>
      </w:r>
      <w:r w:rsidR="00251CC1" w:rsidRPr="00181755">
        <w:rPr>
          <w:rFonts w:asciiTheme="minorHAnsi" w:hAnsiTheme="minorHAnsi"/>
        </w:rPr>
        <w:t>vizsgálja</w:t>
      </w:r>
      <w:r w:rsidRPr="00181755">
        <w:rPr>
          <w:rFonts w:asciiTheme="minorHAnsi" w:hAnsiTheme="minorHAnsi"/>
        </w:rPr>
        <w:t xml:space="preserve">. Léteznek ugyanakkor a reziduális kockázatokkal kapcsolatosan olyan felügyeleti elvárások is, melyek </w:t>
      </w:r>
      <w:r w:rsidR="00173F45" w:rsidRPr="00181755">
        <w:rPr>
          <w:rFonts w:asciiTheme="minorHAnsi" w:hAnsiTheme="minorHAnsi"/>
        </w:rPr>
        <w:t xml:space="preserve">többek között </w:t>
      </w:r>
      <w:r w:rsidRPr="00181755">
        <w:rPr>
          <w:rFonts w:asciiTheme="minorHAnsi" w:hAnsiTheme="minorHAnsi"/>
        </w:rPr>
        <w:t xml:space="preserve">a </w:t>
      </w:r>
      <w:r w:rsidR="00173F45" w:rsidRPr="00181755">
        <w:rPr>
          <w:rFonts w:asciiTheme="minorHAnsi" w:hAnsiTheme="minorHAnsi"/>
        </w:rPr>
        <w:t>fedezetek kezelését, értékelését, nyilvántartását, érvényesíthetőségét érintik</w:t>
      </w:r>
      <w:r w:rsidR="00415B0D" w:rsidRPr="00181755">
        <w:rPr>
          <w:rFonts w:asciiTheme="minorHAnsi" w:hAnsiTheme="minorHAnsi"/>
        </w:rPr>
        <w:t xml:space="preserve">, amelyeket az MNB jellemzően a folyamatos felügyelés </w:t>
      </w:r>
      <w:r w:rsidR="00382AD3" w:rsidRPr="00181755">
        <w:rPr>
          <w:rFonts w:asciiTheme="minorHAnsi" w:hAnsiTheme="minorHAnsi"/>
        </w:rPr>
        <w:t>keretében</w:t>
      </w:r>
      <w:r w:rsidR="00415B0D" w:rsidRPr="00181755">
        <w:rPr>
          <w:rFonts w:asciiTheme="minorHAnsi" w:hAnsiTheme="minorHAnsi"/>
        </w:rPr>
        <w:t>, valamint az átfogó és célvizsg</w:t>
      </w:r>
      <w:r w:rsidR="00382AD3" w:rsidRPr="00181755">
        <w:rPr>
          <w:rFonts w:asciiTheme="minorHAnsi" w:hAnsiTheme="minorHAnsi"/>
        </w:rPr>
        <w:t>álatok sorá</w:t>
      </w:r>
      <w:r w:rsidR="00415B0D" w:rsidRPr="00181755">
        <w:rPr>
          <w:rFonts w:asciiTheme="minorHAnsi" w:hAnsiTheme="minorHAnsi"/>
        </w:rPr>
        <w:t>n értékel</w:t>
      </w:r>
      <w:r w:rsidR="00173F45" w:rsidRPr="00181755">
        <w:rPr>
          <w:rFonts w:asciiTheme="minorHAnsi" w:hAnsiTheme="minorHAnsi"/>
        </w:rPr>
        <w:t xml:space="preserve">. </w:t>
      </w:r>
    </w:p>
    <w:p w14:paraId="66B15459" w14:textId="71839080" w:rsidR="00D04A5F" w:rsidRPr="00181755" w:rsidRDefault="006E72B6" w:rsidP="00181755">
      <w:pPr>
        <w:rPr>
          <w:rFonts w:asciiTheme="minorHAnsi" w:hAnsiTheme="minorHAnsi"/>
        </w:rPr>
      </w:pPr>
      <w:r w:rsidRPr="00181755">
        <w:rPr>
          <w:rFonts w:asciiTheme="minorHAnsi" w:hAnsiTheme="minorHAnsi"/>
        </w:rPr>
        <w:t>Az MNB a komplex SREP alá tartozó intézményekkel szemben minimálisan a következőket várja el</w:t>
      </w:r>
      <w:r w:rsidR="0015018C" w:rsidRPr="00181755">
        <w:rPr>
          <w:rFonts w:asciiTheme="minorHAnsi" w:hAnsiTheme="minorHAnsi"/>
        </w:rPr>
        <w:t xml:space="preserve"> az ICAAP felülvizsgálat keretében</w:t>
      </w:r>
      <w:r w:rsidRPr="00181755">
        <w:rPr>
          <w:rFonts w:asciiTheme="minorHAnsi" w:hAnsiTheme="minorHAnsi"/>
        </w:rPr>
        <w:t>:</w:t>
      </w:r>
      <w:r w:rsidR="00D04A5F" w:rsidRPr="00181755">
        <w:rPr>
          <w:rFonts w:asciiTheme="minorHAnsi" w:hAnsiTheme="minorHAnsi"/>
        </w:rPr>
        <w:t xml:space="preserve"> </w:t>
      </w:r>
    </w:p>
    <w:p w14:paraId="11699DF8" w14:textId="5F10643D" w:rsidR="00D90D8D" w:rsidRPr="00181755" w:rsidRDefault="00D90D8D" w:rsidP="00181755">
      <w:pPr>
        <w:pStyle w:val="felsorolsos"/>
        <w:rPr>
          <w:rFonts w:asciiTheme="minorHAnsi" w:hAnsiTheme="minorHAnsi"/>
        </w:rPr>
      </w:pPr>
      <w:r w:rsidRPr="00181755">
        <w:rPr>
          <w:rFonts w:asciiTheme="minorHAnsi" w:hAnsiTheme="minorHAnsi"/>
          <w:lang w:val="hu-HU"/>
        </w:rPr>
        <w:t xml:space="preserve">Az intézmények mérjék fel és monitoringozzák a </w:t>
      </w:r>
      <w:r w:rsidR="00382AD3" w:rsidRPr="00181755">
        <w:rPr>
          <w:rFonts w:asciiTheme="minorHAnsi" w:hAnsiTheme="minorHAnsi"/>
          <w:lang w:val="hu-HU"/>
        </w:rPr>
        <w:t xml:space="preserve">kezesek és a </w:t>
      </w:r>
      <w:r w:rsidRPr="00181755">
        <w:rPr>
          <w:rFonts w:asciiTheme="minorHAnsi" w:hAnsiTheme="minorHAnsi"/>
          <w:lang w:val="hu-HU"/>
        </w:rPr>
        <w:t>fedezetek megoszlását</w:t>
      </w:r>
      <w:r w:rsidR="00415B0D" w:rsidRPr="00181755">
        <w:rPr>
          <w:rFonts w:asciiTheme="minorHAnsi" w:hAnsiTheme="minorHAnsi"/>
          <w:lang w:val="hu-HU"/>
        </w:rPr>
        <w:t xml:space="preserve">, valamint indokolt esetben </w:t>
      </w:r>
      <w:r w:rsidR="00382AD3" w:rsidRPr="00181755">
        <w:rPr>
          <w:rFonts w:asciiTheme="minorHAnsi" w:hAnsiTheme="minorHAnsi"/>
          <w:lang w:val="hu-HU"/>
        </w:rPr>
        <w:t>(</w:t>
      </w:r>
      <w:r w:rsidR="0015018C" w:rsidRPr="00181755">
        <w:rPr>
          <w:rFonts w:asciiTheme="minorHAnsi" w:hAnsiTheme="minorHAnsi"/>
          <w:lang w:val="hu-HU"/>
        </w:rPr>
        <w:t xml:space="preserve">pl.: </w:t>
      </w:r>
      <w:r w:rsidR="00382AD3" w:rsidRPr="00181755">
        <w:rPr>
          <w:rFonts w:asciiTheme="minorHAnsi" w:hAnsiTheme="minorHAnsi"/>
          <w:lang w:val="hu-HU"/>
        </w:rPr>
        <w:t xml:space="preserve">jelentős koncentráció esetén) </w:t>
      </w:r>
      <w:r w:rsidR="00415B0D" w:rsidRPr="00181755">
        <w:rPr>
          <w:rFonts w:asciiTheme="minorHAnsi" w:hAnsiTheme="minorHAnsi"/>
          <w:lang w:val="hu-HU"/>
        </w:rPr>
        <w:t>tegyék meg a szükséges intézkedéseket</w:t>
      </w:r>
      <w:r w:rsidRPr="00181755">
        <w:rPr>
          <w:rFonts w:asciiTheme="minorHAnsi" w:hAnsiTheme="minorHAnsi"/>
          <w:lang w:val="hu-HU"/>
        </w:rPr>
        <w:t xml:space="preserve">.  </w:t>
      </w:r>
    </w:p>
    <w:p w14:paraId="66B1545A" w14:textId="77777777" w:rsidR="00D04A5F" w:rsidRPr="00181755" w:rsidRDefault="00D04A5F" w:rsidP="00181755">
      <w:pPr>
        <w:pStyle w:val="felsorolsos"/>
        <w:rPr>
          <w:rFonts w:asciiTheme="minorHAnsi" w:hAnsiTheme="minorHAnsi"/>
        </w:rPr>
      </w:pPr>
      <w:r w:rsidRPr="00181755">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181755" w:rsidRDefault="00415B0D" w:rsidP="00181755">
      <w:pPr>
        <w:pStyle w:val="felsorolsos"/>
        <w:rPr>
          <w:rFonts w:asciiTheme="minorHAnsi" w:hAnsiTheme="minorHAnsi"/>
        </w:rPr>
      </w:pPr>
      <w:r w:rsidRPr="00181755">
        <w:rPr>
          <w:rFonts w:asciiTheme="minorHAnsi" w:hAnsiTheme="minorHAnsi"/>
          <w:lang w:val="hu-HU"/>
        </w:rPr>
        <w:t>Az intézmények gyűjtsék a fedezetekből származó</w:t>
      </w:r>
      <w:r w:rsidR="002E6DDC" w:rsidRPr="00181755">
        <w:rPr>
          <w:rFonts w:asciiTheme="minorHAnsi" w:hAnsiTheme="minorHAnsi"/>
          <w:lang w:val="hu-HU"/>
        </w:rPr>
        <w:t xml:space="preserve"> megtérülési</w:t>
      </w:r>
      <w:r w:rsidRPr="00181755">
        <w:rPr>
          <w:rFonts w:asciiTheme="minorHAnsi" w:hAnsiTheme="minorHAnsi"/>
          <w:lang w:val="hu-HU"/>
        </w:rPr>
        <w:t xml:space="preserve"> adatokat, a megtérüléshez kapcsolódó költségeket, valamint </w:t>
      </w:r>
      <w:r w:rsidR="00221776" w:rsidRPr="00181755">
        <w:rPr>
          <w:rFonts w:asciiTheme="minorHAnsi" w:hAnsiTheme="minorHAnsi"/>
        </w:rPr>
        <w:t>készítsenek</w:t>
      </w:r>
      <w:r w:rsidR="00D04A5F" w:rsidRPr="00181755">
        <w:rPr>
          <w:rFonts w:asciiTheme="minorHAnsi" w:hAnsiTheme="minorHAnsi"/>
        </w:rPr>
        <w:t xml:space="preserve"> rendszeres elemzést a </w:t>
      </w:r>
      <w:r w:rsidR="0015018C" w:rsidRPr="00181755">
        <w:rPr>
          <w:rFonts w:asciiTheme="minorHAnsi" w:hAnsiTheme="minorHAnsi"/>
          <w:lang w:val="hu-HU"/>
        </w:rPr>
        <w:t>tapasztalatokról</w:t>
      </w:r>
      <w:r w:rsidR="00D04A5F" w:rsidRPr="00181755">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181755" w:rsidRDefault="00D04A5F" w:rsidP="00181755">
      <w:pPr>
        <w:pStyle w:val="felsorolsos"/>
        <w:rPr>
          <w:rFonts w:asciiTheme="minorHAnsi" w:hAnsiTheme="minorHAnsi"/>
        </w:rPr>
      </w:pPr>
      <w:r w:rsidRPr="00181755">
        <w:rPr>
          <w:rFonts w:asciiTheme="minorHAnsi" w:hAnsiTheme="minorHAnsi"/>
        </w:rPr>
        <w:t>Dolgozzanak ki részletes módszertant a fedezetérték-diszkontok</w:t>
      </w:r>
      <w:r w:rsidR="00ED4831" w:rsidRPr="00181755">
        <w:rPr>
          <w:rFonts w:asciiTheme="minorHAnsi" w:hAnsiTheme="minorHAnsi"/>
          <w:lang w:val="hu-HU"/>
        </w:rPr>
        <w:t>ra vonatkozó</w:t>
      </w:r>
      <w:r w:rsidRPr="00181755">
        <w:rPr>
          <w:rFonts w:asciiTheme="minorHAnsi" w:hAnsiTheme="minorHAnsi"/>
        </w:rPr>
        <w:t xml:space="preserve"> szabályok felülvizsgálatára</w:t>
      </w:r>
      <w:r w:rsidR="00217983" w:rsidRPr="00181755">
        <w:rPr>
          <w:rFonts w:asciiTheme="minorHAnsi" w:hAnsiTheme="minorHAnsi"/>
          <w:lang w:val="hu-HU"/>
        </w:rPr>
        <w:t xml:space="preserve"> és visszamérésére</w:t>
      </w:r>
      <w:r w:rsidRPr="00181755">
        <w:rPr>
          <w:rFonts w:asciiTheme="minorHAnsi" w:hAnsiTheme="minorHAnsi"/>
        </w:rPr>
        <w:t xml:space="preserve"> vonatkozóan</w:t>
      </w:r>
      <w:r w:rsidR="00415B0D" w:rsidRPr="00181755">
        <w:rPr>
          <w:rFonts w:asciiTheme="minorHAnsi" w:hAnsiTheme="minorHAnsi"/>
          <w:lang w:val="hu-HU"/>
        </w:rPr>
        <w:t xml:space="preserve">. Az intézményeknek legalább évente </w:t>
      </w:r>
      <w:r w:rsidR="006C158A" w:rsidRPr="00181755">
        <w:rPr>
          <w:rFonts w:asciiTheme="minorHAnsi" w:hAnsiTheme="minorHAnsi"/>
          <w:lang w:val="hu-HU"/>
        </w:rPr>
        <w:t xml:space="preserve">dokumentáltan </w:t>
      </w:r>
      <w:r w:rsidR="00415B0D" w:rsidRPr="00181755">
        <w:rPr>
          <w:rFonts w:asciiTheme="minorHAnsi" w:hAnsiTheme="minorHAnsi"/>
          <w:lang w:val="hu-HU"/>
        </w:rPr>
        <w:t xml:space="preserve">szükséges </w:t>
      </w:r>
      <w:r w:rsidR="001C6619" w:rsidRPr="00181755">
        <w:rPr>
          <w:rFonts w:asciiTheme="minorHAnsi" w:hAnsiTheme="minorHAnsi"/>
          <w:lang w:val="hu-HU"/>
        </w:rPr>
        <w:t xml:space="preserve">visszamérniük </w:t>
      </w:r>
      <w:r w:rsidR="00415B0D" w:rsidRPr="00181755">
        <w:rPr>
          <w:rFonts w:asciiTheme="minorHAnsi" w:hAnsiTheme="minorHAnsi"/>
          <w:lang w:val="hu-HU"/>
        </w:rPr>
        <w:t>az általuk alkalmazott fedezet</w:t>
      </w:r>
      <w:r w:rsidR="00382AD3" w:rsidRPr="00181755">
        <w:rPr>
          <w:rFonts w:asciiTheme="minorHAnsi" w:hAnsiTheme="minorHAnsi"/>
          <w:lang w:val="hu-HU"/>
        </w:rPr>
        <w:t>érték diszkontok</w:t>
      </w:r>
      <w:r w:rsidR="00415B0D" w:rsidRPr="00181755">
        <w:rPr>
          <w:rFonts w:asciiTheme="minorHAnsi" w:hAnsiTheme="minorHAnsi"/>
          <w:lang w:val="hu-HU"/>
        </w:rPr>
        <w:t xml:space="preserve"> </w:t>
      </w:r>
      <w:r w:rsidR="001C6619" w:rsidRPr="00181755">
        <w:rPr>
          <w:rFonts w:asciiTheme="minorHAnsi" w:hAnsiTheme="minorHAnsi"/>
          <w:lang w:val="hu-HU"/>
        </w:rPr>
        <w:t xml:space="preserve">megfelelőségét </w:t>
      </w:r>
      <w:r w:rsidR="00415B0D" w:rsidRPr="00181755">
        <w:rPr>
          <w:rFonts w:asciiTheme="minorHAnsi" w:hAnsiTheme="minorHAnsi"/>
          <w:lang w:val="hu-HU"/>
        </w:rPr>
        <w:t>a tényleges tapasztalatok,</w:t>
      </w:r>
      <w:r w:rsidR="001C6619" w:rsidRPr="00181755">
        <w:rPr>
          <w:rFonts w:asciiTheme="minorHAnsi" w:hAnsiTheme="minorHAnsi"/>
          <w:lang w:val="hu-HU"/>
        </w:rPr>
        <w:t xml:space="preserve"> illetve a</w:t>
      </w:r>
      <w:r w:rsidR="00415B0D" w:rsidRPr="00181755">
        <w:rPr>
          <w:rFonts w:asciiTheme="minorHAnsi" w:hAnsiTheme="minorHAnsi"/>
          <w:lang w:val="hu-HU"/>
        </w:rPr>
        <w:t xml:space="preserve"> fedezeti megtérülési adatok alapján.</w:t>
      </w:r>
      <w:r w:rsidR="001C6619" w:rsidRPr="00181755">
        <w:rPr>
          <w:rFonts w:asciiTheme="minorHAnsi" w:hAnsiTheme="minorHAnsi"/>
          <w:lang w:val="hu-HU"/>
        </w:rPr>
        <w:t xml:space="preserve"> Amennyiben a visszamérés eredménye indokolja, akkor szükséges a </w:t>
      </w:r>
      <w:r w:rsidR="00430BA0" w:rsidRPr="00181755">
        <w:rPr>
          <w:rFonts w:asciiTheme="minorHAnsi" w:hAnsiTheme="minorHAnsi"/>
          <w:lang w:val="hu-HU"/>
        </w:rPr>
        <w:t>diszkontokat m</w:t>
      </w:r>
      <w:r w:rsidR="001C6619" w:rsidRPr="00181755">
        <w:rPr>
          <w:rFonts w:asciiTheme="minorHAnsi" w:hAnsiTheme="minorHAnsi"/>
          <w:lang w:val="hu-HU"/>
        </w:rPr>
        <w:t>ódosít</w:t>
      </w:r>
      <w:r w:rsidR="00430BA0" w:rsidRPr="00181755">
        <w:rPr>
          <w:rFonts w:asciiTheme="minorHAnsi" w:hAnsiTheme="minorHAnsi"/>
          <w:lang w:val="hu-HU"/>
        </w:rPr>
        <w:t>ani</w:t>
      </w:r>
      <w:r w:rsidR="001C6619" w:rsidRPr="00181755">
        <w:rPr>
          <w:rFonts w:asciiTheme="minorHAnsi" w:hAnsiTheme="minorHAnsi"/>
          <w:lang w:val="hu-HU"/>
        </w:rPr>
        <w:t xml:space="preserve">. </w:t>
      </w:r>
    </w:p>
    <w:p w14:paraId="2AA2CC91" w14:textId="365155E1" w:rsidR="00382AD3" w:rsidRPr="00181755" w:rsidRDefault="00382AD3" w:rsidP="00181755">
      <w:pPr>
        <w:pStyle w:val="felsorolsos"/>
        <w:rPr>
          <w:rFonts w:asciiTheme="minorHAnsi" w:hAnsiTheme="minorHAnsi"/>
        </w:rPr>
      </w:pPr>
      <w:r w:rsidRPr="00181755">
        <w:rPr>
          <w:rFonts w:asciiTheme="minorHAnsi" w:hAnsiTheme="minorHAnsi"/>
          <w:lang w:val="hu-HU"/>
        </w:rPr>
        <w:t xml:space="preserve">Az intézmények vizsgálják a fedezet és a </w:t>
      </w:r>
      <w:r w:rsidR="00A30417" w:rsidRPr="00181755">
        <w:rPr>
          <w:rFonts w:asciiTheme="minorHAnsi" w:hAnsiTheme="minorHAnsi"/>
          <w:lang w:val="hu-HU"/>
        </w:rPr>
        <w:t>fedezetnyújtó</w:t>
      </w:r>
      <w:r w:rsidRPr="00181755">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181755">
        <w:rPr>
          <w:rFonts w:asciiTheme="minorHAnsi" w:hAnsiTheme="minorHAnsi"/>
          <w:lang w:val="hu-HU"/>
        </w:rPr>
        <w:t xml:space="preserve">egyéb </w:t>
      </w:r>
      <w:r w:rsidRPr="00181755">
        <w:rPr>
          <w:rFonts w:asciiTheme="minorHAnsi" w:hAnsiTheme="minorHAnsi"/>
          <w:lang w:val="hu-HU"/>
        </w:rPr>
        <w:t>konzervatív pótlék alkalmazásával)</w:t>
      </w:r>
      <w:r w:rsidR="00A30417" w:rsidRPr="00181755">
        <w:rPr>
          <w:rStyle w:val="Lbjegyzet-hivatkozs"/>
          <w:rFonts w:asciiTheme="minorHAnsi" w:hAnsiTheme="minorHAnsi"/>
          <w:lang w:val="hu-HU"/>
        </w:rPr>
        <w:footnoteReference w:id="43"/>
      </w:r>
      <w:r w:rsidRPr="00181755">
        <w:rPr>
          <w:rFonts w:asciiTheme="minorHAnsi" w:hAnsiTheme="minorHAnsi"/>
          <w:lang w:val="hu-HU"/>
        </w:rPr>
        <w:t xml:space="preserve">. </w:t>
      </w:r>
    </w:p>
    <w:p w14:paraId="383DC7F8" w14:textId="0C0D9312" w:rsidR="00430BA0" w:rsidRPr="00181755" w:rsidRDefault="00217983" w:rsidP="00181755">
      <w:pPr>
        <w:pStyle w:val="felsorolsos"/>
        <w:rPr>
          <w:rFonts w:asciiTheme="minorHAnsi" w:hAnsiTheme="minorHAnsi"/>
        </w:rPr>
      </w:pPr>
      <w:r w:rsidRPr="00181755">
        <w:rPr>
          <w:rFonts w:asciiTheme="minorHAnsi" w:hAnsiTheme="minorHAnsi"/>
          <w:lang w:val="hu-HU"/>
        </w:rPr>
        <w:t xml:space="preserve">Az intézmények </w:t>
      </w:r>
      <w:r w:rsidR="00430BA0" w:rsidRPr="00181755">
        <w:rPr>
          <w:rFonts w:asciiTheme="minorHAnsi" w:hAnsiTheme="minorHAnsi"/>
          <w:lang w:val="hu-HU"/>
        </w:rPr>
        <w:t xml:space="preserve">megfelelően kezeljék </w:t>
      </w:r>
      <w:r w:rsidRPr="00181755">
        <w:rPr>
          <w:rFonts w:asciiTheme="minorHAnsi" w:hAnsiTheme="minorHAnsi"/>
          <w:lang w:val="hu-HU"/>
        </w:rPr>
        <w:t>a rendszereikben</w:t>
      </w:r>
      <w:r w:rsidR="00430BA0" w:rsidRPr="00181755">
        <w:rPr>
          <w:rFonts w:asciiTheme="minorHAnsi" w:hAnsiTheme="minorHAnsi"/>
          <w:lang w:val="hu-HU"/>
        </w:rPr>
        <w:t>, a kockázatkezelésükben és a tőkeszámításuk</w:t>
      </w:r>
      <w:r w:rsidR="0015018C" w:rsidRPr="00181755">
        <w:rPr>
          <w:rFonts w:asciiTheme="minorHAnsi" w:hAnsiTheme="minorHAnsi"/>
          <w:lang w:val="hu-HU"/>
        </w:rPr>
        <w:t>ban</w:t>
      </w:r>
      <w:r w:rsidRPr="00181755">
        <w:rPr>
          <w:rFonts w:asciiTheme="minorHAnsi" w:hAnsiTheme="minorHAnsi"/>
          <w:lang w:val="hu-HU"/>
        </w:rPr>
        <w:t xml:space="preserve"> a fedezet</w:t>
      </w:r>
      <w:r w:rsidR="0015018C" w:rsidRPr="00181755">
        <w:rPr>
          <w:rFonts w:asciiTheme="minorHAnsi" w:hAnsiTheme="minorHAnsi"/>
          <w:lang w:val="hu-HU"/>
        </w:rPr>
        <w:t>-</w:t>
      </w:r>
      <w:r w:rsidR="00430BA0" w:rsidRPr="00181755">
        <w:rPr>
          <w:rFonts w:asciiTheme="minorHAnsi" w:hAnsiTheme="minorHAnsi"/>
          <w:lang w:val="hu-HU"/>
        </w:rPr>
        <w:t>ügylet</w:t>
      </w:r>
      <w:r w:rsidR="0015018C" w:rsidRPr="00181755">
        <w:rPr>
          <w:rFonts w:asciiTheme="minorHAnsi" w:hAnsiTheme="minorHAnsi"/>
          <w:lang w:val="hu-HU"/>
        </w:rPr>
        <w:t xml:space="preserve"> </w:t>
      </w:r>
      <w:r w:rsidRPr="00181755">
        <w:rPr>
          <w:rFonts w:asciiTheme="minorHAnsi" w:hAnsiTheme="minorHAnsi"/>
          <w:lang w:val="hu-HU"/>
        </w:rPr>
        <w:t>alloká</w:t>
      </w:r>
      <w:r w:rsidR="0015018C" w:rsidRPr="00181755">
        <w:rPr>
          <w:rFonts w:asciiTheme="minorHAnsi" w:hAnsiTheme="minorHAnsi"/>
          <w:lang w:val="hu-HU"/>
        </w:rPr>
        <w:t>ció</w:t>
      </w:r>
      <w:r w:rsidR="00430BA0" w:rsidRPr="00181755">
        <w:rPr>
          <w:rFonts w:asciiTheme="minorHAnsi" w:hAnsiTheme="minorHAnsi"/>
          <w:lang w:val="hu-HU"/>
        </w:rPr>
        <w:t>t</w:t>
      </w:r>
      <w:r w:rsidR="00D04A5F" w:rsidRPr="00181755">
        <w:rPr>
          <w:rFonts w:asciiTheme="minorHAnsi" w:hAnsiTheme="minorHAnsi"/>
        </w:rPr>
        <w:t>.</w:t>
      </w:r>
    </w:p>
    <w:p w14:paraId="1B900A52" w14:textId="6F741C5D" w:rsidR="00D04A5F" w:rsidRPr="00181755" w:rsidRDefault="00430BA0"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intézmények a saját LGD becslésükben </w:t>
      </w:r>
      <w:r w:rsidR="00C92CA9" w:rsidRPr="00181755">
        <w:rPr>
          <w:rFonts w:asciiTheme="minorHAnsi" w:hAnsiTheme="minorHAnsi"/>
          <w:lang w:val="hu-HU"/>
        </w:rPr>
        <w:t xml:space="preserve">vegyék </w:t>
      </w:r>
      <w:r w:rsidRPr="00181755">
        <w:rPr>
          <w:rFonts w:asciiTheme="minorHAnsi" w:hAnsiTheme="minorHAnsi"/>
          <w:lang w:val="hu-HU"/>
        </w:rPr>
        <w:t>figyelembe a</w:t>
      </w:r>
      <w:r w:rsidR="0015018C" w:rsidRPr="00181755">
        <w:rPr>
          <w:rFonts w:asciiTheme="minorHAnsi" w:hAnsiTheme="minorHAnsi"/>
          <w:lang w:val="hu-HU"/>
        </w:rPr>
        <w:t>z alkalmazott fedezeti érték meghatározásánál a</w:t>
      </w:r>
      <w:r w:rsidRPr="00181755">
        <w:rPr>
          <w:rFonts w:asciiTheme="minorHAnsi" w:hAnsiTheme="minorHAnsi"/>
          <w:lang w:val="hu-HU"/>
        </w:rPr>
        <w:t xml:space="preserve"> megelőző terheket, </w:t>
      </w:r>
      <w:r w:rsidR="0015018C" w:rsidRPr="00181755">
        <w:rPr>
          <w:rFonts w:asciiTheme="minorHAnsi" w:hAnsiTheme="minorHAnsi"/>
          <w:lang w:val="hu-HU"/>
        </w:rPr>
        <w:t xml:space="preserve">valamint </w:t>
      </w:r>
      <w:r w:rsidRPr="00181755">
        <w:rPr>
          <w:rFonts w:asciiTheme="minorHAnsi" w:hAnsiTheme="minorHAnsi"/>
          <w:lang w:val="hu-HU"/>
        </w:rPr>
        <w:t xml:space="preserve">a fedezetekből </w:t>
      </w:r>
      <w:r w:rsidR="0015018C" w:rsidRPr="00181755">
        <w:rPr>
          <w:rFonts w:asciiTheme="minorHAnsi" w:hAnsiTheme="minorHAnsi"/>
          <w:lang w:val="hu-HU"/>
        </w:rPr>
        <w:t>származó</w:t>
      </w:r>
      <w:r w:rsidRPr="00181755">
        <w:rPr>
          <w:rFonts w:asciiTheme="minorHAnsi" w:hAnsiTheme="minorHAnsi"/>
          <w:lang w:val="hu-HU"/>
        </w:rPr>
        <w:t xml:space="preserve"> reális </w:t>
      </w:r>
      <w:r w:rsidR="008E5DC9" w:rsidRPr="00181755">
        <w:rPr>
          <w:rFonts w:asciiTheme="minorHAnsi" w:hAnsiTheme="minorHAnsi"/>
          <w:lang w:val="hu-HU"/>
        </w:rPr>
        <w:t>meg</w:t>
      </w:r>
      <w:r w:rsidRPr="00181755">
        <w:rPr>
          <w:rFonts w:asciiTheme="minorHAnsi" w:hAnsiTheme="minorHAnsi"/>
          <w:lang w:val="hu-HU"/>
        </w:rPr>
        <w:t>térülést (pl.: visszamért</w:t>
      </w:r>
      <w:r w:rsidR="0015018C" w:rsidRPr="00181755">
        <w:rPr>
          <w:rFonts w:asciiTheme="minorHAnsi" w:hAnsiTheme="minorHAnsi"/>
          <w:lang w:val="hu-HU"/>
        </w:rPr>
        <w:t xml:space="preserve"> fedezetérték-diszkontok révén). Fontos továbbá, hogy az LGD becslés során az intézmények a</w:t>
      </w:r>
      <w:r w:rsidRPr="00181755">
        <w:rPr>
          <w:rFonts w:asciiTheme="minorHAnsi" w:hAnsiTheme="minorHAnsi"/>
          <w:lang w:val="hu-HU"/>
        </w:rPr>
        <w:t xml:space="preserve"> </w:t>
      </w:r>
      <w:r w:rsidR="008E5DC9" w:rsidRPr="00181755">
        <w:rPr>
          <w:rFonts w:asciiTheme="minorHAnsi" w:hAnsiTheme="minorHAnsi"/>
          <w:lang w:val="hu-HU"/>
        </w:rPr>
        <w:t xml:space="preserve">fedezeti adatokra vonatkozó </w:t>
      </w:r>
      <w:r w:rsidRPr="00181755">
        <w:rPr>
          <w:rFonts w:asciiTheme="minorHAnsi" w:hAnsiTheme="minorHAnsi"/>
          <w:lang w:val="hu-HU"/>
        </w:rPr>
        <w:t xml:space="preserve">megfelelő adatminőséggel </w:t>
      </w:r>
      <w:r w:rsidR="008E5DC9" w:rsidRPr="00181755">
        <w:rPr>
          <w:rFonts w:asciiTheme="minorHAnsi" w:hAnsiTheme="minorHAnsi"/>
          <w:lang w:val="hu-HU"/>
        </w:rPr>
        <w:t xml:space="preserve">biztosítsák a becslés </w:t>
      </w:r>
      <w:r w:rsidR="0015018C" w:rsidRPr="00181755">
        <w:rPr>
          <w:rFonts w:asciiTheme="minorHAnsi" w:hAnsiTheme="minorHAnsi"/>
          <w:lang w:val="hu-HU"/>
        </w:rPr>
        <w:t xml:space="preserve">megfelelőségét és </w:t>
      </w:r>
      <w:r w:rsidR="008E5DC9" w:rsidRPr="00181755">
        <w:rPr>
          <w:rFonts w:asciiTheme="minorHAnsi" w:hAnsiTheme="minorHAnsi"/>
          <w:lang w:val="hu-HU"/>
        </w:rPr>
        <w:t>pontosságát.</w:t>
      </w:r>
    </w:p>
    <w:p w14:paraId="66B1545F" w14:textId="77777777" w:rsidR="003F7941" w:rsidRPr="00181755" w:rsidRDefault="003F7941" w:rsidP="00181755">
      <w:pPr>
        <w:pStyle w:val="Cmsor4"/>
        <w:rPr>
          <w:rStyle w:val="Kiemels"/>
          <w:rFonts w:asciiTheme="minorHAnsi" w:hAnsiTheme="minorHAnsi"/>
          <w:i/>
          <w:iCs/>
        </w:rPr>
      </w:pPr>
      <w:bookmarkStart w:id="794" w:name="_Toc461095217"/>
      <w:bookmarkStart w:id="795" w:name="_Toc461179873"/>
      <w:bookmarkStart w:id="796" w:name="_Toc461201316"/>
      <w:bookmarkStart w:id="797" w:name="_Toc461547959"/>
      <w:bookmarkStart w:id="798" w:name="_Toc462401998"/>
      <w:bookmarkStart w:id="799" w:name="_Toc462403119"/>
      <w:bookmarkStart w:id="800" w:name="_Toc462403443"/>
      <w:bookmarkStart w:id="801" w:name="_Toc468180562"/>
      <w:bookmarkStart w:id="802" w:name="_Toc468181071"/>
      <w:bookmarkStart w:id="803" w:name="_Toc468191457"/>
      <w:r w:rsidRPr="00181755">
        <w:rPr>
          <w:rStyle w:val="Kiemels"/>
          <w:rFonts w:asciiTheme="minorHAnsi" w:hAnsiTheme="minorHAnsi"/>
          <w:i/>
          <w:iCs/>
        </w:rPr>
        <w:t>Elszámolási kockázat (settlement risk)</w:t>
      </w:r>
      <w:bookmarkEnd w:id="794"/>
      <w:bookmarkEnd w:id="795"/>
      <w:bookmarkEnd w:id="796"/>
      <w:bookmarkEnd w:id="797"/>
      <w:bookmarkEnd w:id="798"/>
      <w:bookmarkEnd w:id="799"/>
      <w:bookmarkEnd w:id="800"/>
      <w:bookmarkEnd w:id="801"/>
      <w:bookmarkEnd w:id="802"/>
      <w:bookmarkEnd w:id="803"/>
    </w:p>
    <w:p w14:paraId="4D37C36A" w14:textId="77777777" w:rsidR="00DA5242" w:rsidRPr="00181755" w:rsidRDefault="00DA5242" w:rsidP="00181755">
      <w:pPr>
        <w:rPr>
          <w:rFonts w:asciiTheme="minorHAnsi" w:hAnsiTheme="minorHAnsi"/>
          <w:b/>
        </w:rPr>
      </w:pPr>
      <w:r w:rsidRPr="00181755">
        <w:rPr>
          <w:rFonts w:asciiTheme="minorHAnsi" w:hAnsiTheme="minorHAnsi"/>
          <w:b/>
        </w:rPr>
        <w:t>Definíció</w:t>
      </w:r>
    </w:p>
    <w:p w14:paraId="66B15460" w14:textId="77777777" w:rsidR="003F7941" w:rsidRPr="00181755" w:rsidRDefault="003F7941" w:rsidP="00181755">
      <w:pPr>
        <w:rPr>
          <w:rFonts w:asciiTheme="minorHAnsi" w:hAnsiTheme="minorHAnsi"/>
        </w:rPr>
      </w:pPr>
      <w:r w:rsidRPr="00181755">
        <w:rPr>
          <w:rFonts w:asciiTheme="minorHAnsi" w:hAnsiTheme="minorHAnsi"/>
        </w:rPr>
        <w:t>Az elszámolási kockázat</w:t>
      </w:r>
      <w:r w:rsidRPr="00181755">
        <w:rPr>
          <w:rStyle w:val="Lbjegyzet-hivatkozs"/>
          <w:rFonts w:asciiTheme="minorHAnsi" w:hAnsiTheme="minorHAnsi"/>
        </w:rPr>
        <w:t xml:space="preserve"> </w:t>
      </w:r>
      <w:r w:rsidRPr="00181755">
        <w:rPr>
          <w:rFonts w:asciiTheme="minorHAnsi" w:hAnsiTheme="minorHAnsi"/>
        </w:rPr>
        <w:t>annak a kockázata, hogy egy átutalási rendszeren keresztül lebonyolított elszámolás nem a várt módon teljesül.</w:t>
      </w:r>
      <w:r w:rsidRPr="00181755">
        <w:rPr>
          <w:rStyle w:val="Lbjegyzet-hivatkozs"/>
          <w:rFonts w:asciiTheme="minorHAnsi" w:hAnsiTheme="minorHAnsi"/>
        </w:rPr>
        <w:footnoteReference w:id="44"/>
      </w:r>
      <w:r w:rsidRPr="00181755">
        <w:rPr>
          <w:rFonts w:asciiTheme="minorHAnsi" w:hAnsiTheme="minorHAnsi"/>
        </w:rPr>
        <w:t xml:space="preserve"> Az elszámolási kockázat magában foglalhat hitel- és likviditási kockázati elemeket is.</w:t>
      </w:r>
    </w:p>
    <w:p w14:paraId="66B15461" w14:textId="77777777" w:rsidR="003F7941" w:rsidRPr="00181755" w:rsidRDefault="003F7941" w:rsidP="00181755">
      <w:pPr>
        <w:rPr>
          <w:rFonts w:asciiTheme="minorHAnsi" w:hAnsiTheme="minorHAnsi"/>
        </w:rPr>
      </w:pPr>
      <w:r w:rsidRPr="00181755">
        <w:rPr>
          <w:rFonts w:asciiTheme="minorHAnsi" w:hAnsiTheme="minorHAnsi"/>
        </w:rPr>
        <w:t>A treasury tranzakciók, a kereskedési könyvi tételek (ügyletek), illetve a befektetési szolgáltatási tevékenység keretében kötött tőkepiaci ügyletek a hitelezési és a likviditási kockázat sajátos elegyét alkotó elszámolási kockázatot hordoznak magukban. Az intézmény számára kockázatot jelent, hogy szerződő partnere nem – vagy csak késedelmesen – teljesíti kötelezettségét (pl. fizetés, illetve értékpapír-szállítás). Az intézmények közötti szoros üzleti kapcsolatok következtében ez előidézheti, hogy az eredetileg teljesítő sem képes időben teljesíteni harmadik féllel szembeni tranzakcióiban (pl. a pénzügyi instrumentum rendelkezésre nem állása, illetve likviditási problémák miatt).</w:t>
      </w:r>
    </w:p>
    <w:p w14:paraId="241A9BC7" w14:textId="5C94735E" w:rsidR="00DA5242" w:rsidRPr="00181755" w:rsidRDefault="00DA5242" w:rsidP="00181755">
      <w:pPr>
        <w:rPr>
          <w:rFonts w:asciiTheme="minorHAnsi" w:hAnsiTheme="minorHAnsi"/>
          <w:b/>
        </w:rPr>
      </w:pPr>
      <w:r w:rsidRPr="00181755">
        <w:rPr>
          <w:rFonts w:asciiTheme="minorHAnsi" w:hAnsiTheme="minorHAnsi"/>
          <w:b/>
        </w:rPr>
        <w:t>Kockázatértékelés és -kezelés</w:t>
      </w:r>
    </w:p>
    <w:p w14:paraId="66B15462" w14:textId="43A9354F" w:rsidR="003F7941" w:rsidRPr="00181755" w:rsidRDefault="003F7941" w:rsidP="00181755">
      <w:pPr>
        <w:rPr>
          <w:rFonts w:asciiTheme="minorHAnsi" w:hAnsiTheme="minorHAnsi"/>
        </w:rPr>
      </w:pPr>
      <w:r w:rsidRPr="00181755">
        <w:rPr>
          <w:rFonts w:asciiTheme="minorHAnsi" w:hAnsiTheme="minorHAnsi"/>
        </w:rPr>
        <w:t xml:space="preserve">Az 1. pillérben megjelenő elszámolási/leszállítási kockázat – a CRR a szállítási határidőt követő ötödik naptól (SD+5) pótlólagos tőkekövetelmény-képzést ír elő a (még) nem teljesült ügylet árkülönbözetére – az értékpapír-tranzakciók elszámolásához kapcsolódó kockázatoknak nagyon szűk értelmezését jelenti. A 2. pillérben az MNB által alkalmazott definíció az elszámolási kockázatot az elszámolási rendszerek sajátosságaitól függő, a tranzakciók elszámolása során felmerülő hitelezési és likviditási kockázatok összességeként értelmezi. </w:t>
      </w:r>
    </w:p>
    <w:p w14:paraId="66B15463" w14:textId="6B752A8D" w:rsidR="003F7941" w:rsidRPr="00181755" w:rsidRDefault="003F7941" w:rsidP="00181755">
      <w:pPr>
        <w:rPr>
          <w:rFonts w:asciiTheme="minorHAnsi" w:hAnsiTheme="minorHAnsi"/>
        </w:rPr>
      </w:pPr>
      <w:r w:rsidRPr="00181755">
        <w:rPr>
          <w:rFonts w:asciiTheme="minorHAnsi" w:hAnsiTheme="minorHAnsi"/>
        </w:rPr>
        <w:t>A magyar piacon normál piaci körülmények között az elszámolásokban bekövetkező nem szerződés szerinti teljesítések többnyire technikai jellegűek; késedelemmel történik meg az ügyletek elszámolása.</w:t>
      </w:r>
      <w:r w:rsidRPr="00181755">
        <w:rPr>
          <w:rStyle w:val="Lbjegyzet-hivatkozs"/>
          <w:rFonts w:asciiTheme="minorHAnsi" w:hAnsiTheme="minorHAnsi"/>
        </w:rPr>
        <w:footnoteReference w:id="45"/>
      </w:r>
      <w:r w:rsidRPr="00181755">
        <w:rPr>
          <w:rFonts w:asciiTheme="minorHAnsi" w:hAnsiTheme="minorHAnsi"/>
        </w:rPr>
        <w:t xml:space="preserve"> (Ennek egyik oka például a hosszú, többszereplős letétkezelői láncolatokban való értékpapír-szállítás.) Tekintettel arra, hogy az elszámolási napot követő négy napon belül teljesített (elszámolt) ügyletek is pótlási többletköltséggel járhatnak, illetve hordozhatnak magukban számottevő tőke-, illetve likviditási kockázatot, az MNB az ICAAP keretében ezek nyomon követését, kezelését is szükségesnek ítéli. A CRR a nyitva szállítás kapcsán ugyan előírja, hogy az első (szerződés szerinti) fizetéstől vagy szállítási szakasztól a második (szerződés szerinti) kifizetést vagy szállítási szakaszt követő négy napon belül kockázatként kell kezelni az egyoldalúan teljesített tranzakciót, azonban az MNB</w:t>
      </w:r>
      <w:r w:rsidR="00540601">
        <w:rPr>
          <w:rFonts w:asciiTheme="minorHAnsi" w:hAnsiTheme="minorHAnsi"/>
        </w:rPr>
        <w:t xml:space="preserve"> </w:t>
      </w:r>
      <w:r w:rsidRPr="00181755">
        <w:rPr>
          <w:rFonts w:asciiTheme="minorHAnsi" w:hAnsiTheme="minorHAnsi"/>
        </w:rPr>
        <w:t xml:space="preserve">– az elszámolások kockázatának összetevőiből kiindulva – ennél tágabb definíciót használ, melyet a 2. pillérben kíván érvényesíteni. </w:t>
      </w:r>
    </w:p>
    <w:p w14:paraId="66B15464" w14:textId="77777777" w:rsidR="003F7941" w:rsidRPr="00181755" w:rsidRDefault="003F7941" w:rsidP="00181755">
      <w:pPr>
        <w:rPr>
          <w:rFonts w:asciiTheme="minorHAnsi" w:hAnsiTheme="minorHAnsi"/>
        </w:rPr>
      </w:pPr>
      <w:r w:rsidRPr="00181755">
        <w:rPr>
          <w:rFonts w:asciiTheme="minorHAnsi" w:hAnsiTheme="minorHAnsi"/>
        </w:rPr>
        <w:t xml:space="preserve">A szerződéses érték kockázata (principal risk), abban az esetben fordul elő, ha a tranzakcióban résztvevő nem kapja vissza a nem-teljesítő számára áttranszferált eszközt (pénzt vagy értékpapírt). </w:t>
      </w:r>
    </w:p>
    <w:p w14:paraId="66B15465" w14:textId="77777777" w:rsidR="003F7941" w:rsidRPr="00181755" w:rsidRDefault="003F7941" w:rsidP="00181755">
      <w:pPr>
        <w:rPr>
          <w:rFonts w:asciiTheme="minorHAnsi" w:hAnsiTheme="minorHAnsi"/>
        </w:rPr>
      </w:pPr>
      <w:r w:rsidRPr="00181755">
        <w:rPr>
          <w:rFonts w:asciiTheme="minorHAnsi" w:hAnsiTheme="minorHAnsi"/>
        </w:rPr>
        <w:t>A pótlási költség kockázata (replacement cost risk, pre-settlement risk) a szerződéses érték kockázatánál kisebb mértékű, de a jelenlegi elszámolási rendszerekben nagyobb gyakorlati relevanciával rendelkező kockázati típus. A pótlási költség kockázat tőkekövetelményének számításában a CRR 378. cikkében leírt teljesítési/szállítási kockázat 5-15 napos késedelem esetén számítandó tőkekövetelményének alapul vételét elfogadhatónak tartja az MNB. A kockázat mértékét tehát – ex post – az árfolyam változékonysága, valamint az ügyletkötés és szerződés szerinti teljesítés napja határozza meg. A partner nem-teljesítése (default-ja) az ügyleten elérhető árfolyamnyereség (értékpapír-eladásnál a bekerülési érték – korrigálva a kamatokkal – és a szerződéses ár különbségének) elmaradását jelentheti, vagyis a szerződéses ár és a nem-teljesítéskori árfolyam különbségeként meghatározott pótlási költség kiegészülhet az árfolyam-nyereség elmaradásának „alternatív költségével” is – ha az ügyletet rosszabb árfolyamon (vagy egyáltalán nem) kerül újrakötésre.</w:t>
      </w:r>
    </w:p>
    <w:p w14:paraId="66B15466" w14:textId="77777777" w:rsidR="003F7941" w:rsidRPr="00181755" w:rsidRDefault="003F7941" w:rsidP="00181755">
      <w:pPr>
        <w:rPr>
          <w:rFonts w:asciiTheme="minorHAnsi" w:hAnsiTheme="minorHAnsi"/>
        </w:rPr>
      </w:pPr>
      <w:r w:rsidRPr="00181755">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181755" w:rsidRDefault="003F7941" w:rsidP="00181755">
      <w:pPr>
        <w:pStyle w:val="felsorolsos"/>
        <w:rPr>
          <w:rFonts w:asciiTheme="minorHAnsi" w:hAnsiTheme="minorHAnsi"/>
        </w:rPr>
      </w:pPr>
      <w:r w:rsidRPr="00181755">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181755" w:rsidRDefault="003F7941" w:rsidP="00181755">
      <w:pPr>
        <w:rPr>
          <w:rFonts w:asciiTheme="minorHAnsi" w:hAnsiTheme="minorHAnsi"/>
        </w:rPr>
      </w:pPr>
      <w:r w:rsidRPr="00181755">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6B1546B" w14:textId="57EA3899" w:rsidR="003F7941" w:rsidRPr="00181755" w:rsidRDefault="00DA5242" w:rsidP="00181755">
      <w:pPr>
        <w:rPr>
          <w:rFonts w:asciiTheme="minorHAnsi" w:hAnsiTheme="minorHAnsi"/>
          <w:b/>
        </w:rPr>
      </w:pPr>
      <w:r w:rsidRPr="00181755">
        <w:rPr>
          <w:rFonts w:asciiTheme="minorHAnsi" w:hAnsiTheme="minorHAnsi"/>
          <w:b/>
        </w:rPr>
        <w:t>Tőkeszámítás</w:t>
      </w:r>
    </w:p>
    <w:p w14:paraId="66B1546C" w14:textId="77777777" w:rsidR="003F7941" w:rsidRPr="00181755" w:rsidRDefault="003F7941" w:rsidP="00181755">
      <w:pPr>
        <w:rPr>
          <w:rFonts w:asciiTheme="minorHAnsi" w:hAnsiTheme="minorHAnsi"/>
        </w:rPr>
      </w:pPr>
      <w:r w:rsidRPr="00181755">
        <w:rPr>
          <w:rFonts w:asciiTheme="minorHAnsi" w:hAnsiTheme="minorHAnsi"/>
        </w:rPr>
        <w:t>Miután az elszámolási kockázat hitel- és likviditási kockázatból tevődik össze, kézenfekvő a kockázat építőkocka-modellel történő számszerűsítése. A likviditási és a hitelezési kockázat fejezetekben kifejtett módszerek felhasználhatók, azonban azokat az elszámolási kockázat sajátosságainak megfelelően kell alkalmazni, kombinálni.</w:t>
      </w:r>
    </w:p>
    <w:p w14:paraId="66B1546D" w14:textId="4F8A38D2" w:rsidR="003F7941" w:rsidRPr="00181755" w:rsidRDefault="003F7941" w:rsidP="00181755">
      <w:pPr>
        <w:rPr>
          <w:rFonts w:asciiTheme="minorHAnsi" w:hAnsiTheme="minorHAnsi"/>
        </w:rPr>
      </w:pPr>
      <w:r w:rsidRPr="00181755">
        <w:rPr>
          <w:rFonts w:asciiTheme="minorHAnsi" w:hAnsiTheme="minorHAnsi"/>
        </w:rPr>
        <w:t xml:space="preserve">A szerződéses érték kockázata a hitelkockázat „hagyományos” típusának tekinthető, az ott bemutatott módszerek a mérésére használhatók. A szerződéses érték kockázatát ugyanakkor megszüntetheti, illetve csökkentheti a DVP (delivery versus payment), illetve RVP (receive versus payment) elvű elszámolás, </w:t>
      </w:r>
      <w:r w:rsidR="003922B2" w:rsidRPr="00181755">
        <w:rPr>
          <w:rFonts w:asciiTheme="minorHAnsi" w:hAnsiTheme="minorHAnsi"/>
        </w:rPr>
        <w:t xml:space="preserve">, illetve </w:t>
      </w:r>
      <w:r w:rsidRPr="00181755">
        <w:rPr>
          <w:rFonts w:asciiTheme="minorHAnsi" w:hAnsiTheme="minorHAnsi"/>
        </w:rPr>
        <w:t>a központi szerződő fél</w:t>
      </w:r>
      <w:r w:rsidRPr="00181755">
        <w:rPr>
          <w:rStyle w:val="Lbjegyzet-hivatkozs"/>
          <w:rFonts w:asciiTheme="minorHAnsi" w:hAnsiTheme="minorHAnsi"/>
        </w:rPr>
        <w:footnoteReference w:id="46"/>
      </w:r>
      <w:r w:rsidRPr="00181755">
        <w:rPr>
          <w:rFonts w:asciiTheme="minorHAnsi" w:hAnsiTheme="minorHAnsi"/>
        </w:rPr>
        <w:t xml:space="preserve"> (central counterparty, CCP) partnerek közé állása</w:t>
      </w:r>
      <w:r w:rsidR="00FA0F8F" w:rsidRPr="00181755">
        <w:rPr>
          <w:rFonts w:asciiTheme="minorHAnsi" w:hAnsiTheme="minorHAnsi"/>
        </w:rPr>
        <w:t>, vagy a CLS rendszer</w:t>
      </w:r>
      <w:r w:rsidR="00FA0F8F" w:rsidRPr="00181755">
        <w:rPr>
          <w:rStyle w:val="Lbjegyzet-hivatkozs"/>
          <w:rFonts w:asciiTheme="minorHAnsi" w:hAnsiTheme="minorHAnsi"/>
        </w:rPr>
        <w:footnoteReference w:id="47"/>
      </w:r>
      <w:r w:rsidR="00FA0F8F" w:rsidRPr="00181755">
        <w:rPr>
          <w:rFonts w:asciiTheme="minorHAnsi" w:hAnsiTheme="minorHAnsi"/>
        </w:rPr>
        <w:t xml:space="preserve"> használata</w:t>
      </w:r>
      <w:r w:rsidRPr="00181755">
        <w:rPr>
          <w:rFonts w:asciiTheme="minorHAnsi" w:hAnsiTheme="minorHAnsi"/>
        </w:rPr>
        <w:t>. Mivel az elszámolási rendszerek mechanizmusai – ezen eszközök, elvek alkalmazásával – többnyire biztosítják a szerződéses érték kockázat minimalizálását</w:t>
      </w:r>
      <w:r w:rsidRPr="00181755">
        <w:rPr>
          <w:rStyle w:val="Lbjegyzet-hivatkozs"/>
          <w:rFonts w:asciiTheme="minorHAnsi" w:hAnsiTheme="minorHAnsi"/>
        </w:rPr>
        <w:footnoteReference w:id="48"/>
      </w:r>
      <w:r w:rsidRPr="00181755">
        <w:rPr>
          <w:rFonts w:asciiTheme="minorHAnsi" w:hAnsiTheme="minorHAnsi"/>
        </w:rPr>
        <w:t>, az elszámolóházakon (CCP-ken) keresztüli értékpapír-elszámolások hitelkockázata a pótlási költségre koncentrálódik. Az elszámolóházakon kívül bilaterálisan elszámolt ügyletek során azonban – a partner minősítésétől függően – szükséges figyelembe venni, monitorozni és kezelni a szerződéses érték kockázatát is; ez esetben ugyanis nincs olyan, az ügyletkötő felek között álló harmadik fél, illetve mechanizmus, amely biztosíthatná a DVP (RVP) elv érvényesülését. E tekintetben az intézménytől elvárt a limit- és partnerminősítési rendszerek alkalmazása, és a megfelelő monitoring tevékenység.</w:t>
      </w:r>
    </w:p>
    <w:p w14:paraId="66B1546E" w14:textId="0027AF96" w:rsidR="003F7941" w:rsidRPr="00181755" w:rsidRDefault="003F7941" w:rsidP="00181755">
      <w:pPr>
        <w:rPr>
          <w:rFonts w:asciiTheme="minorHAnsi" w:hAnsiTheme="minorHAnsi"/>
        </w:rPr>
      </w:pPr>
      <w:r w:rsidRPr="00181755">
        <w:rPr>
          <w:rFonts w:asciiTheme="minorHAnsi" w:hAnsiTheme="minorHAnsi"/>
        </w:rPr>
        <w:t>Minél nagyobb a távolság az értékpapír-ügyletben az eladó és vevő között</w:t>
      </w:r>
      <w:r w:rsidR="0055738A" w:rsidRPr="00181755">
        <w:rPr>
          <w:rFonts w:asciiTheme="minorHAnsi" w:hAnsiTheme="minorHAnsi"/>
        </w:rPr>
        <w:t xml:space="preserve"> (a közvetítő partnerek számában vagy az időzónabeli távolságban)</w:t>
      </w:r>
      <w:r w:rsidRPr="00181755">
        <w:rPr>
          <w:rFonts w:asciiTheme="minorHAnsi" w:hAnsiTheme="minorHAnsi"/>
        </w:rPr>
        <w:t>, minél hosszabb a (letétkezelői) láncolat, annál nagyobb a valószínűsége a rész-, késedelmes, illetve nem-teljesítésnek; ekkor a partner- (hitelezési) kockázat hatványozódik.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p>
    <w:p w14:paraId="66B1546F" w14:textId="77777777" w:rsidR="003F7941" w:rsidRPr="00181755" w:rsidRDefault="003F7941" w:rsidP="00181755">
      <w:pPr>
        <w:rPr>
          <w:rFonts w:asciiTheme="minorHAnsi" w:hAnsiTheme="minorHAnsi"/>
        </w:rPr>
      </w:pPr>
      <w:r w:rsidRPr="00181755">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 lehet a pótlólagos tőkeképzés.</w:t>
      </w:r>
    </w:p>
    <w:p w14:paraId="66B15470" w14:textId="77777777" w:rsidR="003F7941" w:rsidRPr="00181755" w:rsidRDefault="003F7941" w:rsidP="00181755">
      <w:pPr>
        <w:rPr>
          <w:rFonts w:asciiTheme="minorHAnsi" w:hAnsiTheme="minorHAnsi"/>
        </w:rPr>
      </w:pPr>
      <w:r w:rsidRPr="00181755">
        <w:rPr>
          <w:rFonts w:asciiTheme="minorHAnsi" w:hAnsiTheme="minorHAnsi"/>
        </w:rPr>
        <w:t>A pótlási költség kockázat mértéke ex post pontosan meghatározható (a fent bemutatottak szerint); ex ante becsülhető, relatív nagysága tekintetében pedig a piac volatilitásának mértéke az irányadó. Az MNB az alábbi képletet tekinti a pótlási költség kockázat fedezetéül szolgáló tőke számításához kiindulópontként:</w:t>
      </w:r>
    </w:p>
    <w:p w14:paraId="66B15471" w14:textId="77777777" w:rsidR="003F7941" w:rsidRPr="00181755" w:rsidRDefault="003F7941" w:rsidP="00181755">
      <w:pPr>
        <w:rPr>
          <w:rFonts w:asciiTheme="minorHAnsi" w:hAnsiTheme="minorHAnsi"/>
        </w:rPr>
      </w:pPr>
      <w:r w:rsidRPr="00181755">
        <w:rPr>
          <w:rFonts w:asciiTheme="minorHAnsi" w:hAnsiTheme="minorHAnsi"/>
        </w:rPr>
        <w:t>(Átlagos napi árfolyamváltozás) * (késés max. napja) * (szerződés szerinti érték) * (nem-teljesítés valószínűsége)</w:t>
      </w:r>
    </w:p>
    <w:p w14:paraId="66B15472" w14:textId="77777777" w:rsidR="003F7941" w:rsidRPr="00181755" w:rsidRDefault="003F7941" w:rsidP="00181755">
      <w:pPr>
        <w:pStyle w:val="felsorolsos"/>
        <w:rPr>
          <w:rFonts w:asciiTheme="minorHAnsi" w:hAnsiTheme="minorHAnsi"/>
        </w:rPr>
      </w:pPr>
      <w:r w:rsidRPr="00181755">
        <w:rPr>
          <w:rFonts w:asciiTheme="minorHAnsi" w:hAnsiTheme="minorHAnsi"/>
        </w:rPr>
        <w:t>a nemteljesítés valószínűsége és a napi átlagos árfolyamváltozás historikus adatokból becsülhető,</w:t>
      </w:r>
    </w:p>
    <w:p w14:paraId="66B15473" w14:textId="77777777" w:rsidR="003F7941" w:rsidRPr="00181755" w:rsidRDefault="003F7941" w:rsidP="00181755">
      <w:pPr>
        <w:pStyle w:val="felsorolsos"/>
        <w:rPr>
          <w:rFonts w:asciiTheme="minorHAnsi" w:hAnsiTheme="minorHAnsi"/>
        </w:rPr>
      </w:pPr>
      <w:r w:rsidRPr="00181755">
        <w:rPr>
          <w:rFonts w:asciiTheme="minorHAnsi" w:hAnsiTheme="minorHAnsi"/>
        </w:rPr>
        <w:t>a késés maximális napjainak száma tekintetében figyelembe veendő, hogy a KELER KSZF az általa garantált spot ügyletek és a derivatív ügyletek esetén az elszámolási ciklus utolsó napján kényszerbeszerzési eljárást indít. Pénzoldali nem-teljesítés esetén a KELER elszámolási hitelt nyújt a klíringtagnak, illetve a Tőzsdei Elszámolási Alapból biztosítja az ügylet fedezetét.</w:t>
      </w:r>
      <w:r w:rsidRPr="00181755">
        <w:rPr>
          <w:rStyle w:val="Lbjegyzet-hivatkozs"/>
          <w:rFonts w:asciiTheme="minorHAnsi" w:hAnsiTheme="minorHAnsi"/>
        </w:rPr>
        <w:footnoteReference w:id="49"/>
      </w:r>
    </w:p>
    <w:p w14:paraId="66B15474" w14:textId="77777777" w:rsidR="003F7941" w:rsidRPr="00181755" w:rsidRDefault="003F7941" w:rsidP="00181755">
      <w:pPr>
        <w:rPr>
          <w:rFonts w:asciiTheme="minorHAnsi" w:hAnsiTheme="minorHAnsi"/>
        </w:rPr>
      </w:pPr>
      <w:r w:rsidRPr="00181755">
        <w:rPr>
          <w:rFonts w:asciiTheme="minorHAnsi" w:hAnsiTheme="minorHAnsi"/>
        </w:rPr>
        <w:t>A fent említetteknek megfelelően a hitelezési kockázathoz kapcsolódó likviditási kockázat különösen akkor bír (nagyobb) relevanciával, ha az intézmény alacsonyabb likviditási rátával működik, illetve ha az adott pénzügyi instrumentum piaca kevéssé likvid. A multilaterális nettósítással történő elszámolás ugyanakkor képes a likviditási kockázat csökkentésére, illetve alacsony szinten tartására.</w:t>
      </w:r>
    </w:p>
    <w:p w14:paraId="66B15476" w14:textId="207E6D73" w:rsidR="003F7941" w:rsidRPr="00181755" w:rsidRDefault="003F7941" w:rsidP="00181755">
      <w:pPr>
        <w:rPr>
          <w:rFonts w:asciiTheme="minorHAnsi" w:hAnsiTheme="minorHAnsi"/>
        </w:rPr>
      </w:pPr>
      <w:r w:rsidRPr="00181755">
        <w:rPr>
          <w:rFonts w:asciiTheme="minorHAnsi" w:hAnsiTheme="minorHAnsi"/>
        </w:rPr>
        <w:t>A kockázat számszerűsítése a likviditási kockázat fejezetben bemutatott eszközökkel történhet, vagy más módszerek (ügyleti limitek, kereskedett termékek körének limitálása) alkalmazásával csökkenthető.</w:t>
      </w:r>
    </w:p>
    <w:p w14:paraId="66B15477" w14:textId="77777777"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78" w14:textId="1620F546" w:rsidR="003F7941" w:rsidRPr="00181755" w:rsidRDefault="003F7941" w:rsidP="00181755">
      <w:pPr>
        <w:rPr>
          <w:rFonts w:asciiTheme="minorHAnsi" w:hAnsiTheme="minorHAnsi" w:cs="Times"/>
        </w:rPr>
      </w:pPr>
      <w:r w:rsidRPr="00181755">
        <w:rPr>
          <w:rFonts w:asciiTheme="minorHAnsi" w:hAnsiTheme="minorHAnsi"/>
        </w:rPr>
        <w:t xml:space="preserve">Az elszámolási kockázat az átutalási rendszereken keresztül lebonyolított elszámolás nem várt módon történő teljesülésének kockázatát jelenti, így szoros kapcsolatban áll a hitelezési és likviditási kockázatokkal. A CRR a szabályozói pillérben </w:t>
      </w:r>
      <w:r w:rsidR="006B172D" w:rsidRPr="00181755">
        <w:rPr>
          <w:rFonts w:asciiTheme="minorHAnsi" w:hAnsiTheme="minorHAnsi"/>
        </w:rPr>
        <w:t xml:space="preserve">viszonylag </w:t>
      </w:r>
      <w:r w:rsidRPr="00181755">
        <w:rPr>
          <w:rFonts w:asciiTheme="minorHAnsi" w:hAnsiTheme="minorHAnsi"/>
        </w:rPr>
        <w:t>szűken értelmezi az elszámolási kockázatot. Ezzel szemben a 2. pillérben az MNB által alkalmazott definíció az elszámolási kockázatot az értékpapír-elszámolási rendszerek sajátosságaitól függő, a tranzakciók elszámolása során felmerülő hitelezési és likviditási kockázatok összességeként értelmezi. Ide tartozik továbbá minden OTC tranzakció nem szerződés szerinti teljesítésének kockázata, ideértve az értékpapír-ügyleteken túlmenően a devizaügyletek, és minden más értékpapír-finanszírozó, hosszú elszámolású, derivatív és termékek közötti nettósítással teljesített ügylet tőzsdei vagy OTC elszámolása során keletkező kitettségeket.</w:t>
      </w:r>
    </w:p>
    <w:p w14:paraId="66B1547A" w14:textId="41FBF4CF" w:rsidR="003F7941" w:rsidRPr="00181755" w:rsidRDefault="003F7941" w:rsidP="00181755">
      <w:pPr>
        <w:spacing w:after="240"/>
        <w:rPr>
          <w:rFonts w:asciiTheme="minorHAnsi" w:hAnsiTheme="minorHAnsi"/>
        </w:rPr>
      </w:pPr>
      <w:r w:rsidRPr="00181755">
        <w:rPr>
          <w:rFonts w:asciiTheme="minorHAnsi" w:hAnsiTheme="minorHAnsi"/>
        </w:rPr>
        <w:t>Az elszámolási kockázaton belül a szerződéses érték kockázatát hitelkockázati eszközökkel, a pótlási költség kockázatát pedig likviditási és piaci kockázati eszközökkel célszerű meghatározni, majd ezeket egységes szemléletben megragadni.</w:t>
      </w:r>
      <w:r w:rsidRPr="00181755">
        <w:rPr>
          <w:rStyle w:val="Lbjegyzet-hivatkozs"/>
          <w:rFonts w:asciiTheme="minorHAnsi" w:hAnsiTheme="minorHAnsi" w:cs="Times"/>
        </w:rPr>
        <w:footnoteReference w:id="50"/>
      </w:r>
      <w:r w:rsidRPr="00181755">
        <w:rPr>
          <w:rFonts w:asciiTheme="minorHAnsi" w:hAnsiTheme="minorHAnsi"/>
        </w:rPr>
        <w:t xml:space="preserve"> Az elszámolási kockázatra vonatkozó belső módszertan hiányában az MNB az adott intézmény elszámolóházi forgalma alapján, annak bizonyos arányában határozza meg a kockázati tőkekövetelményt. </w:t>
      </w:r>
    </w:p>
    <w:p w14:paraId="66B1547B" w14:textId="77777777" w:rsidR="00D04A5F" w:rsidRPr="00181755" w:rsidRDefault="00D04A5F" w:rsidP="00181755">
      <w:pPr>
        <w:pStyle w:val="Cmsor4"/>
        <w:rPr>
          <w:rFonts w:asciiTheme="minorHAnsi" w:hAnsiTheme="minorHAnsi"/>
        </w:rPr>
      </w:pPr>
      <w:bookmarkStart w:id="804" w:name="_Toc461095218"/>
      <w:bookmarkStart w:id="805" w:name="_Toc461179874"/>
      <w:bookmarkStart w:id="806" w:name="_Toc461201317"/>
      <w:bookmarkStart w:id="807" w:name="_Toc461547960"/>
      <w:bookmarkStart w:id="808" w:name="_Toc462401999"/>
      <w:bookmarkStart w:id="809" w:name="_Toc462403120"/>
      <w:bookmarkStart w:id="810" w:name="_Toc462403444"/>
      <w:bookmarkStart w:id="811" w:name="_Toc468180563"/>
      <w:bookmarkStart w:id="812" w:name="_Toc468181072"/>
      <w:bookmarkStart w:id="813" w:name="_Toc468191458"/>
      <w:r w:rsidRPr="00181755">
        <w:rPr>
          <w:rFonts w:asciiTheme="minorHAnsi" w:hAnsiTheme="minorHAnsi"/>
        </w:rPr>
        <w:t>Értékpapírosítás kockázata</w:t>
      </w:r>
      <w:r w:rsidRPr="00181755">
        <w:rPr>
          <w:rFonts w:asciiTheme="minorHAnsi" w:hAnsiTheme="minorHAnsi"/>
          <w:vertAlign w:val="superscript"/>
        </w:rPr>
        <w:footnoteReference w:id="51"/>
      </w:r>
      <w:bookmarkEnd w:id="804"/>
      <w:bookmarkEnd w:id="805"/>
      <w:bookmarkEnd w:id="806"/>
      <w:bookmarkEnd w:id="807"/>
      <w:bookmarkEnd w:id="808"/>
      <w:bookmarkEnd w:id="809"/>
      <w:bookmarkEnd w:id="810"/>
      <w:bookmarkEnd w:id="811"/>
      <w:bookmarkEnd w:id="812"/>
      <w:bookmarkEnd w:id="813"/>
    </w:p>
    <w:p w14:paraId="45A7982A" w14:textId="158C7D6D" w:rsidR="00FB405D" w:rsidRPr="00181755" w:rsidRDefault="00FB405D" w:rsidP="00181755">
      <w:pPr>
        <w:rPr>
          <w:rFonts w:asciiTheme="minorHAnsi" w:hAnsiTheme="minorHAnsi"/>
          <w:b/>
        </w:rPr>
      </w:pPr>
      <w:r w:rsidRPr="00181755">
        <w:rPr>
          <w:rFonts w:asciiTheme="minorHAnsi" w:hAnsiTheme="minorHAnsi"/>
          <w:b/>
        </w:rPr>
        <w:t>Definíció</w:t>
      </w:r>
    </w:p>
    <w:p w14:paraId="1BCFFF93" w14:textId="63788E99" w:rsidR="00FB405D" w:rsidRPr="00181755" w:rsidRDefault="00ED7C14" w:rsidP="00181755">
      <w:pPr>
        <w:rPr>
          <w:rFonts w:asciiTheme="minorHAnsi" w:hAnsiTheme="minorHAnsi"/>
        </w:rPr>
      </w:pPr>
      <w:r w:rsidRPr="00181755">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8DB9EFB" w14:textId="498559BA" w:rsidR="00FB405D" w:rsidRPr="00181755" w:rsidRDefault="00FB405D" w:rsidP="00181755">
      <w:pPr>
        <w:rPr>
          <w:rFonts w:asciiTheme="minorHAnsi" w:hAnsiTheme="minorHAnsi"/>
          <w:b/>
        </w:rPr>
      </w:pPr>
      <w:r w:rsidRPr="00181755">
        <w:rPr>
          <w:rFonts w:asciiTheme="minorHAnsi" w:hAnsiTheme="minorHAnsi"/>
          <w:b/>
        </w:rPr>
        <w:t>Kockázatértékelés és -kezelés</w:t>
      </w:r>
    </w:p>
    <w:p w14:paraId="66B1547C" w14:textId="77777777" w:rsidR="00D04A5F" w:rsidRPr="00181755" w:rsidRDefault="00D04A5F" w:rsidP="00181755">
      <w:pPr>
        <w:rPr>
          <w:rFonts w:asciiTheme="minorHAnsi" w:hAnsiTheme="minorHAnsi"/>
        </w:rPr>
      </w:pPr>
      <w:r w:rsidRPr="00181755">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66B1547E" w14:textId="77777777"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7F" w14:textId="77777777" w:rsidR="00D04A5F" w:rsidRPr="00181755" w:rsidRDefault="00D04A5F" w:rsidP="00181755">
      <w:pPr>
        <w:rPr>
          <w:rFonts w:asciiTheme="minorHAnsi" w:hAnsiTheme="minorHAnsi"/>
        </w:rPr>
      </w:pPr>
      <w:r w:rsidRPr="00181755">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181755" w:rsidRDefault="00D04A5F" w:rsidP="00181755">
      <w:pPr>
        <w:rPr>
          <w:rFonts w:asciiTheme="minorHAnsi" w:hAnsiTheme="minorHAnsi"/>
        </w:rPr>
      </w:pPr>
      <w:r w:rsidRPr="00181755">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66B15481" w14:textId="7B17E6F8" w:rsidR="00D04A5F" w:rsidRPr="00181755" w:rsidRDefault="00D04A5F" w:rsidP="00181755">
      <w:pPr>
        <w:rPr>
          <w:rFonts w:asciiTheme="minorHAnsi" w:hAnsiTheme="minorHAnsi"/>
        </w:rPr>
      </w:pPr>
      <w:r w:rsidRPr="00181755">
        <w:rPr>
          <w:rFonts w:asciiTheme="minorHAnsi" w:hAnsiTheme="minorHAnsi"/>
        </w:rPr>
        <w:t>A felügyeleti értékelés kiindulópontját alapvetően a CRR rendelkezései</w:t>
      </w:r>
      <w:r w:rsidR="008847AC">
        <w:rPr>
          <w:rFonts w:asciiTheme="minorHAnsi" w:hAnsiTheme="minorHAnsi"/>
        </w:rPr>
        <w:t>, kapcsolódó másodszintű jogszabályok</w:t>
      </w:r>
      <w:r w:rsidR="008847AC">
        <w:rPr>
          <w:rStyle w:val="Lbjegyzet-hivatkozs"/>
          <w:rFonts w:asciiTheme="minorHAnsi" w:hAnsiTheme="minorHAnsi"/>
        </w:rPr>
        <w:footnoteReference w:id="52"/>
      </w:r>
      <w:r w:rsidR="008847AC">
        <w:rPr>
          <w:rFonts w:asciiTheme="minorHAnsi" w:hAnsiTheme="minorHAnsi"/>
        </w:rPr>
        <w:t>, valamint</w:t>
      </w:r>
      <w:r w:rsidRPr="00181755">
        <w:rPr>
          <w:rFonts w:asciiTheme="minorHAnsi" w:hAnsiTheme="minorHAnsi"/>
        </w:rPr>
        <w:t xml:space="preserve"> az EBA vonatkozó iránymutatásai</w:t>
      </w:r>
      <w:r w:rsidRPr="00181755">
        <w:rPr>
          <w:rStyle w:val="Lbjegyzet-hivatkozs"/>
          <w:rFonts w:asciiTheme="minorHAnsi" w:hAnsiTheme="minorHAnsi"/>
        </w:rPr>
        <w:footnoteReference w:id="53"/>
      </w:r>
      <w:r w:rsidRPr="00181755">
        <w:rPr>
          <w:rFonts w:asciiTheme="minorHAnsi" w:hAnsiTheme="minorHAnsi"/>
        </w:rPr>
        <w:t xml:space="preserve"> képezik. </w:t>
      </w:r>
    </w:p>
    <w:p w14:paraId="66B15482" w14:textId="5410827E" w:rsidR="00D04A5F" w:rsidRPr="00181755" w:rsidRDefault="00D04A5F" w:rsidP="00181755">
      <w:pPr>
        <w:rPr>
          <w:rFonts w:asciiTheme="minorHAnsi" w:hAnsiTheme="minorHAnsi"/>
        </w:rPr>
      </w:pPr>
      <w:r w:rsidRPr="00181755">
        <w:rPr>
          <w:rFonts w:asciiTheme="minorHAnsi" w:hAnsiTheme="minorHAnsi"/>
        </w:rPr>
        <w:t xml:space="preserve">A 2010. december 31-én megjelent, a CRD 122a. cikkének alkalmazásáról szóló CEBS iránymutatások </w:t>
      </w:r>
      <w:r w:rsidR="008847AC">
        <w:rPr>
          <w:rFonts w:asciiTheme="minorHAnsi" w:hAnsiTheme="minorHAnsi"/>
        </w:rPr>
        <w:t>a CRR 404., valamint 405., 406., illetve 409. cikkei vonatkozásában adnak további iránymutatást.</w:t>
      </w:r>
      <w:r w:rsidR="008847AC">
        <w:rPr>
          <w:rStyle w:val="Lbjegyzet-hivatkozs"/>
          <w:rFonts w:asciiTheme="minorHAnsi" w:hAnsiTheme="minorHAnsi"/>
        </w:rPr>
        <w:footnoteReference w:id="54"/>
      </w:r>
      <w:r w:rsidR="008847AC">
        <w:rPr>
          <w:rFonts w:asciiTheme="minorHAnsi" w:hAnsiTheme="minorHAnsi"/>
        </w:rPr>
        <w:t xml:space="preserve"> </w:t>
      </w:r>
    </w:p>
    <w:p w14:paraId="66B15483" w14:textId="77777777" w:rsidR="00D04A5F" w:rsidRPr="00181755" w:rsidRDefault="00D04A5F" w:rsidP="00181755">
      <w:pPr>
        <w:rPr>
          <w:rFonts w:asciiTheme="minorHAnsi" w:hAnsiTheme="minorHAnsi"/>
        </w:rPr>
      </w:pPr>
      <w:r w:rsidRPr="00181755">
        <w:rPr>
          <w:rFonts w:asciiTheme="minorHAnsi" w:hAnsiTheme="minorHAnsi"/>
        </w:rPr>
        <w:t xml:space="preserve">A 2014. júl. 7-én megjelent, CRR 243. és 244. cikkeiben meghatározott jelentős hitelkockázat átruházásáról szóló EBA iránymutatások (EBA/GL/2014/05) célja, hogy </w:t>
      </w:r>
    </w:p>
    <w:p w14:paraId="66B15484" w14:textId="186AFB3C" w:rsidR="00D04A5F" w:rsidRPr="00181755" w:rsidRDefault="00D04A5F" w:rsidP="00181755">
      <w:pPr>
        <w:numPr>
          <w:ilvl w:val="0"/>
          <w:numId w:val="42"/>
        </w:numPr>
        <w:rPr>
          <w:rFonts w:asciiTheme="minorHAnsi" w:hAnsiTheme="minorHAnsi"/>
        </w:rPr>
      </w:pPr>
      <w:r w:rsidRPr="00181755">
        <w:rPr>
          <w:rFonts w:asciiTheme="minorHAnsi" w:hAnsiTheme="minorHAnsi"/>
        </w:rPr>
        <w:t>követelményeket határozz</w:t>
      </w:r>
      <w:r w:rsidR="00B30147">
        <w:rPr>
          <w:rFonts w:asciiTheme="minorHAnsi" w:hAnsiTheme="minorHAnsi"/>
        </w:rPr>
        <w:t>anak</w:t>
      </w:r>
      <w:r w:rsidRPr="00181755">
        <w:rPr>
          <w:rFonts w:asciiTheme="minorHAnsi" w:hAnsiTheme="minorHAnsi"/>
        </w:rPr>
        <w:t xml:space="preserve"> meg azon kezdeményező intézmények számára, akik az értékpapírosított kitettségekhez tartozó jelentős mértékű hitelkockázatot 3. félre kívánják 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B34F002" w:rsidR="00D04A5F" w:rsidRPr="00181755" w:rsidRDefault="00D04A5F" w:rsidP="00181755">
      <w:pPr>
        <w:numPr>
          <w:ilvl w:val="0"/>
          <w:numId w:val="42"/>
        </w:numPr>
        <w:rPr>
          <w:rFonts w:asciiTheme="minorHAnsi" w:hAnsiTheme="minorHAnsi"/>
        </w:rPr>
      </w:pPr>
      <w:r w:rsidRPr="00181755">
        <w:rPr>
          <w:rFonts w:asciiTheme="minorHAnsi" w:hAnsiTheme="minorHAnsi"/>
        </w:rPr>
        <w:t>iránymutatást adj</w:t>
      </w:r>
      <w:r w:rsidR="00B30147">
        <w:rPr>
          <w:rFonts w:asciiTheme="minorHAnsi" w:hAnsiTheme="minorHAnsi"/>
        </w:rPr>
        <w:t>anak</w:t>
      </w:r>
      <w:r w:rsidRPr="00181755">
        <w:rPr>
          <w:rFonts w:asciiTheme="minorHAnsi" w:hAnsiTheme="minorHAnsi"/>
        </w:rPr>
        <w:t xml:space="preserve">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181755">
        <w:rPr>
          <w:rFonts w:asciiTheme="minorHAnsi" w:hAnsiTheme="minorHAnsi"/>
        </w:rPr>
        <w:t>–</w:t>
      </w:r>
      <w:r w:rsidRPr="00181755">
        <w:rPr>
          <w:rFonts w:asciiTheme="minorHAnsi" w:hAnsiTheme="minorHAnsi"/>
        </w:rPr>
        <w:t xml:space="preserve"> a csökkentésnek megfelelő mértékű – átruházásának értékeléséhez. </w:t>
      </w:r>
    </w:p>
    <w:p w14:paraId="66B15486" w14:textId="77777777" w:rsidR="00D04A5F" w:rsidRDefault="00D04A5F" w:rsidP="00181755">
      <w:pPr>
        <w:rPr>
          <w:rFonts w:asciiTheme="minorHAnsi" w:hAnsiTheme="minorHAnsi"/>
        </w:rPr>
      </w:pPr>
      <w:r w:rsidRPr="00181755">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5C32A171" w14:textId="3D8FF109" w:rsidR="00B30147" w:rsidRPr="00181755" w:rsidRDefault="00B30147" w:rsidP="00181755">
      <w:pPr>
        <w:rPr>
          <w:rFonts w:asciiTheme="minorHAnsi" w:hAnsiTheme="minorHAnsi"/>
        </w:rPr>
      </w:pPr>
      <w:r w:rsidRPr="00F749BD">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F749BD">
        <w:rPr>
          <w:rStyle w:val="Lbjegyzet-hivatkozs"/>
          <w:rFonts w:asciiTheme="minorHAnsi" w:hAnsiTheme="minorHAnsi"/>
        </w:rPr>
        <w:footnoteReference w:id="55"/>
      </w:r>
    </w:p>
    <w:p w14:paraId="66B15487" w14:textId="77777777" w:rsidR="00D04A5F" w:rsidRPr="00181755" w:rsidRDefault="00D04A5F" w:rsidP="00181755">
      <w:pPr>
        <w:rPr>
          <w:rFonts w:asciiTheme="minorHAnsi" w:hAnsiTheme="minorHAnsi"/>
        </w:rPr>
      </w:pPr>
      <w:r w:rsidRPr="00181755">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66B15488" w14:textId="5F4BFC3C" w:rsidR="00D04A5F" w:rsidRPr="00181755" w:rsidRDefault="00D04A5F" w:rsidP="00181755">
      <w:pPr>
        <w:spacing w:after="240"/>
        <w:rPr>
          <w:rFonts w:asciiTheme="minorHAnsi" w:hAnsiTheme="minorHAnsi"/>
        </w:rPr>
      </w:pPr>
      <w:r w:rsidRPr="00181755">
        <w:rPr>
          <w:rFonts w:asciiTheme="minorHAnsi" w:hAnsiTheme="minorHAnsi"/>
        </w:rPr>
        <w:t xml:space="preserve">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w:t>
      </w:r>
      <w:r w:rsidR="000A68C3" w:rsidRPr="00181755">
        <w:rPr>
          <w:rFonts w:asciiTheme="minorHAnsi" w:hAnsiTheme="minorHAnsi"/>
        </w:rPr>
        <w:t>nyomon követését</w:t>
      </w:r>
      <w:r w:rsidRPr="00181755">
        <w:rPr>
          <w:rFonts w:asciiTheme="minorHAnsi" w:hAnsiTheme="minorHAnsi"/>
        </w:rPr>
        <w:t>. A vonatkozó kockázati súlyok, illetve tőkekövetelmény megállapítása során az MNB a CRR-ben</w:t>
      </w:r>
      <w:r w:rsidR="00B30147">
        <w:rPr>
          <w:rFonts w:asciiTheme="minorHAnsi" w:hAnsiTheme="minorHAnsi"/>
        </w:rPr>
        <w:t>, a kapcsolódó másodszintű</w:t>
      </w:r>
      <w:r w:rsidR="00B30147" w:rsidRPr="00181755">
        <w:rPr>
          <w:rFonts w:asciiTheme="minorHAnsi" w:hAnsiTheme="minorHAnsi"/>
        </w:rPr>
        <w:t xml:space="preserve"> </w:t>
      </w:r>
      <w:r w:rsidR="00B30147">
        <w:rPr>
          <w:rFonts w:asciiTheme="minorHAnsi" w:hAnsiTheme="minorHAnsi"/>
        </w:rPr>
        <w:t>jogszabályokban és az EBA iránymutatásokban</w:t>
      </w:r>
      <w:r w:rsidRPr="00181755">
        <w:rPr>
          <w:rFonts w:asciiTheme="minorHAnsi" w:hAnsiTheme="minorHAnsi"/>
        </w:rPr>
        <w:t xml:space="preserve">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181755" w:rsidRDefault="003F7941" w:rsidP="00181755">
      <w:pPr>
        <w:pStyle w:val="Cmsor4"/>
        <w:rPr>
          <w:rFonts w:asciiTheme="minorHAnsi" w:hAnsiTheme="minorHAnsi"/>
        </w:rPr>
      </w:pPr>
      <w:bookmarkStart w:id="814" w:name="_Toc461095219"/>
      <w:bookmarkStart w:id="815" w:name="_Toc461179875"/>
      <w:bookmarkStart w:id="816" w:name="_Toc461201318"/>
      <w:bookmarkStart w:id="817" w:name="_Toc461547961"/>
      <w:bookmarkStart w:id="818" w:name="_Toc462402000"/>
      <w:bookmarkStart w:id="819" w:name="_Toc462403121"/>
      <w:bookmarkStart w:id="820" w:name="_Toc462403445"/>
      <w:bookmarkStart w:id="821" w:name="_Toc468180564"/>
      <w:bookmarkStart w:id="822" w:name="_Toc468181073"/>
      <w:bookmarkStart w:id="823" w:name="_Toc468191459"/>
      <w:r w:rsidRPr="00181755">
        <w:rPr>
          <w:rFonts w:asciiTheme="minorHAnsi" w:hAnsiTheme="minorHAnsi"/>
        </w:rPr>
        <w:t>Koncentrációs kockázat</w:t>
      </w:r>
      <w:bookmarkEnd w:id="814"/>
      <w:bookmarkEnd w:id="815"/>
      <w:bookmarkEnd w:id="816"/>
      <w:bookmarkEnd w:id="817"/>
      <w:bookmarkEnd w:id="818"/>
      <w:bookmarkEnd w:id="819"/>
      <w:bookmarkEnd w:id="820"/>
      <w:bookmarkEnd w:id="821"/>
      <w:bookmarkEnd w:id="822"/>
      <w:bookmarkEnd w:id="823"/>
    </w:p>
    <w:p w14:paraId="0BB4BB4A" w14:textId="77777777" w:rsidR="00ED7C14" w:rsidRPr="00181755" w:rsidRDefault="00ED7C14" w:rsidP="00181755">
      <w:pPr>
        <w:rPr>
          <w:rFonts w:asciiTheme="minorHAnsi" w:hAnsiTheme="minorHAnsi"/>
          <w:b/>
        </w:rPr>
      </w:pPr>
      <w:r w:rsidRPr="00181755">
        <w:rPr>
          <w:rFonts w:asciiTheme="minorHAnsi" w:hAnsiTheme="minorHAnsi"/>
          <w:b/>
        </w:rPr>
        <w:t>Definíció</w:t>
      </w:r>
    </w:p>
    <w:p w14:paraId="66B1548A" w14:textId="77777777" w:rsidR="003F7941" w:rsidRPr="00181755" w:rsidRDefault="003F7941" w:rsidP="00181755">
      <w:pPr>
        <w:rPr>
          <w:rFonts w:asciiTheme="minorHAnsi" w:hAnsiTheme="minorHAnsi"/>
        </w:rPr>
      </w:pPr>
      <w:r w:rsidRPr="00181755">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181755">
        <w:rPr>
          <w:rFonts w:asciiTheme="minorHAnsi" w:hAnsiTheme="minorHAnsi"/>
          <w:vertAlign w:val="superscript"/>
        </w:rPr>
        <w:footnoteReference w:id="56"/>
      </w:r>
      <w:r w:rsidRPr="00181755">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181755" w:rsidRDefault="00ED7C14" w:rsidP="00181755">
      <w:pPr>
        <w:rPr>
          <w:rFonts w:asciiTheme="minorHAnsi" w:hAnsiTheme="minorHAnsi"/>
          <w:b/>
        </w:rPr>
      </w:pPr>
      <w:r w:rsidRPr="00181755">
        <w:rPr>
          <w:rFonts w:asciiTheme="minorHAnsi" w:hAnsiTheme="minorHAnsi"/>
          <w:b/>
        </w:rPr>
        <w:t>Kockázatértékelés és -kezelés</w:t>
      </w:r>
    </w:p>
    <w:p w14:paraId="66B1548B" w14:textId="77777777" w:rsidR="003F7941" w:rsidRPr="00181755" w:rsidRDefault="003F7941" w:rsidP="00181755">
      <w:pPr>
        <w:rPr>
          <w:rFonts w:asciiTheme="minorHAnsi" w:hAnsiTheme="minorHAnsi"/>
        </w:rPr>
      </w:pPr>
      <w:r w:rsidRPr="00181755">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181755" w:rsidRDefault="003F7941" w:rsidP="00181755">
      <w:pPr>
        <w:pStyle w:val="felsorolsos"/>
        <w:rPr>
          <w:rFonts w:asciiTheme="minorHAnsi" w:hAnsiTheme="minorHAnsi"/>
        </w:rPr>
      </w:pPr>
      <w:r w:rsidRPr="00181755">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181755" w:rsidRDefault="003F7941" w:rsidP="00181755">
      <w:pPr>
        <w:pStyle w:val="felsorolsos"/>
        <w:rPr>
          <w:rFonts w:asciiTheme="minorHAnsi" w:hAnsiTheme="minorHAnsi"/>
        </w:rPr>
      </w:pPr>
      <w:r w:rsidRPr="00181755">
        <w:rPr>
          <w:rFonts w:asciiTheme="minorHAnsi" w:hAnsiTheme="minorHAnsi"/>
        </w:rPr>
        <w:t xml:space="preserve">Az intézményeknek megfelelő </w:t>
      </w:r>
      <w:r w:rsidR="00B7372B" w:rsidRPr="00181755">
        <w:rPr>
          <w:rFonts w:asciiTheme="minorHAnsi" w:hAnsiTheme="minorHAnsi"/>
          <w:lang w:val="hu-HU"/>
        </w:rPr>
        <w:t>irányítási</w:t>
      </w:r>
      <w:r w:rsidRPr="00181755">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181755" w:rsidRDefault="003F7941" w:rsidP="00181755">
      <w:pPr>
        <w:rPr>
          <w:rFonts w:asciiTheme="minorHAnsi" w:hAnsiTheme="minorHAnsi"/>
        </w:rPr>
      </w:pPr>
      <w:r w:rsidRPr="00181755">
        <w:rPr>
          <w:rFonts w:asciiTheme="minorHAnsi" w:hAnsiTheme="minorHAnsi"/>
        </w:rPr>
        <w:t>A koncentrációs kockázatok kézben tartására alkalmas módszerek:</w:t>
      </w:r>
    </w:p>
    <w:p w14:paraId="66B15493" w14:textId="14287F01" w:rsidR="003F7941" w:rsidRPr="00181755" w:rsidRDefault="003F7941" w:rsidP="00181755">
      <w:pPr>
        <w:pStyle w:val="felsorolsos"/>
        <w:rPr>
          <w:rFonts w:asciiTheme="minorHAnsi" w:hAnsiTheme="minorHAnsi"/>
        </w:rPr>
      </w:pPr>
      <w:r w:rsidRPr="00181755">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181755">
        <w:rPr>
          <w:rFonts w:asciiTheme="minorHAnsi" w:hAnsiTheme="minorHAnsi"/>
          <w:lang w:val="hu-HU"/>
        </w:rPr>
        <w:t xml:space="preserve">deviza, </w:t>
      </w:r>
      <w:r w:rsidRPr="00181755">
        <w:rPr>
          <w:rFonts w:asciiTheme="minorHAnsi" w:hAnsiTheme="minorHAnsi"/>
        </w:rPr>
        <w:t>ország- és termék-/ügylet</w:t>
      </w:r>
      <w:r w:rsidR="00085D7E" w:rsidRPr="00181755">
        <w:rPr>
          <w:rFonts w:asciiTheme="minorHAnsi" w:hAnsiTheme="minorHAnsi"/>
          <w:lang w:val="hu-HU"/>
        </w:rPr>
        <w:t>, fedezet</w:t>
      </w:r>
      <w:r w:rsidRPr="00181755">
        <w:rPr>
          <w:rFonts w:asciiTheme="minorHAnsi" w:hAnsiTheme="minorHAnsi"/>
        </w:rPr>
        <w:t xml:space="preserve"> koncentrációs mérésekkel.)</w:t>
      </w:r>
    </w:p>
    <w:p w14:paraId="66B15494" w14:textId="77777777" w:rsidR="003F7941" w:rsidRPr="00181755" w:rsidRDefault="003F7941" w:rsidP="00181755">
      <w:pPr>
        <w:pStyle w:val="felsorolsos"/>
        <w:rPr>
          <w:rFonts w:asciiTheme="minorHAnsi" w:hAnsiTheme="minorHAnsi"/>
        </w:rPr>
      </w:pPr>
      <w:r w:rsidRPr="00181755">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181755" w:rsidRDefault="003F7941" w:rsidP="00181755">
      <w:pPr>
        <w:pStyle w:val="felsorolsos"/>
        <w:rPr>
          <w:rFonts w:asciiTheme="minorHAnsi" w:hAnsiTheme="minorHAnsi"/>
        </w:rPr>
      </w:pPr>
      <w:r w:rsidRPr="00181755">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98" w14:textId="77777777" w:rsidR="003F7941" w:rsidRPr="00181755" w:rsidRDefault="003F7941" w:rsidP="00181755">
      <w:pPr>
        <w:rPr>
          <w:rFonts w:asciiTheme="minorHAnsi" w:hAnsiTheme="minorHAnsi"/>
        </w:rPr>
      </w:pPr>
      <w:r w:rsidRPr="00181755">
        <w:rPr>
          <w:rFonts w:asciiTheme="minorHAnsi" w:hAnsiTheme="minorHAnsi"/>
        </w:rPr>
        <w:t xml:space="preserve">A kitettségek koncentrációja fontos kockázati tényező, hiszen nem tökéletesen diverzifikált egyedi és részkockázatok esetén a tőkeszámítás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0E2EBEDB" w:rsidR="003F7941" w:rsidRPr="00181755" w:rsidRDefault="003F7941" w:rsidP="00181755">
      <w:pPr>
        <w:rPr>
          <w:rFonts w:asciiTheme="minorHAnsi" w:hAnsiTheme="minorHAnsi"/>
        </w:rPr>
      </w:pPr>
      <w:r w:rsidRPr="00181755">
        <w:rPr>
          <w:rFonts w:asciiTheme="minorHAnsi" w:hAnsiTheme="minorHAnsi"/>
        </w:rPr>
        <w:t xml:space="preserve">Mivel a kitettségek koncentrációja számos különböző dimenzióban jelentkezhet (egyedi ügylethez kapcsolódóan, földrajzi, szektorális, terméktípus szerint, denominációhoz kötötten, kockázatokon belül vagy azok között stb.), a koncentráció azonosítása és prudens számbavétele igen összetett feladat. </w:t>
      </w:r>
    </w:p>
    <w:p w14:paraId="66B1549A" w14:textId="325C8B7C" w:rsidR="003F7941" w:rsidRPr="00181755" w:rsidRDefault="003F7941" w:rsidP="00181755">
      <w:pPr>
        <w:rPr>
          <w:rFonts w:asciiTheme="minorHAnsi" w:hAnsiTheme="minorHAnsi"/>
        </w:rPr>
      </w:pPr>
      <w:r w:rsidRPr="00181755">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181755">
        <w:rPr>
          <w:rFonts w:asciiTheme="minorHAnsi" w:hAnsiTheme="minorHAnsi"/>
        </w:rPr>
        <w:t>SREP Ajánlással</w:t>
      </w:r>
      <w:r w:rsidRPr="00181755">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p>
    <w:p w14:paraId="66B1549C" w14:textId="2EDF0FBE" w:rsidR="003F7941" w:rsidRPr="00181755" w:rsidRDefault="003F7941" w:rsidP="00181755">
      <w:pPr>
        <w:rPr>
          <w:rFonts w:asciiTheme="minorHAnsi" w:hAnsiTheme="minorHAnsi"/>
        </w:rPr>
      </w:pPr>
      <w:r w:rsidRPr="00181755">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tőkeszámítási modellek feltevéseire</w:t>
      </w:r>
      <w:r w:rsidR="00F507D8" w:rsidRPr="00181755">
        <w:rPr>
          <w:rFonts w:asciiTheme="minorHAnsi" w:hAnsiTheme="minorHAnsi"/>
        </w:rPr>
        <w:t>,</w:t>
      </w:r>
      <w:r w:rsidRPr="00181755">
        <w:rPr>
          <w:rFonts w:asciiTheme="minorHAnsi" w:hAnsiTheme="minorHAnsi"/>
        </w:rPr>
        <w:t xml:space="preserve"> </w:t>
      </w:r>
      <w:r w:rsidR="00F507D8" w:rsidRPr="00181755">
        <w:rPr>
          <w:rFonts w:asciiTheme="minorHAnsi" w:hAnsiTheme="minorHAnsi"/>
        </w:rPr>
        <w:t>e</w:t>
      </w:r>
      <w:r w:rsidRPr="00181755">
        <w:rPr>
          <w:rFonts w:asciiTheme="minorHAnsi" w:hAnsiTheme="minorHAnsi"/>
        </w:rPr>
        <w:t xml:space="preserve"> módszerek következetes alkalmazására, illetve azok számszerű eredményére tekintettel határozza meg. </w:t>
      </w:r>
      <w:r w:rsidR="00F507D8" w:rsidRPr="00181755">
        <w:rPr>
          <w:rFonts w:asciiTheme="minorHAnsi" w:hAnsiTheme="minorHAnsi"/>
        </w:rPr>
        <w:t xml:space="preserve">Külön koncentrációs kockázati tőkeszámítási modell </w:t>
      </w:r>
      <w:r w:rsidRPr="00181755">
        <w:rPr>
          <w:rFonts w:asciiTheme="minorHAnsi" w:hAnsiTheme="minorHAnsi"/>
        </w:rPr>
        <w:t>hiányában a kitettségek eloszlásá</w:t>
      </w:r>
      <w:r w:rsidR="00F507D8" w:rsidRPr="00181755">
        <w:rPr>
          <w:rFonts w:asciiTheme="minorHAnsi" w:hAnsiTheme="minorHAnsi"/>
        </w:rPr>
        <w:t>ból</w:t>
      </w:r>
      <w:r w:rsidRPr="00181755">
        <w:rPr>
          <w:rFonts w:asciiTheme="minorHAnsi" w:hAnsiTheme="minorHAnsi"/>
        </w:rPr>
        <w:t xml:space="preserve"> és jellemzői</w:t>
      </w:r>
      <w:r w:rsidR="00F507D8" w:rsidRPr="00181755">
        <w:rPr>
          <w:rFonts w:asciiTheme="minorHAnsi" w:hAnsiTheme="minorHAnsi"/>
        </w:rPr>
        <w:t>ből</w:t>
      </w:r>
      <w:r w:rsidRPr="00181755">
        <w:rPr>
          <w:rFonts w:asciiTheme="minorHAnsi" w:hAnsiTheme="minorHAnsi"/>
        </w:rPr>
        <w:t xml:space="preserve"> </w:t>
      </w:r>
      <w:r w:rsidR="00F507D8" w:rsidRPr="00181755">
        <w:rPr>
          <w:rFonts w:asciiTheme="minorHAnsi" w:hAnsiTheme="minorHAnsi"/>
        </w:rPr>
        <w:t>kiindulva</w:t>
      </w:r>
      <w:r w:rsidRPr="00181755">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181755" w:rsidRDefault="003F7941" w:rsidP="00181755">
      <w:pPr>
        <w:rPr>
          <w:rFonts w:asciiTheme="minorHAnsi" w:hAnsiTheme="minorHAnsi"/>
          <w:b/>
        </w:rPr>
      </w:pPr>
      <w:r w:rsidRPr="00181755">
        <w:rPr>
          <w:rFonts w:asciiTheme="minorHAnsi" w:hAnsiTheme="minorHAnsi"/>
          <w:b/>
        </w:rPr>
        <w:t>Hitelezés koncentrációs kockázata</w:t>
      </w:r>
    </w:p>
    <w:p w14:paraId="66B1549E" w14:textId="01401F73" w:rsidR="003F7941" w:rsidRPr="00181755" w:rsidRDefault="003F7941" w:rsidP="00181755">
      <w:pPr>
        <w:rPr>
          <w:rFonts w:asciiTheme="minorHAnsi" w:hAnsiTheme="minorHAnsi"/>
        </w:rPr>
      </w:pPr>
      <w:r w:rsidRPr="00181755">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181755">
        <w:rPr>
          <w:rStyle w:val="Lbjegyzet-hivatkozs"/>
          <w:rFonts w:asciiTheme="minorHAnsi" w:hAnsiTheme="minorHAnsi"/>
        </w:rPr>
        <w:footnoteReference w:id="57"/>
      </w:r>
      <w:r w:rsidRPr="00181755">
        <w:rPr>
          <w:rFonts w:asciiTheme="minorHAnsi" w:hAnsiTheme="minorHAnsi"/>
        </w:rPr>
        <w:t xml:space="preserve"> </w:t>
      </w:r>
    </w:p>
    <w:p w14:paraId="66B1549F" w14:textId="77777777" w:rsidR="003F7941" w:rsidRPr="00181755" w:rsidRDefault="003F7941" w:rsidP="00181755">
      <w:pPr>
        <w:rPr>
          <w:rFonts w:asciiTheme="minorHAnsi" w:hAnsiTheme="minorHAnsi"/>
        </w:rPr>
      </w:pPr>
      <w:r w:rsidRPr="00181755">
        <w:rPr>
          <w:rFonts w:asciiTheme="minorHAnsi" w:hAnsiTheme="minorHAnsi"/>
        </w:rPr>
        <w:t>A gyakorlat az egyedileg jelölt (megnevezett) „kisszámú csoport” eseteire a nagykockázati kitettség megnevezést használja.</w:t>
      </w:r>
      <w:r w:rsidRPr="00181755">
        <w:rPr>
          <w:rStyle w:val="Lbjegyzet-hivatkozs"/>
          <w:rFonts w:asciiTheme="minorHAnsi" w:hAnsiTheme="minorHAnsi"/>
        </w:rPr>
        <w:footnoteReference w:id="58"/>
      </w:r>
      <w:r w:rsidRPr="00181755">
        <w:rPr>
          <w:rFonts w:asciiTheme="minorHAnsi" w:hAnsiTheme="minorHAnsi"/>
        </w:rPr>
        <w:t xml:space="preserve"> A koncentráció tágabb értelmezése magában foglalja a következőket is: ágazati koncentráció, a földrajzi koncentráció, adott külföldi devizanemben fennálló koncentráció, illetve a hitelkockázat csökkentő eszközök koncentrációja (hitelkockázat csökkentő eszközök fajtájának vagy kibocsátójának koncentrációja), stb.</w:t>
      </w:r>
    </w:p>
    <w:p w14:paraId="66B154A0" w14:textId="77777777" w:rsidR="003F7941" w:rsidRPr="00181755" w:rsidRDefault="003F7941" w:rsidP="00181755">
      <w:pPr>
        <w:rPr>
          <w:rFonts w:asciiTheme="minorHAnsi" w:hAnsiTheme="minorHAnsi"/>
        </w:rPr>
      </w:pPr>
      <w:r w:rsidRPr="00181755">
        <w:rPr>
          <w:rFonts w:asciiTheme="minorHAnsi" w:hAnsiTheme="minorHAnsi"/>
        </w:rPr>
        <w:t>A definícióból következően a koncentrációs kockázatoknak két fő köre van:</w:t>
      </w:r>
    </w:p>
    <w:p w14:paraId="66B154A1" w14:textId="77777777" w:rsidR="003F7941" w:rsidRPr="00181755" w:rsidRDefault="003F7941" w:rsidP="00181755">
      <w:pPr>
        <w:pStyle w:val="felsorolsos"/>
        <w:rPr>
          <w:rFonts w:asciiTheme="minorHAnsi" w:hAnsiTheme="minorHAnsi"/>
        </w:rPr>
      </w:pPr>
      <w:r w:rsidRPr="00181755">
        <w:rPr>
          <w:rFonts w:asciiTheme="minorHAnsi" w:hAnsiTheme="minorHAnsi"/>
        </w:rPr>
        <w:t>az egyes ügyféllel/ügyfélcsoporttal szemben fennálló kockázat vállalás koncentrációja (nagykockázat-vállalás): az ügyfelek vagy partnerek viszonylag kisszámú csoportjának való kitettség nem-teljesítése a veszély forrása,</w:t>
      </w:r>
    </w:p>
    <w:p w14:paraId="66B154A2" w14:textId="77777777" w:rsidR="003F7941" w:rsidRPr="00181755" w:rsidRDefault="003F7941" w:rsidP="00181755">
      <w:pPr>
        <w:pStyle w:val="felsorolsos"/>
        <w:rPr>
          <w:rFonts w:asciiTheme="minorHAnsi" w:hAnsiTheme="minorHAnsi"/>
        </w:rPr>
      </w:pPr>
      <w:r w:rsidRPr="00181755">
        <w:rPr>
          <w:rFonts w:asciiTheme="minorHAnsi" w:hAnsiTheme="minorHAnsi"/>
        </w:rPr>
        <w:t>az okozati (sector) koncentráció: a közös okra/okokra visszavezethető együttes nem-teljesítés veszélye.</w:t>
      </w:r>
    </w:p>
    <w:p w14:paraId="66B154A3" w14:textId="77777777" w:rsidR="003F7941" w:rsidRPr="00181755" w:rsidRDefault="003F7941" w:rsidP="00181755">
      <w:pPr>
        <w:rPr>
          <w:rFonts w:asciiTheme="minorHAnsi" w:hAnsiTheme="minorHAnsi"/>
        </w:rPr>
      </w:pPr>
      <w:r w:rsidRPr="00181755">
        <w:rPr>
          <w:rFonts w:asciiTheme="minorHAnsi" w:hAnsiTheme="minorHAnsi"/>
        </w:rPr>
        <w:t>A Hpt. 108. § 5) bekezdés a)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181755" w:rsidRDefault="003F7941" w:rsidP="00181755">
      <w:pPr>
        <w:rPr>
          <w:rFonts w:asciiTheme="minorHAnsi" w:hAnsiTheme="minorHAnsi"/>
        </w:rPr>
      </w:pPr>
      <w:r w:rsidRPr="00181755">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66B154A5" w14:textId="77777777" w:rsidR="003F7941" w:rsidRPr="00181755" w:rsidRDefault="003F7941" w:rsidP="00181755">
      <w:pPr>
        <w:rPr>
          <w:rFonts w:asciiTheme="minorHAnsi" w:hAnsiTheme="minorHAnsi"/>
        </w:rPr>
      </w:pPr>
      <w:r w:rsidRPr="00181755">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181755" w:rsidRDefault="003F7941" w:rsidP="00181755">
      <w:pPr>
        <w:rPr>
          <w:rFonts w:asciiTheme="minorHAnsi" w:hAnsiTheme="minorHAnsi"/>
        </w:rPr>
      </w:pPr>
      <w:r w:rsidRPr="00181755">
        <w:rPr>
          <w:rFonts w:asciiTheme="minorHAnsi" w:hAnsiTheme="minorHAnsi"/>
        </w:rPr>
        <w:t>A hitelkockázati koncentráció méréséhez használt mérőszámok:</w:t>
      </w:r>
    </w:p>
    <w:p w14:paraId="66B154A7"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az első „X” legnagyobb kitettség összegének aránya egy „megfelelően kiválasztott” mértékszámhoz (például: mérlegfőösszeg, szavatoló tőke, összes kitettség),</w:t>
      </w:r>
    </w:p>
    <w:p w14:paraId="66B154A8"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koncentrációs mérőszámai (Gini koefficiens, Herfindahl</w:t>
      </w:r>
      <w:r w:rsidR="00085D7E" w:rsidRPr="00181755">
        <w:rPr>
          <w:rFonts w:asciiTheme="minorHAnsi" w:hAnsiTheme="minorHAnsi"/>
          <w:lang w:val="hu-HU"/>
        </w:rPr>
        <w:t>-</w:t>
      </w:r>
      <w:r w:rsidR="00085D7E" w:rsidRPr="00181755">
        <w:rPr>
          <w:rFonts w:asciiTheme="minorHAnsi" w:hAnsiTheme="minorHAnsi"/>
        </w:rPr>
        <w:t xml:space="preserve"> Hirschman</w:t>
      </w:r>
      <w:r w:rsidRPr="00181755">
        <w:rPr>
          <w:rFonts w:asciiTheme="minorHAnsi" w:hAnsiTheme="minorHAnsi"/>
        </w:rPr>
        <w:t xml:space="preserve"> index),</w:t>
      </w:r>
    </w:p>
    <w:p w14:paraId="66B154AA" w14:textId="49917AFA"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korrelá</w:t>
      </w:r>
      <w:r w:rsidR="00540601">
        <w:rPr>
          <w:rFonts w:asciiTheme="minorHAnsi" w:hAnsiTheme="minorHAnsi"/>
        </w:rPr>
        <w:t>ciói és varianciái/kovarianciái</w:t>
      </w:r>
      <w:r w:rsidR="00540601">
        <w:rPr>
          <w:rFonts w:asciiTheme="minorHAnsi" w:hAnsiTheme="minorHAnsi"/>
          <w:lang w:val="hu-HU"/>
        </w:rPr>
        <w:t>,</w:t>
      </w:r>
    </w:p>
    <w:p w14:paraId="66B154AB"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181755" w:rsidRDefault="003F7941" w:rsidP="00181755">
      <w:pPr>
        <w:rPr>
          <w:rFonts w:asciiTheme="minorHAnsi" w:hAnsiTheme="minorHAnsi"/>
        </w:rPr>
      </w:pPr>
      <w:r w:rsidRPr="00181755">
        <w:rPr>
          <w:rFonts w:asciiTheme="minorHAnsi" w:hAnsiTheme="minorHAnsi"/>
        </w:rPr>
        <w:t>A nagykockázat</w:t>
      </w:r>
      <w:r w:rsidR="00540601">
        <w:rPr>
          <w:rFonts w:asciiTheme="minorHAnsi" w:hAnsiTheme="minorHAnsi"/>
        </w:rPr>
        <w:t>i</w:t>
      </w:r>
      <w:r w:rsidRPr="00181755">
        <w:rPr>
          <w:rFonts w:asciiTheme="minorHAnsi" w:hAnsiTheme="minorHAnsi"/>
        </w:rPr>
        <w:t xml:space="preserve"> limit túllépése esetén alkalmazott felügyeleti intézkedések</w:t>
      </w:r>
      <w:r w:rsidR="00540601">
        <w:rPr>
          <w:rFonts w:asciiTheme="minorHAnsi" w:hAnsiTheme="minorHAnsi"/>
        </w:rPr>
        <w:t>:</w:t>
      </w:r>
    </w:p>
    <w:p w14:paraId="66B154AD" w14:textId="77777777" w:rsidR="003F7941" w:rsidRPr="00540601" w:rsidRDefault="003F7941" w:rsidP="00540601">
      <w:pPr>
        <w:pStyle w:val="Listaszerbekezds"/>
        <w:numPr>
          <w:ilvl w:val="0"/>
          <w:numId w:val="64"/>
        </w:numPr>
        <w:rPr>
          <w:rFonts w:asciiTheme="minorHAnsi" w:hAnsiTheme="minorHAnsi"/>
        </w:rPr>
      </w:pPr>
      <w:r w:rsidRPr="00540601">
        <w:rPr>
          <w:rFonts w:asciiTheme="minorHAnsi" w:hAnsiTheme="minorHAnsi"/>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alkalmaz.</w:t>
      </w:r>
    </w:p>
    <w:p w14:paraId="66B154AF" w14:textId="03D75E15" w:rsidR="003F7941" w:rsidRPr="00540601" w:rsidRDefault="003F7941" w:rsidP="00540601">
      <w:pPr>
        <w:pStyle w:val="Listaszerbekezds"/>
        <w:numPr>
          <w:ilvl w:val="0"/>
          <w:numId w:val="64"/>
        </w:numPr>
        <w:spacing w:after="240"/>
        <w:rPr>
          <w:rFonts w:asciiTheme="minorHAnsi" w:hAnsiTheme="minorHAnsi"/>
        </w:rPr>
      </w:pPr>
      <w:r w:rsidRPr="00540601">
        <w:rPr>
          <w:rFonts w:asciiTheme="minorHAnsi" w:hAnsiTheme="minorHAnsi"/>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540601">
        <w:rPr>
          <w:rFonts w:asciiTheme="minorHAnsi" w:hAnsiTheme="minorHAnsi"/>
        </w:rPr>
        <w:t>hat</w:t>
      </w:r>
      <w:r w:rsidRPr="00540601">
        <w:rPr>
          <w:rFonts w:asciiTheme="minorHAnsi" w:hAnsiTheme="minorHAnsi"/>
        </w:rPr>
        <w:t xml:space="preserve">ja elő. </w:t>
      </w:r>
    </w:p>
    <w:p w14:paraId="66B154B0" w14:textId="77777777" w:rsidR="003F7941" w:rsidRPr="00181755" w:rsidRDefault="003F7941" w:rsidP="00181755">
      <w:pPr>
        <w:pStyle w:val="Cmsor4"/>
        <w:rPr>
          <w:rFonts w:asciiTheme="minorHAnsi" w:hAnsiTheme="minorHAnsi"/>
        </w:rPr>
      </w:pPr>
      <w:bookmarkStart w:id="824" w:name="_Toc461095220"/>
      <w:bookmarkStart w:id="825" w:name="_Toc461179876"/>
      <w:bookmarkStart w:id="826" w:name="_Toc461201319"/>
      <w:bookmarkStart w:id="827" w:name="_Toc461547962"/>
      <w:bookmarkStart w:id="828" w:name="_Toc462402001"/>
      <w:bookmarkStart w:id="829" w:name="_Toc462403122"/>
      <w:bookmarkStart w:id="830" w:name="_Toc462403446"/>
      <w:bookmarkStart w:id="831" w:name="_Toc468180565"/>
      <w:bookmarkStart w:id="832" w:name="_Toc468181074"/>
      <w:bookmarkStart w:id="833" w:name="_Toc468191460"/>
      <w:r w:rsidRPr="00181755">
        <w:rPr>
          <w:rFonts w:asciiTheme="minorHAnsi" w:hAnsiTheme="minorHAnsi"/>
        </w:rPr>
        <w:t>Országkockázat</w:t>
      </w:r>
      <w:bookmarkEnd w:id="824"/>
      <w:bookmarkEnd w:id="825"/>
      <w:bookmarkEnd w:id="826"/>
      <w:bookmarkEnd w:id="827"/>
      <w:bookmarkEnd w:id="828"/>
      <w:bookmarkEnd w:id="829"/>
      <w:bookmarkEnd w:id="830"/>
      <w:bookmarkEnd w:id="831"/>
      <w:bookmarkEnd w:id="832"/>
      <w:bookmarkEnd w:id="833"/>
    </w:p>
    <w:p w14:paraId="5DF16EE7" w14:textId="77777777" w:rsidR="00B80E2C" w:rsidRPr="00181755" w:rsidRDefault="00B80E2C" w:rsidP="00181755">
      <w:pPr>
        <w:rPr>
          <w:rFonts w:asciiTheme="minorHAnsi" w:hAnsiTheme="minorHAnsi"/>
          <w:b/>
        </w:rPr>
      </w:pPr>
      <w:r w:rsidRPr="00181755">
        <w:rPr>
          <w:rFonts w:asciiTheme="minorHAnsi" w:hAnsiTheme="minorHAnsi"/>
          <w:b/>
        </w:rPr>
        <w:t>Definíció</w:t>
      </w:r>
    </w:p>
    <w:p w14:paraId="66B154B1" w14:textId="12386C43" w:rsidR="003F7941" w:rsidRPr="00181755" w:rsidRDefault="003F7941" w:rsidP="00181755">
      <w:pPr>
        <w:rPr>
          <w:rFonts w:asciiTheme="minorHAnsi" w:hAnsiTheme="minorHAnsi"/>
        </w:rPr>
      </w:pPr>
      <w:r w:rsidRPr="00181755">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181755" w:rsidRDefault="003F7941" w:rsidP="00181755">
      <w:pPr>
        <w:keepNext/>
        <w:rPr>
          <w:rFonts w:asciiTheme="minorHAnsi" w:hAnsiTheme="minorHAnsi"/>
        </w:rPr>
      </w:pPr>
      <w:r w:rsidRPr="00181755">
        <w:rPr>
          <w:rFonts w:asciiTheme="minorHAnsi" w:hAnsiTheme="minorHAnsi"/>
        </w:rPr>
        <w:t>Az országkockázat alkotó elemei az alábbiak:</w:t>
      </w:r>
    </w:p>
    <w:p w14:paraId="66B154B3" w14:textId="700EC5E9" w:rsidR="003F7941" w:rsidRPr="00181755" w:rsidRDefault="003F7941" w:rsidP="00181755">
      <w:pPr>
        <w:pStyle w:val="felsorolsos"/>
        <w:keepNext/>
        <w:rPr>
          <w:rFonts w:asciiTheme="minorHAnsi" w:hAnsiTheme="minorHAnsi"/>
        </w:rPr>
      </w:pPr>
      <w:r w:rsidRPr="00181755">
        <w:rPr>
          <w:rFonts w:asciiTheme="minorHAnsi" w:hAnsiTheme="minorHAnsi"/>
        </w:rPr>
        <w:t>transzfer-kockázat, amely az</w:t>
      </w:r>
      <w:r w:rsidR="00085D7E" w:rsidRPr="00181755">
        <w:rPr>
          <w:rFonts w:asciiTheme="minorHAnsi" w:hAnsiTheme="minorHAnsi"/>
          <w:lang w:val="hu-HU"/>
        </w:rPr>
        <w:t>on</w:t>
      </w:r>
      <w:r w:rsidRPr="00181755">
        <w:rPr>
          <w:rFonts w:asciiTheme="minorHAnsi" w:hAnsiTheme="minorHAnsi"/>
        </w:rPr>
        <w:t xml:space="preserve"> a kockázatot jelenti, </w:t>
      </w:r>
      <w:r w:rsidR="00085D7E" w:rsidRPr="00181755">
        <w:rPr>
          <w:rFonts w:asciiTheme="minorHAnsi" w:hAnsiTheme="minorHAnsi"/>
          <w:lang w:val="hu-HU"/>
        </w:rPr>
        <w:t>ahol</w:t>
      </w:r>
      <w:r w:rsidR="00085D7E" w:rsidRPr="00181755">
        <w:rPr>
          <w:rFonts w:asciiTheme="minorHAnsi" w:hAnsiTheme="minorHAnsi"/>
        </w:rPr>
        <w:t xml:space="preserve"> </w:t>
      </w:r>
      <w:r w:rsidRPr="00181755">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181755" w:rsidRDefault="003F7941" w:rsidP="00181755">
      <w:pPr>
        <w:pStyle w:val="felsorolsos"/>
        <w:rPr>
          <w:rFonts w:asciiTheme="minorHAnsi" w:hAnsiTheme="minorHAnsi"/>
        </w:rPr>
      </w:pPr>
      <w:r w:rsidRPr="00181755">
        <w:rPr>
          <w:rFonts w:asciiTheme="minorHAnsi" w:hAnsiTheme="minorHAnsi"/>
        </w:rPr>
        <w:t>szuverén kockázat, amely annak az országnak a fizetésképtelenségéből adódik, amellyel szemben az intézménynek kitettsége van,</w:t>
      </w:r>
    </w:p>
    <w:p w14:paraId="66B154B5"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collective debtor risk </w:t>
      </w:r>
      <w:r w:rsidRPr="00181755">
        <w:rPr>
          <w:rFonts w:asciiTheme="minorHAnsi" w:hAnsiTheme="minorHAnsi"/>
          <w:szCs w:val="22"/>
        </w:rPr>
        <w:t>(kollektív adóskockázat),</w:t>
      </w:r>
      <w:r w:rsidRPr="00181755">
        <w:rPr>
          <w:rFonts w:asciiTheme="minorHAnsi" w:hAnsiTheme="minorHAnsi"/>
        </w:rPr>
        <w:t xml:space="preserve"> amely abból fakad, hogy az egész országot érintő esemény az adósok nagy körének nem-teljesítéséhez vezet.</w:t>
      </w:r>
    </w:p>
    <w:p w14:paraId="66B154B6" w14:textId="2D922A0E" w:rsidR="003F7941" w:rsidRPr="00181755" w:rsidRDefault="003F7941" w:rsidP="00181755">
      <w:pPr>
        <w:rPr>
          <w:rFonts w:asciiTheme="minorHAnsi" w:hAnsiTheme="minorHAnsi"/>
        </w:rPr>
      </w:pPr>
      <w:r w:rsidRPr="00181755">
        <w:rPr>
          <w:rFonts w:asciiTheme="minorHAnsi" w:hAnsiTheme="minorHAnsi"/>
        </w:rPr>
        <w:t xml:space="preserve">Az országkockázat egyes elemei a CRR-ben </w:t>
      </w:r>
      <w:r w:rsidR="00085D7E" w:rsidRPr="00181755">
        <w:rPr>
          <w:rFonts w:asciiTheme="minorHAnsi" w:hAnsiTheme="minorHAnsi"/>
        </w:rPr>
        <w:t xml:space="preserve">is </w:t>
      </w:r>
      <w:r w:rsidRPr="00181755">
        <w:rPr>
          <w:rFonts w:asciiTheme="minorHAnsi" w:hAnsiTheme="minorHAnsi"/>
        </w:rPr>
        <w:t>megjelennek:</w:t>
      </w:r>
    </w:p>
    <w:p w14:paraId="66B154B7" w14:textId="77777777" w:rsidR="003F7941" w:rsidRPr="00181755" w:rsidRDefault="003F7941" w:rsidP="00181755">
      <w:pPr>
        <w:pStyle w:val="felsorolsos"/>
        <w:rPr>
          <w:rFonts w:asciiTheme="minorHAnsi" w:hAnsiTheme="minorHAnsi"/>
        </w:rPr>
      </w:pPr>
      <w:r w:rsidRPr="00181755">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181755" w:rsidRDefault="003F7941" w:rsidP="00181755">
      <w:pPr>
        <w:pStyle w:val="felsorolsos"/>
        <w:rPr>
          <w:rFonts w:asciiTheme="minorHAnsi" w:hAnsiTheme="minorHAnsi"/>
        </w:rPr>
      </w:pPr>
      <w:r w:rsidRPr="00181755">
        <w:rPr>
          <w:rFonts w:asciiTheme="minorHAnsi" w:hAnsiTheme="minorHAnsi"/>
        </w:rPr>
        <w:t>a központi bankkal szembeni kitettségek kockázati súlya közötti differenciálás denomináció alapján,</w:t>
      </w:r>
    </w:p>
    <w:p w14:paraId="66B154B9" w14:textId="77777777" w:rsidR="003F7941" w:rsidRPr="00181755" w:rsidRDefault="003F7941" w:rsidP="00181755">
      <w:pPr>
        <w:pStyle w:val="felsorolsos"/>
        <w:rPr>
          <w:rFonts w:asciiTheme="minorHAnsi" w:hAnsiTheme="minorHAnsi"/>
        </w:rPr>
      </w:pPr>
      <w:r w:rsidRPr="00181755">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181755" w:rsidRDefault="00B80E2C" w:rsidP="00181755">
      <w:pPr>
        <w:rPr>
          <w:rFonts w:asciiTheme="minorHAnsi" w:hAnsiTheme="minorHAnsi"/>
          <w:b/>
        </w:rPr>
      </w:pPr>
      <w:r w:rsidRPr="00181755">
        <w:rPr>
          <w:rFonts w:asciiTheme="minorHAnsi" w:hAnsiTheme="minorHAnsi"/>
          <w:b/>
        </w:rPr>
        <w:t>Kockázatértékelés és -kezelés</w:t>
      </w:r>
    </w:p>
    <w:p w14:paraId="66B154BA" w14:textId="77777777" w:rsidR="003F7941" w:rsidRPr="00181755" w:rsidRDefault="003F7941" w:rsidP="00181755">
      <w:pPr>
        <w:rPr>
          <w:rFonts w:asciiTheme="minorHAnsi" w:hAnsiTheme="minorHAnsi"/>
        </w:rPr>
      </w:pPr>
      <w:r w:rsidRPr="00181755">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ország-limitet az egyes országok tekintetében,</w:t>
      </w:r>
    </w:p>
    <w:p w14:paraId="66B154BC"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megállapításához figyelembe vett tényezőket és információforrásokat,</w:t>
      </w:r>
    </w:p>
    <w:p w14:paraId="2B1A49FA" w14:textId="5687FB1D" w:rsidR="00085D7E" w:rsidRPr="00181755" w:rsidRDefault="00085D7E" w:rsidP="00181755">
      <w:pPr>
        <w:pStyle w:val="felsorolsos"/>
        <w:rPr>
          <w:rFonts w:asciiTheme="minorHAnsi" w:hAnsiTheme="minorHAnsi"/>
          <w:lang w:val="hu-HU"/>
        </w:rPr>
      </w:pPr>
      <w:r w:rsidRPr="00181755">
        <w:rPr>
          <w:rFonts w:asciiTheme="minorHAnsi" w:hAnsiTheme="minorHAnsi"/>
          <w:lang w:val="hu-HU"/>
        </w:rPr>
        <w:t>az ország-limitek megállapításáért felelős személyt vagy szervezeti egységet,</w:t>
      </w:r>
    </w:p>
    <w:p w14:paraId="66B154BD"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elfogadásáért felelős személyt vagy szervezeti egységet,</w:t>
      </w:r>
    </w:p>
    <w:p w14:paraId="66B154BE" w14:textId="77777777" w:rsidR="003F7941" w:rsidRPr="00181755" w:rsidRDefault="003F7941" w:rsidP="00181755">
      <w:pPr>
        <w:pStyle w:val="felsorolsos"/>
        <w:rPr>
          <w:rFonts w:asciiTheme="minorHAnsi" w:hAnsiTheme="minorHAnsi"/>
        </w:rPr>
      </w:pPr>
      <w:r w:rsidRPr="00181755">
        <w:rPr>
          <w:rFonts w:asciiTheme="minorHAnsi" w:hAnsiTheme="minorHAnsi"/>
        </w:rPr>
        <w:t>a meghatározott ország-limitek ellenőrzéséért felelős személyt vagy szervezeti egységet,</w:t>
      </w:r>
    </w:p>
    <w:p w14:paraId="66B154BF" w14:textId="77777777" w:rsidR="00217983" w:rsidRPr="00181755" w:rsidRDefault="003F7941" w:rsidP="00181755">
      <w:pPr>
        <w:pStyle w:val="felsorolsos"/>
        <w:rPr>
          <w:rFonts w:asciiTheme="minorHAnsi" w:hAnsiTheme="minorHAnsi"/>
        </w:rPr>
      </w:pPr>
      <w:r w:rsidRPr="00181755">
        <w:rPr>
          <w:rFonts w:asciiTheme="minorHAnsi" w:hAnsiTheme="minorHAnsi"/>
        </w:rPr>
        <w:t>az ország-limitek felülvizsgálatának rendszerét, gyakoriságát</w:t>
      </w:r>
      <w:r w:rsidR="00217983" w:rsidRPr="00181755">
        <w:rPr>
          <w:rFonts w:asciiTheme="minorHAnsi" w:hAnsiTheme="minorHAnsi"/>
          <w:lang w:val="hu-HU"/>
        </w:rPr>
        <w:t>,</w:t>
      </w:r>
    </w:p>
    <w:p w14:paraId="66B154C0" w14:textId="77777777" w:rsidR="00217983" w:rsidRPr="00181755" w:rsidRDefault="00217983" w:rsidP="00181755">
      <w:pPr>
        <w:pStyle w:val="felsorolsos"/>
        <w:rPr>
          <w:rFonts w:asciiTheme="minorHAnsi" w:hAnsiTheme="minorHAnsi"/>
        </w:rPr>
      </w:pPr>
      <w:r w:rsidRPr="00181755">
        <w:rPr>
          <w:rFonts w:asciiTheme="minorHAnsi" w:hAnsiTheme="minorHAnsi"/>
          <w:lang w:val="hu-HU"/>
        </w:rPr>
        <w:t xml:space="preserve">az ország-limitek kihasználtságára vonatkozó monitoring folyamatát, </w:t>
      </w:r>
    </w:p>
    <w:p w14:paraId="66B154C1" w14:textId="77777777" w:rsidR="003F7941" w:rsidRPr="00181755" w:rsidRDefault="00217983" w:rsidP="00181755">
      <w:pPr>
        <w:pStyle w:val="felsorolsos"/>
        <w:rPr>
          <w:rFonts w:asciiTheme="minorHAnsi" w:hAnsiTheme="minorHAnsi"/>
        </w:rPr>
      </w:pPr>
      <w:r w:rsidRPr="00181755">
        <w:rPr>
          <w:rFonts w:asciiTheme="minorHAnsi" w:hAnsiTheme="minorHAnsi"/>
          <w:lang w:val="hu-HU"/>
        </w:rPr>
        <w:t>az ország-limitek túllépésének esetére vonatkozó eljárási elveket</w:t>
      </w:r>
      <w:r w:rsidR="003F7941" w:rsidRPr="00181755">
        <w:rPr>
          <w:rFonts w:asciiTheme="minorHAnsi" w:hAnsiTheme="minorHAnsi"/>
        </w:rPr>
        <w:t>.</w:t>
      </w:r>
    </w:p>
    <w:p w14:paraId="583689DB" w14:textId="2F248149" w:rsidR="00B80E2C" w:rsidRPr="00181755" w:rsidRDefault="00B80E2C" w:rsidP="00181755">
      <w:pPr>
        <w:rPr>
          <w:rFonts w:asciiTheme="minorHAnsi" w:hAnsiTheme="minorHAnsi"/>
          <w:b/>
        </w:rPr>
      </w:pPr>
      <w:r w:rsidRPr="00181755">
        <w:rPr>
          <w:rFonts w:asciiTheme="minorHAnsi" w:hAnsiTheme="minorHAnsi"/>
          <w:b/>
        </w:rPr>
        <w:t>Tőkeszámítás</w:t>
      </w:r>
    </w:p>
    <w:p w14:paraId="66B154C2" w14:textId="15ED69DA" w:rsidR="003F7941" w:rsidRPr="00181755" w:rsidRDefault="00B80E2C" w:rsidP="00181755">
      <w:pPr>
        <w:rPr>
          <w:rFonts w:asciiTheme="minorHAnsi" w:hAnsiTheme="minorHAnsi"/>
        </w:rPr>
      </w:pPr>
      <w:r w:rsidRPr="00181755">
        <w:rPr>
          <w:rFonts w:asciiTheme="minorHAnsi" w:hAnsiTheme="minorHAnsi"/>
        </w:rPr>
        <w:t>Az MNB elvárja az intézményektől, hogy mérjék fel országkockázati kitettségeiket, és számszerűsítsék a kockázataikat. Amennyiben az intézmény nem rendelkezik saját belső tőkeszámítási módszertannal, az MNB a</w:t>
      </w:r>
      <w:r w:rsidR="003F7941" w:rsidRPr="00181755">
        <w:rPr>
          <w:rFonts w:asciiTheme="minorHAnsi" w:hAnsiTheme="minorHAnsi"/>
        </w:rPr>
        <w:t xml:space="preserve">z országkockázat tőkekövetelményére a fenti – a kockázatkezelési rendszerekre vonatkozó - elvárásokon túlmenően a 2. pillér részeként, az országkockázat fedezésére </w:t>
      </w:r>
      <w:r w:rsidRPr="00181755">
        <w:rPr>
          <w:rFonts w:asciiTheme="minorHAnsi" w:hAnsiTheme="minorHAnsi"/>
        </w:rPr>
        <w:t xml:space="preserve">az alábbi módszertan szerinti </w:t>
      </w:r>
      <w:r w:rsidR="003F7941" w:rsidRPr="00181755">
        <w:rPr>
          <w:rFonts w:asciiTheme="minorHAnsi" w:hAnsiTheme="minorHAnsi"/>
        </w:rPr>
        <w:t>pótlólagos tőkekövetelményt ír</w:t>
      </w:r>
      <w:r w:rsidRPr="00181755">
        <w:rPr>
          <w:rFonts w:asciiTheme="minorHAnsi" w:hAnsiTheme="minorHAnsi"/>
        </w:rPr>
        <w:t>ja</w:t>
      </w:r>
      <w:r w:rsidR="003F7941" w:rsidRPr="00181755">
        <w:rPr>
          <w:rFonts w:asciiTheme="minorHAnsi" w:hAnsiTheme="minorHAnsi"/>
        </w:rPr>
        <w:t xml:space="preserve"> elő: </w:t>
      </w:r>
    </w:p>
    <w:p w14:paraId="66B154C3" w14:textId="11CBB5A3"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50%, ott az intézmény tőkealapjának 75%-a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20%,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4" w14:textId="1A549A17"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100%, ott az intézmény tőkealapjának 50%-a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25%,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5" w14:textId="185CF5B6"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150%, ott az intézmény tőkealapjának 20%-a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30%,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6" w14:textId="10BF8F37"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0 vagy 20%, ott nem kerül sor többlet</w:t>
      </w:r>
      <w:r w:rsidR="008D7D57" w:rsidRPr="00181755">
        <w:rPr>
          <w:rFonts w:asciiTheme="minorHAnsi" w:hAnsiTheme="minorHAnsi"/>
          <w:lang w:val="hu-HU"/>
        </w:rPr>
        <w:t>-</w:t>
      </w:r>
      <w:r w:rsidRPr="00181755">
        <w:rPr>
          <w:rFonts w:asciiTheme="minorHAnsi" w:hAnsiTheme="minorHAnsi"/>
        </w:rPr>
        <w:t>tőkekövetelmény előírására.</w:t>
      </w:r>
    </w:p>
    <w:p w14:paraId="66B154C8" w14:textId="5B36306A" w:rsidR="003F7941" w:rsidRPr="00181755" w:rsidRDefault="003F7941" w:rsidP="00181755">
      <w:pPr>
        <w:rPr>
          <w:rFonts w:asciiTheme="minorHAnsi" w:hAnsiTheme="minorHAnsi"/>
        </w:rPr>
      </w:pPr>
      <w:r w:rsidRPr="00181755">
        <w:rPr>
          <w:rFonts w:asciiTheme="minorHAnsi" w:hAnsiTheme="minorHAnsi"/>
        </w:rPr>
        <w:t xml:space="preserve">Azon intézmények esetében, amelyek olyan fejlett kockázatmérési és -kezelési rendszert alkalmaznak, amely az országkockázatok megfelelő mérésére és kezelésére is kiterjed, valamint a belső tőkeallokációs módszerük az országkockázatot megfelelően kezeli, lehetőség van arra, hogy az intézmény ne a fenti, hanem saját, belső tőkeallokációs módszerével határozza meg az országkockázat tőkekövetelményét. </w:t>
      </w:r>
      <w:r w:rsidR="00085D7E" w:rsidRPr="00181755">
        <w:rPr>
          <w:rFonts w:asciiTheme="minorHAnsi" w:hAnsiTheme="minorHAnsi"/>
        </w:rPr>
        <w:t>A</w:t>
      </w:r>
      <w:r w:rsidRPr="00181755">
        <w:rPr>
          <w:rFonts w:asciiTheme="minorHAnsi" w:hAnsiTheme="minorHAnsi"/>
        </w:rPr>
        <w:t>z intézmény</w:t>
      </w:r>
      <w:r w:rsidR="00085D7E" w:rsidRPr="00181755">
        <w:rPr>
          <w:rFonts w:asciiTheme="minorHAnsi" w:hAnsiTheme="minorHAnsi"/>
        </w:rPr>
        <w:t>nek</w:t>
      </w:r>
      <w:r w:rsidRPr="00181755">
        <w:rPr>
          <w:rFonts w:asciiTheme="minorHAnsi" w:hAnsiTheme="minorHAnsi"/>
        </w:rPr>
        <w:t xml:space="preserve"> meggyőzően </w:t>
      </w:r>
      <w:r w:rsidR="00085D7E" w:rsidRPr="00181755">
        <w:rPr>
          <w:rFonts w:asciiTheme="minorHAnsi" w:hAnsiTheme="minorHAnsi"/>
        </w:rPr>
        <w:t>kell</w:t>
      </w:r>
      <w:r w:rsidRPr="00181755">
        <w:rPr>
          <w:rFonts w:asciiTheme="minorHAnsi" w:hAnsiTheme="minorHAnsi"/>
        </w:rPr>
        <w:t xml:space="preserve"> </w:t>
      </w:r>
      <w:r w:rsidR="00085D7E" w:rsidRPr="00181755">
        <w:rPr>
          <w:rFonts w:asciiTheme="minorHAnsi" w:hAnsiTheme="minorHAnsi"/>
        </w:rPr>
        <w:t>igazolnia</w:t>
      </w:r>
      <w:r w:rsidRPr="00181755">
        <w:rPr>
          <w:rFonts w:asciiTheme="minorHAnsi" w:hAnsiTheme="minorHAnsi"/>
        </w:rPr>
        <w:t xml:space="preserve"> az MNB számára, hogy belső tőkeallokációs rendszere kellően figyelembe veszi az országkockázatból fakadó potenciális veszteségeket</w:t>
      </w:r>
      <w:r w:rsidR="00085D7E" w:rsidRPr="00181755">
        <w:rPr>
          <w:rFonts w:asciiTheme="minorHAnsi" w:hAnsiTheme="minorHAnsi"/>
        </w:rPr>
        <w:t>.</w:t>
      </w:r>
      <w:r w:rsidRPr="00181755">
        <w:rPr>
          <w:rFonts w:asciiTheme="minorHAnsi" w:hAnsiTheme="minorHAnsi"/>
        </w:rPr>
        <w:t xml:space="preserve"> Amennyiben ez nem történik meg, akkor a belső minősítést alkalmazó intézmények</w:t>
      </w:r>
      <w:r w:rsidR="00085D7E" w:rsidRPr="00181755">
        <w:rPr>
          <w:rFonts w:asciiTheme="minorHAnsi" w:hAnsiTheme="minorHAnsi"/>
        </w:rPr>
        <w:t>nek</w:t>
      </w:r>
      <w:r w:rsidRPr="00181755">
        <w:rPr>
          <w:rFonts w:asciiTheme="minorHAnsi" w:hAnsiTheme="minorHAnsi"/>
        </w:rPr>
        <w:t xml:space="preserve">, </w:t>
      </w:r>
      <w:r w:rsidR="00085D7E" w:rsidRPr="00181755">
        <w:rPr>
          <w:rFonts w:asciiTheme="minorHAnsi" w:hAnsiTheme="minorHAnsi"/>
        </w:rPr>
        <w:t xml:space="preserve">és </w:t>
      </w:r>
      <w:r w:rsidRPr="00181755">
        <w:rPr>
          <w:rFonts w:asciiTheme="minorHAnsi" w:hAnsiTheme="minorHAnsi"/>
        </w:rPr>
        <w:t>a sztenderd módszert alkalmazó intézmények</w:t>
      </w:r>
      <w:r w:rsidR="00085D7E" w:rsidRPr="00181755">
        <w:rPr>
          <w:rFonts w:asciiTheme="minorHAnsi" w:hAnsiTheme="minorHAnsi"/>
        </w:rPr>
        <w:t>nek</w:t>
      </w:r>
      <w:r w:rsidRPr="00181755">
        <w:rPr>
          <w:rFonts w:asciiTheme="minorHAnsi" w:hAnsiTheme="minorHAnsi"/>
        </w:rPr>
        <w:t xml:space="preserve"> egyaránt </w:t>
      </w:r>
      <w:r w:rsidR="00085D7E" w:rsidRPr="00181755">
        <w:rPr>
          <w:rFonts w:asciiTheme="minorHAnsi" w:hAnsiTheme="minorHAnsi"/>
        </w:rPr>
        <w:t>rendelkezniük kell</w:t>
      </w:r>
      <w:r w:rsidRPr="00181755">
        <w:rPr>
          <w:rFonts w:asciiTheme="minorHAnsi" w:hAnsiTheme="minorHAnsi"/>
        </w:rPr>
        <w:t xml:space="preserve"> a tételesen előírt pótlólagos tőkekövetelménnyel kell rendelkezzenek az országkockázatok fedezésére.</w:t>
      </w:r>
    </w:p>
    <w:p w14:paraId="66B154C9" w14:textId="3EE9E02C"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CA" w14:textId="77777777" w:rsidR="003F7941" w:rsidRPr="00181755" w:rsidRDefault="003F7941" w:rsidP="00181755">
      <w:pPr>
        <w:rPr>
          <w:rFonts w:asciiTheme="minorHAnsi" w:hAnsiTheme="minorHAnsi"/>
        </w:rPr>
      </w:pPr>
      <w:r w:rsidRPr="00181755">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6A097B84" w:rsidR="003F7941" w:rsidRPr="00181755" w:rsidRDefault="003F7941" w:rsidP="00181755">
      <w:pPr>
        <w:rPr>
          <w:rFonts w:asciiTheme="minorHAnsi" w:hAnsiTheme="minorHAnsi"/>
        </w:rPr>
      </w:pPr>
      <w:r w:rsidRPr="00181755">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tőkeszámítási modellparaméterek megfelelő kalibrálása révén vagy alkalmas stressz-elemzések eredményeit felhasználva addicionális tőkeképzéssel is fede</w:t>
      </w:r>
      <w:r w:rsidR="00EB1BE0">
        <w:rPr>
          <w:rFonts w:asciiTheme="minorHAnsi" w:hAnsiTheme="minorHAnsi"/>
        </w:rPr>
        <w:t>zzék. Ennek hiányában az MNB a kézikönyvben</w:t>
      </w:r>
      <w:r w:rsidRPr="00181755">
        <w:rPr>
          <w:rFonts w:asciiTheme="minorHAnsi" w:hAnsiTheme="minorHAnsi"/>
        </w:rPr>
        <w:t xml:space="preserve"> lefektetett súlyozásos megközelítésből kiindulva, indokolt esetben pedig további konzervatív módszerek alapján pótlólagos tőkekövetelményt ír</w:t>
      </w:r>
      <w:r w:rsidR="00085D7E" w:rsidRPr="00181755">
        <w:rPr>
          <w:rFonts w:asciiTheme="minorHAnsi" w:hAnsiTheme="minorHAnsi"/>
        </w:rPr>
        <w:t>hat</w:t>
      </w:r>
      <w:r w:rsidRPr="00181755">
        <w:rPr>
          <w:rFonts w:asciiTheme="minorHAnsi" w:hAnsiTheme="minorHAnsi"/>
        </w:rPr>
        <w:t xml:space="preserve"> elő az ICAAP felülvizsgálat keretében. </w:t>
      </w:r>
    </w:p>
    <w:p w14:paraId="505103EE" w14:textId="77777777" w:rsidR="00085D7E" w:rsidRPr="00181755" w:rsidRDefault="00085D7E" w:rsidP="00181755">
      <w:pPr>
        <w:rPr>
          <w:rFonts w:asciiTheme="minorHAnsi" w:hAnsiTheme="minorHAnsi"/>
        </w:rPr>
      </w:pPr>
      <w:r w:rsidRPr="00181755">
        <w:rPr>
          <w:rFonts w:asciiTheme="minorHAnsi" w:hAnsiTheme="minorHAnsi"/>
        </w:rPr>
        <w:t>Az MNB az országkockázatok ICAAP alatti vizsgálata során értékeli:</w:t>
      </w:r>
    </w:p>
    <w:p w14:paraId="4F10AD48" w14:textId="48EC47D8" w:rsidR="00085D7E" w:rsidRPr="00181755" w:rsidRDefault="00085D7E" w:rsidP="00181755">
      <w:pPr>
        <w:pStyle w:val="Listaszerbekezds"/>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koncentráció mérték</w:t>
      </w:r>
      <w:r w:rsidRPr="00181755">
        <w:rPr>
          <w:rFonts w:asciiTheme="minorHAnsi" w:hAnsiTheme="minorHAnsi"/>
          <w:sz w:val="22"/>
          <w:szCs w:val="22"/>
          <w:lang w:val="hu-HU"/>
        </w:rPr>
        <w:t>ét</w:t>
      </w:r>
      <w:r w:rsidRPr="00181755">
        <w:rPr>
          <w:rFonts w:asciiTheme="minorHAnsi" w:hAnsiTheme="minorHAnsi"/>
          <w:sz w:val="22"/>
          <w:szCs w:val="22"/>
        </w:rPr>
        <w:t xml:space="preserve"> az országkockázat</w:t>
      </w:r>
      <w:r w:rsidRPr="00181755">
        <w:rPr>
          <w:rFonts w:asciiTheme="minorHAnsi" w:hAnsiTheme="minorHAnsi"/>
          <w:sz w:val="22"/>
          <w:szCs w:val="22"/>
          <w:lang w:val="hu-HU"/>
        </w:rPr>
        <w:t>i</w:t>
      </w:r>
      <w:r w:rsidRPr="00181755">
        <w:rPr>
          <w:rFonts w:asciiTheme="minorHAnsi" w:hAnsiTheme="minorHAnsi"/>
          <w:sz w:val="22"/>
          <w:szCs w:val="22"/>
        </w:rPr>
        <w:t xml:space="preserve"> kitettség minden típusán belül,</w:t>
      </w:r>
      <w:r w:rsidRPr="00181755">
        <w:rPr>
          <w:rFonts w:asciiTheme="minorHAnsi" w:hAnsiTheme="minorHAnsi"/>
          <w:sz w:val="22"/>
          <w:szCs w:val="22"/>
          <w:lang w:val="hu-HU"/>
        </w:rPr>
        <w:t xml:space="preserve"> </w:t>
      </w:r>
      <w:r w:rsidRPr="00181755">
        <w:rPr>
          <w:rFonts w:asciiTheme="minorHAnsi" w:hAnsiTheme="minorHAnsi"/>
          <w:sz w:val="22"/>
          <w:szCs w:val="22"/>
        </w:rPr>
        <w:t>beleértve a kormányzatok</w:t>
      </w:r>
      <w:r w:rsidRPr="00181755">
        <w:rPr>
          <w:rFonts w:asciiTheme="minorHAnsi" w:hAnsiTheme="minorHAnsi"/>
          <w:sz w:val="22"/>
          <w:szCs w:val="22"/>
          <w:lang w:val="hu-HU"/>
        </w:rPr>
        <w:t>kal szembeni</w:t>
      </w:r>
      <w:r w:rsidRPr="00181755">
        <w:rPr>
          <w:rFonts w:asciiTheme="minorHAnsi" w:hAnsiTheme="minorHAnsi"/>
          <w:sz w:val="22"/>
          <w:szCs w:val="22"/>
        </w:rPr>
        <w:t xml:space="preserve"> kitettségeket, az egész intézmény</w:t>
      </w:r>
      <w:r w:rsidRPr="00181755">
        <w:rPr>
          <w:rFonts w:asciiTheme="minorHAnsi" w:hAnsiTheme="minorHAnsi"/>
          <w:sz w:val="22"/>
          <w:szCs w:val="22"/>
          <w:lang w:val="hu-HU"/>
        </w:rPr>
        <w:t xml:space="preserve"> </w:t>
      </w:r>
      <w:r w:rsidRPr="00181755">
        <w:rPr>
          <w:rFonts w:asciiTheme="minorHAnsi" w:hAnsiTheme="minorHAnsi"/>
          <w:sz w:val="22"/>
          <w:szCs w:val="22"/>
        </w:rPr>
        <w:t>hitelportfóliójának arányában (ügyfelenként és összegenként)</w:t>
      </w:r>
      <w:r w:rsidR="009F6A94" w:rsidRPr="00181755">
        <w:rPr>
          <w:rFonts w:asciiTheme="minorHAnsi" w:hAnsiTheme="minorHAnsi"/>
          <w:sz w:val="22"/>
          <w:szCs w:val="22"/>
          <w:lang w:val="hu-HU"/>
        </w:rPr>
        <w:t>,</w:t>
      </w:r>
    </w:p>
    <w:p w14:paraId="4DD48B9B" w14:textId="2B8D148B" w:rsidR="00085D7E" w:rsidRPr="00181755" w:rsidRDefault="00085D7E" w:rsidP="00181755">
      <w:pPr>
        <w:pStyle w:val="Listaszerbekezds"/>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hitelfelvevő országának gazdasági erej</w:t>
      </w:r>
      <w:r w:rsidRPr="00181755">
        <w:rPr>
          <w:rFonts w:asciiTheme="minorHAnsi" w:hAnsiTheme="minorHAnsi"/>
          <w:sz w:val="22"/>
          <w:szCs w:val="22"/>
          <w:lang w:val="hu-HU"/>
        </w:rPr>
        <w:t>ét</w:t>
      </w:r>
      <w:r w:rsidRPr="00181755">
        <w:rPr>
          <w:rFonts w:asciiTheme="minorHAnsi" w:hAnsiTheme="minorHAnsi"/>
          <w:sz w:val="22"/>
          <w:szCs w:val="22"/>
        </w:rPr>
        <w:t xml:space="preserve"> és stabilitás</w:t>
      </w:r>
      <w:r w:rsidRPr="00181755">
        <w:rPr>
          <w:rFonts w:asciiTheme="minorHAnsi" w:hAnsiTheme="minorHAnsi"/>
          <w:sz w:val="22"/>
          <w:szCs w:val="22"/>
          <w:lang w:val="hu-HU"/>
        </w:rPr>
        <w:t>át</w:t>
      </w:r>
      <w:r w:rsidRPr="00181755">
        <w:rPr>
          <w:rFonts w:asciiTheme="minorHAnsi" w:hAnsiTheme="minorHAnsi"/>
          <w:sz w:val="22"/>
          <w:szCs w:val="22"/>
        </w:rPr>
        <w:t>, és a pontos kifizetésekkel,</w:t>
      </w:r>
      <w:r w:rsidRPr="00181755">
        <w:rPr>
          <w:rFonts w:asciiTheme="minorHAnsi" w:hAnsiTheme="minorHAnsi"/>
          <w:sz w:val="22"/>
          <w:szCs w:val="22"/>
          <w:lang w:val="hu-HU"/>
        </w:rPr>
        <w:t xml:space="preserve"> </w:t>
      </w:r>
      <w:r w:rsidRPr="00181755">
        <w:rPr>
          <w:rFonts w:asciiTheme="minorHAnsi" w:hAnsiTheme="minorHAnsi"/>
          <w:sz w:val="22"/>
          <w:szCs w:val="22"/>
        </w:rPr>
        <w:t>valamint súlyos nemteljesítő események előfordulásával kapcsolatos múltbeli</w:t>
      </w:r>
      <w:r w:rsidRPr="00181755">
        <w:rPr>
          <w:rFonts w:asciiTheme="minorHAnsi" w:hAnsiTheme="minorHAnsi"/>
          <w:sz w:val="22"/>
          <w:szCs w:val="22"/>
          <w:lang w:val="hu-HU"/>
        </w:rPr>
        <w:t xml:space="preserve"> </w:t>
      </w:r>
      <w:r w:rsidRPr="00181755">
        <w:rPr>
          <w:rFonts w:asciiTheme="minorHAnsi" w:hAnsiTheme="minorHAnsi"/>
          <w:sz w:val="22"/>
          <w:szCs w:val="22"/>
        </w:rPr>
        <w:t>teljesítmény</w:t>
      </w:r>
      <w:r w:rsidRPr="00181755">
        <w:rPr>
          <w:rFonts w:asciiTheme="minorHAnsi" w:hAnsiTheme="minorHAnsi"/>
          <w:sz w:val="22"/>
          <w:szCs w:val="22"/>
          <w:lang w:val="hu-HU"/>
        </w:rPr>
        <w:t>ét</w:t>
      </w:r>
      <w:r w:rsidR="009F6A94" w:rsidRPr="00181755">
        <w:rPr>
          <w:rFonts w:asciiTheme="minorHAnsi" w:hAnsiTheme="minorHAnsi"/>
          <w:sz w:val="22"/>
          <w:szCs w:val="22"/>
          <w:lang w:val="hu-HU"/>
        </w:rPr>
        <w:t>,</w:t>
      </w:r>
    </w:p>
    <w:p w14:paraId="6DFC9B16" w14:textId="77777777" w:rsidR="00085D7E" w:rsidRPr="00181755" w:rsidRDefault="00085D7E" w:rsidP="00181755">
      <w:pPr>
        <w:pStyle w:val="Listaszerbekezds"/>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kormányzati beavatkozás egyéb formáinak kockázat</w:t>
      </w:r>
      <w:r w:rsidRPr="00181755">
        <w:rPr>
          <w:rFonts w:asciiTheme="minorHAnsi" w:hAnsiTheme="minorHAnsi"/>
          <w:sz w:val="22"/>
          <w:szCs w:val="22"/>
          <w:lang w:val="hu-HU"/>
        </w:rPr>
        <w:t>át</w:t>
      </w:r>
      <w:r w:rsidRPr="00181755">
        <w:rPr>
          <w:rFonts w:asciiTheme="minorHAnsi" w:hAnsiTheme="minorHAnsi"/>
          <w:sz w:val="22"/>
          <w:szCs w:val="22"/>
        </w:rPr>
        <w:t>, amelyek lényegesen</w:t>
      </w:r>
      <w:r w:rsidRPr="00181755">
        <w:rPr>
          <w:rFonts w:asciiTheme="minorHAnsi" w:hAnsiTheme="minorHAnsi"/>
          <w:sz w:val="22"/>
          <w:szCs w:val="22"/>
          <w:lang w:val="hu-HU"/>
        </w:rPr>
        <w:t xml:space="preserve"> </w:t>
      </w:r>
      <w:r w:rsidRPr="00181755">
        <w:rPr>
          <w:rFonts w:asciiTheme="minorHAnsi" w:hAnsiTheme="minorHAnsi"/>
          <w:sz w:val="22"/>
          <w:szCs w:val="22"/>
        </w:rPr>
        <w:t>ronthatják a hitelfelvevők hitelképességét (pl. betétek befagyasztása, kisajátítás</w:t>
      </w:r>
      <w:r w:rsidRPr="00181755">
        <w:rPr>
          <w:rFonts w:asciiTheme="minorHAnsi" w:hAnsiTheme="minorHAnsi"/>
          <w:sz w:val="22"/>
          <w:szCs w:val="22"/>
          <w:lang w:val="hu-HU"/>
        </w:rPr>
        <w:t xml:space="preserve"> </w:t>
      </w:r>
      <w:r w:rsidRPr="00181755">
        <w:rPr>
          <w:rFonts w:asciiTheme="minorHAnsi" w:hAnsiTheme="minorHAnsi"/>
          <w:sz w:val="22"/>
          <w:szCs w:val="22"/>
        </w:rPr>
        <w:t xml:space="preserve">vagy büntető adóztatás); </w:t>
      </w:r>
    </w:p>
    <w:p w14:paraId="0ED69CC5" w14:textId="5E59E1A0" w:rsidR="00085D7E" w:rsidRPr="00181755" w:rsidRDefault="00085D7E" w:rsidP="00181755">
      <w:pPr>
        <w:pStyle w:val="Listaszerbekezds"/>
        <w:numPr>
          <w:ilvl w:val="0"/>
          <w:numId w:val="22"/>
        </w:numPr>
        <w:rPr>
          <w:rFonts w:asciiTheme="minorHAnsi" w:hAnsiTheme="minorHAnsi"/>
          <w:sz w:val="22"/>
          <w:szCs w:val="22"/>
        </w:rPr>
      </w:pPr>
      <w:r w:rsidRPr="00181755">
        <w:rPr>
          <w:rFonts w:asciiTheme="minorHAnsi" w:hAnsiTheme="minorHAnsi"/>
          <w:sz w:val="22"/>
          <w:szCs w:val="22"/>
          <w:lang w:val="hu-HU"/>
        </w:rPr>
        <w:t>E</w:t>
      </w:r>
      <w:r w:rsidRPr="00181755">
        <w:rPr>
          <w:rFonts w:asciiTheme="minorHAnsi" w:hAnsiTheme="minorHAnsi"/>
          <w:sz w:val="22"/>
          <w:szCs w:val="22"/>
        </w:rPr>
        <w:t>gy olyan esemény (pl. természeti vagy társadalmi/politikai esemény)</w:t>
      </w:r>
      <w:r w:rsidRPr="00181755">
        <w:rPr>
          <w:rFonts w:asciiTheme="minorHAnsi" w:hAnsiTheme="minorHAnsi"/>
          <w:sz w:val="22"/>
          <w:szCs w:val="22"/>
          <w:lang w:val="hu-HU"/>
        </w:rPr>
        <w:t xml:space="preserve"> </w:t>
      </w:r>
      <w:r w:rsidRPr="00181755">
        <w:rPr>
          <w:rFonts w:asciiTheme="minorHAnsi" w:hAnsiTheme="minorHAnsi"/>
          <w:sz w:val="22"/>
          <w:szCs w:val="22"/>
        </w:rPr>
        <w:t>lehetőségéből eredő kockázat</w:t>
      </w:r>
      <w:r w:rsidRPr="00181755">
        <w:rPr>
          <w:rFonts w:asciiTheme="minorHAnsi" w:hAnsiTheme="minorHAnsi"/>
          <w:sz w:val="22"/>
          <w:szCs w:val="22"/>
          <w:lang w:val="hu-HU"/>
        </w:rPr>
        <w:t>okat</w:t>
      </w:r>
      <w:r w:rsidRPr="00181755">
        <w:rPr>
          <w:rFonts w:asciiTheme="minorHAnsi" w:hAnsiTheme="minorHAnsi"/>
          <w:sz w:val="22"/>
          <w:szCs w:val="22"/>
        </w:rPr>
        <w:t>, amely hatással van egész országra, és az adósok</w:t>
      </w:r>
      <w:r w:rsidRPr="00181755">
        <w:rPr>
          <w:rFonts w:asciiTheme="minorHAnsi" w:hAnsiTheme="minorHAnsi"/>
          <w:sz w:val="22"/>
          <w:szCs w:val="22"/>
          <w:lang w:val="hu-HU"/>
        </w:rPr>
        <w:t xml:space="preserve"> </w:t>
      </w:r>
      <w:r w:rsidRPr="00181755">
        <w:rPr>
          <w:rFonts w:asciiTheme="minorHAnsi" w:hAnsiTheme="minorHAnsi"/>
          <w:sz w:val="22"/>
          <w:szCs w:val="22"/>
        </w:rPr>
        <w:t>nagy csoportjának nemteljesítéséhez vezet (kollektív adóskockázat)</w:t>
      </w:r>
      <w:r w:rsidR="009F6A94" w:rsidRPr="00181755">
        <w:rPr>
          <w:rFonts w:asciiTheme="minorHAnsi" w:hAnsiTheme="minorHAnsi"/>
          <w:sz w:val="22"/>
          <w:szCs w:val="22"/>
          <w:lang w:val="hu-HU"/>
        </w:rPr>
        <w:t>,</w:t>
      </w:r>
    </w:p>
    <w:p w14:paraId="2C1F0239" w14:textId="018467F1" w:rsidR="00D04A5F" w:rsidRPr="00181755" w:rsidRDefault="00085D7E" w:rsidP="00181755">
      <w:pPr>
        <w:pStyle w:val="Listaszerbekezds"/>
        <w:numPr>
          <w:ilvl w:val="0"/>
          <w:numId w:val="22"/>
        </w:numPr>
        <w:spacing w:after="240"/>
        <w:ind w:left="771" w:hanging="357"/>
        <w:rPr>
          <w:rFonts w:asciiTheme="minorHAnsi" w:hAnsiTheme="minorHAnsi"/>
        </w:rPr>
      </w:pPr>
      <w:r w:rsidRPr="00181755">
        <w:rPr>
          <w:rFonts w:asciiTheme="minorHAnsi" w:hAnsiTheme="minorHAnsi"/>
          <w:sz w:val="22"/>
          <w:szCs w:val="22"/>
          <w:lang w:val="hu-HU"/>
        </w:rPr>
        <w:t>Határokon átnyúló devizahitelezéssel összefüggő transzferkockázatokat.</w:t>
      </w:r>
    </w:p>
    <w:p w14:paraId="66B154D0" w14:textId="77777777" w:rsidR="003F29E3" w:rsidRPr="00181755" w:rsidRDefault="003F29E3" w:rsidP="00181755">
      <w:pPr>
        <w:pStyle w:val="Cmsor4"/>
        <w:rPr>
          <w:rFonts w:asciiTheme="minorHAnsi" w:hAnsiTheme="minorHAnsi"/>
        </w:rPr>
      </w:pPr>
      <w:bookmarkStart w:id="834" w:name="_Hitelkockázati_tőkekövetelmény_szám"/>
      <w:bookmarkStart w:id="835" w:name="_Toc378592174"/>
      <w:bookmarkStart w:id="836" w:name="_Toc461095221"/>
      <w:bookmarkStart w:id="837" w:name="_Toc461179877"/>
      <w:bookmarkStart w:id="838" w:name="_Toc461201320"/>
      <w:bookmarkStart w:id="839" w:name="_Toc461547963"/>
      <w:bookmarkStart w:id="840" w:name="_Toc462402002"/>
      <w:bookmarkStart w:id="841" w:name="_Toc462403123"/>
      <w:bookmarkStart w:id="842" w:name="_Toc462403447"/>
      <w:bookmarkStart w:id="843" w:name="_Toc468180566"/>
      <w:bookmarkStart w:id="844" w:name="_Toc468181075"/>
      <w:bookmarkStart w:id="845" w:name="_Toc468191461"/>
      <w:bookmarkEnd w:id="834"/>
      <w:r w:rsidRPr="00181755">
        <w:rPr>
          <w:rFonts w:asciiTheme="minorHAnsi" w:hAnsiTheme="minorHAnsi"/>
        </w:rPr>
        <w:t>Hitelkockázati tőkekövetelmény számítása</w:t>
      </w:r>
      <w:bookmarkEnd w:id="835"/>
      <w:bookmarkEnd w:id="836"/>
      <w:bookmarkEnd w:id="837"/>
      <w:bookmarkEnd w:id="838"/>
      <w:bookmarkEnd w:id="839"/>
      <w:bookmarkEnd w:id="840"/>
      <w:bookmarkEnd w:id="841"/>
      <w:bookmarkEnd w:id="842"/>
      <w:bookmarkEnd w:id="843"/>
      <w:bookmarkEnd w:id="844"/>
      <w:bookmarkEnd w:id="845"/>
    </w:p>
    <w:p w14:paraId="66B154D1" w14:textId="66ACA8FD" w:rsidR="00673AEE" w:rsidRPr="00181755" w:rsidRDefault="003F29E3" w:rsidP="00181755">
      <w:pPr>
        <w:rPr>
          <w:rFonts w:asciiTheme="minorHAnsi" w:hAnsiTheme="minorHAnsi"/>
        </w:rPr>
      </w:pPr>
      <w:r w:rsidRPr="00181755">
        <w:rPr>
          <w:rFonts w:asciiTheme="minorHAnsi" w:hAnsiTheme="minorHAnsi"/>
        </w:rPr>
        <w:t>Belső minősítésen alapuló hitelkockázati modellek használata esetén a 2. pilléres tőkeszükséglet alapvetően a kitettségek hosszú távú (TTC), ill</w:t>
      </w:r>
      <w:r w:rsidR="00DF45B3" w:rsidRPr="00181755">
        <w:rPr>
          <w:rFonts w:asciiTheme="minorHAnsi" w:hAnsiTheme="minorHAnsi"/>
        </w:rPr>
        <w:t>etve</w:t>
      </w:r>
      <w:r w:rsidRPr="00181755">
        <w:rPr>
          <w:rFonts w:asciiTheme="minorHAnsi" w:hAnsiTheme="minorHAnsi"/>
        </w:rPr>
        <w:t xml:space="preserve"> visszaeséskori (downturn) kockázati paraméterei, a hitelportfólió kitettségi jellemzői és a tőkeszámítási modell mögöttes feltevései alapján, a teljesítő portfólió nem várt veszteségeként (UL) számítódik. A tőkeszámítási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181755" w:rsidRDefault="00DC0EEE" w:rsidP="00181755">
      <w:pPr>
        <w:rPr>
          <w:rFonts w:asciiTheme="minorHAnsi" w:hAnsiTheme="minorHAnsi"/>
        </w:rPr>
      </w:pPr>
      <w:r w:rsidRPr="00181755">
        <w:rPr>
          <w:rFonts w:asciiTheme="minorHAnsi" w:hAnsiTheme="minorHAnsi"/>
        </w:rPr>
        <w:t>A</w:t>
      </w:r>
      <w:r w:rsidR="003F29E3" w:rsidRPr="00181755">
        <w:rPr>
          <w:rFonts w:asciiTheme="minorHAnsi" w:hAnsiTheme="minorHAnsi"/>
        </w:rPr>
        <w:t>z „értékvesztés-EL (portfólió várt vesztesége)” különbség</w:t>
      </w:r>
      <w:r w:rsidRPr="00181755">
        <w:rPr>
          <w:rFonts w:asciiTheme="minorHAnsi" w:hAnsiTheme="minorHAnsi"/>
        </w:rPr>
        <w:t>gel</w:t>
      </w:r>
      <w:r w:rsidR="003F29E3" w:rsidRPr="00181755">
        <w:rPr>
          <w:rFonts w:asciiTheme="minorHAnsi" w:hAnsiTheme="minorHAnsi"/>
        </w:rPr>
        <w:t xml:space="preserve"> a </w:t>
      </w:r>
      <w:r w:rsidR="000F14DC" w:rsidRPr="00181755">
        <w:rPr>
          <w:rFonts w:asciiTheme="minorHAnsi" w:hAnsiTheme="minorHAnsi"/>
        </w:rPr>
        <w:t xml:space="preserve">CRR </w:t>
      </w:r>
      <w:r w:rsidRPr="00181755">
        <w:rPr>
          <w:rFonts w:asciiTheme="minorHAnsi" w:hAnsiTheme="minorHAnsi"/>
        </w:rPr>
        <w:t xml:space="preserve">az 1. pillérben </w:t>
      </w:r>
      <w:r w:rsidR="003F29E3" w:rsidRPr="00181755">
        <w:rPr>
          <w:rFonts w:asciiTheme="minorHAnsi" w:hAnsiTheme="minorHAnsi"/>
        </w:rPr>
        <w:t>a rendelkezésre álló tőke megfelelő korrigálását</w:t>
      </w:r>
      <w:r w:rsidR="003F29E3" w:rsidRPr="00181755">
        <w:rPr>
          <w:rStyle w:val="Lbjegyzet-hivatkozs"/>
          <w:rFonts w:asciiTheme="minorHAnsi" w:hAnsiTheme="minorHAnsi"/>
        </w:rPr>
        <w:footnoteReference w:id="59"/>
      </w:r>
      <w:r w:rsidR="003F29E3" w:rsidRPr="00181755">
        <w:rPr>
          <w:rFonts w:asciiTheme="minorHAnsi" w:hAnsiTheme="minorHAnsi"/>
        </w:rPr>
        <w:t xml:space="preserve"> írja elő. </w:t>
      </w:r>
      <w:r w:rsidRPr="00181755">
        <w:rPr>
          <w:rFonts w:asciiTheme="minorHAnsi" w:hAnsiTheme="minorHAnsi"/>
        </w:rPr>
        <w:t xml:space="preserve">A CRR alapján a várható veszteség és az értékvesztés közötti negatív eltérést (hiányt) le kell vonni az IRB-t alkalmazó </w:t>
      </w:r>
      <w:r w:rsidR="00A8489E" w:rsidRPr="00181755">
        <w:rPr>
          <w:rFonts w:asciiTheme="minorHAnsi" w:hAnsiTheme="minorHAnsi"/>
        </w:rPr>
        <w:t>intézmények</w:t>
      </w:r>
      <w:r w:rsidRPr="00181755">
        <w:rPr>
          <w:rFonts w:asciiTheme="minorHAnsi" w:hAnsiTheme="minorHAnsi"/>
        </w:rPr>
        <w:t xml:space="preserve"> esetén a CET 1 tőkéből, többletet pedig az RWA 0,6%-ának mértékéig járulékos tőkeként lehet figyelembe venni.</w:t>
      </w:r>
    </w:p>
    <w:p w14:paraId="66B154D3" w14:textId="6987ACE9" w:rsidR="00DC0EEE" w:rsidRPr="00181755" w:rsidRDefault="00DC0EEE" w:rsidP="00181755">
      <w:pPr>
        <w:rPr>
          <w:rFonts w:asciiTheme="minorHAnsi" w:hAnsiTheme="minorHAnsi"/>
        </w:rPr>
      </w:pPr>
      <w:r w:rsidRPr="00181755">
        <w:rPr>
          <w:rFonts w:asciiTheme="minorHAnsi" w:hAnsiTheme="minorHAnsi"/>
        </w:rPr>
        <w:t>A</w:t>
      </w:r>
      <w:r w:rsidR="00673AEE" w:rsidRPr="00181755">
        <w:rPr>
          <w:rFonts w:asciiTheme="minorHAnsi" w:hAnsiTheme="minorHAnsi"/>
        </w:rPr>
        <w:t xml:space="preserve"> 2. pillérben a</w:t>
      </w:r>
      <w:r w:rsidRPr="00181755">
        <w:rPr>
          <w:rFonts w:asciiTheme="minorHAnsi" w:hAnsiTheme="minorHAnsi"/>
        </w:rPr>
        <w:t xml:space="preserve">z </w:t>
      </w:r>
      <w:r w:rsidR="00673AEE" w:rsidRPr="00181755">
        <w:rPr>
          <w:rFonts w:asciiTheme="minorHAnsi" w:hAnsiTheme="minorHAnsi"/>
        </w:rPr>
        <w:t>EBA</w:t>
      </w:r>
      <w:r w:rsidR="00CA0515" w:rsidRPr="00181755">
        <w:rPr>
          <w:rFonts w:asciiTheme="minorHAnsi" w:hAnsiTheme="minorHAnsi"/>
        </w:rPr>
        <w:t xml:space="preserve"> SREP Ajánlásnak</w:t>
      </w:r>
      <w:r w:rsidRPr="00181755">
        <w:rPr>
          <w:rFonts w:asciiTheme="minorHAnsi" w:hAnsiTheme="minorHAnsi"/>
        </w:rPr>
        <w:t xml:space="preserve"> 324. pontja szerint az értékvesztéssel nem megfelelően fedezett várható veszteséget (EL) tőkekövetelménnyel kell fedezni</w:t>
      </w:r>
      <w:r w:rsidR="00673AEE" w:rsidRPr="00181755">
        <w:rPr>
          <w:rFonts w:asciiTheme="minorHAnsi" w:hAnsiTheme="minorHAnsi"/>
        </w:rPr>
        <w:t>. A</w:t>
      </w:r>
      <w:r w:rsidRPr="00181755">
        <w:rPr>
          <w:rFonts w:asciiTheme="minorHAnsi" w:hAnsiTheme="minorHAnsi"/>
        </w:rPr>
        <w:t xml:space="preserve">z </w:t>
      </w:r>
      <w:r w:rsidR="00C92CA9" w:rsidRPr="00181755">
        <w:rPr>
          <w:rFonts w:asciiTheme="minorHAnsi" w:hAnsiTheme="minorHAnsi"/>
        </w:rPr>
        <w:t xml:space="preserve">Ajánlás </w:t>
      </w:r>
      <w:r w:rsidR="00673AEE" w:rsidRPr="00181755">
        <w:rPr>
          <w:rFonts w:asciiTheme="minorHAnsi" w:hAnsiTheme="minorHAnsi"/>
        </w:rPr>
        <w:t xml:space="preserve">alapján az </w:t>
      </w:r>
      <w:r w:rsidRPr="00181755">
        <w:rPr>
          <w:rFonts w:asciiTheme="minorHAnsi" w:hAnsiTheme="minorHAnsi"/>
        </w:rPr>
        <w:t xml:space="preserve">a szabályozói szándék, hogy a szavatoló tőke se minőségi, se mennyiségi szempontból ne térhessen el az 1. és a 2. pillérben. Ennek megfelelően az ICAAP </w:t>
      </w:r>
      <w:r w:rsidR="0043512F" w:rsidRPr="00181755">
        <w:rPr>
          <w:rFonts w:asciiTheme="minorHAnsi" w:hAnsiTheme="minorHAnsi"/>
        </w:rPr>
        <w:t xml:space="preserve">felülvizsgálat </w:t>
      </w:r>
      <w:r w:rsidRPr="00181755">
        <w:rPr>
          <w:rFonts w:asciiTheme="minorHAnsi" w:hAnsiTheme="minorHAnsi"/>
        </w:rPr>
        <w:t>során számított értékvesztés hiány</w:t>
      </w:r>
      <w:r w:rsidR="00673AEE" w:rsidRPr="00181755">
        <w:rPr>
          <w:rFonts w:asciiTheme="minorHAnsi" w:hAnsiTheme="minorHAnsi"/>
        </w:rPr>
        <w:t>t</w:t>
      </w:r>
      <w:r w:rsidR="000F14DC" w:rsidRPr="00181755">
        <w:rPr>
          <w:rFonts w:asciiTheme="minorHAnsi" w:hAnsiTheme="minorHAnsi"/>
        </w:rPr>
        <w:t xml:space="preserve">, (illetve az IRB-t alkalmazó </w:t>
      </w:r>
      <w:r w:rsidR="00A8489E" w:rsidRPr="00181755">
        <w:rPr>
          <w:rFonts w:asciiTheme="minorHAnsi" w:hAnsiTheme="minorHAnsi"/>
        </w:rPr>
        <w:t>intézmények</w:t>
      </w:r>
      <w:r w:rsidR="000F14DC" w:rsidRPr="00181755">
        <w:rPr>
          <w:rFonts w:asciiTheme="minorHAnsi" w:hAnsiTheme="minorHAnsi"/>
        </w:rPr>
        <w:t xml:space="preserve"> esetében annak az 1. pilléres értékhez mért különbségét) </w:t>
      </w:r>
      <w:r w:rsidRPr="00181755">
        <w:rPr>
          <w:rFonts w:asciiTheme="minorHAnsi" w:hAnsiTheme="minorHAnsi"/>
        </w:rPr>
        <w:t xml:space="preserve">tőkekövetelmény formájában </w:t>
      </w:r>
      <w:r w:rsidR="00673AEE" w:rsidRPr="00181755">
        <w:rPr>
          <w:rFonts w:asciiTheme="minorHAnsi" w:hAnsiTheme="minorHAnsi"/>
        </w:rPr>
        <w:t xml:space="preserve">írja elő az MNB mind </w:t>
      </w:r>
      <w:r w:rsidRPr="00181755">
        <w:rPr>
          <w:rFonts w:asciiTheme="minorHAnsi" w:hAnsiTheme="minorHAnsi"/>
        </w:rPr>
        <w:t>a sztenderd</w:t>
      </w:r>
      <w:r w:rsidR="00673AEE" w:rsidRPr="00181755">
        <w:rPr>
          <w:rFonts w:asciiTheme="minorHAnsi" w:hAnsiTheme="minorHAnsi"/>
        </w:rPr>
        <w:t>,</w:t>
      </w:r>
      <w:r w:rsidRPr="00181755">
        <w:rPr>
          <w:rFonts w:asciiTheme="minorHAnsi" w:hAnsiTheme="minorHAnsi"/>
        </w:rPr>
        <w:t xml:space="preserve"> </w:t>
      </w:r>
      <w:r w:rsidR="00673AEE" w:rsidRPr="00181755">
        <w:rPr>
          <w:rFonts w:asciiTheme="minorHAnsi" w:hAnsiTheme="minorHAnsi"/>
        </w:rPr>
        <w:t xml:space="preserve">mind </w:t>
      </w:r>
      <w:r w:rsidRPr="00181755">
        <w:rPr>
          <w:rFonts w:asciiTheme="minorHAnsi" w:hAnsiTheme="minorHAnsi"/>
        </w:rPr>
        <w:t xml:space="preserve">az IRB-t alkalmazó </w:t>
      </w:r>
      <w:r w:rsidR="00A8489E" w:rsidRPr="00181755">
        <w:rPr>
          <w:rFonts w:asciiTheme="minorHAnsi" w:hAnsiTheme="minorHAnsi"/>
        </w:rPr>
        <w:t>intézmények</w:t>
      </w:r>
      <w:r w:rsidRPr="00181755">
        <w:rPr>
          <w:rFonts w:asciiTheme="minorHAnsi" w:hAnsiTheme="minorHAnsi"/>
        </w:rPr>
        <w:t xml:space="preserve"> esetében 2015. évtől. </w:t>
      </w:r>
    </w:p>
    <w:p w14:paraId="7688153C" w14:textId="0B2E7ECC" w:rsidR="00D34A4C" w:rsidRPr="00181755" w:rsidRDefault="00DC0EEE" w:rsidP="00181755">
      <w:pPr>
        <w:spacing w:after="240"/>
        <w:rPr>
          <w:rFonts w:asciiTheme="minorHAnsi" w:hAnsiTheme="minorHAnsi"/>
        </w:rPr>
      </w:pPr>
      <w:r w:rsidRPr="00181755">
        <w:rPr>
          <w:rFonts w:asciiTheme="minorHAnsi" w:hAnsiTheme="minorHAnsi"/>
        </w:rPr>
        <w:t xml:space="preserve">Amennyiben az ICAAP felülvizsgálat során az 1. pillérben IRB-t alkalmazó </w:t>
      </w:r>
      <w:r w:rsidR="00A8489E" w:rsidRPr="00181755">
        <w:rPr>
          <w:rFonts w:asciiTheme="minorHAnsi" w:hAnsiTheme="minorHAnsi"/>
        </w:rPr>
        <w:t>intézmények</w:t>
      </w:r>
      <w:r w:rsidRPr="00181755">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intézménynek</w:t>
      </w:r>
      <w:r w:rsidRPr="00181755">
        <w:rPr>
          <w:rFonts w:asciiTheme="minorHAnsi" w:hAnsiTheme="minorHAnsi"/>
        </w:rPr>
        <w:t xml:space="preserve"> az 1. pilléres modelljében szükséges kezelnie a vizsgálatot követően </w:t>
      </w:r>
      <w:r w:rsidR="00673AEE" w:rsidRPr="00181755">
        <w:rPr>
          <w:rFonts w:asciiTheme="minorHAnsi" w:hAnsiTheme="minorHAnsi"/>
        </w:rPr>
        <w:t>a</w:t>
      </w:r>
      <w:r w:rsidRPr="00181755">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181755">
        <w:rPr>
          <w:rFonts w:asciiTheme="minorHAnsi" w:hAnsiTheme="minorHAnsi"/>
        </w:rPr>
        <w:t>z intézmény</w:t>
      </w:r>
      <w:r w:rsidRPr="00181755">
        <w:rPr>
          <w:rFonts w:asciiTheme="minorHAnsi" w:hAnsiTheme="minorHAnsi"/>
        </w:rPr>
        <w:t xml:space="preserve"> az MNB előírásainak megfelelően módosítja az 1. pilléres modelljét, akkor ez a többlet-tőkekövetelmény </w:t>
      </w:r>
      <w:r w:rsidR="00D517EC" w:rsidRPr="00181755">
        <w:rPr>
          <w:rFonts w:asciiTheme="minorHAnsi" w:hAnsiTheme="minorHAnsi"/>
        </w:rPr>
        <w:t xml:space="preserve">az MNB által </w:t>
      </w:r>
      <w:r w:rsidRPr="00181755">
        <w:rPr>
          <w:rFonts w:asciiTheme="minorHAnsi" w:hAnsiTheme="minorHAnsi"/>
        </w:rPr>
        <w:t>felülvizsgálható.</w:t>
      </w:r>
    </w:p>
    <w:p w14:paraId="394C4332" w14:textId="77777777" w:rsidR="00D34A4C" w:rsidRPr="00181755" w:rsidRDefault="00D34A4C" w:rsidP="00181755">
      <w:pPr>
        <w:pStyle w:val="Cmsor4"/>
        <w:rPr>
          <w:rFonts w:asciiTheme="minorHAnsi" w:hAnsiTheme="minorHAnsi"/>
        </w:rPr>
      </w:pPr>
      <w:bookmarkStart w:id="846" w:name="_Toc452540565"/>
      <w:bookmarkStart w:id="847" w:name="_Toc462402003"/>
      <w:bookmarkStart w:id="848" w:name="_Toc462403124"/>
      <w:bookmarkStart w:id="849" w:name="_Toc462403448"/>
      <w:bookmarkStart w:id="850" w:name="_Toc468180567"/>
      <w:bookmarkStart w:id="851" w:name="_Toc468181076"/>
      <w:bookmarkStart w:id="852" w:name="_Toc468191462"/>
      <w:r w:rsidRPr="00181755">
        <w:rPr>
          <w:rFonts w:asciiTheme="minorHAnsi" w:hAnsiTheme="minorHAnsi"/>
        </w:rPr>
        <w:t>Hitelösztönzés keretein belül nyújtott tőkekövetelmény kedvezmény</w:t>
      </w:r>
      <w:bookmarkEnd w:id="846"/>
      <w:bookmarkEnd w:id="847"/>
      <w:bookmarkEnd w:id="848"/>
      <w:bookmarkEnd w:id="849"/>
      <w:bookmarkEnd w:id="850"/>
      <w:bookmarkEnd w:id="851"/>
      <w:bookmarkEnd w:id="852"/>
    </w:p>
    <w:p w14:paraId="25C038A9" w14:textId="70A6741F" w:rsidR="00D34A4C" w:rsidRPr="00181755" w:rsidRDefault="00D34A4C" w:rsidP="00181755">
      <w:pPr>
        <w:suppressAutoHyphens/>
        <w:rPr>
          <w:rFonts w:asciiTheme="minorHAnsi" w:eastAsia="Calibri" w:hAnsiTheme="minorHAnsi"/>
          <w:lang w:eastAsia="en-US"/>
        </w:rPr>
      </w:pPr>
      <w:r w:rsidRPr="00181755">
        <w:rPr>
          <w:rFonts w:asciiTheme="minorHAnsi" w:eastAsia="Calibri" w:hAnsiTheme="minorHAnsi" w:cs="Calibri"/>
          <w:szCs w:val="20"/>
          <w:lang w:eastAsia="en-US"/>
        </w:rPr>
        <w:t>2016-os évtől az MNB úgy kívánja ösztönözni az intézmények KKV-hitelezését, hogy a 2. pillérben a</w:t>
      </w:r>
      <w:r w:rsidRPr="00181755">
        <w:rPr>
          <w:rFonts w:asciiTheme="minorHAnsi" w:eastAsia="Calibri" w:hAnsiTheme="minorHAnsi"/>
          <w:lang w:eastAsia="en-US"/>
        </w:rPr>
        <w:t xml:space="preserve"> teljes 2016-os nettó KKV hitelkihelyezés tőkekövetelményének egy részét vagy egészét elengedi, a teljes kihelyezés PHP</w:t>
      </w:r>
      <w:r w:rsidR="00F10D05" w:rsidRPr="00181755">
        <w:rPr>
          <w:rStyle w:val="Lbjegyzet-hivatkozs"/>
          <w:rFonts w:asciiTheme="minorHAnsi" w:eastAsia="Calibri" w:hAnsiTheme="minorHAnsi"/>
          <w:lang w:eastAsia="en-US"/>
        </w:rPr>
        <w:footnoteReference w:id="60"/>
      </w:r>
      <w:r w:rsidRPr="00181755">
        <w:rPr>
          <w:rFonts w:asciiTheme="minorHAnsi" w:eastAsia="Calibri" w:hAnsiTheme="minorHAnsi"/>
          <w:lang w:eastAsia="en-US"/>
        </w:rPr>
        <w:t xml:space="preserve"> vállaláshoz való arányának függvényében, legfeljebb a tőkefenntartási puffer mérték</w:t>
      </w:r>
      <w:r w:rsidR="009F6A94" w:rsidRPr="00181755">
        <w:rPr>
          <w:rFonts w:asciiTheme="minorHAnsi" w:eastAsia="Calibri" w:hAnsiTheme="minorHAnsi"/>
          <w:lang w:eastAsia="en-US"/>
        </w:rPr>
        <w:t xml:space="preserve">éig. </w:t>
      </w:r>
    </w:p>
    <w:p w14:paraId="7290BDE5" w14:textId="24AFB263"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 alakulását mutatja az ábra,</w:t>
      </w:r>
      <w:r w:rsidR="009F6A94" w:rsidRPr="00181755">
        <w:rPr>
          <w:rFonts w:asciiTheme="minorHAnsi" w:eastAsia="Calibri" w:hAnsiTheme="minorHAnsi" w:cs="Calibri"/>
          <w:szCs w:val="20"/>
          <w:lang w:eastAsia="en-US"/>
        </w:rPr>
        <w:t xml:space="preserve"> amit az alábbi függvény ír le:</w:t>
      </w:r>
    </w:p>
    <w:p w14:paraId="35D1FAEB"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x&lt;50; akkor 0,</w:t>
      </w:r>
    </w:p>
    <w:p w14:paraId="5393E575"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x&gt;50 min(100%; 0.0014*exp(0.0602*x)+0.1714),</w:t>
      </w:r>
    </w:p>
    <w:p w14:paraId="6BD69C68" w14:textId="77777777" w:rsidR="00D34A4C" w:rsidRPr="00181755" w:rsidRDefault="00D34A4C" w:rsidP="00181755">
      <w:pPr>
        <w:suppressAutoHyphens/>
        <w:spacing w:after="0"/>
        <w:jc w:val="left"/>
        <w:rPr>
          <w:rFonts w:asciiTheme="minorHAnsi" w:eastAsia="Calibri" w:hAnsiTheme="minorHAnsi" w:cs="Calibri"/>
          <w:szCs w:val="20"/>
          <w:lang w:eastAsia="en-US"/>
        </w:rPr>
      </w:pPr>
      <w:r w:rsidRPr="00181755">
        <w:rPr>
          <w:rFonts w:asciiTheme="minorHAnsi" w:hAnsiTheme="minorHAnsi"/>
        </w:rPr>
        <w:t>ahol x a tényleges KKV hitelkihelyezés és a PHP vállalás aránya 100-zal megszorozva</w:t>
      </w:r>
    </w:p>
    <w:p w14:paraId="233B38FF" w14:textId="77777777" w:rsidR="00D34A4C" w:rsidRPr="00181755" w:rsidRDefault="00D34A4C" w:rsidP="00181755">
      <w:pPr>
        <w:suppressAutoHyphens/>
        <w:spacing w:after="0"/>
        <w:rPr>
          <w:rFonts w:asciiTheme="minorHAnsi" w:eastAsia="Calibri" w:hAnsiTheme="minorHAnsi" w:cs="Calibri"/>
          <w:szCs w:val="20"/>
          <w:lang w:eastAsia="en-US"/>
        </w:rPr>
      </w:pPr>
    </w:p>
    <w:p w14:paraId="320641D0" w14:textId="77777777" w:rsidR="00D34A4C" w:rsidRPr="00181755" w:rsidRDefault="00D34A4C" w:rsidP="00181755">
      <w:pPr>
        <w:suppressAutoHyphens/>
        <w:spacing w:after="0"/>
        <w:rPr>
          <w:rFonts w:asciiTheme="minorHAnsi" w:eastAsia="Calibri" w:hAnsiTheme="minorHAnsi" w:cs="Calibri"/>
          <w:szCs w:val="20"/>
          <w:lang w:eastAsia="en-US"/>
        </w:rPr>
      </w:pPr>
    </w:p>
    <w:p w14:paraId="3517A4BA" w14:textId="6F4A6B06" w:rsidR="00D34A4C" w:rsidRPr="00181755" w:rsidRDefault="00D34A4C" w:rsidP="00181755">
      <w:pPr>
        <w:widowControl w:val="0"/>
        <w:tabs>
          <w:tab w:val="left" w:pos="3828"/>
        </w:tabs>
        <w:suppressAutoHyphens/>
        <w:jc w:val="center"/>
        <w:rPr>
          <w:rFonts w:asciiTheme="minorHAnsi" w:hAnsiTheme="minorHAnsi"/>
          <w:sz w:val="24"/>
          <w:szCs w:val="24"/>
        </w:rPr>
      </w:pPr>
      <w:r w:rsidRPr="00181755">
        <w:rPr>
          <w:rFonts w:asciiTheme="minorHAnsi" w:hAnsiTheme="minorHAnsi"/>
          <w:noProof/>
        </w:rPr>
        <mc:AlternateContent>
          <mc:Choice Requires="wps">
            <w:drawing>
              <wp:anchor distT="0" distB="0" distL="114300" distR="114300" simplePos="0" relativeHeight="251667456" behindDoc="0" locked="0" layoutInCell="1" allowOverlap="1" wp14:anchorId="62F4B68E" wp14:editId="6D8DAD9E">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A50AE4" w:rsidRPr="00E318DF" w:rsidRDefault="00A50AE4"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A50AE4" w:rsidRDefault="00A50AE4"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A50AE4" w:rsidRPr="00E318DF" w:rsidRDefault="00A50AE4" w:rsidP="00D34A4C">
                      <w:pPr>
                        <w:pStyle w:val="Kpalrs"/>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A50AE4" w:rsidRDefault="00A50AE4" w:rsidP="00D34A4C"/>
                  </w:txbxContent>
                </v:textbox>
              </v:shape>
            </w:pict>
          </mc:Fallback>
        </mc:AlternateContent>
      </w:r>
      <w:r w:rsidRPr="00181755">
        <w:rPr>
          <w:rFonts w:asciiTheme="minorHAnsi" w:hAnsiTheme="minorHAnsi"/>
          <w:noProof/>
          <w:sz w:val="24"/>
          <w:szCs w:val="24"/>
        </w:rPr>
        <w:drawing>
          <wp:inline distT="0" distB="0" distL="0" distR="0" wp14:anchorId="610C43FE" wp14:editId="27006CAF">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8E8D7B" w14:textId="77777777" w:rsidR="00DF45B3" w:rsidRPr="00181755" w:rsidRDefault="00DF45B3" w:rsidP="00181755">
      <w:pPr>
        <w:suppressAutoHyphens/>
        <w:rPr>
          <w:rFonts w:asciiTheme="minorHAnsi" w:eastAsia="Calibri" w:hAnsiTheme="minorHAnsi" w:cs="Calibri"/>
          <w:szCs w:val="20"/>
          <w:lang w:eastAsia="en-US"/>
        </w:rPr>
      </w:pPr>
    </w:p>
    <w:p w14:paraId="29575052" w14:textId="77777777" w:rsidR="00DF45B3" w:rsidRPr="00181755" w:rsidRDefault="00DF45B3" w:rsidP="00181755">
      <w:pPr>
        <w:suppressAutoHyphens/>
        <w:rPr>
          <w:rFonts w:asciiTheme="minorHAnsi" w:eastAsia="Calibri" w:hAnsiTheme="minorHAnsi" w:cs="Calibri"/>
          <w:szCs w:val="20"/>
          <w:lang w:eastAsia="en-US"/>
        </w:rPr>
      </w:pPr>
    </w:p>
    <w:p w14:paraId="2CE51800" w14:textId="3CA93C6C"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az MNB először 2016. év alapján tudja mérni 2017 elején, de a kedvezmény már 2016-os SREP vizsgálatok alatt számszerűsítésre kerül. Ennek érdekében a 2016. évi vizsgálatok során vélelmezzük, hogy a</w:t>
      </w:r>
      <w:r w:rsidR="00C24B86" w:rsidRPr="00181755">
        <w:rPr>
          <w:rFonts w:asciiTheme="minorHAnsi" w:eastAsia="Calibri" w:hAnsiTheme="minorHAnsi" w:cs="Calibri"/>
          <w:szCs w:val="20"/>
          <w:lang w:eastAsia="en-US"/>
        </w:rPr>
        <w:t>z intézmények</w:t>
      </w:r>
      <w:r w:rsidRPr="00181755">
        <w:rPr>
          <w:rFonts w:asciiTheme="minorHAnsi" w:eastAsia="Calibri" w:hAnsiTheme="minorHAnsi" w:cs="Calibri"/>
          <w:szCs w:val="20"/>
          <w:lang w:eastAsia="en-US"/>
        </w:rPr>
        <w:t xml:space="preserve"> a vállalásaikat 100 százalékban teljesíteni fogják és ez alapján 75 százalékos kedvezményt számszerűsít az MNB. A tényleges nettó kihelyezések tervezettől való eltérését pedig a következő, 2017. évi vizsgálatban korrigálja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mértékét, az új kihelyezések tőkekövetelményét a fennálló kkv portfólió magasabb kockázatú ügyleteinek (legnagyobb kockázati súlyú kvartilisbe tartozó ügyletek) átlagos tőkekövetelményével számszerűsítettük és ez alapján 150 százalékos kockázati súlyt állapítottunk meg. Egyedi banki portfólióktól függetlenül ezt a kockázati súlyt fogjuk alkalmazni a programban nyújtott kihelyezések tőkekö</w:t>
      </w:r>
      <w:r w:rsidR="009F6A94" w:rsidRPr="00181755">
        <w:rPr>
          <w:rFonts w:asciiTheme="minorHAnsi" w:eastAsia="Calibri" w:hAnsiTheme="minorHAnsi" w:cs="Calibri"/>
          <w:szCs w:val="20"/>
          <w:lang w:eastAsia="en-US"/>
        </w:rPr>
        <w:t>vetelményének meghatározásakor.</w:t>
      </w:r>
    </w:p>
    <w:p w14:paraId="0F2C4C0E" w14:textId="77777777" w:rsidR="00D34A4C" w:rsidRPr="008C1553" w:rsidRDefault="00D34A4C" w:rsidP="00181755">
      <w:pPr>
        <w:suppressAutoHyphens/>
        <w:spacing w:after="0"/>
        <w:rPr>
          <w:rFonts w:asciiTheme="minorHAnsi" w:eastAsia="Calibri" w:hAnsiTheme="minorHAnsi" w:cs="Calibri"/>
          <w:szCs w:val="20"/>
          <w:u w:val="single"/>
          <w:lang w:eastAsia="en-US"/>
        </w:rPr>
      </w:pPr>
      <w:r w:rsidRPr="008C1553">
        <w:rPr>
          <w:rFonts w:asciiTheme="minorHAnsi" w:eastAsia="Calibri" w:hAnsiTheme="minorHAnsi" w:cs="Calibri"/>
          <w:szCs w:val="20"/>
          <w:u w:val="single"/>
          <w:lang w:eastAsia="en-US"/>
        </w:rPr>
        <w:t>Példa:</w:t>
      </w:r>
    </w:p>
    <w:p w14:paraId="74018A3B" w14:textId="2EF1EC2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Ha a Bank teljes, kedvezmény előtti 2. pilléres tőkekövetelménye 50 milliárd forint, nettó KKV kihelyezése 2016-ban 30 milliárd forint és ugyanennyit vállalt a PHP keretében, akkor a kedvezmény utáni tőkekövetelménye ez utóbbi összeg feltételezett tőkekövetelményének (30 milliárd * 8 százalék * 150 százalék = 3,6 milliárd forint) 75 százalékával alacsonyabb, 47,3 milliárd forint. E tőkekövetelmény összeg </w:t>
      </w:r>
      <w:r w:rsidR="009F6A94" w:rsidRPr="00181755">
        <w:rPr>
          <w:rFonts w:asciiTheme="minorHAnsi" w:eastAsia="Calibri" w:hAnsiTheme="minorHAnsi" w:cs="Calibri"/>
          <w:szCs w:val="20"/>
          <w:lang w:eastAsia="en-US"/>
        </w:rPr>
        <w:t>szolgál alapul a minimális tőke</w:t>
      </w:r>
      <w:r w:rsidRPr="00181755">
        <w:rPr>
          <w:rFonts w:asciiTheme="minorHAnsi" w:eastAsia="Calibri" w:hAnsiTheme="minorHAnsi" w:cs="Calibri"/>
          <w:szCs w:val="20"/>
          <w:lang w:eastAsia="en-US"/>
        </w:rPr>
        <w:t xml:space="preserve">megfelelési ráta SREP </w:t>
      </w:r>
      <w:r w:rsidR="009F6A94" w:rsidRPr="00181755">
        <w:rPr>
          <w:rFonts w:asciiTheme="minorHAnsi" w:eastAsia="Calibri" w:hAnsiTheme="minorHAnsi" w:cs="Calibri"/>
          <w:szCs w:val="20"/>
          <w:lang w:eastAsia="en-US"/>
        </w:rPr>
        <w:t>során történő meghatározásához.</w:t>
      </w:r>
    </w:p>
    <w:p w14:paraId="7A20F4C3" w14:textId="77777777" w:rsidR="00D34A4C" w:rsidRPr="00181755" w:rsidRDefault="00D34A4C" w:rsidP="00181755">
      <w:pPr>
        <w:suppressAutoHyphens/>
        <w:spacing w:after="240"/>
        <w:rPr>
          <w:rFonts w:asciiTheme="minorHAnsi" w:eastAsia="Calibri" w:hAnsiTheme="minorHAnsi" w:cs="Calibri"/>
          <w:szCs w:val="20"/>
          <w:lang w:eastAsia="en-US"/>
        </w:rPr>
      </w:pPr>
      <w:r w:rsidRPr="00181755">
        <w:rPr>
          <w:rFonts w:asciiTheme="minorHAnsi" w:eastAsia="Calibri" w:hAnsiTheme="minorHAnsi" w:cs="Calibri"/>
          <w:szCs w:val="20"/>
          <w:lang w:eastAsia="en-US"/>
        </w:rPr>
        <w:t>Az évről évre változó tőkefenntartási puffer mértékéig maximált hatás biztosítja a korlátot az extrém kockázatvállalással szemben. Ennek értéke 2017-ben 1,25 százalék, majd 2019-ig 2,5 százalékig emelkedik, évente 0,675 százalékos mértékben.</w:t>
      </w:r>
    </w:p>
    <w:p w14:paraId="66B154D6" w14:textId="77777777" w:rsidR="003F29E3" w:rsidRPr="00181755" w:rsidRDefault="003F29E3" w:rsidP="00181755">
      <w:pPr>
        <w:pStyle w:val="Cmsor3"/>
        <w:rPr>
          <w:rFonts w:asciiTheme="minorHAnsi" w:hAnsiTheme="minorHAnsi"/>
        </w:rPr>
      </w:pPr>
      <w:bookmarkStart w:id="853" w:name="_III.2.1.2_Működési_kockázat"/>
      <w:bookmarkStart w:id="854" w:name="_Toc378256235"/>
      <w:bookmarkStart w:id="855" w:name="_Toc378592043"/>
      <w:bookmarkStart w:id="856" w:name="_Toc461095222"/>
      <w:bookmarkStart w:id="857" w:name="_Toc461179878"/>
      <w:bookmarkStart w:id="858" w:name="_Toc461201321"/>
      <w:bookmarkStart w:id="859" w:name="_Toc461547964"/>
      <w:bookmarkStart w:id="860" w:name="_Toc462402004"/>
      <w:bookmarkStart w:id="861" w:name="_Toc462403125"/>
      <w:bookmarkStart w:id="862" w:name="_Toc462403449"/>
      <w:bookmarkStart w:id="863" w:name="_Toc468180568"/>
      <w:bookmarkStart w:id="864" w:name="_Toc468181077"/>
      <w:bookmarkStart w:id="865" w:name="_Toc468191463"/>
      <w:bookmarkEnd w:id="853"/>
      <w:r w:rsidRPr="00181755">
        <w:rPr>
          <w:rFonts w:asciiTheme="minorHAnsi" w:hAnsiTheme="minorHAnsi"/>
        </w:rPr>
        <w:t>Működési kockázat</w:t>
      </w:r>
      <w:bookmarkEnd w:id="854"/>
      <w:bookmarkEnd w:id="855"/>
      <w:bookmarkEnd w:id="856"/>
      <w:bookmarkEnd w:id="857"/>
      <w:bookmarkEnd w:id="858"/>
      <w:bookmarkEnd w:id="859"/>
      <w:bookmarkEnd w:id="860"/>
      <w:bookmarkEnd w:id="861"/>
      <w:bookmarkEnd w:id="862"/>
      <w:bookmarkEnd w:id="863"/>
      <w:bookmarkEnd w:id="864"/>
      <w:bookmarkEnd w:id="865"/>
    </w:p>
    <w:p w14:paraId="64E9B8F0" w14:textId="25E922BA" w:rsidR="004D6790" w:rsidRPr="00181755" w:rsidRDefault="004D6790" w:rsidP="00181755">
      <w:pPr>
        <w:rPr>
          <w:rFonts w:asciiTheme="minorHAnsi" w:hAnsiTheme="minorHAnsi"/>
          <w:b/>
        </w:rPr>
      </w:pPr>
      <w:r w:rsidRPr="00181755">
        <w:rPr>
          <w:rFonts w:asciiTheme="minorHAnsi" w:hAnsiTheme="minorHAnsi"/>
          <w:b/>
        </w:rPr>
        <w:t>Definíció</w:t>
      </w:r>
    </w:p>
    <w:p w14:paraId="66B154D7" w14:textId="02C02968" w:rsidR="003F29E3" w:rsidRPr="00181755" w:rsidRDefault="003F29E3" w:rsidP="00181755">
      <w:pPr>
        <w:rPr>
          <w:rFonts w:asciiTheme="minorHAnsi" w:hAnsiTheme="minorHAnsi"/>
        </w:rPr>
      </w:pPr>
      <w:r w:rsidRPr="00181755">
        <w:rPr>
          <w:rFonts w:asciiTheme="minorHAnsi" w:hAnsiTheme="minorHAnsi"/>
        </w:rPr>
        <w:t>Működési kockázat a CRR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BE5F68F" w14:textId="093E7289" w:rsidR="004D6790" w:rsidRPr="00181755" w:rsidRDefault="004D6790" w:rsidP="00181755">
      <w:pPr>
        <w:rPr>
          <w:rFonts w:asciiTheme="minorHAnsi" w:hAnsiTheme="minorHAnsi"/>
          <w:b/>
        </w:rPr>
      </w:pPr>
      <w:r w:rsidRPr="00181755">
        <w:rPr>
          <w:rFonts w:asciiTheme="minorHAnsi" w:hAnsiTheme="minorHAnsi"/>
          <w:b/>
        </w:rPr>
        <w:t xml:space="preserve">Kockázatértékelés és </w:t>
      </w:r>
      <w:r w:rsidR="008D3E11" w:rsidRPr="00181755">
        <w:rPr>
          <w:rFonts w:asciiTheme="minorHAnsi" w:hAnsiTheme="minorHAnsi"/>
          <w:b/>
        </w:rPr>
        <w:t>-</w:t>
      </w:r>
      <w:r w:rsidRPr="00181755">
        <w:rPr>
          <w:rFonts w:asciiTheme="minorHAnsi" w:hAnsiTheme="minorHAnsi"/>
          <w:b/>
        </w:rPr>
        <w:t>kezelés</w:t>
      </w:r>
    </w:p>
    <w:p w14:paraId="7BB03103" w14:textId="525514E7" w:rsidR="003F29E3" w:rsidRPr="00181755" w:rsidRDefault="003F29E3" w:rsidP="00181755">
      <w:pPr>
        <w:rPr>
          <w:rFonts w:asciiTheme="minorHAnsi" w:hAnsiTheme="minorHAnsi"/>
        </w:rPr>
      </w:pPr>
      <w:r w:rsidRPr="00181755">
        <w:rPr>
          <w:rFonts w:asciiTheme="minorHAnsi" w:hAnsiTheme="minorHAnsi"/>
        </w:rPr>
        <w:t>Az ICAAP keretében az intézmény lefekteti működési kockázati tőkeszámítási eljárását, a kockázatok (inherens és kontroll oldali) felmérésére, monitoringjára vonatkozó eljárási rendszerét, illetve annak igazolási eljárását, hogy a számított tőkeszükséglet és a kockázatkezelési rendszer prudens módon képes eliminálni az intézmény valószínűsíthető és nem várt működési kockázati veszteségeit.</w:t>
      </w:r>
    </w:p>
    <w:p w14:paraId="3155447D" w14:textId="401B9B1A" w:rsidR="003F29E3" w:rsidRPr="00181755" w:rsidRDefault="003F29E3" w:rsidP="00181755">
      <w:pPr>
        <w:rPr>
          <w:rFonts w:asciiTheme="minorHAnsi" w:hAnsiTheme="minorHAnsi"/>
        </w:rPr>
      </w:pPr>
      <w:r w:rsidRPr="00181755">
        <w:rPr>
          <w:rFonts w:asciiTheme="minorHAnsi" w:hAnsiTheme="minorHAnsi"/>
        </w:rPr>
        <w:t>A veszély működési kockázati események</w:t>
      </w:r>
      <w:r w:rsidR="006F59C7" w:rsidRPr="00181755">
        <w:rPr>
          <w:rFonts w:asciiTheme="minorHAnsi" w:hAnsiTheme="minorHAnsi"/>
        </w:rPr>
        <w:t>ben materializálódhat</w:t>
      </w:r>
      <w:r w:rsidRPr="00181755">
        <w:rPr>
          <w:rFonts w:asciiTheme="minorHAnsi" w:hAnsiTheme="minorHAnsi"/>
        </w:rPr>
        <w:t>, melyek</w:t>
      </w:r>
      <w:r w:rsidR="006F59C7" w:rsidRPr="00181755">
        <w:rPr>
          <w:rFonts w:asciiTheme="minorHAnsi" w:hAnsiTheme="minorHAnsi"/>
        </w:rPr>
        <w:t>et</w:t>
      </w:r>
      <w:r w:rsidRPr="00181755">
        <w:rPr>
          <w:rFonts w:asciiTheme="minorHAnsi" w:hAnsiTheme="minorHAnsi"/>
        </w:rPr>
        <w:t xml:space="preserve"> jogszabályi szinten (CRR 324. cikk) </w:t>
      </w:r>
      <w:r w:rsidR="006F59C7" w:rsidRPr="00181755">
        <w:rPr>
          <w:rFonts w:asciiTheme="minorHAnsi" w:hAnsiTheme="minorHAnsi"/>
        </w:rPr>
        <w:t xml:space="preserve">az alábbi eseménykategóriákba lehet besorolni </w:t>
      </w:r>
      <w:r w:rsidRPr="00181755">
        <w:rPr>
          <w:rFonts w:asciiTheme="minorHAnsi" w:hAnsiTheme="minorHAnsi"/>
        </w:rPr>
        <w:t xml:space="preserve">(kockázatszegmensek): </w:t>
      </w:r>
    </w:p>
    <w:p w14:paraId="66B154DC" w14:textId="7E1A01B1" w:rsidR="003F29E3" w:rsidRPr="00181755" w:rsidRDefault="003F29E3" w:rsidP="00181755">
      <w:pPr>
        <w:pStyle w:val="felsorolsos"/>
        <w:rPr>
          <w:rFonts w:asciiTheme="minorHAnsi" w:hAnsiTheme="minorHAnsi"/>
        </w:rPr>
      </w:pPr>
      <w:r w:rsidRPr="00181755">
        <w:rPr>
          <w:rFonts w:asciiTheme="minorHAnsi" w:hAnsiTheme="minorHAnsi"/>
        </w:rPr>
        <w:t>belső csalás</w:t>
      </w:r>
      <w:r w:rsidR="009F6A94" w:rsidRPr="00181755">
        <w:rPr>
          <w:rFonts w:asciiTheme="minorHAnsi" w:hAnsiTheme="minorHAnsi"/>
          <w:lang w:val="hu-HU"/>
        </w:rPr>
        <w:t>,</w:t>
      </w:r>
    </w:p>
    <w:p w14:paraId="66B154DD" w14:textId="46BFEDEB" w:rsidR="003F29E3" w:rsidRPr="00181755" w:rsidRDefault="003F29E3" w:rsidP="00181755">
      <w:pPr>
        <w:pStyle w:val="felsorolsos"/>
        <w:rPr>
          <w:rFonts w:asciiTheme="minorHAnsi" w:hAnsiTheme="minorHAnsi"/>
        </w:rPr>
      </w:pPr>
      <w:r w:rsidRPr="00181755">
        <w:rPr>
          <w:rFonts w:asciiTheme="minorHAnsi" w:hAnsiTheme="minorHAnsi"/>
        </w:rPr>
        <w:t>külső csalás</w:t>
      </w:r>
      <w:r w:rsidR="009F6A94" w:rsidRPr="00181755">
        <w:rPr>
          <w:rFonts w:asciiTheme="minorHAnsi" w:hAnsiTheme="minorHAnsi"/>
          <w:lang w:val="hu-HU"/>
        </w:rPr>
        <w:t>,</w:t>
      </w:r>
      <w:r w:rsidRPr="00181755">
        <w:rPr>
          <w:rFonts w:asciiTheme="minorHAnsi" w:hAnsiTheme="minorHAnsi"/>
        </w:rPr>
        <w:t xml:space="preserve"> </w:t>
      </w:r>
    </w:p>
    <w:p w14:paraId="66B154DE" w14:textId="4C172B8F" w:rsidR="003F29E3" w:rsidRPr="00181755" w:rsidRDefault="003F29E3" w:rsidP="00181755">
      <w:pPr>
        <w:pStyle w:val="felsorolsos"/>
        <w:rPr>
          <w:rFonts w:asciiTheme="minorHAnsi" w:hAnsiTheme="minorHAnsi"/>
        </w:rPr>
      </w:pPr>
      <w:r w:rsidRPr="00181755">
        <w:rPr>
          <w:rFonts w:asciiTheme="minorHAnsi" w:hAnsiTheme="minorHAnsi"/>
        </w:rPr>
        <w:t>munkáltatói gyakorlat és munkahelyi biztonság</w:t>
      </w:r>
      <w:r w:rsidR="009F6A94" w:rsidRPr="00181755">
        <w:rPr>
          <w:rFonts w:asciiTheme="minorHAnsi" w:hAnsiTheme="minorHAnsi"/>
          <w:lang w:val="hu-HU"/>
        </w:rPr>
        <w:t>,</w:t>
      </w:r>
    </w:p>
    <w:p w14:paraId="66B154DF" w14:textId="2FEEE8F6" w:rsidR="003F29E3" w:rsidRPr="00181755" w:rsidRDefault="003F29E3" w:rsidP="00181755">
      <w:pPr>
        <w:pStyle w:val="felsorolsos"/>
        <w:rPr>
          <w:rFonts w:asciiTheme="minorHAnsi" w:hAnsiTheme="minorHAnsi"/>
        </w:rPr>
      </w:pPr>
      <w:r w:rsidRPr="00181755">
        <w:rPr>
          <w:rFonts w:asciiTheme="minorHAnsi" w:hAnsiTheme="minorHAnsi"/>
        </w:rPr>
        <w:t>ügyfelek, termékek és üzleti gyakorlat</w:t>
      </w:r>
      <w:r w:rsidR="009F6A94" w:rsidRPr="00181755">
        <w:rPr>
          <w:rFonts w:asciiTheme="minorHAnsi" w:hAnsiTheme="minorHAnsi"/>
          <w:lang w:val="hu-HU"/>
        </w:rPr>
        <w:t>,</w:t>
      </w:r>
    </w:p>
    <w:p w14:paraId="66B154E0" w14:textId="7B6C014D" w:rsidR="003F29E3" w:rsidRPr="00181755" w:rsidRDefault="003F29E3" w:rsidP="00181755">
      <w:pPr>
        <w:pStyle w:val="felsorolsos"/>
        <w:rPr>
          <w:rFonts w:asciiTheme="minorHAnsi" w:hAnsiTheme="minorHAnsi"/>
        </w:rPr>
      </w:pPr>
      <w:r w:rsidRPr="00181755">
        <w:rPr>
          <w:rFonts w:asciiTheme="minorHAnsi" w:hAnsiTheme="minorHAnsi"/>
        </w:rPr>
        <w:t>tárgyi eszközöket ért károk</w:t>
      </w:r>
      <w:r w:rsidR="009F6A94" w:rsidRPr="00181755">
        <w:rPr>
          <w:rFonts w:asciiTheme="minorHAnsi" w:hAnsiTheme="minorHAnsi"/>
          <w:lang w:val="hu-HU"/>
        </w:rPr>
        <w:t>,</w:t>
      </w:r>
    </w:p>
    <w:p w14:paraId="66B154E1" w14:textId="797AE24D" w:rsidR="003F29E3" w:rsidRPr="00181755" w:rsidRDefault="003F29E3" w:rsidP="00181755">
      <w:pPr>
        <w:pStyle w:val="felsorolsos"/>
        <w:rPr>
          <w:rFonts w:asciiTheme="minorHAnsi" w:hAnsiTheme="minorHAnsi"/>
        </w:rPr>
      </w:pPr>
      <w:r w:rsidRPr="00181755">
        <w:rPr>
          <w:rFonts w:asciiTheme="minorHAnsi" w:hAnsiTheme="minorHAnsi"/>
        </w:rPr>
        <w:t>üzletmenet fennakadása és rendszerhiba</w:t>
      </w:r>
      <w:r w:rsidR="009F6A94" w:rsidRPr="00181755">
        <w:rPr>
          <w:rFonts w:asciiTheme="minorHAnsi" w:hAnsiTheme="minorHAnsi"/>
          <w:lang w:val="hu-HU"/>
        </w:rPr>
        <w:t>,</w:t>
      </w:r>
    </w:p>
    <w:p w14:paraId="66B154E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végrehajtás, teljesítés és folyamatkezelés. </w:t>
      </w:r>
    </w:p>
    <w:p w14:paraId="66B154E3" w14:textId="229937CC" w:rsidR="003F29E3" w:rsidRPr="00181755" w:rsidRDefault="003F29E3" w:rsidP="00181755">
      <w:pPr>
        <w:rPr>
          <w:rFonts w:asciiTheme="minorHAnsi" w:hAnsiTheme="minorHAnsi"/>
        </w:rPr>
      </w:pPr>
      <w:r w:rsidRPr="00181755">
        <w:rPr>
          <w:rFonts w:asciiTheme="minorHAnsi" w:hAnsiTheme="minorHAnsi"/>
        </w:rPr>
        <w:t>A lehetséges kockázati események (a felsorolt eseménytípusokba sorolható szcenáriók) jellemzőek a különféle intézményi tevékenységekre, illetve azok végzésének módjára (munkafolyamatokra). Ezen tevékenységeket a CRR 317. cikk 2. táblázat nyolc üzletágba csoportosítja (a sztenderd/fejlett tőkeszámítási módszer választása esetén kötelezően elkülönítendő üzletágak vannak). A potenciális kockázati események hatásaként keletkező anyagi károk megjelenési formája lehet leírás, jogi költségek, bírságok, meg nem térült visszkereset, ügyfél- és egyéb kártérítés, tárgyi eszköz vesztesége/pótlása</w:t>
      </w:r>
      <w:r w:rsidR="000E4CEE" w:rsidRPr="00181755">
        <w:rPr>
          <w:rFonts w:asciiTheme="minorHAnsi" w:hAnsiTheme="minorHAnsi"/>
        </w:rPr>
        <w:t>, céltartalék, elmaradt haszon</w:t>
      </w:r>
      <w:r w:rsidRPr="00181755">
        <w:rPr>
          <w:rFonts w:asciiTheme="minorHAnsi" w:hAnsiTheme="minorHAnsi"/>
        </w:rPr>
        <w:t>. A károk mértéke összefügg a végzett tevékenységek mindenkor jellemző volumenadataival. A működési kockázatból eredő, minden intézményi tevékenységre kiterjedően becsült károk nagysága az intézmény inherens működési kockázata.</w:t>
      </w:r>
    </w:p>
    <w:p w14:paraId="109A7083" w14:textId="79686FD2" w:rsidR="003F29E3" w:rsidRPr="00181755" w:rsidRDefault="003F29E3" w:rsidP="00181755">
      <w:pPr>
        <w:rPr>
          <w:rFonts w:asciiTheme="minorHAnsi" w:hAnsiTheme="minorHAnsi"/>
        </w:rPr>
      </w:pPr>
      <w:r w:rsidRPr="00181755">
        <w:rPr>
          <w:rFonts w:asciiTheme="minorHAnsi" w:hAnsiTheme="minorHAnsi"/>
        </w:rPr>
        <w:t xml:space="preserve">A működési kockázatok kezelése, az egyes tevékenységek és eseménytípusok jellegéhez igazodóan, a kockázati események, illetve a károk bekövetkezésének megelőzésére (folyamatba épített és vezetői ellenőrzés, védelmi rendszerek), a kritikus helyzetek kezelésére (azonnali intézkedési tervek, üzletmenet-folytonosság menedzsment (BCM), illetve az esetleges károk enyhítésére szolgáló intézkedésekre (biztosítások) irányul. A kockázatkezelés rendszerét, annak irányítását és ellenőrzését az intézménynek működési kockázataival arányos módon kell kialakítania, és a vonatkozó belső szabályozásokkal, eljárásrendekkel kell megalapoznia. A kontrolleljárások rendszerének kockázatokkal arányos kiépítésével és működtetésével az intézmény kitettségét elfogadható, teherviselő képességének/kockázati étvágyának megfelelő mértékűre korlátozza. Az arányos kockázatkezelési gyakorlat megköveteli a működési kockázatok monitorozását (a folyamatokra jellemző kulcskockázati mutatók (KRI-k) követése, incidensregiszter, elemzés, beavatkozások révén). A működési kockázat kezelésében kiemelt szerepe van továbbá az adatgyűjtésnek, </w:t>
      </w:r>
      <w:r w:rsidR="00F911CC" w:rsidRPr="00181755">
        <w:rPr>
          <w:rFonts w:asciiTheme="minorHAnsi" w:hAnsiTheme="minorHAnsi"/>
        </w:rPr>
        <w:t xml:space="preserve">a működési kockázatkezelési önértékelésnek, </w:t>
      </w:r>
      <w:r w:rsidR="00783991" w:rsidRPr="00181755">
        <w:rPr>
          <w:rFonts w:asciiTheme="minorHAnsi" w:hAnsiTheme="minorHAnsi"/>
        </w:rPr>
        <w:t xml:space="preserve">a </w:t>
      </w:r>
      <w:r w:rsidRPr="00181755">
        <w:rPr>
          <w:rFonts w:asciiTheme="minorHAnsi" w:hAnsiTheme="minorHAnsi"/>
        </w:rPr>
        <w:t xml:space="preserve">forgatókönyvek alkalmazásának, a </w:t>
      </w:r>
      <w:r w:rsidR="00870469" w:rsidRPr="00181755">
        <w:rPr>
          <w:rFonts w:asciiTheme="minorHAnsi" w:hAnsiTheme="minorHAnsi"/>
        </w:rPr>
        <w:t>kockázatcsökkentő intézkedések meghatározásának és nyomon követésének, valamint</w:t>
      </w:r>
      <w:r w:rsidRPr="00181755">
        <w:rPr>
          <w:rFonts w:asciiTheme="minorHAnsi" w:hAnsiTheme="minorHAnsi"/>
        </w:rPr>
        <w:t xml:space="preserve"> a tapasztalatok üzleti folyamatokba történő visszacsatolásainak. A</w:t>
      </w:r>
      <w:r w:rsidR="00306668" w:rsidRPr="00181755">
        <w:rPr>
          <w:rFonts w:asciiTheme="minorHAnsi" w:hAnsiTheme="minorHAnsi"/>
        </w:rPr>
        <w:t>záltal</w:t>
      </w:r>
      <w:r w:rsidR="005B4ABF" w:rsidRPr="00181755">
        <w:rPr>
          <w:rFonts w:asciiTheme="minorHAnsi" w:hAnsiTheme="minorHAnsi"/>
        </w:rPr>
        <w:t>, hogy a</w:t>
      </w:r>
      <w:r w:rsidRPr="00181755">
        <w:rPr>
          <w:rFonts w:asciiTheme="minorHAnsi" w:hAnsiTheme="minorHAnsi"/>
        </w:rPr>
        <w:t xml:space="preserve"> kontroll minősége befolyásolja a valószínűsíthető károk mértékét</w:t>
      </w:r>
      <w:r w:rsidR="00306668" w:rsidRPr="00181755">
        <w:rPr>
          <w:rFonts w:asciiTheme="minorHAnsi" w:hAnsiTheme="minorHAnsi"/>
        </w:rPr>
        <w:t xml:space="preserve">, úgy a meghatározott intézkedések, bevezetett/fejlesztett kontrollok eredményességének visszamérési tapasztalatait, </w:t>
      </w:r>
      <w:r w:rsidR="005B4ABF" w:rsidRPr="00181755">
        <w:rPr>
          <w:rFonts w:asciiTheme="minorHAnsi" w:hAnsiTheme="minorHAnsi"/>
        </w:rPr>
        <w:t xml:space="preserve">a veszteségesemény trendjében megfigyelhető kockázatokat, valamint </w:t>
      </w:r>
      <w:r w:rsidR="00306668" w:rsidRPr="00181755">
        <w:rPr>
          <w:rFonts w:asciiTheme="minorHAnsi" w:hAnsiTheme="minorHAnsi"/>
        </w:rPr>
        <w:t>az esetlegesen azonosított további hiányosságokat az érintett területek felé mindenkor prezentálni szükséges.</w:t>
      </w:r>
    </w:p>
    <w:p w14:paraId="0FDB0A50"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2B46C3B8" w14:textId="77777777" w:rsidR="00870469" w:rsidRPr="00181755" w:rsidRDefault="00870469" w:rsidP="00181755">
      <w:pPr>
        <w:rPr>
          <w:rFonts w:asciiTheme="minorHAnsi" w:hAnsiTheme="minorHAnsi"/>
        </w:rPr>
      </w:pPr>
      <w:r w:rsidRPr="00181755">
        <w:rPr>
          <w:rFonts w:asciiTheme="minorHAnsi" w:hAnsiTheme="minorHAnsi"/>
        </w:rPr>
        <w:t>A számított (és megképzett) tőke az inherens kockázatok és az ezeket mérséklő kontroll eredményeképpen fennálló – időben változó mértékű – nettó kockázatot hivatott pufferként lefedni.</w:t>
      </w:r>
    </w:p>
    <w:p w14:paraId="54CF2A82" w14:textId="77777777" w:rsidR="00870469" w:rsidRPr="00181755" w:rsidRDefault="00870469" w:rsidP="00181755">
      <w:pPr>
        <w:rPr>
          <w:rFonts w:asciiTheme="minorHAnsi" w:hAnsiTheme="minorHAnsi"/>
        </w:rPr>
      </w:pPr>
      <w:r w:rsidRPr="00181755">
        <w:rPr>
          <w:rFonts w:asciiTheme="minorHAnsi" w:hAnsiTheme="minorHAnsi"/>
        </w:rPr>
        <w:t xml:space="preserve">Az alkalmazott kockázatkezelési gyakorlat mellett valószínűsíthető anyagi károk ellentételezésére képzendő tőke szükséges mértékének meghatározásához saját modellen alapuló fejlett módszer (AMA), vagy fix arányszámokon nyugvó egyszerűbb módszerek: ún. alapmutató (BIA), valamint sztenderd (TSA) és alternatív sztenderd (ASA) módszerek használhatók (a TSA/ASA felügyeleti engedélyhez kötöttek, az AMA használata a validációt követően szintén felügyeleti engedélyhez kötött). </w:t>
      </w:r>
    </w:p>
    <w:p w14:paraId="2A9E8DB4" w14:textId="77777777" w:rsidR="00870469" w:rsidRPr="00181755" w:rsidRDefault="00870469" w:rsidP="00181755">
      <w:pPr>
        <w:rPr>
          <w:rFonts w:asciiTheme="minorHAnsi" w:hAnsiTheme="minorHAnsi"/>
        </w:rPr>
      </w:pPr>
      <w:r w:rsidRPr="00181755">
        <w:rPr>
          <w:rFonts w:asciiTheme="minorHAnsi" w:hAnsiTheme="minorHAnsi"/>
        </w:rPr>
        <w:t xml:space="preserve">A fejlett mérési módszer (AMA) esetében a kockázatokhoz kötött számszerűsítések és minősítések keretében, átfogó rendszerben kell a működési kockázati események veszélyének becslése során az egyéb körülmények hatását is értékelni. Így számolni kell szélsőséges szcenárió (stresszhelyzet) lehetőségével, hatásával, a kényszerű vagy szándékolt stratégiaváltások, a szabályozási környezet változása okozta hatásokkal is. A kockázati események bekövetkezési valószínűségét vagy hatását is értékelni kell az egyes tevékenységek/munkafolyamatok értékelésének folyamatában. </w:t>
      </w:r>
    </w:p>
    <w:p w14:paraId="1FAEE904" w14:textId="77777777" w:rsidR="00870469" w:rsidRPr="00181755" w:rsidRDefault="00870469" w:rsidP="00181755">
      <w:pPr>
        <w:rPr>
          <w:rFonts w:asciiTheme="minorHAnsi" w:hAnsiTheme="minorHAnsi"/>
        </w:rPr>
      </w:pPr>
      <w:r w:rsidRPr="00181755">
        <w:rPr>
          <w:rFonts w:asciiTheme="minorHAnsi" w:hAnsiTheme="minorHAnsi"/>
        </w:rPr>
        <w:t>Egyszerűbb (BIA, illetve TSA, ASA) módszerek alkalmazása esetén is követelmény, hogy a vállalatirányítási rendszer részét képezze a működési kockázatok teljes körű áttekintése, ésszerű mérséklése. Az intézmény által számított tőke elégségességének igazolását alátámasztó eljárással is rendelkeznie kell az intézménynek, amely nem elégséges, ha csak a ténylegesen bekövetkezett károkkal való összevetésre épül, hanem a kockázatok rendszerszerű felmérését is tartalmaznia kell. Mivel a tőkeszükséglet számítása itt csak közelítő eredményt ad, és esetenként (pl. alacsony jövedelmezőséggel rendelkező intézményeknél) a tényleges működési kockázattal szemben alacsonyabb tőkeértéket eredményezhet, a számítást további elemzéssel kell kiegészíteni, és szükség esetén a tőkekövetelményt növelni kell. Az egyszerűbb módszerek alkalmazása esetén elvárás, hogy az intézmény mindenkor megfelelő elemzésekkel tudja demonstrálni a megképzett tőkekövetelmény elégségességét a működési kockázatok fedezésére.</w:t>
      </w:r>
    </w:p>
    <w:p w14:paraId="440B4D96" w14:textId="77777777" w:rsidR="00870469" w:rsidRPr="00181755" w:rsidRDefault="00870469" w:rsidP="00181755">
      <w:pPr>
        <w:rPr>
          <w:rFonts w:asciiTheme="minorHAnsi" w:hAnsiTheme="minorHAnsi"/>
        </w:rPr>
      </w:pPr>
      <w:r w:rsidRPr="00181755">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illetve a tőke allokálására eljárást kell kidolgozni, mely alkalmas arra, hogy megfelelően tükrözze az egyes leányvállalatok működési kockázatát és a konszolidált tőkekötelezettséghez való hozzájárulását.</w:t>
      </w:r>
    </w:p>
    <w:p w14:paraId="05411F7F"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1D8B0764" w14:textId="01777B33" w:rsidR="00870469" w:rsidRPr="00181755" w:rsidRDefault="003F29E3" w:rsidP="00181755">
      <w:pPr>
        <w:rPr>
          <w:rFonts w:asciiTheme="minorHAnsi" w:hAnsiTheme="minorHAnsi"/>
        </w:rPr>
      </w:pPr>
      <w:r w:rsidRPr="00181755">
        <w:rPr>
          <w:rFonts w:asciiTheme="minorHAnsi" w:hAnsiTheme="minorHAnsi"/>
        </w:rPr>
        <w:t xml:space="preserve">A működési kockázat mérése terén az intézmények szinte kizárólag a következő, meglehetősen letisztult iparági gyakorlat egyikét követik: </w:t>
      </w:r>
      <w:r w:rsidR="00CC67BA" w:rsidRPr="00181755">
        <w:rPr>
          <w:rFonts w:asciiTheme="minorHAnsi" w:hAnsiTheme="minorHAnsi"/>
        </w:rPr>
        <w:t>1)</w:t>
      </w:r>
      <w:r w:rsidRPr="00181755">
        <w:rPr>
          <w:rFonts w:asciiTheme="minorHAnsi" w:hAnsiTheme="minorHAnsi"/>
        </w:rPr>
        <w:t xml:space="preserve"> meglehetősen kockázat-érzéketlen módon, az üzleti eredményhez igazodó irányadó mutató alapján számítják a tőkekövetelményt (BIA és TSA módszer), vagy </w:t>
      </w:r>
      <w:r w:rsidR="00CC67BA" w:rsidRPr="00181755">
        <w:rPr>
          <w:rFonts w:asciiTheme="minorHAnsi" w:hAnsiTheme="minorHAnsi"/>
        </w:rPr>
        <w:t>2)</w:t>
      </w:r>
      <w:r w:rsidRPr="00181755">
        <w:rPr>
          <w:rFonts w:asciiTheme="minorHAnsi" w:hAnsiTheme="minorHAnsi"/>
        </w:rPr>
        <w:t xml:space="preserve"> jóval szofisztikáltabb és kockázatérzékenyebb módon, a lehetséges veszteségek valószínűségi eloszlását felhasználva számszerűsítik a tőkefedezet mértékét (AMA). 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a komplex ICAAP felülvizsgálat alá tartozó intézmények részéről elvárja, hogy a 2. pillérben gondosan mérjék fel működési profiljukat és kockázataikat, erre támaszkodva pedig legalább a veszteségadat-gyűjtés, a szcenárió-elemzés, a kockázati kontroll és a veszteségeloszlás meghatározásának területén törekedjenek a fejlett módszerekkel szemben támasztott szabályozói elvárásoknak megfelelni. </w:t>
      </w:r>
    </w:p>
    <w:p w14:paraId="79A7448B" w14:textId="77777777" w:rsidR="00870469" w:rsidRPr="00181755" w:rsidRDefault="00870469" w:rsidP="00181755">
      <w:pPr>
        <w:rPr>
          <w:rFonts w:asciiTheme="minorHAnsi" w:hAnsiTheme="minorHAnsi"/>
        </w:rPr>
      </w:pPr>
      <w:r w:rsidRPr="00181755">
        <w:rPr>
          <w:rFonts w:asciiTheme="minorHAnsi" w:hAnsiTheme="minorHAnsi"/>
        </w:rPr>
        <w:t xml:space="preserve">Az előzőekben felsoroltak tükrében az MNB mind a sztenderd, mind a fejlett mérési módszertant alkalmazó intézményektől elvárja, hogy olyan működési kockázatkezelési keretrendszert alakítsanak ki, mely magában foglalja az intézmény kockázati profiljának megragadását és a kockázati kitettséggel arányos kontroll folyamatok kiépítését. </w:t>
      </w:r>
    </w:p>
    <w:p w14:paraId="20FD71B3" w14:textId="19BD706B" w:rsidR="00870469" w:rsidRPr="00181755" w:rsidRDefault="00870469" w:rsidP="00181755">
      <w:pPr>
        <w:rPr>
          <w:rFonts w:asciiTheme="minorHAnsi" w:hAnsiTheme="minorHAnsi"/>
        </w:rPr>
      </w:pPr>
      <w:r w:rsidRPr="00181755">
        <w:rPr>
          <w:rFonts w:asciiTheme="minorHAnsi" w:hAnsiTheme="minorHAnsi"/>
        </w:rPr>
        <w:t>Az MNB a keretrendszer egyes elemeire vonatkozóan az alábbi gyakorlatok kialakítását és integrálását várja a működési kockázatkezelési keretrendszerbe:</w:t>
      </w:r>
    </w:p>
    <w:p w14:paraId="35FF9467" w14:textId="77777777" w:rsidR="00870469" w:rsidRPr="00181755" w:rsidRDefault="00870469" w:rsidP="00181755">
      <w:pPr>
        <w:rPr>
          <w:rFonts w:asciiTheme="minorHAnsi" w:hAnsiTheme="minorHAnsi"/>
        </w:rPr>
      </w:pPr>
      <w:r w:rsidRPr="00181755">
        <w:rPr>
          <w:rFonts w:asciiTheme="minorHAnsi" w:hAnsiTheme="minorHAnsi"/>
        </w:rPr>
        <w:t>Működési kockázati keretrendszer:</w:t>
      </w:r>
    </w:p>
    <w:p w14:paraId="28ED0BFC" w14:textId="30C881F0" w:rsidR="00870469" w:rsidRPr="00181755" w:rsidRDefault="00870469" w:rsidP="00181755">
      <w:pPr>
        <w:numPr>
          <w:ilvl w:val="0"/>
          <w:numId w:val="40"/>
        </w:numPr>
        <w:rPr>
          <w:rFonts w:asciiTheme="minorHAnsi" w:hAnsiTheme="minorHAnsi"/>
        </w:rPr>
      </w:pPr>
      <w:r w:rsidRPr="00181755">
        <w:rPr>
          <w:rFonts w:asciiTheme="minorHAnsi" w:hAnsiTheme="minorHAnsi"/>
        </w:rPr>
        <w:t>Az intézménynek jól dokumentált működési kockázatkezelési keretrendszerrel kell rendelkeznie, melyben a kockázatok értékelése és kezelése jól körülhatárolt feladatkörök mentén történik</w:t>
      </w:r>
      <w:r w:rsidR="00CC67BA" w:rsidRPr="00181755">
        <w:rPr>
          <w:rFonts w:asciiTheme="minorHAnsi" w:hAnsiTheme="minorHAnsi"/>
        </w:rPr>
        <w:t>.</w:t>
      </w:r>
    </w:p>
    <w:p w14:paraId="28F190D9" w14:textId="7DC03781" w:rsidR="00870469" w:rsidRPr="00181755" w:rsidRDefault="00870469" w:rsidP="00181755">
      <w:pPr>
        <w:numPr>
          <w:ilvl w:val="0"/>
          <w:numId w:val="40"/>
        </w:numPr>
        <w:rPr>
          <w:rFonts w:asciiTheme="minorHAnsi" w:hAnsiTheme="minorHAnsi"/>
        </w:rPr>
      </w:pPr>
      <w:r w:rsidRPr="00181755">
        <w:rPr>
          <w:rFonts w:asciiTheme="minorHAnsi" w:hAnsiTheme="minorHAnsi"/>
        </w:rPr>
        <w:t>A működési kockázatkezelési keretrendszert rendszeresen, független felülvizsgálatnak kell alávetni</w:t>
      </w:r>
      <w:r w:rsidR="00CC67BA" w:rsidRPr="00181755">
        <w:rPr>
          <w:rFonts w:asciiTheme="minorHAnsi" w:hAnsiTheme="minorHAnsi"/>
        </w:rPr>
        <w:t>.</w:t>
      </w:r>
    </w:p>
    <w:p w14:paraId="564EA78D" w14:textId="1136D667" w:rsidR="00870469" w:rsidRPr="00181755" w:rsidRDefault="00870469" w:rsidP="00181755">
      <w:pPr>
        <w:numPr>
          <w:ilvl w:val="0"/>
          <w:numId w:val="40"/>
        </w:numPr>
        <w:rPr>
          <w:rFonts w:asciiTheme="minorHAnsi" w:hAnsiTheme="minorHAnsi"/>
        </w:rPr>
      </w:pPr>
      <w:r w:rsidRPr="00181755">
        <w:rPr>
          <w:rFonts w:asciiTheme="minorHAnsi" w:hAnsiTheme="minorHAnsi"/>
        </w:rPr>
        <w:t>A működési kockázatkezelést az intézmények folyamataiba, átfogó kockázatkezelési keretrendszerébe szorosan integrálni szükséges</w:t>
      </w:r>
      <w:r w:rsidR="0080500C" w:rsidRPr="00181755">
        <w:rPr>
          <w:rFonts w:asciiTheme="minorHAnsi" w:hAnsiTheme="minorHAnsi"/>
        </w:rPr>
        <w:t>.</w:t>
      </w:r>
    </w:p>
    <w:p w14:paraId="227EBA72" w14:textId="3C01062A" w:rsidR="00870469" w:rsidRPr="00181755" w:rsidRDefault="00870469" w:rsidP="00181755">
      <w:pPr>
        <w:numPr>
          <w:ilvl w:val="0"/>
          <w:numId w:val="40"/>
        </w:numPr>
        <w:rPr>
          <w:rFonts w:asciiTheme="minorHAnsi" w:hAnsiTheme="minorHAnsi"/>
        </w:rPr>
      </w:pPr>
      <w:r w:rsidRPr="00181755">
        <w:rPr>
          <w:rFonts w:asciiTheme="minorHAnsi" w:hAnsiTheme="minorHAnsi"/>
        </w:rPr>
        <w:t>Az intézmény működési kockázati profiljának monitoringját, a kontroll folyamatok megfelelő működését és ellenőrzését mindenkor biztosítani szükséges</w:t>
      </w:r>
      <w:r w:rsidR="0080500C" w:rsidRPr="00181755">
        <w:rPr>
          <w:rFonts w:asciiTheme="minorHAnsi" w:hAnsiTheme="minorHAnsi"/>
        </w:rPr>
        <w:t>.</w:t>
      </w:r>
    </w:p>
    <w:p w14:paraId="72C3624E" w14:textId="57BB24F4" w:rsidR="00870469" w:rsidRPr="00181755" w:rsidRDefault="00870469" w:rsidP="00181755">
      <w:pPr>
        <w:numPr>
          <w:ilvl w:val="0"/>
          <w:numId w:val="40"/>
        </w:numPr>
        <w:rPr>
          <w:rFonts w:asciiTheme="minorHAnsi" w:hAnsiTheme="minorHAnsi"/>
        </w:rPr>
      </w:pPr>
      <w:r w:rsidRPr="00181755">
        <w:rPr>
          <w:rFonts w:asciiTheme="minorHAnsi" w:hAnsiTheme="minorHAnsi"/>
        </w:rPr>
        <w:t>Biztosítandó továbbá a működési kockázatkezelési funkciónak – annak végrehajtó szerepe mellett – a felsővezetői döntéshozatal során érvényesített hatékony érdekképviselete</w:t>
      </w:r>
      <w:r w:rsidR="0080500C" w:rsidRPr="00181755">
        <w:rPr>
          <w:rFonts w:asciiTheme="minorHAnsi" w:hAnsiTheme="minorHAnsi"/>
        </w:rPr>
        <w:t>.</w:t>
      </w:r>
    </w:p>
    <w:p w14:paraId="4C9F41B2" w14:textId="77777777" w:rsidR="00870469" w:rsidRPr="00181755" w:rsidRDefault="00870469" w:rsidP="00181755">
      <w:pPr>
        <w:rPr>
          <w:rFonts w:asciiTheme="minorHAnsi" w:hAnsiTheme="minorHAnsi"/>
        </w:rPr>
      </w:pPr>
      <w:r w:rsidRPr="00181755">
        <w:rPr>
          <w:rFonts w:asciiTheme="minorHAnsi" w:hAnsiTheme="minorHAnsi"/>
        </w:rPr>
        <w:t>Belső adatgyűjtés:</w:t>
      </w:r>
    </w:p>
    <w:p w14:paraId="14A83125" w14:textId="053909D8" w:rsidR="00870469" w:rsidRPr="00181755" w:rsidRDefault="00870469" w:rsidP="00181755">
      <w:pPr>
        <w:numPr>
          <w:ilvl w:val="0"/>
          <w:numId w:val="39"/>
        </w:numPr>
        <w:rPr>
          <w:rFonts w:asciiTheme="minorHAnsi" w:hAnsiTheme="minorHAnsi"/>
        </w:rPr>
      </w:pPr>
      <w:r w:rsidRPr="00181755">
        <w:rPr>
          <w:rFonts w:asciiTheme="minorHAnsi" w:hAnsiTheme="minorHAnsi"/>
        </w:rPr>
        <w:t>Az intézménynek biztosítani kell annak teljes működését lefedő veszteségadat gyűjtési hálózat (centralizált/decentralizált) kialakítását, valamint a rögzített események</w:t>
      </w:r>
      <w:r w:rsidR="00B17CC8" w:rsidRPr="00181755">
        <w:rPr>
          <w:rFonts w:asciiTheme="minorHAnsi" w:hAnsiTheme="minorHAnsi"/>
        </w:rPr>
        <w:t>, veszteségek és megtérü</w:t>
      </w:r>
      <w:r w:rsidR="00D3428D" w:rsidRPr="00181755">
        <w:rPr>
          <w:rFonts w:asciiTheme="minorHAnsi" w:hAnsiTheme="minorHAnsi"/>
        </w:rPr>
        <w:t>l</w:t>
      </w:r>
      <w:r w:rsidR="00B17CC8" w:rsidRPr="00181755">
        <w:rPr>
          <w:rFonts w:asciiTheme="minorHAnsi" w:hAnsiTheme="minorHAnsi"/>
        </w:rPr>
        <w:t>ések</w:t>
      </w:r>
      <w:r w:rsidRPr="00181755">
        <w:rPr>
          <w:rFonts w:asciiTheme="minorHAnsi" w:hAnsiTheme="minorHAnsi"/>
        </w:rPr>
        <w:t xml:space="preserve"> független validációját (4 szem elve). Fejlett módszertant alkalmazó intézmény esetén a tőkekövetelmény számításban kizárólag validált</w:t>
      </w:r>
      <w:r w:rsidR="00D3428D" w:rsidRPr="00181755">
        <w:rPr>
          <w:rStyle w:val="Lbjegyzet-hivatkozs"/>
          <w:rFonts w:asciiTheme="minorHAnsi" w:hAnsiTheme="minorHAnsi"/>
        </w:rPr>
        <w:footnoteReference w:id="61"/>
      </w:r>
      <w:r w:rsidRPr="00181755">
        <w:rPr>
          <w:rFonts w:asciiTheme="minorHAnsi" w:hAnsiTheme="minorHAnsi"/>
        </w:rPr>
        <w:t xml:space="preserve"> események szerepeljenek</w:t>
      </w:r>
      <w:r w:rsidR="0080500C" w:rsidRPr="00181755">
        <w:rPr>
          <w:rFonts w:asciiTheme="minorHAnsi" w:hAnsiTheme="minorHAnsi"/>
        </w:rPr>
        <w:t>.</w:t>
      </w:r>
      <w:r w:rsidR="00D3428D" w:rsidRPr="00181755">
        <w:rPr>
          <w:rFonts w:asciiTheme="minorHAnsi" w:hAnsiTheme="minorHAnsi"/>
        </w:rPr>
        <w:t xml:space="preserve"> </w:t>
      </w:r>
    </w:p>
    <w:p w14:paraId="13720600" w14:textId="4D88D8C2" w:rsidR="00870469" w:rsidRPr="00181755" w:rsidRDefault="00870469" w:rsidP="00181755">
      <w:pPr>
        <w:numPr>
          <w:ilvl w:val="0"/>
          <w:numId w:val="39"/>
        </w:numPr>
        <w:rPr>
          <w:rFonts w:asciiTheme="minorHAnsi" w:hAnsiTheme="minorHAnsi"/>
        </w:rPr>
      </w:pPr>
      <w:r w:rsidRPr="00181755">
        <w:rPr>
          <w:rFonts w:asciiTheme="minorHAnsi" w:hAnsiTheme="minorHAnsi"/>
        </w:rPr>
        <w:t>A gyűjtött veszteségadatok minőségbiztosítása végett (teljeskörűség és megfelelőség) az intézmény biztosítsa a kétoldali főkönyvi egyeztetés rendszeres elvégzését</w:t>
      </w:r>
      <w:r w:rsidR="0080500C" w:rsidRPr="00181755">
        <w:rPr>
          <w:rFonts w:asciiTheme="minorHAnsi" w:hAnsiTheme="minorHAnsi"/>
        </w:rPr>
        <w:t>.</w:t>
      </w:r>
    </w:p>
    <w:p w14:paraId="185CF243" w14:textId="77777777" w:rsidR="00870469" w:rsidRPr="00181755" w:rsidRDefault="00870469" w:rsidP="00181755">
      <w:pPr>
        <w:rPr>
          <w:rFonts w:asciiTheme="minorHAnsi" w:hAnsiTheme="minorHAnsi"/>
        </w:rPr>
      </w:pPr>
      <w:r w:rsidRPr="00181755">
        <w:rPr>
          <w:rFonts w:asciiTheme="minorHAnsi" w:hAnsiTheme="minorHAnsi"/>
        </w:rPr>
        <w:t>Kulcskockázati indikátorok:</w:t>
      </w:r>
    </w:p>
    <w:p w14:paraId="40C6BA06" w14:textId="0E7CA6FF" w:rsidR="00870469" w:rsidRPr="00181755" w:rsidRDefault="00870469" w:rsidP="00181755">
      <w:pPr>
        <w:numPr>
          <w:ilvl w:val="0"/>
          <w:numId w:val="38"/>
        </w:numPr>
        <w:rPr>
          <w:rFonts w:asciiTheme="minorHAnsi" w:hAnsiTheme="minorHAnsi"/>
        </w:rPr>
      </w:pPr>
      <w:r w:rsidRPr="00181755">
        <w:rPr>
          <w:rFonts w:asciiTheme="minorHAnsi" w:hAnsiTheme="minorHAnsi"/>
        </w:rPr>
        <w:t xml:space="preserve">Az intézmény működési kockázati profilja kulcskockázati indikátorokkal </w:t>
      </w:r>
      <w:r w:rsidR="004D1401" w:rsidRPr="00181755">
        <w:rPr>
          <w:rFonts w:asciiTheme="minorHAnsi" w:hAnsiTheme="minorHAnsi"/>
        </w:rPr>
        <w:t>megfelelően</w:t>
      </w:r>
      <w:r w:rsidR="004D1401" w:rsidRPr="00181755">
        <w:rPr>
          <w:rStyle w:val="Lbjegyzet-hivatkozs"/>
          <w:rFonts w:asciiTheme="minorHAnsi" w:hAnsiTheme="minorHAnsi"/>
        </w:rPr>
        <w:footnoteReference w:id="62"/>
      </w:r>
      <w:r w:rsidRPr="00181755">
        <w:rPr>
          <w:rFonts w:asciiTheme="minorHAnsi" w:hAnsiTheme="minorHAnsi"/>
        </w:rPr>
        <w:t xml:space="preserve"> legyen lefedve</w:t>
      </w:r>
      <w:r w:rsidR="0080500C" w:rsidRPr="00181755">
        <w:rPr>
          <w:rFonts w:asciiTheme="minorHAnsi" w:hAnsiTheme="minorHAnsi"/>
        </w:rPr>
        <w:t>.</w:t>
      </w:r>
      <w:r w:rsidR="004D1401" w:rsidRPr="00181755">
        <w:rPr>
          <w:rFonts w:asciiTheme="minorHAnsi" w:hAnsiTheme="minorHAnsi"/>
        </w:rPr>
        <w:t xml:space="preserve"> A megfelelő KRI lefedettség alapfeltétele, hogy az intézmények működési kockázati profiljukat rendszeresen mérjék, fel, azonosítsák a legjelentősebb kockázataikat és a legkockázatosabbnak ítélt folyamataikat és azok monitorozására vezessenek be indikátorokat. A KRI lefedettség akkor tekinthető elfogadhatónak, ha az intézmény megfelelően alá tudja támasztani, hogy az üzemeltetett KRI mutató készlet a jelentős kockázatait valóban megragadja és megfelelően (tartalmi és küszöbérték relevancia) méri..</w:t>
      </w:r>
    </w:p>
    <w:p w14:paraId="22DB4F2C" w14:textId="138E6562" w:rsidR="00870469" w:rsidRPr="00181755" w:rsidRDefault="00870469" w:rsidP="00181755">
      <w:pPr>
        <w:numPr>
          <w:ilvl w:val="0"/>
          <w:numId w:val="38"/>
        </w:numPr>
        <w:rPr>
          <w:rFonts w:asciiTheme="minorHAnsi" w:hAnsiTheme="minorHAnsi"/>
        </w:rPr>
      </w:pPr>
      <w:r w:rsidRPr="00181755">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181755">
        <w:rPr>
          <w:rFonts w:asciiTheme="minorHAnsi" w:hAnsiTheme="minorHAnsi"/>
        </w:rPr>
        <w:t>.</w:t>
      </w:r>
    </w:p>
    <w:p w14:paraId="52792067" w14:textId="09ACF54F" w:rsidR="00870469" w:rsidRPr="00181755" w:rsidRDefault="00870469" w:rsidP="00181755">
      <w:pPr>
        <w:numPr>
          <w:ilvl w:val="0"/>
          <w:numId w:val="38"/>
        </w:numPr>
        <w:rPr>
          <w:rFonts w:asciiTheme="minorHAnsi" w:hAnsiTheme="minorHAnsi"/>
        </w:rPr>
      </w:pPr>
      <w:r w:rsidRPr="00181755">
        <w:rPr>
          <w:rFonts w:asciiTheme="minorHAnsi" w:hAnsiTheme="minorHAnsi"/>
        </w:rPr>
        <w:t>A kulcskockázati indikátorok éves relevancia és kétéves küszöbérték felülvizsgálata legyen biztosított és megfelelően dokumentált</w:t>
      </w:r>
      <w:r w:rsidR="0080500C" w:rsidRPr="00181755">
        <w:rPr>
          <w:rFonts w:asciiTheme="minorHAnsi" w:hAnsiTheme="minorHAnsi"/>
        </w:rPr>
        <w:t>.</w:t>
      </w:r>
    </w:p>
    <w:p w14:paraId="0BDCEBF5" w14:textId="2A852C22" w:rsidR="00870469" w:rsidRPr="00181755" w:rsidRDefault="00870469" w:rsidP="00181755">
      <w:pPr>
        <w:numPr>
          <w:ilvl w:val="0"/>
          <w:numId w:val="38"/>
        </w:numPr>
        <w:rPr>
          <w:rFonts w:asciiTheme="minorHAnsi" w:hAnsiTheme="minorHAnsi"/>
        </w:rPr>
      </w:pPr>
      <w:r w:rsidRPr="00181755">
        <w:rPr>
          <w:rFonts w:asciiTheme="minorHAnsi" w:hAnsiTheme="minorHAnsi"/>
        </w:rPr>
        <w:t>A mutatók értékalakulását az intézmény folyamatosan kövesse nyomon és rendszeresen prezentálja a menedzsment számára</w:t>
      </w:r>
      <w:r w:rsidR="0080500C" w:rsidRPr="00181755">
        <w:rPr>
          <w:rFonts w:asciiTheme="minorHAnsi" w:hAnsiTheme="minorHAnsi"/>
        </w:rPr>
        <w:t>.</w:t>
      </w:r>
    </w:p>
    <w:p w14:paraId="3554D5FE" w14:textId="4E3B1BC2" w:rsidR="00870469" w:rsidRPr="00181755" w:rsidRDefault="00870469" w:rsidP="00181755">
      <w:pPr>
        <w:numPr>
          <w:ilvl w:val="0"/>
          <w:numId w:val="38"/>
        </w:numPr>
        <w:rPr>
          <w:rFonts w:asciiTheme="minorHAnsi" w:hAnsiTheme="minorHAnsi"/>
        </w:rPr>
      </w:pPr>
      <w:r w:rsidRPr="00181755">
        <w:rPr>
          <w:rFonts w:asciiTheme="minorHAnsi" w:hAnsiTheme="minorHAnsi"/>
        </w:rPr>
        <w:t>Kritikus vagy 3 jelentési perióduson keresztül jelzési szintet elérő mutatók esetében az intézmény törekedjen kockázatcsökkentő intézkedés megfogalmazására</w:t>
      </w:r>
      <w:r w:rsidR="0080500C" w:rsidRPr="00181755">
        <w:rPr>
          <w:rFonts w:asciiTheme="minorHAnsi" w:hAnsiTheme="minorHAnsi"/>
        </w:rPr>
        <w:t>.</w:t>
      </w:r>
    </w:p>
    <w:p w14:paraId="12A24FC3" w14:textId="77777777" w:rsidR="00870469" w:rsidRPr="00181755" w:rsidRDefault="00870469" w:rsidP="00181755">
      <w:pPr>
        <w:rPr>
          <w:rFonts w:asciiTheme="minorHAnsi" w:hAnsiTheme="minorHAnsi"/>
        </w:rPr>
      </w:pPr>
      <w:r w:rsidRPr="00181755">
        <w:rPr>
          <w:rFonts w:asciiTheme="minorHAnsi" w:hAnsiTheme="minorHAnsi"/>
        </w:rPr>
        <w:t>Önértékelés és szcenárióelemzés:</w:t>
      </w:r>
    </w:p>
    <w:p w14:paraId="77DAA130" w14:textId="4CADC5A9" w:rsidR="00870469" w:rsidRPr="00181755" w:rsidRDefault="00870469" w:rsidP="00181755">
      <w:pPr>
        <w:numPr>
          <w:ilvl w:val="0"/>
          <w:numId w:val="37"/>
        </w:numPr>
        <w:rPr>
          <w:rFonts w:asciiTheme="minorHAnsi" w:hAnsiTheme="minorHAnsi"/>
        </w:rPr>
      </w:pPr>
      <w:r w:rsidRPr="00181755">
        <w:rPr>
          <w:rFonts w:asciiTheme="minorHAnsi" w:hAnsiTheme="minorHAnsi"/>
        </w:rPr>
        <w:t>Az intézmény végezzen rendszeresen működési kockázati önértékelést, valamint a magas veszteséggel járó, alacsony gyakoriságú események kockázatát szcenárióelemzések keretében mérje fel</w:t>
      </w:r>
      <w:r w:rsidR="0080500C" w:rsidRPr="00181755">
        <w:rPr>
          <w:rFonts w:asciiTheme="minorHAnsi" w:hAnsiTheme="minorHAnsi"/>
        </w:rPr>
        <w:t>.</w:t>
      </w:r>
    </w:p>
    <w:p w14:paraId="196694DE" w14:textId="3F0E6882" w:rsidR="00870469" w:rsidRPr="00181755" w:rsidRDefault="00870469" w:rsidP="00181755">
      <w:pPr>
        <w:numPr>
          <w:ilvl w:val="0"/>
          <w:numId w:val="37"/>
        </w:numPr>
        <w:rPr>
          <w:rFonts w:asciiTheme="minorHAnsi" w:hAnsiTheme="minorHAnsi"/>
        </w:rPr>
      </w:pPr>
      <w:r w:rsidRPr="00181755">
        <w:rPr>
          <w:rFonts w:asciiTheme="minorHAnsi" w:hAnsiTheme="minorHAnsi"/>
        </w:rPr>
        <w:t>Az önértékelési és szcenárióelemzési folyamatok legyenek megfelelően dokumentáltak és az eredmények képezzék részét a menedzsment riportoknak</w:t>
      </w:r>
      <w:r w:rsidR="0080500C" w:rsidRPr="00181755">
        <w:rPr>
          <w:rFonts w:asciiTheme="minorHAnsi" w:hAnsiTheme="minorHAnsi"/>
        </w:rPr>
        <w:t>.</w:t>
      </w:r>
    </w:p>
    <w:p w14:paraId="0F69C7D1" w14:textId="7B75068E" w:rsidR="00870469" w:rsidRPr="00181755" w:rsidRDefault="00870469" w:rsidP="00181755">
      <w:pPr>
        <w:numPr>
          <w:ilvl w:val="0"/>
          <w:numId w:val="37"/>
        </w:numPr>
        <w:rPr>
          <w:rFonts w:asciiTheme="minorHAnsi" w:hAnsiTheme="minorHAnsi"/>
        </w:rPr>
      </w:pPr>
      <w:r w:rsidRPr="00181755">
        <w:rPr>
          <w:rFonts w:asciiTheme="minorHAnsi" w:hAnsiTheme="minorHAnsi"/>
        </w:rPr>
        <w:t>Az önértékelések során a magas kockázatúnak azonosított folyamatok esetében az intézmény törekedjen kockázatcsökkentő intézkedések megfogalmazására</w:t>
      </w:r>
      <w:r w:rsidR="0080500C" w:rsidRPr="00181755">
        <w:rPr>
          <w:rFonts w:asciiTheme="minorHAnsi" w:hAnsiTheme="minorHAnsi"/>
        </w:rPr>
        <w:t>.</w:t>
      </w:r>
    </w:p>
    <w:p w14:paraId="6823551F" w14:textId="2E939DB0" w:rsidR="00870469" w:rsidRPr="00181755" w:rsidRDefault="00870469" w:rsidP="00181755">
      <w:pPr>
        <w:numPr>
          <w:ilvl w:val="0"/>
          <w:numId w:val="37"/>
        </w:numPr>
        <w:rPr>
          <w:rFonts w:asciiTheme="minorHAnsi" w:hAnsiTheme="minorHAnsi"/>
        </w:rPr>
      </w:pPr>
      <w:r w:rsidRPr="00181755">
        <w:rPr>
          <w:rFonts w:asciiTheme="minorHAnsi" w:hAnsiTheme="minorHAnsi"/>
        </w:rPr>
        <w:t>Workshop alapon történő szcenárióelemzés során javasolt a Delphi módszer alkalmazása a paraméterbecslések során</w:t>
      </w:r>
      <w:r w:rsidR="0080500C" w:rsidRPr="00181755">
        <w:rPr>
          <w:rFonts w:asciiTheme="minorHAnsi" w:hAnsiTheme="minorHAnsi"/>
        </w:rPr>
        <w:t>.</w:t>
      </w:r>
    </w:p>
    <w:p w14:paraId="2E8568F2" w14:textId="059E0D42" w:rsidR="00870469" w:rsidRPr="00181755" w:rsidRDefault="00870469" w:rsidP="00181755">
      <w:pPr>
        <w:numPr>
          <w:ilvl w:val="0"/>
          <w:numId w:val="37"/>
        </w:numPr>
        <w:rPr>
          <w:rFonts w:asciiTheme="minorHAnsi" w:hAnsiTheme="minorHAnsi"/>
        </w:rPr>
      </w:pPr>
      <w:r w:rsidRPr="00181755">
        <w:rPr>
          <w:rFonts w:asciiTheme="minorHAnsi" w:hAnsiTheme="minorHAnsi"/>
        </w:rPr>
        <w:t>Abban az esetben, ha az intézmény az önértékelések és szcenárióelemzések során a részvevők számára a folyamatok értékeléséhez, paraméterbecslésekhez segítségül kiegészítő információkat is biztosít, úgy az alábbiak</w:t>
      </w:r>
      <w:r w:rsidR="00D3428D" w:rsidRPr="00181755">
        <w:rPr>
          <w:rFonts w:asciiTheme="minorHAnsi" w:hAnsiTheme="minorHAnsi"/>
        </w:rPr>
        <w:t xml:space="preserve"> előzetes</w:t>
      </w:r>
      <w:r w:rsidRPr="00181755">
        <w:rPr>
          <w:rFonts w:asciiTheme="minorHAnsi" w:hAnsiTheme="minorHAnsi"/>
        </w:rPr>
        <w:t xml:space="preserve"> átadása javasolt:</w:t>
      </w:r>
    </w:p>
    <w:p w14:paraId="4F17C7DB" w14:textId="7B3FB5F9" w:rsidR="00870469" w:rsidRPr="00181755" w:rsidRDefault="00870469" w:rsidP="00181755">
      <w:pPr>
        <w:numPr>
          <w:ilvl w:val="1"/>
          <w:numId w:val="34"/>
        </w:numPr>
        <w:rPr>
          <w:rFonts w:asciiTheme="minorHAnsi" w:hAnsiTheme="minorHAnsi"/>
        </w:rPr>
      </w:pPr>
      <w:r w:rsidRPr="00181755">
        <w:rPr>
          <w:rFonts w:asciiTheme="minorHAnsi" w:hAnsiTheme="minorHAnsi"/>
        </w:rPr>
        <w:t>az önértékelés/szcenárióelemzéshez kapcsolódó releváns külső és belső adatok</w:t>
      </w:r>
      <w:r w:rsidR="0080500C" w:rsidRPr="00181755">
        <w:rPr>
          <w:rFonts w:asciiTheme="minorHAnsi" w:hAnsiTheme="minorHAnsi"/>
        </w:rPr>
        <w:t>,</w:t>
      </w:r>
    </w:p>
    <w:p w14:paraId="5E5B0262" w14:textId="2666F6A6" w:rsidR="00870469" w:rsidRPr="00181755" w:rsidRDefault="00870469" w:rsidP="00181755">
      <w:pPr>
        <w:numPr>
          <w:ilvl w:val="1"/>
          <w:numId w:val="34"/>
        </w:numPr>
        <w:rPr>
          <w:rFonts w:asciiTheme="minorHAnsi" w:hAnsiTheme="minorHAnsi"/>
        </w:rPr>
      </w:pPr>
      <w:r w:rsidRPr="00181755">
        <w:rPr>
          <w:rFonts w:asciiTheme="minorHAnsi" w:hAnsiTheme="minorHAnsi"/>
        </w:rPr>
        <w:t>KRI mutatók jelzései</w:t>
      </w:r>
      <w:r w:rsidR="0080500C" w:rsidRPr="00181755">
        <w:rPr>
          <w:rFonts w:asciiTheme="minorHAnsi" w:hAnsiTheme="minorHAnsi"/>
        </w:rPr>
        <w:t>,</w:t>
      </w:r>
    </w:p>
    <w:p w14:paraId="64776408" w14:textId="205032EE" w:rsidR="00870469" w:rsidRPr="00181755" w:rsidRDefault="00870469" w:rsidP="00181755">
      <w:pPr>
        <w:numPr>
          <w:ilvl w:val="1"/>
          <w:numId w:val="34"/>
        </w:numPr>
        <w:rPr>
          <w:rFonts w:asciiTheme="minorHAnsi" w:hAnsiTheme="minorHAnsi"/>
        </w:rPr>
      </w:pPr>
      <w:r w:rsidRPr="00181755">
        <w:rPr>
          <w:rFonts w:asciiTheme="minorHAnsi" w:hAnsiTheme="minorHAnsi"/>
        </w:rPr>
        <w:t>sajtóhírek</w:t>
      </w:r>
      <w:r w:rsidR="0080500C" w:rsidRPr="00181755">
        <w:rPr>
          <w:rFonts w:asciiTheme="minorHAnsi" w:hAnsiTheme="minorHAnsi"/>
        </w:rPr>
        <w:t>,</w:t>
      </w:r>
    </w:p>
    <w:p w14:paraId="53457F77" w14:textId="183C8C29" w:rsidR="00870469" w:rsidRPr="00181755" w:rsidRDefault="00870469" w:rsidP="00181755">
      <w:pPr>
        <w:numPr>
          <w:ilvl w:val="1"/>
          <w:numId w:val="34"/>
        </w:numPr>
        <w:rPr>
          <w:rFonts w:asciiTheme="minorHAnsi" w:hAnsiTheme="minorHAnsi"/>
        </w:rPr>
      </w:pPr>
      <w:r w:rsidRPr="00181755">
        <w:rPr>
          <w:rFonts w:asciiTheme="minorHAnsi" w:hAnsiTheme="minorHAnsi"/>
        </w:rPr>
        <w:t>bírságok</w:t>
      </w:r>
      <w:r w:rsidR="0080500C" w:rsidRPr="00181755">
        <w:rPr>
          <w:rFonts w:asciiTheme="minorHAnsi" w:hAnsiTheme="minorHAnsi"/>
        </w:rPr>
        <w:t>,</w:t>
      </w:r>
    </w:p>
    <w:p w14:paraId="2C37DC09" w14:textId="58D41008" w:rsidR="00870469" w:rsidRPr="00181755" w:rsidRDefault="00870469" w:rsidP="00181755">
      <w:pPr>
        <w:numPr>
          <w:ilvl w:val="1"/>
          <w:numId w:val="34"/>
        </w:numPr>
        <w:rPr>
          <w:rFonts w:asciiTheme="minorHAnsi" w:hAnsiTheme="minorHAnsi"/>
        </w:rPr>
      </w:pPr>
      <w:r w:rsidRPr="00181755">
        <w:rPr>
          <w:rFonts w:asciiTheme="minorHAnsi" w:hAnsiTheme="minorHAnsi"/>
        </w:rPr>
        <w:t>hatósági megkeresése</w:t>
      </w:r>
      <w:r w:rsidR="0080500C" w:rsidRPr="00181755">
        <w:rPr>
          <w:rFonts w:asciiTheme="minorHAnsi" w:hAnsiTheme="minorHAnsi"/>
        </w:rPr>
        <w:t>k,</w:t>
      </w:r>
    </w:p>
    <w:p w14:paraId="76011D02" w14:textId="337CF8AE" w:rsidR="00870469" w:rsidRPr="00181755" w:rsidRDefault="00870469" w:rsidP="00181755">
      <w:pPr>
        <w:numPr>
          <w:ilvl w:val="1"/>
          <w:numId w:val="34"/>
        </w:numPr>
        <w:rPr>
          <w:rFonts w:asciiTheme="minorHAnsi" w:hAnsiTheme="minorHAnsi"/>
        </w:rPr>
      </w:pPr>
      <w:r w:rsidRPr="00181755">
        <w:rPr>
          <w:rFonts w:asciiTheme="minorHAnsi" w:hAnsiTheme="minorHAnsi"/>
        </w:rPr>
        <w:t>előző években azonosított, kiemelten kockázatos folyamatok</w:t>
      </w:r>
      <w:r w:rsidR="0080500C" w:rsidRPr="00181755">
        <w:rPr>
          <w:rFonts w:asciiTheme="minorHAnsi" w:hAnsiTheme="minorHAnsi"/>
        </w:rPr>
        <w:t>.</w:t>
      </w:r>
    </w:p>
    <w:p w14:paraId="23C2CA78" w14:textId="77777777" w:rsidR="00870469" w:rsidRPr="00181755" w:rsidRDefault="00870469" w:rsidP="00181755">
      <w:pPr>
        <w:rPr>
          <w:rFonts w:asciiTheme="minorHAnsi" w:hAnsiTheme="minorHAnsi"/>
        </w:rPr>
      </w:pPr>
      <w:r w:rsidRPr="00181755">
        <w:rPr>
          <w:rFonts w:asciiTheme="minorHAnsi" w:hAnsiTheme="minorHAnsi"/>
        </w:rPr>
        <w:t>Kockázatcsökkentő intézkedések:</w:t>
      </w:r>
    </w:p>
    <w:p w14:paraId="02DE10EC" w14:textId="1246FA01" w:rsidR="00870469" w:rsidRPr="00181755" w:rsidRDefault="00870469" w:rsidP="00181755">
      <w:pPr>
        <w:numPr>
          <w:ilvl w:val="0"/>
          <w:numId w:val="36"/>
        </w:numPr>
        <w:rPr>
          <w:rFonts w:asciiTheme="minorHAnsi" w:hAnsiTheme="minorHAnsi"/>
        </w:rPr>
      </w:pPr>
      <w:r w:rsidRPr="00181755">
        <w:rPr>
          <w:rFonts w:asciiTheme="minorHAnsi" w:hAnsiTheme="minorHAnsi"/>
        </w:rPr>
        <w:t>Az intézmény a kockázatcsökkentő intézkedéseket minden releváns forrásból (veszteségadatok, KRI-k, önértékelés, szcenárióelemzés), egységes struktúrában gyűjtése, melyre vonatkozó</w:t>
      </w:r>
      <w:r w:rsidR="0080500C" w:rsidRPr="00181755">
        <w:rPr>
          <w:rFonts w:asciiTheme="minorHAnsi" w:hAnsiTheme="minorHAnsi"/>
        </w:rPr>
        <w:t>an</w:t>
      </w:r>
      <w:r w:rsidRPr="00181755">
        <w:rPr>
          <w:rFonts w:asciiTheme="minorHAnsi" w:hAnsiTheme="minorHAnsi"/>
        </w:rPr>
        <w:t xml:space="preserve"> minimálisan rögzítendő</w:t>
      </w:r>
      <w:r w:rsidR="0080500C" w:rsidRPr="00181755">
        <w:rPr>
          <w:rFonts w:asciiTheme="minorHAnsi" w:hAnsiTheme="minorHAnsi"/>
        </w:rPr>
        <w:t>:</w:t>
      </w:r>
    </w:p>
    <w:p w14:paraId="1C3BF179" w14:textId="77777777"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intézkedéshez kapcsolódó kockázat megnevezése,</w:t>
      </w:r>
    </w:p>
    <w:p w14:paraId="42AB6A3A" w14:textId="5626E15F"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forrása (veszteségesemény, KRI, RCSA, SA)</w:t>
      </w:r>
      <w:r w:rsidR="0080500C" w:rsidRPr="00181755">
        <w:rPr>
          <w:rFonts w:asciiTheme="minorHAnsi" w:hAnsiTheme="minorHAnsi"/>
        </w:rPr>
        <w:t>,</w:t>
      </w:r>
    </w:p>
    <w:p w14:paraId="4517178D" w14:textId="11404728" w:rsidR="00870469" w:rsidRPr="00181755" w:rsidRDefault="0080500C" w:rsidP="00181755">
      <w:pPr>
        <w:numPr>
          <w:ilvl w:val="1"/>
          <w:numId w:val="35"/>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leírása</w:t>
      </w:r>
      <w:r w:rsidRPr="00181755">
        <w:rPr>
          <w:rFonts w:asciiTheme="minorHAnsi" w:hAnsiTheme="minorHAnsi"/>
        </w:rPr>
        <w:t>,</w:t>
      </w:r>
    </w:p>
    <w:p w14:paraId="21EF45F4" w14:textId="30B05ACE" w:rsidR="00870469" w:rsidRPr="00181755" w:rsidRDefault="0080500C" w:rsidP="00181755">
      <w:pPr>
        <w:numPr>
          <w:ilvl w:val="1"/>
          <w:numId w:val="35"/>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státusza</w:t>
      </w:r>
      <w:r w:rsidRPr="00181755">
        <w:rPr>
          <w:rFonts w:asciiTheme="minorHAnsi" w:hAnsiTheme="minorHAnsi"/>
        </w:rPr>
        <w:t>,</w:t>
      </w:r>
    </w:p>
    <w:p w14:paraId="735B7149" w14:textId="20774F8C"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teljesítésének határideje és az esetleges határidő módosítások, valamint a módosítást kiváltó okok</w:t>
      </w:r>
      <w:r w:rsidR="0080500C" w:rsidRPr="00181755">
        <w:rPr>
          <w:rFonts w:asciiTheme="minorHAnsi" w:hAnsiTheme="minorHAnsi"/>
        </w:rPr>
        <w:t>,</w:t>
      </w:r>
    </w:p>
    <w:p w14:paraId="161600F2" w14:textId="57BE822F"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végrehajtásáért felelős terület</w:t>
      </w:r>
      <w:r w:rsidR="0080500C" w:rsidRPr="00181755">
        <w:rPr>
          <w:rFonts w:asciiTheme="minorHAnsi" w:hAnsiTheme="minorHAnsi"/>
        </w:rPr>
        <w:t>,</w:t>
      </w:r>
    </w:p>
    <w:p w14:paraId="652F0E51" w14:textId="75EE9B26"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jóváhagyója, valamint a jóváhagyás dátuma</w:t>
      </w:r>
      <w:r w:rsidR="0080500C" w:rsidRPr="00181755">
        <w:rPr>
          <w:rFonts w:asciiTheme="minorHAnsi" w:hAnsiTheme="minorHAnsi"/>
        </w:rPr>
        <w:t>,</w:t>
      </w:r>
    </w:p>
    <w:p w14:paraId="5945216D" w14:textId="6574B444" w:rsidR="00870469" w:rsidRPr="00181755" w:rsidRDefault="00870469" w:rsidP="00181755">
      <w:pPr>
        <w:numPr>
          <w:ilvl w:val="1"/>
          <w:numId w:val="35"/>
        </w:numPr>
        <w:rPr>
          <w:rFonts w:asciiTheme="minorHAnsi" w:hAnsiTheme="minorHAnsi"/>
        </w:rPr>
      </w:pPr>
      <w:r w:rsidRPr="00181755">
        <w:rPr>
          <w:rFonts w:asciiTheme="minorHAnsi" w:hAnsiTheme="minorHAnsi"/>
        </w:rPr>
        <w:t xml:space="preserve"> az intézkedéshez kapcsolódó hatáselemzés, visszamérés</w:t>
      </w:r>
      <w:r w:rsidR="0080500C" w:rsidRPr="00181755">
        <w:rPr>
          <w:rFonts w:asciiTheme="minorHAnsi" w:hAnsiTheme="minorHAnsi"/>
        </w:rPr>
        <w:t>.</w:t>
      </w:r>
    </w:p>
    <w:p w14:paraId="4C2030EF" w14:textId="77777777" w:rsidR="00870469" w:rsidRPr="00181755" w:rsidRDefault="00870469" w:rsidP="00181755">
      <w:pPr>
        <w:numPr>
          <w:ilvl w:val="0"/>
          <w:numId w:val="41"/>
        </w:numPr>
        <w:rPr>
          <w:rFonts w:asciiTheme="minorHAnsi" w:hAnsiTheme="minorHAnsi"/>
        </w:rPr>
      </w:pPr>
      <w:r w:rsidRPr="00181755">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181755" w:rsidRDefault="00870469" w:rsidP="00181755">
      <w:pPr>
        <w:rPr>
          <w:rFonts w:asciiTheme="minorHAnsi" w:hAnsiTheme="minorHAnsi"/>
        </w:rPr>
      </w:pPr>
      <w:r w:rsidRPr="00181755">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433CBE7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csoportszinten megvalósuló tőkeszámítás esetén az intézmény</w:t>
      </w:r>
      <w:r w:rsidR="0080500C" w:rsidRPr="00181755">
        <w:rPr>
          <w:rFonts w:asciiTheme="minorHAnsi" w:hAnsiTheme="minorHAnsi"/>
          <w:lang w:val="hu-HU"/>
        </w:rPr>
        <w:t>ek</w:t>
      </w:r>
      <w:r w:rsidRPr="00181755">
        <w:rPr>
          <w:rFonts w:asciiTheme="minorHAnsi" w:hAnsiTheme="minorHAnsi"/>
        </w:rPr>
        <w:t>nek fel kell mérnie saját (egyedi) kockázati kitettségét is, továbbá ismernie kell a tőkeszükséglet érzékenységét a modell bemeneti változóinak módosulására</w:t>
      </w:r>
      <w:r w:rsidR="00B17CC8" w:rsidRPr="00181755">
        <w:rPr>
          <w:rFonts w:asciiTheme="minorHAnsi" w:hAnsiTheme="minorHAnsi"/>
          <w:lang w:val="hu-HU"/>
        </w:rPr>
        <w:t xml:space="preserve"> (azaz a tő</w:t>
      </w:r>
      <w:r w:rsidR="00E56135" w:rsidRPr="00181755">
        <w:rPr>
          <w:rFonts w:asciiTheme="minorHAnsi" w:hAnsiTheme="minorHAnsi"/>
          <w:lang w:val="hu-HU"/>
        </w:rPr>
        <w:t>kekövetelmény számítására alkal</w:t>
      </w:r>
      <w:r w:rsidR="00B17CC8" w:rsidRPr="00181755">
        <w:rPr>
          <w:rFonts w:asciiTheme="minorHAnsi" w:hAnsiTheme="minorHAnsi"/>
          <w:lang w:val="hu-HU"/>
        </w:rPr>
        <w:t>mazott csoportszintű modell felépítését</w:t>
      </w:r>
      <w:r w:rsidR="00E56135" w:rsidRPr="00181755">
        <w:rPr>
          <w:rFonts w:asciiTheme="minorHAnsi" w:hAnsiTheme="minorHAnsi"/>
          <w:lang w:val="hu-HU"/>
        </w:rPr>
        <w:t>, módszertanát, paramétereit helyi, szakértői szinten is ismernie kell)</w:t>
      </w:r>
      <w:r w:rsidR="009F6A94" w:rsidRPr="00181755">
        <w:rPr>
          <w:rFonts w:asciiTheme="minorHAnsi" w:hAnsiTheme="minorHAnsi"/>
          <w:lang w:val="hu-HU"/>
        </w:rPr>
        <w:t>,</w:t>
      </w:r>
    </w:p>
    <w:p w14:paraId="1BB865F5" w14:textId="0C64550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181755">
        <w:rPr>
          <w:rFonts w:asciiTheme="minorHAnsi" w:hAnsiTheme="minorHAnsi"/>
          <w:lang w:val="hu-HU"/>
        </w:rPr>
        <w:t>,</w:t>
      </w:r>
    </w:p>
    <w:p w14:paraId="0C2C2047" w14:textId="001F511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tőkeszámításban felhasznált veszteségadatok teljeskörűségét és reprezentativitását – csakúgy, mint az illesztett függvények és alkalmazott szcenáriók paramétereinek megfelelőségét – demonstrálni kell</w:t>
      </w:r>
      <w:r w:rsidR="009F6A94" w:rsidRPr="00181755">
        <w:rPr>
          <w:rFonts w:asciiTheme="minorHAnsi" w:hAnsiTheme="minorHAnsi"/>
          <w:lang w:val="hu-HU"/>
        </w:rPr>
        <w:t>,</w:t>
      </w:r>
    </w:p>
    <w:p w14:paraId="13DF0715" w14:textId="4C771E92"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hitelezéshez kapcsolódó működési kockázati veszteségeket fel kell dolgozni és statisztikai jellemzőiket az MNB számára be kell mutatni</w:t>
      </w:r>
      <w:r w:rsidR="009F6A94" w:rsidRPr="00181755">
        <w:rPr>
          <w:rFonts w:asciiTheme="minorHAnsi" w:hAnsiTheme="minorHAnsi"/>
          <w:lang w:val="hu-HU"/>
        </w:rPr>
        <w:t>,</w:t>
      </w:r>
    </w:p>
    <w:p w14:paraId="6E1F6873" w14:textId="10DCB5DD"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belső tőkekövetelmény számításához felhasznált információk (veszteségadatok, önértékelési</w:t>
      </w:r>
      <w:r w:rsidRPr="00181755">
        <w:rPr>
          <w:rFonts w:asciiTheme="minorHAnsi" w:hAnsiTheme="minorHAnsi"/>
          <w:lang w:val="hu-HU"/>
        </w:rPr>
        <w:t>/szcenárióelemzési</w:t>
      </w:r>
      <w:r w:rsidRPr="00181755">
        <w:rPr>
          <w:rFonts w:asciiTheme="minorHAnsi" w:hAnsiTheme="minorHAnsi"/>
        </w:rPr>
        <w:t xml:space="preserve"> eredmények, stressz-tesztek, KRI-mutatók stb.) a kockázati kitettség mérséklése végett a kockázatkezelés során felhasználásra kerülnek</w:t>
      </w:r>
      <w:r w:rsidR="009F6A94" w:rsidRPr="00181755">
        <w:rPr>
          <w:rFonts w:asciiTheme="minorHAnsi" w:hAnsiTheme="minorHAnsi"/>
          <w:lang w:val="hu-HU"/>
        </w:rPr>
        <w:t>,</w:t>
      </w:r>
    </w:p>
    <w:p w14:paraId="45F6E9FB" w14:textId="77777777"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 xml:space="preserve">a pénzpiaci kereskedési tevékenységgel kapcsolatos működési kockázati kitettség csökkentése érdekében kialakításra kell, hogy kerüljenek az előírt megfelelő irányítási és eljárási szabályok, adatrögzítési protokollok, értékelési jellemzők, ösztönzési és ellenőrző mechanizmusok. </w:t>
      </w:r>
    </w:p>
    <w:p w14:paraId="07A2E7DD" w14:textId="4A6F4C3F" w:rsidR="00A050B8" w:rsidRPr="00181755" w:rsidRDefault="00870469" w:rsidP="00181755">
      <w:pPr>
        <w:spacing w:after="240"/>
        <w:rPr>
          <w:rFonts w:asciiTheme="minorHAnsi" w:hAnsiTheme="minorHAnsi"/>
        </w:rPr>
      </w:pPr>
      <w:r w:rsidRPr="00181755">
        <w:rPr>
          <w:rFonts w:asciiTheme="minorHAnsi" w:hAnsiTheme="minorHAnsi"/>
        </w:rPr>
        <w:t>Mivel a működési kockázati fejlett módszerek esetén az adatgazdálkodási, folyamatszervezési és kontrollfunkciók legalább annyira hangsúlyosak, mint az alkalmazott tőkeszámítási modell specifikációja, ezért az MNB a fejlett módszer eredményét csak akkor tudja tőkekövetelményként elfogadni, ha az említett területeken az intézmény átgondolt és magas színvonalú munkát végez.</w:t>
      </w:r>
    </w:p>
    <w:p w14:paraId="66B154FE" w14:textId="77777777" w:rsidR="003F29E3" w:rsidRPr="00181755" w:rsidRDefault="003F29E3" w:rsidP="00181755">
      <w:pPr>
        <w:pStyle w:val="Cmsor4"/>
        <w:rPr>
          <w:rFonts w:asciiTheme="minorHAnsi" w:hAnsiTheme="minorHAnsi"/>
        </w:rPr>
      </w:pPr>
      <w:bookmarkStart w:id="866" w:name="_Toc378592059"/>
      <w:bookmarkStart w:id="867" w:name="_Toc461095223"/>
      <w:bookmarkStart w:id="868" w:name="_Toc461179879"/>
      <w:bookmarkStart w:id="869" w:name="_Toc461201322"/>
      <w:bookmarkStart w:id="870" w:name="_Toc461547965"/>
      <w:bookmarkStart w:id="871" w:name="_Toc462402005"/>
      <w:bookmarkStart w:id="872" w:name="_Toc462403126"/>
      <w:bookmarkStart w:id="873" w:name="_Toc462403450"/>
      <w:bookmarkStart w:id="874" w:name="_Toc468180569"/>
      <w:bookmarkStart w:id="875" w:name="_Toc468181078"/>
      <w:bookmarkStart w:id="876" w:name="_Toc468191464"/>
      <w:r w:rsidRPr="00181755">
        <w:rPr>
          <w:rFonts w:asciiTheme="minorHAnsi" w:hAnsiTheme="minorHAnsi"/>
        </w:rPr>
        <w:t>Reputációs kockázat</w:t>
      </w:r>
      <w:bookmarkEnd w:id="866"/>
      <w:bookmarkEnd w:id="867"/>
      <w:bookmarkEnd w:id="868"/>
      <w:bookmarkEnd w:id="869"/>
      <w:bookmarkEnd w:id="870"/>
      <w:bookmarkEnd w:id="871"/>
      <w:bookmarkEnd w:id="872"/>
      <w:bookmarkEnd w:id="873"/>
      <w:bookmarkEnd w:id="874"/>
      <w:bookmarkEnd w:id="875"/>
      <w:bookmarkEnd w:id="876"/>
    </w:p>
    <w:p w14:paraId="4BE15517" w14:textId="5CF537D4" w:rsidR="004D6790" w:rsidRPr="00181755" w:rsidRDefault="004D6790" w:rsidP="00181755">
      <w:pPr>
        <w:rPr>
          <w:rFonts w:asciiTheme="minorHAnsi" w:hAnsiTheme="minorHAnsi"/>
          <w:b/>
        </w:rPr>
      </w:pPr>
      <w:r w:rsidRPr="00181755">
        <w:rPr>
          <w:rFonts w:asciiTheme="minorHAnsi" w:hAnsiTheme="minorHAnsi"/>
          <w:b/>
        </w:rPr>
        <w:t>Definíció</w:t>
      </w:r>
    </w:p>
    <w:p w14:paraId="66B154FF" w14:textId="77777777" w:rsidR="003F29E3" w:rsidRPr="00181755" w:rsidRDefault="003F29E3" w:rsidP="00181755">
      <w:pPr>
        <w:rPr>
          <w:rFonts w:asciiTheme="minorHAnsi" w:hAnsiTheme="minorHAnsi"/>
        </w:rPr>
      </w:pPr>
      <w:r w:rsidRPr="00181755">
        <w:rPr>
          <w:rFonts w:asciiTheme="minorHAnsi" w:hAnsiTheme="minorHAnsi"/>
        </w:rPr>
        <w:t>A működési kockázaton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181755" w:rsidRDefault="003F29E3" w:rsidP="00181755">
      <w:pPr>
        <w:rPr>
          <w:rFonts w:asciiTheme="minorHAnsi" w:hAnsiTheme="minorHAnsi"/>
        </w:rPr>
      </w:pPr>
      <w:r w:rsidRPr="00181755">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181755">
        <w:rPr>
          <w:rFonts w:asciiTheme="minorHAnsi" w:hAnsiTheme="minorHAnsi"/>
        </w:rPr>
        <w:t xml:space="preserve">, eseti vagy ismétlődő informatikai rendszerleállások és </w:t>
      </w:r>
      <w:r w:rsidR="006B66A6" w:rsidRPr="00181755">
        <w:rPr>
          <w:rFonts w:asciiTheme="minorHAnsi" w:hAnsiTheme="minorHAnsi"/>
        </w:rPr>
        <w:t xml:space="preserve">az ügyfeleket közvetlenül érintő </w:t>
      </w:r>
      <w:r w:rsidR="00ED171B" w:rsidRPr="00181755">
        <w:rPr>
          <w:rFonts w:asciiTheme="minorHAnsi" w:hAnsiTheme="minorHAnsi"/>
        </w:rPr>
        <w:t>szolgáltatáskiesések, belső vagy külső csalások</w:t>
      </w:r>
      <w:r w:rsidR="00EF2A79" w:rsidRPr="00181755">
        <w:rPr>
          <w:rFonts w:asciiTheme="minorHAnsi" w:hAnsiTheme="minorHAnsi"/>
        </w:rPr>
        <w:t>,</w:t>
      </w:r>
      <w:r w:rsidRPr="00181755">
        <w:rPr>
          <w:rFonts w:asciiTheme="minorHAnsi" w:hAnsiTheme="minorHAnsi"/>
        </w:rPr>
        <w:t xml:space="preserve"> illetve a kedvezőtlen hatósági vélemény vagy intézkedések.</w:t>
      </w:r>
    </w:p>
    <w:p w14:paraId="0397CC62" w14:textId="4417F75A" w:rsidR="00B21A9F" w:rsidRPr="00181755" w:rsidRDefault="00B21A9F" w:rsidP="00181755">
      <w:pPr>
        <w:rPr>
          <w:rFonts w:asciiTheme="minorHAnsi" w:hAnsiTheme="minorHAnsi"/>
        </w:rPr>
      </w:pPr>
      <w:r w:rsidRPr="00181755">
        <w:rPr>
          <w:rFonts w:asciiTheme="minorHAnsi" w:hAnsiTheme="minorHAnsi"/>
        </w:rPr>
        <w:t xml:space="preserve">Szintén reputációs kockázattal járhat a magas presztízsű, elsősorban privát banki ügyfelekkel szemben végzett tevékenység </w:t>
      </w:r>
      <w:r w:rsidR="00630BB6" w:rsidRPr="00181755">
        <w:rPr>
          <w:rFonts w:asciiTheme="minorHAnsi" w:hAnsiTheme="minorHAnsi"/>
        </w:rPr>
        <w:t xml:space="preserve">túlzott koncentrációja </w:t>
      </w:r>
      <w:r w:rsidRPr="00181755">
        <w:rPr>
          <w:rFonts w:asciiTheme="minorHAnsi" w:hAnsiTheme="minorHAnsi"/>
        </w:rPr>
        <w:t xml:space="preserve">is (pl.: </w:t>
      </w:r>
      <w:r w:rsidR="00797AF0" w:rsidRPr="00181755">
        <w:rPr>
          <w:rFonts w:asciiTheme="minorHAnsi" w:hAnsiTheme="minorHAnsi"/>
        </w:rPr>
        <w:t>kockázatosabb</w:t>
      </w:r>
      <w:r w:rsidRPr="00181755">
        <w:rPr>
          <w:rFonts w:asciiTheme="minorHAnsi" w:hAnsiTheme="minorHAnsi"/>
        </w:rPr>
        <w:t xml:space="preserve"> </w:t>
      </w:r>
      <w:r w:rsidR="00B07AD9" w:rsidRPr="00181755">
        <w:rPr>
          <w:rFonts w:asciiTheme="minorHAnsi" w:hAnsiTheme="minorHAnsi"/>
        </w:rPr>
        <w:t>befektetési termékek nyújtása</w:t>
      </w:r>
      <w:r w:rsidRPr="00181755">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181755" w:rsidRDefault="003F29E3" w:rsidP="00181755">
      <w:pPr>
        <w:rPr>
          <w:rFonts w:asciiTheme="minorHAnsi" w:hAnsiTheme="minorHAnsi"/>
        </w:rPr>
      </w:pPr>
      <w:r w:rsidRPr="00181755">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181755">
        <w:rPr>
          <w:rFonts w:asciiTheme="minorHAnsi" w:hAnsiTheme="minorHAnsi"/>
        </w:rPr>
        <w:t xml:space="preserve"> (pl. médián/közösségi médián keresztül)</w:t>
      </w:r>
      <w:r w:rsidRPr="00181755">
        <w:rPr>
          <w:rFonts w:asciiTheme="minorHAnsi" w:hAnsiTheme="minorHAnsi"/>
        </w:rPr>
        <w:t xml:space="preserve">, illetve az olyan események vagy az intézmény olyan teljesítményei, amelyek az említett nyilatkozatok alapjául szolgálhatnak. </w:t>
      </w:r>
    </w:p>
    <w:p w14:paraId="66B15502" w14:textId="4F5772C9" w:rsidR="003F29E3" w:rsidRPr="00181755" w:rsidRDefault="003F29E3" w:rsidP="00181755">
      <w:pPr>
        <w:rPr>
          <w:rFonts w:asciiTheme="minorHAnsi" w:hAnsiTheme="minorHAnsi"/>
        </w:rPr>
      </w:pPr>
      <w:r w:rsidRPr="00181755">
        <w:rPr>
          <w:rFonts w:asciiTheme="minorHAnsi" w:hAnsiTheme="minorHAnsi"/>
        </w:rPr>
        <w:t xml:space="preserve">Lehetnek olyan külső tényezők is, amelyek annak ellenére okoznak reputációs kockázatot, hogy függetlenek az adott </w:t>
      </w:r>
      <w:r w:rsidR="00A8489E" w:rsidRPr="00181755">
        <w:rPr>
          <w:rFonts w:asciiTheme="minorHAnsi" w:hAnsiTheme="minorHAnsi"/>
        </w:rPr>
        <w:t>intézmény</w:t>
      </w:r>
      <w:r w:rsidRPr="00181755">
        <w:rPr>
          <w:rFonts w:asciiTheme="minorHAnsi" w:hAnsiTheme="minorHAnsi"/>
        </w:rPr>
        <w:t xml:space="preserve"> tevékenységétől (pl. anyabank megítélése, más intézmény miatt a teljes szektor megítélése romlott, stb.).</w:t>
      </w:r>
    </w:p>
    <w:p w14:paraId="66B15504"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05" w14:textId="29298E93" w:rsidR="003F29E3" w:rsidRPr="00181755" w:rsidRDefault="003F29E3" w:rsidP="00181755">
      <w:pPr>
        <w:rPr>
          <w:rFonts w:asciiTheme="minorHAnsi" w:hAnsiTheme="minorHAnsi"/>
        </w:rPr>
      </w:pPr>
      <w:r w:rsidRPr="00181755">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181755">
        <w:rPr>
          <w:rFonts w:asciiTheme="minorHAnsi" w:hAnsiTheme="minorHAnsi"/>
        </w:rPr>
        <w:t>, eseményekről, intézkedésekről</w:t>
      </w:r>
      <w:r w:rsidRPr="00181755">
        <w:rPr>
          <w:rFonts w:asciiTheme="minorHAnsi" w:hAnsiTheme="minorHAnsi"/>
        </w:rPr>
        <w:t>. Ilyenek lehetnek többek között például a következők:</w:t>
      </w:r>
    </w:p>
    <w:p w14:paraId="66B15506" w14:textId="7BDC3AA6" w:rsidR="003F29E3" w:rsidRPr="00181755" w:rsidRDefault="003F29E3" w:rsidP="00181755">
      <w:pPr>
        <w:pStyle w:val="felsorolsos"/>
        <w:rPr>
          <w:rFonts w:asciiTheme="minorHAnsi" w:hAnsiTheme="minorHAnsi"/>
        </w:rPr>
      </w:pPr>
      <w:r w:rsidRPr="00181755">
        <w:rPr>
          <w:rFonts w:asciiTheme="minorHAnsi" w:hAnsiTheme="minorHAnsi"/>
        </w:rPr>
        <w:t xml:space="preserve">a </w:t>
      </w:r>
      <w:r w:rsidR="00170021" w:rsidRPr="00181755">
        <w:rPr>
          <w:rFonts w:asciiTheme="minorHAnsi" w:hAnsiTheme="minorHAnsi"/>
          <w:lang w:val="hu-HU"/>
        </w:rPr>
        <w:t>hatóságok (</w:t>
      </w:r>
      <w:r w:rsidRPr="00181755">
        <w:rPr>
          <w:rFonts w:asciiTheme="minorHAnsi" w:hAnsiTheme="minorHAnsi"/>
        </w:rPr>
        <w:t>MNB, Gazdasági Versenyhivatal</w:t>
      </w:r>
      <w:r w:rsidR="00170021" w:rsidRPr="00181755">
        <w:rPr>
          <w:rFonts w:asciiTheme="minorHAnsi" w:hAnsiTheme="minorHAnsi"/>
          <w:lang w:val="hu-HU"/>
        </w:rPr>
        <w:t>,</w:t>
      </w:r>
      <w:r w:rsidRPr="00181755">
        <w:rPr>
          <w:rFonts w:asciiTheme="minorHAnsi" w:hAnsiTheme="minorHAnsi"/>
        </w:rPr>
        <w:t xml:space="preserve"> Nemzeti Adó- és Vámhivatal</w:t>
      </w:r>
      <w:r w:rsidR="00170021" w:rsidRPr="00181755">
        <w:rPr>
          <w:rFonts w:asciiTheme="minorHAnsi" w:hAnsiTheme="minorHAnsi"/>
          <w:lang w:val="hu-HU"/>
        </w:rPr>
        <w:t>)</w:t>
      </w:r>
      <w:r w:rsidRPr="00181755">
        <w:rPr>
          <w:rFonts w:asciiTheme="minorHAnsi" w:hAnsiTheme="minorHAnsi"/>
        </w:rPr>
        <w:t xml:space="preserve"> által kibocsátott nyilvános, intézményt terhelő elmarasztaló határozatai, intézkedései és kiszabott büntetései,</w:t>
      </w:r>
    </w:p>
    <w:p w14:paraId="00E8CD38" w14:textId="0FBE413B" w:rsidR="004F042B" w:rsidRPr="00181755" w:rsidRDefault="004F042B" w:rsidP="00181755">
      <w:pPr>
        <w:pStyle w:val="felsorolsos"/>
        <w:rPr>
          <w:rFonts w:asciiTheme="minorHAnsi" w:hAnsiTheme="minorHAnsi"/>
        </w:rPr>
      </w:pPr>
      <w:r w:rsidRPr="00181755">
        <w:rPr>
          <w:rFonts w:asciiTheme="minorHAnsi" w:hAnsiTheme="minorHAnsi"/>
          <w:lang w:val="hu-HU"/>
        </w:rPr>
        <w:t>ügyfélelégedettségi felmérések</w:t>
      </w:r>
      <w:r w:rsidR="006017E0" w:rsidRPr="00181755">
        <w:rPr>
          <w:rFonts w:asciiTheme="minorHAnsi" w:hAnsiTheme="minorHAnsi"/>
          <w:lang w:val="hu-HU"/>
        </w:rPr>
        <w:t xml:space="preserve"> eredményének kiértékelése,</w:t>
      </w:r>
    </w:p>
    <w:p w14:paraId="66B15507" w14:textId="25C94FE9" w:rsidR="003F29E3" w:rsidRPr="00181755" w:rsidRDefault="003F29E3" w:rsidP="00181755">
      <w:pPr>
        <w:pStyle w:val="felsorolsos"/>
        <w:rPr>
          <w:rFonts w:asciiTheme="minorHAnsi" w:hAnsiTheme="minorHAnsi"/>
        </w:rPr>
      </w:pPr>
      <w:r w:rsidRPr="00181755">
        <w:rPr>
          <w:rFonts w:asciiTheme="minorHAnsi" w:hAnsiTheme="minorHAnsi"/>
        </w:rPr>
        <w:t>a beérkezett ügyfélpanaszok számának, tárgyának, kezelésének általános statisztikai jellemzői,</w:t>
      </w:r>
      <w:r w:rsidR="006017E0" w:rsidRPr="00181755">
        <w:rPr>
          <w:rFonts w:asciiTheme="minorHAnsi" w:hAnsiTheme="minorHAnsi"/>
          <w:lang w:val="hu-HU"/>
        </w:rPr>
        <w:t xml:space="preserve"> tendenciái,</w:t>
      </w:r>
    </w:p>
    <w:p w14:paraId="66B15508" w14:textId="5CCF7CF0" w:rsidR="003F29E3" w:rsidRPr="00181755" w:rsidRDefault="003F29E3" w:rsidP="00181755">
      <w:pPr>
        <w:pStyle w:val="felsorolsos"/>
        <w:rPr>
          <w:rFonts w:asciiTheme="minorHAnsi" w:hAnsiTheme="minorHAnsi"/>
        </w:rPr>
      </w:pPr>
      <w:r w:rsidRPr="00181755">
        <w:rPr>
          <w:rFonts w:asciiTheme="minorHAnsi" w:hAnsiTheme="minorHAnsi"/>
        </w:rPr>
        <w:t xml:space="preserve">a folyamatban lévő és lezárt büntetőjogi és polgári peres eljárások, </w:t>
      </w:r>
    </w:p>
    <w:p w14:paraId="1EF8F42F" w14:textId="0EDB1B55" w:rsidR="00B7487B" w:rsidRPr="00181755" w:rsidRDefault="00B7487B" w:rsidP="00181755">
      <w:pPr>
        <w:pStyle w:val="felsorolsos"/>
        <w:rPr>
          <w:rFonts w:asciiTheme="minorHAnsi" w:hAnsiTheme="minorHAnsi"/>
        </w:rPr>
      </w:pPr>
      <w:r w:rsidRPr="00181755">
        <w:rPr>
          <w:rFonts w:asciiTheme="minorHAnsi" w:hAnsiTheme="minorHAnsi"/>
          <w:lang w:val="hu-HU"/>
        </w:rPr>
        <w:t>az elmúlt időszak informatikai rendszerleállásai, szolgáltatáskiesései és azok következményei, hatása az ügyfelekre</w:t>
      </w:r>
      <w:r w:rsidR="00251EA3" w:rsidRPr="00181755">
        <w:rPr>
          <w:rFonts w:asciiTheme="minorHAnsi" w:hAnsiTheme="minorHAnsi"/>
          <w:lang w:val="hu-HU"/>
        </w:rPr>
        <w:t xml:space="preserve"> és egyéb stakeholderekre,</w:t>
      </w:r>
    </w:p>
    <w:p w14:paraId="06B4431B" w14:textId="570C48D3" w:rsidR="00251EA3" w:rsidRPr="00181755" w:rsidRDefault="00251EA3" w:rsidP="00181755">
      <w:pPr>
        <w:pStyle w:val="felsorolsos"/>
        <w:rPr>
          <w:rFonts w:asciiTheme="minorHAnsi" w:hAnsiTheme="minorHAnsi"/>
        </w:rPr>
      </w:pPr>
      <w:r w:rsidRPr="00181755">
        <w:rPr>
          <w:rFonts w:asciiTheme="minorHAnsi" w:hAnsiTheme="minorHAnsi"/>
          <w:lang w:val="hu-HU"/>
        </w:rPr>
        <w:t>az intézménynél elkövetett belső és külső csalások, valamint a válaszként hozott intézkedések,</w:t>
      </w:r>
    </w:p>
    <w:p w14:paraId="218EAA34" w14:textId="0EA84020" w:rsidR="00A25938" w:rsidRPr="00181755" w:rsidRDefault="00A25938" w:rsidP="00181755">
      <w:pPr>
        <w:pStyle w:val="felsorolsos"/>
        <w:rPr>
          <w:rFonts w:asciiTheme="minorHAnsi" w:hAnsiTheme="minorHAnsi"/>
        </w:rPr>
      </w:pPr>
      <w:r w:rsidRPr="00181755">
        <w:rPr>
          <w:rFonts w:asciiTheme="minorHAnsi" w:hAnsiTheme="minorHAnsi"/>
          <w:lang w:val="hu-HU"/>
        </w:rPr>
        <w:t>média által gerjesztett valós vagy valótlan, de a jó hírnevet veszélyeztető állítások,</w:t>
      </w:r>
    </w:p>
    <w:p w14:paraId="66B15509" w14:textId="77777777" w:rsidR="003F29E3" w:rsidRPr="00181755" w:rsidRDefault="003F29E3" w:rsidP="00181755">
      <w:pPr>
        <w:pStyle w:val="felsorolsos"/>
        <w:rPr>
          <w:rFonts w:asciiTheme="minorHAnsi" w:hAnsiTheme="minorHAnsi"/>
        </w:rPr>
      </w:pPr>
      <w:r w:rsidRPr="00181755">
        <w:rPr>
          <w:rFonts w:asciiTheme="minorHAnsi" w:hAnsiTheme="minorHAnsi"/>
        </w:rPr>
        <w:t>továbbá az intézmény legfontosabb társadalmi és karitatív tevékenységei.</w:t>
      </w:r>
      <w:r w:rsidR="00403ABE" w:rsidRPr="00181755">
        <w:rPr>
          <w:rFonts w:asciiTheme="minorHAnsi" w:hAnsiTheme="minorHAnsi"/>
        </w:rPr>
        <w:t xml:space="preserve"> </w:t>
      </w:r>
    </w:p>
    <w:p w14:paraId="5FACF045" w14:textId="30F89857" w:rsidR="00F92CCD" w:rsidRPr="00181755" w:rsidRDefault="003F29E3" w:rsidP="00181755">
      <w:pPr>
        <w:rPr>
          <w:rFonts w:asciiTheme="minorHAnsi" w:hAnsiTheme="minorHAnsi"/>
        </w:rPr>
      </w:pPr>
      <w:r w:rsidRPr="00181755">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181755">
        <w:rPr>
          <w:rFonts w:asciiTheme="minorHAnsi" w:hAnsiTheme="minorHAnsi"/>
        </w:rPr>
        <w:t>, befektetői bizalomvesztés</w:t>
      </w:r>
      <w:r w:rsidR="008E505D" w:rsidRPr="00181755">
        <w:rPr>
          <w:rFonts w:asciiTheme="minorHAnsi" w:hAnsiTheme="minorHAnsi"/>
        </w:rPr>
        <w:t>, krízis, válsághelyzet,</w:t>
      </w:r>
      <w:r w:rsidRPr="00181755">
        <w:rPr>
          <w:rFonts w:asciiTheme="minorHAnsi" w:hAnsiTheme="minorHAnsi"/>
        </w:rPr>
        <w:t xml:space="preserve"> stb.), illetve azok potenciális következményeit, és a megfelelő intézményi folyamatokra (pl. sajtó</w:t>
      </w:r>
      <w:r w:rsidR="00251EA3" w:rsidRPr="00181755">
        <w:rPr>
          <w:rFonts w:asciiTheme="minorHAnsi" w:hAnsiTheme="minorHAnsi"/>
        </w:rPr>
        <w:t xml:space="preserve">- és közösségi média </w:t>
      </w:r>
      <w:r w:rsidRPr="00181755">
        <w:rPr>
          <w:rFonts w:asciiTheme="minorHAnsi" w:hAnsiTheme="minorHAnsi"/>
        </w:rPr>
        <w:t>figyelés</w:t>
      </w:r>
      <w:r w:rsidR="00A50A2A" w:rsidRPr="00181755">
        <w:rPr>
          <w:rFonts w:asciiTheme="minorHAnsi" w:hAnsiTheme="minorHAnsi"/>
        </w:rPr>
        <w:t>, szcenárióelemzés</w:t>
      </w:r>
      <w:r w:rsidRPr="00181755">
        <w:rPr>
          <w:rFonts w:asciiTheme="minorHAnsi" w:hAnsiTheme="minorHAnsi"/>
        </w:rPr>
        <w:t>)</w:t>
      </w:r>
      <w:r w:rsidR="00170021" w:rsidRPr="00181755">
        <w:rPr>
          <w:rFonts w:asciiTheme="minorHAnsi" w:hAnsiTheme="minorHAnsi"/>
        </w:rPr>
        <w:t>, mechanizmusokra</w:t>
      </w:r>
      <w:r w:rsidRPr="00181755">
        <w:rPr>
          <w:rFonts w:asciiTheme="minorHAnsi" w:hAnsiTheme="minorHAnsi"/>
        </w:rPr>
        <w:t xml:space="preserve"> és akciótervekre hivatkozva demonstrálják </w:t>
      </w:r>
      <w:r w:rsidR="001706AA" w:rsidRPr="00181755">
        <w:rPr>
          <w:rFonts w:asciiTheme="minorHAnsi" w:hAnsiTheme="minorHAnsi"/>
        </w:rPr>
        <w:t>ezen események</w:t>
      </w:r>
      <w:r w:rsidRPr="00181755">
        <w:rPr>
          <w:rFonts w:asciiTheme="minorHAnsi" w:hAnsiTheme="minorHAnsi"/>
        </w:rPr>
        <w:t xml:space="preserve"> hatékony észlelésének és kezelésének</w:t>
      </w:r>
      <w:r w:rsidR="00B951C7" w:rsidRPr="00181755">
        <w:rPr>
          <w:rFonts w:asciiTheme="minorHAnsi" w:hAnsiTheme="minorHAnsi"/>
        </w:rPr>
        <w:t xml:space="preserve"> a képességét</w:t>
      </w:r>
      <w:r w:rsidRPr="00181755">
        <w:rPr>
          <w:rFonts w:asciiTheme="minorHAnsi" w:hAnsiTheme="minorHAnsi"/>
        </w:rPr>
        <w:t>.</w:t>
      </w:r>
      <w:r w:rsidR="00BD18B7" w:rsidRPr="00181755">
        <w:rPr>
          <w:rFonts w:asciiTheme="minorHAnsi" w:hAnsiTheme="minorHAnsi"/>
        </w:rPr>
        <w:t xml:space="preserve"> Fontos hangsúlyozni, hogy a reputációs kockázatkezelési eszközök</w:t>
      </w:r>
      <w:r w:rsidR="00B951C7" w:rsidRPr="00181755">
        <w:rPr>
          <w:rFonts w:asciiTheme="minorHAnsi" w:hAnsiTheme="minorHAnsi"/>
        </w:rPr>
        <w:t xml:space="preserve"> integráns részét kell, képezzék az intézmény vállalatirányítási keretren</w:t>
      </w:r>
      <w:r w:rsidR="009F6A94" w:rsidRPr="00181755">
        <w:rPr>
          <w:rFonts w:asciiTheme="minorHAnsi" w:hAnsiTheme="minorHAnsi"/>
        </w:rPr>
        <w:t>d</w:t>
      </w:r>
      <w:r w:rsidR="00B951C7" w:rsidRPr="00181755">
        <w:rPr>
          <w:rFonts w:asciiTheme="minorHAnsi" w:hAnsiTheme="minorHAnsi"/>
        </w:rPr>
        <w:t xml:space="preserve">szerének és szemléletének, és arányosak az intézmény méretével és a rendszerben betöltött szerepével. </w:t>
      </w:r>
    </w:p>
    <w:p w14:paraId="5F389E44" w14:textId="0D0CAA11" w:rsidR="003F1E41" w:rsidRPr="00181755" w:rsidRDefault="00B21A9F" w:rsidP="00181755">
      <w:pPr>
        <w:rPr>
          <w:rFonts w:asciiTheme="minorHAnsi" w:hAnsiTheme="minorHAnsi"/>
        </w:rPr>
      </w:pPr>
      <w:r w:rsidRPr="00181755">
        <w:rPr>
          <w:rFonts w:asciiTheme="minorHAnsi" w:hAnsiTheme="minorHAnsi"/>
        </w:rPr>
        <w:t>A kockázatkontroll megfe</w:t>
      </w:r>
      <w:r w:rsidR="00A84B6F" w:rsidRPr="00181755">
        <w:rPr>
          <w:rFonts w:asciiTheme="minorHAnsi" w:hAnsiTheme="minorHAnsi"/>
        </w:rPr>
        <w:t>le</w:t>
      </w:r>
      <w:r w:rsidRPr="00181755">
        <w:rPr>
          <w:rFonts w:asciiTheme="minorHAnsi" w:hAnsiTheme="minorHAnsi"/>
        </w:rPr>
        <w:t>lős</w:t>
      </w:r>
      <w:r w:rsidR="00A84B6F" w:rsidRPr="00181755">
        <w:rPr>
          <w:rFonts w:asciiTheme="minorHAnsi" w:hAnsiTheme="minorHAnsi"/>
        </w:rPr>
        <w:t>s</w:t>
      </w:r>
      <w:r w:rsidRPr="00181755">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181755">
        <w:rPr>
          <w:rFonts w:asciiTheme="minorHAnsi" w:hAnsiTheme="minorHAnsi"/>
        </w:rPr>
        <w:t xml:space="preserve">, ezen szakterületek szerepét az üzleti területek által kezdeményezett termék- és szolgáltatásfejlesztési és -árazási folyamatokba, elkerülendő vagy </w:t>
      </w:r>
      <w:r w:rsidR="006A68BD" w:rsidRPr="00181755">
        <w:rPr>
          <w:rFonts w:asciiTheme="minorHAnsi" w:hAnsiTheme="minorHAnsi"/>
        </w:rPr>
        <w:t>mérséklendő</w:t>
      </w:r>
      <w:r w:rsidR="00F92CCD" w:rsidRPr="00181755">
        <w:rPr>
          <w:rFonts w:asciiTheme="minorHAnsi" w:hAnsiTheme="minorHAnsi"/>
        </w:rPr>
        <w:t xml:space="preserve"> a helytelen piaci gyakorlat, üzletviteli kockázat (conduct risk) </w:t>
      </w:r>
      <w:r w:rsidR="006A68BD" w:rsidRPr="00181755">
        <w:rPr>
          <w:rFonts w:asciiTheme="minorHAnsi" w:hAnsiTheme="minorHAnsi"/>
        </w:rPr>
        <w:t>hírnévromboló hatását</w:t>
      </w:r>
      <w:r w:rsidR="00F92CCD" w:rsidRPr="00181755">
        <w:rPr>
          <w:rFonts w:asciiTheme="minorHAnsi" w:hAnsiTheme="minorHAnsi"/>
        </w:rPr>
        <w:t>.</w:t>
      </w:r>
      <w:r w:rsidR="006B66A6" w:rsidRPr="00181755">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181755">
        <w:rPr>
          <w:rFonts w:asciiTheme="minorHAnsi" w:hAnsiTheme="minorHAnsi"/>
        </w:rPr>
        <w:t xml:space="preserve"> </w:t>
      </w:r>
      <w:r w:rsidR="00CC72DB" w:rsidRPr="00181755">
        <w:rPr>
          <w:rFonts w:asciiTheme="minorHAnsi" w:hAnsiTheme="minorHAnsi"/>
        </w:rPr>
        <w:t>Az MNB továbbá elvárja, hogy az intézmény</w:t>
      </w:r>
      <w:r w:rsidR="003F1E41" w:rsidRPr="00181755">
        <w:rPr>
          <w:rFonts w:asciiTheme="minorHAnsi" w:hAnsiTheme="minorHAnsi"/>
        </w:rPr>
        <w:t xml:space="preserve"> rendszeresen monitorozza</w:t>
      </w:r>
      <w:r w:rsidR="00B07AD9" w:rsidRPr="00181755">
        <w:rPr>
          <w:rFonts w:asciiTheme="minorHAnsi" w:hAnsiTheme="minorHAnsi"/>
        </w:rPr>
        <w:t xml:space="preserve">, </w:t>
      </w:r>
      <w:r w:rsidR="003F1E41" w:rsidRPr="00181755">
        <w:rPr>
          <w:rFonts w:asciiTheme="minorHAnsi" w:hAnsiTheme="minorHAnsi"/>
        </w:rPr>
        <w:t>mérje fel</w:t>
      </w:r>
      <w:r w:rsidR="00B07AD9" w:rsidRPr="00181755">
        <w:rPr>
          <w:rFonts w:asciiTheme="minorHAnsi" w:hAnsiTheme="minorHAnsi"/>
        </w:rPr>
        <w:t xml:space="preserve"> és számszerűsítse</w:t>
      </w:r>
      <w:r w:rsidR="003F1E41" w:rsidRPr="00181755">
        <w:rPr>
          <w:rFonts w:asciiTheme="minorHAnsi" w:hAnsiTheme="minorHAnsi"/>
        </w:rPr>
        <w:t xml:space="preserve"> a privát banki ügyfelekkel szembeni kockázatokat, kitettségeket,</w:t>
      </w:r>
      <w:r w:rsidR="00797AF0" w:rsidRPr="00181755">
        <w:rPr>
          <w:rFonts w:asciiTheme="minorHAnsi" w:hAnsiTheme="minorHAnsi"/>
        </w:rPr>
        <w:t xml:space="preserve"> azok koncentrációját,</w:t>
      </w:r>
      <w:r w:rsidR="003F1E41" w:rsidRPr="00181755">
        <w:rPr>
          <w:rFonts w:asciiTheme="minorHAnsi" w:hAnsiTheme="minorHAnsi"/>
        </w:rPr>
        <w:t xml:space="preserve"> melynek során minősítse a portfóliókat kockázatosság szempontjából mérlegelve a bizalomvesztés</w:t>
      </w:r>
      <w:r w:rsidR="00797AF0" w:rsidRPr="00181755">
        <w:rPr>
          <w:rFonts w:asciiTheme="minorHAnsi" w:hAnsiTheme="minorHAnsi"/>
        </w:rPr>
        <w:t xml:space="preserve"> következtében bekövetkező ügyfélvesztés, illetve ügyfelek megtartásáért</w:t>
      </w:r>
      <w:r w:rsidR="003F1E41" w:rsidRPr="00181755">
        <w:rPr>
          <w:rFonts w:asciiTheme="minorHAnsi" w:hAnsiTheme="minorHAnsi"/>
        </w:rPr>
        <w:t xml:space="preserve"> szükséges intézkedéseket, és azok miatt elszenvedhető veszteség mértékét.</w:t>
      </w:r>
    </w:p>
    <w:p w14:paraId="66B1550C" w14:textId="59DB397E" w:rsidR="00AA6BFA" w:rsidRPr="00181755" w:rsidRDefault="003F29E3" w:rsidP="00181755">
      <w:pPr>
        <w:rPr>
          <w:rFonts w:asciiTheme="minorHAnsi" w:hAnsiTheme="minorHAnsi"/>
        </w:rPr>
      </w:pPr>
      <w:r w:rsidRPr="00181755">
        <w:rPr>
          <w:rFonts w:asciiTheme="minorHAnsi" w:hAnsiTheme="minorHAnsi"/>
        </w:rPr>
        <w:t xml:space="preserve">A reputációs kockázatokat az MNB álláspontja szerint </w:t>
      </w:r>
      <w:r w:rsidR="00A50A2A" w:rsidRPr="00181755">
        <w:rPr>
          <w:rFonts w:asciiTheme="minorHAnsi" w:hAnsiTheme="minorHAnsi"/>
        </w:rPr>
        <w:t xml:space="preserve">elsősorban </w:t>
      </w:r>
      <w:r w:rsidR="001706AA" w:rsidRPr="00181755">
        <w:rPr>
          <w:rFonts w:asciiTheme="minorHAnsi" w:hAnsiTheme="minorHAnsi"/>
        </w:rPr>
        <w:t xml:space="preserve">szabályzatokkal, </w:t>
      </w:r>
      <w:r w:rsidRPr="00181755">
        <w:rPr>
          <w:rFonts w:asciiTheme="minorHAnsi" w:hAnsiTheme="minorHAnsi"/>
        </w:rPr>
        <w:t>hatékony folyamatokkal</w:t>
      </w:r>
      <w:r w:rsidR="001706AA" w:rsidRPr="00181755">
        <w:rPr>
          <w:rFonts w:asciiTheme="minorHAnsi" w:hAnsiTheme="minorHAnsi"/>
        </w:rPr>
        <w:t xml:space="preserve">, intézkedési tervekkel </w:t>
      </w:r>
      <w:r w:rsidRPr="00181755">
        <w:rPr>
          <w:rFonts w:asciiTheme="minorHAnsi" w:hAnsiTheme="minorHAnsi"/>
        </w:rPr>
        <w:t xml:space="preserve">célszerű </w:t>
      </w:r>
      <w:r w:rsidR="00A50A2A" w:rsidRPr="00181755">
        <w:rPr>
          <w:rFonts w:asciiTheme="minorHAnsi" w:hAnsiTheme="minorHAnsi"/>
        </w:rPr>
        <w:t>kezel</w:t>
      </w:r>
      <w:r w:rsidRPr="00181755">
        <w:rPr>
          <w:rFonts w:asciiTheme="minorHAnsi" w:hAnsiTheme="minorHAnsi"/>
        </w:rPr>
        <w:t>ni. Aggasztó intézményi gyakorlat</w:t>
      </w:r>
      <w:r w:rsidR="00A50A2A" w:rsidRPr="00181755">
        <w:rPr>
          <w:rFonts w:asciiTheme="minorHAnsi" w:hAnsiTheme="minorHAnsi"/>
        </w:rPr>
        <w:t>, jelentős mértékű reputációs kockázat</w:t>
      </w:r>
      <w:r w:rsidRPr="00181755">
        <w:rPr>
          <w:rFonts w:asciiTheme="minorHAnsi" w:hAnsiTheme="minorHAnsi"/>
        </w:rPr>
        <w:t xml:space="preserve"> esetén – a megfelelő </w:t>
      </w:r>
      <w:r w:rsidR="001706AA" w:rsidRPr="00181755">
        <w:rPr>
          <w:rFonts w:asciiTheme="minorHAnsi" w:hAnsiTheme="minorHAnsi"/>
        </w:rPr>
        <w:t xml:space="preserve">mechanizmusok és </w:t>
      </w:r>
      <w:r w:rsidRPr="00181755">
        <w:rPr>
          <w:rFonts w:asciiTheme="minorHAnsi" w:hAnsiTheme="minorHAnsi"/>
        </w:rPr>
        <w:t>folyamatszabályozás megteremtéséig, illetve a korábbi gyakorlatból fakadó, már nem mérsékelhető</w:t>
      </w:r>
      <w:r w:rsidR="001706AA" w:rsidRPr="00181755">
        <w:rPr>
          <w:rFonts w:asciiTheme="minorHAnsi" w:hAnsiTheme="minorHAnsi"/>
        </w:rPr>
        <w:t xml:space="preserve"> vagy a jövőben újra potenciálisan felmerülő</w:t>
      </w:r>
      <w:r w:rsidRPr="00181755">
        <w:rPr>
          <w:rFonts w:asciiTheme="minorHAnsi" w:hAnsiTheme="minorHAnsi"/>
        </w:rPr>
        <w:t xml:space="preserve"> veszteségek fedezésének céljából – az MNB mindamellett pótlólagos tőkeképzést is szükségesnek tarthat. </w:t>
      </w:r>
    </w:p>
    <w:p w14:paraId="66B1550D" w14:textId="77777777" w:rsidR="00AA6BFA" w:rsidRPr="00181755" w:rsidRDefault="00AA6BFA" w:rsidP="00181755">
      <w:pPr>
        <w:pStyle w:val="Cmsor4"/>
        <w:rPr>
          <w:rFonts w:asciiTheme="minorHAnsi" w:hAnsiTheme="minorHAnsi"/>
          <w:lang w:val="hu-HU"/>
        </w:rPr>
      </w:pPr>
      <w:bookmarkStart w:id="877" w:name="_Toc461095224"/>
      <w:bookmarkStart w:id="878" w:name="_Toc461179880"/>
      <w:bookmarkStart w:id="879" w:name="_Toc461201323"/>
      <w:bookmarkStart w:id="880" w:name="_Toc461547966"/>
      <w:bookmarkStart w:id="881" w:name="_Toc462402006"/>
      <w:bookmarkStart w:id="882" w:name="_Toc462403127"/>
      <w:bookmarkStart w:id="883" w:name="_Toc462403451"/>
      <w:bookmarkStart w:id="884" w:name="_Toc468180570"/>
      <w:bookmarkStart w:id="885" w:name="_Toc468181079"/>
      <w:bookmarkStart w:id="886" w:name="_Toc468191465"/>
      <w:r w:rsidRPr="00181755">
        <w:rPr>
          <w:rFonts w:asciiTheme="minorHAnsi" w:hAnsiTheme="minorHAnsi"/>
          <w:lang w:val="hu-HU"/>
        </w:rPr>
        <w:t>Jogi kockázatok</w:t>
      </w:r>
      <w:bookmarkEnd w:id="877"/>
      <w:bookmarkEnd w:id="878"/>
      <w:bookmarkEnd w:id="879"/>
      <w:bookmarkEnd w:id="880"/>
      <w:bookmarkEnd w:id="881"/>
      <w:bookmarkEnd w:id="882"/>
      <w:bookmarkEnd w:id="883"/>
      <w:bookmarkEnd w:id="884"/>
      <w:bookmarkEnd w:id="885"/>
      <w:bookmarkEnd w:id="886"/>
    </w:p>
    <w:p w14:paraId="24282C37" w14:textId="77777777" w:rsidR="00870469" w:rsidRPr="00181755" w:rsidRDefault="00AA6BFA" w:rsidP="00181755">
      <w:pPr>
        <w:rPr>
          <w:rFonts w:asciiTheme="minorHAnsi" w:hAnsiTheme="minorHAnsi"/>
        </w:rPr>
      </w:pPr>
      <w:r w:rsidRPr="00181755">
        <w:rPr>
          <w:rFonts w:asciiTheme="minorHAnsi" w:hAnsiTheme="minorHAnsi"/>
        </w:rPr>
        <w:t xml:space="preserve">Az MNB elvárja, hogy az intézmények azonosítsák, gyűjtsék és kezeljék a jogi kockázatokhoz kapcsolódó veszteségesemények adatait. </w:t>
      </w:r>
      <w:r w:rsidR="00870469" w:rsidRPr="00181755">
        <w:rPr>
          <w:rFonts w:asciiTheme="minorHAnsi" w:hAnsiTheme="minorHAnsi"/>
        </w:rPr>
        <w:t xml:space="preserve">Ennek körében az intézményeknek különösen azon veszteségeket és egyéb költségeket kell figyelembe venniük, amelyek </w:t>
      </w:r>
    </w:p>
    <w:p w14:paraId="3434F51A" w14:textId="4FF8AB0E" w:rsidR="00870469" w:rsidRPr="00181755" w:rsidRDefault="00870469" w:rsidP="00181755">
      <w:pPr>
        <w:pStyle w:val="Listaszerbekezds"/>
        <w:numPr>
          <w:ilvl w:val="0"/>
          <w:numId w:val="31"/>
        </w:numPr>
        <w:rPr>
          <w:rFonts w:asciiTheme="minorHAnsi" w:hAnsiTheme="minorHAnsi"/>
        </w:rPr>
      </w:pPr>
      <w:r w:rsidRPr="00181755">
        <w:rPr>
          <w:rFonts w:asciiTheme="minorHAnsi" w:hAnsiTheme="minorHAnsi"/>
          <w:sz w:val="22"/>
          <w:szCs w:val="22"/>
        </w:rPr>
        <w:t>olyan szabályszegő magatartásokból erednek, amelyekből következően az intézmény jogi eljárással szembesült</w:t>
      </w:r>
      <w:r w:rsidR="009E35DE" w:rsidRPr="00181755">
        <w:rPr>
          <w:rFonts w:asciiTheme="minorHAnsi" w:hAnsiTheme="minorHAnsi"/>
          <w:sz w:val="22"/>
          <w:szCs w:val="22"/>
        </w:rPr>
        <w:t>,</w:t>
      </w:r>
      <w:r w:rsidRPr="00181755">
        <w:rPr>
          <w:rFonts w:asciiTheme="minorHAnsi" w:hAnsiTheme="minorHAnsi"/>
          <w:sz w:val="22"/>
          <w:szCs w:val="22"/>
        </w:rPr>
        <w:t xml:space="preserve"> vagy </w:t>
      </w:r>
    </w:p>
    <w:p w14:paraId="6EABA5FB" w14:textId="77777777" w:rsidR="00870469" w:rsidRPr="00181755" w:rsidRDefault="00870469" w:rsidP="00181755">
      <w:pPr>
        <w:pStyle w:val="Listaszerbekezds"/>
        <w:numPr>
          <w:ilvl w:val="0"/>
          <w:numId w:val="31"/>
        </w:numPr>
        <w:rPr>
          <w:rFonts w:asciiTheme="minorHAnsi" w:hAnsiTheme="minorHAnsi"/>
        </w:rPr>
      </w:pPr>
      <w:r w:rsidRPr="00181755">
        <w:rPr>
          <w:rFonts w:asciiTheme="minorHAnsi" w:hAnsiTheme="minorHAnsi"/>
          <w:sz w:val="22"/>
          <w:szCs w:val="22"/>
        </w:rPr>
        <w:t>az intézmények érdekében megvalósított olyan szándékos cselekményekből származnak, amelyek célja a várható jogi kockázatok elkerülése.</w:t>
      </w:r>
    </w:p>
    <w:p w14:paraId="21169B59" w14:textId="4543E70F" w:rsidR="00870469" w:rsidRPr="00181755" w:rsidRDefault="00870469" w:rsidP="00181755">
      <w:pPr>
        <w:spacing w:after="240"/>
        <w:rPr>
          <w:rFonts w:asciiTheme="minorHAnsi" w:hAnsiTheme="minorHAnsi"/>
        </w:rPr>
      </w:pPr>
      <w:r w:rsidRPr="00181755">
        <w:rPr>
          <w:rFonts w:asciiTheme="minorHAnsi" w:hAnsiTheme="minorHAnsi"/>
        </w:rPr>
        <w:t>A fentiek körébe tartozik különösen a jogszabályok változásával kapcsolatos szabályszegés, a jogszabályi megfeleléshez szükséges intézkedések elmulasztása, a jogszabálynak való megfelelést elkerülendően meghozott intézkedés, illetve a pénzügyi szolgáltatások ellátása során megtett vagy elmulasztott cselekménnyel megvalósított szabályszegés, függetlenül attól, hogy szándékosan vagy gondatlanul követték-e el (az ún. (‘misconduct events’)). Az MNB elvárja továbbá, hogy az intézmények az adatgyűjtés mellett, az önértékelési folyamataikba és a KRI keretrendszerükbe (pl</w:t>
      </w:r>
      <w:r w:rsidR="00461900" w:rsidRPr="00181755">
        <w:rPr>
          <w:rFonts w:asciiTheme="minorHAnsi" w:hAnsiTheme="minorHAnsi"/>
        </w:rPr>
        <w:t>.</w:t>
      </w:r>
      <w:r w:rsidRPr="00181755">
        <w:rPr>
          <w:rFonts w:asciiTheme="minorHAnsi" w:hAnsiTheme="minorHAnsi"/>
        </w:rPr>
        <w:t xml:space="preserve"> jogszabályi változásokra, hatósági megkeresésekre, valamint panaszkezelésre fókuszáló mutatók bevezetésén keresztül) is építsék be a jogi kockázatok azonosítását és nyomonkövetését.</w:t>
      </w:r>
    </w:p>
    <w:p w14:paraId="66B15513" w14:textId="77777777" w:rsidR="003F29E3" w:rsidRPr="00181755" w:rsidRDefault="00AA6BFA" w:rsidP="00181755">
      <w:pPr>
        <w:pStyle w:val="Cmsor4"/>
        <w:numPr>
          <w:ilvl w:val="0"/>
          <w:numId w:val="0"/>
        </w:numPr>
        <w:ind w:left="1148" w:hanging="864"/>
        <w:rPr>
          <w:rFonts w:asciiTheme="minorHAnsi" w:hAnsiTheme="minorHAnsi"/>
          <w:lang w:val="hu-HU"/>
        </w:rPr>
      </w:pPr>
      <w:bookmarkStart w:id="887" w:name="_Toc461095225"/>
      <w:bookmarkStart w:id="888" w:name="_Toc461179881"/>
      <w:bookmarkStart w:id="889" w:name="_Toc461201324"/>
      <w:bookmarkStart w:id="890" w:name="_Toc461547967"/>
      <w:bookmarkStart w:id="891" w:name="_Toc462402007"/>
      <w:bookmarkStart w:id="892" w:name="_Toc462403128"/>
      <w:bookmarkStart w:id="893" w:name="_Toc462403452"/>
      <w:bookmarkStart w:id="894" w:name="_Toc468180571"/>
      <w:bookmarkStart w:id="895" w:name="_Toc468181080"/>
      <w:bookmarkStart w:id="896" w:name="_Toc468191466"/>
      <w:r w:rsidRPr="00181755">
        <w:rPr>
          <w:rFonts w:asciiTheme="minorHAnsi" w:hAnsiTheme="minorHAnsi"/>
          <w:lang w:val="hu-HU"/>
        </w:rPr>
        <w:t xml:space="preserve">V.2.2.2.1. </w:t>
      </w:r>
      <w:r w:rsidR="00F2335D" w:rsidRPr="00181755">
        <w:rPr>
          <w:rFonts w:asciiTheme="minorHAnsi" w:hAnsiTheme="minorHAnsi"/>
          <w:lang w:val="hu-HU"/>
        </w:rPr>
        <w:t>Üzletvitel kockázata (Conduct risk)</w:t>
      </w:r>
      <w:bookmarkEnd w:id="887"/>
      <w:bookmarkEnd w:id="888"/>
      <w:bookmarkEnd w:id="889"/>
      <w:bookmarkEnd w:id="890"/>
      <w:bookmarkEnd w:id="891"/>
      <w:bookmarkEnd w:id="892"/>
      <w:bookmarkEnd w:id="893"/>
      <w:bookmarkEnd w:id="894"/>
      <w:bookmarkEnd w:id="895"/>
      <w:bookmarkEnd w:id="896"/>
      <w:r w:rsidR="00F2335D" w:rsidRPr="00181755">
        <w:rPr>
          <w:rFonts w:asciiTheme="minorHAnsi" w:hAnsiTheme="minorHAnsi"/>
          <w:lang w:val="hu-HU"/>
        </w:rPr>
        <w:t xml:space="preserve"> </w:t>
      </w:r>
    </w:p>
    <w:p w14:paraId="33EBCD28" w14:textId="37D6E9AB" w:rsidR="00042A3D" w:rsidRPr="00181755" w:rsidRDefault="00042A3D" w:rsidP="00181755">
      <w:pPr>
        <w:widowControl w:val="0"/>
        <w:spacing w:before="120"/>
        <w:outlineLvl w:val="0"/>
        <w:rPr>
          <w:rFonts w:asciiTheme="minorHAnsi" w:hAnsiTheme="minorHAnsi"/>
          <w:b/>
          <w:bCs/>
          <w:lang w:eastAsia="x-none"/>
        </w:rPr>
      </w:pPr>
      <w:r w:rsidRPr="00181755">
        <w:rPr>
          <w:rFonts w:asciiTheme="minorHAnsi" w:hAnsiTheme="minorHAnsi"/>
          <w:b/>
          <w:bCs/>
          <w:lang w:eastAsia="x-none"/>
        </w:rPr>
        <w:t>Definíció</w:t>
      </w:r>
    </w:p>
    <w:p w14:paraId="58D793AC" w14:textId="70EB8229" w:rsidR="00870469" w:rsidRPr="00181755" w:rsidRDefault="00870469" w:rsidP="00181755">
      <w:pPr>
        <w:widowControl w:val="0"/>
        <w:spacing w:before="120"/>
        <w:outlineLvl w:val="0"/>
        <w:rPr>
          <w:rFonts w:asciiTheme="minorHAnsi" w:hAnsiTheme="minorHAnsi"/>
          <w:bCs/>
          <w:lang w:eastAsia="x-none"/>
        </w:rPr>
      </w:pPr>
      <w:r w:rsidRPr="00181755">
        <w:rPr>
          <w:rFonts w:asciiTheme="minorHAnsi" w:hAnsiTheme="minorHAnsi"/>
          <w:bCs/>
          <w:lang w:eastAsia="x-none"/>
        </w:rPr>
        <w:t>"Üzletvitel kockázata", avagy "conduct risk" a működési kockázatok közé tartozó jogi kockázatok része, a pénzügyi szolgáltatások nyújtásában a szolgáltatások nem megfelelő kínálatából vagy szándékosan folytatott, meg nem engedhető magatartásból, üzletviteléből adódó kockázat.</w:t>
      </w:r>
    </w:p>
    <w:p w14:paraId="703DF5C7" w14:textId="14FB1D00" w:rsidR="00870469" w:rsidRPr="00181755" w:rsidRDefault="00870469" w:rsidP="00181755">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 xml:space="preserve">Az üzletvitel kockázata az EBA </w:t>
      </w:r>
      <w:r w:rsidR="00CA0515" w:rsidRPr="00181755">
        <w:rPr>
          <w:rFonts w:asciiTheme="minorHAnsi" w:hAnsiTheme="minorHAnsi"/>
          <w:bCs/>
          <w:lang w:eastAsia="x-none"/>
        </w:rPr>
        <w:t>SREP Ajánlás</w:t>
      </w:r>
      <w:r w:rsidRPr="00181755">
        <w:rPr>
          <w:rFonts w:asciiTheme="minorHAnsi" w:hAnsiTheme="minorHAnsi"/>
          <w:bCs/>
          <w:lang w:eastAsia="x-none"/>
        </w:rPr>
        <w:t xml:space="preserve"> alapján elsősorban az alábbi elemekben jelenhet meg: Az üzletvitel kockázata az EBA felügyeleti felülvizsgálati folyamathoz kapcsolódóan közzétett ajánlása alapján elsősorban az alábbi elemekben jelenhet meg: </w:t>
      </w:r>
    </w:p>
    <w:p w14:paraId="05EC08B8"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lakossági vagy vállalati termékek nem megfelelő értékesítése, </w:t>
      </w:r>
    </w:p>
    <w:p w14:paraId="4B17251A"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olyan termékek értékesítése a lakossági ügyfelek részére, amelyek igénybe vételét rákényszerítik az ügyfélre valamilyen más termékhez kapcsolódva, például ha a folyószámla vezetéshez olyan további szolgáltatások igénybe vételét erőltetik az ügyfélre, amire az ügyfélnek valójában nincs is szüksége,</w:t>
      </w:r>
    </w:p>
    <w:p w14:paraId="51F7415E" w14:textId="5D1E456F"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az üzletvitelben jelentkező érdekkonfliktusok</w:t>
      </w:r>
      <w:r w:rsidR="000A71F0" w:rsidRPr="00181755">
        <w:rPr>
          <w:rStyle w:val="Lbjegyzet-hivatkozs"/>
          <w:rFonts w:asciiTheme="minorHAnsi" w:hAnsiTheme="minorHAnsi"/>
          <w:bCs/>
          <w:lang w:eastAsia="x-none"/>
        </w:rPr>
        <w:footnoteReference w:id="63"/>
      </w:r>
      <w:r w:rsidRPr="00181755">
        <w:rPr>
          <w:rFonts w:asciiTheme="minorHAnsi" w:hAnsiTheme="minorHAnsi"/>
          <w:bCs/>
          <w:lang w:eastAsia="x-none"/>
        </w:rPr>
        <w:t>,</w:t>
      </w:r>
    </w:p>
    <w:p w14:paraId="159394B5"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503F4EF6" w14:textId="7D15C6E8" w:rsidR="00042A3D"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pénzügyi termékek vagy pénzügyi szolgáltatók közötti váltás lehetőségének az akadályozása,</w:t>
      </w:r>
    </w:p>
    <w:p w14:paraId="50BF0D2D" w14:textId="13486D93" w:rsidR="00042A3D"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rosszul kialakított értékesítési rendszer működtetése, amely érdekkonfliktusokat vagy rossz ösztönzőket tartalmaz,</w:t>
      </w:r>
    </w:p>
    <w:p w14:paraId="4225F1F7" w14:textId="4DD007D9" w:rsidR="00042A3D" w:rsidRPr="00181755" w:rsidRDefault="00870469" w:rsidP="00181755">
      <w:pPr>
        <w:pStyle w:val="Listaszerbekezds"/>
        <w:rPr>
          <w:rFonts w:asciiTheme="minorHAnsi" w:hAnsiTheme="minorHAnsi"/>
        </w:rPr>
      </w:pPr>
      <w:r w:rsidRPr="00181755">
        <w:rPr>
          <w:rFonts w:asciiTheme="minorHAnsi" w:hAnsiTheme="minorHAnsi"/>
          <w:bCs/>
        </w:rPr>
        <w:t>termékek automatikus megújítása vagy egy szolgáltatás megszüntetése során az ügyfelet büntető gyakorlat,</w:t>
      </w:r>
      <w:r w:rsidRPr="00181755">
        <w:rPr>
          <w:rFonts w:asciiTheme="minorHAnsi" w:hAnsiTheme="minorHAnsi"/>
        </w:rPr>
        <w:t xml:space="preserve"> az ügyfélpanaszok nem megfelelő kezelése.</w:t>
      </w:r>
    </w:p>
    <w:p w14:paraId="7DDF26C6" w14:textId="40C9F18A" w:rsidR="00F36374" w:rsidRPr="00181755" w:rsidRDefault="00F36374" w:rsidP="00181755">
      <w:pPr>
        <w:rPr>
          <w:rFonts w:asciiTheme="minorHAnsi" w:hAnsiTheme="minorHAnsi"/>
          <w:b/>
        </w:rPr>
      </w:pPr>
      <w:r w:rsidRPr="00181755">
        <w:rPr>
          <w:rFonts w:asciiTheme="minorHAnsi" w:hAnsiTheme="minorHAnsi"/>
          <w:b/>
        </w:rPr>
        <w:t>ICAAP felülvizsgálat</w:t>
      </w:r>
    </w:p>
    <w:p w14:paraId="46284BFE" w14:textId="77777777" w:rsidR="00870469" w:rsidRPr="00181755" w:rsidRDefault="00870469" w:rsidP="00181755">
      <w:pPr>
        <w:rPr>
          <w:rFonts w:asciiTheme="minorHAnsi" w:hAnsiTheme="minorHAnsi"/>
        </w:rPr>
      </w:pPr>
      <w:r w:rsidRPr="00181755">
        <w:rPr>
          <w:rFonts w:asciiTheme="minorHAnsi" w:hAnsiTheme="minorHAnsi"/>
        </w:rPr>
        <w:t>Az MNB elvárja, hogy az intézmények mérjék fel a nem kellően jogszerű, vagy nem etikus üzletvitelből eredő jogi kockázataikat, azonosítsák a piaci helyzetükből, stratégiájukból eredő olyan potenciális veszélyeket, amelyek üzletviteli kockázat kiváltó okai lehetnek. Elvárás továbbá, hogy a felügyeleti párbeszéd során az intézmények adjanak számot a potenciálisan kockázatot hordozó (vagy éppen azt csökkentő) legfontosabb intézményi sajátosságaikról.</w:t>
      </w:r>
    </w:p>
    <w:p w14:paraId="12F817CF"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34F40A73"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intézményektől az MNB elvárja, hogy az üzletvitel kockázatának megfelelő azonosítását és kezelését biztosító módszereket és eljárásrendeket dolgozzanak ki és alkalmazzanak, integrálva azokat a működési kockázatkezelési gyakorlatukba. Mindez magában kell, hogy foglalja legalább a következőket:</w:t>
      </w:r>
    </w:p>
    <w:p w14:paraId="1141B200" w14:textId="77777777" w:rsidR="00870469" w:rsidRPr="00181755" w:rsidRDefault="00870469" w:rsidP="00181755">
      <w:pPr>
        <w:numPr>
          <w:ilvl w:val="0"/>
          <w:numId w:val="32"/>
        </w:numPr>
        <w:rPr>
          <w:rFonts w:asciiTheme="minorHAnsi" w:hAnsiTheme="minorHAnsi"/>
          <w:bCs/>
          <w:lang w:eastAsia="x-none"/>
        </w:rPr>
      </w:pPr>
      <w:r w:rsidRPr="00181755">
        <w:rPr>
          <w:rFonts w:asciiTheme="minorHAnsi" w:hAnsiTheme="minorHAnsi"/>
          <w:bCs/>
          <w:lang w:eastAsia="x-none"/>
        </w:rPr>
        <w:t>Az üzletvitel kockázatának azonosítására, a kapcsolódó veszteségek megelőzésére, a kockázatkezelésre és riportolásra vonatkozó eljárások bevezetését és alkalmazását:</w:t>
      </w:r>
    </w:p>
    <w:p w14:paraId="205663C6"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Az üzletvitel kockázat fogalmának, elvárt kezelési módjának rögzítése az intézmény belső szabályozásában,</w:t>
      </w:r>
    </w:p>
    <w:p w14:paraId="2D3E5821" w14:textId="1E440F94"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Az üzletvitel kockázatra utaló figyelmeztető jelzések gyűjtését és nyomon követését biztosító mutatók felvétele az intézmény kulcskockázati indikátor rendszerébe (például: ügyfélpanaszok, jogos ügyfélpanaszok, hatósági bírságok, belső csalások és jogszabályi változások kapcsán meghatározott mutatók bevezetése és értékalakulásának folyamatos nyomon követése),</w:t>
      </w:r>
    </w:p>
    <w:p w14:paraId="4BC7C27A"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Az üzletvitel kockázatának beépítése az intézmény önértékelési és szcenárióelemzési gyakorlatába, azaz mindazon folyamatok és kapcsolódó kockázatok körének meghatározása, mely </w:t>
      </w:r>
      <w:r w:rsidRPr="00181755">
        <w:rPr>
          <w:rFonts w:asciiTheme="minorHAnsi" w:hAnsiTheme="minorHAnsi"/>
        </w:rPr>
        <w:t>üzletvitel kockázat kiváltó oka lehet,</w:t>
      </w:r>
    </w:p>
    <w:p w14:paraId="497CB004" w14:textId="36EFF6D4"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rPr>
        <w:t>A veszteségesemények, szcenárióelemzések és önértékelések során feltárt üzletvitel kockázathoz kapcsolódóan meghozott intézkedések nyomon</w:t>
      </w:r>
      <w:r w:rsidR="00E57D75" w:rsidRPr="00181755">
        <w:rPr>
          <w:rFonts w:asciiTheme="minorHAnsi" w:hAnsiTheme="minorHAnsi"/>
        </w:rPr>
        <w:t xml:space="preserve"> </w:t>
      </w:r>
      <w:r w:rsidRPr="00181755">
        <w:rPr>
          <w:rFonts w:asciiTheme="minorHAnsi" w:hAnsiTheme="minorHAnsi"/>
        </w:rPr>
        <w:t>követésének és visszamérésének biztosítása,</w:t>
      </w:r>
    </w:p>
    <w:p w14:paraId="4F79604B"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rPr>
        <w:t>A veszteségadatok, önértékelések, szcenárióelemzések során feltárt, üzletvitel kockázatához kapcsolódó események, folyamatok és intézkedések beépítése a menedzsment részére készített riportokba.</w:t>
      </w:r>
    </w:p>
    <w:p w14:paraId="7E700B16" w14:textId="77777777" w:rsidR="00870469" w:rsidRPr="00181755" w:rsidRDefault="00870469" w:rsidP="00181755">
      <w:pPr>
        <w:numPr>
          <w:ilvl w:val="0"/>
          <w:numId w:val="33"/>
        </w:numPr>
        <w:rPr>
          <w:rFonts w:asciiTheme="minorHAnsi" w:hAnsiTheme="minorHAnsi"/>
          <w:bCs/>
          <w:lang w:eastAsia="x-none"/>
        </w:rPr>
      </w:pPr>
      <w:r w:rsidRPr="00181755">
        <w:rPr>
          <w:rFonts w:asciiTheme="minorHAnsi" w:hAnsiTheme="minorHAnsi"/>
          <w:bCs/>
          <w:lang w:eastAsia="x-none"/>
        </w:rPr>
        <w:t>Az üzletvitel kockázatának nem megfelelő figyelembe vételével kapcsolatos események jelzésének biztosítottságát és az üzletvitel kockázatához köthető események jelölését a veszteség adatbázisban (legalább az elmúlt öt év működési kockázati eseményeire kiterjedően visszamenőlegesen is);</w:t>
      </w:r>
    </w:p>
    <w:p w14:paraId="2B665623" w14:textId="77777777" w:rsidR="00870469" w:rsidRPr="00181755" w:rsidRDefault="00870469" w:rsidP="00181755">
      <w:pPr>
        <w:numPr>
          <w:ilvl w:val="0"/>
          <w:numId w:val="33"/>
        </w:numPr>
        <w:rPr>
          <w:rFonts w:asciiTheme="minorHAnsi" w:hAnsiTheme="minorHAnsi"/>
          <w:bCs/>
          <w:lang w:eastAsia="x-none"/>
        </w:rPr>
      </w:pPr>
      <w:r w:rsidRPr="00181755">
        <w:rPr>
          <w:rFonts w:asciiTheme="minorHAnsi" w:hAnsiTheme="minorHAnsi"/>
          <w:bCs/>
          <w:lang w:eastAsia="x-none"/>
        </w:rPr>
        <w:t>Az intézmények számára az üzletvitel kockázatának csökkentésére az MNB az alábbi kontroll mechanizmusok megfelelő színvonalú működtetését javasolja:</w:t>
      </w:r>
    </w:p>
    <w:p w14:paraId="10033C08" w14:textId="34166F71"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722C509"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3BEDEB12" w14:textId="5BBE1140"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w:t>
      </w:r>
      <w:r w:rsidR="00D57074" w:rsidRPr="00181755">
        <w:rPr>
          <w:rFonts w:asciiTheme="minorHAnsi" w:hAnsiTheme="minorHAnsi"/>
          <w:bCs/>
          <w:lang w:eastAsia="x-none"/>
        </w:rPr>
        <w:t>vonatkozásában</w:t>
      </w:r>
      <w:r w:rsidRPr="00181755">
        <w:rPr>
          <w:rFonts w:asciiTheme="minorHAnsi" w:hAnsiTheme="minorHAnsi"/>
          <w:bCs/>
          <w:lang w:eastAsia="x-none"/>
        </w:rPr>
        <w:t xml:space="preserve">, különösen a hosszútávra szóló termékek esetében, </w:t>
      </w:r>
    </w:p>
    <w:p w14:paraId="315FF498"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49374A01"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691ED995"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a termékek egyszerűsítése, ügyféldöntési tanácsadás javítása, pénzügyi kultúra, tudatosság fejlesztése, </w:t>
      </w:r>
    </w:p>
    <w:p w14:paraId="5F8E256F" w14:textId="24D751B6"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értékesítési és javadalmazási ösztönzők, belső oktatás, amely</w:t>
      </w:r>
      <w:r w:rsidR="00571550" w:rsidRPr="00181755">
        <w:rPr>
          <w:rFonts w:asciiTheme="minorHAnsi" w:hAnsiTheme="minorHAnsi"/>
          <w:bCs/>
          <w:lang w:eastAsia="x-none"/>
        </w:rPr>
        <w:t>ek</w:t>
      </w:r>
      <w:r w:rsidRPr="00181755">
        <w:rPr>
          <w:rFonts w:asciiTheme="minorHAnsi" w:hAnsiTheme="minorHAnsi"/>
          <w:bCs/>
          <w:lang w:eastAsia="x-none"/>
        </w:rPr>
        <w:t xml:space="preserve"> a termékek értékesítőit alkalmassá teszik arra, hogy az ügyfél számára érthetően magyarázzák el a termék kockázatait és a lehetséges problémákat, és nem a termék feltétel nélküli értékesítésére ösztönöznek, </w:t>
      </w:r>
    </w:p>
    <w:p w14:paraId="6B3EFA46" w14:textId="25A89DDE"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6A143F4C"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A7C60C6" w14:textId="43FC4597" w:rsidR="00870469" w:rsidRPr="00181755" w:rsidRDefault="00870469" w:rsidP="00181755">
      <w:pPr>
        <w:numPr>
          <w:ilvl w:val="1"/>
          <w:numId w:val="16"/>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w:t>
      </w:r>
      <w:r w:rsidR="00844180">
        <w:rPr>
          <w:rFonts w:asciiTheme="minorHAnsi" w:hAnsiTheme="minorHAnsi"/>
          <w:bCs/>
          <w:lang w:eastAsia="x-none"/>
        </w:rPr>
        <w:t>nye,</w:t>
      </w:r>
    </w:p>
    <w:p w14:paraId="20997774" w14:textId="19161A72" w:rsidR="00870469" w:rsidRPr="00181755" w:rsidRDefault="00344E25" w:rsidP="00181755">
      <w:pPr>
        <w:numPr>
          <w:ilvl w:val="1"/>
          <w:numId w:val="16"/>
        </w:numPr>
        <w:rPr>
          <w:rFonts w:asciiTheme="minorHAnsi" w:hAnsiTheme="minorHAnsi"/>
          <w:bCs/>
          <w:lang w:eastAsia="x-none"/>
        </w:rPr>
      </w:pPr>
      <w:r w:rsidRPr="00181755">
        <w:rPr>
          <w:rFonts w:asciiTheme="minorHAnsi" w:hAnsiTheme="minorHAnsi"/>
          <w:bCs/>
          <w:lang w:eastAsia="x-none"/>
        </w:rPr>
        <w:t>a</w:t>
      </w:r>
      <w:r w:rsidR="00870469" w:rsidRPr="00181755">
        <w:rPr>
          <w:rFonts w:asciiTheme="minorHAnsi" w:hAnsiTheme="minorHAnsi"/>
          <w:bCs/>
          <w:lang w:eastAsia="x-none"/>
        </w:rPr>
        <w:t xml:space="preserve"> fejlett módszertant alkalmazó intézmények esetében az üzletvitel kockázatának megfelelő figyelembe vételét a tőkekövetelmény számítása során is.</w:t>
      </w:r>
    </w:p>
    <w:p w14:paraId="3A8869B8" w14:textId="7CF87DCC"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MNB álláspontja szerint nem zárható ki például, hogy az intézmények egy másik termékük, illetve más üzletág vonatkozásában más előírások nem</w:t>
      </w:r>
      <w:r w:rsidR="00571550" w:rsidRPr="00181755">
        <w:rPr>
          <w:rFonts w:asciiTheme="minorHAnsi" w:hAnsiTheme="minorHAnsi"/>
          <w:bCs/>
          <w:lang w:eastAsia="x-none"/>
        </w:rPr>
        <w:t>,</w:t>
      </w:r>
      <w:r w:rsidRPr="00181755">
        <w:rPr>
          <w:rFonts w:asciiTheme="minorHAnsi" w:hAnsiTheme="minorHAnsi"/>
          <w:bCs/>
          <w:lang w:eastAsia="x-none"/>
        </w:rPr>
        <w:t xml:space="preserve"> vagy nem megfelelő betartásával jelentős veszteségeket szenvednek el, ezért előremutató jelleggel szükséges figyelembe venni egy üzletvitel kockázatához kapcsolódó relatíve ritka, de jelentős veszteségesemény bekövetkezésének kockázatát az intézmények szcenárióelemzési gyakorlatában.</w:t>
      </w:r>
    </w:p>
    <w:p w14:paraId="1E4C83C0"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 fentiekre tekintettel az MNB álláspontja szerint az intézmények akkor járnak el prudensen, ha a hibás termékhez kapcsolódó, a tőkekövetelmény számítási kalkulációban is releváns szcenárió kialakítása és vizsgálata keretében megfelelő becsléseket tesznek ennek potenciális hatására vonatkozóan. A prudens eljárás részeként az MNB az említett üzletviteli kockázathoz, hibás termékhez kapcsolódó szcenárió eredményeit a tőkekövetelmény számítási modellben is szükségesnek látja figyelembe venni.</w:t>
      </w:r>
    </w:p>
    <w:p w14:paraId="66B15541" w14:textId="22CECF40" w:rsidR="000B07C3" w:rsidRPr="00181755" w:rsidRDefault="00870469" w:rsidP="00181755">
      <w:pPr>
        <w:spacing w:after="240"/>
        <w:rPr>
          <w:rFonts w:asciiTheme="minorHAnsi" w:hAnsiTheme="minorHAnsi"/>
          <w:lang w:eastAsia="x-none"/>
        </w:rPr>
      </w:pPr>
      <w:r w:rsidRPr="00181755">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bookmarkStart w:id="897" w:name="_Toc461547969"/>
      <w:bookmarkStart w:id="898" w:name="_Toc462402009"/>
      <w:bookmarkStart w:id="899" w:name="_Toc462403130"/>
      <w:bookmarkStart w:id="900" w:name="_Toc462403454"/>
      <w:bookmarkStart w:id="901" w:name="_Toc462403883"/>
      <w:bookmarkStart w:id="902" w:name="_Toc462645751"/>
      <w:bookmarkStart w:id="903" w:name="_Toc468180573"/>
      <w:bookmarkStart w:id="904" w:name="_Toc461547972"/>
      <w:bookmarkStart w:id="905" w:name="_Toc462402012"/>
      <w:bookmarkStart w:id="906" w:name="_Toc462403133"/>
      <w:bookmarkStart w:id="907" w:name="_Toc462403457"/>
      <w:bookmarkStart w:id="908" w:name="_Toc462403886"/>
      <w:bookmarkStart w:id="909" w:name="_Toc462645754"/>
      <w:bookmarkStart w:id="910" w:name="_Toc468180576"/>
      <w:bookmarkStart w:id="911" w:name="_Toc461547975"/>
      <w:bookmarkStart w:id="912" w:name="_Toc462402015"/>
      <w:bookmarkStart w:id="913" w:name="_Toc462403136"/>
      <w:bookmarkStart w:id="914" w:name="_Toc462403460"/>
      <w:bookmarkStart w:id="915" w:name="_Toc462403889"/>
      <w:bookmarkStart w:id="916" w:name="_Toc462645757"/>
      <w:bookmarkStart w:id="917" w:name="_Toc468180579"/>
      <w:bookmarkStart w:id="918" w:name="_Toc461547987"/>
      <w:bookmarkStart w:id="919" w:name="_Toc462402027"/>
      <w:bookmarkStart w:id="920" w:name="_Toc462403148"/>
      <w:bookmarkStart w:id="921" w:name="_Toc462403472"/>
      <w:bookmarkStart w:id="922" w:name="_Toc462403901"/>
      <w:bookmarkStart w:id="923" w:name="_Toc462645769"/>
      <w:bookmarkStart w:id="924" w:name="_Toc468180591"/>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66B15542" w14:textId="77777777" w:rsidR="003F29E3" w:rsidRPr="00181755" w:rsidRDefault="003F29E3" w:rsidP="00181755">
      <w:pPr>
        <w:pStyle w:val="Cmsor3"/>
        <w:rPr>
          <w:rFonts w:asciiTheme="minorHAnsi" w:hAnsiTheme="minorHAnsi"/>
        </w:rPr>
      </w:pPr>
      <w:bookmarkStart w:id="925" w:name="_III.2.1.3_Piaci_kockázat"/>
      <w:bookmarkStart w:id="926" w:name="_Toc378256236"/>
      <w:bookmarkStart w:id="927" w:name="_Toc378592044"/>
      <w:bookmarkStart w:id="928" w:name="_Toc461095228"/>
      <w:bookmarkStart w:id="929" w:name="_Toc461179884"/>
      <w:bookmarkStart w:id="930" w:name="_Toc461201327"/>
      <w:bookmarkStart w:id="931" w:name="_Toc461547996"/>
      <w:bookmarkStart w:id="932" w:name="_Toc462402036"/>
      <w:bookmarkStart w:id="933" w:name="_Toc462403157"/>
      <w:bookmarkStart w:id="934" w:name="_Toc462403481"/>
      <w:bookmarkStart w:id="935" w:name="_Toc468180600"/>
      <w:bookmarkStart w:id="936" w:name="_Toc468181081"/>
      <w:bookmarkStart w:id="937" w:name="_Toc468191467"/>
      <w:bookmarkEnd w:id="925"/>
      <w:r w:rsidRPr="00181755">
        <w:rPr>
          <w:rFonts w:asciiTheme="minorHAnsi" w:hAnsiTheme="minorHAnsi"/>
        </w:rPr>
        <w:t>Piaci kockázat</w:t>
      </w:r>
      <w:bookmarkEnd w:id="926"/>
      <w:bookmarkEnd w:id="927"/>
      <w:bookmarkEnd w:id="928"/>
      <w:bookmarkEnd w:id="929"/>
      <w:bookmarkEnd w:id="930"/>
      <w:bookmarkEnd w:id="931"/>
      <w:bookmarkEnd w:id="932"/>
      <w:bookmarkEnd w:id="933"/>
      <w:bookmarkEnd w:id="934"/>
      <w:bookmarkEnd w:id="935"/>
      <w:bookmarkEnd w:id="936"/>
      <w:bookmarkEnd w:id="937"/>
    </w:p>
    <w:p w14:paraId="03A1F75D" w14:textId="77777777" w:rsidR="00BE5E8B" w:rsidRPr="00181755" w:rsidRDefault="00BE5E8B" w:rsidP="00181755">
      <w:pPr>
        <w:rPr>
          <w:rFonts w:asciiTheme="minorHAnsi" w:hAnsiTheme="minorHAnsi"/>
          <w:b/>
        </w:rPr>
      </w:pPr>
      <w:r w:rsidRPr="00181755">
        <w:rPr>
          <w:rFonts w:asciiTheme="minorHAnsi" w:hAnsiTheme="minorHAnsi"/>
          <w:b/>
        </w:rPr>
        <w:t>Definíció</w:t>
      </w:r>
    </w:p>
    <w:p w14:paraId="66B15543" w14:textId="77777777" w:rsidR="003F29E3" w:rsidRPr="00181755" w:rsidRDefault="003F29E3" w:rsidP="00181755">
      <w:pPr>
        <w:rPr>
          <w:rFonts w:asciiTheme="minorHAnsi" w:hAnsiTheme="minorHAnsi"/>
        </w:rPr>
      </w:pPr>
      <w:r w:rsidRPr="00181755">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77777777" w:rsidR="003F29E3" w:rsidRPr="00181755" w:rsidRDefault="003F29E3" w:rsidP="00181755">
      <w:pPr>
        <w:rPr>
          <w:rFonts w:asciiTheme="minorHAnsi" w:hAnsiTheme="minorHAnsi"/>
        </w:rPr>
      </w:pPr>
      <w:r w:rsidRPr="00181755">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181755">
        <w:rPr>
          <w:rStyle w:val="Lbjegyzet-hivatkozs"/>
          <w:rFonts w:asciiTheme="minorHAnsi" w:hAnsiTheme="minorHAnsi"/>
        </w:rPr>
        <w:footnoteReference w:id="64"/>
      </w:r>
      <w:r w:rsidRPr="00181755">
        <w:rPr>
          <w:rFonts w:asciiTheme="minorHAnsi" w:hAnsiTheme="minorHAnsi"/>
        </w:rPr>
        <w:t xml:space="preserve"> </w:t>
      </w:r>
    </w:p>
    <w:p w14:paraId="54718FB2" w14:textId="77777777" w:rsidR="003F29E3" w:rsidRPr="00181755" w:rsidRDefault="003F29E3" w:rsidP="00181755">
      <w:pPr>
        <w:rPr>
          <w:rFonts w:asciiTheme="minorHAnsi" w:hAnsiTheme="minorHAnsi"/>
        </w:rPr>
      </w:pPr>
      <w:r w:rsidRPr="00181755">
        <w:rPr>
          <w:rFonts w:asciiTheme="minorHAnsi" w:hAnsiTheme="minorHAnsi"/>
        </w:rPr>
        <w:t>A piaci kockázat elemei:</w:t>
      </w:r>
    </w:p>
    <w:p w14:paraId="66B15548" w14:textId="15F7B657" w:rsidR="0091069E" w:rsidRPr="00181755" w:rsidRDefault="00844180" w:rsidP="00181755">
      <w:pPr>
        <w:pStyle w:val="felsorolsos"/>
        <w:rPr>
          <w:rFonts w:asciiTheme="minorHAnsi" w:hAnsiTheme="minorHAnsi"/>
        </w:rPr>
      </w:pPr>
      <w:r>
        <w:rPr>
          <w:rFonts w:asciiTheme="minorHAnsi" w:hAnsiTheme="minorHAnsi"/>
          <w:lang w:val="hu-HU"/>
        </w:rPr>
        <w:t>p</w:t>
      </w:r>
      <w:r w:rsidR="0091069E" w:rsidRPr="00181755">
        <w:rPr>
          <w:rFonts w:asciiTheme="minorHAnsi" w:hAnsiTheme="minorHAnsi"/>
        </w:rPr>
        <w:t>ozíciókockázat: kereskedési könyvi kamat- és árfolyamkockázat</w:t>
      </w:r>
    </w:p>
    <w:p w14:paraId="66B15549"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hitelviszonyt megtestesítő instrumentumok egyedi és általános kockázata</w:t>
      </w:r>
    </w:p>
    <w:p w14:paraId="66B1554A"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tulajdoni részesedést megtestesítő instrumentumok egyedi és általános kockázata</w:t>
      </w:r>
    </w:p>
    <w:p w14:paraId="66B1554B"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eastAsia="x-none"/>
        </w:rPr>
        <w:t>é</w:t>
      </w:r>
      <w:r w:rsidRPr="00181755">
        <w:rPr>
          <w:rFonts w:asciiTheme="minorHAnsi" w:hAnsiTheme="minorHAnsi"/>
          <w:lang w:val="x-none" w:eastAsia="x-none"/>
        </w:rPr>
        <w:t>rtékpapírosítási és korreláció</w:t>
      </w:r>
      <w:r w:rsidRPr="00181755">
        <w:rPr>
          <w:rFonts w:asciiTheme="minorHAnsi" w:hAnsiTheme="minorHAnsi"/>
          <w:lang w:eastAsia="x-none"/>
        </w:rPr>
        <w:t xml:space="preserve"> </w:t>
      </w:r>
      <w:r w:rsidRPr="00181755">
        <w:rPr>
          <w:rFonts w:asciiTheme="minorHAnsi" w:hAnsiTheme="minorHAnsi"/>
          <w:lang w:val="x-none" w:eastAsia="x-none"/>
        </w:rPr>
        <w:t>kereskedési pozíciók egyedi kockázata</w:t>
      </w:r>
    </w:p>
    <w:p w14:paraId="66B1554C" w14:textId="0B8389D8"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devizaárfolyam-kockázat</w:t>
      </w:r>
      <w:r w:rsidR="00C86E63" w:rsidRPr="00181755">
        <w:rPr>
          <w:rFonts w:asciiTheme="minorHAnsi" w:hAnsiTheme="minorHAnsi"/>
          <w:lang w:val="hu-HU"/>
        </w:rPr>
        <w:t>,</w:t>
      </w:r>
    </w:p>
    <w:p w14:paraId="66B1554D" w14:textId="504BD200"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árukockázat</w:t>
      </w:r>
      <w:r w:rsidR="00C86E63" w:rsidRPr="00181755">
        <w:rPr>
          <w:rFonts w:asciiTheme="minorHAnsi" w:hAnsiTheme="minorHAnsi"/>
          <w:lang w:val="hu-HU"/>
        </w:rPr>
        <w:t>.</w:t>
      </w:r>
    </w:p>
    <w:p w14:paraId="66B15550" w14:textId="00014178" w:rsidR="003F29E3" w:rsidRPr="00181755" w:rsidRDefault="003F29E3" w:rsidP="00181755">
      <w:pPr>
        <w:rPr>
          <w:rFonts w:asciiTheme="minorHAnsi" w:hAnsiTheme="minorHAnsi"/>
        </w:rPr>
      </w:pPr>
      <w:r w:rsidRPr="00181755">
        <w:rPr>
          <w:rFonts w:asciiTheme="minorHAnsi" w:hAnsiTheme="minorHAnsi"/>
        </w:rPr>
        <w:t>A kere</w:t>
      </w:r>
      <w:r w:rsidR="00EC6779" w:rsidRPr="00181755">
        <w:rPr>
          <w:rFonts w:asciiTheme="minorHAnsi" w:hAnsiTheme="minorHAnsi"/>
        </w:rPr>
        <w:t>s</w:t>
      </w:r>
      <w:r w:rsidRPr="00181755">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181755" w:rsidRDefault="006C6B2E" w:rsidP="00181755">
      <w:pPr>
        <w:rPr>
          <w:rFonts w:asciiTheme="minorHAnsi" w:hAnsiTheme="minorHAnsi"/>
          <w:b/>
        </w:rPr>
      </w:pPr>
      <w:r w:rsidRPr="00181755">
        <w:rPr>
          <w:rFonts w:asciiTheme="minorHAnsi" w:hAnsiTheme="minorHAnsi"/>
          <w:b/>
        </w:rPr>
        <w:t>Kockázatértékelé</w:t>
      </w:r>
      <w:r w:rsidR="00433073" w:rsidRPr="00181755">
        <w:rPr>
          <w:rFonts w:asciiTheme="minorHAnsi" w:hAnsiTheme="minorHAnsi"/>
          <w:b/>
        </w:rPr>
        <w:t>s</w:t>
      </w:r>
      <w:r w:rsidRPr="00181755">
        <w:rPr>
          <w:rFonts w:asciiTheme="minorHAnsi" w:hAnsiTheme="minorHAnsi"/>
          <w:b/>
        </w:rPr>
        <w:t xml:space="preserve"> és -kezelés</w:t>
      </w:r>
    </w:p>
    <w:p w14:paraId="66B15552" w14:textId="3315E934" w:rsidR="003F29E3" w:rsidRPr="00181755" w:rsidRDefault="003F29E3" w:rsidP="00181755">
      <w:pPr>
        <w:rPr>
          <w:rFonts w:asciiTheme="minorHAnsi" w:hAnsiTheme="minorHAnsi"/>
        </w:rPr>
      </w:pPr>
      <w:r w:rsidRPr="00181755">
        <w:rPr>
          <w:rFonts w:asciiTheme="minorHAnsi" w:hAnsiTheme="minorHAnsi"/>
        </w:rPr>
        <w:t xml:space="preserve">Az intézmény vezetőségének rendszeresen át kell tekintenie a </w:t>
      </w:r>
      <w:r w:rsidR="00347DBF" w:rsidRPr="00181755">
        <w:rPr>
          <w:rFonts w:asciiTheme="minorHAnsi" w:hAnsiTheme="minorHAnsi"/>
        </w:rPr>
        <w:t>kereskedési könyvben lévő, piaci kockázatnak kitett pozícióit</w:t>
      </w:r>
      <w:r w:rsidRPr="00181755">
        <w:rPr>
          <w:rFonts w:asciiTheme="minorHAnsi" w:hAnsiTheme="minorHAnsi"/>
        </w:rPr>
        <w:t xml:space="preserve">,  a külső </w:t>
      </w:r>
      <w:r w:rsidR="00347DBF" w:rsidRPr="00181755">
        <w:rPr>
          <w:rFonts w:asciiTheme="minorHAnsi" w:hAnsiTheme="minorHAnsi"/>
        </w:rPr>
        <w:t xml:space="preserve">piaci </w:t>
      </w:r>
      <w:r w:rsidRPr="00181755">
        <w:rPr>
          <w:rFonts w:asciiTheme="minorHAnsi" w:hAnsiTheme="minorHAnsi"/>
        </w:rPr>
        <w:t xml:space="preserve">környezetet, valamint a külső és belső változásokra megfelelő időben kell reagálnia. Célszerű az intézménynek erre a feladatra önálló egységet, </w:t>
      </w:r>
      <w:r w:rsidR="008E164B" w:rsidRPr="00181755">
        <w:rPr>
          <w:rFonts w:asciiTheme="minorHAnsi" w:hAnsiTheme="minorHAnsi"/>
        </w:rPr>
        <w:t>bizottságot</w:t>
      </w:r>
      <w:r w:rsidRPr="00181755">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181755">
        <w:rPr>
          <w:rFonts w:asciiTheme="minorHAnsi" w:hAnsiTheme="minorHAnsi"/>
        </w:rPr>
        <w:t>.</w:t>
      </w:r>
      <w:r w:rsidR="00347DBF" w:rsidRPr="00181755" w:rsidDel="00347DBF">
        <w:rPr>
          <w:rFonts w:asciiTheme="minorHAnsi" w:hAnsiTheme="minorHAnsi"/>
        </w:rPr>
        <w:t xml:space="preserve"> </w:t>
      </w:r>
    </w:p>
    <w:p w14:paraId="66B15553" w14:textId="77777777" w:rsidR="003F29E3" w:rsidRPr="00181755" w:rsidRDefault="003F29E3" w:rsidP="00181755">
      <w:pPr>
        <w:rPr>
          <w:rFonts w:asciiTheme="minorHAnsi" w:hAnsiTheme="minorHAnsi"/>
        </w:rPr>
      </w:pPr>
      <w:r w:rsidRPr="00181755">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181755" w:rsidRDefault="003F29E3" w:rsidP="00181755">
      <w:pPr>
        <w:rPr>
          <w:rFonts w:asciiTheme="minorHAnsi" w:hAnsiTheme="minorHAnsi"/>
        </w:rPr>
      </w:pPr>
      <w:r w:rsidRPr="00181755">
        <w:rPr>
          <w:rFonts w:asciiTheme="minorHAnsi" w:hAnsiTheme="minorHAnsi"/>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66B15555" w14:textId="16B01560" w:rsidR="003F29E3" w:rsidRPr="00181755" w:rsidRDefault="003F29E3" w:rsidP="00181755">
      <w:pPr>
        <w:rPr>
          <w:rFonts w:asciiTheme="minorHAnsi" w:hAnsiTheme="minorHAnsi"/>
        </w:rPr>
      </w:pPr>
      <w:r w:rsidRPr="00181755">
        <w:rPr>
          <w:rFonts w:asciiTheme="minorHAnsi" w:hAnsiTheme="minorHAnsi"/>
        </w:rPr>
        <w:t xml:space="preserve">A piaci kockázatokat az intézménynek megfelelő kontrollmechanizmusokkal kell a </w:t>
      </w:r>
      <w:r w:rsidR="003B07C4" w:rsidRPr="00181755">
        <w:rPr>
          <w:rFonts w:asciiTheme="minorHAnsi" w:hAnsiTheme="minorHAnsi"/>
        </w:rPr>
        <w:t xml:space="preserve">vezetőség által meghatározott illetve jóváhagyott </w:t>
      </w:r>
      <w:r w:rsidRPr="00181755">
        <w:rPr>
          <w:rFonts w:asciiTheme="minorHAnsi" w:hAnsiTheme="minorHAnsi"/>
        </w:rPr>
        <w:t>stratégia</w:t>
      </w:r>
      <w:r w:rsidR="003B07C4" w:rsidRPr="00181755">
        <w:rPr>
          <w:rFonts w:asciiTheme="minorHAnsi" w:hAnsiTheme="minorHAnsi"/>
        </w:rPr>
        <w:t>/politika/belső szabályozás</w:t>
      </w:r>
      <w:r w:rsidRPr="00181755">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181755">
        <w:rPr>
          <w:rFonts w:asciiTheme="minorHAnsi" w:hAnsiTheme="minorHAnsi"/>
        </w:rPr>
        <w:t xml:space="preserve"> A kockázatnak kitett pozíciók nagyságát korlátozó volumenlimitek mellett a kockázat </w:t>
      </w:r>
      <w:r w:rsidR="00200FD4" w:rsidRPr="00181755">
        <w:rPr>
          <w:rFonts w:asciiTheme="minorHAnsi" w:hAnsiTheme="minorHAnsi"/>
        </w:rPr>
        <w:t xml:space="preserve">(pl. VaR limit) </w:t>
      </w:r>
      <w:r w:rsidR="008D745B" w:rsidRPr="00181755">
        <w:rPr>
          <w:rFonts w:asciiTheme="minorHAnsi" w:hAnsiTheme="minorHAnsi"/>
        </w:rPr>
        <w:t xml:space="preserve">illetve a veszteség </w:t>
      </w:r>
      <w:r w:rsidR="00200FD4" w:rsidRPr="00181755">
        <w:rPr>
          <w:rFonts w:asciiTheme="minorHAnsi" w:hAnsiTheme="minorHAnsi"/>
        </w:rPr>
        <w:t xml:space="preserve">(pl. stop loss) </w:t>
      </w:r>
      <w:r w:rsidR="008D745B" w:rsidRPr="00181755">
        <w:rPr>
          <w:rFonts w:asciiTheme="minorHAnsi" w:hAnsiTheme="minorHAnsi"/>
        </w:rPr>
        <w:t xml:space="preserve">mértékének keretek között tartását célzó limitek alkalmazása </w:t>
      </w:r>
      <w:r w:rsidR="00200FD4" w:rsidRPr="00181755">
        <w:rPr>
          <w:rFonts w:asciiTheme="minorHAnsi" w:hAnsiTheme="minorHAnsi"/>
        </w:rPr>
        <w:t>célszerű.</w:t>
      </w:r>
      <w:r w:rsidR="008D745B" w:rsidRPr="00181755">
        <w:rPr>
          <w:rFonts w:asciiTheme="minorHAnsi" w:hAnsiTheme="minorHAnsi"/>
        </w:rPr>
        <w:t xml:space="preserve"> </w:t>
      </w:r>
      <w:r w:rsidR="00991E24" w:rsidRPr="00181755">
        <w:rPr>
          <w:rFonts w:asciiTheme="minorHAnsi" w:hAnsiTheme="minorHAnsi"/>
        </w:rPr>
        <w:t xml:space="preserve">A limitrendszer magában foglalja a napon belüli és overnight limiteket, </w:t>
      </w:r>
      <w:r w:rsidR="008A1FE4" w:rsidRPr="00181755">
        <w:rPr>
          <w:rFonts w:asciiTheme="minorHAnsi" w:hAnsiTheme="minorHAnsi"/>
        </w:rPr>
        <w:t>ahol szükséges,</w:t>
      </w:r>
      <w:r w:rsidR="00991E24" w:rsidRPr="00181755">
        <w:rPr>
          <w:rFonts w:asciiTheme="minorHAnsi" w:hAnsiTheme="minorHAnsi"/>
        </w:rPr>
        <w:t xml:space="preserve"> üzletkötőkre, instrumentumokra, devizanemekre és különféle pozíciókra vonatkozóan. </w:t>
      </w:r>
    </w:p>
    <w:p w14:paraId="66B15556" w14:textId="7C30C356" w:rsidR="003F29E3" w:rsidRPr="00181755" w:rsidRDefault="003F29E3" w:rsidP="00181755">
      <w:pPr>
        <w:rPr>
          <w:rFonts w:asciiTheme="minorHAnsi" w:hAnsiTheme="minorHAnsi"/>
        </w:rPr>
      </w:pPr>
      <w:r w:rsidRPr="00181755">
        <w:rPr>
          <w:rFonts w:asciiTheme="minorHAnsi" w:hAnsiTheme="minorHAnsi"/>
        </w:rPr>
        <w:t>A limittúllépések figyelemmel kísérése és rögzítése a piaci kockázat kezelés</w:t>
      </w:r>
      <w:r w:rsidR="00991E24" w:rsidRPr="00181755">
        <w:rPr>
          <w:rFonts w:asciiTheme="minorHAnsi" w:hAnsiTheme="minorHAnsi"/>
        </w:rPr>
        <w:t>i terület</w:t>
      </w:r>
      <w:r w:rsidRPr="00181755">
        <w:rPr>
          <w:rFonts w:asciiTheme="minorHAnsi" w:hAnsiTheme="minorHAnsi"/>
        </w:rPr>
        <w:t>feladata. Ezen folyamatokról és szankciókról szabályzatban kell rendelkezni.</w:t>
      </w:r>
    </w:p>
    <w:p w14:paraId="54E51E3C" w14:textId="19F0E8DB" w:rsidR="003F29E3" w:rsidRPr="00181755" w:rsidRDefault="003F29E3" w:rsidP="00181755">
      <w:pPr>
        <w:rPr>
          <w:rFonts w:asciiTheme="minorHAnsi" w:hAnsiTheme="minorHAnsi"/>
        </w:rPr>
      </w:pPr>
      <w:r w:rsidRPr="00181755">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10156603" w14:textId="77777777" w:rsidR="003F29E3" w:rsidRPr="00181755" w:rsidRDefault="003F29E3" w:rsidP="00181755">
      <w:pPr>
        <w:rPr>
          <w:rFonts w:asciiTheme="minorHAnsi" w:hAnsiTheme="minorHAnsi"/>
        </w:rPr>
      </w:pPr>
      <w:r w:rsidRPr="00181755">
        <w:rPr>
          <w:rFonts w:asciiTheme="minorHAnsi" w:hAnsiTheme="minorHAnsi"/>
        </w:rPr>
        <w:t>A piaci kockázatok kimutatásában a kereskedési könyv tartalmának pontos és következetes meghatározásán felül kulcsszerepet játszik a pozíciók prudens értéken</w:t>
      </w:r>
      <w:r w:rsidRPr="00181755">
        <w:rPr>
          <w:rStyle w:val="Lbjegyzet-hivatkozs"/>
          <w:rFonts w:asciiTheme="minorHAnsi" w:hAnsiTheme="minorHAnsi"/>
        </w:rPr>
        <w:footnoteReference w:id="65"/>
      </w:r>
      <w:r w:rsidRPr="00181755">
        <w:rPr>
          <w:rFonts w:asciiTheme="minorHAnsi" w:hAnsiTheme="minorHAnsi"/>
        </w:rPr>
        <w:t xml:space="preserve"> történő nyilvántartása is. </w:t>
      </w:r>
    </w:p>
    <w:p w14:paraId="66B1555D" w14:textId="26A98852" w:rsidR="003F29E3" w:rsidRPr="00181755" w:rsidRDefault="003F29E3" w:rsidP="00181755">
      <w:pPr>
        <w:rPr>
          <w:rFonts w:asciiTheme="minorHAnsi" w:hAnsiTheme="minorHAnsi"/>
        </w:rPr>
      </w:pPr>
      <w:r w:rsidRPr="00181755">
        <w:rPr>
          <w:rFonts w:asciiTheme="minorHAnsi" w:hAnsiTheme="minorHAnsi"/>
        </w:rPr>
        <w:t xml:space="preserve">A prudens érték meghatározásának kiindulópontja a valós érték, amelyet minden nap meg kell állapítani. 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181755" w:rsidRDefault="003F29E3" w:rsidP="00181755">
      <w:pPr>
        <w:rPr>
          <w:rFonts w:asciiTheme="minorHAnsi" w:hAnsiTheme="minorHAnsi"/>
        </w:rPr>
      </w:pPr>
      <w:r w:rsidRPr="00181755">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181755">
        <w:rPr>
          <w:rStyle w:val="Lbjegyzet-hivatkozs"/>
          <w:rFonts w:asciiTheme="minorHAnsi" w:hAnsiTheme="minorHAnsi"/>
        </w:rPr>
        <w:footnoteReference w:id="66"/>
      </w:r>
      <w:r w:rsidRPr="00181755">
        <w:rPr>
          <w:rFonts w:asciiTheme="minorHAnsi" w:hAnsiTheme="minorHAnsi"/>
        </w:rPr>
        <w:t xml:space="preserve"> mekkora tartalék megképzése indokolt</w:t>
      </w:r>
      <w:r w:rsidRPr="00181755">
        <w:rPr>
          <w:rStyle w:val="Lbjegyzet-hivatkozs"/>
          <w:rFonts w:asciiTheme="minorHAnsi" w:hAnsiTheme="minorHAnsi"/>
        </w:rPr>
        <w:footnoteReference w:id="67"/>
      </w:r>
      <w:r w:rsidRPr="00181755">
        <w:rPr>
          <w:rFonts w:asciiTheme="minorHAnsi" w:hAnsiTheme="minorHAnsi"/>
        </w:rPr>
        <w:t xml:space="preserve">. </w:t>
      </w:r>
    </w:p>
    <w:p w14:paraId="66B1555F" w14:textId="77777777" w:rsidR="003F29E3" w:rsidRPr="00181755" w:rsidRDefault="003F29E3" w:rsidP="00181755">
      <w:pPr>
        <w:rPr>
          <w:rFonts w:asciiTheme="minorHAnsi" w:hAnsiTheme="minorHAnsi"/>
        </w:rPr>
      </w:pPr>
      <w:r w:rsidRPr="00181755">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66B15562" w14:textId="13CD70B8" w:rsidR="003F29E3" w:rsidRDefault="003F29E3" w:rsidP="00181755">
      <w:pPr>
        <w:rPr>
          <w:rFonts w:asciiTheme="minorHAnsi" w:hAnsiTheme="minorHAnsi"/>
        </w:rPr>
      </w:pPr>
      <w:r w:rsidRPr="00181755">
        <w:rPr>
          <w:rFonts w:asciiTheme="minorHAnsi" w:hAnsiTheme="minorHAnsi"/>
        </w:rPr>
        <w:t xml:space="preserve">A </w:t>
      </w:r>
      <w:r w:rsidR="0003682E" w:rsidRPr="00181755">
        <w:rPr>
          <w:rFonts w:asciiTheme="minorHAnsi" w:hAnsiTheme="minorHAnsi"/>
        </w:rPr>
        <w:t xml:space="preserve">piaci </w:t>
      </w:r>
      <w:r w:rsidRPr="00181755">
        <w:rPr>
          <w:rFonts w:asciiTheme="minorHAnsi" w:hAnsiTheme="minorHAnsi"/>
        </w:rPr>
        <w:t>kockázatok mérése és a kockázatokra elkülönített tőkeszükséglet meghatározása a kereskedési könyvi</w:t>
      </w:r>
      <w:r w:rsidR="0003682E" w:rsidRPr="00181755">
        <w:rPr>
          <w:rFonts w:asciiTheme="minorHAnsi" w:hAnsiTheme="minorHAnsi"/>
        </w:rPr>
        <w:t xml:space="preserve"> pozíciók</w:t>
      </w:r>
      <w:r w:rsidRPr="00181755">
        <w:rPr>
          <w:rFonts w:asciiTheme="minorHAnsi" w:hAnsiTheme="minorHAnsi"/>
        </w:rPr>
        <w:t xml:space="preserve">, illetve a tevékenység egészében felmerülő árfolyam- és árukockázat esetén </w:t>
      </w:r>
      <w:r w:rsidR="009B77AE" w:rsidRPr="00181755">
        <w:rPr>
          <w:rFonts w:asciiTheme="minorHAnsi" w:hAnsiTheme="minorHAnsi"/>
        </w:rPr>
        <w:t>elvárt.</w:t>
      </w:r>
    </w:p>
    <w:p w14:paraId="554760A2" w14:textId="7C3B26C1" w:rsidR="00591CAE" w:rsidRPr="00181755" w:rsidRDefault="00591CAE" w:rsidP="00181755">
      <w:pPr>
        <w:rPr>
          <w:rFonts w:asciiTheme="minorHAnsi" w:hAnsiTheme="minorHAnsi"/>
        </w:rPr>
      </w:pPr>
      <w:r>
        <w:rPr>
          <w:color w:val="000000" w:themeColor="text1"/>
        </w:rPr>
        <w:t>Az MNB elvárja a felügyelt intézményektől, hogy az I. pilléres tőkeszámítás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alkalmazni. Az MNB a módosított átlagidő számítását az EBA/GL/2016/09 sz. iránymutatása szerint várja el.</w:t>
      </w:r>
    </w:p>
    <w:p w14:paraId="66B15563" w14:textId="4B054079" w:rsidR="003F29E3" w:rsidRPr="00181755" w:rsidRDefault="003F29E3" w:rsidP="00181755">
      <w:pPr>
        <w:rPr>
          <w:rFonts w:asciiTheme="minorHAnsi" w:hAnsiTheme="minorHAnsi"/>
        </w:rPr>
      </w:pPr>
      <w:r w:rsidRPr="00181755">
        <w:rPr>
          <w:rFonts w:asciiTheme="minorHAnsi" w:hAnsiTheme="minorHAnsi"/>
        </w:rPr>
        <w:t>A jelentős kereskedési portfólióval, összetettebb pozíciókkal rendelkező nagyobb intézményre vonatkozóan elvárás, hogy a piaci kockázatok</w:t>
      </w:r>
      <w:r w:rsidR="00EC6779" w:rsidRPr="00181755">
        <w:rPr>
          <w:rFonts w:asciiTheme="minorHAnsi" w:hAnsiTheme="minorHAnsi"/>
        </w:rPr>
        <w:t xml:space="preserve">, </w:t>
      </w:r>
      <w:r w:rsidR="00E57D75" w:rsidRPr="00181755">
        <w:rPr>
          <w:rFonts w:asciiTheme="minorHAnsi" w:hAnsiTheme="minorHAnsi"/>
        </w:rPr>
        <w:t>–</w:t>
      </w:r>
      <w:r w:rsidR="00EC6779" w:rsidRPr="00181755">
        <w:rPr>
          <w:rFonts w:asciiTheme="minorHAnsi" w:hAnsiTheme="minorHAnsi"/>
        </w:rPr>
        <w:t xml:space="preserve"> beleértve a tevékenység egészében fen</w:t>
      </w:r>
      <w:r w:rsidR="009B77AE" w:rsidRPr="00181755">
        <w:rPr>
          <w:rFonts w:asciiTheme="minorHAnsi" w:hAnsiTheme="minorHAnsi"/>
        </w:rPr>
        <w:t>n</w:t>
      </w:r>
      <w:r w:rsidR="00EC6779" w:rsidRPr="00181755">
        <w:rPr>
          <w:rFonts w:asciiTheme="minorHAnsi" w:hAnsiTheme="minorHAnsi"/>
        </w:rPr>
        <w:t xml:space="preserve">álló devizaárfolyam kockázatot </w:t>
      </w:r>
      <w:r w:rsidR="00E57D75" w:rsidRPr="00181755">
        <w:rPr>
          <w:rFonts w:asciiTheme="minorHAnsi" w:hAnsiTheme="minorHAnsi"/>
        </w:rPr>
        <w:t>–</w:t>
      </w:r>
      <w:r w:rsidRPr="00181755">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elfogadott, ha a belső modell alkalmazásakor az intézmény a kockázatait (megítélése szerint) jobban tükröző paramétereket</w:t>
      </w:r>
      <w:r w:rsidRPr="00181755">
        <w:rPr>
          <w:rStyle w:val="Lbjegyzet-hivatkozs"/>
          <w:rFonts w:asciiTheme="minorHAnsi" w:hAnsiTheme="minorHAnsi"/>
        </w:rPr>
        <w:footnoteReference w:id="68"/>
      </w:r>
      <w:r w:rsidRPr="00181755">
        <w:rPr>
          <w:rFonts w:asciiTheme="minorHAnsi" w:hAnsiTheme="minorHAnsi"/>
        </w:rPr>
        <w:t xml:space="preserve"> használja, és nem a szabályozásban rögzítetteket. Az ilyen eltéréseket azonban minden esetben megfelelően indokolni szükséges.</w:t>
      </w:r>
    </w:p>
    <w:p w14:paraId="0961ECD1" w14:textId="273C4023" w:rsidR="00EC6779" w:rsidRPr="00181755" w:rsidRDefault="00EC6779" w:rsidP="00181755">
      <w:pPr>
        <w:rPr>
          <w:rFonts w:asciiTheme="minorHAnsi" w:hAnsiTheme="minorHAnsi"/>
        </w:rPr>
      </w:pPr>
      <w:r w:rsidRPr="00181755">
        <w:rPr>
          <w:rFonts w:asciiTheme="minorHAnsi" w:hAnsiTheme="minorHAnsi"/>
          <w:color w:val="auto"/>
        </w:rPr>
        <w:t xml:space="preserve">A deviza árfolyamkockázatra vonatkozóan az egyszerűsített és sztenderd felügyeleti felülvizsgálat körébe tartozó hitelintézetek esetében </w:t>
      </w:r>
      <w:r w:rsidR="009B77AE" w:rsidRPr="00181755">
        <w:rPr>
          <w:rFonts w:asciiTheme="minorHAnsi" w:hAnsiTheme="minorHAnsi"/>
          <w:color w:val="auto"/>
        </w:rPr>
        <w:t xml:space="preserve">is </w:t>
      </w:r>
      <w:r w:rsidRPr="00181755">
        <w:rPr>
          <w:rFonts w:asciiTheme="minorHAnsi" w:hAnsiTheme="minorHAnsi"/>
          <w:color w:val="auto"/>
        </w:rPr>
        <w:t xml:space="preserve">elvárt </w:t>
      </w:r>
      <w:r w:rsidR="009B77AE" w:rsidRPr="00181755">
        <w:rPr>
          <w:rFonts w:asciiTheme="minorHAnsi" w:hAnsiTheme="minorHAnsi"/>
          <w:color w:val="auto"/>
        </w:rPr>
        <w:t xml:space="preserve">a </w:t>
      </w:r>
      <w:r w:rsidRPr="00181755">
        <w:rPr>
          <w:rFonts w:asciiTheme="minorHAnsi" w:hAnsiTheme="minorHAnsi"/>
          <w:color w:val="auto"/>
        </w:rPr>
        <w:t>felügyeleti honlapon található VaR modell vagy az intézmény által fejlesztett belső modell alkalmazása, amennyiben a nyitott pozíció nagysága meghaladja a CRR által a szava</w:t>
      </w:r>
      <w:r w:rsidR="009B77AE" w:rsidRPr="00181755">
        <w:rPr>
          <w:rFonts w:asciiTheme="minorHAnsi" w:hAnsiTheme="minorHAnsi"/>
          <w:color w:val="auto"/>
        </w:rPr>
        <w:t>t</w:t>
      </w:r>
      <w:r w:rsidRPr="00181755">
        <w:rPr>
          <w:rFonts w:asciiTheme="minorHAnsi" w:hAnsiTheme="minorHAnsi"/>
          <w:color w:val="auto"/>
        </w:rPr>
        <w:t>oló tőke 2%-ban</w:t>
      </w:r>
      <w:r w:rsidR="009B77AE" w:rsidRPr="00181755">
        <w:rPr>
          <w:rFonts w:asciiTheme="minorHAnsi" w:hAnsiTheme="minorHAnsi"/>
          <w:color w:val="auto"/>
        </w:rPr>
        <w:t xml:space="preserve"> meghatározott küszöbértéket.</w:t>
      </w:r>
      <w:r w:rsidRPr="00181755">
        <w:rPr>
          <w:rFonts w:asciiTheme="minorHAnsi" w:hAnsiTheme="minorHAnsi"/>
          <w:color w:val="auto"/>
        </w:rPr>
        <w:t xml:space="preserve"> </w:t>
      </w:r>
    </w:p>
    <w:p w14:paraId="66B15564" w14:textId="286F80B4" w:rsidR="005A6F59" w:rsidRPr="00181755" w:rsidRDefault="00AB1F99" w:rsidP="00181755">
      <w:pPr>
        <w:rPr>
          <w:rFonts w:asciiTheme="minorHAnsi" w:hAnsiTheme="minorHAnsi"/>
        </w:rPr>
      </w:pPr>
      <w:r w:rsidRPr="00181755">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r w:rsidR="005A6F59" w:rsidRPr="00181755">
        <w:rPr>
          <w:rFonts w:asciiTheme="minorHAnsi" w:hAnsiTheme="minorHAnsi"/>
        </w:rPr>
        <w:t>Az EBA</w:t>
      </w:r>
      <w:r w:rsidR="00D517EC" w:rsidRPr="00181755">
        <w:rPr>
          <w:rFonts w:asciiTheme="minorHAnsi" w:hAnsiTheme="minorHAnsi"/>
        </w:rPr>
        <w:t xml:space="preserve"> </w:t>
      </w:r>
      <w:r w:rsidR="005A6F59" w:rsidRPr="00181755">
        <w:rPr>
          <w:rFonts w:asciiTheme="minorHAnsi" w:hAnsiTheme="minorHAnsi"/>
        </w:rPr>
        <w:t>iránymutatást</w:t>
      </w:r>
      <w:r w:rsidR="005A6F59" w:rsidRPr="00181755">
        <w:rPr>
          <w:rStyle w:val="Lbjegyzet-hivatkozs"/>
          <w:rFonts w:asciiTheme="minorHAnsi" w:hAnsiTheme="minorHAnsi"/>
        </w:rPr>
        <w:footnoteReference w:id="69"/>
      </w:r>
      <w:r w:rsidR="005A6F59" w:rsidRPr="00181755">
        <w:rPr>
          <w:rFonts w:asciiTheme="minorHAnsi" w:hAnsiTheme="minorHAnsi"/>
        </w:rPr>
        <w:t xml:space="preserve"> </w:t>
      </w:r>
      <w:r w:rsidR="00D517EC" w:rsidRPr="00181755">
        <w:rPr>
          <w:rFonts w:asciiTheme="minorHAnsi" w:hAnsiTheme="minorHAnsi"/>
        </w:rPr>
        <w:t xml:space="preserve">adott ki </w:t>
      </w:r>
      <w:r w:rsidR="005A6F59" w:rsidRPr="00181755">
        <w:rPr>
          <w:rFonts w:asciiTheme="minorHAnsi" w:hAnsiTheme="minorHAnsi"/>
        </w:rPr>
        <w:t>a piaci kockázat szabályozói tőkekövetelményét belső modell módszerrel (Internal Model Approach) szám</w:t>
      </w:r>
      <w:r w:rsidR="00455242" w:rsidRPr="00181755">
        <w:rPr>
          <w:rFonts w:asciiTheme="minorHAnsi" w:hAnsiTheme="minorHAnsi"/>
        </w:rPr>
        <w:t>ít</w:t>
      </w:r>
      <w:r w:rsidR="005A6F59" w:rsidRPr="00181755">
        <w:rPr>
          <w:rFonts w:asciiTheme="minorHAnsi" w:hAnsiTheme="minorHAnsi"/>
        </w:rPr>
        <w:t>ó intézmények számára</w:t>
      </w:r>
      <w:r w:rsidR="00455242" w:rsidRPr="00181755">
        <w:rPr>
          <w:rFonts w:asciiTheme="minorHAnsi" w:hAnsiTheme="minorHAnsi"/>
        </w:rPr>
        <w:t>. A „Guidelines on Stressed Value At Risk”</w:t>
      </w:r>
      <w:r w:rsidR="00C13EE5" w:rsidRPr="00181755">
        <w:rPr>
          <w:rStyle w:val="Lbjegyzet-hivatkozs"/>
          <w:rFonts w:asciiTheme="minorHAnsi" w:hAnsiTheme="minorHAnsi"/>
        </w:rPr>
        <w:footnoteReference w:id="70"/>
      </w:r>
      <w:r w:rsidR="00455242" w:rsidRPr="00181755">
        <w:rPr>
          <w:rFonts w:asciiTheme="minorHAnsi" w:hAnsiTheme="minorHAnsi"/>
        </w:rPr>
        <w:t xml:space="preserve"> iránymutatásokat tartalmaz a stressz periódus meghatározására, a stresszelt VaR módszertanra és a </w:t>
      </w:r>
      <w:r w:rsidR="00E57D75" w:rsidRPr="00181755">
        <w:rPr>
          <w:rFonts w:asciiTheme="minorHAnsi" w:hAnsiTheme="minorHAnsi"/>
        </w:rPr>
        <w:t>„</w:t>
      </w:r>
      <w:r w:rsidR="00455242" w:rsidRPr="00181755">
        <w:rPr>
          <w:rFonts w:asciiTheme="minorHAnsi" w:hAnsiTheme="minorHAnsi"/>
        </w:rPr>
        <w:t>use teszt</w:t>
      </w:r>
      <w:r w:rsidR="00E57D75" w:rsidRPr="00181755">
        <w:rPr>
          <w:rFonts w:asciiTheme="minorHAnsi" w:hAnsiTheme="minorHAnsi"/>
        </w:rPr>
        <w:t>”-</w:t>
      </w:r>
      <w:r w:rsidR="00455242" w:rsidRPr="00181755">
        <w:rPr>
          <w:rFonts w:asciiTheme="minorHAnsi" w:hAnsiTheme="minorHAnsi"/>
        </w:rPr>
        <w:t>re</w:t>
      </w:r>
      <w:r w:rsidRPr="00181755">
        <w:rPr>
          <w:rFonts w:asciiTheme="minorHAnsi" w:hAnsiTheme="minorHAnsi"/>
        </w:rPr>
        <w:t xml:space="preserve"> vonatkozóan</w:t>
      </w:r>
      <w:r w:rsidR="00455242" w:rsidRPr="00181755">
        <w:rPr>
          <w:rFonts w:asciiTheme="minorHAnsi" w:hAnsiTheme="minorHAnsi"/>
        </w:rPr>
        <w:t>.</w:t>
      </w:r>
      <w:r w:rsidR="00871864" w:rsidRPr="00181755">
        <w:rPr>
          <w:rFonts w:asciiTheme="minorHAnsi" w:hAnsiTheme="minorHAnsi"/>
        </w:rPr>
        <w:t xml:space="preserve"> Az MNB a</w:t>
      </w:r>
      <w:r w:rsidR="0003682E" w:rsidRPr="00181755">
        <w:rPr>
          <w:rFonts w:asciiTheme="minorHAnsi" w:hAnsiTheme="minorHAnsi"/>
        </w:rPr>
        <w:t>z ICAAP során</w:t>
      </w:r>
      <w:r w:rsidR="00871864" w:rsidRPr="00181755">
        <w:rPr>
          <w:rFonts w:asciiTheme="minorHAnsi" w:hAnsiTheme="minorHAnsi"/>
        </w:rPr>
        <w:t xml:space="preserve"> belső modelleket használó intézményektől elvárja, </w:t>
      </w:r>
      <w:r w:rsidR="00477FEB" w:rsidRPr="00181755">
        <w:rPr>
          <w:rFonts w:asciiTheme="minorHAnsi" w:hAnsiTheme="minorHAnsi"/>
        </w:rPr>
        <w:t xml:space="preserve">hogy a hivatkozott </w:t>
      </w:r>
      <w:r w:rsidRPr="00181755">
        <w:rPr>
          <w:rFonts w:asciiTheme="minorHAnsi" w:hAnsiTheme="minorHAnsi"/>
        </w:rPr>
        <w:t xml:space="preserve">EBA </w:t>
      </w:r>
      <w:r w:rsidR="00477FEB" w:rsidRPr="00181755">
        <w:rPr>
          <w:rFonts w:asciiTheme="minorHAnsi" w:hAnsiTheme="minorHAnsi"/>
        </w:rPr>
        <w:t>iránymutatást a modell kialakítása során figyelembe vegy</w:t>
      </w:r>
      <w:r w:rsidR="0033034F" w:rsidRPr="00181755">
        <w:rPr>
          <w:rFonts w:asciiTheme="minorHAnsi" w:hAnsiTheme="minorHAnsi"/>
        </w:rPr>
        <w:t>ék</w:t>
      </w:r>
      <w:r w:rsidR="00477FEB" w:rsidRPr="00181755">
        <w:rPr>
          <w:rFonts w:asciiTheme="minorHAnsi" w:hAnsiTheme="minorHAnsi"/>
        </w:rPr>
        <w:t>.</w:t>
      </w:r>
      <w:r w:rsidR="00871864" w:rsidRPr="00181755">
        <w:rPr>
          <w:rFonts w:asciiTheme="minorHAnsi" w:hAnsiTheme="minorHAnsi"/>
        </w:rPr>
        <w:t xml:space="preserve"> </w:t>
      </w:r>
    </w:p>
    <w:p w14:paraId="5DF748F8" w14:textId="3A6E5CD0" w:rsidR="003F29E3" w:rsidRPr="00181755" w:rsidRDefault="003F29E3" w:rsidP="00181755">
      <w:pPr>
        <w:rPr>
          <w:rFonts w:asciiTheme="minorHAnsi" w:hAnsiTheme="minorHAnsi"/>
        </w:rPr>
      </w:pPr>
      <w:r w:rsidRPr="00181755">
        <w:rPr>
          <w:rFonts w:asciiTheme="minorHAnsi" w:hAnsiTheme="minorHAnsi"/>
        </w:rPr>
        <w:t>A belső modelleket használók számára alapkövetelmény, hogy megtörténjen a modell teljesítményének rendszeres visszamérése</w:t>
      </w:r>
      <w:r w:rsidRPr="00181755">
        <w:rPr>
          <w:rStyle w:val="Lbjegyzet-hivatkozs"/>
          <w:rFonts w:asciiTheme="minorHAnsi" w:hAnsiTheme="minorHAnsi"/>
        </w:rPr>
        <w:footnoteReference w:id="71"/>
      </w:r>
      <w:r w:rsidRPr="00181755">
        <w:rPr>
          <w:rFonts w:asciiTheme="minorHAnsi" w:hAnsiTheme="minorHAnsi"/>
        </w:rPr>
        <w:t xml:space="preserve"> és értékelése. A visszamérés és értékelés eredményeit a piaci kockázatkezelésért felelős felsővezetői testületnek rendszeresen át kell tekintenie. </w:t>
      </w:r>
    </w:p>
    <w:p w14:paraId="66B1556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69" w14:textId="77777777" w:rsidR="003F29E3" w:rsidRPr="00181755" w:rsidRDefault="003F29E3" w:rsidP="00181755">
      <w:pPr>
        <w:rPr>
          <w:rFonts w:asciiTheme="minorHAnsi" w:hAnsiTheme="minorHAnsi"/>
        </w:rPr>
      </w:pPr>
      <w:r w:rsidRPr="00181755">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komplex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7777777" w:rsidR="003F29E3" w:rsidRPr="00181755" w:rsidRDefault="003F29E3" w:rsidP="00181755">
      <w:pPr>
        <w:rPr>
          <w:rFonts w:asciiTheme="minorHAnsi" w:hAnsiTheme="minorHAnsi"/>
        </w:rPr>
      </w:pPr>
      <w:r w:rsidRPr="00181755">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komplex ICAAP felülvizsgálat alá tartozó intézmények esetében csak a következő feltételek fennállása esetén találja teljes mértékben megfelelőnek a piaci kockázatok kezelését a 2. pillérben: </w:t>
      </w:r>
    </w:p>
    <w:p w14:paraId="66B1556B" w14:textId="36EB73BA" w:rsidR="003F29E3" w:rsidRPr="00181755" w:rsidRDefault="003F29E3" w:rsidP="00181755">
      <w:pPr>
        <w:pStyle w:val="felsorolsos"/>
        <w:rPr>
          <w:rFonts w:asciiTheme="minorHAnsi" w:hAnsiTheme="minorHAnsi"/>
        </w:rPr>
      </w:pPr>
      <w:r w:rsidRPr="00181755">
        <w:rPr>
          <w:rFonts w:asciiTheme="minorHAnsi" w:hAnsiTheme="minorHAnsi"/>
        </w:rPr>
        <w:t>a napi és helyi szintű kockázatmérést rendszeres visszamérés egészíti ki, amely során utólagosan összehasonlításra kerül a modell által generált kockázati mértéknek és a portfólió tényleges múltbeli értékváltozásának viszonya</w:t>
      </w:r>
      <w:r w:rsidR="00C86E63" w:rsidRPr="00181755">
        <w:rPr>
          <w:rFonts w:asciiTheme="minorHAnsi" w:hAnsiTheme="minorHAnsi"/>
          <w:lang w:val="hu-HU"/>
        </w:rPr>
        <w:t>,</w:t>
      </w:r>
    </w:p>
    <w:p w14:paraId="66B1556C" w14:textId="01C36A16" w:rsidR="003F29E3" w:rsidRPr="00181755" w:rsidRDefault="003F29E3" w:rsidP="00181755">
      <w:pPr>
        <w:pStyle w:val="felsorolsos"/>
        <w:rPr>
          <w:rFonts w:asciiTheme="minorHAnsi" w:hAnsiTheme="minorHAnsi"/>
        </w:rPr>
      </w:pPr>
      <w:r w:rsidRPr="00181755">
        <w:rPr>
          <w:rFonts w:asciiTheme="minorHAnsi" w:hAnsiTheme="minorHAnsi"/>
        </w:rPr>
        <w:t>a belső kereskedési és kitettség-vállalási limitek az intézmény kockázati étvágyával és a kockázatmérési rendszer szofisztikáltságával egyaránt összhangban vannak</w:t>
      </w:r>
      <w:r w:rsidR="00C86E63" w:rsidRPr="00181755">
        <w:rPr>
          <w:rFonts w:asciiTheme="minorHAnsi" w:hAnsiTheme="minorHAnsi"/>
          <w:lang w:val="hu-HU"/>
        </w:rPr>
        <w:t>,</w:t>
      </w:r>
      <w:r w:rsidRPr="00181755">
        <w:rPr>
          <w:rFonts w:asciiTheme="minorHAnsi" w:hAnsiTheme="minorHAnsi"/>
        </w:rPr>
        <w:t xml:space="preserve"> </w:t>
      </w:r>
    </w:p>
    <w:p w14:paraId="66B1556D" w14:textId="40C9745B" w:rsidR="003F29E3" w:rsidRPr="00181755" w:rsidRDefault="003F29E3" w:rsidP="00181755">
      <w:pPr>
        <w:pStyle w:val="felsorolsos"/>
        <w:rPr>
          <w:rFonts w:asciiTheme="minorHAnsi" w:hAnsiTheme="minorHAnsi"/>
        </w:rPr>
      </w:pPr>
      <w:r w:rsidRPr="00181755">
        <w:rPr>
          <w:rFonts w:asciiTheme="minorHAnsi" w:hAnsiTheme="minorHAnsi"/>
        </w:rPr>
        <w:t>a napi kockázatmérést időszakos stressz-tesztelési program egészíti ki, amely kiterjed az összes releváns kockázati faktor változásának vizsgálatára</w:t>
      </w:r>
      <w:r w:rsidR="00C86E63" w:rsidRPr="00181755">
        <w:rPr>
          <w:rFonts w:asciiTheme="minorHAnsi" w:hAnsiTheme="minorHAnsi"/>
          <w:lang w:val="hu-HU"/>
        </w:rPr>
        <w:t>,</w:t>
      </w:r>
    </w:p>
    <w:p w14:paraId="66B1556E" w14:textId="0B81A0E7" w:rsidR="003F29E3" w:rsidRPr="00181755" w:rsidRDefault="003F29E3" w:rsidP="00181755">
      <w:pPr>
        <w:pStyle w:val="felsorolsos"/>
        <w:rPr>
          <w:rFonts w:asciiTheme="minorHAnsi" w:hAnsiTheme="minorHAnsi"/>
        </w:rPr>
      </w:pPr>
      <w:r w:rsidRPr="00181755">
        <w:rPr>
          <w:rFonts w:asciiTheme="minorHAnsi" w:hAnsiTheme="minorHAnsi"/>
        </w:rPr>
        <w:t>a piaci kockázati adatbázis folyamatosan frissítésre, az alkalmazott sokkok mértéke pedig újraértékelésre kerül</w:t>
      </w:r>
      <w:r w:rsidR="00C86E63" w:rsidRPr="00181755">
        <w:rPr>
          <w:rFonts w:asciiTheme="minorHAnsi" w:hAnsiTheme="minorHAnsi"/>
          <w:lang w:val="hu-HU"/>
        </w:rPr>
        <w:t>,</w:t>
      </w:r>
    </w:p>
    <w:p w14:paraId="66B1556F" w14:textId="77777777" w:rsidR="003F29E3" w:rsidRPr="00181755" w:rsidRDefault="003F29E3" w:rsidP="00181755">
      <w:pPr>
        <w:pStyle w:val="felsorolsos"/>
        <w:rPr>
          <w:rFonts w:asciiTheme="minorHAnsi" w:hAnsiTheme="minorHAnsi"/>
        </w:rPr>
      </w:pPr>
      <w:r w:rsidRPr="00181755">
        <w:rPr>
          <w:rFonts w:asciiTheme="minorHAnsi" w:hAnsiTheme="minorHAnsi"/>
        </w:rPr>
        <w:t>a modellezéshez felhasznált piaci kockázati tényezők köre kiterjed a kereskedési könyvi pozíció inherens kockázataira, különösen pedig</w:t>
      </w:r>
    </w:p>
    <w:p w14:paraId="66B15570" w14:textId="77777777" w:rsidR="003F29E3" w:rsidRPr="00181755" w:rsidRDefault="003F29E3" w:rsidP="00655249">
      <w:pPr>
        <w:pStyle w:val="alfelsorols"/>
        <w:numPr>
          <w:ilvl w:val="0"/>
          <w:numId w:val="65"/>
        </w:numPr>
        <w:spacing w:after="120"/>
        <w:ind w:left="1560" w:hanging="284"/>
      </w:pPr>
      <w:r w:rsidRPr="00181755">
        <w:t>a releváns kockázati faktorokra,</w:t>
      </w:r>
    </w:p>
    <w:p w14:paraId="66B15571" w14:textId="77777777" w:rsidR="003F29E3" w:rsidRPr="00181755" w:rsidRDefault="003F29E3" w:rsidP="00655249">
      <w:pPr>
        <w:pStyle w:val="alfelsorols"/>
        <w:numPr>
          <w:ilvl w:val="0"/>
          <w:numId w:val="65"/>
        </w:numPr>
        <w:spacing w:after="120"/>
        <w:ind w:left="1560" w:hanging="284"/>
      </w:pPr>
      <w:r w:rsidRPr="00181755">
        <w:t>a származtatott termékek nemlineáris sajátosságaira,</w:t>
      </w:r>
    </w:p>
    <w:p w14:paraId="77BB85E4" w14:textId="77777777" w:rsidR="003F29E3" w:rsidRPr="00181755" w:rsidRDefault="003F29E3" w:rsidP="00655249">
      <w:pPr>
        <w:pStyle w:val="alfelsorols"/>
        <w:numPr>
          <w:ilvl w:val="0"/>
          <w:numId w:val="65"/>
        </w:numPr>
        <w:spacing w:after="120"/>
        <w:ind w:left="1560" w:hanging="284"/>
      </w:pPr>
      <w:r w:rsidRPr="00181755">
        <w:t xml:space="preserve">a hozamgörbe szerkezetéből adódó sajátosságokra, </w:t>
      </w:r>
    </w:p>
    <w:p w14:paraId="66B15574" w14:textId="77777777" w:rsidR="003F29E3" w:rsidRPr="00181755" w:rsidRDefault="003F29E3" w:rsidP="00655249">
      <w:pPr>
        <w:pStyle w:val="alfelsorols"/>
        <w:numPr>
          <w:ilvl w:val="0"/>
          <w:numId w:val="65"/>
        </w:numPr>
        <w:spacing w:after="120"/>
        <w:ind w:left="1560" w:hanging="284"/>
      </w:pPr>
      <w:r w:rsidRPr="00181755">
        <w:t xml:space="preserve">a devizaárfolyamok és eszközárak volatilitásából fakadó kockázatokra, </w:t>
      </w:r>
    </w:p>
    <w:p w14:paraId="700C6E3E" w14:textId="2F1BC9B1" w:rsidR="003F29E3" w:rsidRPr="00181755" w:rsidRDefault="003F29E3" w:rsidP="00655249">
      <w:pPr>
        <w:pStyle w:val="alfelsorols"/>
        <w:numPr>
          <w:ilvl w:val="0"/>
          <w:numId w:val="65"/>
        </w:numPr>
        <w:spacing w:after="120"/>
        <w:ind w:left="1560" w:hanging="284"/>
      </w:pPr>
      <w:r w:rsidRPr="00181755">
        <w:t>a koncentrációs kockázatokra</w:t>
      </w:r>
      <w:r w:rsidR="00C86E63" w:rsidRPr="00181755">
        <w:rPr>
          <w:lang w:val="hu-HU"/>
        </w:rPr>
        <w:t>,</w:t>
      </w:r>
    </w:p>
    <w:p w14:paraId="66B15577" w14:textId="47BC08EA" w:rsidR="003F29E3" w:rsidRPr="00181755" w:rsidRDefault="003F29E3" w:rsidP="00181755">
      <w:pPr>
        <w:pStyle w:val="felsorolsos"/>
        <w:rPr>
          <w:rFonts w:asciiTheme="minorHAnsi" w:hAnsiTheme="minorHAnsi"/>
        </w:rPr>
      </w:pPr>
      <w:r w:rsidRPr="00181755">
        <w:rPr>
          <w:rFonts w:asciiTheme="minorHAnsi" w:hAnsiTheme="minorHAnsi"/>
        </w:rPr>
        <w:t xml:space="preserve">a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181755">
        <w:rPr>
          <w:rFonts w:asciiTheme="minorHAnsi" w:hAnsiTheme="minorHAnsi"/>
          <w:lang w:val="hu-HU"/>
        </w:rPr>
        <w:t>igazolható és igazolásra</w:t>
      </w:r>
      <w:r w:rsidR="0003682E" w:rsidRPr="00181755">
        <w:rPr>
          <w:rFonts w:asciiTheme="minorHAnsi" w:hAnsiTheme="minorHAnsi"/>
        </w:rPr>
        <w:t xml:space="preserve"> </w:t>
      </w:r>
      <w:r w:rsidRPr="00181755">
        <w:rPr>
          <w:rFonts w:asciiTheme="minorHAnsi" w:hAnsiTheme="minorHAnsi"/>
        </w:rPr>
        <w:t>kerül</w:t>
      </w:r>
      <w:r w:rsidR="00C86E63" w:rsidRPr="00181755">
        <w:rPr>
          <w:rFonts w:asciiTheme="minorHAnsi" w:hAnsiTheme="minorHAnsi"/>
          <w:lang w:val="hu-HU"/>
        </w:rPr>
        <w:t>,</w:t>
      </w:r>
    </w:p>
    <w:p w14:paraId="66B15578" w14:textId="13AED120" w:rsidR="003F29E3" w:rsidRPr="00181755" w:rsidRDefault="003F29E3" w:rsidP="00181755">
      <w:pPr>
        <w:pStyle w:val="felsorolsos"/>
        <w:rPr>
          <w:rFonts w:asciiTheme="minorHAnsi" w:hAnsiTheme="minorHAnsi"/>
        </w:rPr>
      </w:pPr>
      <w:r w:rsidRPr="00181755">
        <w:rPr>
          <w:rFonts w:asciiTheme="minorHAnsi" w:hAnsiTheme="minorHAnsi"/>
        </w:rPr>
        <w:t>a pozíciós kitettségek számviteli megközelítéstől eltérő, közgazdasági módszerekkel (pl. NPV módszer) történő azonosítása esetén a kétféle kitettségfogalom összehasonlításra, részletes ismertetésre kerül</w:t>
      </w:r>
      <w:r w:rsidR="00C86E63" w:rsidRPr="00181755">
        <w:rPr>
          <w:rFonts w:asciiTheme="minorHAnsi" w:hAnsiTheme="minorHAnsi"/>
          <w:lang w:val="hu-HU"/>
        </w:rPr>
        <w:t>,</w:t>
      </w:r>
    </w:p>
    <w:p w14:paraId="66B15579" w14:textId="10106760" w:rsidR="00222880" w:rsidRPr="00181755" w:rsidRDefault="003F29E3" w:rsidP="00181755">
      <w:pPr>
        <w:pStyle w:val="felsorolsos"/>
        <w:rPr>
          <w:rFonts w:asciiTheme="minorHAnsi" w:hAnsiTheme="minorHAnsi"/>
        </w:rPr>
      </w:pPr>
      <w:r w:rsidRPr="00181755">
        <w:rPr>
          <w:rFonts w:asciiTheme="minorHAnsi" w:hAnsiTheme="minorHAnsi"/>
        </w:rPr>
        <w:t>az intézmény rendelkezik „stresszelt kockáztatott érték” mutatóval is</w:t>
      </w:r>
      <w:r w:rsidR="00C86E63" w:rsidRPr="00181755">
        <w:rPr>
          <w:rFonts w:asciiTheme="minorHAnsi" w:hAnsiTheme="minorHAnsi"/>
          <w:lang w:val="hu-HU"/>
        </w:rPr>
        <w:t>,</w:t>
      </w:r>
    </w:p>
    <w:p w14:paraId="66B1557A" w14:textId="0D3D930F" w:rsidR="003F29E3" w:rsidRPr="00181755" w:rsidRDefault="00222880" w:rsidP="00181755">
      <w:pPr>
        <w:pStyle w:val="felsorolsos"/>
        <w:rPr>
          <w:rFonts w:asciiTheme="minorHAnsi" w:hAnsiTheme="minorHAnsi"/>
        </w:rPr>
      </w:pPr>
      <w:r w:rsidRPr="00181755">
        <w:rPr>
          <w:rFonts w:asciiTheme="minorHAnsi" w:hAnsiTheme="minorHAnsi"/>
          <w:lang w:val="hu-HU"/>
        </w:rPr>
        <w:t>a stresszelt kockáztatott érték</w:t>
      </w:r>
      <w:r w:rsidR="0030394B" w:rsidRPr="00181755">
        <w:rPr>
          <w:rFonts w:asciiTheme="minorHAnsi" w:hAnsiTheme="minorHAnsi"/>
          <w:lang w:val="hu-HU"/>
        </w:rPr>
        <w:t xml:space="preserve"> szerepet kap</w:t>
      </w:r>
      <w:r w:rsidRPr="00181755">
        <w:rPr>
          <w:rFonts w:asciiTheme="minorHAnsi" w:hAnsiTheme="minorHAnsi"/>
          <w:lang w:val="hu-HU"/>
        </w:rPr>
        <w:t xml:space="preserve"> </w:t>
      </w:r>
      <w:r w:rsidR="0030394B" w:rsidRPr="00181755">
        <w:rPr>
          <w:rFonts w:asciiTheme="minorHAnsi" w:hAnsiTheme="minorHAnsi"/>
          <w:lang w:val="hu-HU"/>
        </w:rPr>
        <w:t>a tőkeszükséglet meghatározásának folyamatában</w:t>
      </w:r>
      <w:r w:rsidR="00C86E63" w:rsidRPr="00181755">
        <w:rPr>
          <w:rFonts w:asciiTheme="minorHAnsi" w:hAnsiTheme="minorHAnsi"/>
          <w:lang w:val="hu-HU"/>
        </w:rPr>
        <w:t>,</w:t>
      </w:r>
    </w:p>
    <w:p w14:paraId="678AC505" w14:textId="2E38F87B" w:rsidR="0003682E" w:rsidRPr="00181755" w:rsidRDefault="0003682E" w:rsidP="00181755">
      <w:pPr>
        <w:pStyle w:val="felsorolsos"/>
        <w:rPr>
          <w:rFonts w:asciiTheme="minorHAnsi" w:hAnsiTheme="minorHAnsi"/>
        </w:rPr>
      </w:pPr>
      <w:r w:rsidRPr="00181755">
        <w:rPr>
          <w:rFonts w:asciiTheme="minorHAnsi" w:hAnsiTheme="minorHAnsi"/>
          <w:lang w:val="hu-HU"/>
        </w:rPr>
        <w:t>a bankcsoportok esetén a piaci kockázatok mérése illetve a tőkeszükséglet meghatározása konszolidált szinten történik</w:t>
      </w:r>
      <w:r w:rsidR="00C86E63" w:rsidRPr="00181755">
        <w:rPr>
          <w:rFonts w:asciiTheme="minorHAnsi" w:hAnsiTheme="minorHAnsi"/>
          <w:lang w:val="hu-HU"/>
        </w:rPr>
        <w:t>.</w:t>
      </w:r>
    </w:p>
    <w:p w14:paraId="76529591" w14:textId="13B5C4E4" w:rsidR="003F29E3" w:rsidRPr="00181755" w:rsidRDefault="003F29E3" w:rsidP="00181755">
      <w:pPr>
        <w:spacing w:after="240"/>
        <w:rPr>
          <w:rFonts w:asciiTheme="minorHAnsi" w:hAnsiTheme="minorHAnsi"/>
        </w:rPr>
      </w:pPr>
      <w:r w:rsidRPr="00181755">
        <w:rPr>
          <w:rFonts w:asciiTheme="minorHAnsi" w:hAnsiTheme="minorHAnsi"/>
        </w:rPr>
        <w:t>Nehezen értékelhető, nem transzparens vagy következetlen számítások esetén a pozíciók és a kockázati limitek figyelembe vételével az MNB addicionális tőkekövetelményt állapít</w:t>
      </w:r>
      <w:r w:rsidR="00C13EE5" w:rsidRPr="00181755">
        <w:rPr>
          <w:rFonts w:asciiTheme="minorHAnsi" w:hAnsiTheme="minorHAnsi"/>
        </w:rPr>
        <w:t>hat</w:t>
      </w:r>
      <w:r w:rsidRPr="00181755">
        <w:rPr>
          <w:rFonts w:asciiTheme="minorHAnsi" w:hAnsiTheme="minorHAnsi"/>
        </w:rPr>
        <w:t xml:space="preserve"> meg.</w:t>
      </w:r>
      <w:bookmarkStart w:id="938" w:name="_III._2.2._Az"/>
      <w:bookmarkStart w:id="939" w:name="_III.2.2.1_Reziduális_kockázat"/>
      <w:bookmarkStart w:id="940" w:name="_III.2.2.2_Értékpapírosítás_kockázat"/>
      <w:bookmarkStart w:id="941" w:name="_III.2.2.3_Modellezési_kockázat"/>
      <w:bookmarkStart w:id="942" w:name="_Modellkockázat"/>
      <w:bookmarkStart w:id="943" w:name="_III._2.3._A"/>
      <w:bookmarkStart w:id="944" w:name="_III.2.3.1_Koncentrációs_kockázat"/>
      <w:bookmarkStart w:id="945" w:name="_III.2.3.1.1._Hitelezés_koncentráció"/>
      <w:bookmarkStart w:id="946" w:name="_III.2.3.1.2._Piaci_és"/>
      <w:bookmarkStart w:id="947" w:name="_III.2.3.2_Ország-kockázat"/>
      <w:bookmarkEnd w:id="938"/>
      <w:bookmarkEnd w:id="939"/>
      <w:bookmarkEnd w:id="940"/>
      <w:bookmarkEnd w:id="941"/>
      <w:bookmarkEnd w:id="942"/>
      <w:bookmarkEnd w:id="943"/>
      <w:bookmarkEnd w:id="944"/>
      <w:bookmarkEnd w:id="945"/>
      <w:bookmarkEnd w:id="946"/>
      <w:bookmarkEnd w:id="947"/>
    </w:p>
    <w:p w14:paraId="66B15580" w14:textId="77777777" w:rsidR="003F29E3" w:rsidRPr="00181755" w:rsidRDefault="003F29E3" w:rsidP="00181755">
      <w:pPr>
        <w:pStyle w:val="Cmsor3"/>
        <w:rPr>
          <w:rStyle w:val="Kiemels"/>
          <w:rFonts w:asciiTheme="minorHAnsi" w:hAnsiTheme="minorHAnsi"/>
          <w:i/>
        </w:rPr>
      </w:pPr>
      <w:bookmarkStart w:id="948" w:name="_Toc417311970"/>
      <w:bookmarkStart w:id="949" w:name="_Toc417311971"/>
      <w:bookmarkStart w:id="950" w:name="_III.2.3.3_Banki_könyv"/>
      <w:bookmarkStart w:id="951" w:name="_Toc378592054"/>
      <w:bookmarkStart w:id="952" w:name="_Toc461095230"/>
      <w:bookmarkStart w:id="953" w:name="_Toc461179886"/>
      <w:bookmarkStart w:id="954" w:name="_Toc461201329"/>
      <w:bookmarkStart w:id="955" w:name="_Toc461547997"/>
      <w:bookmarkStart w:id="956" w:name="_Toc462402037"/>
      <w:bookmarkStart w:id="957" w:name="_Toc462403158"/>
      <w:bookmarkStart w:id="958" w:name="_Toc462403482"/>
      <w:bookmarkStart w:id="959" w:name="_Toc468180601"/>
      <w:bookmarkStart w:id="960" w:name="_Toc468181082"/>
      <w:bookmarkStart w:id="961" w:name="_Toc468191468"/>
      <w:bookmarkEnd w:id="948"/>
      <w:bookmarkEnd w:id="949"/>
      <w:bookmarkEnd w:id="950"/>
      <w:r w:rsidRPr="00181755">
        <w:rPr>
          <w:rStyle w:val="Kiemels"/>
          <w:rFonts w:asciiTheme="minorHAnsi" w:hAnsiTheme="minorHAnsi"/>
          <w:i/>
        </w:rPr>
        <w:t>Banki könyv kamatlábkockázata</w:t>
      </w:r>
      <w:bookmarkEnd w:id="951"/>
      <w:bookmarkEnd w:id="952"/>
      <w:bookmarkEnd w:id="953"/>
      <w:bookmarkEnd w:id="954"/>
      <w:bookmarkEnd w:id="955"/>
      <w:bookmarkEnd w:id="956"/>
      <w:bookmarkEnd w:id="957"/>
      <w:bookmarkEnd w:id="958"/>
      <w:bookmarkEnd w:id="959"/>
      <w:bookmarkEnd w:id="960"/>
      <w:bookmarkEnd w:id="961"/>
    </w:p>
    <w:p w14:paraId="7401E63F" w14:textId="2973BF7B" w:rsidR="00E86A8D" w:rsidRPr="00181755" w:rsidRDefault="00E86A8D" w:rsidP="00181755">
      <w:pPr>
        <w:rPr>
          <w:rFonts w:asciiTheme="minorHAnsi" w:hAnsiTheme="minorHAnsi"/>
          <w:b/>
        </w:rPr>
      </w:pPr>
      <w:r w:rsidRPr="00181755">
        <w:rPr>
          <w:rFonts w:asciiTheme="minorHAnsi" w:hAnsiTheme="minorHAnsi"/>
          <w:b/>
        </w:rPr>
        <w:t>Definíció</w:t>
      </w:r>
    </w:p>
    <w:p w14:paraId="66B15581" w14:textId="3F4F1BE5" w:rsidR="00DA1560" w:rsidRPr="00181755" w:rsidRDefault="00DA1560" w:rsidP="00181755">
      <w:pPr>
        <w:rPr>
          <w:rFonts w:asciiTheme="minorHAnsi" w:hAnsiTheme="minorHAnsi"/>
        </w:rPr>
      </w:pPr>
      <w:r w:rsidRPr="00181755">
        <w:rPr>
          <w:rFonts w:asciiTheme="minorHAnsi" w:hAnsiTheme="minorHAnsi"/>
        </w:rPr>
        <w:t>A banki könyvi kamatlábkockázat annak lehetősége, hogy a banki könyvi pozíciókból származó jövedelem és/vagy a</w:t>
      </w:r>
      <w:r w:rsidR="00A8489E" w:rsidRPr="00181755">
        <w:rPr>
          <w:rFonts w:asciiTheme="minorHAnsi" w:hAnsiTheme="minorHAnsi"/>
        </w:rPr>
        <w:t>z intézmény</w:t>
      </w:r>
      <w:r w:rsidRPr="00181755">
        <w:rPr>
          <w:rFonts w:asciiTheme="minorHAnsi" w:hAnsiTheme="minorHAnsi"/>
        </w:rPr>
        <w:t xml:space="preserve"> gazdasági tőkeértéke kedvezőtlenül változik a piaci kamatlábak változásának következtében. </w:t>
      </w:r>
    </w:p>
    <w:p w14:paraId="66B15582" w14:textId="58EDFB74" w:rsidR="00DA1560" w:rsidRPr="00181755" w:rsidRDefault="00DA1560" w:rsidP="00181755">
      <w:pPr>
        <w:rPr>
          <w:rFonts w:asciiTheme="minorHAnsi" w:hAnsiTheme="minorHAnsi"/>
        </w:rPr>
      </w:pPr>
      <w:r w:rsidRPr="00181755">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p>
    <w:p w14:paraId="432E843D" w14:textId="1087E625" w:rsidR="000035EB" w:rsidRPr="00181755" w:rsidRDefault="000035EB" w:rsidP="00181755">
      <w:pPr>
        <w:rPr>
          <w:rFonts w:asciiTheme="minorHAnsi" w:hAnsiTheme="minorHAnsi"/>
          <w:b/>
        </w:rPr>
      </w:pPr>
      <w:r w:rsidRPr="00181755">
        <w:rPr>
          <w:rFonts w:asciiTheme="minorHAnsi" w:hAnsiTheme="minorHAnsi"/>
          <w:b/>
        </w:rPr>
        <w:t>Kockázatértékelés és -kezelés</w:t>
      </w:r>
    </w:p>
    <w:p w14:paraId="66B15583" w14:textId="3CD4741F" w:rsidR="00DA1560" w:rsidRPr="00181755" w:rsidRDefault="00DA1560" w:rsidP="00181755">
      <w:pPr>
        <w:rPr>
          <w:rFonts w:asciiTheme="minorHAnsi" w:hAnsiTheme="minorHAnsi"/>
        </w:rPr>
      </w:pPr>
      <w:r w:rsidRPr="00181755">
        <w:rPr>
          <w:rFonts w:asciiTheme="minorHAnsi" w:hAnsiTheme="minorHAnsi"/>
        </w:rPr>
        <w:t>A jövedelmi hatás kimutatására többféle mutatószám alkalmazható, amelyek közül a leginkább elterjedt a nettó kamatbevétel és a nettó kamat marzs mutatók használata. A mutatókon kívül bármely más,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w:t>
      </w:r>
      <w:r w:rsidRPr="00181755">
        <w:rPr>
          <w:rFonts w:asciiTheme="minorHAnsi" w:hAnsiTheme="minorHAnsi"/>
        </w:rPr>
        <w:t xml:space="preserve">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66B15584" w14:textId="316B519C" w:rsidR="00DA1560" w:rsidRPr="00181755" w:rsidRDefault="00DA1560" w:rsidP="00181755">
      <w:pPr>
        <w:rPr>
          <w:rFonts w:asciiTheme="minorHAnsi" w:hAnsiTheme="minorHAnsi"/>
        </w:rPr>
      </w:pPr>
      <w:r w:rsidRPr="00181755">
        <w:rPr>
          <w:rFonts w:asciiTheme="minorHAnsi" w:hAnsiTheme="minorHAnsi"/>
        </w:rPr>
        <w:t>A</w:t>
      </w:r>
      <w:r w:rsidR="00A8489E" w:rsidRPr="00181755">
        <w:rPr>
          <w:rFonts w:asciiTheme="minorHAnsi" w:hAnsiTheme="minorHAnsi"/>
        </w:rPr>
        <w:t>z intézmény</w:t>
      </w:r>
      <w:r w:rsidRPr="00181755">
        <w:rPr>
          <w:rFonts w:asciiTheme="minorHAnsi" w:hAnsiTheme="minorHAnsi"/>
        </w:rPr>
        <w:t xml:space="preserve"> gazdasági tőkeértéke a banki könyvet alkotó eszköz-, forrás- és mérleg alatti tételek teljes pénzáramlásainak nettó jelenértékeként számítandó, oly módon, hogy az eszköz- és forrás pénzáramlásokat</w:t>
      </w:r>
      <w:r w:rsidR="000035EB" w:rsidRPr="00181755">
        <w:rPr>
          <w:rFonts w:asciiTheme="minorHAnsi" w:hAnsiTheme="minorHAnsi"/>
        </w:rPr>
        <w:t>,</w:t>
      </w:r>
      <w:r w:rsidRPr="00181755">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77777777" w:rsidR="00DA1560" w:rsidRPr="00181755" w:rsidRDefault="00DA1560" w:rsidP="00181755">
      <w:pPr>
        <w:rPr>
          <w:rFonts w:asciiTheme="minorHAnsi" w:hAnsiTheme="minorHAnsi"/>
        </w:rPr>
      </w:pPr>
      <w:r w:rsidRPr="00181755">
        <w:rPr>
          <w:rFonts w:asciiTheme="minorHAnsi" w:hAnsiTheme="minorHAnsi"/>
        </w:rPr>
        <w:t xml:space="preserve">A banki mérlegben lévő kamatlábkockázat forrását tekintve az alábbi négy főbb típusba sorolható: </w:t>
      </w:r>
    </w:p>
    <w:p w14:paraId="66B15586" w14:textId="7D26A33D" w:rsidR="00DA1560" w:rsidRPr="00181755" w:rsidRDefault="00DA1560" w:rsidP="00181755">
      <w:pPr>
        <w:pStyle w:val="Listaszerbekezds"/>
        <w:numPr>
          <w:ilvl w:val="0"/>
          <w:numId w:val="46"/>
        </w:numPr>
        <w:spacing w:after="150"/>
        <w:rPr>
          <w:rFonts w:asciiTheme="minorHAnsi" w:hAnsiTheme="minorHAnsi"/>
          <w:sz w:val="22"/>
          <w:szCs w:val="22"/>
        </w:rPr>
      </w:pPr>
      <w:r w:rsidRPr="00181755">
        <w:rPr>
          <w:rFonts w:asciiTheme="minorHAnsi" w:hAnsiTheme="minorHAnsi"/>
          <w:sz w:val="22"/>
          <w:szCs w:val="22"/>
        </w:rPr>
        <w:t>újraárazási kockázat: a követelések és kötelezettségek és mérleg alatti tételek átárazási szerkezetének időbeli eltéréséből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7" w14:textId="4E5145A2" w:rsidR="00DA1560" w:rsidRPr="00181755" w:rsidRDefault="00DA1560" w:rsidP="00181755">
      <w:pPr>
        <w:pStyle w:val="Listaszerbekezds"/>
        <w:numPr>
          <w:ilvl w:val="0"/>
          <w:numId w:val="46"/>
        </w:numPr>
        <w:spacing w:after="150"/>
        <w:rPr>
          <w:rFonts w:asciiTheme="minorHAnsi" w:hAnsiTheme="minorHAnsi"/>
          <w:sz w:val="22"/>
          <w:szCs w:val="22"/>
        </w:rPr>
      </w:pPr>
      <w:r w:rsidRPr="00181755">
        <w:rPr>
          <w:rFonts w:asciiTheme="minorHAnsi" w:hAnsiTheme="minorHAnsi"/>
          <w:sz w:val="22"/>
          <w:szCs w:val="22"/>
        </w:rPr>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8" w14:textId="1EE9360A" w:rsidR="00DA1560" w:rsidRPr="00181755" w:rsidRDefault="00DA1560" w:rsidP="00181755">
      <w:pPr>
        <w:pStyle w:val="Listaszerbekezds"/>
        <w:numPr>
          <w:ilvl w:val="0"/>
          <w:numId w:val="46"/>
        </w:numPr>
        <w:spacing w:after="150"/>
        <w:rPr>
          <w:rFonts w:asciiTheme="minorHAnsi" w:hAnsiTheme="minorHAnsi"/>
          <w:sz w:val="22"/>
          <w:szCs w:val="22"/>
        </w:rPr>
      </w:pPr>
      <w:r w:rsidRPr="00181755">
        <w:rPr>
          <w:rFonts w:asciiTheme="minorHAnsi" w:hAnsiTheme="minorHAnsi"/>
          <w:sz w:val="22"/>
          <w:szCs w:val="22"/>
        </w:rPr>
        <w:t>hozamgörbe-kockázat: a hozamgörbe alakjának és meredekségének 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9" w14:textId="77777777" w:rsidR="00DA1560" w:rsidRPr="00181755" w:rsidRDefault="00DA1560" w:rsidP="00181755">
      <w:pPr>
        <w:pStyle w:val="Listaszerbekezds"/>
        <w:numPr>
          <w:ilvl w:val="0"/>
          <w:numId w:val="46"/>
        </w:numPr>
        <w:spacing w:after="150"/>
        <w:rPr>
          <w:rFonts w:asciiTheme="minorHAnsi" w:hAnsiTheme="minorHAnsi"/>
          <w:sz w:val="22"/>
          <w:szCs w:val="22"/>
        </w:rPr>
      </w:pPr>
      <w:r w:rsidRPr="00181755">
        <w:rPr>
          <w:rFonts w:asciiTheme="minorHAnsi" w:hAnsiTheme="minorHAnsi"/>
          <w:sz w:val="22"/>
          <w:szCs w:val="22"/>
        </w:rPr>
        <w:t xml:space="preserve">opciós kockázat: a banki termékekben rejlő rejtett vagy explicit , a termék kamatkockázatát befolyásoló tulajdonságaira vonatkozó opciókból származó kockázat. </w:t>
      </w:r>
    </w:p>
    <w:p w14:paraId="66B1558A" w14:textId="77777777" w:rsidR="00DA1560" w:rsidRPr="00181755" w:rsidRDefault="00DA1560" w:rsidP="00181755">
      <w:pPr>
        <w:rPr>
          <w:rFonts w:asciiTheme="minorHAnsi" w:hAnsiTheme="minorHAnsi"/>
        </w:rPr>
      </w:pPr>
      <w:r w:rsidRPr="00181755">
        <w:rPr>
          <w:rFonts w:asciiTheme="minorHAnsi" w:hAnsiTheme="minorHAnsi"/>
        </w:rPr>
        <w:t xml:space="preserve">A banki könyv esetében a fentiek közül a kamatlábkockázat a leggyakoribb, míg a hatását tekintve legjelentősebb forrását általában az újraárazási kockázat jelenti. </w:t>
      </w:r>
    </w:p>
    <w:p w14:paraId="66B1558B" w14:textId="73CADD78" w:rsidR="00DA1560" w:rsidRPr="00181755" w:rsidRDefault="000035EB" w:rsidP="00181755">
      <w:pPr>
        <w:rPr>
          <w:rFonts w:asciiTheme="minorHAnsi" w:hAnsiTheme="minorHAnsi"/>
        </w:rPr>
      </w:pPr>
      <w:r w:rsidRPr="00181755">
        <w:rPr>
          <w:rFonts w:asciiTheme="minorHAnsi" w:hAnsiTheme="minorHAnsi"/>
          <w:b/>
          <w:bCs/>
        </w:rPr>
        <w:t>ICAAP felülvizsgálat</w:t>
      </w:r>
    </w:p>
    <w:p w14:paraId="66B1558C" w14:textId="77777777" w:rsidR="00DA1560" w:rsidRPr="00181755" w:rsidRDefault="00DA1560" w:rsidP="00181755">
      <w:pPr>
        <w:rPr>
          <w:rFonts w:asciiTheme="minorHAnsi" w:hAnsiTheme="minorHAnsi"/>
        </w:rPr>
      </w:pPr>
      <w:r w:rsidRPr="00181755">
        <w:rPr>
          <w:rFonts w:asciiTheme="minorHAnsi" w:hAnsiTheme="minorHAnsi"/>
        </w:rPr>
        <w:t xml:space="preserve">A banki könyvi kamatláb-kockázatot az MNB minden intézmény esetében materiális kockázatnak tekinti, és elvárja annak alkalmas modellel történő mérését és kezelését, az alábbi szempontok szerint: </w:t>
      </w:r>
    </w:p>
    <w:p w14:paraId="66B1558D" w14:textId="489F3B81"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66B15590"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A kamatlábkockázat jövedelmi és tőkehatásának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Az alapul szolgáló feltételezések megalapozottak,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jelentősebb változások dokumentáltak és az ügyvezetés jóváhagyásához kötöttek. </w:t>
      </w:r>
    </w:p>
    <w:p w14:paraId="66B15592"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66B15593" w14:textId="77777777" w:rsidR="00DA1560" w:rsidRPr="00181755" w:rsidRDefault="00DA1560" w:rsidP="00181755">
      <w:pPr>
        <w:pStyle w:val="Listaszerbekezds"/>
        <w:numPr>
          <w:ilvl w:val="0"/>
          <w:numId w:val="47"/>
        </w:numPr>
        <w:spacing w:after="150"/>
        <w:rPr>
          <w:rFonts w:asciiTheme="minorHAnsi" w:hAnsiTheme="minorHAnsi"/>
          <w:sz w:val="22"/>
          <w:szCs w:val="22"/>
        </w:rPr>
      </w:pPr>
      <w:r w:rsidRPr="00181755">
        <w:rPr>
          <w:rFonts w:asciiTheme="minorHAnsi" w:hAnsiTheme="minorHAnsi"/>
          <w:sz w:val="22"/>
          <w:szCs w:val="22"/>
        </w:rPr>
        <w:t xml:space="preserve">A nemzetközi ajánlások alapján elvárt, ún. sztenderd kamatláb kamatláb-sokkok részét képezik a hitelintézet banki könyvi kamatlábkockázat kamatlábkockázat-kezelési gyakorlatának. </w:t>
      </w:r>
    </w:p>
    <w:p w14:paraId="37DCD832" w14:textId="10C87347" w:rsidR="00DF45B3" w:rsidRPr="008C1553" w:rsidRDefault="00DA1560" w:rsidP="008C1553">
      <w:pPr>
        <w:pStyle w:val="Listaszerbekezds"/>
        <w:numPr>
          <w:ilvl w:val="1"/>
          <w:numId w:val="15"/>
        </w:numPr>
        <w:spacing w:after="150"/>
        <w:ind w:left="709"/>
        <w:rPr>
          <w:rFonts w:asciiTheme="minorHAnsi" w:hAnsiTheme="minorHAnsi"/>
        </w:rPr>
      </w:pPr>
      <w:r w:rsidRPr="00181755">
        <w:rPr>
          <w:rFonts w:asciiTheme="minorHAnsi" w:hAnsiTheme="minorHAnsi"/>
          <w:sz w:val="22"/>
          <w:szCs w:val="22"/>
        </w:rPr>
        <w:t xml:space="preserve">Az intézmény olyan informatikai rendszert működtet, amely megfelelően támogatja a kamatlábkockázat méréséhez, kontrolljához és jelentéséhez szükséges eljárásokat és folyamatokat, mind egyedi, mind helyi csoportszinten. </w:t>
      </w:r>
    </w:p>
    <w:p w14:paraId="66B15596" w14:textId="77777777" w:rsidR="00DA1560" w:rsidRPr="00181755" w:rsidRDefault="00DA1560" w:rsidP="00181755">
      <w:pPr>
        <w:rPr>
          <w:rFonts w:asciiTheme="minorHAnsi" w:hAnsiTheme="minorHAnsi"/>
        </w:rPr>
      </w:pPr>
      <w:r w:rsidRPr="00181755">
        <w:rPr>
          <w:rFonts w:asciiTheme="minorHAnsi" w:hAnsiTheme="minorHAnsi"/>
          <w:b/>
          <w:bCs/>
        </w:rPr>
        <w:t xml:space="preserve">A banki könyv kamatlábkockázatához kapcsolódó stressz-tesztek </w:t>
      </w:r>
    </w:p>
    <w:p w14:paraId="66B15597" w14:textId="77777777" w:rsidR="00DA1560" w:rsidRPr="00181755" w:rsidRDefault="00DA1560" w:rsidP="00181755">
      <w:pPr>
        <w:rPr>
          <w:rFonts w:asciiTheme="minorHAnsi" w:hAnsiTheme="minorHAnsi"/>
        </w:rPr>
      </w:pPr>
      <w:r w:rsidRPr="00181755">
        <w:rPr>
          <w:rFonts w:asciiTheme="minorHAnsi" w:hAnsiTheme="minorHAnsi"/>
        </w:rPr>
        <w:t xml:space="preserve">Az MNB a banki könyvi kamatlábkockázat-kezelés részeként elvárja, hogy az intézmények rendszeres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párhuzamos eltolódását magában foglaló forgatókönyvet kell tartalmaznia. Az alapnak tekintett párhuzamos hozamgörbe-sokk forgatókönyvén túlmenően, a kockázatok teljesebb felmérése érdekében ajánlott a kamatlábak további stressz-szerű alakulásának, a hozamgörbék alakjának és meredekségének változását szimuláló forgatókönyvek alkalmazása. </w:t>
      </w:r>
    </w:p>
    <w:p w14:paraId="66B15598" w14:textId="77777777" w:rsidR="00DA1560" w:rsidRPr="00181755" w:rsidRDefault="00DA1560" w:rsidP="00181755">
      <w:pPr>
        <w:rPr>
          <w:rFonts w:asciiTheme="minorHAnsi" w:hAnsiTheme="minorHAnsi"/>
        </w:rPr>
      </w:pPr>
      <w:r w:rsidRPr="00181755">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devizális ügyleteinek összege meghaladja az összes banki könyvi tétel volumenének 5%-át. </w:t>
      </w:r>
    </w:p>
    <w:p w14:paraId="66B15599" w14:textId="239BB000" w:rsidR="00DA1560" w:rsidRPr="00181755" w:rsidRDefault="00DA1560" w:rsidP="00181755">
      <w:pPr>
        <w:rPr>
          <w:rFonts w:asciiTheme="minorHAnsi" w:hAnsiTheme="minorHAnsi"/>
        </w:rPr>
      </w:pPr>
      <w:r w:rsidRPr="00181755">
        <w:rPr>
          <w:rFonts w:asciiTheme="minorHAnsi" w:hAnsiTheme="minorHAnsi"/>
        </w:rPr>
        <w:t xml:space="preserve">Az MNB elvárja, hogy az alkalmazott kamatláb-sokkok mértékének meghatározásakor az intézmény figyelembe vegye </w:t>
      </w:r>
      <w:r w:rsidR="00EC5F6D" w:rsidRPr="00181755">
        <w:rPr>
          <w:rFonts w:asciiTheme="minorHAnsi" w:hAnsiTheme="minorHAnsi"/>
        </w:rPr>
        <w:t>–</w:t>
      </w:r>
      <w:r w:rsidRPr="00181755">
        <w:rPr>
          <w:rFonts w:asciiTheme="minorHAnsi" w:hAnsiTheme="minorHAnsi"/>
        </w:rPr>
        <w:t xml:space="preserve"> minden érintett devizanem esetén </w:t>
      </w:r>
      <w:r w:rsidR="00EC5F6D" w:rsidRPr="00181755">
        <w:rPr>
          <w:rFonts w:asciiTheme="minorHAnsi" w:hAnsiTheme="minorHAnsi"/>
        </w:rPr>
        <w:t>–</w:t>
      </w:r>
      <w:r w:rsidRPr="00181755">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 mértékére vonatkozó szabályozói ajánlás szerint az alkalmazandó kamatsokk a felfelé és lefelé irányuló 200 bázispontos, azonnali, párhuzamos  hozamgörbe eltolás illetve az adott deviza esetében legalább 5 éves periódusban megfigyelt, 1 éves (240 napos) kamatláb változásoknak 1. és 99. percentilise közül a nagyobb mértékű.</w:t>
      </w:r>
    </w:p>
    <w:p w14:paraId="66B1559A" w14:textId="77777777" w:rsidR="00DA1560" w:rsidRPr="00181755" w:rsidRDefault="00DA1560" w:rsidP="00181755">
      <w:pPr>
        <w:rPr>
          <w:rFonts w:asciiTheme="minorHAnsi" w:hAnsiTheme="minorHAnsi"/>
        </w:rPr>
      </w:pPr>
      <w:r w:rsidRPr="00181755">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6BB23755" w:rsidR="00DA1560" w:rsidRPr="00181755" w:rsidRDefault="00077781" w:rsidP="00181755">
      <w:pPr>
        <w:rPr>
          <w:rFonts w:asciiTheme="minorHAnsi" w:hAnsiTheme="minorHAnsi"/>
          <w:b/>
          <w:bCs/>
        </w:rPr>
      </w:pPr>
      <w:r w:rsidRPr="00181755">
        <w:rPr>
          <w:rFonts w:asciiTheme="minorHAnsi" w:hAnsiTheme="minorHAnsi"/>
          <w:b/>
          <w:bCs/>
        </w:rPr>
        <w:t>Tőkeszámítás</w:t>
      </w:r>
      <w:r w:rsidR="00DA1560" w:rsidRPr="00181755">
        <w:rPr>
          <w:rFonts w:asciiTheme="minorHAnsi" w:hAnsiTheme="minorHAnsi"/>
          <w:b/>
          <w:bCs/>
        </w:rPr>
        <w:t xml:space="preserve"> </w:t>
      </w:r>
    </w:p>
    <w:p w14:paraId="66B1559C" w14:textId="2F01AD98" w:rsidR="00DA1560" w:rsidRPr="00181755" w:rsidRDefault="00DA1560" w:rsidP="00181755">
      <w:pPr>
        <w:rPr>
          <w:rFonts w:asciiTheme="minorHAnsi" w:hAnsiTheme="minorHAnsi"/>
        </w:rPr>
      </w:pPr>
      <w:r w:rsidRPr="00181755">
        <w:rPr>
          <w:rFonts w:asciiTheme="minorHAnsi" w:hAnsiTheme="minorHAnsi"/>
        </w:rPr>
        <w:t>Az MNB a banki könyvi kamatláb-kockázatot minden intézmény esetében materiális 2. pilléres kockázatnak tekinti és elvárja, hogy ezen kockázatok azonosítására, mérésére és kezelésére az intézmények a kockázati helyzetüknek megfelelő kontrollt jelentő eljárásokkal, folyamatokkal rendelkezzenek</w:t>
      </w:r>
      <w:r w:rsidR="00293475" w:rsidRPr="00181755">
        <w:rPr>
          <w:rFonts w:asciiTheme="minorHAnsi" w:hAnsiTheme="minorHAnsi"/>
        </w:rPr>
        <w:t>.</w:t>
      </w:r>
      <w:r w:rsidRPr="00181755">
        <w:rPr>
          <w:rFonts w:asciiTheme="minorHAnsi" w:hAnsiTheme="minorHAnsi"/>
        </w:rPr>
        <w:t xml:space="preserve"> </w:t>
      </w:r>
    </w:p>
    <w:p w14:paraId="66B1559D" w14:textId="6E6D617B" w:rsidR="00DA1560" w:rsidRPr="00181755" w:rsidRDefault="00DA1560" w:rsidP="00181755">
      <w:pPr>
        <w:rPr>
          <w:rFonts w:asciiTheme="minorHAnsi" w:hAnsiTheme="minorHAnsi"/>
        </w:rPr>
      </w:pPr>
      <w:r w:rsidRPr="00181755">
        <w:rPr>
          <w:rFonts w:asciiTheme="minorHAnsi" w:hAnsiTheme="minorHAnsi"/>
        </w:rPr>
        <w:t>A kockázati kitettség meghatározása során az újraárazódási kockázatot, a báziskockázatot, a hozamgörbe- és opciós kockázatot egyaránt fel kell mérni, a jövedelemhatásokon túlmenően pedig minden esetben a tőke értékére gyakorolt hatásokat is értékelni és számszerűsíteni kell.</w:t>
      </w:r>
    </w:p>
    <w:p w14:paraId="66B1559E" w14:textId="72BFCD00" w:rsidR="00DA1560" w:rsidRPr="00181755" w:rsidRDefault="00DA1560" w:rsidP="00181755">
      <w:pPr>
        <w:rPr>
          <w:rFonts w:asciiTheme="minorHAnsi" w:hAnsiTheme="minorHAnsi"/>
        </w:rPr>
      </w:pPr>
      <w:r w:rsidRPr="00181755">
        <w:rPr>
          <w:rFonts w:asciiTheme="minorHAnsi" w:hAnsiTheme="minorHAnsi"/>
        </w:rPr>
        <w:t>Amennyiben a banki könyv kamatlábkockázatára vonatkozó sztenderd kamatláb-sokkok a hitelintézet gazdasági értékének a szavatoló tőkéje 20%-ánál</w:t>
      </w:r>
      <w:r w:rsidR="00D03CD0" w:rsidRPr="00181755">
        <w:rPr>
          <w:rStyle w:val="Lbjegyzet-hivatkozs"/>
          <w:rFonts w:asciiTheme="minorHAnsi" w:hAnsiTheme="minorHAnsi"/>
        </w:rPr>
        <w:footnoteReference w:id="72"/>
      </w:r>
      <w:r w:rsidRPr="00181755">
        <w:rPr>
          <w:rFonts w:asciiTheme="minorHAnsi" w:hAnsiTheme="minorHAnsi"/>
        </w:rPr>
        <w:t xml:space="preserve">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w:t>
      </w:r>
    </w:p>
    <w:p w14:paraId="25129D03" w14:textId="07A5DE23" w:rsidR="00DA1560" w:rsidRPr="00181755" w:rsidRDefault="00DA1560" w:rsidP="00181755">
      <w:pPr>
        <w:rPr>
          <w:rFonts w:asciiTheme="minorHAnsi" w:hAnsiTheme="minorHAnsi"/>
        </w:rPr>
      </w:pPr>
      <w:r w:rsidRPr="00181755">
        <w:rPr>
          <w:rFonts w:asciiTheme="minorHAnsi" w:hAnsiTheme="minorHAnsi"/>
        </w:rPr>
        <w:t xml:space="preserve">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181755">
        <w:rPr>
          <w:rFonts w:asciiTheme="minorHAnsi" w:hAnsiTheme="minorHAnsi"/>
        </w:rPr>
        <w:t>Mindamellett</w:t>
      </w:r>
      <w:r w:rsidRPr="00181755">
        <w:rPr>
          <w:rFonts w:asciiTheme="minorHAnsi" w:hAnsiTheme="minorHAnsi"/>
        </w:rPr>
        <w:t xml:space="preserve"> a tőkeigény változékonysága </w:t>
      </w:r>
      <w:r w:rsidR="00B934A4" w:rsidRPr="00181755">
        <w:rPr>
          <w:rFonts w:asciiTheme="minorHAnsi" w:hAnsiTheme="minorHAnsi"/>
        </w:rPr>
        <w:t>–</w:t>
      </w:r>
      <w:r w:rsidRPr="00181755">
        <w:rPr>
          <w:rFonts w:asciiTheme="minorHAnsi" w:hAnsiTheme="minorHAnsi"/>
        </w:rPr>
        <w:t xml:space="preserve"> az időben stabilabbnak mutatkozóhoz viszonyítva – ténylegesen magasabb kockázati szintre utal, aminek a számításokban történő megjelenítése szintén elvárt.</w:t>
      </w:r>
      <w:r w:rsidRPr="00181755">
        <w:rPr>
          <w:rStyle w:val="Lbjegyzet-hivatkozs"/>
          <w:rFonts w:asciiTheme="minorHAnsi" w:hAnsiTheme="minorHAnsi"/>
        </w:rPr>
        <w:footnoteReference w:id="73"/>
      </w:r>
    </w:p>
    <w:p w14:paraId="0FDF3722" w14:textId="78517E05" w:rsidR="00630D0C" w:rsidRPr="00181755" w:rsidRDefault="00630D0C" w:rsidP="00181755">
      <w:pPr>
        <w:rPr>
          <w:rFonts w:asciiTheme="minorHAnsi" w:hAnsiTheme="minorHAnsi"/>
        </w:rPr>
      </w:pPr>
      <w:r w:rsidRPr="00181755">
        <w:rPr>
          <w:rFonts w:asciiTheme="minorHAnsi" w:hAnsiTheme="minorHAnsi"/>
        </w:rPr>
        <w:t xml:space="preserve">Az MNB fontosnak tartja, hogy </w:t>
      </w:r>
      <w:r w:rsidR="00F00AC0" w:rsidRPr="00181755">
        <w:rPr>
          <w:rFonts w:asciiTheme="minorHAnsi" w:hAnsiTheme="minorHAnsi"/>
        </w:rPr>
        <w:t xml:space="preserve">az </w:t>
      </w:r>
      <w:r w:rsidRPr="00181755">
        <w:rPr>
          <w:rFonts w:asciiTheme="minorHAnsi" w:hAnsiTheme="minorHAnsi"/>
        </w:rPr>
        <w:t xml:space="preserve">intézmények szétválasszák a banki könyvben lévő állampapír portfólió általános kamatkockázatát és spread </w:t>
      </w:r>
      <w:r w:rsidR="00F00AC0" w:rsidRPr="00181755">
        <w:rPr>
          <w:rFonts w:asciiTheme="minorHAnsi" w:hAnsiTheme="minorHAnsi"/>
        </w:rPr>
        <w:t xml:space="preserve">(bond görbe és a swap görbe különbségének) </w:t>
      </w:r>
      <w:r w:rsidRPr="00181755">
        <w:rPr>
          <w:rFonts w:asciiTheme="minorHAnsi" w:hAnsiTheme="minorHAnsi"/>
        </w:rPr>
        <w:t>kockázatát.</w:t>
      </w:r>
      <w:r w:rsidR="007C2C32" w:rsidRPr="00181755">
        <w:rPr>
          <w:rFonts w:asciiTheme="minorHAnsi" w:hAnsiTheme="minorHAnsi"/>
        </w:rPr>
        <w:t xml:space="preserve"> </w:t>
      </w:r>
      <w:r w:rsidR="00B36752" w:rsidRPr="00181755">
        <w:rPr>
          <w:rFonts w:asciiTheme="minorHAnsi" w:hAnsiTheme="minorHAnsi"/>
        </w:rPr>
        <w:t xml:space="preserve">Az MNB nem várja el a banki könyvi kamatkockázat keretében a spread </w:t>
      </w:r>
      <w:r w:rsidR="00F00AC0" w:rsidRPr="00181755">
        <w:rPr>
          <w:rFonts w:asciiTheme="minorHAnsi" w:hAnsiTheme="minorHAnsi"/>
        </w:rPr>
        <w:t>kockázat</w:t>
      </w:r>
      <w:r w:rsidR="00B36752" w:rsidRPr="00181755">
        <w:rPr>
          <w:rFonts w:asciiTheme="minorHAnsi" w:hAnsiTheme="minorHAnsi"/>
        </w:rPr>
        <w:t xml:space="preserve"> tőkekövetelménnyel való lefedését, csupán számítását és riportolását</w:t>
      </w:r>
      <w:r w:rsidR="00E64E59" w:rsidRPr="00181755">
        <w:rPr>
          <w:rFonts w:asciiTheme="minorHAnsi" w:hAnsiTheme="minorHAnsi"/>
        </w:rPr>
        <w:t xml:space="preserve"> (amennyiben </w:t>
      </w:r>
      <w:r w:rsidR="004F0108" w:rsidRPr="00181755">
        <w:rPr>
          <w:rFonts w:asciiTheme="minorHAnsi" w:hAnsiTheme="minorHAnsi"/>
        </w:rPr>
        <w:t>az</w:t>
      </w:r>
      <w:r w:rsidR="00C81222" w:rsidRPr="00181755">
        <w:rPr>
          <w:rFonts w:asciiTheme="minorHAnsi" w:hAnsiTheme="minorHAnsi"/>
        </w:rPr>
        <w:t xml:space="preserve"> a számítások során</w:t>
      </w:r>
      <w:r w:rsidR="00E64E59" w:rsidRPr="00181755">
        <w:rPr>
          <w:rFonts w:asciiTheme="minorHAnsi" w:hAnsiTheme="minorHAnsi"/>
        </w:rPr>
        <w:t xml:space="preserve"> materiálisnak bizonyul)</w:t>
      </w:r>
      <w:r w:rsidR="00C11DCB" w:rsidRPr="00181755">
        <w:rPr>
          <w:rFonts w:asciiTheme="minorHAnsi" w:hAnsiTheme="minorHAnsi"/>
        </w:rPr>
        <w:t>.</w:t>
      </w:r>
    </w:p>
    <w:p w14:paraId="5A3DA621" w14:textId="03568AEA" w:rsidR="00077781" w:rsidRPr="00181755" w:rsidRDefault="00DA1560" w:rsidP="00181755">
      <w:pPr>
        <w:spacing w:after="240"/>
        <w:rPr>
          <w:rFonts w:asciiTheme="minorHAnsi" w:hAnsiTheme="minorHAnsi" w:cs="Calibri"/>
          <w:bCs/>
          <w:szCs w:val="20"/>
        </w:rPr>
      </w:pPr>
      <w:r w:rsidRPr="00181755">
        <w:rPr>
          <w:rFonts w:asciiTheme="minorHAnsi" w:hAnsiTheme="minorHAnsi"/>
          <w:szCs w:val="20"/>
        </w:rPr>
        <w:t xml:space="preserve">A banki könyvi kamatkockázat ICAAP során történő kezelését illetően a jelen </w:t>
      </w:r>
      <w:r w:rsidR="00EB1BE0">
        <w:rPr>
          <w:rFonts w:asciiTheme="minorHAnsi" w:hAnsiTheme="minorHAnsi"/>
          <w:szCs w:val="20"/>
        </w:rPr>
        <w:t>kézikönyvben</w:t>
      </w:r>
      <w:r w:rsidRPr="00181755">
        <w:rPr>
          <w:rFonts w:asciiTheme="minorHAnsi" w:hAnsiTheme="minorHAnsi"/>
          <w:szCs w:val="20"/>
        </w:rPr>
        <w:t xml:space="preserve"> nem részletezett kérdésekben a vonatkozó </w:t>
      </w:r>
      <w:r w:rsidRPr="00181755">
        <w:rPr>
          <w:rFonts w:asciiTheme="minorHAnsi" w:hAnsiTheme="minorHAnsi" w:cs="Calibri"/>
          <w:bCs/>
          <w:szCs w:val="20"/>
        </w:rPr>
        <w:t xml:space="preserve">EBA iránymutatásokban és az MNB-nek a nem kereskedési könyvi kitettségek kamatlábkockázatának méréséről, kezeléséről és kontrolljáról szóló ajánlásában megfogalmazottakat kell irányadónak tekinteni. </w:t>
      </w:r>
    </w:p>
    <w:p w14:paraId="479142F7" w14:textId="77777777" w:rsidR="00433BAF" w:rsidRPr="00181755" w:rsidRDefault="00433BAF" w:rsidP="00181755">
      <w:pPr>
        <w:pStyle w:val="Cmsor3"/>
        <w:rPr>
          <w:rFonts w:asciiTheme="minorHAnsi" w:hAnsiTheme="minorHAnsi"/>
        </w:rPr>
      </w:pPr>
      <w:bookmarkStart w:id="962" w:name="_Toc461547998"/>
      <w:bookmarkStart w:id="963" w:name="_Toc462402038"/>
      <w:bookmarkStart w:id="964" w:name="_Toc462403159"/>
      <w:bookmarkStart w:id="965" w:name="_Toc462403483"/>
      <w:bookmarkStart w:id="966" w:name="_Toc462403912"/>
      <w:bookmarkStart w:id="967" w:name="_Toc462645780"/>
      <w:bookmarkStart w:id="968" w:name="_Toc468180602"/>
      <w:bookmarkStart w:id="969" w:name="_Toc468181083"/>
      <w:bookmarkStart w:id="970" w:name="_Toc461547999"/>
      <w:bookmarkStart w:id="971" w:name="_Toc462402039"/>
      <w:bookmarkStart w:id="972" w:name="_Toc462403160"/>
      <w:bookmarkStart w:id="973" w:name="_Toc462403484"/>
      <w:bookmarkStart w:id="974" w:name="_Toc462403913"/>
      <w:bookmarkStart w:id="975" w:name="_Toc462645781"/>
      <w:bookmarkStart w:id="976" w:name="_Toc468180603"/>
      <w:bookmarkStart w:id="977" w:name="_Toc468181084"/>
      <w:bookmarkStart w:id="978" w:name="_Toc461095231"/>
      <w:bookmarkStart w:id="979" w:name="_Toc461179887"/>
      <w:bookmarkStart w:id="980" w:name="_Toc461548000"/>
      <w:bookmarkStart w:id="981" w:name="_Toc462402040"/>
      <w:bookmarkStart w:id="982" w:name="_Toc462403161"/>
      <w:bookmarkStart w:id="983" w:name="_Toc462403485"/>
      <w:bookmarkStart w:id="984" w:name="_Toc468180604"/>
      <w:bookmarkStart w:id="985" w:name="_Toc468181085"/>
      <w:bookmarkStart w:id="986" w:name="_Toc468191469"/>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r w:rsidRPr="00181755">
        <w:rPr>
          <w:rFonts w:asciiTheme="minorHAnsi" w:hAnsiTheme="minorHAnsi"/>
          <w:lang w:val="hu-HU"/>
        </w:rPr>
        <w:t>Modellkockázat</w:t>
      </w:r>
      <w:bookmarkEnd w:id="978"/>
      <w:bookmarkEnd w:id="979"/>
      <w:bookmarkEnd w:id="980"/>
      <w:bookmarkEnd w:id="981"/>
      <w:bookmarkEnd w:id="982"/>
      <w:bookmarkEnd w:id="983"/>
      <w:bookmarkEnd w:id="984"/>
      <w:bookmarkEnd w:id="985"/>
      <w:bookmarkEnd w:id="986"/>
    </w:p>
    <w:p w14:paraId="43DAB565" w14:textId="4974B0EA" w:rsidR="00077781" w:rsidRPr="00181755" w:rsidRDefault="00077781" w:rsidP="00181755">
      <w:pPr>
        <w:rPr>
          <w:rFonts w:asciiTheme="minorHAnsi" w:hAnsiTheme="minorHAnsi"/>
          <w:b/>
        </w:rPr>
      </w:pPr>
      <w:r w:rsidRPr="00181755">
        <w:rPr>
          <w:rFonts w:asciiTheme="minorHAnsi" w:hAnsiTheme="minorHAnsi"/>
          <w:b/>
        </w:rPr>
        <w:t>Definíció</w:t>
      </w:r>
    </w:p>
    <w:p w14:paraId="0F68A252" w14:textId="003AEB42" w:rsidR="00433BAF" w:rsidRPr="00181755" w:rsidRDefault="00433BAF" w:rsidP="00181755">
      <w:pPr>
        <w:rPr>
          <w:rFonts w:asciiTheme="minorHAnsi" w:hAnsiTheme="minorHAnsi"/>
        </w:rPr>
      </w:pPr>
      <w:r w:rsidRPr="00181755">
        <w:rPr>
          <w:rFonts w:asciiTheme="minorHAnsi" w:hAnsiTheme="minorHAnsi"/>
        </w:rPr>
        <w:t xml:space="preserve">Az új EBA SREP </w:t>
      </w:r>
      <w:r w:rsidR="00CA0515" w:rsidRPr="00181755">
        <w:rPr>
          <w:rFonts w:asciiTheme="minorHAnsi" w:hAnsiTheme="minorHAnsi"/>
        </w:rPr>
        <w:t>Ajánlás</w:t>
      </w:r>
      <w:r w:rsidRPr="00181755">
        <w:rPr>
          <w:rFonts w:asciiTheme="minorHAnsi" w:hAnsiTheme="minorHAnsi"/>
        </w:rPr>
        <w:t xml:space="preserve"> a modellkockázatok két eltérő formáját különbözteti meg:</w:t>
      </w:r>
    </w:p>
    <w:p w14:paraId="3C27EBCC" w14:textId="77777777" w:rsidR="00433BAF" w:rsidRPr="00181755" w:rsidRDefault="00433BAF" w:rsidP="00181755">
      <w:pPr>
        <w:numPr>
          <w:ilvl w:val="0"/>
          <w:numId w:val="21"/>
        </w:numPr>
        <w:rPr>
          <w:rFonts w:asciiTheme="minorHAnsi" w:hAnsiTheme="minorHAnsi"/>
        </w:rPr>
      </w:pPr>
      <w:r w:rsidRPr="00181755">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181755" w:rsidRDefault="00433BAF" w:rsidP="00181755">
      <w:pPr>
        <w:numPr>
          <w:ilvl w:val="0"/>
          <w:numId w:val="21"/>
        </w:numPr>
        <w:rPr>
          <w:rFonts w:asciiTheme="minorHAnsi" w:hAnsiTheme="minorHAnsi"/>
        </w:rPr>
      </w:pPr>
      <w:r w:rsidRPr="00181755">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181755">
        <w:rPr>
          <w:rFonts w:asciiTheme="minorHAnsi" w:hAnsiTheme="minorHAnsi"/>
        </w:rPr>
        <w:t>, ügyfélminősítés, értékvesztés képzés</w:t>
      </w:r>
      <w:r w:rsidRPr="00181755">
        <w:rPr>
          <w:rFonts w:asciiTheme="minorHAnsi" w:hAnsiTheme="minorHAnsi"/>
        </w:rPr>
        <w:t xml:space="preserve"> stb.).</w:t>
      </w:r>
    </w:p>
    <w:p w14:paraId="72231B4E" w14:textId="6F5FE84A" w:rsidR="00433BAF" w:rsidRPr="00181755" w:rsidRDefault="00433BAF" w:rsidP="00181755">
      <w:pPr>
        <w:rPr>
          <w:rFonts w:asciiTheme="minorHAnsi" w:hAnsiTheme="minorHAnsi"/>
        </w:rPr>
      </w:pPr>
      <w:r w:rsidRPr="00181755">
        <w:rPr>
          <w:rFonts w:asciiTheme="minorHAnsi" w:hAnsiTheme="minorHAnsi"/>
        </w:rPr>
        <w:t xml:space="preserve">A fenti pontok közül az a) kapcsán az EBA </w:t>
      </w:r>
      <w:r w:rsidR="00CA0515" w:rsidRPr="00181755">
        <w:rPr>
          <w:rFonts w:asciiTheme="minorHAnsi" w:hAnsiTheme="minorHAnsi"/>
        </w:rPr>
        <w:t>SREP Ajánlás</w:t>
      </w:r>
      <w:r w:rsidRPr="00181755">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3485C16E" w:rsidR="00077781" w:rsidRPr="00181755" w:rsidRDefault="00077781" w:rsidP="00181755">
      <w:pPr>
        <w:autoSpaceDE w:val="0"/>
        <w:autoSpaceDN w:val="0"/>
        <w:adjustRightInd w:val="0"/>
        <w:spacing w:after="150"/>
        <w:rPr>
          <w:rFonts w:asciiTheme="minorHAnsi" w:eastAsia="Calibri" w:hAnsiTheme="minorHAnsi" w:cs="Calibri"/>
          <w:b/>
        </w:rPr>
      </w:pPr>
      <w:r w:rsidRPr="00181755">
        <w:rPr>
          <w:rFonts w:asciiTheme="minorHAnsi" w:eastAsia="Calibri" w:hAnsiTheme="minorHAnsi" w:cs="Calibri"/>
          <w:b/>
        </w:rPr>
        <w:t xml:space="preserve">Kockázatértékelés és </w:t>
      </w:r>
      <w:r w:rsidR="00042A3D" w:rsidRPr="00181755">
        <w:rPr>
          <w:rFonts w:asciiTheme="minorHAnsi" w:eastAsia="Calibri" w:hAnsiTheme="minorHAnsi" w:cs="Calibri"/>
          <w:b/>
        </w:rPr>
        <w:t>-</w:t>
      </w:r>
      <w:r w:rsidRPr="00181755">
        <w:rPr>
          <w:rFonts w:asciiTheme="minorHAnsi" w:eastAsia="Calibri" w:hAnsiTheme="minorHAnsi" w:cs="Calibri"/>
          <w:b/>
        </w:rPr>
        <w:t>kezelés</w:t>
      </w:r>
    </w:p>
    <w:p w14:paraId="47DB677C" w14:textId="5BB092ED"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w:t>
      </w:r>
      <w:r w:rsidRPr="00181755">
        <w:rPr>
          <w:rFonts w:asciiTheme="minorHAnsi" w:eastAsia="Calibri" w:hAnsiTheme="minorHAnsi" w:cs="Calibri"/>
          <w:b/>
        </w:rPr>
        <w:t>a) pont alatt bemutatott modellkockázat</w:t>
      </w:r>
      <w:r w:rsidRPr="00181755">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181755">
        <w:rPr>
          <w:rFonts w:asciiTheme="minorHAnsi" w:eastAsia="Calibri" w:hAnsiTheme="minorHAnsi" w:cs="Calibri"/>
        </w:rPr>
        <w:t xml:space="preserve">ok megfelelő </w:t>
      </w:r>
      <w:r w:rsidRPr="00181755">
        <w:rPr>
          <w:rFonts w:asciiTheme="minorHAnsi" w:eastAsia="Calibri" w:hAnsiTheme="minorHAnsi" w:cs="Calibri"/>
        </w:rPr>
        <w:t>kezelés</w:t>
      </w:r>
      <w:r w:rsidR="00A33FBA" w:rsidRPr="00181755">
        <w:rPr>
          <w:rFonts w:asciiTheme="minorHAnsi" w:eastAsia="Calibri" w:hAnsiTheme="minorHAnsi" w:cs="Calibri"/>
        </w:rPr>
        <w:t>e</w:t>
      </w:r>
      <w:r w:rsidRPr="00181755">
        <w:rPr>
          <w:rFonts w:asciiTheme="minorHAnsi" w:eastAsia="Calibri" w:hAnsiTheme="minorHAnsi" w:cs="Calibr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20017CD8"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egyszerűbb tőkeszámítási módszerek alkalmazása (hitelezési kockázat alulbecslése sztenderd módszer alkalmazása esetén, ill</w:t>
      </w:r>
      <w:r w:rsidR="00A33FBA" w:rsidRPr="00181755">
        <w:rPr>
          <w:rFonts w:asciiTheme="minorHAnsi" w:eastAsia="Calibri" w:hAnsiTheme="minorHAnsi" w:cs="Calibri"/>
        </w:rPr>
        <w:t>etve</w:t>
      </w:r>
      <w:r w:rsidRPr="00181755">
        <w:rPr>
          <w:rFonts w:asciiTheme="minorHAnsi" w:eastAsia="Calibri" w:hAnsiTheme="minorHAnsi" w:cs="Calibr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181755" w:rsidRDefault="00433BAF" w:rsidP="00181755">
      <w:pPr>
        <w:rPr>
          <w:rFonts w:asciiTheme="minorHAnsi" w:eastAsia="Calibri" w:hAnsiTheme="minorHAnsi" w:cs="Calibri"/>
        </w:rPr>
      </w:pPr>
      <w:r w:rsidRPr="00181755">
        <w:rPr>
          <w:rFonts w:asciiTheme="minorHAnsi" w:eastAsia="Calibri" w:hAnsiTheme="minorHAnsi" w:cs="Calibri"/>
        </w:rPr>
        <w:t>Amennyiben a felügyeleti felülvizsgálat úgy ítéli meg, hogy az intézmény által alkalmazott módszerek</w:t>
      </w:r>
      <w:r w:rsidR="00E368A0" w:rsidRPr="00181755">
        <w:rPr>
          <w:rFonts w:asciiTheme="minorHAnsi" w:eastAsia="Calibri" w:hAnsiTheme="minorHAnsi" w:cs="Calibri"/>
        </w:rPr>
        <w:t xml:space="preserve">, paraméterbecslések, </w:t>
      </w:r>
      <w:r w:rsidRPr="00181755">
        <w:rPr>
          <w:rFonts w:asciiTheme="minorHAnsi" w:eastAsia="Calibri" w:hAnsiTheme="minorHAnsi" w:cs="Calibri"/>
        </w:rPr>
        <w:t>és eljárások nem kielégítőek,</w:t>
      </w:r>
      <w:r w:rsidR="00E368A0" w:rsidRPr="00181755">
        <w:rPr>
          <w:rFonts w:asciiTheme="minorHAnsi" w:eastAsia="Calibri" w:hAnsiTheme="minorHAnsi" w:cs="Calibri"/>
        </w:rPr>
        <w:t xml:space="preserve"> az adatminőség nem megfele</w:t>
      </w:r>
      <w:r w:rsidR="00A33FBA" w:rsidRPr="00181755">
        <w:rPr>
          <w:rFonts w:asciiTheme="minorHAnsi" w:eastAsia="Calibri" w:hAnsiTheme="minorHAnsi" w:cs="Calibri"/>
        </w:rPr>
        <w:t>l</w:t>
      </w:r>
      <w:r w:rsidR="00E368A0" w:rsidRPr="00181755">
        <w:rPr>
          <w:rFonts w:asciiTheme="minorHAnsi" w:eastAsia="Calibri" w:hAnsiTheme="minorHAnsi" w:cs="Calibri"/>
        </w:rPr>
        <w:t>ő,</w:t>
      </w:r>
      <w:r w:rsidRPr="00181755">
        <w:rPr>
          <w:rFonts w:asciiTheme="minorHAnsi" w:eastAsia="Calibri" w:hAnsiTheme="minorHAnsi" w:cs="Calibri"/>
        </w:rPr>
        <w:t xml:space="preserve"> illetve az intézmény kimutatott minimum tőkeszükséglete nem elegendő a kockázatok fedez</w:t>
      </w:r>
      <w:r w:rsidR="00A33FBA" w:rsidRPr="00181755">
        <w:rPr>
          <w:rFonts w:asciiTheme="minorHAnsi" w:eastAsia="Calibri" w:hAnsiTheme="minorHAnsi" w:cs="Calibri"/>
        </w:rPr>
        <w:t>ésére</w:t>
      </w:r>
      <w:r w:rsidRPr="00181755">
        <w:rPr>
          <w:rFonts w:asciiTheme="minorHAnsi" w:eastAsia="Calibri" w:hAnsiTheme="minorHAnsi" w:cs="Calibri"/>
        </w:rPr>
        <w:t>, az MNB a 2. pillérben az ICAAP felülvizsgálata során a kockázatkontroll minőség javításának előírásán túl – kellő indoklás mellett – pótlólagos tőke</w:t>
      </w:r>
      <w:r w:rsidR="00A33FBA" w:rsidRPr="00181755">
        <w:rPr>
          <w:rFonts w:asciiTheme="minorHAnsi" w:eastAsia="Calibri" w:hAnsiTheme="minorHAnsi" w:cs="Calibri"/>
        </w:rPr>
        <w:t>követelményt</w:t>
      </w:r>
      <w:r w:rsidRPr="00181755">
        <w:rPr>
          <w:rFonts w:asciiTheme="minorHAnsi" w:eastAsia="Calibri" w:hAnsiTheme="minorHAnsi" w:cs="Calibri"/>
        </w:rPr>
        <w:t xml:space="preserve"> írhat elő.</w:t>
      </w:r>
    </w:p>
    <w:p w14:paraId="06CC7ACC" w14:textId="77777777" w:rsidR="00433BAF" w:rsidRPr="00181755" w:rsidRDefault="00433BAF" w:rsidP="00181755">
      <w:pPr>
        <w:rPr>
          <w:rFonts w:asciiTheme="minorHAnsi" w:hAnsiTheme="minorHAnsi"/>
        </w:rPr>
      </w:pPr>
      <w:r w:rsidRPr="00181755">
        <w:rPr>
          <w:rFonts w:asciiTheme="minorHAnsi" w:hAnsiTheme="minorHAnsi"/>
        </w:rPr>
        <w:t xml:space="preserve">Az MNB a tőkeszámítási eljárások inherens bizonytalanságából vagy azok gondatlan alkalmazásából fakadó kockázatot mindenkor materiálisnak tekinti, ideértve a sztenderd módszereket, 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181755" w:rsidRDefault="00433BAF" w:rsidP="00181755">
      <w:pPr>
        <w:pStyle w:val="felsorolsos"/>
        <w:rPr>
          <w:rFonts w:asciiTheme="minorHAnsi" w:hAnsiTheme="minorHAnsi"/>
        </w:rPr>
      </w:pPr>
      <w:r w:rsidRPr="00181755">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181755">
        <w:rPr>
          <w:rFonts w:asciiTheme="minorHAnsi" w:hAnsiTheme="minorHAnsi"/>
          <w:lang w:val="hu-HU"/>
        </w:rPr>
        <w:t>,</w:t>
      </w:r>
    </w:p>
    <w:p w14:paraId="3BA84548" w14:textId="446700CC" w:rsidR="00433BAF" w:rsidRPr="00181755" w:rsidRDefault="00433BAF" w:rsidP="00181755">
      <w:pPr>
        <w:pStyle w:val="felsorolsos"/>
        <w:rPr>
          <w:rFonts w:asciiTheme="minorHAnsi" w:hAnsiTheme="minorHAnsi"/>
        </w:rPr>
      </w:pPr>
      <w:r w:rsidRPr="00181755">
        <w:rPr>
          <w:rFonts w:asciiTheme="minorHAnsi" w:hAnsiTheme="minorHAnsi"/>
        </w:rPr>
        <w:t>érzékenységvizsgálatokkal és stressz-tesztekkel törekedjenek a kockázati kitettség minél pontosabb körülhatárolására és jobb alátámasztására</w:t>
      </w:r>
      <w:r w:rsidR="00B934A4" w:rsidRPr="00181755">
        <w:rPr>
          <w:rFonts w:asciiTheme="minorHAnsi" w:hAnsiTheme="minorHAnsi"/>
          <w:lang w:val="hu-HU"/>
        </w:rPr>
        <w:t>,</w:t>
      </w:r>
    </w:p>
    <w:p w14:paraId="4176AF00" w14:textId="3E966654" w:rsidR="00433BAF" w:rsidRPr="00181755" w:rsidRDefault="00433BAF" w:rsidP="00181755">
      <w:pPr>
        <w:pStyle w:val="felsorolsos"/>
        <w:rPr>
          <w:rFonts w:asciiTheme="minorHAnsi" w:hAnsiTheme="minorHAnsi"/>
        </w:rPr>
      </w:pPr>
      <w:r w:rsidRPr="00181755">
        <w:rPr>
          <w:rFonts w:asciiTheme="minorHAnsi" w:hAnsiTheme="minorHAnsi"/>
        </w:rPr>
        <w:t>kellően konzervatív paraméterekkel ellensúlyozzák a modellhibák esetleges tőkecsökkentő hatását</w:t>
      </w:r>
      <w:r w:rsidR="00E368A0" w:rsidRPr="00181755">
        <w:rPr>
          <w:rFonts w:asciiTheme="minorHAnsi" w:hAnsiTheme="minorHAnsi"/>
          <w:lang w:val="hu-HU"/>
        </w:rPr>
        <w:t>, valamint kezeljék a gyenge adatminőség miatti potenciális torzításokat</w:t>
      </w:r>
      <w:r w:rsidR="00B934A4" w:rsidRPr="00181755">
        <w:rPr>
          <w:rFonts w:asciiTheme="minorHAnsi" w:hAnsiTheme="minorHAnsi"/>
          <w:lang w:val="hu-HU"/>
        </w:rPr>
        <w:t>,</w:t>
      </w:r>
    </w:p>
    <w:p w14:paraId="012476A9" w14:textId="77777777" w:rsidR="00433BAF" w:rsidRPr="00181755" w:rsidRDefault="00433BAF" w:rsidP="00181755">
      <w:pPr>
        <w:pStyle w:val="felsorolsos"/>
        <w:rPr>
          <w:rFonts w:asciiTheme="minorHAnsi" w:hAnsiTheme="minorHAnsi"/>
        </w:rPr>
      </w:pPr>
      <w:r w:rsidRPr="00181755">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2218D5EB" w:rsidR="00433BAF" w:rsidRPr="00181755" w:rsidRDefault="00DA106D" w:rsidP="00181755">
      <w:pPr>
        <w:rPr>
          <w:rFonts w:asciiTheme="minorHAnsi" w:eastAsia="Calibri" w:hAnsiTheme="minorHAnsi" w:cs="Calibri"/>
        </w:rPr>
      </w:pPr>
      <w:r w:rsidRPr="00181755">
        <w:rPr>
          <w:rFonts w:asciiTheme="minorHAnsi" w:hAnsiTheme="minorHAnsi"/>
        </w:rPr>
        <w:t xml:space="preserve">A modellező területtől független szervezeti egység vagy az anyabank által végrehajtott modell validáció kockázatcsökkentő tényező lehet. </w:t>
      </w:r>
      <w:r w:rsidR="00433BAF" w:rsidRPr="00181755">
        <w:rPr>
          <w:rFonts w:asciiTheme="minorHAnsi" w:hAnsiTheme="minorHAnsi"/>
        </w:rPr>
        <w:t>. 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181755" w:rsidRDefault="00433BAF" w:rsidP="00181755">
      <w:pPr>
        <w:autoSpaceDE w:val="0"/>
        <w:autoSpaceDN w:val="0"/>
        <w:adjustRightInd w:val="0"/>
        <w:spacing w:after="0"/>
        <w:rPr>
          <w:rFonts w:asciiTheme="minorHAnsi" w:eastAsia="Calibri" w:hAnsiTheme="minorHAnsi" w:cs="Calibri"/>
        </w:rPr>
      </w:pPr>
      <w:r w:rsidRPr="00181755">
        <w:rPr>
          <w:rFonts w:asciiTheme="minorHAnsi" w:eastAsia="Calibri" w:hAnsiTheme="minorHAnsi" w:cs="Calibri"/>
        </w:rPr>
        <w:t xml:space="preserve">Az MNB </w:t>
      </w:r>
      <w:r w:rsidRPr="00181755">
        <w:rPr>
          <w:rFonts w:asciiTheme="minorHAnsi" w:eastAsia="Calibri" w:hAnsiTheme="minorHAnsi" w:cs="Calibri"/>
          <w:b/>
        </w:rPr>
        <w:t>a b) pontban nevesített, így a működési kockázatokhoz sorolt modellkockázat</w:t>
      </w:r>
      <w:r w:rsidRPr="00181755">
        <w:rPr>
          <w:rFonts w:asciiTheme="minorHAnsi" w:eastAsia="Calibri" w:hAnsiTheme="minorHAnsi" w:cs="Calibri"/>
        </w:rPr>
        <w:t xml:space="preserve"> értékelése körében meghatározza azokat az üzletágakat/tevékenységeket, mely</w:t>
      </w:r>
      <w:r w:rsidR="00A33FBA" w:rsidRPr="00181755">
        <w:rPr>
          <w:rFonts w:asciiTheme="minorHAnsi" w:eastAsia="Calibri" w:hAnsiTheme="minorHAnsi" w:cs="Calibri"/>
        </w:rPr>
        <w:t>ek</w:t>
      </w:r>
      <w:r w:rsidRPr="00181755">
        <w:rPr>
          <w:rFonts w:asciiTheme="minorHAnsi" w:eastAsia="Calibri" w:hAnsiTheme="minorHAnsi" w:cs="Calibri"/>
        </w:rPr>
        <w:t>nél az intézmény modellhasználata lényeges. Azon üzleti területek esetében, amelyeken jelentős a modellek használata, az MNB értékeli, hogy mennyire lehet jelentős a modellkockázat hatása.</w:t>
      </w:r>
    </w:p>
    <w:p w14:paraId="4B448CB9" w14:textId="77777777" w:rsidR="00433BAF" w:rsidRPr="00181755" w:rsidRDefault="00433BAF" w:rsidP="00181755">
      <w:pPr>
        <w:autoSpaceDE w:val="0"/>
        <w:autoSpaceDN w:val="0"/>
        <w:adjustRightInd w:val="0"/>
        <w:spacing w:after="0"/>
        <w:jc w:val="left"/>
        <w:rPr>
          <w:rFonts w:asciiTheme="minorHAnsi" w:eastAsia="Calibri" w:hAnsiTheme="minorHAnsi" w:cs="Calibri"/>
        </w:rPr>
      </w:pPr>
    </w:p>
    <w:p w14:paraId="1FD76BD4" w14:textId="77777777" w:rsidR="00433BAF" w:rsidRPr="00181755" w:rsidRDefault="00433BAF"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MNB a modellkockázat azonosítása és kezelése körében különösen a következőket értékeli, illetve várja el:</w:t>
      </w:r>
    </w:p>
    <w:p w14:paraId="26505698"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181755" w:rsidRDefault="00433BAF" w:rsidP="00181755">
      <w:pPr>
        <w:numPr>
          <w:ilvl w:val="0"/>
          <w:numId w:val="48"/>
        </w:numPr>
        <w:autoSpaceDE w:val="0"/>
        <w:autoSpaceDN w:val="0"/>
        <w:adjustRightInd w:val="0"/>
        <w:spacing w:after="150"/>
        <w:rPr>
          <w:rStyle w:val="Megllapts2"/>
          <w:rFonts w:asciiTheme="minorHAnsi" w:hAnsiTheme="minorHAnsi"/>
          <w:b w:val="0"/>
        </w:rPr>
      </w:pPr>
      <w:r w:rsidRPr="00181755">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181755">
        <w:rPr>
          <w:rFonts w:asciiTheme="minorHAnsi" w:hAnsiTheme="minorHAnsi"/>
        </w:rPr>
        <w:t>mel</w:t>
      </w:r>
      <w:r w:rsidR="00A33FBA" w:rsidRPr="00181755">
        <w:rPr>
          <w:rFonts w:asciiTheme="minorHAnsi" w:hAnsiTheme="minorHAnsi"/>
        </w:rPr>
        <w:t>lyel kapcsolatban az MNB az alábbi</w:t>
      </w:r>
      <w:r w:rsidRPr="00181755">
        <w:rPr>
          <w:rFonts w:asciiTheme="minorHAnsi" w:hAnsiTheme="minorHAnsi"/>
        </w:rPr>
        <w:t xml:space="preserve"> minimális elvárás</w:t>
      </w:r>
      <w:r w:rsidR="00A33FBA" w:rsidRPr="00181755">
        <w:rPr>
          <w:rFonts w:asciiTheme="minorHAnsi" w:hAnsiTheme="minorHAnsi"/>
        </w:rPr>
        <w:t>okat fogalmazza meg</w:t>
      </w:r>
      <w:r w:rsidRPr="00181755">
        <w:rPr>
          <w:rStyle w:val="Megllapts2"/>
          <w:rFonts w:asciiTheme="minorHAnsi" w:hAnsiTheme="minorHAnsi"/>
          <w:b w:val="0"/>
        </w:rPr>
        <w:t>:</w:t>
      </w:r>
    </w:p>
    <w:p w14:paraId="6A583601"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kerüljön bemutatásra az, hogy a modellnek aktuálisan mely verziója implementált és ezen implementáció dátuma, </w:t>
      </w:r>
    </w:p>
    <w:p w14:paraId="213D9800"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kerüljenek </w:t>
      </w:r>
      <w:r w:rsidR="007870BA" w:rsidRPr="00181755">
        <w:rPr>
          <w:rFonts w:asciiTheme="minorHAnsi" w:hAnsiTheme="minorHAnsi"/>
        </w:rPr>
        <w:t>a modell üzemeltetésével kapcsolatos felelősségi körök modell szinten megnevezésre</w:t>
      </w:r>
      <w:r w:rsidR="007870BA" w:rsidRPr="00181755">
        <w:rPr>
          <w:rStyle w:val="Lbjegyzet-hivatkozs"/>
          <w:rFonts w:asciiTheme="minorHAnsi" w:hAnsiTheme="minorHAnsi"/>
        </w:rPr>
        <w:footnoteReference w:id="74"/>
      </w:r>
      <w:r w:rsidRPr="00181755">
        <w:rPr>
          <w:rFonts w:asciiTheme="minorHAnsi" w:hAnsiTheme="minorHAnsi"/>
        </w:rPr>
        <w:t>,</w:t>
      </w:r>
    </w:p>
    <w:p w14:paraId="501B485D"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kerüljön rögzítésre minden esetben az, ha a modellhez kapcsolódik termék vagy szegmens,</w:t>
      </w:r>
    </w:p>
    <w:p w14:paraId="41B4088D"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181755" w:rsidRDefault="00433BAF" w:rsidP="00181755">
      <w:pPr>
        <w:numPr>
          <w:ilvl w:val="0"/>
          <w:numId w:val="50"/>
        </w:numPr>
        <w:spacing w:after="240"/>
        <w:ind w:left="714" w:hanging="357"/>
        <w:rPr>
          <w:rFonts w:asciiTheme="minorHAnsi" w:hAnsiTheme="minorHAnsi"/>
        </w:rPr>
      </w:pPr>
      <w:r w:rsidRPr="00181755">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181755" w:rsidRDefault="003F7941" w:rsidP="00181755">
      <w:pPr>
        <w:pStyle w:val="Cmsor3"/>
        <w:rPr>
          <w:rStyle w:val="Kiemels"/>
          <w:rFonts w:asciiTheme="minorHAnsi" w:hAnsiTheme="minorHAnsi"/>
          <w:i/>
        </w:rPr>
      </w:pPr>
      <w:bookmarkStart w:id="987" w:name="_Toc468181086"/>
      <w:bookmarkStart w:id="988" w:name="_Toc468181087"/>
      <w:bookmarkStart w:id="989" w:name="_Toc468181088"/>
      <w:bookmarkStart w:id="990" w:name="_Toc468181089"/>
      <w:bookmarkStart w:id="991" w:name="_Toc468181090"/>
      <w:bookmarkStart w:id="992" w:name="_Toc468181091"/>
      <w:bookmarkStart w:id="993" w:name="_Toc468181092"/>
      <w:bookmarkStart w:id="994" w:name="_Toc468181093"/>
      <w:bookmarkStart w:id="995" w:name="_Toc468181094"/>
      <w:bookmarkStart w:id="996" w:name="_Toc468181095"/>
      <w:bookmarkStart w:id="997" w:name="_Toc461548011"/>
      <w:bookmarkStart w:id="998" w:name="_Toc462402051"/>
      <w:bookmarkStart w:id="999" w:name="_Toc462403172"/>
      <w:bookmarkStart w:id="1000" w:name="_Toc462403496"/>
      <w:bookmarkStart w:id="1001" w:name="_Toc462403925"/>
      <w:bookmarkStart w:id="1002" w:name="_Toc462645793"/>
      <w:bookmarkStart w:id="1003" w:name="_Toc468180615"/>
      <w:bookmarkStart w:id="1004" w:name="_Toc468181096"/>
      <w:bookmarkStart w:id="1005" w:name="_Toc468181097"/>
      <w:bookmarkStart w:id="1006" w:name="_Toc468181098"/>
      <w:bookmarkStart w:id="1007" w:name="_Toc468181099"/>
      <w:bookmarkStart w:id="1008" w:name="_Toc468181100"/>
      <w:bookmarkStart w:id="1009" w:name="_Toc468181101"/>
      <w:bookmarkStart w:id="1010" w:name="_Toc468181102"/>
      <w:bookmarkStart w:id="1011" w:name="_Toc468181103"/>
      <w:bookmarkStart w:id="1012" w:name="_Toc468181104"/>
      <w:bookmarkStart w:id="1013" w:name="_Toc468181105"/>
      <w:bookmarkStart w:id="1014" w:name="_Toc468181106"/>
      <w:bookmarkStart w:id="1015" w:name="_Toc461548022"/>
      <w:bookmarkStart w:id="1016" w:name="_Toc462402062"/>
      <w:bookmarkStart w:id="1017" w:name="_Toc462403183"/>
      <w:bookmarkStart w:id="1018" w:name="_Toc462403507"/>
      <w:bookmarkStart w:id="1019" w:name="_Toc462403936"/>
      <w:bookmarkStart w:id="1020" w:name="_Toc462645804"/>
      <w:bookmarkStart w:id="1021" w:name="_Toc468180626"/>
      <w:bookmarkStart w:id="1022" w:name="_Toc468181107"/>
      <w:bookmarkStart w:id="1023" w:name="_A_banki_könyv"/>
      <w:bookmarkStart w:id="1024" w:name="_Toc468181108"/>
      <w:bookmarkStart w:id="1025" w:name="_Toc468181109"/>
      <w:bookmarkStart w:id="1026" w:name="_Toc468181110"/>
      <w:bookmarkStart w:id="1027" w:name="_Toc468181111"/>
      <w:bookmarkStart w:id="1028" w:name="_Toc468181112"/>
      <w:bookmarkStart w:id="1029" w:name="_Toc468181113"/>
      <w:bookmarkStart w:id="1030" w:name="_Toc468181114"/>
      <w:bookmarkStart w:id="1031" w:name="_Toc468181115"/>
      <w:bookmarkStart w:id="1032" w:name="_Toc468181116"/>
      <w:bookmarkStart w:id="1033" w:name="_Toc468181117"/>
      <w:bookmarkStart w:id="1034" w:name="_Toc461548033"/>
      <w:bookmarkStart w:id="1035" w:name="_Toc462402073"/>
      <w:bookmarkStart w:id="1036" w:name="_Toc462403194"/>
      <w:bookmarkStart w:id="1037" w:name="_Toc462403518"/>
      <w:bookmarkStart w:id="1038" w:name="_Toc462403947"/>
      <w:bookmarkStart w:id="1039" w:name="_Toc462645815"/>
      <w:bookmarkStart w:id="1040" w:name="_Toc468180637"/>
      <w:bookmarkStart w:id="1041" w:name="_Toc468181118"/>
      <w:bookmarkStart w:id="1042" w:name="_Toc468181119"/>
      <w:bookmarkStart w:id="1043" w:name="_III.2.3.4_Likviditási_kockázat"/>
      <w:bookmarkStart w:id="1044" w:name="_Toc468181120"/>
      <w:bookmarkStart w:id="1045" w:name="_Toc468181121"/>
      <w:bookmarkStart w:id="1046" w:name="_Toc468181122"/>
      <w:bookmarkStart w:id="1047" w:name="_Toc461095233"/>
      <w:bookmarkStart w:id="1048" w:name="_Toc461179889"/>
      <w:bookmarkStart w:id="1049" w:name="_Toc461548038"/>
      <w:bookmarkStart w:id="1050" w:name="_Toc462402078"/>
      <w:bookmarkStart w:id="1051" w:name="_Toc462403199"/>
      <w:bookmarkStart w:id="1052" w:name="_Toc462403523"/>
      <w:bookmarkStart w:id="1053" w:name="_Toc468180642"/>
      <w:bookmarkStart w:id="1054" w:name="_Toc468181123"/>
      <w:bookmarkStart w:id="1055" w:name="_Toc468191470"/>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181755">
        <w:rPr>
          <w:rStyle w:val="Kiemels"/>
          <w:rFonts w:asciiTheme="minorHAnsi" w:hAnsiTheme="minorHAnsi"/>
          <w:i/>
        </w:rPr>
        <w:t>Kockázatos portfóliók</w:t>
      </w:r>
      <w:bookmarkEnd w:id="1047"/>
      <w:bookmarkEnd w:id="1048"/>
      <w:bookmarkEnd w:id="1049"/>
      <w:bookmarkEnd w:id="1050"/>
      <w:bookmarkEnd w:id="1051"/>
      <w:bookmarkEnd w:id="1052"/>
      <w:bookmarkEnd w:id="1053"/>
      <w:bookmarkEnd w:id="1054"/>
      <w:bookmarkEnd w:id="1055"/>
    </w:p>
    <w:p w14:paraId="66B155E0" w14:textId="46AAB073" w:rsidR="00A050B8" w:rsidRPr="00181755" w:rsidRDefault="003F7941" w:rsidP="008C1553">
      <w:pPr>
        <w:spacing w:after="240"/>
        <w:rPr>
          <w:rFonts w:asciiTheme="minorHAnsi" w:hAnsiTheme="minorHAnsi"/>
        </w:rPr>
      </w:pPr>
      <w:r w:rsidRPr="00181755">
        <w:rPr>
          <w:rFonts w:asciiTheme="minorHAnsi" w:hAnsiTheme="minorHAnsi"/>
        </w:rPr>
        <w:t xml:space="preserve">Az MNB minden évben megjelenteti a kockázatos portfóliókról szóló tájékoztatóját,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181755">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181755">
        <w:rPr>
          <w:rFonts w:asciiTheme="minorHAnsi" w:hAnsiTheme="minorHAnsi"/>
        </w:rPr>
        <w:t>leányvállalatok portfóliói</w:t>
      </w:r>
      <w:r w:rsidR="006B2272" w:rsidRPr="00181755">
        <w:rPr>
          <w:rFonts w:asciiTheme="minorHAnsi" w:hAnsiTheme="minorHAnsi"/>
        </w:rPr>
        <w:t xml:space="preserve"> esetén, amennyiben ezt a helyi saját</w:t>
      </w:r>
      <w:r w:rsidR="006D4F56" w:rsidRPr="00181755">
        <w:rPr>
          <w:rFonts w:asciiTheme="minorHAnsi" w:hAnsiTheme="minorHAnsi"/>
        </w:rPr>
        <w:t xml:space="preserve">osságok indokolják, eltérhet a tájékoztatóban </w:t>
      </w:r>
      <w:r w:rsidR="006B2272" w:rsidRPr="00181755">
        <w:rPr>
          <w:rFonts w:asciiTheme="minorHAnsi" w:hAnsiTheme="minorHAnsi"/>
        </w:rPr>
        <w:t>leírtaktól.</w:t>
      </w:r>
      <w:bookmarkStart w:id="1056" w:name="_III.2.3.5_Elszámolási_kockázat"/>
      <w:bookmarkEnd w:id="1056"/>
    </w:p>
    <w:p w14:paraId="66B155E1" w14:textId="77777777" w:rsidR="003F29E3" w:rsidRPr="00181755" w:rsidRDefault="003F29E3" w:rsidP="00181755">
      <w:pPr>
        <w:pStyle w:val="Cmsor3"/>
        <w:rPr>
          <w:rStyle w:val="Kiemels"/>
          <w:rFonts w:asciiTheme="minorHAnsi" w:hAnsiTheme="minorHAnsi"/>
        </w:rPr>
      </w:pPr>
      <w:bookmarkStart w:id="1057" w:name="_III.2.3.6_Egyéb_lényeges"/>
      <w:bookmarkStart w:id="1058" w:name="_Toc378592058"/>
      <w:bookmarkStart w:id="1059" w:name="_Toc461095234"/>
      <w:bookmarkStart w:id="1060" w:name="_Toc461179890"/>
      <w:bookmarkStart w:id="1061" w:name="_Toc461201333"/>
      <w:bookmarkStart w:id="1062" w:name="_Toc461548039"/>
      <w:bookmarkStart w:id="1063" w:name="_Toc462402079"/>
      <w:bookmarkStart w:id="1064" w:name="_Toc462403200"/>
      <w:bookmarkStart w:id="1065" w:name="_Toc462403524"/>
      <w:bookmarkStart w:id="1066" w:name="_Toc468180643"/>
      <w:bookmarkStart w:id="1067" w:name="_Toc468181124"/>
      <w:bookmarkStart w:id="1068" w:name="_Toc468191471"/>
      <w:bookmarkEnd w:id="1057"/>
      <w:r w:rsidRPr="00181755">
        <w:rPr>
          <w:rStyle w:val="Kiemels"/>
          <w:rFonts w:asciiTheme="minorHAnsi" w:hAnsiTheme="minorHAnsi"/>
        </w:rPr>
        <w:t>Egyéb lényeges kockázatok</w:t>
      </w:r>
      <w:bookmarkEnd w:id="1058"/>
      <w:bookmarkEnd w:id="1059"/>
      <w:bookmarkEnd w:id="1060"/>
      <w:bookmarkEnd w:id="1061"/>
      <w:bookmarkEnd w:id="1062"/>
      <w:bookmarkEnd w:id="1063"/>
      <w:bookmarkEnd w:id="1064"/>
      <w:bookmarkEnd w:id="1065"/>
      <w:bookmarkEnd w:id="1066"/>
      <w:bookmarkEnd w:id="1067"/>
      <w:bookmarkEnd w:id="1068"/>
    </w:p>
    <w:p w14:paraId="66B155E2" w14:textId="0D95F85A" w:rsidR="003F29E3" w:rsidRPr="00181755" w:rsidRDefault="003F29E3" w:rsidP="00181755">
      <w:pPr>
        <w:rPr>
          <w:rFonts w:asciiTheme="minorHAnsi" w:hAnsiTheme="minorHAnsi"/>
        </w:rPr>
      </w:pPr>
      <w:r w:rsidRPr="00181755">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181755">
        <w:rPr>
          <w:rFonts w:asciiTheme="minorHAnsi" w:hAnsiTheme="minorHAnsi"/>
        </w:rPr>
        <w:t xml:space="preserve">ennek keretében </w:t>
      </w:r>
      <w:r w:rsidRPr="00181755">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181755">
        <w:rPr>
          <w:rFonts w:asciiTheme="minorHAnsi" w:hAnsiTheme="minorHAnsi"/>
        </w:rPr>
        <w:t xml:space="preserve">azonban </w:t>
      </w:r>
      <w:r w:rsidRPr="00181755">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181755" w:rsidRDefault="003F29E3" w:rsidP="00181755">
      <w:pPr>
        <w:rPr>
          <w:rFonts w:asciiTheme="minorHAnsi" w:hAnsiTheme="minorHAnsi"/>
        </w:rPr>
      </w:pPr>
      <w:r w:rsidRPr="00181755">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181755" w:rsidRDefault="003F29E3" w:rsidP="00181755">
      <w:pPr>
        <w:rPr>
          <w:rFonts w:asciiTheme="minorHAnsi" w:hAnsiTheme="minorHAnsi"/>
        </w:rPr>
      </w:pPr>
      <w:r w:rsidRPr="00181755">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181755">
        <w:rPr>
          <w:rFonts w:asciiTheme="minorHAnsi" w:hAnsiTheme="minorHAnsi"/>
        </w:rPr>
        <w:t>kvantitatív</w:t>
      </w:r>
      <w:r w:rsidRPr="00181755">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181755" w:rsidRDefault="003F29E3" w:rsidP="00181755">
      <w:pPr>
        <w:spacing w:after="240"/>
        <w:rPr>
          <w:rFonts w:asciiTheme="minorHAnsi" w:hAnsiTheme="minorHAnsi"/>
        </w:rPr>
      </w:pPr>
      <w:r w:rsidRPr="00181755">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69" w:name="_Reputációs_kockázat"/>
      <w:bookmarkStart w:id="1070" w:name="_Stratégiai_kockázat"/>
      <w:bookmarkStart w:id="1071" w:name="_III._2.4_Külső"/>
      <w:bookmarkEnd w:id="1069"/>
      <w:bookmarkEnd w:id="1070"/>
      <w:bookmarkEnd w:id="1071"/>
    </w:p>
    <w:p w14:paraId="62BAA78C" w14:textId="77777777" w:rsidR="007F12F4" w:rsidRPr="00181755" w:rsidRDefault="007F12F4" w:rsidP="00181755">
      <w:pPr>
        <w:pStyle w:val="Cmsor4"/>
        <w:rPr>
          <w:rFonts w:asciiTheme="minorHAnsi" w:hAnsiTheme="minorHAnsi"/>
        </w:rPr>
      </w:pPr>
      <w:bookmarkStart w:id="1072" w:name="_Szabályozói_környezetből_adódó"/>
      <w:bookmarkStart w:id="1073" w:name="_Toc462403201"/>
      <w:bookmarkStart w:id="1074" w:name="_Toc462403525"/>
      <w:bookmarkStart w:id="1075" w:name="_Toc468180644"/>
      <w:bookmarkStart w:id="1076" w:name="_Toc468181125"/>
      <w:bookmarkStart w:id="1077" w:name="_Toc468191472"/>
      <w:bookmarkStart w:id="1078" w:name="_Toc378592065"/>
      <w:bookmarkStart w:id="1079" w:name="_Toc461095237"/>
      <w:bookmarkStart w:id="1080" w:name="_Toc461179893"/>
      <w:bookmarkStart w:id="1081" w:name="_Toc461201336"/>
      <w:bookmarkStart w:id="1082" w:name="_Toc461548040"/>
      <w:bookmarkStart w:id="1083" w:name="_Toc462402080"/>
      <w:bookmarkEnd w:id="1072"/>
      <w:r w:rsidRPr="00181755">
        <w:rPr>
          <w:rFonts w:asciiTheme="minorHAnsi" w:hAnsiTheme="minorHAnsi"/>
        </w:rPr>
        <w:t>Üzleti és stratégiai kockázat</w:t>
      </w:r>
      <w:bookmarkEnd w:id="1073"/>
      <w:bookmarkEnd w:id="1074"/>
      <w:bookmarkEnd w:id="1075"/>
      <w:bookmarkEnd w:id="1076"/>
      <w:bookmarkEnd w:id="1077"/>
    </w:p>
    <w:p w14:paraId="2DBA85FE" w14:textId="77777777" w:rsidR="007F12F4" w:rsidRPr="00181755" w:rsidRDefault="007F12F4" w:rsidP="00181755">
      <w:pPr>
        <w:rPr>
          <w:rFonts w:asciiTheme="minorHAnsi" w:hAnsiTheme="minorHAnsi"/>
          <w:b/>
        </w:rPr>
      </w:pPr>
      <w:r w:rsidRPr="00181755">
        <w:rPr>
          <w:rFonts w:asciiTheme="minorHAnsi" w:hAnsiTheme="minorHAnsi"/>
          <w:b/>
        </w:rPr>
        <w:t>Definíció</w:t>
      </w:r>
    </w:p>
    <w:p w14:paraId="67B33CD5" w14:textId="77777777" w:rsidR="007F12F4" w:rsidRPr="00181755" w:rsidRDefault="007F12F4" w:rsidP="00181755">
      <w:pPr>
        <w:rPr>
          <w:rFonts w:asciiTheme="minorHAnsi" w:hAnsiTheme="minorHAnsi"/>
        </w:rPr>
      </w:pPr>
      <w:r w:rsidRPr="00181755">
        <w:rPr>
          <w:rFonts w:asciiTheme="minorHAnsi" w:hAnsiTheme="minorHAnsi"/>
        </w:rPr>
        <w:t xml:space="preserve">Az üzleti és stratégiai kockázat a tőkét vagy a jövedelmezőséget érintő olyan kockázat, amely az üzleti környezet változásából vagy helytelen üzleti döntésekből, kockázatos üzleti modell kialakításából, vagy az üzleti környezet változásának figyelmen kívül hagyásából származik. A stratégiai vagy üzleti kockázatot az MNB minden intézmény esetében materiálisnak tekinti.  </w:t>
      </w:r>
    </w:p>
    <w:p w14:paraId="2828E321" w14:textId="77777777" w:rsidR="007F12F4" w:rsidRPr="00181755" w:rsidRDefault="007F12F4" w:rsidP="00181755">
      <w:pPr>
        <w:rPr>
          <w:rFonts w:asciiTheme="minorHAnsi" w:hAnsiTheme="minorHAnsi"/>
        </w:rPr>
      </w:pPr>
      <w:r w:rsidRPr="00181755">
        <w:rPr>
          <w:rFonts w:asciiTheme="minorHAnsi" w:hAnsiTheme="minorHAnsi"/>
        </w:rPr>
        <w:t>A stratégiai kockázat jellemző forrása például a piaci környezetnek nem megfelelő üzleti növekedésre vagy piaci részarányra való törekvés, a változó környezethez való megfelelő ütemű és tartalmú igazodás hiánya, a helyesen megválasztott célokhoz alkalmatlan eszközök hozzárendelése, rossz időzítésű igazodás a változó üzleti környezetben, vagy a stratégiai céloknak nem megfelelő tartalmú konkrét intézkedések.</w:t>
      </w:r>
    </w:p>
    <w:p w14:paraId="439E3FD5" w14:textId="50AA39E7" w:rsidR="007F12F4" w:rsidRPr="00181755" w:rsidRDefault="007F12F4" w:rsidP="00181755">
      <w:pPr>
        <w:rPr>
          <w:rFonts w:asciiTheme="minorHAnsi" w:hAnsiTheme="minorHAnsi"/>
        </w:rPr>
      </w:pPr>
      <w:r w:rsidRPr="00181755">
        <w:rPr>
          <w:rFonts w:asciiTheme="minorHAnsi" w:hAnsiTheme="minorHAnsi"/>
        </w:rPr>
        <w:t>Stratégiai kockázatra utalhat, ha az intézmény vezetése által készített üzleti tervek nem reálisak, nem az aktuális gazdásági környezet figyelembe vételével készültek.</w:t>
      </w:r>
      <w:r w:rsidR="00043570" w:rsidRPr="00181755">
        <w:rPr>
          <w:rStyle w:val="Lbjegyzet-hivatkozs"/>
          <w:rFonts w:asciiTheme="minorHAnsi" w:hAnsiTheme="minorHAnsi"/>
        </w:rPr>
        <w:footnoteReference w:id="75"/>
      </w:r>
      <w:r w:rsidRPr="00181755">
        <w:rPr>
          <w:rFonts w:asciiTheme="minorHAnsi" w:hAnsiTheme="minorHAnsi"/>
        </w:rPr>
        <w:t xml:space="preserve"> Jelentős mértékű stratégiai kockázatot jelenthet, ha az intézmény a szolgáltatási és üzleti teljesítményt érdemi módon befolyásoló kérdésekben huzamosabb ideig szemben halad a gazdasági környezet jól meghatározó követelményeivel vagy irányzataival, vagy ha a környezet jól azonosítható lényegi változása ellenére elmulasztja stratégiájának felülvizsgálatát.</w:t>
      </w:r>
    </w:p>
    <w:p w14:paraId="290395DD" w14:textId="77777777" w:rsidR="007F12F4" w:rsidRPr="00181755" w:rsidRDefault="007F12F4" w:rsidP="00181755">
      <w:pPr>
        <w:rPr>
          <w:rFonts w:asciiTheme="minorHAnsi" w:hAnsiTheme="minorHAnsi"/>
        </w:rPr>
      </w:pPr>
      <w:r w:rsidRPr="00181755">
        <w:rPr>
          <w:rFonts w:asciiTheme="minorHAnsi" w:hAnsiTheme="minorHAnsi"/>
        </w:rPr>
        <w:t>Az üzleti és stratégiai kockázatok magukban foglalják a jövedelmezőségi kockázatot is, amelyet az intézmény jövedelemtermelő szerkezetének nem megfelelő kialakítása, diverzifikáltsága, illetve a megfelelő szintű jövedelemtermelő képesség elérésére és tartós fenntartására irányuló képességének hiánya eredményez.</w:t>
      </w:r>
    </w:p>
    <w:p w14:paraId="0998FDB4" w14:textId="77777777" w:rsidR="007F12F4" w:rsidRPr="00181755" w:rsidRDefault="007F12F4" w:rsidP="00181755">
      <w:pPr>
        <w:rPr>
          <w:rFonts w:asciiTheme="minorHAnsi" w:hAnsiTheme="minorHAnsi"/>
          <w:b/>
        </w:rPr>
      </w:pPr>
      <w:r w:rsidRPr="00181755">
        <w:rPr>
          <w:rFonts w:asciiTheme="minorHAnsi" w:hAnsiTheme="minorHAnsi"/>
          <w:b/>
        </w:rPr>
        <w:t>ICAAP felülvizsgálat</w:t>
      </w:r>
    </w:p>
    <w:p w14:paraId="4D49A1A1" w14:textId="77777777" w:rsidR="007F12F4" w:rsidRPr="00181755" w:rsidRDefault="007F12F4" w:rsidP="00181755">
      <w:pPr>
        <w:rPr>
          <w:rFonts w:asciiTheme="minorHAnsi" w:hAnsiTheme="minorHAnsi"/>
        </w:rPr>
      </w:pPr>
      <w:r w:rsidRPr="00181755">
        <w:rPr>
          <w:rFonts w:asciiTheme="minorHAnsi" w:hAnsiTheme="minorHAnsi"/>
        </w:rPr>
        <w:t>Az ICAAP felülvizsgálat keretében az üzleti és stratégiai kockázatok kezelése körében elvárt minimumkövetelmények:</w:t>
      </w:r>
    </w:p>
    <w:p w14:paraId="1CCA8305" w14:textId="7F89BFC7"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rPr>
        <w:t xml:space="preserve">Aktuális előretekintő stratégia és üzleti tervek készítése, melyekben azonosításra kerülnek az intézmény tevékenységi körének főbb üzletágai, piacai, földrajzi szegmensei, leányvállalatai és termékei, valamint az egyes szegmensek bevételeire és költségeire ható főbb tényezők, továbbá </w:t>
      </w:r>
      <w:r w:rsidRPr="00181755">
        <w:rPr>
          <w:rFonts w:asciiTheme="minorHAnsi" w:hAnsiTheme="minorHAnsi"/>
          <w:sz w:val="22"/>
          <w:szCs w:val="22"/>
          <w:lang w:val="hu-HU"/>
        </w:rPr>
        <w:t xml:space="preserve">amelyek </w:t>
      </w:r>
      <w:r w:rsidRPr="00181755">
        <w:rPr>
          <w:rFonts w:asciiTheme="minorHAnsi" w:hAnsiTheme="minorHAnsi"/>
          <w:sz w:val="22"/>
          <w:szCs w:val="22"/>
        </w:rPr>
        <w:t>lehetővé teszik az intézmény fejlődési irányának, az elérni kívánt céloknak és az azokat alátámasztó és visszamérhető pénzügyi adatoknak, e</w:t>
      </w:r>
      <w:r w:rsidR="00655249">
        <w:rPr>
          <w:rFonts w:asciiTheme="minorHAnsi" w:hAnsiTheme="minorHAnsi"/>
          <w:sz w:val="22"/>
          <w:szCs w:val="22"/>
        </w:rPr>
        <w:t>lőrejelzéseknek az azonosítását</w:t>
      </w:r>
      <w:r w:rsidR="00655249">
        <w:rPr>
          <w:rFonts w:asciiTheme="minorHAnsi" w:hAnsiTheme="minorHAnsi"/>
          <w:sz w:val="22"/>
          <w:szCs w:val="22"/>
          <w:lang w:val="hu-HU"/>
        </w:rPr>
        <w:t>,</w:t>
      </w:r>
    </w:p>
    <w:p w14:paraId="20110F04" w14:textId="77777777"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rPr>
        <w:t>Kockázati stratégiában a stratégiai irányok, kockázati étvágy egyértelmű rögzítése,</w:t>
      </w:r>
    </w:p>
    <w:p w14:paraId="4979C8C5" w14:textId="133A98B5"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rPr>
        <w:t>Gazdasági környezet</w:t>
      </w:r>
      <w:r w:rsidR="008D1935" w:rsidRPr="00181755">
        <w:rPr>
          <w:rFonts w:asciiTheme="minorHAnsi" w:hAnsiTheme="minorHAnsi"/>
          <w:sz w:val="22"/>
          <w:szCs w:val="22"/>
          <w:lang w:val="hu-HU"/>
        </w:rPr>
        <w:t xml:space="preserve"> és</w:t>
      </w:r>
      <w:r w:rsidRPr="00181755">
        <w:rPr>
          <w:rFonts w:asciiTheme="minorHAnsi" w:hAnsiTheme="minorHAnsi"/>
          <w:sz w:val="22"/>
          <w:szCs w:val="22"/>
        </w:rPr>
        <w:t xml:space="preserve"> a piaci pozíció elemzése, erről a megfelelő kockázatkezelési területek rendszeres tájékoztatása, továbbá az üzleti és stratégiai kockázatokra ható külső környezeti tényezők folyamatos monitoringja és elemzése a riporting keretrendszer és a vezetői információs rendszer része legyen, </w:t>
      </w:r>
    </w:p>
    <w:p w14:paraId="60180FDF" w14:textId="3D06F2B4"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lang w:val="hu-HU"/>
        </w:rPr>
        <w:t>K</w:t>
      </w:r>
      <w:r w:rsidRPr="00181755">
        <w:rPr>
          <w:rFonts w:asciiTheme="minorHAnsi" w:hAnsiTheme="minorHAnsi"/>
          <w:sz w:val="22"/>
          <w:szCs w:val="22"/>
        </w:rPr>
        <w:t xml:space="preserve">ockázatérzékeny jövedelmezőségi mutatók (pl. RAROC) kialakítása és következetes alkalmazása, </w:t>
      </w:r>
      <w:r w:rsidRPr="00181755">
        <w:rPr>
          <w:rFonts w:asciiTheme="minorHAnsi" w:hAnsiTheme="minorHAnsi"/>
          <w:sz w:val="22"/>
          <w:szCs w:val="22"/>
          <w:lang w:val="hu-HU"/>
        </w:rPr>
        <w:t>valamint</w:t>
      </w:r>
      <w:r w:rsidRPr="00181755">
        <w:rPr>
          <w:rFonts w:asciiTheme="minorHAnsi" w:hAnsiTheme="minorHAnsi"/>
          <w:sz w:val="22"/>
          <w:szCs w:val="22"/>
        </w:rPr>
        <w:t xml:space="preserve"> egyéb, az intézmény kockázataihoz illeszkedő jövedelmezőségi kockázatkezelési eszkö</w:t>
      </w:r>
      <w:r w:rsidR="00655249">
        <w:rPr>
          <w:rFonts w:asciiTheme="minorHAnsi" w:hAnsiTheme="minorHAnsi"/>
          <w:sz w:val="22"/>
          <w:szCs w:val="22"/>
        </w:rPr>
        <w:t>zök alkalmazása,</w:t>
      </w:r>
    </w:p>
    <w:p w14:paraId="1625C3D8" w14:textId="4A0113D9"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lang w:val="hu-HU"/>
        </w:rPr>
        <w:t>A s</w:t>
      </w:r>
      <w:r w:rsidRPr="00181755">
        <w:rPr>
          <w:rFonts w:asciiTheme="minorHAnsi" w:hAnsiTheme="minorHAnsi"/>
          <w:sz w:val="22"/>
          <w:szCs w:val="22"/>
        </w:rPr>
        <w:t xml:space="preserve">tratégiai és üzleti tervezés menetének, felelőseinek, folyamatainak és felülvizsgálatának egyértelmű rögzítése, valamint a tervezési gyakorlat ennek megfelelő kialakítása, </w:t>
      </w:r>
    </w:p>
    <w:p w14:paraId="41D6E32D" w14:textId="77777777"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szCs w:val="22"/>
        </w:rPr>
        <w:t>Stratégiai és üzlet terv rendszeres és gyakori visszamérése, eltérések vizsgálata, szükség esetén akciótervek kidolgozása vagy terv módosítása,</w:t>
      </w:r>
    </w:p>
    <w:p w14:paraId="6BD6078B" w14:textId="7C592274" w:rsidR="007F12F4" w:rsidRPr="00181755" w:rsidRDefault="007F12F4" w:rsidP="00181755">
      <w:pPr>
        <w:pStyle w:val="Listaszerbekezds"/>
        <w:numPr>
          <w:ilvl w:val="0"/>
          <w:numId w:val="51"/>
        </w:numPr>
        <w:spacing w:after="150"/>
        <w:rPr>
          <w:rFonts w:asciiTheme="minorHAnsi" w:hAnsiTheme="minorHAnsi"/>
          <w:sz w:val="22"/>
          <w:szCs w:val="22"/>
        </w:rPr>
      </w:pPr>
      <w:r w:rsidRPr="00181755">
        <w:rPr>
          <w:rFonts w:asciiTheme="minorHAnsi" w:hAnsiTheme="minorHAnsi"/>
          <w:sz w:val="22"/>
        </w:rPr>
        <w:t>Tervezés alap és stressz szcenárió</w:t>
      </w:r>
      <w:r w:rsidR="00655249">
        <w:rPr>
          <w:rFonts w:asciiTheme="minorHAnsi" w:hAnsiTheme="minorHAnsi"/>
          <w:sz w:val="22"/>
        </w:rPr>
        <w:t xml:space="preserve"> mentén való megvalósítása, ide</w:t>
      </w:r>
      <w:r w:rsidRPr="00181755">
        <w:rPr>
          <w:rFonts w:asciiTheme="minorHAnsi" w:hAnsiTheme="minorHAnsi"/>
          <w:sz w:val="22"/>
        </w:rPr>
        <w:t>értve a megfelelő tőketervezést is</w:t>
      </w:r>
      <w:r w:rsidRPr="00181755">
        <w:rPr>
          <w:rFonts w:asciiTheme="minorHAnsi" w:hAnsiTheme="minorHAnsi"/>
          <w:sz w:val="22"/>
          <w:szCs w:val="22"/>
          <w:lang w:val="hu-HU"/>
        </w:rPr>
        <w:t>, a</w:t>
      </w:r>
      <w:r w:rsidRPr="00181755">
        <w:rPr>
          <w:rFonts w:asciiTheme="minorHAnsi" w:hAnsiTheme="minorHAnsi"/>
          <w:sz w:val="22"/>
          <w:szCs w:val="22"/>
        </w:rPr>
        <w:t>lkalmazott stressz</w:t>
      </w:r>
      <w:r w:rsidRPr="00181755">
        <w:rPr>
          <w:rFonts w:asciiTheme="minorHAnsi" w:hAnsiTheme="minorHAnsi"/>
          <w:sz w:val="22"/>
          <w:szCs w:val="22"/>
          <w:lang w:val="hu-HU"/>
        </w:rPr>
        <w:t>-</w:t>
      </w:r>
      <w:r w:rsidRPr="00181755">
        <w:rPr>
          <w:rFonts w:asciiTheme="minorHAnsi" w:hAnsiTheme="minorHAnsi"/>
          <w:sz w:val="22"/>
          <w:szCs w:val="22"/>
        </w:rPr>
        <w:t>tesztek és forgatókönyvek mérlegszerkezetre, eredményre gyakorolt hatásának vizsgálata, szükség esetén akciótervek kidolgozása, terv módosítása</w:t>
      </w:r>
      <w:r w:rsidRPr="00181755">
        <w:rPr>
          <w:rFonts w:asciiTheme="minorHAnsi" w:hAnsiTheme="minorHAnsi"/>
          <w:sz w:val="22"/>
          <w:szCs w:val="22"/>
          <w:lang w:val="hu-HU"/>
        </w:rPr>
        <w:t>.</w:t>
      </w:r>
    </w:p>
    <w:p w14:paraId="0CEC434E" w14:textId="77777777" w:rsidR="007F12F4" w:rsidRPr="00181755" w:rsidRDefault="007F12F4" w:rsidP="00181755">
      <w:pPr>
        <w:rPr>
          <w:rFonts w:asciiTheme="minorHAnsi" w:hAnsiTheme="minorHAnsi"/>
          <w:b/>
        </w:rPr>
      </w:pPr>
      <w:r w:rsidRPr="00181755">
        <w:rPr>
          <w:rFonts w:asciiTheme="minorHAnsi" w:hAnsiTheme="minorHAnsi"/>
          <w:b/>
        </w:rPr>
        <w:t>Tőkeszámítás</w:t>
      </w:r>
    </w:p>
    <w:p w14:paraId="5EDEB8B6" w14:textId="77777777" w:rsidR="007F12F4" w:rsidRPr="00181755" w:rsidRDefault="007F12F4" w:rsidP="00181755">
      <w:pPr>
        <w:rPr>
          <w:rFonts w:asciiTheme="minorHAnsi" w:hAnsiTheme="minorHAnsi"/>
        </w:rPr>
      </w:pPr>
      <w:r w:rsidRPr="00181755">
        <w:rPr>
          <w:rFonts w:asciiTheme="minorHAnsi" w:hAnsiTheme="minorHAnsi"/>
        </w:rPr>
        <w:t>Az intézmények kötelesek stratégiai és üzleti kockázatukat alátámasztható módon számszerűsíteni, és szükség esetén tőkekövetelményt meghatározni.</w:t>
      </w:r>
    </w:p>
    <w:p w14:paraId="216112DC" w14:textId="77777777" w:rsidR="007F12F4" w:rsidRPr="00181755" w:rsidRDefault="007F12F4" w:rsidP="00181755">
      <w:pPr>
        <w:rPr>
          <w:rFonts w:asciiTheme="minorHAnsi" w:hAnsiTheme="minorHAnsi"/>
          <w:u w:val="single"/>
        </w:rPr>
      </w:pPr>
      <w:r w:rsidRPr="00181755">
        <w:rPr>
          <w:rFonts w:asciiTheme="minorHAnsi" w:hAnsiTheme="minorHAnsi"/>
        </w:rPr>
        <w:t>A stratégiai és üzleti kockázatok számszerűsítésének elvárt minimumkövetelményei:</w:t>
      </w:r>
    </w:p>
    <w:p w14:paraId="241D3540"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 xml:space="preserve">Az intézmények stratégiai és üzleti kockázataikat legalább nettó működési eredményük stresszelt értékén keresztül vizsgálják. A </w:t>
      </w:r>
      <w:r w:rsidRPr="00181755">
        <w:rPr>
          <w:rFonts w:asciiTheme="minorHAnsi" w:hAnsiTheme="minorHAnsi"/>
          <w:sz w:val="22"/>
          <w:szCs w:val="22"/>
          <w:lang w:val="hu-HU"/>
        </w:rPr>
        <w:t>jövőbeli</w:t>
      </w:r>
      <w:r w:rsidRPr="00181755">
        <w:rPr>
          <w:rFonts w:asciiTheme="minorHAnsi" w:hAnsiTheme="minorHAnsi"/>
          <w:sz w:val="22"/>
          <w:lang w:val="hu-HU"/>
        </w:rPr>
        <w:t xml:space="preserve"> </w:t>
      </w:r>
      <w:r w:rsidRPr="00181755">
        <w:rPr>
          <w:rFonts w:asciiTheme="minorHAnsi" w:hAnsiTheme="minorHAnsi"/>
          <w:sz w:val="22"/>
          <w:szCs w:val="22"/>
        </w:rPr>
        <w:t xml:space="preserve">nettó működési eredmény </w:t>
      </w:r>
      <w:r w:rsidRPr="00181755">
        <w:rPr>
          <w:rFonts w:asciiTheme="minorHAnsi" w:hAnsiTheme="minorHAnsi"/>
          <w:sz w:val="22"/>
          <w:szCs w:val="22"/>
          <w:lang w:val="hu-HU"/>
        </w:rPr>
        <w:t>hatással van</w:t>
      </w:r>
      <w:r w:rsidRPr="00181755">
        <w:rPr>
          <w:rFonts w:asciiTheme="minorHAnsi" w:hAnsiTheme="minorHAnsi"/>
          <w:sz w:val="22"/>
          <w:lang w:val="hu-HU"/>
        </w:rPr>
        <w:t xml:space="preserve"> a </w:t>
      </w:r>
      <w:r w:rsidRPr="00181755">
        <w:rPr>
          <w:rFonts w:asciiTheme="minorHAnsi" w:hAnsiTheme="minorHAnsi"/>
          <w:sz w:val="22"/>
          <w:szCs w:val="22"/>
          <w:lang w:val="hu-HU"/>
        </w:rPr>
        <w:t>tőkemegfelelésre</w:t>
      </w:r>
      <w:r w:rsidRPr="00181755">
        <w:rPr>
          <w:rFonts w:asciiTheme="minorHAnsi" w:hAnsiTheme="minorHAnsi"/>
          <w:sz w:val="22"/>
          <w:szCs w:val="22"/>
        </w:rPr>
        <w:t xml:space="preserve">, </w:t>
      </w:r>
      <w:r w:rsidRPr="00181755">
        <w:rPr>
          <w:rFonts w:asciiTheme="minorHAnsi" w:hAnsiTheme="minorHAnsi"/>
          <w:sz w:val="22"/>
          <w:szCs w:val="22"/>
          <w:lang w:val="hu-HU"/>
        </w:rPr>
        <w:t xml:space="preserve">és </w:t>
      </w:r>
      <w:r w:rsidRPr="00181755">
        <w:rPr>
          <w:rFonts w:asciiTheme="minorHAnsi" w:hAnsiTheme="minorHAnsi"/>
          <w:sz w:val="22"/>
          <w:szCs w:val="22"/>
        </w:rPr>
        <w:t>stresszelt értékének felhasználása a stratégiai kockázatok felméréséhez biztosítja, hogy ne legyen átfedés a már fedezett kockázatokkal, például a hitelkockázattal. A nettó működési eredményen belül legalább a nettó kamateredmény, a nettó díj- és jutalékbevétel, illetve a működési költség stresszelt értéke külön kerüljön számszerűsítésre. A stresszelt értékek historikus tényszámok alapján alátámasztható módon kerüljenek kiszámításra.</w:t>
      </w:r>
    </w:p>
    <w:p w14:paraId="0F909BFD"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 xml:space="preserve">Az intézmények rendelkezzenek saját módszertannal, és saját adataik alapján, alátámasztható módon határozzák meg stratégiai és üzleti kockázataik tőkehatását. A módszertan tegye lehetővé az intézmény valós kockázatainak azonosítását, valamint a számítások rugalmas frissítését a kockázatok időben történő felismerése, számszerűsítése és kontrollálása érdekében. A felhasznált adatok legyenek összhangban az üzleti tervezés során alkalmazott információkkal és eredményekkel. </w:t>
      </w:r>
    </w:p>
    <w:p w14:paraId="39BCF42E"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w:t>
      </w:r>
      <w:r w:rsidRPr="00181755">
        <w:rPr>
          <w:rFonts w:asciiTheme="minorHAnsi" w:hAnsiTheme="minorHAnsi"/>
          <w:sz w:val="22"/>
          <w:szCs w:val="22"/>
          <w:lang w:val="hu-HU"/>
        </w:rPr>
        <w:t>z intézmény</w:t>
      </w:r>
      <w:r w:rsidRPr="00181755">
        <w:rPr>
          <w:rFonts w:asciiTheme="minorHAnsi" w:hAnsiTheme="minorHAnsi"/>
          <w:sz w:val="22"/>
          <w:szCs w:val="22"/>
        </w:rPr>
        <w:t xml:space="preserve"> legalább a következő kockázati faktorok nettó működési eredményre gyakorolt hatását vizsgálja: 1) betét- és hitelállományok</w:t>
      </w:r>
      <w:r w:rsidRPr="00181755">
        <w:rPr>
          <w:rFonts w:asciiTheme="minorHAnsi" w:hAnsiTheme="minorHAnsi"/>
          <w:sz w:val="22"/>
          <w:szCs w:val="22"/>
          <w:lang w:val="hu-HU"/>
        </w:rPr>
        <w:t>,</w:t>
      </w:r>
      <w:r w:rsidRPr="00181755">
        <w:rPr>
          <w:rFonts w:asciiTheme="minorHAnsi" w:hAnsiTheme="minorHAnsi"/>
          <w:sz w:val="22"/>
          <w:szCs w:val="22"/>
        </w:rPr>
        <w:t xml:space="preserve"> 2) NPL állomány</w:t>
      </w:r>
      <w:r w:rsidRPr="00181755">
        <w:rPr>
          <w:rFonts w:asciiTheme="minorHAnsi" w:hAnsiTheme="minorHAnsi"/>
          <w:sz w:val="22"/>
          <w:szCs w:val="22"/>
          <w:lang w:val="hu-HU"/>
        </w:rPr>
        <w:t>,</w:t>
      </w:r>
      <w:r w:rsidRPr="00181755">
        <w:rPr>
          <w:rFonts w:asciiTheme="minorHAnsi" w:hAnsiTheme="minorHAnsi"/>
          <w:sz w:val="22"/>
          <w:szCs w:val="22"/>
        </w:rPr>
        <w:t xml:space="preserve"> 3) betéti és hitel marzsok, NPL állományon elért átlagos megtérülések</w:t>
      </w:r>
      <w:r w:rsidRPr="00181755">
        <w:rPr>
          <w:rFonts w:asciiTheme="minorHAnsi" w:hAnsiTheme="minorHAnsi"/>
          <w:sz w:val="22"/>
          <w:szCs w:val="22"/>
          <w:lang w:val="hu-HU"/>
        </w:rPr>
        <w:t>,</w:t>
      </w:r>
      <w:r w:rsidRPr="00181755">
        <w:rPr>
          <w:rFonts w:asciiTheme="minorHAnsi" w:hAnsiTheme="minorHAnsi"/>
          <w:sz w:val="22"/>
          <w:szCs w:val="22"/>
        </w:rPr>
        <w:t xml:space="preserve"> 4) ügyfélszámok, tranzakciószámok</w:t>
      </w:r>
      <w:r w:rsidRPr="00181755">
        <w:rPr>
          <w:rFonts w:asciiTheme="minorHAnsi" w:hAnsiTheme="minorHAnsi"/>
          <w:sz w:val="22"/>
          <w:szCs w:val="22"/>
          <w:lang w:val="hu-HU"/>
        </w:rPr>
        <w:t>,</w:t>
      </w:r>
      <w:r w:rsidRPr="00181755">
        <w:rPr>
          <w:rFonts w:asciiTheme="minorHAnsi" w:hAnsiTheme="minorHAnsi"/>
          <w:sz w:val="22"/>
          <w:szCs w:val="22"/>
        </w:rPr>
        <w:t xml:space="preserve"> 5) egyéb tényezők (pl. makro paraméterek, úgymint infláció, devizaárfolyam). A figyelembe vett makro tényezők álljanak összhangban a</w:t>
      </w:r>
      <w:r w:rsidRPr="00181755">
        <w:rPr>
          <w:rFonts w:asciiTheme="minorHAnsi" w:hAnsiTheme="minorHAnsi"/>
          <w:sz w:val="22"/>
          <w:szCs w:val="22"/>
          <w:lang w:val="hu-HU"/>
        </w:rPr>
        <w:t>z intézmény</w:t>
      </w:r>
      <w:r w:rsidRPr="00181755">
        <w:rPr>
          <w:rFonts w:asciiTheme="minorHAnsi" w:hAnsiTheme="minorHAnsi"/>
          <w:sz w:val="22"/>
          <w:szCs w:val="22"/>
        </w:rPr>
        <w:t xml:space="preserve"> által végzett makro stressz</w:t>
      </w:r>
      <w:r w:rsidRPr="00181755">
        <w:rPr>
          <w:rFonts w:asciiTheme="minorHAnsi" w:hAnsiTheme="minorHAnsi"/>
          <w:sz w:val="22"/>
          <w:szCs w:val="22"/>
          <w:lang w:val="hu-HU"/>
        </w:rPr>
        <w:t>-</w:t>
      </w:r>
      <w:r w:rsidRPr="00181755">
        <w:rPr>
          <w:rFonts w:asciiTheme="minorHAnsi" w:hAnsiTheme="minorHAnsi"/>
          <w:sz w:val="22"/>
          <w:szCs w:val="22"/>
        </w:rPr>
        <w:t>teszt eredményeivel.</w:t>
      </w:r>
    </w:p>
    <w:p w14:paraId="20F05630" w14:textId="2663393C"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 betét- és hitelállományok stresszelt értékei historikus tényadatok alapján, alátámasztható módon kerüljenek számszerűsítésre. Az állományok múltbeli alakulásának vizsgálata történhet közvetlenül az állományok múltbeli értékei, vagy például a szektorszintű állományok és az intézmény piaci részesedései, vagy az ügyfélszámok és egy ügyfélre jutó állományok alapján. A hitelállományok esetében a hitelfolyósítások historikus értékei vizsgálandók, ezek stresszelt értékei alapján határozandók meg a stresszelt állományok. Amennyiben a</w:t>
      </w:r>
      <w:r w:rsidRPr="00181755">
        <w:rPr>
          <w:rFonts w:asciiTheme="minorHAnsi" w:hAnsiTheme="minorHAnsi"/>
          <w:sz w:val="22"/>
          <w:szCs w:val="22"/>
          <w:lang w:val="hu-HU"/>
        </w:rPr>
        <w:t>z intézmény</w:t>
      </w:r>
      <w:r w:rsidRPr="00181755">
        <w:rPr>
          <w:rFonts w:asciiTheme="minorHAnsi" w:hAnsiTheme="minorHAnsi"/>
          <w:sz w:val="22"/>
          <w:szCs w:val="22"/>
        </w:rPr>
        <w:t xml:space="preserve"> nem becsüli meg alátámasztható módon a folyósításai stresszelt értékét, konzervatív módon zéró folyósítással kell számolnia, feltételezve, hogy stresszhelyzetben nem tud, vagy nem akar hitelezni. A következő évek stresszelt állományai becsülhetők például historikus vagy parametrikus Value-at-Risk alapon. Szegmentáció szempontjából külön kezelendő a lakossági és vállalati szektor, ezen túl preferált a további termékbontás is (pl. jelzálog és fogyasztási hitelek, látra szóló és lekötött forint és deviza betétek). Elvárás, hogy a stresszelt értékek számítási módszertana az egyes szegmensek között egységes legyen.</w:t>
      </w:r>
    </w:p>
    <w:p w14:paraId="3F27423C"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 stratégiai és üzleti kockázatok számszerűsítése során az intézmény alátámasztható módon alakítsa ki kamatmarzsai szintjére vonatkozó feltételezéseit. Az NPL állományt stresszhelyzetben befolyásoló tényezők kiértékelése és hatásuk számszerűsítése során: 1) az új NPL állomány álljon összhangban a stresszelt PD értékekkel, 2) az intézmény vizsgálja meg az NPL leépítés ütemének stresszhelyzetben várható változását, 3) a</w:t>
      </w:r>
      <w:r w:rsidRPr="00181755">
        <w:rPr>
          <w:rFonts w:asciiTheme="minorHAnsi" w:hAnsiTheme="minorHAnsi"/>
          <w:sz w:val="22"/>
          <w:szCs w:val="22"/>
          <w:lang w:val="hu-HU"/>
        </w:rPr>
        <w:t>z</w:t>
      </w:r>
      <w:r w:rsidRPr="00181755">
        <w:rPr>
          <w:rFonts w:asciiTheme="minorHAnsi" w:hAnsiTheme="minorHAnsi"/>
          <w:sz w:val="22"/>
          <w:szCs w:val="22"/>
        </w:rPr>
        <w:t xml:space="preserve"> </w:t>
      </w:r>
      <w:r w:rsidRPr="00181755">
        <w:rPr>
          <w:rFonts w:asciiTheme="minorHAnsi" w:hAnsiTheme="minorHAnsi"/>
          <w:sz w:val="22"/>
          <w:szCs w:val="22"/>
          <w:lang w:val="hu-HU"/>
        </w:rPr>
        <w:t>intézmény</w:t>
      </w:r>
      <w:r w:rsidRPr="00181755">
        <w:rPr>
          <w:rFonts w:asciiTheme="minorHAnsi" w:hAnsiTheme="minorHAnsi"/>
          <w:sz w:val="22"/>
          <w:szCs w:val="22"/>
        </w:rPr>
        <w:t xml:space="preserve"> becsülje meg, hogy az NPL állomány változása mekkora eredményhatással jár az állomány, illetve a marzsok módosulása miatt.</w:t>
      </w:r>
    </w:p>
    <w:p w14:paraId="6024C69F" w14:textId="667E0A44"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Az intézmények díj- és jutalékbevételeiket is részletesen vizsgálják meg, például az ügyfélszám/tranzakciószám, valamint az egy ügyfélre/tranzakcióra vetített jutalékszint szerinti bontásban</w:t>
      </w:r>
      <w:r w:rsidR="009A6DE6" w:rsidRPr="00181755">
        <w:rPr>
          <w:rFonts w:asciiTheme="minorHAnsi" w:hAnsiTheme="minorHAnsi"/>
          <w:sz w:val="22"/>
          <w:szCs w:val="22"/>
          <w:lang w:val="hu-HU"/>
        </w:rPr>
        <w:t xml:space="preserve"> indokolható mélységű szegmentációnak megfelelően</w:t>
      </w:r>
      <w:r w:rsidRPr="00181755">
        <w:rPr>
          <w:rFonts w:asciiTheme="minorHAnsi" w:hAnsiTheme="minorHAnsi"/>
          <w:sz w:val="22"/>
          <w:szCs w:val="22"/>
        </w:rPr>
        <w:t>. A stresszelt ügyfélszámra/tranzakciószámra való becslések legyenek összhangban a nettó működési eredmény többi tételével kapcsolatos feltételezésekkel, eredményekkel, például a stresszelt betétállománnyal és hitelfolyósítással.</w:t>
      </w:r>
    </w:p>
    <w:p w14:paraId="7DE49EE5" w14:textId="77777777" w:rsidR="007F12F4" w:rsidRPr="00181755" w:rsidRDefault="007F12F4" w:rsidP="00181755">
      <w:pPr>
        <w:pStyle w:val="Listaszerbekezds"/>
        <w:numPr>
          <w:ilvl w:val="0"/>
          <w:numId w:val="52"/>
        </w:numPr>
        <w:spacing w:after="150"/>
        <w:rPr>
          <w:rFonts w:asciiTheme="minorHAnsi" w:hAnsiTheme="minorHAnsi"/>
          <w:sz w:val="22"/>
        </w:rPr>
      </w:pPr>
      <w:r w:rsidRPr="00181755">
        <w:rPr>
          <w:rFonts w:asciiTheme="minorHAnsi" w:hAnsiTheme="minorHAnsi"/>
          <w:sz w:val="22"/>
          <w:szCs w:val="22"/>
        </w:rPr>
        <w:t>A</w:t>
      </w:r>
      <w:r w:rsidRPr="00181755">
        <w:rPr>
          <w:rFonts w:asciiTheme="minorHAnsi" w:hAnsiTheme="minorHAnsi"/>
          <w:sz w:val="22"/>
          <w:szCs w:val="22"/>
          <w:lang w:val="hu-HU"/>
        </w:rPr>
        <w:t>z</w:t>
      </w:r>
      <w:r w:rsidRPr="00181755">
        <w:rPr>
          <w:rFonts w:asciiTheme="minorHAnsi" w:hAnsiTheme="minorHAnsi"/>
          <w:sz w:val="22"/>
          <w:szCs w:val="22"/>
        </w:rPr>
        <w:t xml:space="preserve"> </w:t>
      </w:r>
      <w:r w:rsidRPr="00181755">
        <w:rPr>
          <w:rFonts w:asciiTheme="minorHAnsi" w:hAnsiTheme="minorHAnsi"/>
          <w:sz w:val="22"/>
          <w:szCs w:val="22"/>
          <w:lang w:val="hu-HU"/>
        </w:rPr>
        <w:t>intézmény</w:t>
      </w:r>
      <w:r w:rsidRPr="00181755">
        <w:rPr>
          <w:rFonts w:asciiTheme="minorHAnsi" w:hAnsiTheme="minorHAnsi"/>
          <w:sz w:val="22"/>
        </w:rPr>
        <w:t xml:space="preserve"> működési költségeinek stresszhelyzetben várható értéke tükrözze </w:t>
      </w:r>
      <w:r w:rsidRPr="00181755">
        <w:rPr>
          <w:rFonts w:asciiTheme="minorHAnsi" w:hAnsiTheme="minorHAnsi"/>
          <w:sz w:val="22"/>
          <w:szCs w:val="22"/>
        </w:rPr>
        <w:t>a</w:t>
      </w:r>
      <w:r w:rsidRPr="00181755">
        <w:rPr>
          <w:rFonts w:asciiTheme="minorHAnsi" w:hAnsiTheme="minorHAnsi"/>
          <w:sz w:val="22"/>
          <w:szCs w:val="22"/>
          <w:lang w:val="hu-HU"/>
        </w:rPr>
        <w:t>z intézmény</w:t>
      </w:r>
      <w:r w:rsidRPr="00181755">
        <w:rPr>
          <w:rFonts w:asciiTheme="minorHAnsi" w:hAnsiTheme="minorHAnsi"/>
          <w:sz w:val="22"/>
        </w:rPr>
        <w:t xml:space="preserve"> makro stressz</w:t>
      </w:r>
      <w:r w:rsidRPr="00181755">
        <w:rPr>
          <w:rFonts w:asciiTheme="minorHAnsi" w:hAnsiTheme="minorHAnsi"/>
          <w:sz w:val="22"/>
          <w:lang w:val="hu-HU"/>
        </w:rPr>
        <w:t>-</w:t>
      </w:r>
      <w:r w:rsidRPr="00181755">
        <w:rPr>
          <w:rFonts w:asciiTheme="minorHAnsi" w:hAnsiTheme="minorHAnsi"/>
          <w:sz w:val="22"/>
        </w:rPr>
        <w:t>tesztjének eredményeit (pl. infláció, devizaárfolyam), továbbá a nettó működési eredmény többi tételével kapcsolatos feltételezéseket (pl. stresszelt hitelfolyósítás).</w:t>
      </w:r>
    </w:p>
    <w:p w14:paraId="46B0AEED" w14:textId="479CBCDE"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 xml:space="preserve">A stratégiai és üzleti kockázatok </w:t>
      </w:r>
      <w:r w:rsidR="00B946CC" w:rsidRPr="00181755">
        <w:rPr>
          <w:rFonts w:asciiTheme="minorHAnsi" w:hAnsiTheme="minorHAnsi"/>
          <w:sz w:val="22"/>
          <w:szCs w:val="22"/>
          <w:lang w:val="hu-HU"/>
        </w:rPr>
        <w:t>mértéke</w:t>
      </w:r>
      <w:r w:rsidRPr="00181755">
        <w:rPr>
          <w:rFonts w:asciiTheme="minorHAnsi" w:hAnsiTheme="minorHAnsi"/>
          <w:sz w:val="22"/>
          <w:szCs w:val="22"/>
        </w:rPr>
        <w:t xml:space="preserve"> </w:t>
      </w:r>
      <w:r w:rsidR="00B946CC" w:rsidRPr="00181755">
        <w:rPr>
          <w:rFonts w:asciiTheme="minorHAnsi" w:hAnsiTheme="minorHAnsi"/>
          <w:sz w:val="22"/>
          <w:szCs w:val="22"/>
          <w:lang w:val="hu-HU"/>
        </w:rPr>
        <w:t>az ICAAP-keretrendszerrel konzisztens</w:t>
      </w:r>
      <w:r w:rsidRPr="00181755">
        <w:rPr>
          <w:rFonts w:asciiTheme="minorHAnsi" w:hAnsiTheme="minorHAnsi"/>
          <w:sz w:val="22"/>
          <w:szCs w:val="22"/>
        </w:rPr>
        <w:t xml:space="preserve"> konfidenciaszint mellett határozandó meg.</w:t>
      </w:r>
    </w:p>
    <w:p w14:paraId="03339DFB"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 xml:space="preserve">A stratégiai és üzleti kockázatok mérése során a felhasznált adatok a leghosszabb elérhető idősorokból származzanak, melyek legalább a válság időszakának egy részét is lefedik. </w:t>
      </w:r>
    </w:p>
    <w:p w14:paraId="6E405E87"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Az idősorokra való eloszlás illesztés esetén az eloszlást a</w:t>
      </w:r>
      <w:r w:rsidRPr="00181755">
        <w:rPr>
          <w:rFonts w:asciiTheme="minorHAnsi" w:hAnsiTheme="minorHAnsi"/>
          <w:sz w:val="22"/>
          <w:szCs w:val="22"/>
          <w:lang w:val="hu-HU"/>
        </w:rPr>
        <w:t>z intézmény</w:t>
      </w:r>
      <w:r w:rsidRPr="00181755">
        <w:rPr>
          <w:rFonts w:asciiTheme="minorHAnsi" w:hAnsiTheme="minorHAnsi"/>
          <w:sz w:val="22"/>
          <w:szCs w:val="22"/>
        </w:rPr>
        <w:t xml:space="preserve"> alátámasztható módon válassza meg</w:t>
      </w:r>
      <w:r w:rsidRPr="00181755">
        <w:rPr>
          <w:rFonts w:asciiTheme="minorHAnsi" w:hAnsiTheme="minorHAnsi"/>
          <w:sz w:val="22"/>
          <w:szCs w:val="22"/>
          <w:lang w:val="hu-HU"/>
        </w:rPr>
        <w:t xml:space="preserve"> </w:t>
      </w:r>
      <w:r w:rsidRPr="00181755">
        <w:rPr>
          <w:rFonts w:asciiTheme="minorHAnsi" w:hAnsiTheme="minorHAnsi"/>
          <w:sz w:val="22"/>
          <w:szCs w:val="22"/>
        </w:rPr>
        <w:t>(pl. végezzen teszteket).</w:t>
      </w:r>
    </w:p>
    <w:p w14:paraId="367751AA" w14:textId="77777777"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Eloszlás illesztés során az eloszlás paraméterei azonos adatsorok alapján kerüljenek meghatározásra. Kerülendő nem létező, torzított eloszlás</w:t>
      </w:r>
      <w:r w:rsidRPr="00181755">
        <w:rPr>
          <w:rFonts w:asciiTheme="minorHAnsi" w:hAnsiTheme="minorHAnsi"/>
          <w:sz w:val="22"/>
          <w:szCs w:val="22"/>
          <w:lang w:val="hu-HU"/>
        </w:rPr>
        <w:t>ok</w:t>
      </w:r>
      <w:r w:rsidRPr="00181755">
        <w:rPr>
          <w:rFonts w:asciiTheme="minorHAnsi" w:hAnsiTheme="minorHAnsi"/>
          <w:sz w:val="22"/>
          <w:szCs w:val="22"/>
        </w:rPr>
        <w:t xml:space="preserve"> illesztése.</w:t>
      </w:r>
    </w:p>
    <w:p w14:paraId="1A84B177" w14:textId="42D9204D" w:rsidR="007F12F4" w:rsidRPr="00181755" w:rsidRDefault="007F12F4"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rPr>
        <w:t>Amennyiben az idősorok tisztítása szükséges a torzított eredmények elkerülése végett, az outlier szűrés időben állandó, objektív és alátámasztható módon kerüljön definiálásra, kizárva az alapadatok szakértői alapú, eseti jelleggel meghatározott szelektálását, és ezen keresztül a számítás kimenetelének befolyásolását.</w:t>
      </w:r>
    </w:p>
    <w:p w14:paraId="16A109B8" w14:textId="01FAF06C" w:rsidR="00B829B3" w:rsidRPr="00181755" w:rsidRDefault="00B829B3" w:rsidP="00181755">
      <w:pPr>
        <w:pStyle w:val="Listaszerbekezds"/>
        <w:numPr>
          <w:ilvl w:val="0"/>
          <w:numId w:val="52"/>
        </w:numPr>
        <w:spacing w:after="150"/>
        <w:rPr>
          <w:rFonts w:asciiTheme="minorHAnsi" w:hAnsiTheme="minorHAnsi"/>
          <w:sz w:val="22"/>
          <w:szCs w:val="22"/>
        </w:rPr>
      </w:pPr>
      <w:r w:rsidRPr="00181755">
        <w:rPr>
          <w:rFonts w:asciiTheme="minorHAnsi" w:hAnsiTheme="minorHAnsi"/>
          <w:sz w:val="22"/>
          <w:szCs w:val="22"/>
          <w:lang w:val="hu-HU"/>
        </w:rPr>
        <w:t>Elvárás, hogy a</w:t>
      </w:r>
      <w:r w:rsidRPr="00181755">
        <w:rPr>
          <w:rFonts w:asciiTheme="minorHAnsi" w:hAnsiTheme="minorHAnsi"/>
          <w:sz w:val="22"/>
          <w:szCs w:val="22"/>
        </w:rPr>
        <w:t xml:space="preserve">z üzleti és stratégiai kockázat </w:t>
      </w:r>
      <w:r w:rsidRPr="00181755">
        <w:rPr>
          <w:rFonts w:asciiTheme="minorHAnsi" w:hAnsiTheme="minorHAnsi"/>
          <w:sz w:val="22"/>
          <w:szCs w:val="22"/>
          <w:lang w:val="hu-HU"/>
        </w:rPr>
        <w:t>számszerűsítése során és a stressz tesztnél alkalmazott módszertanok között logikai ellentmondás ne álljon fent</w:t>
      </w:r>
      <w:r w:rsidRPr="00181755">
        <w:rPr>
          <w:rFonts w:asciiTheme="minorHAnsi" w:hAnsiTheme="minorHAnsi"/>
          <w:sz w:val="22"/>
          <w:szCs w:val="22"/>
        </w:rPr>
        <w:t>.</w:t>
      </w:r>
    </w:p>
    <w:p w14:paraId="18230074" w14:textId="2B499C6C" w:rsidR="007F12F4" w:rsidRPr="00181755" w:rsidRDefault="007F12F4" w:rsidP="008C1553">
      <w:pPr>
        <w:pStyle w:val="Listaszerbekezds"/>
        <w:numPr>
          <w:ilvl w:val="0"/>
          <w:numId w:val="52"/>
        </w:numPr>
        <w:spacing w:after="240"/>
        <w:ind w:left="714" w:hanging="357"/>
        <w:rPr>
          <w:rFonts w:asciiTheme="minorHAnsi" w:hAnsiTheme="minorHAnsi"/>
          <w:sz w:val="22"/>
          <w:szCs w:val="22"/>
        </w:rPr>
      </w:pPr>
      <w:r w:rsidRPr="00181755">
        <w:rPr>
          <w:rFonts w:asciiTheme="minorHAnsi" w:hAnsiTheme="minorHAnsi"/>
          <w:sz w:val="22"/>
          <w:szCs w:val="22"/>
        </w:rPr>
        <w:t>Amennyiben negatív nettó működési eredményt számszerűsít az intézmény</w:t>
      </w:r>
      <w:r w:rsidR="0017614A" w:rsidRPr="00181755">
        <w:rPr>
          <w:rFonts w:asciiTheme="minorHAnsi" w:hAnsiTheme="minorHAnsi"/>
          <w:sz w:val="22"/>
          <w:szCs w:val="22"/>
        </w:rPr>
        <w:t>,</w:t>
      </w:r>
      <w:r w:rsidRPr="00181755">
        <w:rPr>
          <w:rFonts w:asciiTheme="minorHAnsi" w:hAnsiTheme="minorHAnsi"/>
          <w:sz w:val="22"/>
          <w:szCs w:val="22"/>
        </w:rPr>
        <w:t xml:space="preserve"> </w:t>
      </w:r>
      <w:r w:rsidR="0007324E" w:rsidRPr="00181755">
        <w:rPr>
          <w:rFonts w:asciiTheme="minorHAnsi" w:hAnsiTheme="minorHAnsi"/>
          <w:sz w:val="22"/>
          <w:szCs w:val="22"/>
        </w:rPr>
        <w:t xml:space="preserve">a </w:t>
      </w:r>
      <w:r w:rsidR="0017614A" w:rsidRPr="00181755">
        <w:rPr>
          <w:rFonts w:asciiTheme="minorHAnsi" w:hAnsiTheme="minorHAnsi"/>
          <w:sz w:val="22"/>
          <w:szCs w:val="22"/>
        </w:rPr>
        <w:t>stratégiai és üzleti kockázat</w:t>
      </w:r>
      <w:r w:rsidR="00B10FEC" w:rsidRPr="00181755">
        <w:rPr>
          <w:rFonts w:asciiTheme="minorHAnsi" w:hAnsiTheme="minorHAnsi"/>
          <w:sz w:val="22"/>
          <w:szCs w:val="22"/>
        </w:rPr>
        <w:t xml:space="preserve"> mértéke</w:t>
      </w:r>
      <w:r w:rsidR="0017614A" w:rsidRPr="00181755">
        <w:rPr>
          <w:rFonts w:asciiTheme="minorHAnsi" w:hAnsiTheme="minorHAnsi"/>
          <w:sz w:val="22"/>
          <w:szCs w:val="22"/>
        </w:rPr>
        <w:t xml:space="preserve"> legalább ennek </w:t>
      </w:r>
      <w:r w:rsidRPr="00181755">
        <w:rPr>
          <w:rFonts w:asciiTheme="minorHAnsi" w:hAnsiTheme="minorHAnsi"/>
          <w:sz w:val="22"/>
          <w:szCs w:val="22"/>
        </w:rPr>
        <w:t>abszolút érték</w:t>
      </w:r>
      <w:r w:rsidR="0017614A" w:rsidRPr="00181755">
        <w:rPr>
          <w:rFonts w:asciiTheme="minorHAnsi" w:hAnsiTheme="minorHAnsi"/>
          <w:sz w:val="22"/>
          <w:szCs w:val="22"/>
        </w:rPr>
        <w:t>ével egyenértékű</w:t>
      </w:r>
      <w:r w:rsidRPr="00181755">
        <w:rPr>
          <w:rFonts w:asciiTheme="minorHAnsi" w:hAnsiTheme="minorHAnsi"/>
          <w:sz w:val="22"/>
          <w:szCs w:val="22"/>
        </w:rPr>
        <w:t>.</w:t>
      </w:r>
      <w:r w:rsidR="0017614A" w:rsidRPr="00181755">
        <w:rPr>
          <w:rFonts w:asciiTheme="minorHAnsi" w:hAnsiTheme="minorHAnsi"/>
          <w:sz w:val="22"/>
          <w:szCs w:val="22"/>
        </w:rPr>
        <w:t xml:space="preserve"> </w:t>
      </w:r>
      <w:r w:rsidR="00853BE0" w:rsidRPr="00181755">
        <w:rPr>
          <w:rFonts w:asciiTheme="minorHAnsi" w:hAnsiTheme="minorHAnsi"/>
          <w:sz w:val="22"/>
          <w:szCs w:val="22"/>
        </w:rPr>
        <w:t>A</w:t>
      </w:r>
      <w:r w:rsidR="0007324E" w:rsidRPr="00181755">
        <w:rPr>
          <w:rFonts w:asciiTheme="minorHAnsi" w:hAnsiTheme="minorHAnsi"/>
          <w:sz w:val="22"/>
          <w:szCs w:val="22"/>
          <w:lang w:val="hu-HU"/>
        </w:rPr>
        <w:t xml:space="preserve">z intézménynek </w:t>
      </w:r>
      <w:r w:rsidR="00853BE0" w:rsidRPr="00181755">
        <w:rPr>
          <w:rFonts w:asciiTheme="minorHAnsi" w:hAnsiTheme="minorHAnsi"/>
          <w:sz w:val="22"/>
          <w:szCs w:val="22"/>
        </w:rPr>
        <w:t>stratégiai és üzleti kockázatokra meghatározott tőkekövetelmény</w:t>
      </w:r>
      <w:r w:rsidR="0007324E" w:rsidRPr="00181755">
        <w:rPr>
          <w:rFonts w:asciiTheme="minorHAnsi" w:hAnsiTheme="minorHAnsi"/>
          <w:sz w:val="22"/>
          <w:szCs w:val="22"/>
          <w:lang w:val="hu-HU"/>
        </w:rPr>
        <w:t xml:space="preserve">t </w:t>
      </w:r>
      <w:r w:rsidR="00853BE0" w:rsidRPr="00181755">
        <w:rPr>
          <w:rFonts w:asciiTheme="minorHAnsi" w:hAnsiTheme="minorHAnsi"/>
          <w:sz w:val="22"/>
          <w:szCs w:val="22"/>
        </w:rPr>
        <w:t>a</w:t>
      </w:r>
      <w:r w:rsidR="00853BE0" w:rsidRPr="00181755">
        <w:rPr>
          <w:rFonts w:asciiTheme="minorHAnsi" w:hAnsiTheme="minorHAnsi"/>
          <w:sz w:val="22"/>
          <w:szCs w:val="22"/>
          <w:lang w:val="hu-HU"/>
        </w:rPr>
        <w:t xml:space="preserve"> </w:t>
      </w:r>
      <w:r w:rsidR="00B10FEC" w:rsidRPr="00181755">
        <w:rPr>
          <w:rFonts w:asciiTheme="minorHAnsi" w:hAnsiTheme="minorHAnsi"/>
          <w:sz w:val="22"/>
          <w:szCs w:val="22"/>
          <w:lang w:val="hu-HU"/>
        </w:rPr>
        <w:t>stratégiai és üzleti kockázat mértékének</w:t>
      </w:r>
      <w:r w:rsidR="00853BE0" w:rsidRPr="00181755">
        <w:rPr>
          <w:rFonts w:asciiTheme="minorHAnsi" w:hAnsiTheme="minorHAnsi"/>
          <w:sz w:val="22"/>
          <w:szCs w:val="22"/>
        </w:rPr>
        <w:t xml:space="preserve"> </w:t>
      </w:r>
      <w:r w:rsidR="00E7166F" w:rsidRPr="00181755">
        <w:rPr>
          <w:rFonts w:asciiTheme="minorHAnsi" w:hAnsiTheme="minorHAnsi"/>
          <w:sz w:val="22"/>
          <w:szCs w:val="22"/>
          <w:lang w:val="hu-HU"/>
        </w:rPr>
        <w:t xml:space="preserve">a mindenkor aktuális </w:t>
      </w:r>
      <w:r w:rsidR="00853BE0" w:rsidRPr="00181755">
        <w:rPr>
          <w:rFonts w:asciiTheme="minorHAnsi" w:hAnsiTheme="minorHAnsi"/>
          <w:sz w:val="22"/>
          <w:szCs w:val="22"/>
        </w:rPr>
        <w:t>tőkefenntartási puffer</w:t>
      </w:r>
      <w:r w:rsidR="00B10FEC" w:rsidRPr="00181755">
        <w:rPr>
          <w:rFonts w:asciiTheme="minorHAnsi" w:hAnsiTheme="minorHAnsi"/>
          <w:sz w:val="22"/>
          <w:szCs w:val="22"/>
          <w:lang w:val="hu-HU"/>
        </w:rPr>
        <w:t xml:space="preserve"> szintjé</w:t>
      </w:r>
      <w:r w:rsidR="0007324E" w:rsidRPr="00181755">
        <w:rPr>
          <w:rFonts w:asciiTheme="minorHAnsi" w:hAnsiTheme="minorHAnsi"/>
          <w:sz w:val="22"/>
          <w:szCs w:val="22"/>
          <w:lang w:val="hu-HU"/>
        </w:rPr>
        <w:t>t megh</w:t>
      </w:r>
      <w:r w:rsidR="0017614A" w:rsidRPr="00181755">
        <w:rPr>
          <w:rFonts w:asciiTheme="minorHAnsi" w:hAnsiTheme="minorHAnsi"/>
          <w:sz w:val="22"/>
          <w:szCs w:val="22"/>
          <w:lang w:val="hu-HU"/>
        </w:rPr>
        <w:t xml:space="preserve">aladó </w:t>
      </w:r>
      <w:r w:rsidR="00B10FEC" w:rsidRPr="00181755">
        <w:rPr>
          <w:rFonts w:asciiTheme="minorHAnsi" w:hAnsiTheme="minorHAnsi"/>
          <w:sz w:val="22"/>
          <w:szCs w:val="22"/>
          <w:lang w:val="hu-HU"/>
        </w:rPr>
        <w:t>részére</w:t>
      </w:r>
      <w:r w:rsidR="0017614A" w:rsidRPr="00181755">
        <w:rPr>
          <w:rFonts w:asciiTheme="minorHAnsi" w:hAnsiTheme="minorHAnsi"/>
          <w:sz w:val="22"/>
          <w:szCs w:val="22"/>
          <w:lang w:val="hu-HU"/>
        </w:rPr>
        <w:t xml:space="preserve"> kell képeznie</w:t>
      </w:r>
      <w:r w:rsidR="0007324E" w:rsidRPr="00181755">
        <w:rPr>
          <w:rFonts w:asciiTheme="minorHAnsi" w:hAnsiTheme="minorHAnsi"/>
          <w:sz w:val="22"/>
          <w:szCs w:val="22"/>
          <w:lang w:val="hu-HU"/>
        </w:rPr>
        <w:t xml:space="preserve">. </w:t>
      </w:r>
    </w:p>
    <w:p w14:paraId="66B155F3" w14:textId="77777777" w:rsidR="003F29E3" w:rsidRPr="00181755" w:rsidRDefault="003F29E3" w:rsidP="00181755">
      <w:pPr>
        <w:pStyle w:val="Cmsor4"/>
        <w:rPr>
          <w:rFonts w:asciiTheme="minorHAnsi" w:hAnsiTheme="minorHAnsi"/>
        </w:rPr>
      </w:pPr>
      <w:bookmarkStart w:id="1084" w:name="_Toc462403202"/>
      <w:bookmarkStart w:id="1085" w:name="_Toc462403526"/>
      <w:bookmarkStart w:id="1086" w:name="_Toc468180645"/>
      <w:bookmarkStart w:id="1087" w:name="_Toc468181126"/>
      <w:bookmarkStart w:id="1088" w:name="_Toc468191473"/>
      <w:r w:rsidRPr="00181755">
        <w:rPr>
          <w:rFonts w:asciiTheme="minorHAnsi" w:hAnsiTheme="minorHAnsi"/>
        </w:rPr>
        <w:t>Szabályozói környezetből adódó kockázat</w:t>
      </w:r>
      <w:bookmarkEnd w:id="1078"/>
      <w:bookmarkEnd w:id="1079"/>
      <w:bookmarkEnd w:id="1080"/>
      <w:bookmarkEnd w:id="1081"/>
      <w:bookmarkEnd w:id="1082"/>
      <w:bookmarkEnd w:id="1083"/>
      <w:bookmarkEnd w:id="1084"/>
      <w:bookmarkEnd w:id="1085"/>
      <w:bookmarkEnd w:id="1086"/>
      <w:bookmarkEnd w:id="1087"/>
      <w:bookmarkEnd w:id="1088"/>
    </w:p>
    <w:p w14:paraId="3F238F98" w14:textId="5BD04642" w:rsidR="00042A3D" w:rsidRPr="00181755" w:rsidRDefault="00042A3D" w:rsidP="00181755">
      <w:pPr>
        <w:rPr>
          <w:rFonts w:asciiTheme="minorHAnsi" w:hAnsiTheme="minorHAnsi"/>
          <w:b/>
        </w:rPr>
      </w:pPr>
      <w:r w:rsidRPr="00181755">
        <w:rPr>
          <w:rFonts w:asciiTheme="minorHAnsi" w:hAnsiTheme="minorHAnsi"/>
          <w:b/>
        </w:rPr>
        <w:t>Definíció</w:t>
      </w:r>
    </w:p>
    <w:p w14:paraId="66B155F4" w14:textId="4749ED2E" w:rsidR="003F29E3" w:rsidRPr="00181755" w:rsidRDefault="003F29E3" w:rsidP="00181755">
      <w:pPr>
        <w:rPr>
          <w:rFonts w:asciiTheme="minorHAnsi" w:hAnsiTheme="minorHAnsi"/>
        </w:rPr>
      </w:pPr>
      <w:r w:rsidRPr="00181755">
        <w:rPr>
          <w:rFonts w:asciiTheme="minorHAnsi" w:hAnsiTheme="minorHAnsi"/>
        </w:rPr>
        <w:t>A szabályozói környezetből adódó kockázat</w:t>
      </w:r>
      <w:r w:rsidR="007A236D" w:rsidRPr="00181755">
        <w:rPr>
          <w:rFonts w:asciiTheme="minorHAnsi" w:hAnsiTheme="minorHAnsi"/>
        </w:rPr>
        <w:t xml:space="preserve"> közvetetten vagy közvetve</w:t>
      </w:r>
      <w:r w:rsidRPr="00181755">
        <w:rPr>
          <w:rFonts w:asciiTheme="minorHAnsi" w:hAnsiTheme="minorHAnsi"/>
        </w:rPr>
        <w:t xml:space="preserve"> tőkét vagy a jövedelmezőséget érintő olyan kockázat, amely a nemzetközi vagy nemzeti hatóságok által előírt</w:t>
      </w:r>
      <w:r w:rsidR="007A236D" w:rsidRPr="00181755">
        <w:rPr>
          <w:rFonts w:asciiTheme="minorHAnsi" w:hAnsiTheme="minorHAnsi"/>
        </w:rPr>
        <w:t>, intézmény számára alkalmazandó</w:t>
      </w:r>
      <w:r w:rsidRPr="00181755">
        <w:rPr>
          <w:rFonts w:asciiTheme="minorHAnsi" w:hAnsiTheme="minorHAnsi"/>
        </w:rPr>
        <w:t xml:space="preserve"> szabályok változásából</w:t>
      </w:r>
      <w:r w:rsidR="007A236D" w:rsidRPr="00181755">
        <w:rPr>
          <w:rFonts w:asciiTheme="minorHAnsi" w:hAnsiTheme="minorHAnsi"/>
        </w:rPr>
        <w:t>, illetve új szabályok előírásából</w:t>
      </w:r>
      <w:r w:rsidRPr="00181755">
        <w:rPr>
          <w:rFonts w:asciiTheme="minorHAnsi" w:hAnsiTheme="minorHAnsi"/>
        </w:rPr>
        <w:t xml:space="preserve"> fakad. </w:t>
      </w:r>
    </w:p>
    <w:p w14:paraId="66B155F5" w14:textId="17A3F45A" w:rsidR="003F29E3" w:rsidRDefault="003F29E3" w:rsidP="00181755">
      <w:pPr>
        <w:rPr>
          <w:rFonts w:asciiTheme="minorHAnsi" w:hAnsiTheme="minorHAnsi"/>
        </w:rPr>
      </w:pPr>
      <w:r w:rsidRPr="00181755">
        <w:rPr>
          <w:rFonts w:asciiTheme="minorHAnsi" w:hAnsiTheme="minorHAnsi"/>
        </w:rPr>
        <w:t xml:space="preserve">A szabályozási környezet változásából fakadó kockázat csökkentése érdekében az intézmények </w:t>
      </w:r>
      <w:r w:rsidR="00771801" w:rsidRPr="00181755">
        <w:rPr>
          <w:rFonts w:asciiTheme="minorHAnsi" w:hAnsiTheme="minorHAnsi"/>
        </w:rPr>
        <w:t>részéről</w:t>
      </w:r>
      <w:r w:rsidRPr="00181755">
        <w:rPr>
          <w:rFonts w:asciiTheme="minorHAnsi" w:hAnsiTheme="minorHAnsi"/>
        </w:rPr>
        <w:t xml:space="preserve"> </w:t>
      </w:r>
      <w:r w:rsidR="00DF7FA2" w:rsidRPr="00181755">
        <w:rPr>
          <w:rFonts w:asciiTheme="minorHAnsi" w:hAnsiTheme="minorHAnsi"/>
        </w:rPr>
        <w:t>mindenképpen szükséges</w:t>
      </w:r>
      <w:r w:rsidRPr="00181755">
        <w:rPr>
          <w:rFonts w:asciiTheme="minorHAnsi" w:hAnsiTheme="minorHAnsi"/>
        </w:rPr>
        <w:t xml:space="preserve"> nem csak a hazai, hanem az EU-szintű jogszabály-előkészítés rendszeres nyomon k</w:t>
      </w:r>
      <w:r w:rsidR="00AA258E" w:rsidRPr="00181755">
        <w:rPr>
          <w:rFonts w:asciiTheme="minorHAnsi" w:hAnsiTheme="minorHAnsi"/>
        </w:rPr>
        <w:t xml:space="preserve">övetése, így különösen a CRD IV és a </w:t>
      </w:r>
      <w:r w:rsidRPr="00181755">
        <w:rPr>
          <w:rFonts w:asciiTheme="minorHAnsi" w:hAnsiTheme="minorHAnsi"/>
        </w:rPr>
        <w:t>CRR csomaghoz kapcsolódó végrehajtási rendeletek megjelenésének figyelése.</w:t>
      </w:r>
      <w:r w:rsidR="008C6FB0" w:rsidRPr="00181755">
        <w:rPr>
          <w:rFonts w:asciiTheme="minorHAnsi" w:hAnsiTheme="minorHAnsi"/>
        </w:rPr>
        <w:t xml:space="preserve"> Az intézmények a szabályozói környezetből fakadó kockázatot folyamatokkal </w:t>
      </w:r>
      <w:r w:rsidR="00771801" w:rsidRPr="00181755">
        <w:rPr>
          <w:rFonts w:asciiTheme="minorHAnsi" w:hAnsiTheme="minorHAnsi"/>
        </w:rPr>
        <w:t xml:space="preserve">és/vagy tőkekövetelmény </w:t>
      </w:r>
      <w:r w:rsidR="00F01393" w:rsidRPr="00181755">
        <w:rPr>
          <w:rFonts w:asciiTheme="minorHAnsi" w:hAnsiTheme="minorHAnsi"/>
        </w:rPr>
        <w:t>meghatározásával</w:t>
      </w:r>
      <w:r w:rsidR="008C6FB0" w:rsidRPr="00181755">
        <w:rPr>
          <w:rFonts w:asciiTheme="minorHAnsi" w:hAnsiTheme="minorHAnsi"/>
        </w:rPr>
        <w:t xml:space="preserve"> kezelhetik. </w:t>
      </w:r>
    </w:p>
    <w:p w14:paraId="4D98A563" w14:textId="330A02FB" w:rsidR="008C1553" w:rsidRDefault="008C1553" w:rsidP="00181755">
      <w:pPr>
        <w:rPr>
          <w:rFonts w:asciiTheme="minorHAnsi" w:hAnsiTheme="minorHAnsi"/>
        </w:rPr>
      </w:pPr>
    </w:p>
    <w:p w14:paraId="6614478E" w14:textId="77777777" w:rsidR="008C1553" w:rsidRPr="00181755" w:rsidRDefault="008C1553" w:rsidP="00181755">
      <w:pPr>
        <w:rPr>
          <w:rFonts w:asciiTheme="minorHAnsi" w:hAnsiTheme="minorHAnsi"/>
        </w:rPr>
      </w:pPr>
    </w:p>
    <w:p w14:paraId="66B155F7"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F8" w14:textId="39687867" w:rsidR="003F29E3" w:rsidRPr="00181755" w:rsidRDefault="003F29E3" w:rsidP="00181755">
      <w:pPr>
        <w:rPr>
          <w:rFonts w:asciiTheme="minorHAnsi" w:hAnsiTheme="minorHAnsi"/>
        </w:rPr>
      </w:pPr>
      <w:r w:rsidRPr="00181755">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181755">
        <w:rPr>
          <w:rFonts w:asciiTheme="minorHAnsi" w:hAnsiTheme="minorHAnsi"/>
        </w:rPr>
        <w:t xml:space="preserve">és </w:t>
      </w:r>
      <w:r w:rsidRPr="00181755">
        <w:rPr>
          <w:rFonts w:asciiTheme="minorHAnsi" w:hAnsiTheme="minorHAnsi"/>
        </w:rPr>
        <w:t>kövesse nyomon a szabályozói környezet változásait</w:t>
      </w:r>
      <w:r w:rsidR="00DF7FA2" w:rsidRPr="00181755">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181755">
        <w:rPr>
          <w:rFonts w:asciiTheme="minorHAnsi" w:hAnsiTheme="minorHAnsi"/>
        </w:rPr>
        <w:t>ást kapjanak</w:t>
      </w:r>
      <w:r w:rsidR="00DF7FA2" w:rsidRPr="00181755">
        <w:rPr>
          <w:rFonts w:asciiTheme="minorHAnsi" w:hAnsiTheme="minorHAnsi"/>
        </w:rPr>
        <w:t xml:space="preserve">. Az MNB pozitívnak </w:t>
      </w:r>
      <w:r w:rsidR="008C6FB0" w:rsidRPr="00181755">
        <w:rPr>
          <w:rFonts w:asciiTheme="minorHAnsi" w:hAnsiTheme="minorHAnsi"/>
        </w:rPr>
        <w:t>értékeli</w:t>
      </w:r>
      <w:r w:rsidR="00DF7FA2" w:rsidRPr="00181755">
        <w:rPr>
          <w:rFonts w:asciiTheme="minorHAnsi" w:hAnsiTheme="minorHAnsi"/>
        </w:rPr>
        <w:t>, ha az intézmény a jogszabályi változásokról rendszeresen összefoglalókat készít mind a vezetőség (riportokon keresztül),</w:t>
      </w:r>
      <w:r w:rsidR="00BE512A" w:rsidRPr="00181755">
        <w:rPr>
          <w:rFonts w:asciiTheme="minorHAnsi" w:hAnsiTheme="minorHAnsi"/>
        </w:rPr>
        <w:t xml:space="preserve"> mind a munkavállalók számára (</w:t>
      </w:r>
      <w:r w:rsidR="00771801" w:rsidRPr="00181755">
        <w:rPr>
          <w:rFonts w:asciiTheme="minorHAnsi" w:hAnsiTheme="minorHAnsi"/>
        </w:rPr>
        <w:t xml:space="preserve">tájékoztató anyag </w:t>
      </w:r>
      <w:r w:rsidR="00BE512A" w:rsidRPr="00181755">
        <w:rPr>
          <w:rFonts w:asciiTheme="minorHAnsi" w:hAnsiTheme="minorHAnsi"/>
        </w:rPr>
        <w:t>legalább az intraneten való hozzáférhetőség</w:t>
      </w:r>
      <w:r w:rsidR="00771801" w:rsidRPr="00181755">
        <w:rPr>
          <w:rFonts w:asciiTheme="minorHAnsi" w:hAnsiTheme="minorHAnsi"/>
        </w:rPr>
        <w:t>ének</w:t>
      </w:r>
      <w:r w:rsidR="00BE512A" w:rsidRPr="00181755">
        <w:rPr>
          <w:rFonts w:asciiTheme="minorHAnsi" w:hAnsiTheme="minorHAnsi"/>
        </w:rPr>
        <w:t xml:space="preserve"> biztosítása révén).</w:t>
      </w:r>
      <w:r w:rsidR="008C6FB0" w:rsidRPr="00181755">
        <w:rPr>
          <w:rFonts w:asciiTheme="minorHAnsi" w:hAnsiTheme="minorHAnsi"/>
        </w:rPr>
        <w:t xml:space="preserve"> </w:t>
      </w:r>
    </w:p>
    <w:p w14:paraId="66B155F9" w14:textId="77777777" w:rsidR="008C6FB0" w:rsidRPr="00181755" w:rsidRDefault="008C6FB0" w:rsidP="00181755">
      <w:pPr>
        <w:rPr>
          <w:rFonts w:asciiTheme="minorHAnsi" w:hAnsiTheme="minorHAnsi"/>
        </w:rPr>
      </w:pPr>
      <w:r w:rsidRPr="00181755">
        <w:rPr>
          <w:rFonts w:asciiTheme="minorHAnsi" w:hAnsiTheme="minorHAnsi"/>
        </w:rPr>
        <w:t>Az MNB továbbá elvárja, hogy az intézmény a belső szabályzatait hangolj</w:t>
      </w:r>
      <w:r w:rsidR="007D751D" w:rsidRPr="00181755">
        <w:rPr>
          <w:rFonts w:asciiTheme="minorHAnsi" w:hAnsiTheme="minorHAnsi"/>
        </w:rPr>
        <w:t>a</w:t>
      </w:r>
      <w:r w:rsidRPr="00181755">
        <w:rPr>
          <w:rFonts w:asciiTheme="minorHAnsi" w:hAnsiTheme="minorHAnsi"/>
        </w:rPr>
        <w:t xml:space="preserve"> össze a külső szabályozói környezettel, és azokat rendszeresen (legalább évente, releváns jogszabály-változás esetén ennél gyakrabban) vizsgálj</w:t>
      </w:r>
      <w:r w:rsidR="00251E4F" w:rsidRPr="00181755">
        <w:rPr>
          <w:rFonts w:asciiTheme="minorHAnsi" w:hAnsiTheme="minorHAnsi"/>
        </w:rPr>
        <w:t>a felül, és harmonizálja</w:t>
      </w:r>
      <w:r w:rsidR="00771801" w:rsidRPr="00181755">
        <w:rPr>
          <w:rFonts w:asciiTheme="minorHAnsi" w:hAnsiTheme="minorHAnsi"/>
        </w:rPr>
        <w:t xml:space="preserve"> a jog</w:t>
      </w:r>
      <w:r w:rsidR="00F01393" w:rsidRPr="00181755">
        <w:rPr>
          <w:rFonts w:asciiTheme="minorHAnsi" w:hAnsiTheme="minorHAnsi"/>
        </w:rPr>
        <w:t>i keretrendszerrel</w:t>
      </w:r>
      <w:r w:rsidRPr="00181755">
        <w:rPr>
          <w:rFonts w:asciiTheme="minorHAnsi" w:hAnsiTheme="minorHAnsi"/>
        </w:rPr>
        <w:t>. Egyes szakterületek</w:t>
      </w:r>
      <w:r w:rsidR="00771801" w:rsidRPr="00181755">
        <w:rPr>
          <w:rFonts w:asciiTheme="minorHAnsi" w:hAnsiTheme="minorHAnsi"/>
        </w:rPr>
        <w:t>et</w:t>
      </w:r>
      <w:r w:rsidRPr="00181755">
        <w:rPr>
          <w:rFonts w:asciiTheme="minorHAnsi" w:hAnsiTheme="minorHAnsi"/>
        </w:rPr>
        <w:t>, vagy a teljes intézmé</w:t>
      </w:r>
      <w:r w:rsidR="00F01393" w:rsidRPr="00181755">
        <w:rPr>
          <w:rFonts w:asciiTheme="minorHAnsi" w:hAnsiTheme="minorHAnsi"/>
        </w:rPr>
        <w:t>nyt érintő releváns jogszabályok változása</w:t>
      </w:r>
      <w:r w:rsidRPr="00181755">
        <w:rPr>
          <w:rFonts w:asciiTheme="minorHAnsi" w:hAnsiTheme="minorHAnsi"/>
        </w:rPr>
        <w:t xml:space="preserve"> esetén szükséges, hogy az intézmény </w:t>
      </w:r>
      <w:r w:rsidR="007D751D" w:rsidRPr="00181755">
        <w:rPr>
          <w:rFonts w:asciiTheme="minorHAnsi" w:hAnsiTheme="minorHAnsi"/>
        </w:rPr>
        <w:t xml:space="preserve">először </w:t>
      </w:r>
      <w:r w:rsidR="00DE18DF" w:rsidRPr="00181755">
        <w:rPr>
          <w:rFonts w:asciiTheme="minorHAnsi" w:hAnsiTheme="minorHAnsi"/>
        </w:rPr>
        <w:t xml:space="preserve">azonosítsa a jogszabály által érintett belső szervezeti egységeket, </w:t>
      </w:r>
      <w:r w:rsidR="007D751D" w:rsidRPr="00181755">
        <w:rPr>
          <w:rFonts w:asciiTheme="minorHAnsi" w:hAnsiTheme="minorHAnsi"/>
        </w:rPr>
        <w:t xml:space="preserve">majd </w:t>
      </w:r>
      <w:r w:rsidR="00DE18DF" w:rsidRPr="00181755">
        <w:rPr>
          <w:rFonts w:asciiTheme="minorHAnsi" w:hAnsiTheme="minorHAnsi"/>
        </w:rPr>
        <w:t xml:space="preserve">az érintett területek bevonásával </w:t>
      </w:r>
      <w:r w:rsidRPr="00181755">
        <w:rPr>
          <w:rFonts w:asciiTheme="minorHAnsi" w:hAnsiTheme="minorHAnsi"/>
        </w:rPr>
        <w:t xml:space="preserve">vizsgálja </w:t>
      </w:r>
      <w:r w:rsidR="00DE18DF" w:rsidRPr="00181755">
        <w:rPr>
          <w:rFonts w:asciiTheme="minorHAnsi" w:hAnsiTheme="minorHAnsi"/>
        </w:rPr>
        <w:t>meg</w:t>
      </w:r>
      <w:r w:rsidRPr="00181755">
        <w:rPr>
          <w:rFonts w:asciiTheme="minorHAnsi" w:hAnsiTheme="minorHAnsi"/>
        </w:rPr>
        <w:t xml:space="preserve"> a szabályozási változások hatásait, és </w:t>
      </w:r>
      <w:r w:rsidR="00DE18DF" w:rsidRPr="00181755">
        <w:rPr>
          <w:rFonts w:asciiTheme="minorHAnsi" w:hAnsiTheme="minorHAnsi"/>
        </w:rPr>
        <w:t xml:space="preserve">indokolt esetben </w:t>
      </w:r>
      <w:r w:rsidRPr="00181755">
        <w:rPr>
          <w:rFonts w:asciiTheme="minorHAnsi" w:hAnsiTheme="minorHAnsi"/>
        </w:rPr>
        <w:t xml:space="preserve">oktatóanyagok készítésével (esetlegesen oktatások szervezésével) készítse fel a munkavállalalókat </w:t>
      </w:r>
      <w:r w:rsidR="00CB2D67" w:rsidRPr="00181755">
        <w:rPr>
          <w:rFonts w:asciiTheme="minorHAnsi" w:hAnsiTheme="minorHAnsi"/>
        </w:rPr>
        <w:t>a</w:t>
      </w:r>
      <w:r w:rsidR="00F01393" w:rsidRPr="00181755">
        <w:rPr>
          <w:rFonts w:asciiTheme="minorHAnsi" w:hAnsiTheme="minorHAnsi"/>
        </w:rPr>
        <w:t xml:space="preserve"> munkájukat érintő</w:t>
      </w:r>
      <w:r w:rsidR="00CB2D67" w:rsidRPr="00181755">
        <w:rPr>
          <w:rFonts w:asciiTheme="minorHAnsi" w:hAnsiTheme="minorHAnsi"/>
        </w:rPr>
        <w:t xml:space="preserve"> szabályozási változásokra. </w:t>
      </w:r>
    </w:p>
    <w:p w14:paraId="66B1561C" w14:textId="52301C53" w:rsidR="003F29E3" w:rsidRPr="00181755" w:rsidRDefault="00CB2D67" w:rsidP="00181755">
      <w:pPr>
        <w:spacing w:after="240"/>
        <w:rPr>
          <w:rFonts w:asciiTheme="minorHAnsi" w:hAnsiTheme="minorHAnsi"/>
        </w:rPr>
      </w:pPr>
      <w:bookmarkStart w:id="1089" w:name="_Toc461201337"/>
      <w:r w:rsidRPr="00181755">
        <w:rPr>
          <w:rFonts w:asciiTheme="minorHAnsi" w:hAnsiTheme="minorHAnsi"/>
        </w:rPr>
        <w:t xml:space="preserve">Az MNB elvárja, hogy </w:t>
      </w:r>
      <w:r w:rsidR="00DF7FA2" w:rsidRPr="00181755">
        <w:rPr>
          <w:rFonts w:asciiTheme="minorHAnsi" w:hAnsiTheme="minorHAnsi"/>
        </w:rPr>
        <w:t xml:space="preserve">az aktuális, valamint a prognosztizált </w:t>
      </w:r>
      <w:r w:rsidRPr="00181755">
        <w:rPr>
          <w:rFonts w:asciiTheme="minorHAnsi" w:hAnsiTheme="minorHAnsi"/>
        </w:rPr>
        <w:t xml:space="preserve">szabályozói környezetből fakadó </w:t>
      </w:r>
      <w:r w:rsidR="007D751D" w:rsidRPr="00181755">
        <w:rPr>
          <w:rFonts w:asciiTheme="minorHAnsi" w:hAnsiTheme="minorHAnsi"/>
        </w:rPr>
        <w:t xml:space="preserve">jelentős </w:t>
      </w:r>
      <w:r w:rsidRPr="00181755">
        <w:rPr>
          <w:rFonts w:asciiTheme="minorHAnsi" w:hAnsiTheme="minorHAnsi"/>
        </w:rPr>
        <w:t>változásokat</w:t>
      </w:r>
      <w:r w:rsidR="00DF7FA2" w:rsidRPr="00181755">
        <w:rPr>
          <w:rFonts w:asciiTheme="minorHAnsi" w:hAnsiTheme="minorHAnsi"/>
        </w:rPr>
        <w:t xml:space="preserve"> </w:t>
      </w:r>
      <w:r w:rsidR="007D751D" w:rsidRPr="00181755">
        <w:rPr>
          <w:rFonts w:asciiTheme="minorHAnsi" w:hAnsiTheme="minorHAnsi"/>
        </w:rPr>
        <w:t>az intézmény építse</w:t>
      </w:r>
      <w:r w:rsidR="00DF7FA2" w:rsidRPr="00181755">
        <w:rPr>
          <w:rFonts w:asciiTheme="minorHAnsi" w:hAnsiTheme="minorHAnsi"/>
        </w:rPr>
        <w:t xml:space="preserve"> be a stratégiájába és tervezési folyamataiba (pl.</w:t>
      </w:r>
      <w:r w:rsidR="007D751D" w:rsidRPr="00181755">
        <w:rPr>
          <w:rFonts w:asciiTheme="minorHAnsi" w:hAnsiTheme="minorHAnsi"/>
        </w:rPr>
        <w:t>:</w:t>
      </w:r>
      <w:r w:rsidR="00DF7FA2" w:rsidRPr="00181755">
        <w:rPr>
          <w:rFonts w:asciiTheme="minorHAnsi" w:hAnsiTheme="minorHAnsi"/>
        </w:rPr>
        <w:t xml:space="preserve"> üzleti és tőketervek, stb.).</w:t>
      </w:r>
      <w:r w:rsidRPr="00181755">
        <w:rPr>
          <w:rFonts w:asciiTheme="minorHAnsi" w:hAnsiTheme="minorHAnsi"/>
        </w:rPr>
        <w:t xml:space="preserve"> </w:t>
      </w:r>
      <w:r w:rsidR="00F01393" w:rsidRPr="00181755">
        <w:rPr>
          <w:rFonts w:asciiTheme="minorHAnsi" w:hAnsiTheme="minorHAnsi"/>
        </w:rPr>
        <w:t>Az intézmény tevékenységé</w:t>
      </w:r>
      <w:r w:rsidRPr="00181755">
        <w:rPr>
          <w:rFonts w:asciiTheme="minorHAnsi" w:hAnsiTheme="minorHAnsi"/>
        </w:rPr>
        <w:t xml:space="preserve">t jelentősen érintő jogszabályi változások esetén előzetesen </w:t>
      </w:r>
      <w:r w:rsidR="00042A3D" w:rsidRPr="00181755">
        <w:rPr>
          <w:rFonts w:asciiTheme="minorHAnsi" w:hAnsiTheme="minorHAnsi"/>
        </w:rPr>
        <w:t xml:space="preserve">a potenciális </w:t>
      </w:r>
      <w:r w:rsidRPr="00181755">
        <w:rPr>
          <w:rFonts w:asciiTheme="minorHAnsi" w:hAnsiTheme="minorHAnsi"/>
        </w:rPr>
        <w:t xml:space="preserve">hatások vizsgálata és elemzése, </w:t>
      </w:r>
      <w:r w:rsidR="007D751D" w:rsidRPr="00181755">
        <w:rPr>
          <w:rFonts w:asciiTheme="minorHAnsi" w:hAnsiTheme="minorHAnsi"/>
        </w:rPr>
        <w:t xml:space="preserve">szcenáriók készítése, </w:t>
      </w:r>
      <w:r w:rsidRPr="00181755">
        <w:rPr>
          <w:rFonts w:asciiTheme="minorHAnsi" w:hAnsiTheme="minorHAnsi"/>
        </w:rPr>
        <w:t>szükség esetén akciótervek kidolgozása, valamint stratégiai és üzleti terv módosítása</w:t>
      </w:r>
      <w:r w:rsidR="007D751D" w:rsidRPr="00181755">
        <w:rPr>
          <w:rFonts w:asciiTheme="minorHAnsi" w:hAnsiTheme="minorHAnsi"/>
        </w:rPr>
        <w:t xml:space="preserve"> is szükséges</w:t>
      </w:r>
      <w:r w:rsidRPr="00181755">
        <w:rPr>
          <w:rFonts w:asciiTheme="minorHAnsi" w:hAnsiTheme="minorHAnsi"/>
        </w:rPr>
        <w:t>.</w:t>
      </w:r>
      <w:bookmarkStart w:id="1090" w:name="_Tőketervezés"/>
      <w:bookmarkStart w:id="1091" w:name="_Jövedelmezőség_kockázata"/>
      <w:bookmarkStart w:id="1092" w:name="_Gazdasági_környezetből_fakadó"/>
      <w:bookmarkEnd w:id="1089"/>
      <w:bookmarkEnd w:id="1090"/>
      <w:bookmarkEnd w:id="1091"/>
      <w:bookmarkEnd w:id="1092"/>
    </w:p>
    <w:p w14:paraId="24270D32" w14:textId="77777777" w:rsidR="003826DA" w:rsidRPr="00181755" w:rsidRDefault="003826DA" w:rsidP="00181755">
      <w:pPr>
        <w:pStyle w:val="Cmsor2"/>
        <w:rPr>
          <w:rFonts w:asciiTheme="minorHAnsi" w:hAnsiTheme="minorHAnsi"/>
        </w:rPr>
      </w:pPr>
      <w:bookmarkStart w:id="1093" w:name="_III.3._Tőkeszükséglet_meghatározása"/>
      <w:bookmarkStart w:id="1094" w:name="_Toc462403203"/>
      <w:bookmarkStart w:id="1095" w:name="_Toc462403527"/>
      <w:bookmarkStart w:id="1096" w:name="_Toc468180646"/>
      <w:bookmarkStart w:id="1097" w:name="_Toc468181127"/>
      <w:bookmarkStart w:id="1098" w:name="_Toc468191474"/>
      <w:bookmarkStart w:id="1099" w:name="_Toc378256240"/>
      <w:bookmarkStart w:id="1100" w:name="_Toc378592066"/>
      <w:bookmarkStart w:id="1101" w:name="_Toc461095240"/>
      <w:bookmarkStart w:id="1102" w:name="_Toc461179218"/>
      <w:bookmarkStart w:id="1103" w:name="_Toc461179896"/>
      <w:bookmarkStart w:id="1104" w:name="_Toc461197759"/>
      <w:bookmarkStart w:id="1105" w:name="_Toc461201340"/>
      <w:bookmarkStart w:id="1106" w:name="_Toc461548041"/>
      <w:bookmarkStart w:id="1107" w:name="_Toc462402081"/>
      <w:bookmarkEnd w:id="1093"/>
      <w:r w:rsidRPr="00181755">
        <w:rPr>
          <w:rFonts w:asciiTheme="minorHAnsi" w:hAnsiTheme="minorHAnsi"/>
        </w:rPr>
        <w:t>Stressz-tesztek</w:t>
      </w:r>
      <w:bookmarkEnd w:id="1094"/>
      <w:bookmarkEnd w:id="1095"/>
      <w:bookmarkEnd w:id="1096"/>
      <w:bookmarkEnd w:id="1097"/>
      <w:bookmarkEnd w:id="1098"/>
    </w:p>
    <w:p w14:paraId="0931EB65" w14:textId="77777777" w:rsidR="003826DA" w:rsidRPr="00181755" w:rsidRDefault="003826DA" w:rsidP="00181755">
      <w:pPr>
        <w:rPr>
          <w:rFonts w:asciiTheme="minorHAnsi" w:hAnsiTheme="minorHAnsi"/>
        </w:rPr>
      </w:pPr>
      <w:r w:rsidRPr="00181755">
        <w:rPr>
          <w:rFonts w:asciiTheme="minorHAnsi" w:hAnsiTheme="minorHAnsi"/>
        </w:rPr>
        <w:t xml:space="preserve">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közelmúltbeli pénzügyi és gazdasági válsághelyzet okán az MNB kiemelt fontosságot tulajdonít a stressz-teszteknek. </w:t>
      </w:r>
    </w:p>
    <w:p w14:paraId="5B2025F5" w14:textId="77777777" w:rsidR="003826DA" w:rsidRPr="00181755" w:rsidRDefault="003826DA" w:rsidP="00181755">
      <w:pPr>
        <w:rPr>
          <w:rFonts w:asciiTheme="minorHAnsi" w:hAnsiTheme="minorHAnsi"/>
        </w:rPr>
      </w:pPr>
      <w:r w:rsidRPr="00181755">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banki könyvi kamatkockázat, szuverén kockázat, spread kockázat, koncentrációs kockázat, FX kockázat). A stressz-tesztek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sidRPr="00181755">
        <w:rPr>
          <w:rStyle w:val="Lbjegyzet-hivatkozs"/>
          <w:rFonts w:asciiTheme="minorHAnsi" w:hAnsiTheme="minorHAnsi"/>
        </w:rPr>
        <w:footnoteReference w:id="76"/>
      </w:r>
      <w:r w:rsidRPr="00181755">
        <w:rPr>
          <w:rFonts w:asciiTheme="minorHAnsi" w:hAnsiTheme="minorHAnsi"/>
        </w:rPr>
        <w:t xml:space="preserve"> vonatkozásában, mind pedig a 2. pilléres stressz-teszteket</w:t>
      </w:r>
      <w:r w:rsidRPr="00181755">
        <w:rPr>
          <w:rStyle w:val="Lbjegyzet-hivatkozs"/>
          <w:rFonts w:asciiTheme="minorHAnsi" w:hAnsiTheme="minorHAnsi"/>
        </w:rPr>
        <w:footnoteReference w:id="77"/>
      </w:r>
      <w:r w:rsidRPr="00181755">
        <w:rPr>
          <w:rFonts w:asciiTheme="minorHAnsi" w:hAnsiTheme="minorHAnsi"/>
        </w:rPr>
        <w:t xml:space="preserve"> érintő általános rendelkezések tekintetében.</w:t>
      </w:r>
    </w:p>
    <w:p w14:paraId="7B5CFE8B" w14:textId="77777777" w:rsidR="003826DA" w:rsidRPr="00181755" w:rsidRDefault="003826DA" w:rsidP="00181755">
      <w:pPr>
        <w:rPr>
          <w:rFonts w:asciiTheme="minorHAnsi" w:hAnsiTheme="minorHAnsi"/>
        </w:rPr>
      </w:pPr>
      <w:r w:rsidRPr="00181755">
        <w:rPr>
          <w:rFonts w:asciiTheme="minorHAnsi" w:hAnsiTheme="minorHAnsi"/>
        </w:rPr>
        <w:t xml:space="preserve">Az MNB álláspontja szerint nincs egyetlen ”helyes” stressz-tesztelési módszertan. Egy adott intézmény szempontjából elfogadható megközelítések köre nagyban függ annak méretétől, tevékenységétől, kockázati étvágyától, illetve a kockázatkezelés minőségétől. Az arányosság elve alapján azonban az MNB elvárja, hogy az alkalmazott stressz-tesztelési módszertan kifinomultsága arányban álljon a fent említett tényezőkkel. A komplex SREP alá tartozó intézményektől az MNB azonban egyértelműen elvárja, hogy azok fejlett, komplex és integrált stressz-tesztelési keretrendszerrel rendelkezzenek, valamint stressz-teszt módszertanuk forgatókönyv alapú stressz-tesztet is tartalmazzon. </w:t>
      </w:r>
    </w:p>
    <w:p w14:paraId="399E12D5" w14:textId="77777777" w:rsidR="003826DA" w:rsidRPr="00181755" w:rsidRDefault="003826DA" w:rsidP="00181755">
      <w:pPr>
        <w:rPr>
          <w:rFonts w:asciiTheme="minorHAnsi" w:hAnsiTheme="minorHAnsi"/>
        </w:rPr>
      </w:pPr>
      <w:r w:rsidRPr="00181755">
        <w:rPr>
          <w:rFonts w:asciiTheme="minorHAnsi" w:hAnsiTheme="minorHAnsi"/>
        </w:rPr>
        <w:t xml:space="preserve">Az MNB a szofisztikált megközelítés híve, és elvárja a komplex SREP alá tartozó intézményektől a különböző módszertanok (érzékenységvizsgálat, forgatókönyv-elemzés,”reverse” stressz-teszt) egyidejű alkalmazását. </w:t>
      </w:r>
    </w:p>
    <w:p w14:paraId="7C593BE5" w14:textId="77777777" w:rsidR="003826DA" w:rsidRPr="00181755" w:rsidRDefault="003826DA" w:rsidP="00181755">
      <w:pPr>
        <w:rPr>
          <w:rFonts w:asciiTheme="minorHAnsi" w:hAnsiTheme="minorHAnsi"/>
          <w:b/>
        </w:rPr>
      </w:pPr>
      <w:r w:rsidRPr="00181755">
        <w:rPr>
          <w:rFonts w:asciiTheme="minorHAnsi" w:hAnsiTheme="minorHAnsi"/>
          <w:b/>
        </w:rPr>
        <w:t>ICAAP felülvizsgálat</w:t>
      </w:r>
    </w:p>
    <w:p w14:paraId="065BB3D0" w14:textId="77777777" w:rsidR="003826DA" w:rsidRPr="00181755" w:rsidRDefault="003826DA" w:rsidP="00181755">
      <w:pPr>
        <w:rPr>
          <w:rFonts w:asciiTheme="minorHAnsi" w:hAnsiTheme="minorHAnsi"/>
        </w:rPr>
      </w:pPr>
      <w:r w:rsidRPr="00181755">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előre megadott szabályrendszer szerint. </w:t>
      </w:r>
    </w:p>
    <w:p w14:paraId="070DD868" w14:textId="72D439D4" w:rsidR="003826DA" w:rsidRPr="00181755" w:rsidRDefault="003826DA" w:rsidP="00181755">
      <w:pPr>
        <w:rPr>
          <w:rFonts w:asciiTheme="minorHAnsi" w:hAnsiTheme="minorHAnsi"/>
        </w:rPr>
      </w:pPr>
      <w:r w:rsidRPr="00181755">
        <w:rPr>
          <w:rFonts w:asciiTheme="minorHAnsi" w:hAnsiTheme="minorHAnsi"/>
        </w:rPr>
        <w:t>A</w:t>
      </w:r>
      <w:r w:rsidR="00EB1BE0">
        <w:rPr>
          <w:rFonts w:asciiTheme="minorHAnsi" w:hAnsiTheme="minorHAnsi"/>
        </w:rPr>
        <w:t xml:space="preserve"> kézikönyvben</w:t>
      </w:r>
      <w:r w:rsidRPr="00181755">
        <w:rPr>
          <w:rFonts w:asciiTheme="minorHAnsi" w:hAnsiTheme="minorHAnsi"/>
        </w:rPr>
        <w:t xml:space="preserve">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tőkeszámítási eljárások természetszerűleg olyan korlátozó és leegyszerűsítő (pl. függetlenségi, normalitásra vonatkozó) feltevésekkel élnek, ami a tényleges kockázati kitettség jelentős alulbecslését eredményezheti. </w:t>
      </w:r>
    </w:p>
    <w:p w14:paraId="3933B6D8" w14:textId="77777777" w:rsidR="003826DA" w:rsidRPr="00181755" w:rsidRDefault="003826DA" w:rsidP="00181755">
      <w:pPr>
        <w:rPr>
          <w:rFonts w:asciiTheme="minorHAnsi" w:hAnsiTheme="minorHAnsi"/>
        </w:rPr>
      </w:pPr>
      <w:r w:rsidRPr="00181755">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tőkeszámítás során alkalmazott módszerek főbb hiányosságait. A komplex ICAAP és ILAAP felülvizsgálat alá tartozó intézmények esetében ezen túlmenően azt is megköveteli, hogy a stressz-tesztek a jelentősebb kockázati típusokkal megegyező szakmai igényességgel kerüljenek kialakításra, a gazdasági tőkeszámításnak pedig szerves elemét képezzék. Erre az MNB álláspontja szerint csak akkor nyílik mód, amennyiben</w:t>
      </w:r>
    </w:p>
    <w:p w14:paraId="0FFA44A1" w14:textId="73E06607" w:rsidR="003826DA" w:rsidRPr="00181755" w:rsidRDefault="003826DA" w:rsidP="00181755">
      <w:pPr>
        <w:pStyle w:val="felsorolsos"/>
        <w:rPr>
          <w:rFonts w:asciiTheme="minorHAnsi" w:hAnsiTheme="minorHAnsi"/>
        </w:rPr>
      </w:pPr>
      <w:r w:rsidRPr="00181755">
        <w:rPr>
          <w:rFonts w:asciiTheme="minorHAnsi" w:hAnsiTheme="minorHAnsi"/>
        </w:rPr>
        <w:t>az egyes stressz-tesztek kérdésfeltevése világos, koncepciója átgondolt, módszertana pedig annak tudatában került kialakításra, hogy a legtöbb kockázati típus tőkekövetelménye már önmagában is egy szélsőséges stressz-helyzetre vonatkozó p</w:t>
      </w:r>
      <w:r w:rsidR="00B934A4" w:rsidRPr="00181755">
        <w:rPr>
          <w:rFonts w:asciiTheme="minorHAnsi" w:hAnsiTheme="minorHAnsi"/>
        </w:rPr>
        <w:t>otenciális veszteségként adódik</w:t>
      </w:r>
      <w:r w:rsidR="00B934A4" w:rsidRPr="00181755">
        <w:rPr>
          <w:rFonts w:asciiTheme="minorHAnsi" w:hAnsiTheme="minorHAnsi"/>
          <w:lang w:val="hu-HU"/>
        </w:rPr>
        <w:t>,</w:t>
      </w:r>
      <w:r w:rsidRPr="00181755">
        <w:rPr>
          <w:rFonts w:asciiTheme="minorHAnsi" w:hAnsiTheme="minorHAnsi"/>
        </w:rPr>
        <w:t xml:space="preserve"> </w:t>
      </w:r>
    </w:p>
    <w:p w14:paraId="0F2784E5" w14:textId="4937C263" w:rsidR="003826DA" w:rsidRPr="00181755" w:rsidRDefault="003826DA" w:rsidP="00181755">
      <w:pPr>
        <w:pStyle w:val="felsorolsos"/>
        <w:rPr>
          <w:rFonts w:asciiTheme="minorHAnsi" w:hAnsiTheme="minorHAnsi"/>
        </w:rPr>
      </w:pPr>
      <w:r w:rsidRPr="00181755">
        <w:rPr>
          <w:rFonts w:asciiTheme="minorHAnsi" w:hAnsiTheme="minorHAnsi"/>
        </w:rPr>
        <w:t xml:space="preserve">a stressz-tesztek egyik legfőbb eleme, a külső környezeti sokkok transzmisszióját (vagyis intézményre gyakorolt hatását) meghatározó modell módszertani igényességgel, a múltbeli tapasztalatokat és (lehetőség szerint) elemi szintű portfólióadatokat is </w:t>
      </w:r>
      <w:r w:rsidR="00B934A4" w:rsidRPr="00181755">
        <w:rPr>
          <w:rFonts w:asciiTheme="minorHAnsi" w:hAnsiTheme="minorHAnsi"/>
        </w:rPr>
        <w:t>felhasználva kerül kialakításra</w:t>
      </w:r>
      <w:r w:rsidR="00B934A4" w:rsidRPr="00181755">
        <w:rPr>
          <w:rFonts w:asciiTheme="minorHAnsi" w:hAnsiTheme="minorHAnsi"/>
          <w:lang w:val="hu-HU"/>
        </w:rPr>
        <w:t>,</w:t>
      </w:r>
    </w:p>
    <w:p w14:paraId="7A2205B4" w14:textId="2B275774" w:rsidR="003826DA" w:rsidRPr="00181755" w:rsidRDefault="003826DA" w:rsidP="00181755">
      <w:pPr>
        <w:pStyle w:val="felsorolsos"/>
        <w:rPr>
          <w:rFonts w:asciiTheme="minorHAnsi" w:hAnsiTheme="minorHAnsi"/>
        </w:rPr>
      </w:pPr>
      <w:r w:rsidRPr="00181755">
        <w:rPr>
          <w:rFonts w:asciiTheme="minorHAnsi" w:hAnsiTheme="minorHAnsi"/>
        </w:rPr>
        <w:t>egyes stressz-tesztek lehetővé teszik a hitel- és árfolyamkockázat együttes megragadását, csakúgy, mint a piaci és likviditási kockázatok egységes keretben t</w:t>
      </w:r>
      <w:r w:rsidR="00B934A4" w:rsidRPr="00181755">
        <w:rPr>
          <w:rFonts w:asciiTheme="minorHAnsi" w:hAnsiTheme="minorHAnsi"/>
        </w:rPr>
        <w:t>örténő vizsgálatát</w:t>
      </w:r>
      <w:r w:rsidR="00B934A4" w:rsidRPr="00181755">
        <w:rPr>
          <w:rFonts w:asciiTheme="minorHAnsi" w:hAnsiTheme="minorHAnsi"/>
          <w:lang w:val="hu-HU"/>
        </w:rPr>
        <w:t>,</w:t>
      </w:r>
    </w:p>
    <w:p w14:paraId="0641B34B" w14:textId="1F52CB4B" w:rsidR="003826DA" w:rsidRPr="00181755" w:rsidRDefault="003826DA" w:rsidP="00181755">
      <w:pPr>
        <w:pStyle w:val="felsorolsos"/>
        <w:rPr>
          <w:rFonts w:asciiTheme="minorHAnsi" w:hAnsiTheme="minorHAnsi"/>
        </w:rPr>
      </w:pPr>
      <w:r w:rsidRPr="00181755">
        <w:rPr>
          <w:rFonts w:asciiTheme="minorHAnsi" w:hAnsiTheme="minorHAnsi"/>
        </w:rPr>
        <w:t>a stressz-tesztek – amennyiben lehetséges – számolnak a visszacsatolásokkal (pl. intézményi reakciók, kockázatcsökkentő lépések) és másodlagos hatásokkal (pl. kockázatok átgyűrűzése, kockázatkerülés lehetőségei)</w:t>
      </w:r>
      <w:r w:rsidRPr="00181755">
        <w:rPr>
          <w:rFonts w:asciiTheme="minorHAnsi" w:hAnsiTheme="minorHAnsi"/>
          <w:lang w:val="hu-HU"/>
        </w:rPr>
        <w:t>, az esetleges akciótervek várható eredményének hitelességét a felügyelet bírálja el, az intézmény részéről megfelelően alátámasztott indoklás szükséges</w:t>
      </w:r>
      <w:r w:rsidR="00B934A4" w:rsidRPr="00181755">
        <w:rPr>
          <w:rFonts w:asciiTheme="minorHAnsi" w:hAnsiTheme="minorHAnsi"/>
          <w:lang w:val="hu-HU"/>
        </w:rPr>
        <w:t>,</w:t>
      </w:r>
    </w:p>
    <w:p w14:paraId="2188031D" w14:textId="77777777" w:rsidR="003826DA" w:rsidRPr="00181755" w:rsidRDefault="003826DA" w:rsidP="00181755">
      <w:pPr>
        <w:pStyle w:val="felsorolsos"/>
        <w:rPr>
          <w:rFonts w:asciiTheme="minorHAnsi" w:hAnsiTheme="minorHAnsi"/>
        </w:rPr>
      </w:pPr>
      <w:r w:rsidRPr="00181755">
        <w:rPr>
          <w:rFonts w:asciiTheme="minorHAnsi" w:hAnsiTheme="minorHAnsi"/>
        </w:rPr>
        <w:t xml:space="preserve">a stressz-tesztek kiterjednek a gazdasági tőkeszámítás keretében alkalmazott egyedi tőkeszámítási módszerek hiányosságainak feltérképezésére, és lehetőség szerint megmutatják az egyes kockázati típusokhoz rendelt tőkekövetelmény érzékenységét a módszertan és az alkalmazott feltevések megváltoztatására. </w:t>
      </w:r>
    </w:p>
    <w:p w14:paraId="79EC3238" w14:textId="77777777" w:rsidR="003826DA" w:rsidRPr="00181755" w:rsidRDefault="003826DA" w:rsidP="00181755">
      <w:pPr>
        <w:rPr>
          <w:rFonts w:asciiTheme="minorHAnsi" w:hAnsiTheme="minorHAnsi"/>
        </w:rPr>
      </w:pPr>
      <w:r w:rsidRPr="00181755">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 Ezzel összhangban nem követeli meg az intézményektől, hogy a stressz-tesztek eredményét minden esetben kockázati tőkekövetelményként számolják el. Elvárja mindazonáltal a megfelelő mértékű tőkeképzést a következő esetekben:</w:t>
      </w:r>
    </w:p>
    <w:p w14:paraId="754F8181" w14:textId="503197B0" w:rsidR="003826DA" w:rsidRPr="00181755" w:rsidRDefault="003826DA" w:rsidP="00181755">
      <w:pPr>
        <w:pStyle w:val="felsorolsos"/>
        <w:rPr>
          <w:rFonts w:asciiTheme="minorHAnsi" w:hAnsiTheme="minorHAnsi"/>
        </w:rPr>
      </w:pPr>
      <w:r w:rsidRPr="00181755">
        <w:rPr>
          <w:rFonts w:asciiTheme="minorHAnsi" w:hAnsiTheme="minorHAnsi"/>
        </w:rPr>
        <w:t>az egyes kockázattípusok kapcsán végzett, modellfeltevésekre vonatkozó stressz-tesztek a kockázati tőkekövetelmény n</w:t>
      </w:r>
      <w:r w:rsidR="00B934A4" w:rsidRPr="00181755">
        <w:rPr>
          <w:rFonts w:asciiTheme="minorHAnsi" w:hAnsiTheme="minorHAnsi"/>
        </w:rPr>
        <w:t>agyfokú érzékenységét mutatják</w:t>
      </w:r>
      <w:r w:rsidR="00B934A4" w:rsidRPr="00181755">
        <w:rPr>
          <w:rFonts w:asciiTheme="minorHAnsi" w:hAnsiTheme="minorHAnsi"/>
          <w:lang w:val="hu-HU"/>
        </w:rPr>
        <w:t>,</w:t>
      </w:r>
    </w:p>
    <w:p w14:paraId="0628391D" w14:textId="3A7C0DDE" w:rsidR="003826DA" w:rsidRPr="00181755" w:rsidRDefault="003826DA" w:rsidP="00181755">
      <w:pPr>
        <w:pStyle w:val="felsorolsos"/>
        <w:rPr>
          <w:rFonts w:asciiTheme="minorHAnsi" w:hAnsiTheme="minorHAnsi"/>
        </w:rPr>
      </w:pPr>
      <w:r w:rsidRPr="00181755">
        <w:rPr>
          <w:rFonts w:asciiTheme="minorHAnsi" w:hAnsiTheme="minorHAnsi"/>
        </w:rPr>
        <w:t>a több kockázattípus együttes számbavételére irányuló (pl. a hitel- és devizakockázatot egységes módszertani keretben vizsgáló) stressz-elemzések a kockázati kit</w:t>
      </w:r>
      <w:r w:rsidR="00B934A4" w:rsidRPr="00181755">
        <w:rPr>
          <w:rFonts w:asciiTheme="minorHAnsi" w:hAnsiTheme="minorHAnsi"/>
        </w:rPr>
        <w:t>ettség koncentrációját mutatják</w:t>
      </w:r>
      <w:r w:rsidR="00B934A4" w:rsidRPr="00181755">
        <w:rPr>
          <w:rFonts w:asciiTheme="minorHAnsi" w:hAnsiTheme="minorHAnsi"/>
          <w:lang w:val="hu-HU"/>
        </w:rPr>
        <w:t>,</w:t>
      </w:r>
    </w:p>
    <w:p w14:paraId="5023BBC4" w14:textId="77777777" w:rsidR="003826DA" w:rsidRPr="00181755" w:rsidRDefault="003826DA" w:rsidP="00181755">
      <w:pPr>
        <w:pStyle w:val="felsorolsos"/>
        <w:rPr>
          <w:rFonts w:asciiTheme="minorHAnsi" w:hAnsiTheme="minorHAnsi"/>
        </w:rPr>
      </w:pPr>
      <w:r w:rsidRPr="00181755">
        <w:rPr>
          <w:rFonts w:asciiTheme="minorHAnsi" w:hAnsiTheme="minorHAnsi"/>
          <w:lang w:val="hu-HU"/>
        </w:rPr>
        <w:t>az intézmény stressz-tesztje olyan kockázatokra világít rá, melyet a 2. pilléres tőkekövetelmény nem fed le.</w:t>
      </w:r>
    </w:p>
    <w:p w14:paraId="10625AE3" w14:textId="2EE5A1E9" w:rsidR="003826DA" w:rsidRPr="00181755" w:rsidRDefault="003826DA" w:rsidP="00181755">
      <w:pPr>
        <w:spacing w:after="240"/>
        <w:rPr>
          <w:rFonts w:asciiTheme="minorHAnsi" w:hAnsiTheme="minorHAnsi"/>
        </w:rPr>
      </w:pPr>
      <w:r w:rsidRPr="00181755">
        <w:rPr>
          <w:rFonts w:asciiTheme="minorHAnsi" w:hAnsiTheme="minorHAnsi"/>
        </w:rPr>
        <w:t>Az MNB a kockázati kitettség megfelelő körülhatárolásának fontosságára tekintettel a stressz-tesztek vonatkozásában tapasztalt jelentős hiányosságok fennállása esetén a komplex ICAAP és ILAAP felülvizsgálat alá tartozó intézményeknél a 2. pilléres tőkeszükség</w:t>
      </w:r>
      <w:r w:rsidR="00B934A4" w:rsidRPr="00181755">
        <w:rPr>
          <w:rFonts w:asciiTheme="minorHAnsi" w:hAnsiTheme="minorHAnsi"/>
        </w:rPr>
        <w:t>letet pótlólagosan megemelheti.</w:t>
      </w:r>
    </w:p>
    <w:p w14:paraId="28456A78" w14:textId="77777777" w:rsidR="003826DA" w:rsidRPr="00181755" w:rsidRDefault="003826DA" w:rsidP="00181755">
      <w:pPr>
        <w:pStyle w:val="Cmsor3"/>
        <w:rPr>
          <w:rFonts w:asciiTheme="minorHAnsi" w:hAnsiTheme="minorHAnsi"/>
        </w:rPr>
      </w:pPr>
      <w:bookmarkStart w:id="1108" w:name="_Toc462403204"/>
      <w:bookmarkStart w:id="1109" w:name="_Toc462403528"/>
      <w:bookmarkStart w:id="1110" w:name="_Toc468180647"/>
      <w:bookmarkStart w:id="1111" w:name="_Toc468181128"/>
      <w:bookmarkStart w:id="1112" w:name="_Toc468191475"/>
      <w:r w:rsidRPr="00181755">
        <w:rPr>
          <w:rFonts w:asciiTheme="minorHAnsi" w:hAnsiTheme="minorHAnsi"/>
        </w:rPr>
        <w:t>Az alkalmazott kockázati modellek megbízhatósága</w:t>
      </w:r>
      <w:bookmarkEnd w:id="1108"/>
      <w:bookmarkEnd w:id="1109"/>
      <w:bookmarkEnd w:id="1110"/>
      <w:bookmarkEnd w:id="1111"/>
      <w:bookmarkEnd w:id="1112"/>
    </w:p>
    <w:p w14:paraId="77478D54" w14:textId="445F9CF5" w:rsidR="003826DA" w:rsidRPr="00181755" w:rsidRDefault="003826DA" w:rsidP="008C1553">
      <w:pPr>
        <w:spacing w:after="240"/>
        <w:rPr>
          <w:rFonts w:asciiTheme="minorHAnsi" w:hAnsiTheme="minorHAnsi"/>
        </w:rPr>
      </w:pPr>
      <w:r w:rsidRPr="00181755">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w:t>
      </w:r>
      <w:r w:rsidR="00B934A4" w:rsidRPr="00181755">
        <w:rPr>
          <w:rFonts w:asciiTheme="minorHAnsi" w:hAnsiTheme="minorHAnsi"/>
        </w:rPr>
        <w:t xml:space="preserve"> modelljeik válsághelyzetekben.</w:t>
      </w:r>
    </w:p>
    <w:p w14:paraId="0F05C6BB" w14:textId="77777777" w:rsidR="003826DA" w:rsidRPr="00181755" w:rsidRDefault="003826DA" w:rsidP="00181755">
      <w:pPr>
        <w:pStyle w:val="Cmsor3"/>
        <w:rPr>
          <w:rFonts w:asciiTheme="minorHAnsi" w:hAnsiTheme="minorHAnsi"/>
        </w:rPr>
      </w:pPr>
      <w:bookmarkStart w:id="1113" w:name="_Toc462403205"/>
      <w:bookmarkStart w:id="1114" w:name="_Toc462403529"/>
      <w:bookmarkStart w:id="1115" w:name="_Toc468180648"/>
      <w:bookmarkStart w:id="1116" w:name="_Toc468181129"/>
      <w:bookmarkStart w:id="1117" w:name="_Toc468191476"/>
      <w:r w:rsidRPr="00181755">
        <w:rPr>
          <w:rFonts w:asciiTheme="minorHAnsi" w:hAnsiTheme="minorHAnsi"/>
        </w:rPr>
        <w:t>Integrált kockázatkezelési szemlélet érvényesítése</w:t>
      </w:r>
      <w:bookmarkEnd w:id="1113"/>
      <w:bookmarkEnd w:id="1114"/>
      <w:bookmarkEnd w:id="1115"/>
      <w:bookmarkEnd w:id="1116"/>
      <w:bookmarkEnd w:id="1117"/>
    </w:p>
    <w:p w14:paraId="6BA5A71B" w14:textId="77777777" w:rsidR="003826DA" w:rsidRPr="00181755" w:rsidRDefault="003826DA" w:rsidP="00181755">
      <w:pPr>
        <w:rPr>
          <w:rFonts w:asciiTheme="minorHAnsi" w:hAnsiTheme="minorHAnsi"/>
        </w:rPr>
      </w:pPr>
      <w:r w:rsidRPr="00181755">
        <w:rPr>
          <w:rFonts w:asciiTheme="minorHAnsi" w:hAnsiTheme="minorHAnsi"/>
        </w:rPr>
        <w:t>Számos okból kifolyólag a jelenlegi üzleti és szabályozói gyakorlat a kockázati típusokat önállóan tárgyalja, melyek így egymástól függetlenül alkotják a gazdasági tőkeszámítás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4D08B955" w14:textId="77777777" w:rsidR="003826DA" w:rsidRPr="00181755" w:rsidRDefault="003826DA" w:rsidP="00181755">
      <w:pPr>
        <w:rPr>
          <w:rFonts w:asciiTheme="minorHAnsi" w:hAnsiTheme="minorHAnsi"/>
        </w:rPr>
      </w:pPr>
      <w:r w:rsidRPr="00181755">
        <w:rPr>
          <w:rFonts w:asciiTheme="minorHAnsi" w:hAnsiTheme="minorHAnsi"/>
        </w:rPr>
        <w:t>Az integrált, átfogó szemléletű kockázatkezelést az MNB azért tartja kiemelten fontosnak, mert a kereszthatásokat figyelembe véve számos esetben az intézmény várakozásainál nagyobb kockázati kitettség adódik. Az MNB minden komplex SREP alá tartozó intézménytől konszolidált szinten elvárja az integrált stressz-tesztek végzését.</w:t>
      </w:r>
    </w:p>
    <w:p w14:paraId="62BADBC0" w14:textId="1546C707" w:rsidR="003826DA" w:rsidRPr="00181755" w:rsidRDefault="003826DA" w:rsidP="00181755">
      <w:pPr>
        <w:rPr>
          <w:rFonts w:asciiTheme="minorHAnsi" w:hAnsiTheme="minorHAnsi"/>
        </w:rPr>
      </w:pPr>
      <w:r w:rsidRPr="00181755">
        <w:rPr>
          <w:rFonts w:asciiTheme="minorHAnsi" w:hAnsiTheme="minorHAnsi"/>
        </w:rPr>
        <w:t>A fentiek tükrében a kizárólag a kockázati modellek inputparamétereinek változtatására (pl. PD-k eltolása, LGD-k növelése) kiterjedő stressz-tesztelési módszertant az MNB nem tartja elégségesnek. Elvárja továbbá, hogy az intézmény stressz-tesztelési programja minden esetben jól körülhatárolt és azonosítható legyen, 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Ennek mintegy előfeltételeként az MNB előírja az intézmény legfelsőbb vezetői testületének felelősségét, megfelelő tájékozottságát.</w:t>
      </w:r>
    </w:p>
    <w:p w14:paraId="358D47D7" w14:textId="556595B4" w:rsidR="003826DA" w:rsidRPr="00181755" w:rsidRDefault="003826DA" w:rsidP="00181755">
      <w:pPr>
        <w:rPr>
          <w:rFonts w:asciiTheme="minorHAnsi" w:hAnsiTheme="minorHAnsi"/>
        </w:rPr>
      </w:pPr>
      <w:r w:rsidRPr="00181755">
        <w:rPr>
          <w:rFonts w:asciiTheme="minorHAnsi" w:hAnsiTheme="minorHAnsi"/>
        </w:rPr>
        <w:t>A mértékek tekintetében az MNB elvárja, hogy a stressz-tesztek valóban kivételesnek tekinthető, jelentős környezeti sokkok hatását (is) tükrözzék</w:t>
      </w:r>
      <w:r w:rsidRPr="00181755">
        <w:rPr>
          <w:rFonts w:asciiTheme="minorHAnsi" w:hAnsiTheme="minorHAnsi"/>
          <w:vertAlign w:val="superscript"/>
        </w:rPr>
        <w:footnoteReference w:id="78"/>
      </w:r>
      <w:r w:rsidRPr="00181755">
        <w:rPr>
          <w:rFonts w:asciiTheme="minorHAnsi" w:hAnsiTheme="minorHAnsi"/>
        </w:rPr>
        <w:t>. A közelmúltban megfigyelt pénzügyi, gazdasági és üzleti folyamatokra tekintettel az MNB elengedhetetlennek tartja, hogy az intézmények a válság során szerzett tapasztalataikat felhasználják a kockázati mértékek és módszerek megválasztása során, és kellően konzervatív módon járjanak el.</w:t>
      </w:r>
    </w:p>
    <w:p w14:paraId="0809DCF3" w14:textId="77777777" w:rsidR="003826DA" w:rsidRPr="00181755" w:rsidRDefault="003826DA" w:rsidP="00181755">
      <w:pPr>
        <w:rPr>
          <w:rFonts w:asciiTheme="minorHAnsi" w:hAnsiTheme="minorHAnsi"/>
        </w:rPr>
      </w:pPr>
      <w:r w:rsidRPr="00181755">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D6E0195" w14:textId="77777777" w:rsidR="003826DA" w:rsidRPr="00181755" w:rsidRDefault="003826DA" w:rsidP="00181755">
      <w:pPr>
        <w:rPr>
          <w:rFonts w:asciiTheme="minorHAnsi" w:hAnsiTheme="minorHAnsi"/>
        </w:rPr>
      </w:pPr>
      <w:r w:rsidRPr="00181755">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003FB0E3" w14:textId="0B339E54" w:rsidR="003826DA" w:rsidRPr="00181755" w:rsidRDefault="003826DA" w:rsidP="00181755">
      <w:pPr>
        <w:pStyle w:val="felsorolsos"/>
        <w:rPr>
          <w:rFonts w:asciiTheme="minorHAnsi" w:hAnsiTheme="minorHAnsi"/>
        </w:rPr>
      </w:pPr>
      <w:r w:rsidRPr="00181755">
        <w:rPr>
          <w:rFonts w:asciiTheme="minorHAnsi" w:hAnsiTheme="minorHAnsi"/>
        </w:rPr>
        <w:t>a tőkeszámítás eredményének ellenőrzése, illetve megbízha</w:t>
      </w:r>
      <w:r w:rsidR="00B934A4" w:rsidRPr="00181755">
        <w:rPr>
          <w:rFonts w:asciiTheme="minorHAnsi" w:hAnsiTheme="minorHAnsi"/>
        </w:rPr>
        <w:t>tóságának körülhatárolása során</w:t>
      </w:r>
      <w:r w:rsidR="00B934A4" w:rsidRPr="00181755">
        <w:rPr>
          <w:rFonts w:asciiTheme="minorHAnsi" w:hAnsiTheme="minorHAnsi"/>
          <w:lang w:val="hu-HU"/>
        </w:rPr>
        <w:t>,</w:t>
      </w:r>
    </w:p>
    <w:p w14:paraId="26719C67" w14:textId="5576944D" w:rsidR="003826DA" w:rsidRPr="00181755" w:rsidRDefault="003826DA" w:rsidP="00181755">
      <w:pPr>
        <w:pStyle w:val="felsorolsos"/>
        <w:rPr>
          <w:rFonts w:asciiTheme="minorHAnsi" w:hAnsiTheme="minorHAnsi"/>
        </w:rPr>
      </w:pPr>
      <w:r w:rsidRPr="00181755">
        <w:rPr>
          <w:rFonts w:asciiTheme="minorHAnsi" w:hAnsiTheme="minorHAnsi"/>
        </w:rPr>
        <w:t>a likviditási helyzet ért</w:t>
      </w:r>
      <w:r w:rsidR="00B934A4" w:rsidRPr="00181755">
        <w:rPr>
          <w:rFonts w:asciiTheme="minorHAnsi" w:hAnsiTheme="minorHAnsi"/>
        </w:rPr>
        <w:t>ékelése és a tőketervezés során</w:t>
      </w:r>
      <w:r w:rsidR="00B934A4" w:rsidRPr="00181755">
        <w:rPr>
          <w:rFonts w:asciiTheme="minorHAnsi" w:hAnsiTheme="minorHAnsi"/>
          <w:lang w:val="hu-HU"/>
        </w:rPr>
        <w:t>,</w:t>
      </w:r>
    </w:p>
    <w:p w14:paraId="6F89EE23" w14:textId="7C58436D" w:rsidR="003826DA" w:rsidRPr="00181755" w:rsidRDefault="003826DA" w:rsidP="00181755">
      <w:pPr>
        <w:pStyle w:val="felsorolsos"/>
        <w:rPr>
          <w:rFonts w:asciiTheme="minorHAnsi" w:hAnsiTheme="minorHAnsi"/>
        </w:rPr>
      </w:pPr>
      <w:r w:rsidRPr="00181755">
        <w:rPr>
          <w:rFonts w:asciiTheme="minorHAnsi" w:hAnsiTheme="minorHAnsi"/>
        </w:rPr>
        <w:t>a kockázati straté</w:t>
      </w:r>
      <w:r w:rsidR="00B934A4" w:rsidRPr="00181755">
        <w:rPr>
          <w:rFonts w:asciiTheme="minorHAnsi" w:hAnsiTheme="minorHAnsi"/>
        </w:rPr>
        <w:t>gia kialakítása folyamán</w:t>
      </w:r>
      <w:r w:rsidR="00B934A4" w:rsidRPr="00181755">
        <w:rPr>
          <w:rFonts w:asciiTheme="minorHAnsi" w:hAnsiTheme="minorHAnsi"/>
          <w:lang w:val="hu-HU"/>
        </w:rPr>
        <w:t>,</w:t>
      </w:r>
    </w:p>
    <w:p w14:paraId="1981B153" w14:textId="23B59DF7" w:rsidR="003826DA" w:rsidRPr="00181755" w:rsidRDefault="003826DA" w:rsidP="00181755">
      <w:pPr>
        <w:pStyle w:val="felsorolsos"/>
        <w:rPr>
          <w:rFonts w:asciiTheme="minorHAnsi" w:hAnsiTheme="minorHAnsi"/>
        </w:rPr>
      </w:pPr>
      <w:r w:rsidRPr="00181755">
        <w:rPr>
          <w:rFonts w:asciiTheme="minorHAnsi" w:hAnsiTheme="minorHAnsi"/>
        </w:rPr>
        <w:t>az általános felsővezetői döntéshozatal keretében, így például vészforgatókönyvek kidolgozása, limitek felállítása</w:t>
      </w:r>
      <w:r w:rsidRPr="00181755">
        <w:rPr>
          <w:rFonts w:asciiTheme="minorHAnsi" w:hAnsiTheme="minorHAnsi"/>
          <w:lang w:val="hu-HU"/>
        </w:rPr>
        <w:t xml:space="preserve"> során</w:t>
      </w:r>
      <w:r w:rsidR="00097B7C" w:rsidRPr="00181755">
        <w:rPr>
          <w:rFonts w:asciiTheme="minorHAnsi" w:hAnsiTheme="minorHAnsi"/>
        </w:rPr>
        <w:t xml:space="preserve"> stb.</w:t>
      </w:r>
      <w:r w:rsidR="00097B7C" w:rsidRPr="00181755">
        <w:rPr>
          <w:rFonts w:asciiTheme="minorHAnsi" w:hAnsiTheme="minorHAnsi"/>
          <w:lang w:val="hu-HU"/>
        </w:rPr>
        <w:t>,</w:t>
      </w:r>
    </w:p>
    <w:p w14:paraId="1F7C7354" w14:textId="1F621C55" w:rsidR="003826DA" w:rsidRPr="00181755" w:rsidRDefault="003826DA" w:rsidP="00181755">
      <w:pPr>
        <w:pStyle w:val="felsorolsos"/>
        <w:rPr>
          <w:rFonts w:asciiTheme="minorHAnsi" w:hAnsiTheme="minorHAnsi"/>
        </w:rPr>
      </w:pPr>
      <w:r w:rsidRPr="00181755">
        <w:rPr>
          <w:rFonts w:asciiTheme="minorHAnsi" w:hAnsiTheme="minorHAnsi"/>
        </w:rPr>
        <w:t>esetlegesen pótlólagos szabályozói tőkeszükséglet meghatározása céljából, az MNB-vel történő egyeztetés</w:t>
      </w:r>
      <w:r w:rsidR="00097B7C" w:rsidRPr="00181755">
        <w:rPr>
          <w:rFonts w:asciiTheme="minorHAnsi" w:hAnsiTheme="minorHAnsi"/>
        </w:rPr>
        <w:t>t követően, illetve</w:t>
      </w:r>
    </w:p>
    <w:p w14:paraId="04611D82" w14:textId="77777777" w:rsidR="003826DA" w:rsidRPr="00181755" w:rsidRDefault="003826DA" w:rsidP="00181755">
      <w:pPr>
        <w:pStyle w:val="felsorolsos"/>
        <w:rPr>
          <w:rFonts w:asciiTheme="minorHAnsi" w:hAnsiTheme="minorHAnsi"/>
        </w:rPr>
      </w:pPr>
      <w:r w:rsidRPr="00181755">
        <w:rPr>
          <w:rFonts w:asciiTheme="minorHAnsi" w:hAnsiTheme="minorHAnsi"/>
        </w:rPr>
        <w:t>amennyiben szükséges, megfelelő kockázatcsökkentő intézkedések meghozatala érdekében (tőkeemelés, stratégia, limitek szigorítása, stb.).</w:t>
      </w:r>
    </w:p>
    <w:p w14:paraId="1CB5BC5A" w14:textId="77777777" w:rsidR="003826DA" w:rsidRPr="00181755" w:rsidRDefault="003826DA" w:rsidP="00181755">
      <w:pPr>
        <w:rPr>
          <w:rFonts w:asciiTheme="minorHAnsi" w:hAnsiTheme="minorHAnsi"/>
        </w:rPr>
      </w:pPr>
      <w:r w:rsidRPr="00181755">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03077E0C" w14:textId="35B82572" w:rsidR="003826DA" w:rsidRPr="00181755" w:rsidRDefault="003826DA"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alkalmazott módszertanát (modellek részletes bemutatása, paraméterek megbízhatósága, modell feltételek alátámasztása, me</w:t>
      </w:r>
      <w:r w:rsidR="00097B7C" w:rsidRPr="00181755">
        <w:rPr>
          <w:rFonts w:asciiTheme="minorHAnsi" w:hAnsiTheme="minorHAnsi"/>
          <w:sz w:val="22"/>
          <w:szCs w:val="22"/>
          <w:lang w:val="hu-HU"/>
        </w:rPr>
        <w:t>nedzsment akciók szükségessége),</w:t>
      </w:r>
    </w:p>
    <w:p w14:paraId="517B526C" w14:textId="6DAAA54F" w:rsidR="003826DA" w:rsidRPr="00181755" w:rsidRDefault="00097B7C"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célját,</w:t>
      </w:r>
    </w:p>
    <w:p w14:paraId="0315DEB2" w14:textId="6E1553CD" w:rsidR="003826DA" w:rsidRPr="00181755" w:rsidRDefault="00097B7C"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gyakoriságát,</w:t>
      </w:r>
    </w:p>
    <w:p w14:paraId="790CF487" w14:textId="0C887B3F" w:rsidR="003826DA" w:rsidRPr="00181755" w:rsidRDefault="003826DA"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alkalmazott adatokat (a stressz-teszt során használt adatok, idősorok, paraméterek, portfóliók legyenek konzisztensek a szervezet más területein – kockázatkezelés / kontrolling / adatszolgáltatás / tőkekövetelmény számítás)</w:t>
      </w:r>
      <w:r w:rsidR="00097B7C" w:rsidRPr="00181755">
        <w:rPr>
          <w:rFonts w:asciiTheme="minorHAnsi" w:hAnsiTheme="minorHAnsi"/>
          <w:sz w:val="22"/>
          <w:szCs w:val="22"/>
          <w:lang w:val="hu-HU"/>
        </w:rPr>
        <w:t>,</w:t>
      </w:r>
    </w:p>
    <w:p w14:paraId="010DE326" w14:textId="4240B63E" w:rsidR="003826DA" w:rsidRPr="00181755" w:rsidRDefault="003826DA"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rPr>
        <w:t>eredmények felhasználás</w:t>
      </w:r>
      <w:r w:rsidR="00097B7C" w:rsidRPr="00181755">
        <w:rPr>
          <w:rFonts w:asciiTheme="minorHAnsi" w:hAnsiTheme="minorHAnsi"/>
          <w:sz w:val="22"/>
          <w:szCs w:val="22"/>
          <w:lang w:val="hu-HU"/>
        </w:rPr>
        <w:t>át,</w:t>
      </w:r>
    </w:p>
    <w:p w14:paraId="0CCFD5D7" w14:textId="28E854D0" w:rsidR="003826DA" w:rsidRPr="00181755" w:rsidRDefault="00097B7C"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IT infrastruktúrát,</w:t>
      </w:r>
    </w:p>
    <w:p w14:paraId="1C4B52F4" w14:textId="77777777" w:rsidR="003826DA" w:rsidRPr="00181755" w:rsidRDefault="003826DA" w:rsidP="00181755">
      <w:pPr>
        <w:pStyle w:val="Listaszerbekezds"/>
        <w:numPr>
          <w:ilvl w:val="0"/>
          <w:numId w:val="24"/>
        </w:numPr>
        <w:ind w:left="1134"/>
        <w:rPr>
          <w:rFonts w:asciiTheme="minorHAnsi" w:hAnsiTheme="minorHAnsi"/>
          <w:sz w:val="22"/>
          <w:szCs w:val="22"/>
        </w:rPr>
      </w:pPr>
      <w:r w:rsidRPr="00181755">
        <w:rPr>
          <w:rFonts w:asciiTheme="minorHAnsi" w:hAnsiTheme="minorHAnsi"/>
          <w:sz w:val="22"/>
          <w:szCs w:val="22"/>
          <w:lang w:val="hu-HU"/>
        </w:rPr>
        <w:t>felelősségi köröket.</w:t>
      </w:r>
    </w:p>
    <w:p w14:paraId="10BA2250" w14:textId="44DCDA27" w:rsidR="003826DA" w:rsidRPr="00181755" w:rsidRDefault="003826DA" w:rsidP="00181755">
      <w:pPr>
        <w:rPr>
          <w:rFonts w:asciiTheme="minorHAnsi" w:hAnsiTheme="minorHAnsi"/>
        </w:rPr>
      </w:pPr>
      <w:r w:rsidRPr="00181755">
        <w:rPr>
          <w:rFonts w:asciiTheme="minorHAnsi" w:hAnsiTheme="minorHAnsi"/>
        </w:rPr>
        <w:t>Fontos továbbá, hogy az adott intézmény megfelelő erőforrással és szakemberrel rendelkezzen a stressz-tesztek elvégzéséhez. Megemlítendő, hogy a több-féle stressz-teszt módszer kiegészítéseként a fordított stressz-teszt elvégzését is elvárja az MNB a komplex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4FC313B7" w14:textId="77777777" w:rsidR="003826DA" w:rsidRPr="00181755" w:rsidRDefault="003826DA" w:rsidP="00181755">
      <w:pPr>
        <w:rPr>
          <w:rFonts w:asciiTheme="minorHAnsi" w:hAnsiTheme="minorHAnsi"/>
        </w:rPr>
      </w:pPr>
      <w:r w:rsidRPr="00181755">
        <w:rPr>
          <w:rFonts w:asciiTheme="minorHAnsi" w:hAnsiTheme="minorHAnsi"/>
        </w:rPr>
        <w:t xml:space="preserve">A rendszerszintű kockázatok megbízhatóbb felmérése érdekében az MNB fenntartja annak lehetőségét, hogy konkrét stressz-szcenáriók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09D841F7" w14:textId="77777777" w:rsidR="003826DA" w:rsidRPr="00181755" w:rsidRDefault="003826DA" w:rsidP="00181755">
      <w:pPr>
        <w:rPr>
          <w:rFonts w:asciiTheme="minorHAnsi" w:hAnsiTheme="minorHAnsi"/>
        </w:rPr>
      </w:pPr>
      <w:r w:rsidRPr="00181755">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1708E107" w14:textId="68710623" w:rsidR="003826DA" w:rsidRPr="00181755" w:rsidRDefault="003826DA" w:rsidP="008C1553">
      <w:pPr>
        <w:spacing w:after="240"/>
        <w:rPr>
          <w:rFonts w:asciiTheme="minorHAnsi" w:hAnsiTheme="minorHAnsi"/>
        </w:rPr>
      </w:pPr>
      <w:r w:rsidRPr="00181755">
        <w:rPr>
          <w:rFonts w:asciiTheme="minorHAnsi" w:hAnsiTheme="minorHAnsi"/>
        </w:rPr>
        <w:t>A fenti általánosságokon túlmenően az MNB a CEBS Guideline on Stress Testing (GL32) című, 2010. augusztus 26-án megjelent irányelvét tekinti magára nézve irányadónak és alkalmazza az intézmények stressz-tesztjeinek megítélése során</w:t>
      </w:r>
      <w:r w:rsidRPr="00181755">
        <w:rPr>
          <w:rStyle w:val="Lbjegyzet-hivatkozs"/>
          <w:rFonts w:asciiTheme="minorHAnsi" w:hAnsiTheme="minorHAnsi"/>
        </w:rPr>
        <w:footnoteReference w:id="79"/>
      </w:r>
      <w:r w:rsidRPr="00181755">
        <w:rPr>
          <w:rFonts w:asciiTheme="minorHAnsi" w:hAnsiTheme="minorHAnsi"/>
        </w:rPr>
        <w:t>. Az MNB elvárja a felügyelt intézményektől, hogy részletesen tanulmányozzák annak tartalmát, és törekedjenek megfelelni az abban foglaltaknak.</w:t>
      </w:r>
    </w:p>
    <w:p w14:paraId="66B1561D" w14:textId="77777777" w:rsidR="003F29E3" w:rsidRPr="00181755" w:rsidRDefault="003F29E3" w:rsidP="00181755">
      <w:pPr>
        <w:pStyle w:val="Cmsor2"/>
        <w:rPr>
          <w:rFonts w:asciiTheme="minorHAnsi" w:hAnsiTheme="minorHAnsi"/>
        </w:rPr>
      </w:pPr>
      <w:bookmarkStart w:id="1118" w:name="_Toc462403206"/>
      <w:bookmarkStart w:id="1119" w:name="_Toc462403530"/>
      <w:bookmarkStart w:id="1120" w:name="_Toc468180649"/>
      <w:bookmarkStart w:id="1121" w:name="_Toc468181130"/>
      <w:bookmarkStart w:id="1122" w:name="_Toc468191477"/>
      <w:r w:rsidRPr="00181755">
        <w:rPr>
          <w:rFonts w:asciiTheme="minorHAnsi" w:hAnsiTheme="minorHAnsi"/>
        </w:rPr>
        <w:t>Tőkeszükséglet meghatározása</w:t>
      </w:r>
      <w:bookmarkEnd w:id="1099"/>
      <w:bookmarkEnd w:id="1100"/>
      <w:bookmarkEnd w:id="1101"/>
      <w:bookmarkEnd w:id="1102"/>
      <w:bookmarkEnd w:id="1103"/>
      <w:bookmarkEnd w:id="1104"/>
      <w:bookmarkEnd w:id="1105"/>
      <w:bookmarkEnd w:id="1106"/>
      <w:bookmarkEnd w:id="1107"/>
      <w:bookmarkEnd w:id="1118"/>
      <w:bookmarkEnd w:id="1119"/>
      <w:bookmarkEnd w:id="1120"/>
      <w:bookmarkEnd w:id="1121"/>
      <w:bookmarkEnd w:id="1122"/>
    </w:p>
    <w:p w14:paraId="66B1561F" w14:textId="04999124" w:rsidR="003F29E3" w:rsidRPr="00181755" w:rsidRDefault="003F29E3" w:rsidP="00181755">
      <w:pPr>
        <w:spacing w:after="240"/>
        <w:rPr>
          <w:rFonts w:asciiTheme="minorHAnsi" w:hAnsiTheme="minorHAnsi"/>
        </w:rPr>
      </w:pPr>
      <w:r w:rsidRPr="00181755">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 </w:t>
      </w:r>
      <w:bookmarkStart w:id="1123" w:name="_Módszertani_szabadság_indokolási"/>
      <w:bookmarkEnd w:id="1123"/>
    </w:p>
    <w:p w14:paraId="66B15620" w14:textId="77777777" w:rsidR="003F29E3" w:rsidRPr="00181755" w:rsidRDefault="003F29E3" w:rsidP="00181755">
      <w:pPr>
        <w:pStyle w:val="Cmsor3"/>
        <w:rPr>
          <w:rFonts w:asciiTheme="minorHAnsi" w:hAnsiTheme="minorHAnsi"/>
        </w:rPr>
      </w:pPr>
      <w:bookmarkStart w:id="1124" w:name="_Különbségek_az_alkalmazott"/>
      <w:bookmarkStart w:id="1125" w:name="_Toc378592068"/>
      <w:bookmarkStart w:id="1126" w:name="_Toc461095241"/>
      <w:bookmarkStart w:id="1127" w:name="_Toc461179897"/>
      <w:bookmarkStart w:id="1128" w:name="_Toc461201341"/>
      <w:bookmarkStart w:id="1129" w:name="_Toc461548042"/>
      <w:bookmarkStart w:id="1130" w:name="_Toc462402082"/>
      <w:bookmarkStart w:id="1131" w:name="_Toc462403207"/>
      <w:bookmarkStart w:id="1132" w:name="_Toc462403531"/>
      <w:bookmarkStart w:id="1133" w:name="_Toc468180650"/>
      <w:bookmarkStart w:id="1134" w:name="_Toc468181131"/>
      <w:bookmarkStart w:id="1135" w:name="_Toc468191478"/>
      <w:bookmarkEnd w:id="1124"/>
      <w:r w:rsidRPr="00181755">
        <w:rPr>
          <w:rFonts w:asciiTheme="minorHAnsi" w:hAnsiTheme="minorHAnsi"/>
        </w:rPr>
        <w:t>Különbségek az alkalmazott módszerek kifinomultságában</w:t>
      </w:r>
      <w:bookmarkEnd w:id="1125"/>
      <w:bookmarkEnd w:id="1126"/>
      <w:bookmarkEnd w:id="1127"/>
      <w:bookmarkEnd w:id="1128"/>
      <w:bookmarkEnd w:id="1129"/>
      <w:bookmarkEnd w:id="1130"/>
      <w:bookmarkEnd w:id="1131"/>
      <w:bookmarkEnd w:id="1132"/>
      <w:bookmarkEnd w:id="1133"/>
      <w:bookmarkEnd w:id="1134"/>
      <w:bookmarkEnd w:id="1135"/>
    </w:p>
    <w:p w14:paraId="66B15621" w14:textId="77777777" w:rsidR="003F29E3" w:rsidRPr="00181755" w:rsidRDefault="003F29E3" w:rsidP="00181755">
      <w:pPr>
        <w:rPr>
          <w:rFonts w:asciiTheme="minorHAnsi" w:hAnsiTheme="minorHAnsi"/>
        </w:rPr>
      </w:pPr>
      <w:r w:rsidRPr="00181755">
        <w:rPr>
          <w:rFonts w:asciiTheme="minorHAnsi" w:hAnsiTheme="minorHAnsi"/>
        </w:rPr>
        <w:t xml:space="preserve">Az intézmény által választható módszer kifinomultsága függhet </w:t>
      </w:r>
    </w:p>
    <w:p w14:paraId="66B15622" w14:textId="1261CE53" w:rsidR="003F29E3" w:rsidRPr="00181755" w:rsidRDefault="003F29E3" w:rsidP="00181755">
      <w:pPr>
        <w:pStyle w:val="felsorolsos"/>
        <w:rPr>
          <w:rFonts w:asciiTheme="minorHAnsi" w:hAnsiTheme="minorHAnsi"/>
        </w:rPr>
      </w:pPr>
      <w:r w:rsidRPr="00181755">
        <w:rPr>
          <w:rFonts w:asciiTheme="minorHAnsi" w:hAnsiTheme="minorHAnsi"/>
        </w:rPr>
        <w:t>magának az intézménynek a nagyságától és bonyolultságától (az arányosság elve értelmében a kise</w:t>
      </w:r>
      <w:r w:rsidR="008F31AB" w:rsidRPr="00181755">
        <w:rPr>
          <w:rFonts w:asciiTheme="minorHAnsi" w:hAnsiTheme="minorHAnsi"/>
        </w:rPr>
        <w:t>bb és egyszerűbb intézmények</w:t>
      </w:r>
      <w:r w:rsidR="008F31AB" w:rsidRPr="00181755">
        <w:rPr>
          <w:rFonts w:asciiTheme="minorHAnsi" w:hAnsiTheme="minorHAnsi"/>
          <w:lang w:val="hu-HU"/>
        </w:rPr>
        <w:t xml:space="preserve"> esetén </w:t>
      </w:r>
      <w:r w:rsidRPr="00181755">
        <w:rPr>
          <w:rFonts w:asciiTheme="minorHAnsi" w:hAnsiTheme="minorHAnsi"/>
        </w:rPr>
        <w:t>a kifinomult és bonyolult tőkeszámítási módszerek alkalmazása nem elvárás)</w:t>
      </w:r>
      <w:r w:rsidR="00097B7C" w:rsidRPr="00181755">
        <w:rPr>
          <w:rFonts w:asciiTheme="minorHAnsi" w:hAnsiTheme="minorHAnsi"/>
          <w:lang w:val="hu-HU"/>
        </w:rPr>
        <w:t>,</w:t>
      </w:r>
    </w:p>
    <w:p w14:paraId="66B15623" w14:textId="4D34FB20" w:rsidR="003F29E3" w:rsidRPr="00181755" w:rsidRDefault="003F29E3" w:rsidP="00181755">
      <w:pPr>
        <w:pStyle w:val="felsorolsos"/>
        <w:rPr>
          <w:rFonts w:asciiTheme="minorHAnsi" w:hAnsiTheme="minorHAnsi"/>
        </w:rPr>
      </w:pPr>
      <w:r w:rsidRPr="00181755">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181755">
        <w:rPr>
          <w:rFonts w:asciiTheme="minorHAnsi" w:hAnsiTheme="minorHAnsi"/>
          <w:lang w:val="hu-HU"/>
        </w:rPr>
        <w:t>,</w:t>
      </w:r>
    </w:p>
    <w:p w14:paraId="66B15624" w14:textId="48E527CD" w:rsidR="003F29E3" w:rsidRPr="00181755" w:rsidRDefault="003F29E3" w:rsidP="00181755">
      <w:pPr>
        <w:pStyle w:val="felsorolsos"/>
        <w:rPr>
          <w:rFonts w:asciiTheme="minorHAnsi" w:hAnsiTheme="minorHAnsi"/>
        </w:rPr>
      </w:pPr>
      <w:r w:rsidRPr="00181755">
        <w:rPr>
          <w:rFonts w:asciiTheme="minorHAnsi" w:hAnsiTheme="minorHAnsi"/>
        </w:rPr>
        <w:t xml:space="preserve">a rendelkezésre álló (főleg szellemi) erőforrásoktól. Elvárt, hogy az intézmény alaposan értse az általa alkalmazott módszereket, tehát ne alkalmazzon olyan módszereket, amelyek kellő elsajátításához nem volt kellő </w:t>
      </w:r>
      <w:r w:rsidR="009C75C1" w:rsidRPr="00181755">
        <w:rPr>
          <w:rFonts w:asciiTheme="minorHAnsi" w:hAnsiTheme="minorHAnsi"/>
          <w:lang w:val="hu-HU"/>
        </w:rPr>
        <w:t>kapacitása</w:t>
      </w:r>
      <w:r w:rsidRPr="00181755">
        <w:rPr>
          <w:rFonts w:asciiTheme="minorHAnsi" w:hAnsiTheme="minorHAnsi"/>
        </w:rPr>
        <w:t xml:space="preserve">/ideje. (Ez szorosan összefügg az első ponttal: a nagyobb intézményeknek általában nagyobb </w:t>
      </w:r>
      <w:r w:rsidR="009C75C1" w:rsidRPr="00181755">
        <w:rPr>
          <w:rFonts w:asciiTheme="minorHAnsi" w:hAnsiTheme="minorHAnsi"/>
          <w:lang w:val="hu-HU"/>
        </w:rPr>
        <w:t>erőforráso</w:t>
      </w:r>
      <w:r w:rsidR="009C75C1" w:rsidRPr="00181755">
        <w:rPr>
          <w:rFonts w:asciiTheme="minorHAnsi" w:hAnsiTheme="minorHAnsi"/>
        </w:rPr>
        <w:t xml:space="preserve">k </w:t>
      </w:r>
      <w:r w:rsidRPr="00181755">
        <w:rPr>
          <w:rFonts w:asciiTheme="minorHAnsi" w:hAnsiTheme="minorHAnsi"/>
        </w:rPr>
        <w:t>állnak rendelkezésére.)</w:t>
      </w:r>
      <w:r w:rsidR="00097B7C" w:rsidRPr="00181755">
        <w:rPr>
          <w:rFonts w:asciiTheme="minorHAnsi" w:hAnsiTheme="minorHAnsi"/>
          <w:lang w:val="hu-HU"/>
        </w:rPr>
        <w:t>,</w:t>
      </w:r>
    </w:p>
    <w:p w14:paraId="66B15625"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181755" w:rsidRDefault="003F29E3" w:rsidP="00181755">
      <w:pPr>
        <w:rPr>
          <w:rFonts w:asciiTheme="minorHAnsi" w:hAnsiTheme="minorHAnsi"/>
        </w:rPr>
      </w:pPr>
      <w:r w:rsidRPr="00181755">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181755" w:rsidRDefault="003F29E3" w:rsidP="00181755">
      <w:pPr>
        <w:spacing w:after="240"/>
        <w:rPr>
          <w:rFonts w:asciiTheme="minorHAnsi" w:hAnsiTheme="minorHAnsi"/>
        </w:rPr>
      </w:pPr>
      <w:r w:rsidRPr="00181755">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181755">
        <w:rPr>
          <w:rFonts w:asciiTheme="minorHAnsi" w:hAnsiTheme="minorHAnsi"/>
        </w:rPr>
        <w:t>–</w:t>
      </w:r>
      <w:r w:rsidRPr="00181755">
        <w:rPr>
          <w:rFonts w:asciiTheme="minorHAnsi" w:hAnsiTheme="minorHAnsi"/>
        </w:rPr>
        <w:t xml:space="preserve"> függetlenül attól, melyik pillérhez tartoznak.</w:t>
      </w:r>
    </w:p>
    <w:p w14:paraId="66B15629" w14:textId="77777777" w:rsidR="003F29E3" w:rsidRPr="00181755" w:rsidRDefault="003F29E3" w:rsidP="00181755">
      <w:pPr>
        <w:pStyle w:val="Cmsor3"/>
        <w:rPr>
          <w:rFonts w:asciiTheme="minorHAnsi" w:hAnsiTheme="minorHAnsi"/>
        </w:rPr>
      </w:pPr>
      <w:bookmarkStart w:id="1136" w:name="_Lehetséges_módszertani_eltérések"/>
      <w:bookmarkStart w:id="1137" w:name="_Toc378592069"/>
      <w:bookmarkStart w:id="1138" w:name="_Toc461095242"/>
      <w:bookmarkStart w:id="1139" w:name="_Toc461179898"/>
      <w:bookmarkStart w:id="1140" w:name="_Toc461201342"/>
      <w:bookmarkStart w:id="1141" w:name="_Toc461548043"/>
      <w:bookmarkStart w:id="1142" w:name="_Toc462402083"/>
      <w:bookmarkStart w:id="1143" w:name="_Toc462403208"/>
      <w:bookmarkStart w:id="1144" w:name="_Toc462403532"/>
      <w:bookmarkStart w:id="1145" w:name="_Toc468180651"/>
      <w:bookmarkStart w:id="1146" w:name="_Toc468181132"/>
      <w:bookmarkStart w:id="1147" w:name="_Toc468191479"/>
      <w:bookmarkEnd w:id="1136"/>
      <w:r w:rsidRPr="00181755">
        <w:rPr>
          <w:rFonts w:asciiTheme="minorHAnsi" w:hAnsiTheme="minorHAnsi"/>
        </w:rPr>
        <w:t>Lehetséges</w:t>
      </w:r>
      <w:r w:rsidRPr="00181755">
        <w:rPr>
          <w:rFonts w:asciiTheme="minorHAnsi" w:hAnsiTheme="minorHAnsi"/>
          <w:lang w:val="hu-HU"/>
        </w:rPr>
        <w:t xml:space="preserve"> </w:t>
      </w:r>
      <w:r w:rsidRPr="00181755">
        <w:rPr>
          <w:rFonts w:asciiTheme="minorHAnsi" w:hAnsiTheme="minorHAnsi"/>
        </w:rPr>
        <w:t>eltérések az 1. és 2. pillér között</w:t>
      </w:r>
      <w:bookmarkEnd w:id="1137"/>
      <w:bookmarkEnd w:id="1138"/>
      <w:bookmarkEnd w:id="1139"/>
      <w:bookmarkEnd w:id="1140"/>
      <w:bookmarkEnd w:id="1141"/>
      <w:bookmarkEnd w:id="1142"/>
      <w:bookmarkEnd w:id="1143"/>
      <w:bookmarkEnd w:id="1144"/>
      <w:bookmarkEnd w:id="1145"/>
      <w:bookmarkEnd w:id="1146"/>
      <w:bookmarkEnd w:id="1147"/>
    </w:p>
    <w:p w14:paraId="66B1562A" w14:textId="0B324132" w:rsidR="003F29E3" w:rsidRPr="00181755" w:rsidRDefault="003F29E3" w:rsidP="00181755">
      <w:pPr>
        <w:rPr>
          <w:rFonts w:asciiTheme="minorHAnsi" w:hAnsiTheme="minorHAnsi"/>
        </w:rPr>
      </w:pPr>
      <w:r w:rsidRPr="00181755">
        <w:rPr>
          <w:rFonts w:asciiTheme="minorHAnsi" w:hAnsiTheme="minorHAnsi"/>
        </w:rPr>
        <w:t>Ugyanazon (1. pillérbeli) kockázatok 1. és 2. pillérbeli kezelése eltérhet egymástól</w:t>
      </w:r>
      <w:r w:rsidR="008F31AB" w:rsidRPr="00181755">
        <w:rPr>
          <w:rFonts w:asciiTheme="minorHAnsi" w:hAnsiTheme="minorHAnsi"/>
        </w:rPr>
        <w:t>.</w:t>
      </w:r>
      <w:r w:rsidRPr="00181755">
        <w:rPr>
          <w:rFonts w:asciiTheme="minorHAnsi" w:hAnsiTheme="minorHAnsi"/>
        </w:rPr>
        <w:t xml:space="preserve"> </w:t>
      </w:r>
      <w:r w:rsidR="00A8026F" w:rsidRPr="00181755">
        <w:rPr>
          <w:rFonts w:asciiTheme="minorHAnsi" w:hAnsiTheme="minorHAnsi"/>
        </w:rPr>
        <w:t xml:space="preserve">Az MNB a 2. pillérbeli kockázatkezelésnél alapvetően az 1. pilléreshez képest kifinomultabb megközelítés, fejlettebb módszerek alkalmazását tartja szükségesnek. </w:t>
      </w:r>
      <w:r w:rsidRPr="00181755">
        <w:rPr>
          <w:rFonts w:asciiTheme="minorHAnsi" w:hAnsiTheme="minorHAnsi"/>
        </w:rPr>
        <w:t>Elképzelhető például, hogy egy intézmény portfóliómodellt (pl. Creditmetrics, Creditrisk+) alkalmaz a 2. pillérben az 1. pillér portfólió-független megközelítése helyett</w:t>
      </w:r>
      <w:r w:rsidRPr="00181755">
        <w:rPr>
          <w:rStyle w:val="Lbjegyzet-hivatkozs"/>
          <w:rFonts w:asciiTheme="minorHAnsi" w:hAnsiTheme="minorHAnsi"/>
        </w:rPr>
        <w:footnoteReference w:id="80"/>
      </w:r>
      <w:r w:rsidRPr="00181755">
        <w:rPr>
          <w:rFonts w:asciiTheme="minorHAnsi" w:hAnsiTheme="minorHAnsi"/>
        </w:rPr>
        <w:t>, vagy – ahogyan az ma sem ritkaság – a piaci kockázatokat belső célokra belső modellel határoz</w:t>
      </w:r>
      <w:r w:rsidR="00195E0E" w:rsidRPr="00181755">
        <w:rPr>
          <w:rFonts w:asciiTheme="minorHAnsi" w:hAnsiTheme="minorHAnsi"/>
        </w:rPr>
        <w:t>za</w:t>
      </w:r>
      <w:r w:rsidRPr="00181755">
        <w:rPr>
          <w:rFonts w:asciiTheme="minorHAnsi" w:hAnsiTheme="minorHAnsi"/>
        </w:rPr>
        <w:t xml:space="preserve"> meg, míg az 1. pillérben (a szabályozói tőkeszámításra) a sztenderd módszert alkalmazz</w:t>
      </w:r>
      <w:r w:rsidR="00195E0E" w:rsidRPr="00181755">
        <w:rPr>
          <w:rFonts w:asciiTheme="minorHAnsi" w:hAnsiTheme="minorHAnsi"/>
        </w:rPr>
        <w:t>a</w:t>
      </w:r>
      <w:r w:rsidRPr="00181755">
        <w:rPr>
          <w:rFonts w:asciiTheme="minorHAnsi" w:hAnsiTheme="minorHAnsi"/>
        </w:rPr>
        <w:t>.</w:t>
      </w:r>
    </w:p>
    <w:p w14:paraId="66B1562B" w14:textId="162AF75A" w:rsidR="003F29E3" w:rsidRPr="00181755" w:rsidRDefault="003F29E3" w:rsidP="00181755">
      <w:pPr>
        <w:rPr>
          <w:rFonts w:asciiTheme="minorHAnsi" w:hAnsiTheme="minorHAnsi"/>
        </w:rPr>
      </w:pPr>
      <w:r w:rsidRPr="00181755">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181755">
        <w:rPr>
          <w:rFonts w:asciiTheme="minorHAnsi" w:hAnsiTheme="minorHAnsi"/>
        </w:rPr>
        <w:t xml:space="preserve">és </w:t>
      </w:r>
      <w:r w:rsidRPr="00181755">
        <w:rPr>
          <w:rFonts w:asciiTheme="minorHAnsi" w:hAnsiTheme="minorHAnsi"/>
        </w:rPr>
        <w:t>a kockázati mérőszám megválasztásának szabadságát is. A tőkeszámítás módszerére –</w:t>
      </w:r>
      <w:r w:rsidR="00D53048" w:rsidRPr="00181755">
        <w:rPr>
          <w:rFonts w:asciiTheme="minorHAnsi" w:hAnsiTheme="minorHAnsi"/>
        </w:rPr>
        <w:t xml:space="preserve"> </w:t>
      </w:r>
      <w:r w:rsidRPr="00181755">
        <w:rPr>
          <w:rFonts w:asciiTheme="minorHAnsi" w:hAnsiTheme="minorHAnsi"/>
        </w:rPr>
        <w:t>azon kívül, hogy szempontokat ad arra, hogy milyen kockázatokat k</w:t>
      </w:r>
      <w:r w:rsidR="00AA258E" w:rsidRPr="00181755">
        <w:rPr>
          <w:rFonts w:asciiTheme="minorHAnsi" w:hAnsiTheme="minorHAnsi"/>
        </w:rPr>
        <w:t>ell figyelembe venni –</w:t>
      </w:r>
      <w:r w:rsidR="00195E0E" w:rsidRPr="00181755">
        <w:rPr>
          <w:rFonts w:asciiTheme="minorHAnsi" w:hAnsiTheme="minorHAnsi"/>
        </w:rPr>
        <w:t xml:space="preserve"> </w:t>
      </w:r>
      <w:r w:rsidR="00AA258E" w:rsidRPr="00181755">
        <w:rPr>
          <w:rFonts w:asciiTheme="minorHAnsi" w:hAnsiTheme="minorHAnsi"/>
        </w:rPr>
        <w:t xml:space="preserve">a CRD IV, illetve a </w:t>
      </w:r>
      <w:r w:rsidRPr="00181755">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tőkeszámítási módszereket alkalmazott (am</w:t>
      </w:r>
      <w:r w:rsidR="00A8026F" w:rsidRPr="00181755">
        <w:rPr>
          <w:rFonts w:asciiTheme="minorHAnsi" w:hAnsiTheme="minorHAnsi"/>
        </w:rPr>
        <w:t>ely</w:t>
      </w:r>
      <w:r w:rsidRPr="00181755">
        <w:rPr>
          <w:rFonts w:asciiTheme="minorHAnsi" w:hAnsiTheme="minorHAnsi"/>
        </w:rPr>
        <w:t xml:space="preserve"> </w:t>
      </w:r>
      <w:r w:rsidR="00A8026F" w:rsidRPr="00181755">
        <w:rPr>
          <w:rFonts w:asciiTheme="minorHAnsi" w:hAnsiTheme="minorHAnsi"/>
        </w:rPr>
        <w:t xml:space="preserve">elsősorban </w:t>
      </w:r>
      <w:r w:rsidRPr="00181755">
        <w:rPr>
          <w:rFonts w:asciiTheme="minorHAnsi" w:hAnsiTheme="minorHAnsi"/>
        </w:rPr>
        <w:t xml:space="preserve">a fejlettebb intézmények </w:t>
      </w:r>
      <w:r w:rsidR="00A8026F" w:rsidRPr="00181755">
        <w:rPr>
          <w:rFonts w:asciiTheme="minorHAnsi" w:hAnsiTheme="minorHAnsi"/>
        </w:rPr>
        <w:t>esetén jellemző</w:t>
      </w:r>
      <w:r w:rsidRPr="00181755">
        <w:rPr>
          <w:rFonts w:asciiTheme="minorHAnsi" w:hAnsiTheme="minorHAnsi"/>
        </w:rPr>
        <w:t>), akkor eze</w:t>
      </w:r>
      <w:r w:rsidR="00AA258E" w:rsidRPr="00181755">
        <w:rPr>
          <w:rFonts w:asciiTheme="minorHAnsi" w:hAnsiTheme="minorHAnsi"/>
        </w:rPr>
        <w:t xml:space="preserve">ket ne kelljen pusztán a CRD IV, </w:t>
      </w:r>
      <w:r w:rsidRPr="00181755">
        <w:rPr>
          <w:rFonts w:asciiTheme="minorHAnsi" w:hAnsiTheme="minorHAnsi"/>
        </w:rPr>
        <w:t>CRR bevezetésének következtében lecserélnie. Ennek a szabadságnak azonban (a CRD IV</w:t>
      </w:r>
      <w:r w:rsidR="00AA258E" w:rsidRPr="00181755">
        <w:rPr>
          <w:rFonts w:asciiTheme="minorHAnsi" w:hAnsiTheme="minorHAnsi"/>
        </w:rPr>
        <w:t xml:space="preserve"> és a </w:t>
      </w:r>
      <w:r w:rsidRPr="00181755">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181755" w:rsidRDefault="003F29E3" w:rsidP="00181755">
      <w:pPr>
        <w:rPr>
          <w:rFonts w:asciiTheme="minorHAnsi" w:hAnsiTheme="minorHAnsi"/>
        </w:rPr>
      </w:pPr>
      <w:r w:rsidRPr="00181755">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181755" w:rsidRDefault="003F29E3" w:rsidP="00181755">
      <w:pPr>
        <w:rPr>
          <w:rFonts w:asciiTheme="minorHAnsi" w:hAnsiTheme="minorHAnsi"/>
        </w:rPr>
      </w:pPr>
      <w:r w:rsidRPr="00181755">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7777777" w:rsidR="003F29E3" w:rsidRPr="00181755" w:rsidRDefault="003F29E3" w:rsidP="00181755">
      <w:pPr>
        <w:rPr>
          <w:rFonts w:asciiTheme="minorHAnsi" w:hAnsiTheme="minorHAnsi"/>
        </w:rPr>
      </w:pPr>
      <w:r w:rsidRPr="00181755">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181755" w:rsidRDefault="003F29E3" w:rsidP="00181755">
      <w:pPr>
        <w:rPr>
          <w:rFonts w:asciiTheme="minorHAnsi" w:hAnsiTheme="minorHAnsi"/>
        </w:rPr>
      </w:pPr>
      <w:r w:rsidRPr="00181755">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181755" w:rsidRDefault="003F29E3" w:rsidP="00181755">
      <w:pPr>
        <w:rPr>
          <w:rFonts w:asciiTheme="minorHAnsi" w:hAnsiTheme="minorHAnsi"/>
        </w:rPr>
      </w:pPr>
      <w:r w:rsidRPr="00181755">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181755" w:rsidRDefault="003F29E3" w:rsidP="00181755">
      <w:pPr>
        <w:rPr>
          <w:rFonts w:asciiTheme="minorHAnsi" w:hAnsiTheme="minorHAnsi"/>
        </w:rPr>
      </w:pPr>
      <w:r w:rsidRPr="00181755">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181755">
        <w:rPr>
          <w:rFonts w:asciiTheme="minorHAnsi" w:hAnsiTheme="minorHAnsi"/>
        </w:rPr>
        <w:t>.</w:t>
      </w:r>
      <w:r w:rsidRPr="00181755">
        <w:rPr>
          <w:rStyle w:val="Lbjegyzet-hivatkozs"/>
          <w:rFonts w:asciiTheme="minorHAnsi" w:hAnsiTheme="minorHAnsi"/>
        </w:rPr>
        <w:footnoteReference w:id="81"/>
      </w:r>
    </w:p>
    <w:p w14:paraId="66B15632" w14:textId="77777777" w:rsidR="003F29E3" w:rsidRPr="00181755" w:rsidRDefault="003F29E3" w:rsidP="00181755">
      <w:pPr>
        <w:rPr>
          <w:rFonts w:asciiTheme="minorHAnsi" w:hAnsiTheme="minorHAnsi"/>
        </w:rPr>
      </w:pPr>
      <w:r w:rsidRPr="00181755">
        <w:rPr>
          <w:rFonts w:asciiTheme="minorHAnsi" w:hAnsiTheme="minorHAnsi"/>
        </w:rPr>
        <w:t>Felmerült az a kérdés, hogy a gazdasági tőke számítás során lehet-e az 1. pillérben megkívántnál alacsonyabb konfidenciaszinttel számolni. Az MNB az ICAAP tőkeszámítás során a 99,9%-os konfidencia-szint használatát várja el. Az intézmény az ICAAP során alkalmazhat az 1. pillértől eltérő konfidencia szintet, azonban ebben az esetben az eredményei nem összehasonlíthatóak. Az összehasonlíthatóságot biztosítania kell az intézménynek, azaz a kockázatonkénti tőkeszámítást az 1. pillérben meghatározott konfidencia szinteken is be kell tudni mutatnia.</w:t>
      </w:r>
      <w:r w:rsidR="008F31AB" w:rsidRPr="00181755">
        <w:rPr>
          <w:rStyle w:val="Lbjegyzet-hivatkozs"/>
          <w:rFonts w:asciiTheme="minorHAnsi" w:hAnsiTheme="minorHAnsi"/>
        </w:rPr>
        <w:footnoteReference w:id="82"/>
      </w:r>
      <w:r w:rsidRPr="00181755">
        <w:rPr>
          <w:rFonts w:asciiTheme="minorHAnsi" w:hAnsiTheme="minorHAnsi"/>
        </w:rPr>
        <w:t xml:space="preserve"> Magasabb konfidencia szint alkalmazása konzervatívabb szemléletet tükröz, ezt az MNB elfogadja az 1. pillérrel történő összehasonlítás során. </w:t>
      </w:r>
    </w:p>
    <w:p w14:paraId="66B15634" w14:textId="2ACA45E0" w:rsidR="003F29E3" w:rsidRPr="00181755" w:rsidRDefault="003F29E3" w:rsidP="00181755">
      <w:pPr>
        <w:rPr>
          <w:rFonts w:asciiTheme="minorHAnsi" w:hAnsiTheme="minorHAnsi"/>
        </w:rPr>
      </w:pPr>
      <w:r w:rsidRPr="00181755">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első pillérbeli tartási időkülönbségek). </w:t>
      </w:r>
    </w:p>
    <w:p w14:paraId="6D929CB0" w14:textId="2DEAE952" w:rsidR="00415D32" w:rsidRPr="00181755" w:rsidRDefault="003F29E3" w:rsidP="00181755">
      <w:pPr>
        <w:rPr>
          <w:rFonts w:asciiTheme="minorHAnsi" w:hAnsiTheme="minorHAnsi"/>
        </w:rPr>
      </w:pPr>
      <w:r w:rsidRPr="00181755">
        <w:rPr>
          <w:rFonts w:asciiTheme="minorHAnsi" w:hAnsiTheme="minorHAnsi"/>
        </w:rPr>
        <w:t xml:space="preserve">Figyelembe kell venni, hogy amellett, hogy </w:t>
      </w:r>
      <w:r w:rsidR="0083270E" w:rsidRPr="00181755">
        <w:rPr>
          <w:rFonts w:asciiTheme="minorHAnsi" w:hAnsiTheme="minorHAnsi"/>
        </w:rPr>
        <w:t xml:space="preserve">az intézményeknek </w:t>
      </w:r>
      <w:r w:rsidRPr="00181755">
        <w:rPr>
          <w:rFonts w:asciiTheme="minorHAnsi" w:hAnsiTheme="minorHAnsi"/>
        </w:rPr>
        <w:t>a</w:t>
      </w:r>
      <w:r w:rsidR="0083270E" w:rsidRPr="00181755">
        <w:rPr>
          <w:rFonts w:asciiTheme="minorHAnsi" w:hAnsiTheme="minorHAnsi"/>
        </w:rPr>
        <w:t>z adott</w:t>
      </w:r>
      <w:r w:rsidRPr="00181755">
        <w:rPr>
          <w:rFonts w:asciiTheme="minorHAnsi" w:hAnsiTheme="minorHAnsi"/>
        </w:rPr>
        <w:t xml:space="preserve"> módszerek</w:t>
      </w:r>
      <w:r w:rsidR="0083270E" w:rsidRPr="00181755">
        <w:rPr>
          <w:rFonts w:asciiTheme="minorHAnsi" w:hAnsiTheme="minorHAnsi"/>
        </w:rPr>
        <w:t xml:space="preserve"> választását</w:t>
      </w:r>
      <w:r w:rsidRPr="00181755">
        <w:rPr>
          <w:rFonts w:asciiTheme="minorHAnsi" w:hAnsiTheme="minorHAnsi"/>
        </w:rPr>
        <w:t xml:space="preserve"> </w:t>
      </w:r>
      <w:r w:rsidR="0083270E" w:rsidRPr="00181755">
        <w:rPr>
          <w:rFonts w:asciiTheme="minorHAnsi" w:hAnsiTheme="minorHAnsi"/>
        </w:rPr>
        <w:t>megfelelő érvekkel alá kell tudniuk támasztani</w:t>
      </w:r>
      <w:r w:rsidRPr="00181755">
        <w:rPr>
          <w:rFonts w:asciiTheme="minorHAnsi" w:hAnsiTheme="minorHAnsi"/>
        </w:rPr>
        <w:t>, be kell tudni</w:t>
      </w:r>
      <w:r w:rsidR="0083270E" w:rsidRPr="00181755">
        <w:rPr>
          <w:rFonts w:asciiTheme="minorHAnsi" w:hAnsiTheme="minorHAnsi"/>
        </w:rPr>
        <w:t>uk</w:t>
      </w:r>
      <w:r w:rsidRPr="00181755">
        <w:rPr>
          <w:rFonts w:asciiTheme="minorHAnsi" w:hAnsiTheme="minorHAnsi"/>
        </w:rPr>
        <w:t xml:space="preserve"> mutatni a saját tőkeszámítás és az 1. pillérbeli tőkekövetelmény közötti kapcsolatokat is</w:t>
      </w:r>
      <w:r w:rsidR="00A43799" w:rsidRPr="00181755">
        <w:rPr>
          <w:rFonts w:asciiTheme="minorHAnsi" w:hAnsiTheme="minorHAnsi"/>
        </w:rPr>
        <w:t>.</w:t>
      </w:r>
      <w:r w:rsidRPr="00181755">
        <w:rPr>
          <w:rFonts w:asciiTheme="minorHAnsi" w:hAnsiTheme="minorHAnsi"/>
        </w:rPr>
        <w:t xml:space="preserve"> Ez a feladat pedig annál bonyolultabb, minél messzebb van a 2. pillérben alkalmazott megközelítés az 1. pillérbelitől. </w:t>
      </w:r>
      <w:r w:rsidR="00415D32" w:rsidRPr="00181755">
        <w:rPr>
          <w:rFonts w:asciiTheme="minorHAnsi" w:hAnsiTheme="minorHAnsi"/>
        </w:rPr>
        <w:t>Ennek megfelelően</w:t>
      </w:r>
      <w:r w:rsidRPr="00181755">
        <w:rPr>
          <w:rFonts w:asciiTheme="minorHAnsi" w:hAnsiTheme="minorHAnsi"/>
        </w:rPr>
        <w:t xml:space="preserve"> elvárható, hogy az intézmények meg tudják indokolni a két pillérbeli definíciók közötti eltéréseket</w:t>
      </w:r>
      <w:r w:rsidR="00A43799" w:rsidRPr="00181755">
        <w:rPr>
          <w:rFonts w:asciiTheme="minorHAnsi" w:hAnsiTheme="minorHAnsi"/>
        </w:rPr>
        <w:t>.</w:t>
      </w:r>
      <w:r w:rsidRPr="00181755">
        <w:rPr>
          <w:rFonts w:asciiTheme="minorHAnsi" w:hAnsiTheme="minorHAnsi"/>
        </w:rPr>
        <w:t xml:space="preserve"> </w:t>
      </w:r>
    </w:p>
    <w:p w14:paraId="66B15636" w14:textId="5248A712" w:rsidR="003F29E3" w:rsidRPr="00181755" w:rsidRDefault="00415D32" w:rsidP="00181755">
      <w:pPr>
        <w:spacing w:after="240"/>
        <w:rPr>
          <w:rFonts w:asciiTheme="minorHAnsi" w:hAnsiTheme="minorHAnsi"/>
        </w:rPr>
      </w:pPr>
      <w:r w:rsidRPr="00181755">
        <w:rPr>
          <w:rFonts w:asciiTheme="minorHAnsi" w:hAnsiTheme="minorHAnsi"/>
        </w:rPr>
        <w:t xml:space="preserve">A szavatoló tőke definíciójában és összegében a két pillér között nem lehet eltérés, ugyanis az MNB </w:t>
      </w:r>
      <w:r w:rsidR="003F29E3" w:rsidRPr="00181755">
        <w:rPr>
          <w:rFonts w:asciiTheme="minorHAnsi" w:hAnsiTheme="minorHAnsi"/>
        </w:rPr>
        <w:t>2015. január 1-</w:t>
      </w:r>
      <w:r w:rsidRPr="00181755">
        <w:rPr>
          <w:rFonts w:asciiTheme="minorHAnsi" w:hAnsiTheme="minorHAnsi"/>
        </w:rPr>
        <w:t>j</w:t>
      </w:r>
      <w:r w:rsidR="003F29E3" w:rsidRPr="00181755">
        <w:rPr>
          <w:rFonts w:asciiTheme="minorHAnsi" w:hAnsiTheme="minorHAnsi"/>
        </w:rPr>
        <w:t xml:space="preserve">étől már csak a CRR szerint elismerhető szavatoló tőke elemeket fogadja el a 2. pillérben </w:t>
      </w:r>
      <w:r w:rsidRPr="00181755">
        <w:rPr>
          <w:rFonts w:asciiTheme="minorHAnsi" w:hAnsiTheme="minorHAnsi"/>
        </w:rPr>
        <w:t xml:space="preserve">is </w:t>
      </w:r>
      <w:r w:rsidR="003F29E3" w:rsidRPr="00181755">
        <w:rPr>
          <w:rFonts w:asciiTheme="minorHAnsi" w:hAnsiTheme="minorHAnsi"/>
        </w:rPr>
        <w:t>a kockázatok fedezésére rendelkezésre álló tőkeként a SREP tőkemegfelelés számítása során.</w:t>
      </w:r>
    </w:p>
    <w:p w14:paraId="66B15637" w14:textId="77777777" w:rsidR="003F29E3" w:rsidRPr="00181755" w:rsidRDefault="003F29E3" w:rsidP="00181755">
      <w:pPr>
        <w:pStyle w:val="Cmsor3"/>
        <w:rPr>
          <w:rFonts w:asciiTheme="minorHAnsi" w:hAnsiTheme="minorHAnsi"/>
        </w:rPr>
      </w:pPr>
      <w:bookmarkStart w:id="1148" w:name="_Toc378592071"/>
      <w:bookmarkStart w:id="1149" w:name="_Toc461095243"/>
      <w:bookmarkStart w:id="1150" w:name="_Toc461179899"/>
      <w:bookmarkStart w:id="1151" w:name="_Toc461201343"/>
      <w:bookmarkStart w:id="1152" w:name="_Toc461548044"/>
      <w:bookmarkStart w:id="1153" w:name="_Toc462402084"/>
      <w:bookmarkStart w:id="1154" w:name="_Toc462403209"/>
      <w:bookmarkStart w:id="1155" w:name="_Toc462403533"/>
      <w:bookmarkStart w:id="1156" w:name="_Toc468180652"/>
      <w:bookmarkStart w:id="1157" w:name="_Toc468181133"/>
      <w:bookmarkStart w:id="1158" w:name="_Toc468191480"/>
      <w:r w:rsidRPr="00181755">
        <w:rPr>
          <w:rFonts w:asciiTheme="minorHAnsi" w:hAnsiTheme="minorHAnsi"/>
        </w:rPr>
        <w:t>Tőkeallokáció</w:t>
      </w:r>
      <w:bookmarkEnd w:id="1148"/>
      <w:bookmarkEnd w:id="1149"/>
      <w:bookmarkEnd w:id="1150"/>
      <w:bookmarkEnd w:id="1151"/>
      <w:bookmarkEnd w:id="1152"/>
      <w:bookmarkEnd w:id="1153"/>
      <w:bookmarkEnd w:id="1154"/>
      <w:bookmarkEnd w:id="1155"/>
      <w:bookmarkEnd w:id="1156"/>
      <w:bookmarkEnd w:id="1157"/>
      <w:bookmarkEnd w:id="1158"/>
    </w:p>
    <w:p w14:paraId="66B15639" w14:textId="4364FFC2" w:rsidR="003F29E3" w:rsidRPr="00181755" w:rsidRDefault="003F29E3" w:rsidP="00181755">
      <w:pPr>
        <w:spacing w:after="240"/>
        <w:rPr>
          <w:rFonts w:asciiTheme="minorHAnsi" w:hAnsiTheme="minorHAnsi"/>
        </w:rPr>
      </w:pPr>
      <w:r w:rsidRPr="00181755">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tőkeszámítással szemben. Amennyiben az allokáció teljesítményméréshez, illetve árazáshoz kapcsolódik, az azt jelenti, hogy az intézmény a tőkeszámítást komolyan veszi, mindennapi gyakorlatában is alkalmazza (use teszt). Ezt az MNB lényeges szempontnak ítéli meg a tőkeszámítás realitásának, megbízhatóságának megítélésében</w:t>
      </w:r>
      <w:r w:rsidR="00A43799" w:rsidRPr="00181755">
        <w:rPr>
          <w:rFonts w:asciiTheme="minorHAnsi" w:hAnsiTheme="minorHAnsi"/>
        </w:rPr>
        <w:t>.</w:t>
      </w:r>
      <w:r w:rsidRPr="00181755">
        <w:rPr>
          <w:rFonts w:asciiTheme="minorHAnsi" w:hAnsiTheme="minorHAnsi"/>
          <w:vertAlign w:val="superscript"/>
        </w:rPr>
        <w:footnoteReference w:id="83"/>
      </w:r>
    </w:p>
    <w:p w14:paraId="66B1563A" w14:textId="77777777" w:rsidR="003F29E3" w:rsidRPr="00181755" w:rsidRDefault="003F29E3" w:rsidP="00181755">
      <w:pPr>
        <w:pStyle w:val="Cmsor3"/>
        <w:rPr>
          <w:rFonts w:asciiTheme="minorHAnsi" w:hAnsiTheme="minorHAnsi"/>
        </w:rPr>
      </w:pPr>
      <w:bookmarkStart w:id="1159" w:name="_A_tőkekövetelmények_aggregálása,"/>
      <w:bookmarkStart w:id="1160" w:name="_Toc461095244"/>
      <w:bookmarkStart w:id="1161" w:name="_Toc461179900"/>
      <w:bookmarkStart w:id="1162" w:name="_Toc461201344"/>
      <w:bookmarkStart w:id="1163" w:name="_Toc461548045"/>
      <w:bookmarkStart w:id="1164" w:name="_Toc462402085"/>
      <w:bookmarkStart w:id="1165" w:name="_Toc462403210"/>
      <w:bookmarkStart w:id="1166" w:name="_Toc462403534"/>
      <w:bookmarkStart w:id="1167" w:name="_Toc468180653"/>
      <w:bookmarkStart w:id="1168" w:name="_Toc468181134"/>
      <w:bookmarkStart w:id="1169" w:name="_Toc468191481"/>
      <w:bookmarkEnd w:id="1159"/>
      <w:r w:rsidRPr="00181755">
        <w:rPr>
          <w:rFonts w:asciiTheme="minorHAnsi" w:hAnsiTheme="minorHAnsi"/>
        </w:rPr>
        <w:t>A tőkeszükséglet megállapítása a felügyeleti felülvizsgálat után</w:t>
      </w:r>
      <w:bookmarkEnd w:id="1160"/>
      <w:bookmarkEnd w:id="1161"/>
      <w:bookmarkEnd w:id="1162"/>
      <w:bookmarkEnd w:id="1163"/>
      <w:bookmarkEnd w:id="1164"/>
      <w:bookmarkEnd w:id="1165"/>
      <w:bookmarkEnd w:id="1166"/>
      <w:bookmarkEnd w:id="1167"/>
      <w:bookmarkEnd w:id="1168"/>
      <w:bookmarkEnd w:id="1169"/>
    </w:p>
    <w:p w14:paraId="66B1563B" w14:textId="77777777" w:rsidR="003F29E3" w:rsidRPr="00181755" w:rsidRDefault="003F29E3" w:rsidP="00181755">
      <w:pPr>
        <w:rPr>
          <w:rFonts w:asciiTheme="minorHAnsi" w:hAnsiTheme="minorHAnsi"/>
        </w:rPr>
      </w:pPr>
      <w:r w:rsidRPr="00181755">
        <w:rPr>
          <w:rFonts w:asciiTheme="minorHAnsi" w:hAnsiTheme="minorHAnsi"/>
        </w:rPr>
        <w:t>A felügyeleti felülvizsgálat után az MNB meghatározza az intézmény tőkeszükségletét. Ennek során:</w:t>
      </w:r>
    </w:p>
    <w:p w14:paraId="66B1563C" w14:textId="14B49889" w:rsidR="003F29E3" w:rsidRPr="00181755" w:rsidRDefault="003F29E3" w:rsidP="00181755">
      <w:pPr>
        <w:pStyle w:val="felsorolsos"/>
        <w:rPr>
          <w:rFonts w:asciiTheme="minorHAnsi" w:hAnsiTheme="minorHAnsi"/>
        </w:rPr>
      </w:pPr>
      <w:r w:rsidRPr="00181755">
        <w:rPr>
          <w:rFonts w:asciiTheme="minorHAnsi" w:hAnsiTheme="minorHAnsi"/>
        </w:rPr>
        <w:t>meghatározza a pótlólagos többlet</w:t>
      </w:r>
      <w:r w:rsidR="008D7D57" w:rsidRPr="00181755">
        <w:rPr>
          <w:rFonts w:asciiTheme="minorHAnsi" w:hAnsiTheme="minorHAnsi"/>
          <w:lang w:val="hu-HU"/>
        </w:rPr>
        <w:t>-</w:t>
      </w:r>
      <w:r w:rsidRPr="00181755">
        <w:rPr>
          <w:rFonts w:asciiTheme="minorHAnsi" w:hAnsiTheme="minorHAnsi"/>
        </w:rPr>
        <w:t>tőkekövetelményeket,</w:t>
      </w:r>
      <w:r w:rsidR="00C26F9A" w:rsidRPr="00181755">
        <w:rPr>
          <w:rFonts w:asciiTheme="minorHAnsi" w:hAnsiTheme="minorHAnsi"/>
          <w:lang w:val="hu-HU"/>
        </w:rPr>
        <w:t xml:space="preserve"> a 2. pilléres tőkekövetelmény meghatározása során az ún. Pillér 1+ módszert figyelembe véve</w:t>
      </w:r>
      <w:r w:rsidR="00C26F9A" w:rsidRPr="00181755">
        <w:rPr>
          <w:rFonts w:asciiTheme="minorHAnsi" w:hAnsiTheme="minorHAnsi"/>
        </w:rPr>
        <w:t>,</w:t>
      </w:r>
    </w:p>
    <w:p w14:paraId="66B1563D" w14:textId="22776227" w:rsidR="003F29E3" w:rsidRPr="00181755" w:rsidRDefault="003F29E3" w:rsidP="00181755">
      <w:pPr>
        <w:pStyle w:val="felsorolsos"/>
        <w:rPr>
          <w:rFonts w:asciiTheme="minorHAnsi" w:hAnsiTheme="minorHAnsi"/>
        </w:rPr>
      </w:pPr>
      <w:r w:rsidRPr="00181755">
        <w:rPr>
          <w:rFonts w:asciiTheme="minorHAnsi" w:hAnsiTheme="minorHAnsi"/>
        </w:rPr>
        <w:t>megteremti az összhangot a pótlólagos többlet</w:t>
      </w:r>
      <w:r w:rsidR="008D7D57" w:rsidRPr="00181755">
        <w:rPr>
          <w:rFonts w:asciiTheme="minorHAnsi" w:hAnsiTheme="minorHAnsi"/>
          <w:lang w:val="hu-HU"/>
        </w:rPr>
        <w:t>-</w:t>
      </w:r>
      <w:r w:rsidRPr="00181755">
        <w:rPr>
          <w:rFonts w:asciiTheme="minorHAnsi" w:hAnsiTheme="minorHAnsi"/>
        </w:rPr>
        <w:t>tőkekövetelmények, a kötelezően tartandó pufferek és az esetlegesen még figyelembe veendő mak</w:t>
      </w:r>
      <w:r w:rsidR="00844180">
        <w:rPr>
          <w:rFonts w:asciiTheme="minorHAnsi" w:hAnsiTheme="minorHAnsi"/>
        </w:rPr>
        <w:t>roprudenciális előírások között</w:t>
      </w:r>
      <w:r w:rsidR="00844180">
        <w:rPr>
          <w:rFonts w:asciiTheme="minorHAnsi" w:hAnsiTheme="minorHAnsi"/>
          <w:lang w:val="hu-HU"/>
        </w:rPr>
        <w:t>,</w:t>
      </w:r>
    </w:p>
    <w:p w14:paraId="66B1563E" w14:textId="7369D061" w:rsidR="003F29E3" w:rsidRPr="00181755" w:rsidRDefault="003F29E3" w:rsidP="00181755">
      <w:pPr>
        <w:pStyle w:val="felsorolsos"/>
        <w:rPr>
          <w:rFonts w:asciiTheme="minorHAnsi" w:hAnsiTheme="minorHAnsi"/>
        </w:rPr>
      </w:pPr>
      <w:r w:rsidRPr="00181755">
        <w:rPr>
          <w:rFonts w:asciiTheme="minorHAnsi" w:hAnsiTheme="minorHAnsi"/>
        </w:rPr>
        <w:t xml:space="preserve">meghatározza és kommunikálja a </w:t>
      </w:r>
      <w:r w:rsidR="004252EA" w:rsidRPr="00181755">
        <w:rPr>
          <w:rFonts w:asciiTheme="minorHAnsi" w:hAnsiTheme="minorHAnsi"/>
        </w:rPr>
        <w:t>SREP tőke</w:t>
      </w:r>
      <w:r w:rsidRPr="00181755">
        <w:rPr>
          <w:rFonts w:asciiTheme="minorHAnsi" w:hAnsiTheme="minorHAnsi"/>
        </w:rPr>
        <w:t xml:space="preserve">követelményt (TSCR), a </w:t>
      </w:r>
      <w:r w:rsidR="004252EA" w:rsidRPr="00181755">
        <w:rPr>
          <w:rFonts w:asciiTheme="minorHAnsi" w:hAnsiTheme="minorHAnsi"/>
        </w:rPr>
        <w:t>SREP tőke</w:t>
      </w:r>
      <w:r w:rsidRPr="00181755">
        <w:rPr>
          <w:rFonts w:asciiTheme="minorHAnsi" w:hAnsiTheme="minorHAnsi"/>
        </w:rPr>
        <w:t xml:space="preserve">követelmény mutatót, és </w:t>
      </w:r>
      <w:r w:rsidR="00844180">
        <w:rPr>
          <w:rFonts w:asciiTheme="minorHAnsi" w:hAnsiTheme="minorHAnsi"/>
        </w:rPr>
        <w:t>a teljes tőkekövetelményt (OCR)</w:t>
      </w:r>
      <w:r w:rsidR="00844180">
        <w:rPr>
          <w:rFonts w:asciiTheme="minorHAnsi" w:hAnsiTheme="minorHAnsi"/>
          <w:lang w:val="hu-HU"/>
        </w:rPr>
        <w:t>,</w:t>
      </w:r>
    </w:p>
    <w:p w14:paraId="66B1563F" w14:textId="40A7623A" w:rsidR="003F29E3" w:rsidRPr="00181755" w:rsidRDefault="003F29E3" w:rsidP="00181755">
      <w:pPr>
        <w:pStyle w:val="felsorolsos"/>
        <w:rPr>
          <w:rFonts w:asciiTheme="minorHAnsi" w:hAnsiTheme="minorHAnsi"/>
        </w:rPr>
      </w:pPr>
      <w:r w:rsidRPr="00181755">
        <w:rPr>
          <w:rFonts w:asciiTheme="minorHAnsi" w:hAnsiTheme="minorHAnsi"/>
        </w:rPr>
        <w:t xml:space="preserve">értékeli a túlzott </w:t>
      </w:r>
      <w:r w:rsidR="00844180">
        <w:rPr>
          <w:rFonts w:asciiTheme="minorHAnsi" w:hAnsiTheme="minorHAnsi"/>
        </w:rPr>
        <w:t>tőkeáttételből eredő kockázatot</w:t>
      </w:r>
      <w:r w:rsidR="00844180">
        <w:rPr>
          <w:rFonts w:asciiTheme="minorHAnsi" w:hAnsiTheme="minorHAnsi"/>
          <w:lang w:val="hu-HU"/>
        </w:rPr>
        <w:t>,</w:t>
      </w:r>
    </w:p>
    <w:p w14:paraId="66B15641" w14:textId="074E6138" w:rsidR="00D53048"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 xml:space="preserve">értékeli, hogy a gazdasági ciklus alatt várhatóan elegendő-e az előírt </w:t>
      </w:r>
      <w:r w:rsidR="004252EA" w:rsidRPr="00181755">
        <w:rPr>
          <w:rFonts w:asciiTheme="minorHAnsi" w:hAnsiTheme="minorHAnsi"/>
        </w:rPr>
        <w:t>SREP tőke</w:t>
      </w:r>
      <w:r w:rsidRPr="00181755">
        <w:rPr>
          <w:rFonts w:asciiTheme="minorHAnsi" w:hAnsiTheme="minorHAnsi"/>
        </w:rPr>
        <w:t>követelmény és a teljes tőkekövetelmény.</w:t>
      </w:r>
    </w:p>
    <w:p w14:paraId="66B15642" w14:textId="64F4447C" w:rsidR="003F29E3" w:rsidRPr="00181755" w:rsidRDefault="003F29E3" w:rsidP="00181755">
      <w:pPr>
        <w:pStyle w:val="Cmsor4"/>
        <w:rPr>
          <w:rFonts w:asciiTheme="minorHAnsi" w:hAnsiTheme="minorHAnsi"/>
        </w:rPr>
      </w:pPr>
      <w:bookmarkStart w:id="1170" w:name="_Toc461095245"/>
      <w:bookmarkStart w:id="1171" w:name="_Toc461179901"/>
      <w:bookmarkStart w:id="1172" w:name="_Toc461201345"/>
      <w:bookmarkStart w:id="1173" w:name="_Toc461548046"/>
      <w:bookmarkStart w:id="1174" w:name="_Toc462402086"/>
      <w:bookmarkStart w:id="1175" w:name="_Toc462403211"/>
      <w:bookmarkStart w:id="1176" w:name="_Toc462403535"/>
      <w:bookmarkStart w:id="1177" w:name="_Toc468180654"/>
      <w:bookmarkStart w:id="1178" w:name="_Toc468181135"/>
      <w:bookmarkStart w:id="1179" w:name="_Toc468191482"/>
      <w:r w:rsidRPr="00181755">
        <w:rPr>
          <w:rFonts w:asciiTheme="minorHAnsi" w:hAnsiTheme="minorHAnsi"/>
        </w:rPr>
        <w:t>Pótlólagos többlet</w:t>
      </w:r>
      <w:r w:rsidR="008D7D57" w:rsidRPr="00181755">
        <w:rPr>
          <w:rFonts w:asciiTheme="minorHAnsi" w:hAnsiTheme="minorHAnsi"/>
          <w:lang w:val="hu-HU"/>
        </w:rPr>
        <w:t>-</w:t>
      </w:r>
      <w:r w:rsidRPr="00181755">
        <w:rPr>
          <w:rFonts w:asciiTheme="minorHAnsi" w:hAnsiTheme="minorHAnsi"/>
        </w:rPr>
        <w:t>tőkekövetelmény meghatározása</w:t>
      </w:r>
      <w:bookmarkEnd w:id="1170"/>
      <w:bookmarkEnd w:id="1171"/>
      <w:bookmarkEnd w:id="1172"/>
      <w:bookmarkEnd w:id="1173"/>
      <w:bookmarkEnd w:id="1174"/>
      <w:bookmarkEnd w:id="1175"/>
      <w:bookmarkEnd w:id="1176"/>
      <w:bookmarkEnd w:id="1177"/>
      <w:bookmarkEnd w:id="1178"/>
      <w:bookmarkEnd w:id="1179"/>
    </w:p>
    <w:p w14:paraId="66B15643" w14:textId="09F42A28" w:rsidR="00962470" w:rsidRPr="00181755" w:rsidRDefault="00962470" w:rsidP="00181755">
      <w:pPr>
        <w:rPr>
          <w:rFonts w:asciiTheme="minorHAnsi" w:hAnsiTheme="minorHAnsi"/>
        </w:rPr>
      </w:pPr>
      <w:r w:rsidRPr="00181755">
        <w:rPr>
          <w:rFonts w:asciiTheme="minorHAnsi" w:hAnsiTheme="minorHAnsi"/>
        </w:rPr>
        <w:t>Az MNB a pótlólagos többlet</w:t>
      </w:r>
      <w:r w:rsidR="008D7D57" w:rsidRPr="00181755">
        <w:rPr>
          <w:rFonts w:asciiTheme="minorHAnsi" w:hAnsiTheme="minorHAnsi"/>
        </w:rPr>
        <w:t>-</w:t>
      </w:r>
      <w:r w:rsidRPr="00181755">
        <w:rPr>
          <w:rFonts w:asciiTheme="minorHAnsi" w:hAnsiTheme="minorHAnsi"/>
        </w:rPr>
        <w:t>tőkekövetelményeket úgy határozza meg, hogy fedezzék az intézménynél:</w:t>
      </w:r>
    </w:p>
    <w:p w14:paraId="66B15644" w14:textId="26084F15" w:rsidR="00962470" w:rsidRPr="00181755" w:rsidRDefault="00962470" w:rsidP="00181755">
      <w:pPr>
        <w:pStyle w:val="felsorolsos"/>
        <w:rPr>
          <w:rFonts w:asciiTheme="minorHAnsi" w:hAnsiTheme="minorHAnsi"/>
        </w:rPr>
      </w:pPr>
      <w:r w:rsidRPr="00181755">
        <w:rPr>
          <w:rFonts w:asciiTheme="minorHAnsi" w:hAnsiTheme="minorHAnsi"/>
        </w:rPr>
        <w:t xml:space="preserve">a következő 12 hónap során felmerülő </w:t>
      </w:r>
      <w:r w:rsidRPr="00181755">
        <w:rPr>
          <w:rFonts w:asciiTheme="minorHAnsi" w:hAnsiTheme="minorHAnsi"/>
          <w:lang w:val="hu-HU"/>
        </w:rPr>
        <w:t>nem várt</w:t>
      </w:r>
      <w:r w:rsidRPr="00181755">
        <w:rPr>
          <w:rFonts w:asciiTheme="minorHAnsi" w:hAnsiTheme="minorHAnsi"/>
        </w:rPr>
        <w:t xml:space="preserve"> veszteségeket és </w:t>
      </w:r>
      <w:r w:rsidR="006A5C40" w:rsidRPr="00181755">
        <w:rPr>
          <w:rFonts w:asciiTheme="minorHAnsi" w:hAnsiTheme="minorHAnsi"/>
          <w:lang w:val="hu-HU"/>
        </w:rPr>
        <w:t>a kalkulált várt veszteség és a megképzett értékvesztés közötti különbséget (shortfall-t)</w:t>
      </w:r>
      <w:r w:rsidR="00097B7C" w:rsidRPr="00181755">
        <w:rPr>
          <w:rFonts w:asciiTheme="minorHAnsi" w:hAnsiTheme="minorHAnsi"/>
          <w:lang w:val="hu-HU"/>
        </w:rPr>
        <w:t>,</w:t>
      </w:r>
    </w:p>
    <w:p w14:paraId="66B15645" w14:textId="3F2B9C91" w:rsidR="00962470" w:rsidRPr="00181755" w:rsidRDefault="00962470" w:rsidP="00181755">
      <w:pPr>
        <w:pStyle w:val="felsorolsos"/>
        <w:rPr>
          <w:rFonts w:asciiTheme="minorHAnsi" w:hAnsiTheme="minorHAnsi"/>
        </w:rPr>
      </w:pPr>
      <w:r w:rsidRPr="00181755">
        <w:rPr>
          <w:rFonts w:asciiTheme="minorHAnsi" w:hAnsiTheme="minorHAnsi"/>
        </w:rPr>
        <w:t>a modellek hiányosságaiból eredő kockázatokat, amelyek a különböző, a modellek által mért kockázatok alulbecslésé</w:t>
      </w:r>
      <w:r w:rsidR="006A5C40" w:rsidRPr="00181755">
        <w:rPr>
          <w:rFonts w:asciiTheme="minorHAnsi" w:hAnsiTheme="minorHAnsi"/>
          <w:lang w:val="hu-HU"/>
        </w:rPr>
        <w:t>ből fakadnak</w:t>
      </w:r>
      <w:r w:rsidR="00097B7C" w:rsidRPr="00181755">
        <w:rPr>
          <w:rFonts w:asciiTheme="minorHAnsi" w:hAnsiTheme="minorHAnsi"/>
          <w:lang w:val="hu-HU"/>
        </w:rPr>
        <w:t>,</w:t>
      </w:r>
    </w:p>
    <w:p w14:paraId="66B15646" w14:textId="07224F94" w:rsidR="00962470" w:rsidRPr="00181755" w:rsidRDefault="00962470" w:rsidP="00181755">
      <w:pPr>
        <w:pStyle w:val="felsorolsos"/>
        <w:rPr>
          <w:rFonts w:asciiTheme="minorHAnsi" w:hAnsiTheme="minorHAnsi"/>
        </w:rPr>
      </w:pPr>
      <w:r w:rsidRPr="00181755">
        <w:rPr>
          <w:rFonts w:asciiTheme="minorHAnsi" w:hAnsiTheme="minorHAnsi"/>
          <w:lang w:val="hu-HU"/>
        </w:rPr>
        <w:t>azon potenciális kockázatokat, amelyeket az 1. pillérben alkalmazott módszerek nem vagy nem megfelelő módon kezelnek</w:t>
      </w:r>
      <w:r w:rsidR="00097B7C" w:rsidRPr="00181755">
        <w:rPr>
          <w:rFonts w:asciiTheme="minorHAnsi" w:hAnsiTheme="minorHAnsi"/>
          <w:lang w:val="hu-HU"/>
        </w:rPr>
        <w:t>,</w:t>
      </w:r>
    </w:p>
    <w:p w14:paraId="66B15647" w14:textId="77777777" w:rsidR="00962470" w:rsidRPr="00181755" w:rsidRDefault="00962470" w:rsidP="00181755">
      <w:pPr>
        <w:pStyle w:val="felsorolsos"/>
        <w:rPr>
          <w:rFonts w:asciiTheme="minorHAnsi" w:hAnsiTheme="minorHAnsi"/>
        </w:rPr>
      </w:pPr>
      <w:r w:rsidRPr="00181755">
        <w:rPr>
          <w:rFonts w:asciiTheme="minorHAnsi" w:hAnsiTheme="minorHAnsi"/>
        </w:rPr>
        <w:t>az irányítás és kontroll funkciókból, valamint más hiányosságokból eredő kockázatokat.</w:t>
      </w:r>
    </w:p>
    <w:p w14:paraId="66B15648" w14:textId="22092FA2" w:rsidR="003F29E3" w:rsidRPr="00181755" w:rsidRDefault="003F29E3" w:rsidP="00181755">
      <w:pPr>
        <w:rPr>
          <w:rFonts w:asciiTheme="minorHAnsi" w:hAnsiTheme="minorHAnsi"/>
        </w:rPr>
      </w:pPr>
      <w:r w:rsidRPr="00181755">
        <w:rPr>
          <w:rFonts w:asciiTheme="minorHAnsi" w:hAnsiTheme="minorHAnsi"/>
        </w:rPr>
        <w:t>Az MNB által meghatározott, a váratlan kockázatok fedezésére szolgáló pótlólagos többlet</w:t>
      </w:r>
      <w:r w:rsidR="008D7D57" w:rsidRPr="00181755">
        <w:rPr>
          <w:rFonts w:asciiTheme="minorHAnsi" w:hAnsiTheme="minorHAnsi"/>
        </w:rPr>
        <w:t>-</w:t>
      </w:r>
      <w:r w:rsidRPr="00181755">
        <w:rPr>
          <w:rFonts w:asciiTheme="minorHAnsi" w:hAnsiTheme="minorHAnsi"/>
        </w:rPr>
        <w:t>tőkekövetelményeknek az intézményeknek folyamatosan (jellemzően a következő felügyeleti felülvizsgálat lezárásáig) meg kell felelniük. Az MNB a többlet</w:t>
      </w:r>
      <w:r w:rsidR="008D7D57" w:rsidRPr="00181755">
        <w:rPr>
          <w:rFonts w:asciiTheme="minorHAnsi" w:hAnsiTheme="minorHAnsi"/>
        </w:rPr>
        <w:t>-</w:t>
      </w:r>
      <w:r w:rsidRPr="00181755">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181755">
        <w:rPr>
          <w:rFonts w:asciiTheme="minorHAnsi" w:hAnsiTheme="minorHAnsi"/>
        </w:rPr>
        <w:t>-</w:t>
      </w:r>
      <w:r w:rsidRPr="00181755">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181755">
        <w:rPr>
          <w:rFonts w:asciiTheme="minorHAnsi" w:hAnsiTheme="minorHAnsi"/>
        </w:rPr>
        <w:t>n</w:t>
      </w:r>
      <w:r w:rsidRPr="00181755">
        <w:rPr>
          <w:rFonts w:asciiTheme="minorHAnsi" w:hAnsiTheme="minorHAnsi"/>
        </w:rPr>
        <w:t>ak, akkor a felügyeleti benchmark számításokból indul ki és szükség esetén ezt módosítja a releváns információk alapján.</w:t>
      </w:r>
    </w:p>
    <w:p w14:paraId="66B15649" w14:textId="77777777" w:rsidR="003F29E3" w:rsidRPr="00181755" w:rsidRDefault="003F29E3" w:rsidP="00181755">
      <w:pPr>
        <w:rPr>
          <w:rFonts w:asciiTheme="minorHAnsi" w:hAnsiTheme="minorHAnsi"/>
        </w:rPr>
      </w:pPr>
      <w:r w:rsidRPr="00181755">
        <w:rPr>
          <w:rFonts w:asciiTheme="minorHAnsi" w:hAnsiTheme="minorHAnsi"/>
        </w:rPr>
        <w:t>Az ICAAP számítások megbízhatóságát az MNB az alábbi szempontok szerint értékeli:</w:t>
      </w:r>
    </w:p>
    <w:p w14:paraId="66B1564A" w14:textId="55752767" w:rsidR="003F29E3" w:rsidRPr="00181755" w:rsidRDefault="00962470" w:rsidP="00655249">
      <w:pPr>
        <w:pStyle w:val="felsorolsos"/>
        <w:ind w:left="1066" w:hanging="357"/>
        <w:rPr>
          <w:rFonts w:asciiTheme="minorHAnsi" w:hAnsiTheme="minorHAnsi"/>
        </w:rPr>
      </w:pPr>
      <w:r w:rsidRPr="00181755">
        <w:rPr>
          <w:rFonts w:asciiTheme="minorHAnsi" w:hAnsiTheme="minorHAnsi"/>
          <w:lang w:val="hu-HU"/>
        </w:rPr>
        <w:t xml:space="preserve">kellő </w:t>
      </w:r>
      <w:r w:rsidR="00C3695D" w:rsidRPr="00181755">
        <w:rPr>
          <w:rFonts w:asciiTheme="minorHAnsi" w:hAnsiTheme="minorHAnsi"/>
          <w:lang w:val="hu-HU"/>
        </w:rPr>
        <w:t>részletezettség</w:t>
      </w:r>
      <w:r w:rsidR="003F29E3" w:rsidRPr="00181755">
        <w:rPr>
          <w:rFonts w:asciiTheme="minorHAnsi" w:hAnsiTheme="minorHAnsi"/>
        </w:rPr>
        <w:t>: az alkalmazott módszereknek, eljárásoknak kockázattípusonként és nem</w:t>
      </w:r>
      <w:r w:rsidRPr="00181755">
        <w:rPr>
          <w:rFonts w:asciiTheme="minorHAnsi" w:hAnsiTheme="minorHAnsi"/>
          <w:lang w:val="hu-HU"/>
        </w:rPr>
        <w:t xml:space="preserve"> csak</w:t>
      </w:r>
      <w:r w:rsidR="003F29E3" w:rsidRPr="00181755">
        <w:rPr>
          <w:rFonts w:asciiTheme="minorHAnsi" w:hAnsiTheme="minorHAnsi"/>
        </w:rPr>
        <w:t xml:space="preserve"> az összesített kockázat számítására kell alkalmasnak lennie</w:t>
      </w:r>
      <w:r w:rsidR="00097B7C" w:rsidRPr="00181755">
        <w:rPr>
          <w:rFonts w:asciiTheme="minorHAnsi" w:hAnsiTheme="minorHAnsi"/>
          <w:lang w:val="hu-HU"/>
        </w:rPr>
        <w:t>,</w:t>
      </w:r>
    </w:p>
    <w:p w14:paraId="66B1564B" w14:textId="0A757430" w:rsidR="003F29E3" w:rsidRPr="00181755" w:rsidRDefault="003F29E3" w:rsidP="00655249">
      <w:pPr>
        <w:pStyle w:val="felsorolsos"/>
        <w:ind w:left="1066" w:hanging="357"/>
        <w:rPr>
          <w:rFonts w:asciiTheme="minorHAnsi" w:hAnsiTheme="minorHAnsi"/>
        </w:rPr>
      </w:pPr>
      <w:r w:rsidRPr="00181755">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181755">
        <w:rPr>
          <w:rFonts w:asciiTheme="minorHAnsi" w:hAnsiTheme="minorHAnsi"/>
          <w:lang w:val="hu-HU"/>
        </w:rPr>
        <w:t>konzervatív</w:t>
      </w:r>
      <w:r w:rsidRPr="00181755">
        <w:rPr>
          <w:rFonts w:asciiTheme="minorHAnsi" w:hAnsiTheme="minorHAnsi"/>
        </w:rPr>
        <w:t xml:space="preserve"> feltételezéseken kell alapulniuk</w:t>
      </w:r>
      <w:r w:rsidR="00097B7C" w:rsidRPr="00181755">
        <w:rPr>
          <w:rFonts w:asciiTheme="minorHAnsi" w:hAnsiTheme="minorHAnsi"/>
          <w:lang w:val="hu-HU"/>
        </w:rPr>
        <w:t>,</w:t>
      </w:r>
    </w:p>
    <w:p w14:paraId="66B1564C" w14:textId="56F6F9C7" w:rsidR="003F29E3" w:rsidRPr="00181755" w:rsidRDefault="003F29E3" w:rsidP="00655249">
      <w:pPr>
        <w:pStyle w:val="felsorolsos"/>
        <w:ind w:left="1066" w:hanging="357"/>
        <w:rPr>
          <w:rFonts w:asciiTheme="minorHAnsi" w:hAnsiTheme="minorHAnsi"/>
        </w:rPr>
      </w:pPr>
      <w:r w:rsidRPr="00181755">
        <w:rPr>
          <w:rFonts w:asciiTheme="minorHAnsi" w:hAnsiTheme="minorHAnsi"/>
        </w:rPr>
        <w:t>megalapozottság: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181755">
        <w:rPr>
          <w:rFonts w:asciiTheme="minorHAnsi" w:hAnsiTheme="minorHAnsi"/>
          <w:lang w:val="hu-HU"/>
        </w:rPr>
        <w:t>,</w:t>
      </w:r>
    </w:p>
    <w:p w14:paraId="66B1564E" w14:textId="22F6428A" w:rsidR="003F29E3" w:rsidRPr="00181755" w:rsidRDefault="003F29E3" w:rsidP="00181755">
      <w:pPr>
        <w:pStyle w:val="felsorolsos"/>
        <w:rPr>
          <w:rFonts w:asciiTheme="minorHAnsi" w:hAnsiTheme="minorHAnsi"/>
        </w:rPr>
      </w:pPr>
      <w:r w:rsidRPr="00181755">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181755" w:rsidRDefault="00531A1D" w:rsidP="00181755">
      <w:pPr>
        <w:rPr>
          <w:rFonts w:asciiTheme="minorHAnsi" w:hAnsiTheme="minorHAnsi"/>
        </w:rPr>
      </w:pPr>
      <w:r w:rsidRPr="00181755">
        <w:rPr>
          <w:rFonts w:asciiTheme="minorHAnsi" w:hAnsiTheme="minorHAnsi"/>
        </w:rPr>
        <w:t xml:space="preserve">Az MNB a 2. pilléres tőkekövetelmény meghatározása során a Pillér 1+ módszert alkalmazza, </w:t>
      </w:r>
      <w:r w:rsidR="00463CC4" w:rsidRPr="00181755">
        <w:rPr>
          <w:rFonts w:asciiTheme="minorHAnsi" w:hAnsiTheme="minorHAnsi"/>
        </w:rPr>
        <w:t xml:space="preserve">miszerint </w:t>
      </w:r>
      <w:r w:rsidR="00DF4680" w:rsidRPr="00181755">
        <w:rPr>
          <w:rFonts w:asciiTheme="minorHAnsi" w:hAnsiTheme="minorHAnsi"/>
        </w:rPr>
        <w:t xml:space="preserve">a szabályozói tőkekövetelményt tekinti kockázatonként a minimális tőkeszintnek, </w:t>
      </w:r>
      <w:r w:rsidR="00463CC4" w:rsidRPr="00181755">
        <w:rPr>
          <w:rFonts w:asciiTheme="minorHAnsi" w:hAnsiTheme="minorHAnsi"/>
        </w:rPr>
        <w:t xml:space="preserve">és </w:t>
      </w:r>
      <w:r w:rsidR="008E7961" w:rsidRPr="00181755">
        <w:rPr>
          <w:rFonts w:asciiTheme="minorHAnsi" w:hAnsiTheme="minorHAnsi"/>
        </w:rPr>
        <w:t>nem fogadja el a többlet</w:t>
      </w:r>
      <w:r w:rsidR="00463CC4" w:rsidRPr="00181755">
        <w:rPr>
          <w:rFonts w:asciiTheme="minorHAnsi" w:hAnsiTheme="minorHAnsi"/>
        </w:rPr>
        <w:t>-</w:t>
      </w:r>
      <w:r w:rsidR="008E7961" w:rsidRPr="00181755">
        <w:rPr>
          <w:rFonts w:asciiTheme="minorHAnsi" w:hAnsiTheme="minorHAnsi"/>
        </w:rPr>
        <w:t>tőkekövetelmény fedezésére a CRR 92</w:t>
      </w:r>
      <w:r w:rsidR="00DE6CF8" w:rsidRPr="00181755">
        <w:rPr>
          <w:rFonts w:asciiTheme="minorHAnsi" w:hAnsiTheme="minorHAnsi"/>
        </w:rPr>
        <w:t>.</w:t>
      </w:r>
      <w:r w:rsidR="008E7961" w:rsidRPr="00181755">
        <w:rPr>
          <w:rFonts w:asciiTheme="minorHAnsi" w:hAnsiTheme="minorHAnsi"/>
        </w:rPr>
        <w:t xml:space="preserve"> cikke szerint a kockázatok fedezéséhez szükséges szavatoló tőkét sem kockázat</w:t>
      </w:r>
      <w:r w:rsidR="00463CC4" w:rsidRPr="00181755">
        <w:rPr>
          <w:rFonts w:asciiTheme="minorHAnsi" w:hAnsiTheme="minorHAnsi"/>
        </w:rPr>
        <w:t>típus</w:t>
      </w:r>
      <w:r w:rsidR="008E7961" w:rsidRPr="00181755">
        <w:rPr>
          <w:rFonts w:asciiTheme="minorHAnsi" w:hAnsiTheme="minorHAnsi"/>
        </w:rPr>
        <w:t xml:space="preserve">onként, sem összes tőkekövetelmény szintjén. </w:t>
      </w:r>
      <w:r w:rsidR="00CD359C" w:rsidRPr="00181755">
        <w:rPr>
          <w:rFonts w:asciiTheme="minorHAnsi" w:hAnsiTheme="minorHAnsi"/>
        </w:rPr>
        <w:t>A Pillér 1+ módszer mind kockázati főkategóriánként (hitelkockázat, működési kockázat, piaci kockázat), mind kockázati alkategóriánként alkalmazandó. Ez utóbbi nyilvánvalóan csak az 1. pillérben kezelt kockázati kategóriák (pl.: 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181755">
        <w:rPr>
          <w:rFonts w:asciiTheme="minorHAnsi" w:hAnsiTheme="minorHAnsi"/>
        </w:rPr>
        <w:t>ja be</w:t>
      </w:r>
      <w:r w:rsidR="00CD359C" w:rsidRPr="00181755">
        <w:rPr>
          <w:rFonts w:asciiTheme="minorHAnsi" w:hAnsiTheme="minorHAnsi"/>
        </w:rPr>
        <w:t xml:space="preserve"> SREP tőkekövetelményként (</w:t>
      </w:r>
      <w:r w:rsidR="00A2138B" w:rsidRPr="00181755">
        <w:rPr>
          <w:rFonts w:asciiTheme="minorHAnsi" w:hAnsiTheme="minorHAnsi"/>
        </w:rPr>
        <w:t>kivéve, ha</w:t>
      </w:r>
      <w:r w:rsidR="00800AD8" w:rsidRPr="00181755">
        <w:rPr>
          <w:rFonts w:asciiTheme="minorHAnsi" w:hAnsiTheme="minorHAnsi"/>
        </w:rPr>
        <w:t xml:space="preserve"> egyéb ok miatt többlet-</w:t>
      </w:r>
      <w:r w:rsidR="00CD359C" w:rsidRPr="00181755">
        <w:rPr>
          <w:rFonts w:asciiTheme="minorHAnsi" w:hAnsiTheme="minorHAnsi"/>
        </w:rPr>
        <w:t xml:space="preserve">tőkekövetelmény </w:t>
      </w:r>
      <w:r w:rsidR="00800AD8" w:rsidRPr="00181755">
        <w:rPr>
          <w:rFonts w:asciiTheme="minorHAnsi" w:hAnsiTheme="minorHAnsi"/>
        </w:rPr>
        <w:t>meghatározás</w:t>
      </w:r>
      <w:r w:rsidR="00A2138B" w:rsidRPr="00181755">
        <w:rPr>
          <w:rFonts w:asciiTheme="minorHAnsi" w:hAnsiTheme="minorHAnsi"/>
        </w:rPr>
        <w:t>á</w:t>
      </w:r>
      <w:r w:rsidR="00800AD8" w:rsidRPr="00181755">
        <w:rPr>
          <w:rFonts w:asciiTheme="minorHAnsi" w:hAnsiTheme="minorHAnsi"/>
        </w:rPr>
        <w:t>ra</w:t>
      </w:r>
      <w:r w:rsidR="00A2138B" w:rsidRPr="00181755">
        <w:rPr>
          <w:rFonts w:asciiTheme="minorHAnsi" w:hAnsiTheme="minorHAnsi"/>
        </w:rPr>
        <w:t xml:space="preserve"> kerül sor, melynek következtében a SREP szerinti tőkekövetelmény már meghaladja az 1. pilléres tőkekövetelmény szintjét)</w:t>
      </w:r>
      <w:r w:rsidR="00CD359C" w:rsidRPr="00181755">
        <w:rPr>
          <w:rFonts w:asciiTheme="minorHAnsi" w:hAnsiTheme="minorHAnsi"/>
        </w:rPr>
        <w:t xml:space="preserve">. </w:t>
      </w:r>
    </w:p>
    <w:p w14:paraId="66B1564F" w14:textId="322746FA" w:rsidR="008E7961" w:rsidRPr="00181755" w:rsidRDefault="00463CC4" w:rsidP="00181755">
      <w:pPr>
        <w:rPr>
          <w:rFonts w:asciiTheme="minorHAnsi" w:hAnsiTheme="minorHAnsi"/>
        </w:rPr>
      </w:pPr>
      <w:r w:rsidRPr="00181755">
        <w:rPr>
          <w:rFonts w:asciiTheme="minorHAnsi" w:hAnsiTheme="minorHAnsi"/>
        </w:rPr>
        <w:t>A</w:t>
      </w:r>
      <w:r w:rsidR="00800AD8" w:rsidRPr="00181755">
        <w:rPr>
          <w:rFonts w:asciiTheme="minorHAnsi" w:hAnsiTheme="minorHAnsi"/>
        </w:rPr>
        <w:t xml:space="preserve"> </w:t>
      </w:r>
      <w:r w:rsidRPr="00181755">
        <w:rPr>
          <w:rFonts w:asciiTheme="minorHAnsi" w:hAnsiTheme="minorHAnsi"/>
        </w:rPr>
        <w:t xml:space="preserve">2. pillérben </w:t>
      </w:r>
      <w:r w:rsidR="00A8489E" w:rsidRPr="00181755">
        <w:rPr>
          <w:rFonts w:asciiTheme="minorHAnsi" w:hAnsiTheme="minorHAnsi"/>
        </w:rPr>
        <w:t>az intézmény</w:t>
      </w:r>
      <w:r w:rsidR="00A2138B" w:rsidRPr="00181755">
        <w:rPr>
          <w:rFonts w:asciiTheme="minorHAnsi" w:hAnsiTheme="minorHAnsi"/>
        </w:rPr>
        <w:t xml:space="preserve"> által meghatározott </w:t>
      </w:r>
      <w:r w:rsidRPr="00181755">
        <w:rPr>
          <w:rFonts w:asciiTheme="minorHAnsi" w:hAnsiTheme="minorHAnsi"/>
        </w:rPr>
        <w:t xml:space="preserve">alacsonyabb tőkekövetelmény hátterében </w:t>
      </w:r>
      <w:r w:rsidR="00A2138B" w:rsidRPr="00181755">
        <w:rPr>
          <w:rFonts w:asciiTheme="minorHAnsi" w:hAnsiTheme="minorHAnsi"/>
        </w:rPr>
        <w:t xml:space="preserve">a két pillér közötti </w:t>
      </w:r>
      <w:r w:rsidRPr="00181755">
        <w:rPr>
          <w:rFonts w:asciiTheme="minorHAnsi" w:hAnsiTheme="minorHAnsi"/>
        </w:rPr>
        <w:t xml:space="preserve">módszertani eltérés, illetve a kockázaton belüli diverzifikációs hatás állhat. </w:t>
      </w:r>
      <w:r w:rsidR="008E7961" w:rsidRPr="00181755">
        <w:rPr>
          <w:rFonts w:asciiTheme="minorHAnsi" w:hAnsiTheme="minorHAnsi"/>
        </w:rPr>
        <w:t>A CRD</w:t>
      </w:r>
      <w:r w:rsidR="00757D4E" w:rsidRPr="00181755">
        <w:rPr>
          <w:rFonts w:asciiTheme="minorHAnsi" w:hAnsiTheme="minorHAnsi"/>
        </w:rPr>
        <w:t xml:space="preserve"> </w:t>
      </w:r>
      <w:r w:rsidR="008E7961" w:rsidRPr="00181755">
        <w:rPr>
          <w:rFonts w:asciiTheme="minorHAnsi" w:hAnsiTheme="minorHAnsi"/>
        </w:rPr>
        <w:t>IV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 cikke szerinti minimális szabályozói tőkekövetelmény alá történő csökkenését.</w:t>
      </w:r>
    </w:p>
    <w:p w14:paraId="66B15650" w14:textId="334EA50C" w:rsidR="008E7961" w:rsidRPr="00181755" w:rsidRDefault="008E7961" w:rsidP="00181755">
      <w:pPr>
        <w:rPr>
          <w:rFonts w:asciiTheme="minorHAnsi" w:hAnsiTheme="minorHAnsi"/>
        </w:rPr>
      </w:pPr>
      <w:r w:rsidRPr="00181755">
        <w:rPr>
          <w:rFonts w:asciiTheme="minorHAnsi" w:hAnsiTheme="minorHAnsi"/>
        </w:rPr>
        <w:t>A</w:t>
      </w:r>
      <w:r w:rsidR="005A758F" w:rsidRPr="00181755">
        <w:rPr>
          <w:rFonts w:asciiTheme="minorHAnsi" w:hAnsiTheme="minorHAnsi"/>
        </w:rPr>
        <w:t>z EBA SREP Ajánlás alapján a</w:t>
      </w:r>
      <w:r w:rsidRPr="00181755">
        <w:rPr>
          <w:rFonts w:asciiTheme="minorHAnsi" w:hAnsiTheme="minorHAnsi"/>
        </w:rPr>
        <w:t xml:space="preserve"> kockázatok közötti diverzifikációs hatás </w:t>
      </w:r>
      <w:r w:rsidR="009B53ED" w:rsidRPr="00181755">
        <w:rPr>
          <w:rFonts w:asciiTheme="minorHAnsi" w:hAnsiTheme="minorHAnsi"/>
        </w:rPr>
        <w:t>nem vehető figyelembe a 2. pilléres tőkekövetelmény meghatározása során.</w:t>
      </w:r>
      <w:r w:rsidR="002C7143" w:rsidRPr="00181755">
        <w:rPr>
          <w:rFonts w:asciiTheme="minorHAnsi" w:hAnsiTheme="minorHAnsi"/>
        </w:rPr>
        <w:t xml:space="preserve"> Ennek megfelelően például a banki könyvi és kereskedési könyvi kockázat közötti diverzifikációs hatás sem ismerhető el.</w:t>
      </w:r>
      <w:r w:rsidRPr="00181755">
        <w:rPr>
          <w:rFonts w:asciiTheme="minorHAnsi" w:hAnsiTheme="minorHAnsi"/>
        </w:rPr>
        <w:t xml:space="preserve"> </w:t>
      </w:r>
    </w:p>
    <w:p w14:paraId="66B15651" w14:textId="30992404" w:rsidR="00962470" w:rsidRPr="00181755" w:rsidRDefault="00962470" w:rsidP="00181755">
      <w:pPr>
        <w:spacing w:after="240"/>
        <w:rPr>
          <w:rFonts w:asciiTheme="minorHAnsi" w:hAnsiTheme="minorHAnsi"/>
        </w:rPr>
      </w:pPr>
      <w:r w:rsidRPr="00181755">
        <w:rPr>
          <w:rFonts w:asciiTheme="minorHAnsi" w:hAnsiTheme="minorHAnsi"/>
        </w:rPr>
        <w:t>Az MNB úgy határozza meg a pótlólagos többlet</w:t>
      </w:r>
      <w:r w:rsidR="008D7D57" w:rsidRPr="00181755">
        <w:rPr>
          <w:rFonts w:asciiTheme="minorHAnsi" w:hAnsiTheme="minorHAnsi"/>
        </w:rPr>
        <w:t>-</w:t>
      </w:r>
      <w:r w:rsidRPr="00181755">
        <w:rPr>
          <w:rFonts w:asciiTheme="minorHAnsi" w:hAnsiTheme="minorHAnsi"/>
        </w:rPr>
        <w:t>tőkekövetelményeket, hogy azok minden releváns kockázatot megfelelően fedezzenek. Amennyiben az MNB által számított pótlólagos többlet</w:t>
      </w:r>
      <w:r w:rsidR="008D7D57" w:rsidRPr="00181755">
        <w:rPr>
          <w:rFonts w:asciiTheme="minorHAnsi" w:hAnsiTheme="minorHAnsi"/>
        </w:rPr>
        <w:t>-</w:t>
      </w:r>
      <w:r w:rsidRPr="00181755">
        <w:rPr>
          <w:rFonts w:asciiTheme="minorHAnsi" w:hAnsiTheme="minorHAnsi"/>
        </w:rPr>
        <w:t>tőkekövetelmény eltér az intézmény által számított ICAAP eredménytől, akkor az MNB a számításának eredményét indokolja</w:t>
      </w:r>
      <w:r w:rsidR="0012480B" w:rsidRPr="00181755">
        <w:rPr>
          <w:rFonts w:asciiTheme="minorHAnsi" w:hAnsiTheme="minorHAnsi"/>
        </w:rPr>
        <w:t>, és párbeszéd formájában megvitatja azt az intézménnyel</w:t>
      </w:r>
      <w:r w:rsidRPr="00181755">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181755" w:rsidRDefault="003F29E3" w:rsidP="00181755">
      <w:pPr>
        <w:pStyle w:val="Cmsor4"/>
        <w:rPr>
          <w:rFonts w:asciiTheme="minorHAnsi" w:hAnsiTheme="minorHAnsi"/>
        </w:rPr>
      </w:pPr>
      <w:bookmarkStart w:id="1180" w:name="_Toc461095246"/>
      <w:bookmarkStart w:id="1181" w:name="_Toc461179902"/>
      <w:bookmarkStart w:id="1182" w:name="_Toc461201346"/>
      <w:bookmarkStart w:id="1183" w:name="_Toc461548047"/>
      <w:bookmarkStart w:id="1184" w:name="_Toc462402087"/>
      <w:bookmarkStart w:id="1185" w:name="_Toc462403212"/>
      <w:bookmarkStart w:id="1186" w:name="_Toc462403536"/>
      <w:bookmarkStart w:id="1187" w:name="_Toc468180655"/>
      <w:bookmarkStart w:id="1188" w:name="_Toc468181136"/>
      <w:bookmarkStart w:id="1189" w:name="_Toc468191483"/>
      <w:r w:rsidRPr="00181755">
        <w:rPr>
          <w:rFonts w:asciiTheme="minorHAnsi" w:hAnsiTheme="minorHAnsi"/>
        </w:rPr>
        <w:t>SREP tőkekövetelmény (TSCR)</w:t>
      </w:r>
      <w:bookmarkEnd w:id="1180"/>
      <w:bookmarkEnd w:id="1181"/>
      <w:bookmarkEnd w:id="1182"/>
      <w:bookmarkEnd w:id="1183"/>
      <w:bookmarkEnd w:id="1184"/>
      <w:bookmarkEnd w:id="1185"/>
      <w:bookmarkEnd w:id="1186"/>
      <w:bookmarkEnd w:id="1187"/>
      <w:bookmarkEnd w:id="1188"/>
      <w:bookmarkEnd w:id="1189"/>
    </w:p>
    <w:p w14:paraId="66B15653" w14:textId="77777777" w:rsidR="00A70E14" w:rsidRPr="00181755" w:rsidRDefault="003F29E3" w:rsidP="00181755">
      <w:pPr>
        <w:rPr>
          <w:rFonts w:asciiTheme="minorHAnsi" w:hAnsiTheme="minorHAnsi"/>
          <w:b/>
        </w:rPr>
      </w:pPr>
      <w:r w:rsidRPr="00181755">
        <w:rPr>
          <w:rFonts w:asciiTheme="minorHAnsi" w:hAnsiTheme="minorHAnsi"/>
          <w:b/>
        </w:rPr>
        <w:t>A SREP tőkekövetelmény</w:t>
      </w:r>
      <w:r w:rsidR="00A70E14" w:rsidRPr="00181755">
        <w:rPr>
          <w:rFonts w:asciiTheme="minorHAnsi" w:hAnsiTheme="minorHAnsi"/>
          <w:b/>
        </w:rPr>
        <w:t>t</w:t>
      </w:r>
      <w:r w:rsidRPr="00181755">
        <w:rPr>
          <w:rFonts w:asciiTheme="minorHAnsi" w:hAnsiTheme="minorHAnsi"/>
          <w:b/>
        </w:rPr>
        <w:t xml:space="preserve"> (TSCR) </w:t>
      </w:r>
      <w:r w:rsidR="00A70E14" w:rsidRPr="00181755">
        <w:rPr>
          <w:rFonts w:asciiTheme="minorHAnsi" w:hAnsiTheme="minorHAnsi"/>
          <w:b/>
        </w:rPr>
        <w:t xml:space="preserve">az MNB a </w:t>
      </w:r>
      <w:r w:rsidR="00E63C9B" w:rsidRPr="00181755">
        <w:rPr>
          <w:rFonts w:asciiTheme="minorHAnsi" w:hAnsiTheme="minorHAnsi"/>
          <w:b/>
        </w:rPr>
        <w:t xml:space="preserve">Pillér 1+ módszer alapján a </w:t>
      </w:r>
      <w:r w:rsidR="00A70E14" w:rsidRPr="00181755">
        <w:rPr>
          <w:rFonts w:asciiTheme="minorHAnsi" w:hAnsiTheme="minorHAnsi"/>
          <w:b/>
        </w:rPr>
        <w:t>következő összetevők összegeként határozza meg:</w:t>
      </w:r>
    </w:p>
    <w:p w14:paraId="66B15654" w14:textId="77777777" w:rsidR="00A70E14" w:rsidRPr="00181755" w:rsidRDefault="003F29E3" w:rsidP="00181755">
      <w:pPr>
        <w:numPr>
          <w:ilvl w:val="0"/>
          <w:numId w:val="11"/>
        </w:numPr>
        <w:rPr>
          <w:rFonts w:asciiTheme="minorHAnsi" w:hAnsiTheme="minorHAnsi"/>
          <w:b/>
        </w:rPr>
      </w:pPr>
      <w:r w:rsidRPr="00181755">
        <w:rPr>
          <w:rFonts w:asciiTheme="minorHAnsi" w:hAnsiTheme="minorHAnsi"/>
          <w:b/>
        </w:rPr>
        <w:t>a CRR 92. cikkében meghatározott szabá</w:t>
      </w:r>
      <w:r w:rsidR="00A70E14" w:rsidRPr="00181755">
        <w:rPr>
          <w:rFonts w:asciiTheme="minorHAnsi" w:hAnsiTheme="minorHAnsi"/>
          <w:b/>
        </w:rPr>
        <w:t>lyozói minimum tőkekövetelmény összege</w:t>
      </w:r>
    </w:p>
    <w:p w14:paraId="66B15655" w14:textId="7EF87B48" w:rsidR="00A70E14" w:rsidRPr="00181755" w:rsidRDefault="003F29E3" w:rsidP="00181755">
      <w:pPr>
        <w:numPr>
          <w:ilvl w:val="0"/>
          <w:numId w:val="11"/>
        </w:numPr>
        <w:rPr>
          <w:rFonts w:asciiTheme="minorHAnsi" w:hAnsiTheme="minorHAnsi"/>
          <w:b/>
        </w:rPr>
      </w:pPr>
      <w:r w:rsidRPr="00181755">
        <w:rPr>
          <w:rFonts w:asciiTheme="minorHAnsi" w:hAnsiTheme="minorHAnsi"/>
          <w:b/>
        </w:rPr>
        <w:t xml:space="preserve">és a </w:t>
      </w:r>
      <w:r w:rsidR="0012480B" w:rsidRPr="00181755">
        <w:rPr>
          <w:rFonts w:asciiTheme="minorHAnsi" w:hAnsiTheme="minorHAnsi"/>
          <w:b/>
        </w:rPr>
        <w:t xml:space="preserve">SREP keretében megállapított </w:t>
      </w:r>
      <w:r w:rsidRPr="00181755">
        <w:rPr>
          <w:rFonts w:asciiTheme="minorHAnsi" w:hAnsiTheme="minorHAnsi"/>
          <w:b/>
        </w:rPr>
        <w:t xml:space="preserve">pótlólagos </w:t>
      </w:r>
      <w:r w:rsidR="00A70E14" w:rsidRPr="00181755">
        <w:rPr>
          <w:rFonts w:asciiTheme="minorHAnsi" w:hAnsiTheme="minorHAnsi"/>
          <w:b/>
        </w:rPr>
        <w:t>többlet</w:t>
      </w:r>
      <w:r w:rsidR="003C6A4E" w:rsidRPr="00181755">
        <w:rPr>
          <w:rFonts w:asciiTheme="minorHAnsi" w:hAnsiTheme="minorHAnsi"/>
          <w:b/>
        </w:rPr>
        <w:t>-</w:t>
      </w:r>
      <w:r w:rsidR="00A70E14" w:rsidRPr="00181755">
        <w:rPr>
          <w:rFonts w:asciiTheme="minorHAnsi" w:hAnsiTheme="minorHAnsi"/>
          <w:b/>
        </w:rPr>
        <w:t>tőkekövetelmények</w:t>
      </w:r>
      <w:r w:rsidRPr="00181755">
        <w:rPr>
          <w:rFonts w:asciiTheme="minorHAnsi" w:hAnsiTheme="minorHAnsi"/>
          <w:b/>
        </w:rPr>
        <w:t xml:space="preserve">, valamint </w:t>
      </w:r>
      <w:r w:rsidR="0012480B" w:rsidRPr="00181755">
        <w:rPr>
          <w:rFonts w:asciiTheme="minorHAnsi" w:hAnsiTheme="minorHAnsi"/>
          <w:b/>
        </w:rPr>
        <w:t>–</w:t>
      </w:r>
      <w:r w:rsidRPr="00181755">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181755">
        <w:rPr>
          <w:rFonts w:asciiTheme="minorHAnsi" w:hAnsiTheme="minorHAnsi"/>
          <w:b/>
        </w:rPr>
        <w:t xml:space="preserve"> összege</w:t>
      </w:r>
      <w:r w:rsidRPr="00181755">
        <w:rPr>
          <w:rFonts w:asciiTheme="minorHAnsi" w:hAnsiTheme="minorHAnsi"/>
          <w:b/>
        </w:rPr>
        <w:t>.</w:t>
      </w:r>
    </w:p>
    <w:p w14:paraId="645817A6" w14:textId="74B2C298" w:rsidR="00A70E14" w:rsidRPr="00181755" w:rsidRDefault="003F29E3" w:rsidP="00181755">
      <w:pPr>
        <w:rPr>
          <w:rFonts w:asciiTheme="minorHAnsi" w:hAnsiTheme="minorHAnsi"/>
          <w:b/>
        </w:rPr>
      </w:pPr>
      <w:r w:rsidRPr="00181755">
        <w:rPr>
          <w:rFonts w:asciiTheme="minorHAnsi" w:hAnsiTheme="minorHAnsi"/>
          <w:b/>
        </w:rPr>
        <w:t xml:space="preserve">Az MNB a </w:t>
      </w:r>
      <w:r w:rsidR="004252EA" w:rsidRPr="00181755">
        <w:rPr>
          <w:rFonts w:asciiTheme="minorHAnsi" w:hAnsiTheme="minorHAnsi"/>
          <w:b/>
        </w:rPr>
        <w:t>SREP tőke</w:t>
      </w:r>
      <w:r w:rsidRPr="00181755">
        <w:rPr>
          <w:rFonts w:asciiTheme="minorHAnsi" w:hAnsiTheme="minorHAnsi"/>
          <w:b/>
        </w:rPr>
        <w:t xml:space="preserve">követelményt a teljes kockázati kitettség érték (TREA) százalékában adja meg. </w:t>
      </w:r>
    </w:p>
    <w:p w14:paraId="66B15658" w14:textId="0CA5DCA4" w:rsidR="00FA7182" w:rsidRPr="00181755" w:rsidRDefault="00FA7182" w:rsidP="00181755">
      <w:pPr>
        <w:rPr>
          <w:rFonts w:asciiTheme="minorHAnsi" w:hAnsiTheme="minorHAnsi"/>
        </w:rPr>
      </w:pPr>
      <w:r w:rsidRPr="00181755">
        <w:rPr>
          <w:rFonts w:asciiTheme="minorHAnsi" w:hAnsiTheme="minorHAnsi"/>
        </w:rPr>
        <w:t>Az MNB a pótlólagos többlet</w:t>
      </w:r>
      <w:r w:rsidR="003C6A4E" w:rsidRPr="00181755">
        <w:rPr>
          <w:rFonts w:asciiTheme="minorHAnsi" w:hAnsiTheme="minorHAnsi"/>
        </w:rPr>
        <w:t>-</w:t>
      </w:r>
      <w:r w:rsidRPr="00181755">
        <w:rPr>
          <w:rFonts w:asciiTheme="minorHAnsi" w:hAnsiTheme="minorHAnsi"/>
        </w:rPr>
        <w:t xml:space="preserve">tőkekövetelmények megállapításánál az EBA </w:t>
      </w:r>
      <w:r w:rsidR="00CA0515" w:rsidRPr="00181755">
        <w:rPr>
          <w:rFonts w:asciiTheme="minorHAnsi" w:hAnsiTheme="minorHAnsi"/>
        </w:rPr>
        <w:t>SREP Ajánlása</w:t>
      </w:r>
      <w:r w:rsidRPr="00181755">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77777777" w:rsidR="0012480B" w:rsidRPr="00181755" w:rsidRDefault="0012480B" w:rsidP="00181755">
      <w:pPr>
        <w:ind w:firstLine="709"/>
        <w:rPr>
          <w:rFonts w:asciiTheme="minorHAnsi" w:hAnsiTheme="minorHAnsi"/>
        </w:rPr>
      </w:pPr>
      <w:r w:rsidRPr="00181755">
        <w:rPr>
          <w:rFonts w:asciiTheme="minorHAnsi" w:hAnsiTheme="minorHAnsi"/>
        </w:rPr>
        <w:t>CET 1 tőke arány: minimum</w:t>
      </w:r>
      <w:r w:rsidR="00FA7182" w:rsidRPr="00181755">
        <w:rPr>
          <w:rFonts w:asciiTheme="minorHAnsi" w:hAnsiTheme="minorHAnsi"/>
        </w:rPr>
        <w:t xml:space="preserve"> 56%-a (4,5/8) a TSCR-nek,</w:t>
      </w:r>
    </w:p>
    <w:p w14:paraId="66B1565A" w14:textId="77777777" w:rsidR="00FA7182" w:rsidRPr="00181755" w:rsidRDefault="00FA7182" w:rsidP="00181755">
      <w:pPr>
        <w:ind w:firstLine="709"/>
        <w:rPr>
          <w:rFonts w:asciiTheme="minorHAnsi" w:hAnsiTheme="minorHAnsi"/>
        </w:rPr>
      </w:pPr>
      <w:r w:rsidRPr="00181755">
        <w:rPr>
          <w:rFonts w:asciiTheme="minorHAnsi" w:hAnsiTheme="minorHAnsi"/>
        </w:rPr>
        <w:t>T1 tőke arány: minimum 75%-a (6/</w:t>
      </w:r>
      <w:r w:rsidR="00391E34" w:rsidRPr="00181755">
        <w:rPr>
          <w:rFonts w:asciiTheme="minorHAnsi" w:hAnsiTheme="minorHAnsi"/>
        </w:rPr>
        <w:t>8</w:t>
      </w:r>
      <w:r w:rsidRPr="00181755">
        <w:rPr>
          <w:rFonts w:asciiTheme="minorHAnsi" w:hAnsiTheme="minorHAnsi"/>
        </w:rPr>
        <w:t>) a TSCR-nek</w:t>
      </w:r>
      <w:r w:rsidR="00391E34" w:rsidRPr="00181755">
        <w:rPr>
          <w:rFonts w:asciiTheme="minorHAnsi" w:hAnsiTheme="minorHAnsi"/>
        </w:rPr>
        <w:t xml:space="preserve">, </w:t>
      </w:r>
    </w:p>
    <w:p w14:paraId="66B1565B" w14:textId="77777777" w:rsidR="00391E34" w:rsidRPr="00181755" w:rsidRDefault="00391E34" w:rsidP="00181755">
      <w:pPr>
        <w:ind w:firstLine="709"/>
        <w:rPr>
          <w:rFonts w:asciiTheme="minorHAnsi" w:hAnsiTheme="minorHAnsi"/>
        </w:rPr>
      </w:pPr>
      <w:r w:rsidRPr="00181755">
        <w:rPr>
          <w:rFonts w:asciiTheme="minorHAnsi" w:hAnsiTheme="minorHAnsi"/>
        </w:rPr>
        <w:t>T2 tőke arány: maximum 25%-a (2/8) a TSCR-nek.</w:t>
      </w:r>
    </w:p>
    <w:p w14:paraId="47304483" w14:textId="6A788145" w:rsidR="00962470" w:rsidRPr="00181755" w:rsidRDefault="00962470" w:rsidP="00181755">
      <w:pPr>
        <w:rPr>
          <w:rFonts w:asciiTheme="minorHAnsi" w:hAnsiTheme="minorHAnsi"/>
        </w:rPr>
      </w:pPr>
      <w:r w:rsidRPr="00181755">
        <w:rPr>
          <w:rFonts w:asciiTheme="minorHAnsi" w:hAnsiTheme="minorHAnsi"/>
        </w:rPr>
        <w:t xml:space="preserve">A SREP lezáró levélben </w:t>
      </w:r>
      <w:r w:rsidR="00CB7FAA" w:rsidRPr="00181755">
        <w:rPr>
          <w:rFonts w:asciiTheme="minorHAnsi" w:hAnsiTheme="minorHAnsi"/>
        </w:rPr>
        <w:t xml:space="preserve">az MNB </w:t>
      </w:r>
      <w:r w:rsidRPr="00181755">
        <w:rPr>
          <w:rFonts w:asciiTheme="minorHAnsi" w:hAnsiTheme="minorHAnsi"/>
        </w:rPr>
        <w:t xml:space="preserve">minden intézményre konkrétan </w:t>
      </w:r>
      <w:r w:rsidR="00CB7FAA" w:rsidRPr="00181755">
        <w:rPr>
          <w:rFonts w:asciiTheme="minorHAnsi" w:hAnsiTheme="minorHAnsi"/>
        </w:rPr>
        <w:t>meghatározza</w:t>
      </w:r>
      <w:r w:rsidRPr="00181755">
        <w:rPr>
          <w:rFonts w:asciiTheme="minorHAnsi" w:hAnsiTheme="minorHAnsi"/>
        </w:rPr>
        <w:t>, hogy milyen elemekkel kell teljesíteni a tőkeszükségletet és adott esetben az 1. pillér szerinti arányoknál szigorúbb elvárás is előírásra kerülhet.</w:t>
      </w:r>
      <w:r w:rsidR="00391E34" w:rsidRPr="00181755">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181755">
        <w:rPr>
          <w:rFonts w:asciiTheme="minorHAnsi" w:hAnsiTheme="minorHAnsi"/>
        </w:rPr>
        <w:t>Az MNB azt is előír</w:t>
      </w:r>
      <w:r w:rsidR="0012480B" w:rsidRPr="00181755">
        <w:rPr>
          <w:rFonts w:asciiTheme="minorHAnsi" w:hAnsiTheme="minorHAnsi"/>
        </w:rPr>
        <w:t>hat</w:t>
      </w:r>
      <w:r w:rsidRPr="00181755">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181755" w:rsidRDefault="00962470" w:rsidP="00181755">
      <w:pPr>
        <w:spacing w:after="240"/>
        <w:rPr>
          <w:rFonts w:asciiTheme="minorHAnsi" w:hAnsiTheme="minorHAnsi"/>
        </w:rPr>
      </w:pPr>
      <w:r w:rsidRPr="00181755">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181755" w:rsidRDefault="004252EA" w:rsidP="00181755">
      <w:pPr>
        <w:pStyle w:val="Cmsor4"/>
        <w:rPr>
          <w:rFonts w:asciiTheme="minorHAnsi" w:hAnsiTheme="minorHAnsi"/>
        </w:rPr>
      </w:pPr>
      <w:bookmarkStart w:id="1190" w:name="_Toc468181137"/>
      <w:bookmarkStart w:id="1191" w:name="_Toc468181143"/>
      <w:bookmarkStart w:id="1192" w:name="_Toc468181148"/>
      <w:bookmarkStart w:id="1193" w:name="_Toc468181153"/>
      <w:bookmarkStart w:id="1194" w:name="_Toc461095247"/>
      <w:bookmarkStart w:id="1195" w:name="_Toc461179903"/>
      <w:bookmarkStart w:id="1196" w:name="_Toc461201347"/>
      <w:bookmarkStart w:id="1197" w:name="_Toc461548048"/>
      <w:bookmarkStart w:id="1198" w:name="_Toc462402088"/>
      <w:bookmarkStart w:id="1199" w:name="_Toc462403213"/>
      <w:bookmarkStart w:id="1200" w:name="_Toc462403537"/>
      <w:bookmarkStart w:id="1201" w:name="_Toc468180656"/>
      <w:bookmarkStart w:id="1202" w:name="_Toc468181154"/>
      <w:bookmarkStart w:id="1203" w:name="_Toc468191484"/>
      <w:bookmarkEnd w:id="1190"/>
      <w:bookmarkEnd w:id="1191"/>
      <w:bookmarkEnd w:id="1192"/>
      <w:bookmarkEnd w:id="1193"/>
      <w:r w:rsidRPr="00181755">
        <w:rPr>
          <w:rFonts w:asciiTheme="minorHAnsi" w:hAnsiTheme="minorHAnsi"/>
        </w:rPr>
        <w:t>SREP tőke</w:t>
      </w:r>
      <w:r w:rsidR="003F29E3" w:rsidRPr="00181755">
        <w:rPr>
          <w:rFonts w:asciiTheme="minorHAnsi" w:hAnsiTheme="minorHAnsi"/>
        </w:rPr>
        <w:t>követelmény mutató</w:t>
      </w:r>
      <w:bookmarkEnd w:id="1194"/>
      <w:bookmarkEnd w:id="1195"/>
      <w:bookmarkEnd w:id="1196"/>
      <w:bookmarkEnd w:id="1197"/>
      <w:bookmarkEnd w:id="1198"/>
      <w:bookmarkEnd w:id="1199"/>
      <w:bookmarkEnd w:id="1200"/>
      <w:bookmarkEnd w:id="1201"/>
      <w:bookmarkEnd w:id="1202"/>
      <w:bookmarkEnd w:id="1203"/>
    </w:p>
    <w:p w14:paraId="66B15674"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4252EA" w:rsidRPr="00181755">
        <w:rPr>
          <w:rFonts w:asciiTheme="minorHAnsi" w:hAnsiTheme="minorHAnsi"/>
        </w:rPr>
        <w:t>SREP tőke</w:t>
      </w:r>
      <w:r w:rsidRPr="00181755">
        <w:rPr>
          <w:rFonts w:asciiTheme="minorHAnsi" w:hAnsiTheme="minorHAnsi"/>
        </w:rPr>
        <w:t xml:space="preserve">követelmény mutató kiszámítása a </w:t>
      </w:r>
      <w:r w:rsidR="004252EA" w:rsidRPr="00181755">
        <w:rPr>
          <w:rFonts w:asciiTheme="minorHAnsi" w:hAnsiTheme="minorHAnsi"/>
        </w:rPr>
        <w:t>SREP tőke</w:t>
      </w:r>
      <w:r w:rsidRPr="00181755">
        <w:rPr>
          <w:rFonts w:asciiTheme="minorHAnsi" w:hAnsiTheme="minorHAnsi"/>
        </w:rPr>
        <w:t>követelmény és a teljes kockázati kitettség alapján a következő képlet szerint történik:</w:t>
      </w:r>
    </w:p>
    <w:p w14:paraId="66B15675" w14:textId="77777777" w:rsidR="003F29E3" w:rsidRPr="00181755" w:rsidRDefault="000F64D0" w:rsidP="00181755">
      <w:pPr>
        <w:rPr>
          <w:rFonts w:asciiTheme="minorHAnsi" w:hAnsiTheme="minorHAnsi"/>
        </w:rPr>
      </w:pPr>
      <w:r w:rsidRPr="00181755">
        <w:rPr>
          <w:rFonts w:asciiTheme="minorHAnsi" w:hAnsiTheme="minorHAnsi"/>
          <w:noProof/>
        </w:rPr>
        <mc:AlternateContent>
          <mc:Choice Requires="wpg">
            <w:drawing>
              <wp:anchor distT="0" distB="0" distL="114300" distR="114300" simplePos="0" relativeHeight="251672576" behindDoc="0" locked="0" layoutInCell="1" allowOverlap="1" wp14:anchorId="66B15A78" wp14:editId="2FC0B81B">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A50AE4" w:rsidRDefault="00A50AE4"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A50AE4" w:rsidRDefault="00A50AE4"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A50AE4" w:rsidRDefault="00A50AE4"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72576"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Text Box 5" o:spid="_x0000_s1030" type="#_x0000_t202" style="position:absolute;left:3630;top:10569;width:156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6B15B0B" w14:textId="77777777" w:rsidR="00A50AE4" w:rsidRDefault="00A50AE4" w:rsidP="00D10772">
                        <w:r>
                          <w:t>TSCR x12,5</w:t>
                        </w:r>
                      </w:p>
                    </w:txbxContent>
                  </v:textbox>
                </v:shape>
                <v:shape id="Text Box 6" o:spid="_x0000_s1031" type="#_x0000_t202" style="position:absolute;left:3836;top:11072;width:128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66B15B0C" w14:textId="77777777" w:rsidR="00A50AE4" w:rsidRDefault="00A50AE4" w:rsidP="00D10772">
                        <w:r>
                          <w:t>TREA</w:t>
                        </w:r>
                      </w:p>
                    </w:txbxContent>
                  </v:textbox>
                </v:shape>
                <v:shape id="Text Box 7" o:spid="_x0000_s1032" type="#_x0000_t202" style="position:absolute;left:1415;top:10782;width:229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66B15B0D" w14:textId="77777777" w:rsidR="00A50AE4" w:rsidRDefault="00A50AE4" w:rsidP="00D10772">
                        <w:r>
                          <w:t>TSCR mutató = 8% x</w:t>
                        </w:r>
                      </w:p>
                    </w:txbxContent>
                  </v:textbox>
                </v:shape>
              </v:group>
            </w:pict>
          </mc:Fallback>
        </mc:AlternateContent>
      </w:r>
    </w:p>
    <w:p w14:paraId="66B15676" w14:textId="2678A080" w:rsidR="003F29E3" w:rsidRPr="00181755" w:rsidRDefault="003F29E3" w:rsidP="00181755">
      <w:pPr>
        <w:rPr>
          <w:rFonts w:asciiTheme="minorHAnsi" w:hAnsiTheme="minorHAnsi"/>
        </w:rPr>
      </w:pPr>
    </w:p>
    <w:p w14:paraId="66B15677" w14:textId="1A4FAFD1" w:rsidR="003F29E3" w:rsidRPr="00181755" w:rsidRDefault="003F29E3" w:rsidP="00181755">
      <w:pPr>
        <w:rPr>
          <w:rFonts w:asciiTheme="minorHAnsi" w:hAnsiTheme="minorHAnsi"/>
        </w:rPr>
      </w:pPr>
    </w:p>
    <w:p w14:paraId="57EE0EAC" w14:textId="6481BFDB" w:rsidR="001A25C4" w:rsidRPr="00181755" w:rsidRDefault="00CB7FAA" w:rsidP="00181755">
      <w:pPr>
        <w:rPr>
          <w:rFonts w:asciiTheme="minorHAnsi" w:hAnsiTheme="minorHAnsi"/>
        </w:rPr>
      </w:pPr>
      <w:r w:rsidRPr="00181755">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181755" w:rsidRDefault="001A25C4" w:rsidP="00181755">
      <w:pPr>
        <w:rPr>
          <w:rFonts w:asciiTheme="minorHAnsi" w:hAnsiTheme="minorHAnsi"/>
          <w:b/>
        </w:rPr>
      </w:pPr>
      <w:r w:rsidRPr="00181755">
        <w:rPr>
          <w:rFonts w:asciiTheme="minorHAnsi" w:hAnsiTheme="minorHAnsi"/>
          <w:b/>
        </w:rPr>
        <w:t xml:space="preserve">Példa </w:t>
      </w:r>
    </w:p>
    <w:p w14:paraId="1E489C81" w14:textId="50B486D6" w:rsidR="001A25C4" w:rsidRPr="00181755" w:rsidRDefault="001A25C4" w:rsidP="00181755">
      <w:pPr>
        <w:rPr>
          <w:rFonts w:asciiTheme="minorHAnsi" w:hAnsiTheme="minorHAnsi"/>
        </w:rPr>
      </w:pPr>
      <w:r w:rsidRPr="00181755">
        <w:rPr>
          <w:rFonts w:asciiTheme="minorHAnsi" w:hAnsiTheme="minorHAnsi"/>
        </w:rPr>
        <w:t>A felügyeleti több</w:t>
      </w:r>
      <w:r w:rsidR="003C6A4E" w:rsidRPr="00181755">
        <w:rPr>
          <w:rFonts w:asciiTheme="minorHAnsi" w:hAnsiTheme="minorHAnsi"/>
        </w:rPr>
        <w:t>let-</w:t>
      </w:r>
      <w:r w:rsidRPr="00181755">
        <w:rPr>
          <w:rFonts w:asciiTheme="minorHAnsi" w:hAnsiTheme="minorHAnsi"/>
        </w:rPr>
        <w:t>tőkekövetelmény az 1. pillér 137,5%-ában került meghatározásra (TSCR = 11%), ami a TREA-ra vetítve +3%-os tőkekövetelményt jelent.</w:t>
      </w:r>
    </w:p>
    <w:p w14:paraId="62A8D53B" w14:textId="77777777" w:rsidR="001A25C4" w:rsidRPr="00181755" w:rsidRDefault="001A25C4" w:rsidP="00181755">
      <w:pPr>
        <w:rPr>
          <w:rFonts w:asciiTheme="minorHAnsi" w:hAnsiTheme="minorHAnsi"/>
        </w:rPr>
      </w:pPr>
      <w:r w:rsidRPr="00181755">
        <w:rPr>
          <w:rFonts w:asciiTheme="minorHAnsi" w:hAnsiTheme="minorHAnsi"/>
        </w:rPr>
        <w:t>Az intézmény szavatoló tőkéje 100, CET1 tőkéje 70, T1 tőkéje 85.</w:t>
      </w:r>
    </w:p>
    <w:p w14:paraId="02092682" w14:textId="77777777" w:rsidR="001A25C4" w:rsidRPr="00181755" w:rsidRDefault="001A25C4" w:rsidP="00181755">
      <w:pPr>
        <w:rPr>
          <w:rFonts w:asciiTheme="minorHAnsi" w:hAnsiTheme="minorHAnsi"/>
        </w:rPr>
      </w:pPr>
      <w:r w:rsidRPr="00181755">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181755" w:rsidRDefault="003C6A4E" w:rsidP="00181755">
      <w:pPr>
        <w:rPr>
          <w:rFonts w:asciiTheme="minorHAnsi" w:hAnsiTheme="minorHAnsi"/>
        </w:rPr>
      </w:pPr>
      <w:r w:rsidRPr="00181755">
        <w:rPr>
          <w:rFonts w:asciiTheme="minorHAnsi" w:hAnsiTheme="minorHAnsi"/>
        </w:rPr>
        <w:t>A felügyeleti többlet-</w:t>
      </w:r>
      <w:r w:rsidR="001A25C4" w:rsidRPr="00181755">
        <w:rPr>
          <w:rFonts w:asciiTheme="minorHAnsi" w:hAnsiTheme="minorHAnsi"/>
        </w:rPr>
        <w:t>tőkekövetelmény összegszerűen: 80*0,375=30</w:t>
      </w:r>
    </w:p>
    <w:p w14:paraId="6FEF4250" w14:textId="77777777" w:rsidR="001A25C4" w:rsidRPr="00181755" w:rsidRDefault="001A25C4" w:rsidP="00181755">
      <w:pPr>
        <w:rPr>
          <w:rFonts w:asciiTheme="minorHAnsi" w:hAnsiTheme="minorHAnsi"/>
        </w:rPr>
      </w:pPr>
      <w:r w:rsidRPr="00181755">
        <w:rPr>
          <w:rFonts w:asciiTheme="minorHAnsi" w:hAnsiTheme="minorHAnsi"/>
        </w:rPr>
        <w:t>A TSCR a TREA 11%-a, amelyet az alábbiak szerint kell megbontani a példa</w:t>
      </w:r>
    </w:p>
    <w:p w14:paraId="48CFF4B8" w14:textId="62C929CB" w:rsidR="001A25C4" w:rsidRPr="00181755" w:rsidRDefault="001A25C4" w:rsidP="00181755">
      <w:pPr>
        <w:rPr>
          <w:rFonts w:asciiTheme="minorHAnsi" w:hAnsiTheme="minorHAnsi"/>
        </w:rPr>
      </w:pPr>
      <w:r w:rsidRPr="00181755">
        <w:rPr>
          <w:rFonts w:asciiTheme="minorHAnsi" w:hAnsiTheme="minorHAnsi"/>
        </w:rPr>
        <w:t>CET1 tőkével teljesítendő rész: minimum 6,16% (11%*</w:t>
      </w:r>
      <w:r w:rsidR="002D0C5A" w:rsidRPr="00181755">
        <w:rPr>
          <w:rFonts w:asciiTheme="minorHAnsi" w:hAnsiTheme="minorHAnsi"/>
        </w:rPr>
        <w:t>56</w:t>
      </w:r>
      <w:r w:rsidRPr="00181755">
        <w:rPr>
          <w:rFonts w:asciiTheme="minorHAnsi" w:hAnsiTheme="minorHAnsi"/>
        </w:rPr>
        <w:t>%), összegszerűen: 61,6 (1000*6,16%),</w:t>
      </w:r>
    </w:p>
    <w:p w14:paraId="6CEC01D8" w14:textId="1240D7CB" w:rsidR="001A25C4" w:rsidRPr="00181755" w:rsidRDefault="001A25C4" w:rsidP="00181755">
      <w:pPr>
        <w:rPr>
          <w:rFonts w:asciiTheme="minorHAnsi" w:hAnsiTheme="minorHAnsi"/>
        </w:rPr>
      </w:pPr>
      <w:r w:rsidRPr="00181755">
        <w:rPr>
          <w:rFonts w:asciiTheme="minorHAnsi" w:hAnsiTheme="minorHAnsi"/>
        </w:rPr>
        <w:t>T1 tőkével teljesítendő rész: minimum 8,25% (11%*</w:t>
      </w:r>
      <w:r w:rsidR="002D0C5A" w:rsidRPr="00181755">
        <w:rPr>
          <w:rFonts w:asciiTheme="minorHAnsi" w:hAnsiTheme="minorHAnsi"/>
        </w:rPr>
        <w:t>75%</w:t>
      </w:r>
      <w:r w:rsidRPr="00181755">
        <w:rPr>
          <w:rFonts w:asciiTheme="minorHAnsi" w:hAnsiTheme="minorHAnsi"/>
        </w:rPr>
        <w:t>), összegszerűen: 82,5 (1000*8,25%)</w:t>
      </w:r>
    </w:p>
    <w:p w14:paraId="67E35123" w14:textId="7F50739B" w:rsidR="001A25C4" w:rsidRPr="00181755" w:rsidRDefault="001A25C4" w:rsidP="00181755">
      <w:pPr>
        <w:spacing w:after="240"/>
        <w:rPr>
          <w:rFonts w:asciiTheme="minorHAnsi" w:hAnsiTheme="minorHAnsi"/>
        </w:rPr>
      </w:pPr>
      <w:r w:rsidRPr="00181755">
        <w:rPr>
          <w:rFonts w:asciiTheme="minorHAnsi" w:hAnsiTheme="minorHAnsi"/>
        </w:rPr>
        <w:t>T2 tőkével teljesítendő százalékos rész: maximum 2,75% (11%*</w:t>
      </w:r>
      <w:r w:rsidR="002D0C5A" w:rsidRPr="00181755">
        <w:rPr>
          <w:rFonts w:asciiTheme="minorHAnsi" w:hAnsiTheme="minorHAnsi"/>
        </w:rPr>
        <w:t>25</w:t>
      </w:r>
      <w:r w:rsidRPr="00181755">
        <w:rPr>
          <w:rFonts w:asciiTheme="minorHAnsi" w:hAnsiTheme="minorHAnsi"/>
        </w:rPr>
        <w:t>%), összegszerűen: 27,5 (1000*2,75%)</w:t>
      </w:r>
    </w:p>
    <w:p w14:paraId="66B15679" w14:textId="5605350E" w:rsidR="003F29E3" w:rsidRPr="00181755" w:rsidRDefault="00C92B1D" w:rsidP="00181755">
      <w:pPr>
        <w:pStyle w:val="Cmsor4"/>
        <w:ind w:left="1148"/>
        <w:rPr>
          <w:rFonts w:asciiTheme="minorHAnsi" w:hAnsiTheme="minorHAnsi"/>
        </w:rPr>
      </w:pPr>
      <w:bookmarkStart w:id="1204" w:name="_Toc461095248"/>
      <w:bookmarkStart w:id="1205" w:name="_Toc461179904"/>
      <w:bookmarkStart w:id="1206" w:name="_Toc461201348"/>
      <w:bookmarkStart w:id="1207" w:name="_Toc461548049"/>
      <w:bookmarkStart w:id="1208" w:name="_Toc462402089"/>
      <w:bookmarkStart w:id="1209" w:name="_Toc462403214"/>
      <w:bookmarkStart w:id="1210" w:name="_Toc462403538"/>
      <w:bookmarkStart w:id="1211" w:name="_Toc468180657"/>
      <w:bookmarkStart w:id="1212" w:name="_Toc468181155"/>
      <w:bookmarkStart w:id="1213" w:name="_Toc468191485"/>
      <w:r w:rsidRPr="00181755">
        <w:rPr>
          <w:rFonts w:asciiTheme="minorHAnsi" w:hAnsiTheme="minorHAnsi"/>
          <w:lang w:val="hu-HU"/>
        </w:rPr>
        <w:t>Kombinált tőkepuffer-követelmény</w:t>
      </w:r>
      <w:bookmarkEnd w:id="1204"/>
      <w:bookmarkEnd w:id="1205"/>
      <w:bookmarkEnd w:id="1206"/>
      <w:bookmarkEnd w:id="1207"/>
      <w:bookmarkEnd w:id="1208"/>
      <w:bookmarkEnd w:id="1209"/>
      <w:bookmarkEnd w:id="1210"/>
      <w:bookmarkEnd w:id="1211"/>
      <w:bookmarkEnd w:id="1212"/>
      <w:bookmarkEnd w:id="1213"/>
    </w:p>
    <w:p w14:paraId="400C05C5" w14:textId="4C6FF7FF" w:rsidR="003841D3" w:rsidRPr="00181755" w:rsidRDefault="00C92B1D" w:rsidP="00181755">
      <w:pPr>
        <w:rPr>
          <w:rFonts w:asciiTheme="minorHAnsi" w:hAnsiTheme="minorHAnsi"/>
        </w:rPr>
      </w:pPr>
      <w:r w:rsidRPr="00181755">
        <w:rPr>
          <w:rFonts w:asciiTheme="minorHAnsi" w:hAnsiTheme="minorHAnsi"/>
        </w:rPr>
        <w:t xml:space="preserve">A SREP tőkekövetelményen </w:t>
      </w:r>
      <w:r w:rsidR="009A7DB2" w:rsidRPr="00181755">
        <w:rPr>
          <w:rFonts w:asciiTheme="minorHAnsi" w:hAnsiTheme="minorHAnsi"/>
        </w:rPr>
        <w:t>felül az adott intézmény esetében a</w:t>
      </w:r>
      <w:r w:rsidR="00E34A1E" w:rsidRPr="00181755">
        <w:rPr>
          <w:rFonts w:asciiTheme="minorHAnsi" w:hAnsiTheme="minorHAnsi"/>
        </w:rPr>
        <w:t xml:space="preserve"> kötelezően tartandó</w:t>
      </w:r>
      <w:r w:rsidR="009A7DB2" w:rsidRPr="00181755">
        <w:rPr>
          <w:rFonts w:asciiTheme="minorHAnsi" w:hAnsiTheme="minorHAnsi"/>
        </w:rPr>
        <w:t xml:space="preserve"> tőkefenntartási puffer </w:t>
      </w:r>
      <w:r w:rsidR="00E34A1E" w:rsidRPr="00181755">
        <w:rPr>
          <w:rFonts w:asciiTheme="minorHAnsi" w:hAnsiTheme="minorHAnsi"/>
        </w:rPr>
        <w:t>mellett további</w:t>
      </w:r>
      <w:r w:rsidR="009A7DB2" w:rsidRPr="00181755">
        <w:rPr>
          <w:rFonts w:asciiTheme="minorHAnsi" w:hAnsiTheme="minorHAnsi"/>
        </w:rPr>
        <w:t xml:space="preserve"> makroprudenciális tőkepufferek</w:t>
      </w:r>
      <w:r w:rsidR="00E34A1E" w:rsidRPr="00181755">
        <w:rPr>
          <w:rFonts w:asciiTheme="minorHAnsi" w:hAnsiTheme="minorHAnsi"/>
        </w:rPr>
        <w:t xml:space="preserve"> is</w:t>
      </w:r>
      <w:r w:rsidR="009A7DB2" w:rsidRPr="00181755">
        <w:rPr>
          <w:rFonts w:asciiTheme="minorHAnsi" w:hAnsiTheme="minorHAnsi"/>
        </w:rPr>
        <w:t xml:space="preserve"> előírásra kerülhetnek, melyek fajtái a következők</w:t>
      </w:r>
      <w:r w:rsidR="003841D3" w:rsidRPr="00181755">
        <w:rPr>
          <w:rFonts w:asciiTheme="minorHAnsi" w:hAnsiTheme="minorHAnsi"/>
        </w:rPr>
        <w:t>:</w:t>
      </w:r>
    </w:p>
    <w:p w14:paraId="6A0D410A" w14:textId="7E89C0AF" w:rsidR="003841D3" w:rsidRPr="00181755" w:rsidRDefault="003841D3" w:rsidP="00181755">
      <w:pPr>
        <w:pStyle w:val="Listaszerbekezds"/>
        <w:numPr>
          <w:ilvl w:val="0"/>
          <w:numId w:val="53"/>
        </w:numPr>
        <w:ind w:left="567" w:hanging="283"/>
        <w:rPr>
          <w:rFonts w:asciiTheme="minorHAnsi" w:hAnsiTheme="minorHAnsi"/>
        </w:rPr>
      </w:pPr>
      <w:r w:rsidRPr="00181755">
        <w:rPr>
          <w:rFonts w:asciiTheme="minorHAnsi" w:hAnsiTheme="minorHAnsi"/>
          <w:sz w:val="22"/>
          <w:szCs w:val="22"/>
        </w:rPr>
        <w:t>Anticiklikus tőkepuffer</w:t>
      </w:r>
    </w:p>
    <w:p w14:paraId="61E3C0D6" w14:textId="07526601" w:rsidR="003841D3" w:rsidRPr="00181755" w:rsidRDefault="003841D3" w:rsidP="00181755">
      <w:pPr>
        <w:ind w:left="851"/>
        <w:rPr>
          <w:rFonts w:asciiTheme="minorHAnsi" w:hAnsiTheme="minorHAnsi"/>
        </w:rPr>
      </w:pPr>
      <w:r w:rsidRPr="00181755">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181755">
        <w:rPr>
          <w:rFonts w:asciiTheme="minorHAnsi" w:hAnsiTheme="minorHAnsi"/>
        </w:rPr>
        <w:t>annak</w:t>
      </w:r>
      <w:r w:rsidRPr="00181755">
        <w:rPr>
          <w:rFonts w:asciiTheme="minorHAnsi" w:hAnsiTheme="minorHAnsi"/>
        </w:rPr>
        <w:t xml:space="preserve"> módszertan</w:t>
      </w:r>
      <w:r w:rsidR="00E34A1E" w:rsidRPr="00181755">
        <w:rPr>
          <w:rFonts w:asciiTheme="minorHAnsi" w:hAnsiTheme="minorHAnsi"/>
        </w:rPr>
        <w:t>á</w:t>
      </w:r>
      <w:r w:rsidRPr="00181755">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181755">
        <w:rPr>
          <w:rFonts w:asciiTheme="minorHAnsi" w:hAnsiTheme="minorHAnsi"/>
        </w:rPr>
        <w:t xml:space="preserve"> Az intézményeknek intézményspecifikus anticiklikus tőkepuffert kell </w:t>
      </w:r>
      <w:r w:rsidR="00073510" w:rsidRPr="00181755">
        <w:rPr>
          <w:rFonts w:asciiTheme="minorHAnsi" w:hAnsiTheme="minorHAnsi"/>
        </w:rPr>
        <w:t>megképezniük</w:t>
      </w:r>
      <w:r w:rsidR="00E34A1E" w:rsidRPr="00181755">
        <w:rPr>
          <w:rFonts w:asciiTheme="minorHAnsi" w:hAnsiTheme="minorHAnsi"/>
        </w:rPr>
        <w:t xml:space="preserve">. </w:t>
      </w:r>
    </w:p>
    <w:p w14:paraId="1DED26D8" w14:textId="41785E2A" w:rsidR="00C92B1D" w:rsidRPr="00181755" w:rsidRDefault="003841D3" w:rsidP="00181755">
      <w:pPr>
        <w:pStyle w:val="Listaszerbekezds"/>
        <w:numPr>
          <w:ilvl w:val="0"/>
          <w:numId w:val="54"/>
        </w:numPr>
        <w:ind w:left="567" w:hanging="283"/>
        <w:rPr>
          <w:rFonts w:asciiTheme="minorHAnsi" w:hAnsiTheme="minorHAnsi"/>
        </w:rPr>
      </w:pPr>
      <w:r w:rsidRPr="00181755">
        <w:rPr>
          <w:rFonts w:asciiTheme="minorHAnsi" w:hAnsiTheme="minorHAnsi"/>
          <w:sz w:val="22"/>
          <w:szCs w:val="22"/>
        </w:rPr>
        <w:t>Rendszerszinten jelentős intézményekre vonatkozó tőkepuffer</w:t>
      </w:r>
    </w:p>
    <w:p w14:paraId="4D22BE28" w14:textId="29463DF3" w:rsidR="003841D3" w:rsidRPr="00181755" w:rsidRDefault="003841D3" w:rsidP="00181755">
      <w:pPr>
        <w:ind w:left="851"/>
        <w:rPr>
          <w:rFonts w:asciiTheme="minorHAnsi" w:hAnsiTheme="minorHAnsi"/>
        </w:rPr>
      </w:pPr>
      <w:r w:rsidRPr="00181755">
        <w:rPr>
          <w:rFonts w:asciiTheme="minorHAnsi" w:hAnsiTheme="minorHAnsi"/>
        </w:rPr>
        <w:t xml:space="preserve">A </w:t>
      </w:r>
      <w:r w:rsidR="006A2138" w:rsidRPr="00181755">
        <w:rPr>
          <w:rFonts w:asciiTheme="minorHAnsi" w:hAnsiTheme="minorHAnsi"/>
        </w:rPr>
        <w:t xml:space="preserve">globálisan és egyéb </w:t>
      </w:r>
      <w:r w:rsidRPr="00181755">
        <w:rPr>
          <w:rFonts w:asciiTheme="minorHAnsi" w:hAnsiTheme="minorHAnsi"/>
        </w:rPr>
        <w:t>rendszerszinten jelentős intézmények jogállását, valamint a rájuk vonatkozó prudenciális szabályokat a CRD IV sz</w:t>
      </w:r>
      <w:r w:rsidR="006A2138" w:rsidRPr="00181755">
        <w:rPr>
          <w:rFonts w:asciiTheme="minorHAnsi" w:hAnsiTheme="minorHAnsi"/>
        </w:rPr>
        <w:t>abályozási keretrendszere rendezi</w:t>
      </w:r>
      <w:r w:rsidRPr="00181755">
        <w:rPr>
          <w:rFonts w:asciiTheme="minorHAnsi" w:hAnsiTheme="minorHAnsi"/>
        </w:rPr>
        <w:t>. A rendszerszinten jelentős hitelintézetek azonosítása az Európai Unióban egységes alapelvek mentén, az EBA iránymutatásának (EBA/GL/2014/10) megfelelően történik. Az MNB által egyéb rendszerszinten jelentős</w:t>
      </w:r>
      <w:r w:rsidR="00E34A1E" w:rsidRPr="00181755">
        <w:rPr>
          <w:rFonts w:asciiTheme="minorHAnsi" w:hAnsiTheme="minorHAnsi"/>
        </w:rPr>
        <w:t>nek</w:t>
      </w:r>
      <w:r w:rsidRPr="00181755">
        <w:rPr>
          <w:rFonts w:asciiTheme="minorHAnsi" w:hAnsiTheme="minorHAnsi"/>
        </w:rPr>
        <w:t xml:space="preserve"> azonosított intézmények névsora, valamint a kapcsolódó tőkepuffer követelmény mértéke elérhető az MNB honlapján.</w:t>
      </w:r>
      <w:r w:rsidR="00E754CF" w:rsidRPr="00181755">
        <w:rPr>
          <w:rFonts w:asciiTheme="minorHAnsi" w:hAnsiTheme="minorHAnsi"/>
        </w:rPr>
        <w:t xml:space="preserve"> Az egyedileg megképzendő tőkepufferek mértékéről az MNB az intézményeket egyedi határozatok útján értesíti.</w:t>
      </w:r>
    </w:p>
    <w:p w14:paraId="569853D9" w14:textId="41C14A6C" w:rsidR="003841D3" w:rsidRPr="00181755" w:rsidRDefault="003841D3" w:rsidP="00181755">
      <w:pPr>
        <w:pStyle w:val="Listaszerbekezds"/>
        <w:numPr>
          <w:ilvl w:val="0"/>
          <w:numId w:val="55"/>
        </w:numPr>
        <w:ind w:left="567" w:hanging="283"/>
        <w:rPr>
          <w:rFonts w:asciiTheme="minorHAnsi" w:hAnsiTheme="minorHAnsi"/>
        </w:rPr>
      </w:pPr>
      <w:r w:rsidRPr="00181755">
        <w:rPr>
          <w:rFonts w:asciiTheme="minorHAnsi" w:hAnsiTheme="minorHAnsi"/>
          <w:sz w:val="22"/>
          <w:szCs w:val="22"/>
        </w:rPr>
        <w:t>Rendszerkockázati tőkepuffer</w:t>
      </w:r>
    </w:p>
    <w:p w14:paraId="750F6C3F" w14:textId="2F50F0EB" w:rsidR="003841D3" w:rsidRPr="00181755" w:rsidRDefault="003841D3" w:rsidP="00181755">
      <w:pPr>
        <w:ind w:left="851"/>
        <w:rPr>
          <w:rFonts w:asciiTheme="minorHAnsi" w:hAnsiTheme="minorHAnsi"/>
        </w:rPr>
      </w:pPr>
      <w:r w:rsidRPr="00181755">
        <w:rPr>
          <w:rFonts w:asciiTheme="minorHAnsi" w:hAnsiTheme="minorHAnsi"/>
        </w:rPr>
        <w:t>A CRD IV alapján nemzeti diszkréció keretében valamennyi tagállam</w:t>
      </w:r>
      <w:r w:rsidR="006A2138" w:rsidRPr="00181755">
        <w:rPr>
          <w:rFonts w:asciiTheme="minorHAnsi" w:hAnsiTheme="minorHAnsi"/>
        </w:rPr>
        <w:t>i</w:t>
      </w:r>
      <w:r w:rsidRPr="00181755">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181755">
        <w:rPr>
          <w:rFonts w:asciiTheme="minorHAnsi" w:hAnsiTheme="minorHAnsi"/>
        </w:rPr>
        <w:t xml:space="preserve"> Az MNB </w:t>
      </w:r>
      <w:r w:rsidR="006A2138" w:rsidRPr="00181755">
        <w:rPr>
          <w:rFonts w:asciiTheme="minorHAnsi" w:hAnsiTheme="minorHAnsi"/>
        </w:rPr>
        <w:t xml:space="preserve">az </w:t>
      </w:r>
      <w:r w:rsidR="00E34A1E" w:rsidRPr="00181755">
        <w:rPr>
          <w:rFonts w:asciiTheme="minorHAnsi" w:hAnsiTheme="minorHAnsi"/>
        </w:rPr>
        <w:t>által</w:t>
      </w:r>
      <w:r w:rsidR="006A2138" w:rsidRPr="00181755">
        <w:rPr>
          <w:rFonts w:asciiTheme="minorHAnsi" w:hAnsiTheme="minorHAnsi"/>
        </w:rPr>
        <w:t>a</w:t>
      </w:r>
      <w:r w:rsidR="00E34A1E" w:rsidRPr="00181755">
        <w:rPr>
          <w:rFonts w:asciiTheme="minorHAnsi" w:hAnsiTheme="minorHAnsi"/>
        </w:rPr>
        <w:t xml:space="preserve"> bevezetendő rendszerkockázati tőkepufferről a honlapon tájékoztatja az intézményeket.</w:t>
      </w:r>
      <w:r w:rsidR="00E754CF" w:rsidRPr="00181755">
        <w:rPr>
          <w:rFonts w:asciiTheme="minorHAnsi" w:hAnsiTheme="minorHAnsi"/>
        </w:rPr>
        <w:t xml:space="preserve"> Az egyedileg megképzendő tőkepufferek mértékéről az MNB az intézményeket egyedi határozatok útján értesíti.</w:t>
      </w:r>
      <w:r w:rsidR="00E34A1E" w:rsidRPr="00181755">
        <w:rPr>
          <w:rFonts w:asciiTheme="minorHAnsi" w:hAnsiTheme="minorHAnsi"/>
        </w:rPr>
        <w:t xml:space="preserve"> </w:t>
      </w:r>
    </w:p>
    <w:p w14:paraId="51D03CB2" w14:textId="56A77048" w:rsidR="00E34A1E" w:rsidRPr="00181755" w:rsidRDefault="00E34A1E" w:rsidP="00181755">
      <w:pPr>
        <w:rPr>
          <w:rFonts w:asciiTheme="minorHAnsi" w:hAnsiTheme="minorHAnsi"/>
        </w:rPr>
      </w:pPr>
      <w:r w:rsidRPr="00181755">
        <w:rPr>
          <w:rFonts w:asciiTheme="minorHAnsi" w:hAnsiTheme="minorHAnsi"/>
        </w:rPr>
        <w:t>Valamennyi</w:t>
      </w:r>
      <w:r w:rsidR="006A2138" w:rsidRPr="00181755">
        <w:rPr>
          <w:rFonts w:asciiTheme="minorHAnsi" w:hAnsiTheme="minorHAnsi"/>
        </w:rPr>
        <w:t xml:space="preserve"> fentiekben felsorolt</w:t>
      </w:r>
      <w:r w:rsidRPr="00181755">
        <w:rPr>
          <w:rFonts w:asciiTheme="minorHAnsi" w:hAnsiTheme="minorHAnsi"/>
        </w:rPr>
        <w:t xml:space="preserve"> tőkepuffert </w:t>
      </w:r>
      <w:r w:rsidR="006A2138" w:rsidRPr="00181755">
        <w:rPr>
          <w:rFonts w:asciiTheme="minorHAnsi" w:hAnsiTheme="minorHAnsi"/>
        </w:rPr>
        <w:t xml:space="preserve">(ideértve a tőkefenntartási puffert is) </w:t>
      </w:r>
      <w:r w:rsidRPr="00181755">
        <w:rPr>
          <w:rFonts w:asciiTheme="minorHAnsi" w:hAnsiTheme="minorHAnsi"/>
        </w:rPr>
        <w:t xml:space="preserve">az intézménynek a legjobb minőségű (CET1) tőkével </w:t>
      </w:r>
      <w:r w:rsidR="006A2138" w:rsidRPr="00181755">
        <w:rPr>
          <w:rFonts w:asciiTheme="minorHAnsi" w:hAnsiTheme="minorHAnsi"/>
        </w:rPr>
        <w:t>kell biztosítania</w:t>
      </w:r>
      <w:r w:rsidRPr="00181755">
        <w:rPr>
          <w:rFonts w:asciiTheme="minorHAnsi" w:hAnsiTheme="minorHAnsi"/>
        </w:rPr>
        <w:t xml:space="preserve"> a minimum és az ICAAP felülvizsgálat keretében meghatározott pótlólagos tőkekövetelményen felül. </w:t>
      </w:r>
    </w:p>
    <w:p w14:paraId="2E67A5D8" w14:textId="4EE805BC" w:rsidR="00E34A1E" w:rsidRPr="00181755" w:rsidRDefault="00E34A1E" w:rsidP="00181755">
      <w:pPr>
        <w:spacing w:after="240"/>
        <w:rPr>
          <w:rFonts w:asciiTheme="minorHAnsi" w:hAnsiTheme="minorHAnsi"/>
        </w:rPr>
      </w:pPr>
      <w:r w:rsidRPr="00181755">
        <w:rPr>
          <w:rFonts w:asciiTheme="minorHAnsi" w:hAnsiTheme="minorHAnsi"/>
        </w:rPr>
        <w:t>A Hpt. 93. §-a értelmében a kombinált pufferkövetelmény a tőkefenntartási puffer, az intézményspecifikus anticiklikus tőkepuffer-követelmény, a globálisan rendszerszinten jelentős és az egyéb rendszerszinten jelentős hitelintézetekre vonatkozó tőkepuffer-követelmény és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181755" w:rsidRDefault="003F29E3" w:rsidP="00181755">
      <w:pPr>
        <w:pStyle w:val="Cmsor4"/>
        <w:rPr>
          <w:rFonts w:asciiTheme="minorHAnsi" w:hAnsiTheme="minorHAnsi"/>
        </w:rPr>
      </w:pPr>
      <w:bookmarkStart w:id="1214" w:name="_Toc468181156"/>
      <w:bookmarkStart w:id="1215" w:name="_Toc468181157"/>
      <w:bookmarkStart w:id="1216" w:name="_Toc468181158"/>
      <w:bookmarkStart w:id="1217" w:name="_Toc468181159"/>
      <w:bookmarkStart w:id="1218" w:name="_Toc468181160"/>
      <w:bookmarkStart w:id="1219" w:name="_Toc468181161"/>
      <w:bookmarkStart w:id="1220" w:name="_Toc468181162"/>
      <w:bookmarkStart w:id="1221" w:name="_Toc468181163"/>
      <w:bookmarkStart w:id="1222" w:name="_Toc468181164"/>
      <w:bookmarkStart w:id="1223" w:name="_Toc468181165"/>
      <w:bookmarkStart w:id="1224" w:name="_Toc468181166"/>
      <w:bookmarkStart w:id="1225" w:name="_Toc468181167"/>
      <w:bookmarkStart w:id="1226" w:name="_Toc468181168"/>
      <w:bookmarkStart w:id="1227" w:name="_Toc468181169"/>
      <w:bookmarkStart w:id="1228" w:name="_Toc468181170"/>
      <w:bookmarkStart w:id="1229" w:name="_Toc468181171"/>
      <w:bookmarkStart w:id="1230" w:name="_Toc468181172"/>
      <w:bookmarkStart w:id="1231" w:name="_Toc461095254"/>
      <w:bookmarkStart w:id="1232" w:name="_Toc461179910"/>
      <w:bookmarkStart w:id="1233" w:name="_Toc461201354"/>
      <w:bookmarkStart w:id="1234" w:name="_Toc461548055"/>
      <w:bookmarkStart w:id="1235" w:name="_Toc462402095"/>
      <w:bookmarkStart w:id="1236" w:name="_Toc462403220"/>
      <w:bookmarkStart w:id="1237" w:name="_Toc462403544"/>
      <w:bookmarkStart w:id="1238" w:name="_Toc468180663"/>
      <w:bookmarkStart w:id="1239" w:name="_Toc468181173"/>
      <w:bookmarkStart w:id="1240" w:name="_Toc468191486"/>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rsidRPr="00181755">
        <w:rPr>
          <w:rFonts w:asciiTheme="minorHAnsi" w:hAnsiTheme="minorHAnsi"/>
        </w:rPr>
        <w:t>Teljes tőkekövetelmény (OCR)</w:t>
      </w:r>
      <w:bookmarkEnd w:id="1231"/>
      <w:bookmarkEnd w:id="1232"/>
      <w:bookmarkEnd w:id="1233"/>
      <w:bookmarkEnd w:id="1234"/>
      <w:bookmarkEnd w:id="1235"/>
      <w:bookmarkEnd w:id="1236"/>
      <w:bookmarkEnd w:id="1237"/>
      <w:bookmarkEnd w:id="1238"/>
      <w:bookmarkEnd w:id="1239"/>
      <w:bookmarkEnd w:id="1240"/>
    </w:p>
    <w:p w14:paraId="66B1567B" w14:textId="2030591F" w:rsidR="003F29E3" w:rsidRPr="00181755" w:rsidRDefault="003F29E3" w:rsidP="00181755">
      <w:pPr>
        <w:rPr>
          <w:rFonts w:asciiTheme="minorHAnsi" w:hAnsiTheme="minorHAnsi"/>
        </w:rPr>
      </w:pPr>
      <w:r w:rsidRPr="00181755">
        <w:rPr>
          <w:rFonts w:asciiTheme="minorHAnsi" w:hAnsiTheme="minorHAnsi"/>
        </w:rPr>
        <w:t>A teljes tőkekövetelmény tartalmazza a szabályozói minimum tőkekövetelményt, a felügyeleti felülvizsgálat eredményeként előírt pótlólagos többlet</w:t>
      </w:r>
      <w:r w:rsidR="003C6A4E" w:rsidRPr="00181755">
        <w:rPr>
          <w:rFonts w:asciiTheme="minorHAnsi" w:hAnsiTheme="minorHAnsi"/>
        </w:rPr>
        <w:t>-</w:t>
      </w:r>
      <w:r w:rsidRPr="00181755">
        <w:rPr>
          <w:rFonts w:asciiTheme="minorHAnsi" w:hAnsiTheme="minorHAnsi"/>
        </w:rPr>
        <w:t>tőkekövetelményt</w:t>
      </w:r>
      <w:r w:rsidR="002424F0" w:rsidRPr="00181755">
        <w:rPr>
          <w:rFonts w:asciiTheme="minorHAnsi" w:hAnsiTheme="minorHAnsi"/>
        </w:rPr>
        <w:t>, a tőkefenntartási puffert</w:t>
      </w:r>
      <w:r w:rsidRPr="00181755">
        <w:rPr>
          <w:rFonts w:asciiTheme="minorHAnsi" w:hAnsiTheme="minorHAnsi"/>
        </w:rPr>
        <w:t xml:space="preserve"> és a </w:t>
      </w:r>
      <w:r w:rsidR="002462AB" w:rsidRPr="00181755">
        <w:rPr>
          <w:rFonts w:asciiTheme="minorHAnsi" w:hAnsiTheme="minorHAnsi"/>
        </w:rPr>
        <w:t>fentiekben</w:t>
      </w:r>
      <w:r w:rsidR="006F3A05" w:rsidRPr="00181755">
        <w:rPr>
          <w:rFonts w:asciiTheme="minorHAnsi" w:hAnsiTheme="minorHAnsi"/>
        </w:rPr>
        <w:t xml:space="preserve"> felsorolt </w:t>
      </w:r>
      <w:r w:rsidRPr="00181755">
        <w:rPr>
          <w:rFonts w:asciiTheme="minorHAnsi" w:hAnsiTheme="minorHAnsi"/>
        </w:rPr>
        <w:t xml:space="preserve">makroprudenciális </w:t>
      </w:r>
      <w:r w:rsidR="00CB7FAA" w:rsidRPr="00181755">
        <w:rPr>
          <w:rFonts w:asciiTheme="minorHAnsi" w:hAnsiTheme="minorHAnsi"/>
        </w:rPr>
        <w:t>tőke</w:t>
      </w:r>
      <w:r w:rsidRPr="00181755">
        <w:rPr>
          <w:rFonts w:asciiTheme="minorHAnsi" w:hAnsiTheme="minorHAnsi"/>
        </w:rPr>
        <w:t>puffereket.</w:t>
      </w:r>
    </w:p>
    <w:p w14:paraId="66B1567C" w14:textId="79D7BFB8" w:rsidR="003F29E3" w:rsidRPr="00181755" w:rsidRDefault="003F29E3" w:rsidP="00181755">
      <w:pPr>
        <w:rPr>
          <w:rFonts w:asciiTheme="minorHAnsi" w:hAnsiTheme="minorHAnsi"/>
        </w:rPr>
      </w:pPr>
      <w:r w:rsidRPr="00181755">
        <w:rPr>
          <w:rFonts w:asciiTheme="minorHAnsi" w:hAnsiTheme="minorHAnsi"/>
        </w:rPr>
        <w:t xml:space="preserve">A teljes tőkekövetelmény (OCR) </w:t>
      </w:r>
      <w:r w:rsidR="002424F0" w:rsidRPr="00181755">
        <w:rPr>
          <w:rFonts w:asciiTheme="minorHAnsi" w:hAnsiTheme="minorHAnsi"/>
        </w:rPr>
        <w:t xml:space="preserve">számítása </w:t>
      </w:r>
      <w:r w:rsidRPr="00181755">
        <w:rPr>
          <w:rFonts w:asciiTheme="minorHAnsi" w:hAnsiTheme="minorHAnsi"/>
        </w:rPr>
        <w:t>a következő</w:t>
      </w:r>
      <w:r w:rsidR="002424F0" w:rsidRPr="00181755">
        <w:rPr>
          <w:rFonts w:asciiTheme="minorHAnsi" w:hAnsiTheme="minorHAnsi"/>
        </w:rPr>
        <w:t>képpen történik</w:t>
      </w:r>
      <w:r w:rsidRPr="00181755">
        <w:rPr>
          <w:rFonts w:asciiTheme="minorHAnsi" w:hAnsiTheme="minorHAnsi"/>
        </w:rPr>
        <w:t>:</w:t>
      </w:r>
    </w:p>
    <w:p w14:paraId="66B1567D" w14:textId="77777777" w:rsidR="002424F0" w:rsidRPr="00181755" w:rsidRDefault="002424F0" w:rsidP="00181755">
      <w:pPr>
        <w:ind w:firstLine="851"/>
        <w:rPr>
          <w:rFonts w:asciiTheme="minorHAnsi" w:hAnsiTheme="minorHAnsi"/>
        </w:rPr>
      </w:pPr>
      <w:r w:rsidRPr="00181755">
        <w:rPr>
          <w:rFonts w:asciiTheme="minorHAnsi" w:hAnsiTheme="minorHAnsi"/>
        </w:rPr>
        <w:t xml:space="preserve">OCR = TSCR + kombinált pufferkövetelmény </w:t>
      </w:r>
    </w:p>
    <w:p w14:paraId="6496BB40" w14:textId="155AD6E3" w:rsidR="003F29E3" w:rsidRPr="00181755" w:rsidDel="004E084F" w:rsidRDefault="002462AB" w:rsidP="00181755">
      <w:pPr>
        <w:rPr>
          <w:rFonts w:asciiTheme="minorHAnsi" w:hAnsiTheme="minorHAnsi"/>
        </w:rPr>
      </w:pPr>
      <w:r w:rsidRPr="00181755">
        <w:rPr>
          <w:rFonts w:asciiTheme="minorHAnsi" w:hAnsiTheme="minorHAnsi"/>
        </w:rPr>
        <w:t xml:space="preserve">Az </w:t>
      </w:r>
      <w:r w:rsidR="003F29E3" w:rsidRPr="00181755"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181755" w:rsidDel="004E084F" w:rsidRDefault="003F29E3" w:rsidP="008C1553">
      <w:pPr>
        <w:pStyle w:val="alfelsorols"/>
      </w:pPr>
      <w:r w:rsidRPr="00181755" w:rsidDel="004E084F">
        <w:t xml:space="preserve">minimum </w:t>
      </w:r>
      <w:r w:rsidRPr="00181755" w:rsidDel="004E084F">
        <w:rPr>
          <w:lang w:val="hu-HU"/>
        </w:rPr>
        <w:t>X</w:t>
      </w:r>
      <w:r w:rsidRPr="00181755" w:rsidDel="004E084F">
        <w:t>% els</w:t>
      </w:r>
      <w:r w:rsidR="00FB41CF" w:rsidRPr="00181755">
        <w:t>ődleges alapvető tőkében (CET1)</w:t>
      </w:r>
      <w:r w:rsidR="00FB41CF" w:rsidRPr="00181755">
        <w:rPr>
          <w:lang w:val="hu-HU"/>
        </w:rPr>
        <w:t>,</w:t>
      </w:r>
    </w:p>
    <w:p w14:paraId="66B1568C" w14:textId="77777777" w:rsidR="003F29E3" w:rsidRPr="00181755" w:rsidDel="004E084F" w:rsidRDefault="003F29E3" w:rsidP="008C1553">
      <w:pPr>
        <w:pStyle w:val="alfelsorols"/>
      </w:pPr>
      <w:r w:rsidRPr="00181755" w:rsidDel="004E084F">
        <w:t>minimum</w:t>
      </w:r>
      <w:r w:rsidRPr="00181755" w:rsidDel="004E084F">
        <w:rPr>
          <w:lang w:val="hu-HU"/>
        </w:rPr>
        <w:t xml:space="preserve"> Z</w:t>
      </w:r>
      <w:r w:rsidRPr="00181755" w:rsidDel="004E084F">
        <w:t>% alapvető tőkében (T1).</w:t>
      </w:r>
    </w:p>
    <w:p w14:paraId="66B156BC" w14:textId="77777777" w:rsidR="003F29E3" w:rsidRPr="00181755" w:rsidRDefault="003F29E3" w:rsidP="00181755">
      <w:pPr>
        <w:pStyle w:val="Cmsor4"/>
        <w:spacing w:before="0"/>
        <w:ind w:left="862" w:hanging="862"/>
        <w:rPr>
          <w:rFonts w:asciiTheme="minorHAnsi" w:hAnsiTheme="minorHAnsi"/>
        </w:rPr>
      </w:pPr>
      <w:bookmarkStart w:id="1241" w:name="_Toc468181174"/>
      <w:bookmarkStart w:id="1242" w:name="_Toc468181175"/>
      <w:bookmarkStart w:id="1243" w:name="_Toc468181176"/>
      <w:bookmarkStart w:id="1244" w:name="_Toc468181177"/>
      <w:bookmarkStart w:id="1245" w:name="_Toc468181178"/>
      <w:bookmarkStart w:id="1246" w:name="_Toc468181179"/>
      <w:bookmarkStart w:id="1247" w:name="_Toc468181180"/>
      <w:bookmarkStart w:id="1248" w:name="_Toc468181181"/>
      <w:bookmarkStart w:id="1249" w:name="_Toc468181182"/>
      <w:bookmarkStart w:id="1250" w:name="_Toc468181183"/>
      <w:bookmarkStart w:id="1251" w:name="_Toc468181184"/>
      <w:bookmarkStart w:id="1252" w:name="_Toc468181185"/>
      <w:bookmarkStart w:id="1253" w:name="_Toc468181186"/>
      <w:bookmarkStart w:id="1254" w:name="_Toc468181202"/>
      <w:bookmarkStart w:id="1255" w:name="_Toc468181203"/>
      <w:bookmarkStart w:id="1256" w:name="_Toc468181204"/>
      <w:bookmarkStart w:id="1257" w:name="_Toc468181220"/>
      <w:bookmarkStart w:id="1258" w:name="_Toc461095255"/>
      <w:bookmarkStart w:id="1259" w:name="_Toc461179911"/>
      <w:bookmarkStart w:id="1260" w:name="_Toc461201355"/>
      <w:bookmarkStart w:id="1261" w:name="_Toc461548056"/>
      <w:bookmarkStart w:id="1262" w:name="_Toc462402096"/>
      <w:bookmarkStart w:id="1263" w:name="_Toc462403221"/>
      <w:bookmarkStart w:id="1264" w:name="_Toc462403545"/>
      <w:bookmarkStart w:id="1265" w:name="_Toc468180664"/>
      <w:bookmarkStart w:id="1266" w:name="_Toc468181221"/>
      <w:bookmarkStart w:id="1267" w:name="_Toc468191487"/>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181755">
        <w:rPr>
          <w:rFonts w:asciiTheme="minorHAnsi" w:hAnsiTheme="minorHAnsi"/>
        </w:rPr>
        <w:t>Tőkemegfelelés a gazdasági cikluson keresztül</w:t>
      </w:r>
      <w:bookmarkEnd w:id="1258"/>
      <w:bookmarkEnd w:id="1259"/>
      <w:bookmarkEnd w:id="1260"/>
      <w:bookmarkEnd w:id="1261"/>
      <w:bookmarkEnd w:id="1262"/>
      <w:bookmarkEnd w:id="1263"/>
      <w:bookmarkEnd w:id="1264"/>
      <w:bookmarkEnd w:id="1265"/>
      <w:bookmarkEnd w:id="1266"/>
      <w:bookmarkEnd w:id="1267"/>
    </w:p>
    <w:p w14:paraId="5383E2DA" w14:textId="5208B48C" w:rsidR="00547ADD" w:rsidRPr="00181755" w:rsidRDefault="003F29E3" w:rsidP="00181755">
      <w:pPr>
        <w:rPr>
          <w:rFonts w:asciiTheme="minorHAnsi" w:hAnsiTheme="minorHAnsi"/>
        </w:rPr>
      </w:pPr>
      <w:r w:rsidRPr="00181755">
        <w:rPr>
          <w:rFonts w:asciiTheme="minorHAnsi" w:hAnsiTheme="minorHAnsi"/>
        </w:rPr>
        <w:t xml:space="preserve">Az MNB a jövőben az ICAAP értékelése során azt is értékeli, hogy az intézmény szavatoló tőkéje elégséges-e a gazdasági ciklusban tapasztalható volatilitás fedezésére vagy szükségesek-e intézkedések a volatilitásból eredő esetleges hiányosságok kezelésére. Ennek során az MNB a gazdasági ciklussal kapcsolatos előrejelzések alapján is vizsgálja a </w:t>
      </w:r>
      <w:r w:rsidR="004252EA" w:rsidRPr="00181755">
        <w:rPr>
          <w:rFonts w:asciiTheme="minorHAnsi" w:hAnsiTheme="minorHAnsi"/>
        </w:rPr>
        <w:t>SREP tőke</w:t>
      </w:r>
      <w:r w:rsidR="006237F9" w:rsidRPr="00181755">
        <w:rPr>
          <w:rFonts w:asciiTheme="minorHAnsi" w:hAnsiTheme="minorHAnsi"/>
        </w:rPr>
        <w:t xml:space="preserve">szükséglet (TSCR) és a </w:t>
      </w:r>
      <w:r w:rsidRPr="00181755">
        <w:rPr>
          <w:rFonts w:asciiTheme="minorHAnsi" w:hAnsiTheme="minorHAnsi"/>
        </w:rPr>
        <w:t>teljes tőkekövetelmény (OCR) megfelelőségét.</w:t>
      </w:r>
    </w:p>
    <w:p w14:paraId="66B156BE" w14:textId="77777777" w:rsidR="003F29E3" w:rsidRPr="00181755" w:rsidRDefault="003F29E3" w:rsidP="00181755">
      <w:pPr>
        <w:rPr>
          <w:rFonts w:asciiTheme="minorHAnsi" w:hAnsiTheme="minorHAnsi"/>
        </w:rPr>
      </w:pPr>
    </w:p>
    <w:p w14:paraId="66B156BF" w14:textId="77777777" w:rsidR="003F29E3" w:rsidRPr="00181755" w:rsidRDefault="003F29E3" w:rsidP="00181755">
      <w:pPr>
        <w:pStyle w:val="Cmsor1"/>
        <w:rPr>
          <w:rFonts w:asciiTheme="minorHAnsi" w:hAnsiTheme="minorHAnsi"/>
        </w:rPr>
      </w:pPr>
      <w:bookmarkStart w:id="1268" w:name="_Tőkeallokáció"/>
      <w:bookmarkStart w:id="1269" w:name="_Toc378592056"/>
      <w:bookmarkEnd w:id="1268"/>
      <w:r w:rsidRPr="00181755">
        <w:rPr>
          <w:rFonts w:asciiTheme="minorHAnsi" w:hAnsiTheme="minorHAnsi"/>
        </w:rPr>
        <w:br w:type="page"/>
      </w:r>
      <w:bookmarkStart w:id="1270" w:name="_Toc461095256"/>
      <w:bookmarkStart w:id="1271" w:name="_Toc461179219"/>
      <w:bookmarkStart w:id="1272" w:name="_Toc461179912"/>
      <w:bookmarkStart w:id="1273" w:name="_Toc461197760"/>
      <w:bookmarkStart w:id="1274" w:name="_Toc461201356"/>
      <w:bookmarkStart w:id="1275" w:name="_Toc461548057"/>
      <w:bookmarkStart w:id="1276" w:name="_Toc462402097"/>
      <w:bookmarkStart w:id="1277" w:name="_Toc462403222"/>
      <w:bookmarkStart w:id="1278" w:name="_Toc462403546"/>
      <w:bookmarkStart w:id="1279" w:name="_Toc468180665"/>
      <w:bookmarkStart w:id="1280" w:name="_Toc468181222"/>
      <w:bookmarkStart w:id="1281" w:name="_Toc468191488"/>
      <w:r w:rsidRPr="00181755">
        <w:rPr>
          <w:rFonts w:asciiTheme="minorHAnsi" w:hAnsiTheme="minorHAnsi"/>
        </w:rPr>
        <w:t>Az ILAAP összetevői és felügyeleti felülvizsgálata</w:t>
      </w:r>
      <w:bookmarkEnd w:id="1270"/>
      <w:bookmarkEnd w:id="1271"/>
      <w:bookmarkEnd w:id="1272"/>
      <w:bookmarkEnd w:id="1273"/>
      <w:bookmarkEnd w:id="1274"/>
      <w:bookmarkEnd w:id="1275"/>
      <w:bookmarkEnd w:id="1276"/>
      <w:bookmarkEnd w:id="1277"/>
      <w:bookmarkEnd w:id="1278"/>
      <w:bookmarkEnd w:id="1279"/>
      <w:bookmarkEnd w:id="1280"/>
      <w:bookmarkEnd w:id="1281"/>
    </w:p>
    <w:p w14:paraId="66B156C1" w14:textId="77777777" w:rsidR="003F29E3" w:rsidRPr="00181755" w:rsidRDefault="003F29E3" w:rsidP="00181755">
      <w:pPr>
        <w:pStyle w:val="Cmsor2"/>
        <w:rPr>
          <w:rStyle w:val="Kiemels"/>
          <w:rFonts w:asciiTheme="minorHAnsi" w:hAnsiTheme="minorHAnsi"/>
          <w:b w:val="0"/>
          <w:i w:val="0"/>
          <w:lang w:val="hu-HU" w:eastAsia="hu-HU"/>
        </w:rPr>
      </w:pPr>
      <w:bookmarkStart w:id="1282" w:name="_Toc390952823"/>
      <w:bookmarkStart w:id="1283" w:name="_Toc461095257"/>
      <w:bookmarkStart w:id="1284" w:name="_Toc461179220"/>
      <w:bookmarkStart w:id="1285" w:name="_Toc461179913"/>
      <w:bookmarkStart w:id="1286" w:name="_Toc461197761"/>
      <w:bookmarkStart w:id="1287" w:name="_Toc461201357"/>
      <w:bookmarkStart w:id="1288" w:name="_Toc461548058"/>
      <w:bookmarkStart w:id="1289" w:name="_Toc462402098"/>
      <w:bookmarkStart w:id="1290" w:name="_Toc462403223"/>
      <w:bookmarkStart w:id="1291" w:name="_Toc462403547"/>
      <w:bookmarkStart w:id="1292" w:name="_Toc468180666"/>
      <w:bookmarkStart w:id="1293" w:name="_Toc468181223"/>
      <w:bookmarkStart w:id="1294" w:name="_Toc468191489"/>
      <w:bookmarkEnd w:id="1269"/>
      <w:r w:rsidRPr="00181755">
        <w:rPr>
          <w:rStyle w:val="Kiemels"/>
          <w:rFonts w:asciiTheme="minorHAnsi" w:hAnsiTheme="minorHAnsi"/>
          <w:i w:val="0"/>
          <w:iCs/>
        </w:rPr>
        <w:t>A likviditási és finanszírozási kockázat belső, intézmény általi értékelése</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66B156C2" w14:textId="77777777" w:rsidR="003F29E3" w:rsidRPr="00181755" w:rsidRDefault="003F29E3" w:rsidP="00181755">
      <w:pPr>
        <w:rPr>
          <w:rFonts w:asciiTheme="minorHAnsi" w:hAnsiTheme="minorHAnsi"/>
        </w:rPr>
      </w:pPr>
      <w:r w:rsidRPr="00181755">
        <w:rPr>
          <w:rFonts w:asciiTheme="minorHAnsi" w:hAnsiTheme="minorHAnsi"/>
        </w:rPr>
        <w:t>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megújíthatósága, a forrás költségek változása, a környezeti hatások és más piaci szereplők magatartásának bizonytalansága jelentik a likviditási kockázatot.</w:t>
      </w:r>
    </w:p>
    <w:p w14:paraId="66B156C3" w14:textId="77777777" w:rsidR="003F29E3" w:rsidRPr="00181755" w:rsidRDefault="003F29E3" w:rsidP="00181755">
      <w:pPr>
        <w:rPr>
          <w:rFonts w:asciiTheme="minorHAnsi" w:hAnsiTheme="minorHAnsi"/>
        </w:rPr>
      </w:pPr>
      <w:r w:rsidRPr="00181755">
        <w:rPr>
          <w:rFonts w:asciiTheme="minorHAnsi" w:hAnsiTheme="minorHAnsi"/>
        </w:rPr>
        <w:t>Hatékony likviditáskezelés révén biztosítható, hogy az intézmény minden körülmények között képes legyen megfelelni kötelezettségeinek.</w:t>
      </w:r>
    </w:p>
    <w:p w14:paraId="66B156C4" w14:textId="77777777" w:rsidR="003F29E3" w:rsidRPr="00181755" w:rsidRDefault="003F29E3" w:rsidP="00181755">
      <w:pPr>
        <w:rPr>
          <w:rFonts w:asciiTheme="minorHAnsi" w:hAnsiTheme="minorHAnsi"/>
        </w:rPr>
      </w:pPr>
      <w:r w:rsidRPr="00181755">
        <w:rPr>
          <w:rFonts w:asciiTheme="minorHAnsi" w:hAnsiTheme="minorHAnsi"/>
        </w:rPr>
        <w:t>A likviditási kockázatnak két síkját különböztetjük meg:</w:t>
      </w:r>
    </w:p>
    <w:p w14:paraId="66B156C5"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kockázatot, amely annak a kockázata, hogy az intézmények napon belül, operatív (30 nap), rövid (1-3 hónap) és közép (3-12 hónap) távú időhorizonton nem képesek határidőre eleget tenni a vállalt pénzügyi kötelezettségeiknek vagy a kapcsolódó piaci likviditási kockázatok miatt csak számottevő veszteséggel tudják értékesíteni a kiegyensúlyozó kapacitásaikat a piac nem megfelelő mélysége, vagy egyéb piaci zavarok miatt. (A piaci likviditási kockázat annak a kockázata, hogy az intézmény nem képes a megfelelő piaci árakon a pozícióit realizálni, vagyis a piaci likviditási kockázat alatt annak veszélye értendő, hogy egy piaci pozíció nem zárható megfelelően rövid idő alatt piaci áron, csak kedvezőtlenebb árfolyamon, így a megfelelő piaci ár realizálása megkívánja a pozíció fenntartását, ami likvid eszközök lekötését vagy felvételét igényelheti.)</w:t>
      </w:r>
    </w:p>
    <w:p w14:paraId="66B156C6" w14:textId="6FEAB08F" w:rsidR="003F29E3" w:rsidRPr="00181755" w:rsidRDefault="003F29E3" w:rsidP="00181755">
      <w:pPr>
        <w:pStyle w:val="felsorolsos"/>
        <w:rPr>
          <w:rFonts w:asciiTheme="minorHAnsi" w:hAnsiTheme="minorHAnsi"/>
        </w:rPr>
      </w:pPr>
      <w:r w:rsidRPr="00181755">
        <w:rPr>
          <w:rFonts w:asciiTheme="minorHAnsi" w:hAnsiTheme="minorHAnsi"/>
        </w:rPr>
        <w:t xml:space="preserve">a finanszírozási kockázatot, amikor is hosszú, éven túli időhorizonton az intézmények nem képesek eleget tenni a vállalt pénzügyi kötelezettségeiknek </w:t>
      </w:r>
      <w:r w:rsidR="00097B7C" w:rsidRPr="00181755">
        <w:rPr>
          <w:rFonts w:asciiTheme="minorHAnsi" w:hAnsiTheme="minorHAnsi"/>
          <w:lang w:val="hu-HU"/>
        </w:rPr>
        <w:t xml:space="preserve">– </w:t>
      </w:r>
      <w:r w:rsidRPr="00181755">
        <w:rPr>
          <w:rFonts w:asciiTheme="minorHAnsi" w:hAnsiTheme="minorHAnsi"/>
        </w:rPr>
        <w:t>a finanszírozási költségeik elfogadhatatlan mértékű emelkedése nélkül. Így az intézmények hosszú távon nem tudják stabilan fenntartani a finanszírozhatóságukat.</w:t>
      </w:r>
    </w:p>
    <w:p w14:paraId="66B156C7" w14:textId="77777777" w:rsidR="003F29E3" w:rsidRPr="00181755" w:rsidRDefault="003F29E3" w:rsidP="00181755">
      <w:pPr>
        <w:rPr>
          <w:rFonts w:asciiTheme="minorHAnsi" w:hAnsiTheme="minorHAnsi"/>
        </w:rPr>
      </w:pPr>
      <w:r w:rsidRPr="00181755">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181755" w:rsidRDefault="003F29E3" w:rsidP="00181755">
      <w:pPr>
        <w:rPr>
          <w:rFonts w:asciiTheme="minorHAnsi" w:hAnsiTheme="minorHAnsi"/>
        </w:rPr>
      </w:pPr>
      <w:r w:rsidRPr="00181755">
        <w:rPr>
          <w:rFonts w:asciiTheme="minorHAnsi" w:hAnsiTheme="minorHAnsi"/>
        </w:rPr>
        <w:t>A kialakított keretrendszernél az alábbi szempontokat kell figyelembe venni:</w:t>
      </w:r>
    </w:p>
    <w:p w14:paraId="66B156C9"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181755">
        <w:rPr>
          <w:rFonts w:asciiTheme="minorHAnsi" w:hAnsiTheme="minorHAnsi"/>
          <w:lang w:val="hu-HU"/>
        </w:rPr>
        <w:t xml:space="preserve">legalább </w:t>
      </w:r>
      <w:r w:rsidR="00D00606" w:rsidRPr="00181755">
        <w:rPr>
          <w:rFonts w:asciiTheme="minorHAnsi" w:hAnsiTheme="minorHAnsi"/>
          <w:lang w:val="hu-HU"/>
        </w:rPr>
        <w:t xml:space="preserve">a szerződésük szerint egy éven </w:t>
      </w:r>
      <w:r w:rsidRPr="00181755">
        <w:rPr>
          <w:rFonts w:asciiTheme="minorHAnsi" w:hAnsiTheme="minorHAnsi"/>
        </w:rPr>
        <w:t>belüli eszközökből, kötelezettségekből és mérlegen kívüli tételekből származó pénzáramlásokat.</w:t>
      </w:r>
    </w:p>
    <w:p w14:paraId="66B156C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181755" w:rsidRDefault="0055563D" w:rsidP="00181755">
      <w:pPr>
        <w:pStyle w:val="felsorolsos"/>
        <w:rPr>
          <w:rFonts w:asciiTheme="minorHAnsi" w:hAnsiTheme="minorHAnsi"/>
        </w:rPr>
      </w:pPr>
      <w:r w:rsidRPr="00181755">
        <w:rPr>
          <w:rFonts w:asciiTheme="minorHAnsi" w:hAnsiTheme="minorHAnsi"/>
        </w:rPr>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77777777" w:rsidR="003F29E3" w:rsidRPr="00181755" w:rsidRDefault="003F29E3" w:rsidP="00181755">
      <w:pPr>
        <w:pStyle w:val="felsorolsos"/>
        <w:rPr>
          <w:rFonts w:asciiTheme="minorHAnsi" w:hAnsiTheme="minorHAnsi"/>
        </w:rPr>
      </w:pPr>
      <w:r w:rsidRPr="00181755">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(az összes forrás 1%-át meghaladó forrás).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181755" w:rsidRDefault="003F29E3" w:rsidP="00181755">
      <w:pPr>
        <w:pStyle w:val="felsorolsos"/>
        <w:rPr>
          <w:rFonts w:asciiTheme="minorHAnsi" w:hAnsiTheme="minorHAnsi"/>
        </w:rPr>
      </w:pPr>
      <w:r w:rsidRPr="00181755">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66B156D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Rendszeresen végzett intézményi, illetve piaci szintű forgatókönyvek alapján kialakított stressz-tesztek </w:t>
      </w:r>
      <w:r w:rsidR="00567C0A" w:rsidRPr="00181755">
        <w:rPr>
          <w:rFonts w:asciiTheme="minorHAnsi" w:hAnsiTheme="minorHAnsi"/>
          <w:lang w:val="hu-HU"/>
        </w:rPr>
        <w:t>során</w:t>
      </w:r>
      <w:r w:rsidR="00567C0A" w:rsidRPr="00181755">
        <w:rPr>
          <w:rFonts w:asciiTheme="minorHAnsi" w:hAnsiTheme="minorHAnsi"/>
        </w:rPr>
        <w:t xml:space="preserve"> </w:t>
      </w:r>
      <w:r w:rsidRPr="00181755">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 a szükségesnek tartott likviditási puffer mértékében, és esetlegesen a tőkekövetelményben.</w:t>
      </w:r>
    </w:p>
    <w:p w14:paraId="66B156D5"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66B156D6"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66B156D7" w14:textId="77777777" w:rsidR="003F29E3" w:rsidRPr="00181755" w:rsidRDefault="003F29E3" w:rsidP="00181755">
      <w:pPr>
        <w:rPr>
          <w:rFonts w:asciiTheme="minorHAnsi" w:hAnsiTheme="minorHAnsi"/>
        </w:rPr>
      </w:pPr>
      <w:r w:rsidRPr="00181755">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181755" w:rsidRDefault="003F29E3" w:rsidP="00181755">
      <w:pPr>
        <w:rPr>
          <w:rFonts w:asciiTheme="minorHAnsi" w:hAnsiTheme="minorHAnsi"/>
        </w:rPr>
      </w:pPr>
      <w:r w:rsidRPr="00181755">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7777777" w:rsidR="003F29E3" w:rsidRPr="00181755" w:rsidRDefault="003F29E3" w:rsidP="00181755">
      <w:pPr>
        <w:rPr>
          <w:rFonts w:asciiTheme="minorHAnsi" w:hAnsiTheme="minorHAnsi"/>
        </w:rPr>
      </w:pPr>
      <w:r w:rsidRPr="00181755">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66B156DB" w14:textId="3BED6C85" w:rsidR="003F29E3" w:rsidRPr="00181755" w:rsidRDefault="003F29E3" w:rsidP="00181755">
      <w:pPr>
        <w:spacing w:after="240"/>
        <w:rPr>
          <w:rFonts w:asciiTheme="minorHAnsi" w:hAnsiTheme="minorHAnsi"/>
        </w:rPr>
      </w:pPr>
      <w:r w:rsidRPr="00181755">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181755" w:rsidRDefault="003F29E3" w:rsidP="00181755">
      <w:pPr>
        <w:pStyle w:val="Cmsor2"/>
        <w:rPr>
          <w:rStyle w:val="Kiemels"/>
          <w:rFonts w:asciiTheme="minorHAnsi" w:hAnsiTheme="minorHAnsi"/>
          <w:b w:val="0"/>
          <w:i w:val="0"/>
          <w:lang w:val="hu-HU" w:eastAsia="hu-HU"/>
        </w:rPr>
      </w:pPr>
      <w:bookmarkStart w:id="1295" w:name="_Toc461095258"/>
      <w:bookmarkStart w:id="1296" w:name="_Toc461179221"/>
      <w:bookmarkStart w:id="1297" w:name="_Toc461179914"/>
      <w:bookmarkStart w:id="1298" w:name="_Toc461197762"/>
      <w:bookmarkStart w:id="1299" w:name="_Toc461201358"/>
      <w:bookmarkStart w:id="1300" w:name="_Toc461548059"/>
      <w:bookmarkStart w:id="1301" w:name="_Toc462402099"/>
      <w:bookmarkStart w:id="1302" w:name="_Toc462403224"/>
      <w:bookmarkStart w:id="1303" w:name="_Toc462403548"/>
      <w:bookmarkStart w:id="1304" w:name="_Toc468180667"/>
      <w:bookmarkStart w:id="1305" w:name="_Toc468181224"/>
      <w:bookmarkStart w:id="1306" w:name="_Toc468191490"/>
      <w:bookmarkStart w:id="1307" w:name="_Toc390952824"/>
      <w:r w:rsidRPr="00181755">
        <w:rPr>
          <w:rStyle w:val="Kiemels"/>
          <w:rFonts w:asciiTheme="minorHAnsi" w:hAnsiTheme="minorHAnsi"/>
          <w:i w:val="0"/>
          <w:iCs/>
        </w:rPr>
        <w:t xml:space="preserve">A likviditás megfelelőségének </w:t>
      </w:r>
      <w:r w:rsidRPr="00181755">
        <w:rPr>
          <w:rFonts w:asciiTheme="minorHAnsi" w:hAnsiTheme="minorHAnsi"/>
        </w:rPr>
        <w:t>felügyeleti felülvizsgálati folyamata</w:t>
      </w:r>
      <w:bookmarkEnd w:id="1295"/>
      <w:bookmarkEnd w:id="1296"/>
      <w:bookmarkEnd w:id="1297"/>
      <w:bookmarkEnd w:id="1298"/>
      <w:bookmarkEnd w:id="1299"/>
      <w:bookmarkEnd w:id="1300"/>
      <w:bookmarkEnd w:id="1301"/>
      <w:bookmarkEnd w:id="1302"/>
      <w:bookmarkEnd w:id="1303"/>
      <w:bookmarkEnd w:id="1304"/>
      <w:bookmarkEnd w:id="1305"/>
      <w:bookmarkEnd w:id="1306"/>
      <w:r w:rsidRPr="00181755">
        <w:rPr>
          <w:rStyle w:val="Kiemels"/>
          <w:rFonts w:asciiTheme="minorHAnsi" w:hAnsiTheme="minorHAnsi"/>
          <w:i w:val="0"/>
          <w:iCs/>
        </w:rPr>
        <w:t xml:space="preserve"> </w:t>
      </w:r>
      <w:bookmarkEnd w:id="1307"/>
    </w:p>
    <w:p w14:paraId="66B156DD" w14:textId="77777777" w:rsidR="003F29E3" w:rsidRPr="00181755" w:rsidRDefault="003F29E3" w:rsidP="00181755">
      <w:pPr>
        <w:pStyle w:val="Cmsor3"/>
        <w:rPr>
          <w:rFonts w:asciiTheme="minorHAnsi" w:hAnsiTheme="minorHAnsi"/>
        </w:rPr>
      </w:pPr>
      <w:bookmarkStart w:id="1308" w:name="_Toc461095259"/>
      <w:bookmarkStart w:id="1309" w:name="_Toc461179915"/>
      <w:bookmarkStart w:id="1310" w:name="_Toc461201359"/>
      <w:bookmarkStart w:id="1311" w:name="_Toc461548060"/>
      <w:bookmarkStart w:id="1312" w:name="_Toc462402100"/>
      <w:bookmarkStart w:id="1313" w:name="_Toc462403225"/>
      <w:bookmarkStart w:id="1314" w:name="_Toc462403549"/>
      <w:bookmarkStart w:id="1315" w:name="_Toc468180668"/>
      <w:bookmarkStart w:id="1316" w:name="_Toc468181225"/>
      <w:bookmarkStart w:id="1317" w:name="_Toc468191491"/>
      <w:r w:rsidRPr="00181755">
        <w:rPr>
          <w:rFonts w:asciiTheme="minorHAnsi" w:hAnsiTheme="minorHAnsi"/>
        </w:rPr>
        <w:t>A likviditási és finanszírozási kockázatok átfogó értékelése</w:t>
      </w:r>
      <w:bookmarkEnd w:id="1308"/>
      <w:bookmarkEnd w:id="1309"/>
      <w:bookmarkEnd w:id="1310"/>
      <w:bookmarkEnd w:id="1311"/>
      <w:bookmarkEnd w:id="1312"/>
      <w:bookmarkEnd w:id="1313"/>
      <w:bookmarkEnd w:id="1314"/>
      <w:bookmarkEnd w:id="1315"/>
      <w:bookmarkEnd w:id="1316"/>
      <w:bookmarkEnd w:id="1317"/>
    </w:p>
    <w:p w14:paraId="66B156DE" w14:textId="17298193" w:rsidR="003F29E3" w:rsidRPr="00181755" w:rsidRDefault="003F29E3" w:rsidP="00181755">
      <w:pPr>
        <w:rPr>
          <w:rFonts w:asciiTheme="minorHAnsi" w:hAnsiTheme="minorHAnsi"/>
        </w:rPr>
      </w:pPr>
      <w:r w:rsidRPr="00181755">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IV, és különösen a CRR, </w:t>
      </w:r>
      <w:r w:rsidR="00B619F7" w:rsidRPr="00181755">
        <w:rPr>
          <w:rFonts w:asciiTheme="minorHAnsi" w:hAnsiTheme="minorHAnsi"/>
        </w:rPr>
        <w:t>valamint annak kiegészítései</w:t>
      </w:r>
      <w:r w:rsidRPr="00181755">
        <w:rPr>
          <w:rFonts w:asciiTheme="minorHAnsi" w:hAnsiTheme="minorHAnsi"/>
        </w:rPr>
        <w:t>, továbbá az EBA különböző iránymutatásai foglalkoznak szignifikáns módon a likviditás kérdéskörével.</w:t>
      </w:r>
    </w:p>
    <w:p w14:paraId="06900F4E" w14:textId="77777777" w:rsidR="003F29E3" w:rsidRPr="00181755" w:rsidRDefault="003F29E3" w:rsidP="00181755">
      <w:pPr>
        <w:rPr>
          <w:rFonts w:asciiTheme="minorHAnsi" w:hAnsiTheme="minorHAnsi"/>
        </w:rPr>
      </w:pPr>
      <w:r w:rsidRPr="00181755">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p>
    <w:p w14:paraId="5FA7DC48" w14:textId="77777777" w:rsidR="003F29E3" w:rsidRPr="00181755" w:rsidRDefault="003F29E3" w:rsidP="00181755">
      <w:pPr>
        <w:rPr>
          <w:rFonts w:asciiTheme="minorHAnsi" w:hAnsiTheme="minorHAnsi"/>
        </w:rPr>
      </w:pPr>
      <w:r w:rsidRPr="00181755">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181755" w:rsidRDefault="003F29E3" w:rsidP="00181755">
      <w:pPr>
        <w:rPr>
          <w:rFonts w:asciiTheme="minorHAnsi" w:hAnsiTheme="minorHAnsi"/>
        </w:rPr>
      </w:pPr>
      <w:r w:rsidRPr="00181755">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felülvizsgálati folyamat keretében értékeli </w:t>
      </w:r>
    </w:p>
    <w:p w14:paraId="66B156E5" w14:textId="77777777" w:rsidR="003F29E3" w:rsidRPr="00181755" w:rsidRDefault="003F29E3" w:rsidP="00181755">
      <w:pPr>
        <w:pStyle w:val="felsorolsos"/>
        <w:rPr>
          <w:rFonts w:asciiTheme="minorHAnsi" w:hAnsiTheme="minorHAnsi"/>
        </w:rPr>
      </w:pPr>
      <w:r w:rsidRPr="00181755">
        <w:rPr>
          <w:rFonts w:asciiTheme="minorHAnsi" w:hAnsiTheme="minorHAnsi"/>
          <w:szCs w:val="22"/>
        </w:rPr>
        <w:t>az intézmény</w:t>
      </w:r>
      <w:r w:rsidRPr="00181755">
        <w:rPr>
          <w:rFonts w:asciiTheme="minorHAnsi" w:hAnsiTheme="minorHAnsi"/>
        </w:rPr>
        <w:t xml:space="preserve"> inherens likviditási kockázatát,</w:t>
      </w:r>
    </w:p>
    <w:p w14:paraId="66B156E6" w14:textId="77777777" w:rsidR="003F29E3" w:rsidRPr="00181755" w:rsidRDefault="003F29E3" w:rsidP="00181755">
      <w:pPr>
        <w:pStyle w:val="felsorolsos"/>
        <w:rPr>
          <w:rFonts w:asciiTheme="minorHAnsi" w:hAnsiTheme="minorHAnsi"/>
        </w:rPr>
      </w:pPr>
      <w:r w:rsidRPr="00181755">
        <w:rPr>
          <w:rFonts w:asciiTheme="minorHAnsi" w:hAnsiTheme="minorHAnsi"/>
        </w:rPr>
        <w:t>inherens finanszírozási kockázatát,</w:t>
      </w:r>
    </w:p>
    <w:p w14:paraId="66B156E7"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és a finanszírozási kockázat menedzselését és kezelését,</w:t>
      </w:r>
    </w:p>
    <w:p w14:paraId="66B156E8" w14:textId="741B04AE" w:rsidR="003F29E3" w:rsidRPr="00181755" w:rsidRDefault="003F29E3" w:rsidP="00181755">
      <w:pPr>
        <w:pStyle w:val="felsorolsos"/>
        <w:rPr>
          <w:rFonts w:asciiTheme="minorHAnsi" w:hAnsiTheme="minorHAnsi"/>
        </w:rPr>
      </w:pPr>
      <w:r w:rsidRPr="00181755">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181755" w:rsidRDefault="003F29E3" w:rsidP="00181755">
      <w:pPr>
        <w:rPr>
          <w:rFonts w:asciiTheme="minorHAnsi" w:hAnsiTheme="minorHAnsi"/>
        </w:rPr>
      </w:pPr>
      <w:r w:rsidRPr="00181755">
        <w:rPr>
          <w:rFonts w:asciiTheme="minorHAnsi" w:hAnsiTheme="minorHAnsi"/>
        </w:rPr>
        <w:t>Az inherens likviditási kockázat értékelése során az MNB</w:t>
      </w:r>
    </w:p>
    <w:p w14:paraId="66B156EA" w14:textId="4B8F738F" w:rsidR="003F29E3" w:rsidRPr="00181755" w:rsidRDefault="003F29E3" w:rsidP="00181755">
      <w:pPr>
        <w:pStyle w:val="felsorolsos"/>
        <w:rPr>
          <w:rFonts w:asciiTheme="minorHAnsi" w:hAnsiTheme="minorHAnsi"/>
        </w:rPr>
      </w:pPr>
      <w:r w:rsidRPr="00181755">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181755">
        <w:rPr>
          <w:rFonts w:asciiTheme="minorHAnsi" w:hAnsiTheme="minorHAnsi"/>
          <w:lang w:val="hu-HU"/>
        </w:rPr>
        <w:t>,</w:t>
      </w:r>
    </w:p>
    <w:p w14:paraId="66B156EB" w14:textId="59510173" w:rsidR="003F29E3" w:rsidRPr="00181755" w:rsidRDefault="003F29E3" w:rsidP="00181755">
      <w:pPr>
        <w:pStyle w:val="felsorolsos"/>
        <w:rPr>
          <w:rFonts w:asciiTheme="minorHAnsi" w:hAnsiTheme="minorHAnsi"/>
        </w:rPr>
      </w:pPr>
      <w:r w:rsidRPr="00181755">
        <w:rPr>
          <w:rFonts w:asciiTheme="minorHAnsi" w:hAnsiTheme="minorHAnsi"/>
        </w:rPr>
        <w:t>áttekinti az intézmény saját stressz-tesztjét, a likviditási fedezetlenséget, a lehívási likviditási kockázatot, a túlélési periódust (time to wall survival analyses)</w:t>
      </w:r>
      <w:r w:rsidR="00097B7C" w:rsidRPr="00181755">
        <w:rPr>
          <w:rFonts w:asciiTheme="minorHAnsi" w:hAnsiTheme="minorHAnsi"/>
          <w:lang w:val="hu-HU"/>
        </w:rPr>
        <w:t>,</w:t>
      </w:r>
    </w:p>
    <w:p w14:paraId="66B156EC" w14:textId="13B18414" w:rsidR="003F29E3" w:rsidRPr="00181755" w:rsidRDefault="003F29E3" w:rsidP="00181755">
      <w:pPr>
        <w:pStyle w:val="felsorolsos"/>
        <w:rPr>
          <w:rFonts w:asciiTheme="minorHAnsi" w:hAnsiTheme="minorHAnsi"/>
        </w:rPr>
      </w:pPr>
      <w:r w:rsidRPr="00181755">
        <w:rPr>
          <w:rFonts w:asciiTheme="minorHAnsi" w:hAnsiTheme="minorHAnsi"/>
        </w:rPr>
        <w:t>értékeli a felügyeleti hatósági likviditási stressz-teszt eredményeit</w:t>
      </w:r>
      <w:r w:rsidR="00B16C16" w:rsidRPr="00181755">
        <w:rPr>
          <w:rStyle w:val="Lbjegyzet-hivatkozs"/>
          <w:rFonts w:asciiTheme="minorHAnsi" w:hAnsiTheme="minorHAnsi"/>
        </w:rPr>
        <w:footnoteReference w:id="84"/>
      </w:r>
      <w:r w:rsidR="00097B7C" w:rsidRPr="00181755">
        <w:rPr>
          <w:rFonts w:asciiTheme="minorHAnsi" w:hAnsiTheme="minorHAnsi"/>
          <w:lang w:val="hu-HU"/>
        </w:rPr>
        <w:t>,</w:t>
      </w:r>
    </w:p>
    <w:p w14:paraId="66B156ED"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181755" w:rsidRDefault="003F29E3" w:rsidP="00181755">
      <w:pPr>
        <w:rPr>
          <w:rFonts w:asciiTheme="minorHAnsi" w:hAnsiTheme="minorHAnsi"/>
        </w:rPr>
      </w:pPr>
      <w:r w:rsidRPr="00181755">
        <w:rPr>
          <w:rFonts w:asciiTheme="minorHAnsi" w:hAnsiTheme="minorHAnsi"/>
        </w:rPr>
        <w:t>Az inherens finanszírozási kockázat értékelése során az MNB</w:t>
      </w:r>
    </w:p>
    <w:p w14:paraId="66B156EF" w14:textId="77777777" w:rsidR="003F29E3" w:rsidRPr="00181755" w:rsidRDefault="003F29E3" w:rsidP="00181755">
      <w:pPr>
        <w:pStyle w:val="felsorolsos"/>
        <w:rPr>
          <w:rFonts w:asciiTheme="minorHAnsi" w:hAnsiTheme="minorHAnsi"/>
        </w:rPr>
      </w:pPr>
      <w:r w:rsidRPr="00181755">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finanszírozhatóságának stabilitását, és fenntarthatóságát, a devizabeli lejárati transzformációt a DMM</w:t>
      </w:r>
      <w:r w:rsidRPr="00181755">
        <w:rPr>
          <w:rFonts w:asciiTheme="minorHAnsi" w:hAnsiTheme="minorHAnsi"/>
          <w:vertAlign w:val="superscript"/>
        </w:rPr>
        <w:footnoteReference w:id="85"/>
      </w:r>
      <w:r w:rsidRPr="00181755">
        <w:rPr>
          <w:rFonts w:asciiTheme="minorHAnsi" w:hAnsiTheme="minorHAnsi"/>
        </w:rPr>
        <w:t>, és NSFR</w:t>
      </w:r>
      <w:r w:rsidRPr="00181755">
        <w:rPr>
          <w:rFonts w:asciiTheme="minorHAnsi" w:hAnsiTheme="minorHAnsi"/>
          <w:vertAlign w:val="superscript"/>
        </w:rPr>
        <w:footnoteReference w:id="86"/>
      </w:r>
      <w:r w:rsidRPr="00181755">
        <w:rPr>
          <w:rFonts w:asciiTheme="minorHAnsi" w:hAnsiTheme="minorHAnsi"/>
        </w:rPr>
        <w:t xml:space="preserve"> mutatóval,</w:t>
      </w:r>
    </w:p>
    <w:p w14:paraId="66B156F1" w14:textId="77777777" w:rsidR="003F29E3" w:rsidRPr="00181755" w:rsidRDefault="003F29E3" w:rsidP="00181755">
      <w:pPr>
        <w:pStyle w:val="felsorolsos"/>
        <w:rPr>
          <w:rFonts w:asciiTheme="minorHAnsi" w:hAnsiTheme="minorHAnsi"/>
        </w:rPr>
      </w:pPr>
      <w:r w:rsidRPr="00181755">
        <w:rPr>
          <w:rFonts w:asciiTheme="minorHAnsi" w:hAnsiTheme="minorHAnsi"/>
        </w:rPr>
        <w:t>kiértékeli az intézmény üzleti modellje alapján a finanszírozási tervet a kapcsolódó strukturális gap-ekkel.</w:t>
      </w:r>
    </w:p>
    <w:p w14:paraId="66B156F2"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menedzselése és kezelése értékelésének keretében az MNB</w:t>
      </w:r>
    </w:p>
    <w:p w14:paraId="66B156F3" w14:textId="3ADEE7EE" w:rsidR="003F29E3" w:rsidRPr="00181755" w:rsidRDefault="003F29E3" w:rsidP="00181755">
      <w:pPr>
        <w:pStyle w:val="felsorolsos"/>
        <w:rPr>
          <w:rFonts w:asciiTheme="minorHAnsi" w:hAnsiTheme="minorHAnsi"/>
        </w:rPr>
      </w:pPr>
      <w:r w:rsidRPr="00181755">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181755">
        <w:rPr>
          <w:rFonts w:asciiTheme="minorHAnsi" w:hAnsiTheme="minorHAnsi"/>
          <w:lang w:val="hu-HU"/>
        </w:rPr>
        <w:t>,</w:t>
      </w:r>
    </w:p>
    <w:p w14:paraId="66B156F4" w14:textId="147478AB" w:rsidR="003F29E3" w:rsidRPr="00181755" w:rsidRDefault="003F29E3" w:rsidP="00181755">
      <w:pPr>
        <w:pStyle w:val="felsorolsos"/>
        <w:rPr>
          <w:rFonts w:asciiTheme="minorHAnsi" w:hAnsiTheme="minorHAnsi"/>
        </w:rPr>
      </w:pPr>
      <w:r w:rsidRPr="00181755">
        <w:rPr>
          <w:rFonts w:asciiTheme="minorHAnsi" w:hAnsiTheme="minorHAnsi"/>
        </w:rPr>
        <w:t>megítéli a napon belüli likviditási kockázat menedzselését, amely során áttekinti a devizánkénti napi likviditási pozíció menedzselését, az IG1</w:t>
      </w:r>
      <w:r w:rsidRPr="00181755">
        <w:rPr>
          <w:rFonts w:asciiTheme="minorHAnsi" w:hAnsiTheme="minorHAnsi"/>
          <w:vertAlign w:val="superscript"/>
        </w:rPr>
        <w:footnoteReference w:id="87"/>
      </w:r>
      <w:r w:rsidRPr="00181755">
        <w:rPr>
          <w:rFonts w:asciiTheme="minorHAnsi" w:hAnsiTheme="minorHAnsi"/>
        </w:rPr>
        <w:t xml:space="preserve"> és IG2 pénzforgalom lebonyolítását a kapcsolódó fedezetekkel, és a kötelező jegybanki tartalékolás teljesítésének folyamatát</w:t>
      </w:r>
      <w:r w:rsidR="00097B7C" w:rsidRPr="00181755">
        <w:rPr>
          <w:rFonts w:asciiTheme="minorHAnsi" w:hAnsiTheme="minorHAnsi"/>
          <w:lang w:val="hu-HU"/>
        </w:rPr>
        <w:t>,</w:t>
      </w:r>
    </w:p>
    <w:p w14:paraId="66B156F5"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66B156F7" w14:textId="2821B974" w:rsidR="00B16C16" w:rsidRPr="00181755" w:rsidRDefault="003F29E3" w:rsidP="00181755">
      <w:pPr>
        <w:pStyle w:val="felsorolsos"/>
        <w:spacing w:after="240"/>
        <w:ind w:left="1066" w:hanging="357"/>
        <w:rPr>
          <w:rFonts w:asciiTheme="minorHAnsi" w:hAnsiTheme="minorHAnsi"/>
          <w:szCs w:val="22"/>
        </w:rPr>
      </w:pPr>
      <w:r w:rsidRPr="00181755">
        <w:rPr>
          <w:rFonts w:asciiTheme="minorHAnsi" w:hAnsiTheme="minorHAnsi"/>
        </w:rPr>
        <w:t>értékeli a likviditási üzletfolytonossági tervet (LCP).</w:t>
      </w:r>
    </w:p>
    <w:p w14:paraId="66B156F8" w14:textId="77777777" w:rsidR="003F29E3" w:rsidRPr="00181755" w:rsidRDefault="003F29E3" w:rsidP="00181755">
      <w:pPr>
        <w:pStyle w:val="Cmsor3"/>
        <w:rPr>
          <w:rFonts w:asciiTheme="minorHAnsi" w:hAnsiTheme="minorHAnsi"/>
        </w:rPr>
      </w:pPr>
      <w:bookmarkStart w:id="1318" w:name="_Toc461095260"/>
      <w:bookmarkStart w:id="1319" w:name="_Toc461179916"/>
      <w:bookmarkStart w:id="1320" w:name="_Toc461201360"/>
      <w:bookmarkStart w:id="1321" w:name="_Toc461548061"/>
      <w:bookmarkStart w:id="1322" w:name="_Toc462402101"/>
      <w:bookmarkStart w:id="1323" w:name="_Toc462403226"/>
      <w:bookmarkStart w:id="1324" w:name="_Toc462403550"/>
      <w:bookmarkStart w:id="1325" w:name="_Toc468180669"/>
      <w:bookmarkStart w:id="1326" w:name="_Toc468181226"/>
      <w:bookmarkStart w:id="1327" w:name="_Toc468191492"/>
      <w:r w:rsidRPr="00181755">
        <w:rPr>
          <w:rFonts w:asciiTheme="minorHAnsi" w:hAnsiTheme="minorHAnsi"/>
        </w:rPr>
        <w:t>A megfelelő mennyiségű, megalapozott és hatékony likviditási fedezettség számszerűsítése</w:t>
      </w:r>
      <w:bookmarkEnd w:id="1318"/>
      <w:bookmarkEnd w:id="1319"/>
      <w:bookmarkEnd w:id="1320"/>
      <w:bookmarkEnd w:id="1321"/>
      <w:bookmarkEnd w:id="1322"/>
      <w:bookmarkEnd w:id="1323"/>
      <w:bookmarkEnd w:id="1324"/>
      <w:bookmarkEnd w:id="1325"/>
      <w:bookmarkEnd w:id="1326"/>
      <w:bookmarkEnd w:id="1327"/>
    </w:p>
    <w:p w14:paraId="66B156F9"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77777777" w:rsidR="003F29E3" w:rsidRPr="00181755" w:rsidRDefault="003F29E3" w:rsidP="00181755">
      <w:pPr>
        <w:rPr>
          <w:rFonts w:asciiTheme="minorHAnsi" w:hAnsiTheme="minorHAnsi"/>
        </w:rPr>
      </w:pPr>
      <w:r w:rsidRPr="00181755">
        <w:rPr>
          <w:rFonts w:asciiTheme="minorHAnsi" w:hAnsiTheme="minorHAnsi"/>
        </w:rPr>
        <w:t>Az egyedi likviditási követelmények meghatározása során az MNB-nek a Hpt. 181.§-a alapján figyelembe kell vennie</w:t>
      </w:r>
    </w:p>
    <w:p w14:paraId="66B156F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üzleti modelljét,</w:t>
      </w:r>
    </w:p>
    <w:p w14:paraId="66B156FC" w14:textId="77777777" w:rsidR="003F29E3" w:rsidRPr="00181755" w:rsidRDefault="003F29E3" w:rsidP="00181755">
      <w:pPr>
        <w:pStyle w:val="felsorolsos"/>
        <w:rPr>
          <w:rFonts w:asciiTheme="minorHAnsi" w:hAnsiTheme="minorHAnsi"/>
        </w:rPr>
      </w:pPr>
      <w:r w:rsidRPr="00181755">
        <w:rPr>
          <w:rFonts w:asciiTheme="minorHAnsi" w:hAnsiTheme="minorHAnsi"/>
        </w:rPr>
        <w:t>a Hpt. 108. § (5) bekezdés f) pontjában meghatározott rendszereket, eljárásokat és mechanizmusokat, és azok megfelelőségét,</w:t>
      </w:r>
    </w:p>
    <w:p w14:paraId="66B156FD" w14:textId="77777777" w:rsidR="003F29E3" w:rsidRPr="00181755" w:rsidRDefault="003F29E3" w:rsidP="00181755">
      <w:pPr>
        <w:pStyle w:val="felsorolsos"/>
        <w:rPr>
          <w:rFonts w:asciiTheme="minorHAnsi" w:hAnsiTheme="minorHAnsi"/>
        </w:rPr>
      </w:pPr>
      <w:r w:rsidRPr="00181755">
        <w:rPr>
          <w:rFonts w:asciiTheme="minorHAnsi" w:hAnsiTheme="minorHAnsi"/>
        </w:rPr>
        <w:t>a felügyeleti felülvizsgálat és értékelés eredményét, valamint</w:t>
      </w:r>
    </w:p>
    <w:p w14:paraId="66B156FF" w14:textId="0DC34A13" w:rsidR="003F29E3" w:rsidRPr="00181755" w:rsidRDefault="003F29E3" w:rsidP="00181755">
      <w:pPr>
        <w:pStyle w:val="felsorolsos"/>
        <w:rPr>
          <w:rFonts w:asciiTheme="minorHAnsi" w:hAnsiTheme="minorHAnsi"/>
        </w:rPr>
      </w:pPr>
      <w:r w:rsidRPr="00181755">
        <w:rPr>
          <w:rFonts w:asciiTheme="minorHAnsi" w:hAnsiTheme="minorHAnsi"/>
        </w:rPr>
        <w:t>a Magyarországot fenyegető rendszerszintű likviditási kockázatot.</w:t>
      </w:r>
    </w:p>
    <w:p w14:paraId="66B15700" w14:textId="77777777" w:rsidR="003F29E3" w:rsidRPr="00181755" w:rsidRDefault="003F29E3" w:rsidP="00181755">
      <w:pPr>
        <w:rPr>
          <w:rFonts w:asciiTheme="minorHAnsi" w:hAnsiTheme="minorHAnsi"/>
        </w:rPr>
      </w:pPr>
      <w:r w:rsidRPr="00181755">
        <w:rPr>
          <w:rFonts w:asciiTheme="minorHAnsi" w:hAnsiTheme="minorHAnsi"/>
        </w:rPr>
        <w:t>A pótlólagos likviditás mértékére vonatkozóan az MNB előírhatja:</w:t>
      </w:r>
    </w:p>
    <w:p w14:paraId="66B15701" w14:textId="77777777" w:rsidR="003F29E3" w:rsidRPr="00181755" w:rsidRDefault="003F29E3" w:rsidP="00181755">
      <w:pPr>
        <w:pStyle w:val="felsorolsos"/>
        <w:rPr>
          <w:rFonts w:asciiTheme="minorHAnsi" w:hAnsiTheme="minorHAnsi"/>
        </w:rPr>
      </w:pPr>
      <w:r w:rsidRPr="00181755">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mutatók szabályozói szint feletti teljesítését,</w:t>
      </w:r>
    </w:p>
    <w:p w14:paraId="66B15703" w14:textId="77777777" w:rsidR="003F29E3" w:rsidRPr="00181755" w:rsidRDefault="003F29E3" w:rsidP="00181755">
      <w:pPr>
        <w:pStyle w:val="felsorolsos"/>
        <w:rPr>
          <w:rFonts w:asciiTheme="minorHAnsi" w:hAnsiTheme="minorHAnsi"/>
        </w:rPr>
      </w:pPr>
      <w:r w:rsidRPr="00181755">
        <w:rPr>
          <w:rFonts w:asciiTheme="minorHAnsi" w:hAnsiTheme="minorHAnsi"/>
        </w:rPr>
        <w:t>a kiegyensúlyozó kapacitások akkora mennyiségét, amely egy előírt minimális túlélési periódust biztosít,</w:t>
      </w:r>
    </w:p>
    <w:p w14:paraId="66B15704" w14:textId="77777777" w:rsidR="003F29E3" w:rsidRPr="00181755" w:rsidRDefault="003F29E3" w:rsidP="00181755">
      <w:pPr>
        <w:pStyle w:val="felsorolsos"/>
        <w:rPr>
          <w:rFonts w:asciiTheme="minorHAnsi" w:hAnsiTheme="minorHAnsi"/>
        </w:rPr>
      </w:pPr>
      <w:r w:rsidRPr="00181755">
        <w:rPr>
          <w:rFonts w:asciiTheme="minorHAnsi" w:hAnsiTheme="minorHAnsi"/>
        </w:rPr>
        <w:t>a maximális kiáramló cash-flow (MCO</w:t>
      </w:r>
      <w:r w:rsidRPr="00181755">
        <w:rPr>
          <w:rFonts w:asciiTheme="minorHAnsi" w:hAnsiTheme="minorHAnsi"/>
          <w:vertAlign w:val="superscript"/>
        </w:rPr>
        <w:footnoteReference w:id="88"/>
      </w:r>
      <w:r w:rsidR="00DD7F2D" w:rsidRPr="00181755">
        <w:rPr>
          <w:rFonts w:asciiTheme="minorHAnsi" w:hAnsiTheme="minorHAnsi"/>
          <w:lang w:val="hu-HU"/>
        </w:rPr>
        <w:t>)</w:t>
      </w:r>
      <w:r w:rsidRPr="00181755">
        <w:rPr>
          <w:rFonts w:asciiTheme="minorHAnsi" w:hAnsiTheme="minorHAnsi"/>
        </w:rPr>
        <w:t xml:space="preserve"> mutató nagyságát egy adott időszakra vonatkozóan,</w:t>
      </w:r>
    </w:p>
    <w:p w14:paraId="66B15706" w14:textId="36703CB3" w:rsidR="003F29E3" w:rsidRPr="00181755" w:rsidRDefault="003F29E3" w:rsidP="00181755">
      <w:pPr>
        <w:pStyle w:val="felsorolsos"/>
        <w:rPr>
          <w:rFonts w:asciiTheme="minorHAnsi" w:hAnsiTheme="minorHAnsi"/>
        </w:rPr>
      </w:pPr>
      <w:r w:rsidRPr="00181755">
        <w:rPr>
          <w:rFonts w:asciiTheme="minorHAnsi" w:hAnsiTheme="minorHAnsi"/>
        </w:rPr>
        <w:t>egy, az intézmény üzleti modelljéhez legjobban illeszkedő felügyeleti hatósági likviditási benchmark-hoz igazított minimális likvid eszköz mennyiséget.</w:t>
      </w:r>
    </w:p>
    <w:p w14:paraId="04A28F2D" w14:textId="295AA816" w:rsidR="00026B30" w:rsidRPr="00181755" w:rsidRDefault="003F29E3" w:rsidP="00181755">
      <w:pPr>
        <w:spacing w:after="240"/>
        <w:rPr>
          <w:rFonts w:asciiTheme="minorHAnsi" w:hAnsiTheme="minorHAnsi"/>
        </w:rPr>
      </w:pPr>
      <w:r w:rsidRPr="00181755">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 vételével átértékelheti a használt benchmarkot.</w:t>
      </w:r>
    </w:p>
    <w:p w14:paraId="2E6A2D89" w14:textId="77777777" w:rsidR="00FB41CF" w:rsidRPr="00181755" w:rsidRDefault="00FB41CF" w:rsidP="00181755">
      <w:pPr>
        <w:spacing w:after="240"/>
        <w:rPr>
          <w:rFonts w:asciiTheme="minorHAnsi" w:hAnsiTheme="minorHAnsi"/>
        </w:rPr>
      </w:pPr>
    </w:p>
    <w:p w14:paraId="4F4146E0" w14:textId="77777777" w:rsidR="00FB41CF" w:rsidRPr="00181755" w:rsidRDefault="00FB41CF" w:rsidP="00181755">
      <w:pPr>
        <w:spacing w:after="0"/>
        <w:jc w:val="left"/>
        <w:rPr>
          <w:rFonts w:asciiTheme="minorHAnsi" w:hAnsiTheme="minorHAnsi"/>
        </w:rPr>
      </w:pPr>
      <w:r w:rsidRPr="00181755">
        <w:rPr>
          <w:rFonts w:asciiTheme="minorHAnsi" w:hAnsiTheme="minorHAnsi"/>
        </w:rPr>
        <w:br w:type="page"/>
      </w:r>
    </w:p>
    <w:p w14:paraId="524E60C7" w14:textId="77777777" w:rsidR="00026B30" w:rsidRPr="00181755" w:rsidRDefault="00026B30" w:rsidP="00181755">
      <w:pPr>
        <w:pStyle w:val="Cmsor1"/>
        <w:rPr>
          <w:rFonts w:asciiTheme="minorHAnsi" w:hAnsiTheme="minorHAnsi"/>
        </w:rPr>
      </w:pPr>
      <w:bookmarkStart w:id="1328" w:name="_Toc462403227"/>
      <w:bookmarkStart w:id="1329" w:name="_Toc462403551"/>
      <w:bookmarkStart w:id="1330" w:name="_Toc468180670"/>
      <w:bookmarkStart w:id="1331" w:name="_Toc468181227"/>
      <w:bookmarkStart w:id="1332" w:name="_Toc468191493"/>
      <w:r w:rsidRPr="00181755">
        <w:rPr>
          <w:rFonts w:asciiTheme="minorHAnsi" w:hAnsiTheme="minorHAnsi"/>
        </w:rPr>
        <w:t>Az üzleti modell elemzés</w:t>
      </w:r>
      <w:bookmarkEnd w:id="1328"/>
      <w:bookmarkEnd w:id="1329"/>
      <w:bookmarkEnd w:id="1330"/>
      <w:bookmarkEnd w:id="1331"/>
      <w:bookmarkEnd w:id="1332"/>
    </w:p>
    <w:p w14:paraId="23E3828B" w14:textId="77777777" w:rsidR="00026B30" w:rsidRPr="00181755" w:rsidRDefault="00026B30" w:rsidP="00181755">
      <w:pPr>
        <w:rPr>
          <w:rFonts w:asciiTheme="minorHAnsi" w:hAnsiTheme="minorHAnsi"/>
        </w:rPr>
      </w:pPr>
      <w:r w:rsidRPr="00181755">
        <w:rPr>
          <w:rFonts w:asciiTheme="minorHAnsi" w:hAnsiTheme="minorHAnsi"/>
        </w:rPr>
        <w:t>A SREP folyamat részeként az ICAAP felügyeleti felülvizsgálati folyamattal párhuzamosan az MNB értékeli a komplex SREP alá tartozó intézmények stratégiáját és üzleti modelljét</w:t>
      </w:r>
      <w:r w:rsidRPr="00181755">
        <w:rPr>
          <w:rStyle w:val="Lbjegyzet-hivatkozs"/>
          <w:rFonts w:asciiTheme="minorHAnsi" w:hAnsiTheme="minorHAnsi"/>
        </w:rPr>
        <w:footnoteReference w:id="89"/>
      </w:r>
      <w:r w:rsidRPr="00181755">
        <w:rPr>
          <w:rFonts w:asciiTheme="minorHAnsi" w:hAnsiTheme="minorHAnsi"/>
        </w:rPr>
        <w:t>. A rendszeres üzleti modell elemzés célja az üzleti és stratégiai kockázatok értékelése, valamint a következők meghatározása, megítélése:</w:t>
      </w:r>
    </w:p>
    <w:p w14:paraId="6A13D693" w14:textId="77777777" w:rsidR="00026B30" w:rsidRPr="00181755" w:rsidRDefault="00026B30" w:rsidP="00181755">
      <w:pPr>
        <w:pStyle w:val="Listaszerbekezds"/>
        <w:numPr>
          <w:ilvl w:val="0"/>
          <w:numId w:val="19"/>
        </w:numPr>
        <w:spacing w:after="150"/>
        <w:rPr>
          <w:rFonts w:asciiTheme="minorHAnsi" w:hAnsiTheme="minorHAnsi"/>
          <w:sz w:val="22"/>
          <w:szCs w:val="22"/>
        </w:rPr>
      </w:pPr>
      <w:r w:rsidRPr="00181755">
        <w:rPr>
          <w:rFonts w:asciiTheme="minorHAnsi" w:hAnsiTheme="minorHAnsi"/>
          <w:sz w:val="22"/>
          <w:szCs w:val="22"/>
        </w:rPr>
        <w:t>az intézmény jelenlegi üzleti modelljének életképessége annak alapján, hogy az intézmény képes-e elfogadható bevételt termelni a következő 12 hónapban; és</w:t>
      </w:r>
    </w:p>
    <w:p w14:paraId="161BBB91" w14:textId="77777777" w:rsidR="00026B30" w:rsidRPr="00181755" w:rsidRDefault="00026B30" w:rsidP="00181755">
      <w:pPr>
        <w:pStyle w:val="Listaszerbekezds"/>
        <w:numPr>
          <w:ilvl w:val="0"/>
          <w:numId w:val="19"/>
        </w:numPr>
        <w:spacing w:after="150"/>
        <w:rPr>
          <w:rFonts w:asciiTheme="minorHAnsi" w:hAnsiTheme="minorHAnsi"/>
          <w:sz w:val="22"/>
          <w:szCs w:val="22"/>
        </w:rPr>
      </w:pPr>
      <w:r w:rsidRPr="00181755">
        <w:rPr>
          <w:rFonts w:asciiTheme="minorHAnsi" w:hAnsiTheme="minorHAnsi"/>
          <w:sz w:val="22"/>
          <w:szCs w:val="22"/>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0F76E4F" w14:textId="0D0A3702" w:rsidR="00026B30" w:rsidRPr="00181755" w:rsidRDefault="00026B30" w:rsidP="00181755">
      <w:pPr>
        <w:rPr>
          <w:rFonts w:asciiTheme="minorHAnsi" w:hAnsiTheme="minorHAnsi"/>
        </w:rPr>
      </w:pPr>
      <w:r w:rsidRPr="00181755">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w:t>
      </w:r>
      <w:r w:rsidR="003C6A4E" w:rsidRPr="00181755">
        <w:rPr>
          <w:rFonts w:asciiTheme="minorHAnsi" w:hAnsiTheme="minorHAnsi"/>
        </w:rPr>
        <w:t xml:space="preserve"> alátámasztott – az MNB többlet-</w:t>
      </w:r>
      <w:r w:rsidRPr="00181755">
        <w:rPr>
          <w:rFonts w:asciiTheme="minorHAnsi" w:hAnsiTheme="minorHAnsi"/>
        </w:rPr>
        <w:t>tőkekövetelmény tartását és az üzleti modell fejlesztésével, az üzleti és stratégiai kockázatok kezelésével kapcsolatos előírások meghatározását tarthatja szükségesnek.</w:t>
      </w:r>
    </w:p>
    <w:p w14:paraId="6F4FB539" w14:textId="77777777" w:rsidR="00026B30" w:rsidRPr="00181755" w:rsidRDefault="00026B30" w:rsidP="00181755">
      <w:pPr>
        <w:rPr>
          <w:rFonts w:asciiTheme="minorHAnsi" w:hAnsiTheme="minorHAnsi"/>
        </w:rPr>
      </w:pPr>
      <w:r w:rsidRPr="00181755">
        <w:rPr>
          <w:rFonts w:asciiTheme="minorHAnsi" w:hAnsiTheme="minorHAnsi"/>
        </w:rPr>
        <w:t>Az üzleti modell elemzés teljes folyamata során az MNB elsősorban négy lényegi kérdésre keresi a választ:</w:t>
      </w:r>
    </w:p>
    <w:p w14:paraId="5FE83475" w14:textId="77777777" w:rsidR="00026B30" w:rsidRPr="00181755" w:rsidRDefault="00026B30" w:rsidP="00181755">
      <w:pPr>
        <w:pStyle w:val="Listaszerbekezds"/>
        <w:numPr>
          <w:ilvl w:val="0"/>
          <w:numId w:val="18"/>
        </w:numPr>
        <w:spacing w:after="150"/>
        <w:rPr>
          <w:rFonts w:asciiTheme="minorHAnsi" w:hAnsiTheme="minorHAnsi"/>
          <w:sz w:val="22"/>
          <w:szCs w:val="22"/>
        </w:rPr>
      </w:pPr>
      <w:r w:rsidRPr="00181755">
        <w:rPr>
          <w:rFonts w:asciiTheme="minorHAnsi" w:hAnsiTheme="minorHAnsi"/>
          <w:sz w:val="22"/>
          <w:szCs w:val="22"/>
        </w:rPr>
        <w:t>Hogyan termel az intézmény nyereséget jelenleg?</w:t>
      </w:r>
    </w:p>
    <w:p w14:paraId="6A3143CB" w14:textId="77777777" w:rsidR="00026B30" w:rsidRPr="00181755" w:rsidRDefault="00026B30" w:rsidP="00181755">
      <w:pPr>
        <w:pStyle w:val="Listaszerbekezds"/>
        <w:numPr>
          <w:ilvl w:val="0"/>
          <w:numId w:val="18"/>
        </w:numPr>
        <w:spacing w:after="150"/>
        <w:rPr>
          <w:rFonts w:asciiTheme="minorHAnsi" w:hAnsiTheme="minorHAnsi"/>
          <w:sz w:val="22"/>
          <w:szCs w:val="22"/>
        </w:rPr>
      </w:pPr>
      <w:r w:rsidRPr="00181755">
        <w:rPr>
          <w:rFonts w:asciiTheme="minorHAnsi" w:hAnsiTheme="minorHAnsi"/>
          <w:sz w:val="22"/>
          <w:szCs w:val="22"/>
        </w:rPr>
        <w:t>Melyek az eredményt befolyásoló legfőbb tényezők?</w:t>
      </w:r>
    </w:p>
    <w:p w14:paraId="7F02B409" w14:textId="77777777" w:rsidR="00026B30" w:rsidRPr="00181755" w:rsidRDefault="00026B30" w:rsidP="00181755">
      <w:pPr>
        <w:pStyle w:val="Listaszerbekezds"/>
        <w:numPr>
          <w:ilvl w:val="0"/>
          <w:numId w:val="18"/>
        </w:numPr>
        <w:spacing w:after="150"/>
        <w:rPr>
          <w:rFonts w:asciiTheme="minorHAnsi" w:hAnsiTheme="minorHAnsi"/>
          <w:sz w:val="22"/>
          <w:szCs w:val="22"/>
        </w:rPr>
      </w:pPr>
      <w:r w:rsidRPr="00181755">
        <w:rPr>
          <w:rFonts w:asciiTheme="minorHAnsi" w:hAnsiTheme="minorHAnsi"/>
          <w:sz w:val="22"/>
          <w:szCs w:val="22"/>
        </w:rPr>
        <w:t>Hogyan tervezi az intézmény nyereség elérését a jövőben?</w:t>
      </w:r>
    </w:p>
    <w:p w14:paraId="25C1AFB0" w14:textId="77777777" w:rsidR="00026B30" w:rsidRPr="00181755" w:rsidRDefault="00026B30" w:rsidP="00181755">
      <w:pPr>
        <w:pStyle w:val="Listaszerbekezds"/>
        <w:numPr>
          <w:ilvl w:val="0"/>
          <w:numId w:val="18"/>
        </w:numPr>
        <w:spacing w:after="150"/>
        <w:rPr>
          <w:rFonts w:asciiTheme="minorHAnsi" w:hAnsiTheme="minorHAnsi"/>
          <w:sz w:val="22"/>
          <w:szCs w:val="22"/>
        </w:rPr>
      </w:pPr>
      <w:r w:rsidRPr="00181755">
        <w:rPr>
          <w:rFonts w:asciiTheme="minorHAnsi" w:hAnsiTheme="minorHAnsi"/>
          <w:sz w:val="22"/>
          <w:szCs w:val="22"/>
        </w:rPr>
        <w:t>Hogyan fognak a jövedelmezőséget befolyásoló legfőbb tényezők változni, és mi vezérli a változásukat?</w:t>
      </w:r>
    </w:p>
    <w:p w14:paraId="127DB481" w14:textId="77777777" w:rsidR="00026B30" w:rsidRPr="00181755" w:rsidRDefault="00026B30" w:rsidP="00181755">
      <w:pPr>
        <w:rPr>
          <w:rFonts w:asciiTheme="minorHAnsi" w:hAnsiTheme="minorHAnsi"/>
          <w:b/>
        </w:rPr>
      </w:pPr>
      <w:r w:rsidRPr="00181755">
        <w:rPr>
          <w:rFonts w:asciiTheme="minorHAnsi" w:hAnsiTheme="minorHAnsi"/>
          <w:b/>
        </w:rPr>
        <w:t>Az üzleti modell elemzésének folyamata az alábbi hét fontosabb lépésből áll.</w:t>
      </w:r>
    </w:p>
    <w:p w14:paraId="7B8269DD" w14:textId="77777777" w:rsidR="00026B30" w:rsidRPr="00181755" w:rsidRDefault="00026B30" w:rsidP="00181755">
      <w:pPr>
        <w:rPr>
          <w:rFonts w:asciiTheme="minorHAnsi" w:hAnsiTheme="minorHAnsi"/>
        </w:rPr>
      </w:pPr>
      <w:r w:rsidRPr="00181755">
        <w:rPr>
          <w:rFonts w:asciiTheme="minorHAnsi" w:hAnsiTheme="minorHAnsi"/>
          <w:b/>
        </w:rPr>
        <w:t>(1) Előzetes elemzés készítése és az elemzés fókuszának meghatározása.</w:t>
      </w:r>
      <w:r w:rsidRPr="00181755">
        <w:rPr>
          <w:rFonts w:asciiTheme="minorHAnsi" w:hAnsiTheme="minorHAnsi"/>
        </w:rPr>
        <w:t xml:space="preserve"> Annak érdekében, hogy meghatározhatóak legyenek a lényegi üzleti területek, az MNB előzetes elemzést végez, melynek során áttekintésre kerül a vizsgált intézmény csoportszerkezete, főbb üzletágai, termékei, valamint az intézmény földrajzi kiterjedése. </w:t>
      </w:r>
    </w:p>
    <w:p w14:paraId="55243B8B" w14:textId="77777777" w:rsidR="00026B30" w:rsidRPr="00181755" w:rsidRDefault="00026B30" w:rsidP="00181755">
      <w:pPr>
        <w:rPr>
          <w:rFonts w:asciiTheme="minorHAnsi" w:hAnsiTheme="minorHAnsi"/>
        </w:rPr>
      </w:pPr>
      <w:r w:rsidRPr="00181755">
        <w:rPr>
          <w:rFonts w:asciiTheme="minorHAnsi" w:hAnsiTheme="minorHAnsi"/>
        </w:rPr>
        <w:t>Az előzetes elemzés eredményeként az MNB meghatározza különösen az intézmény leglényegesebb földrajzi területeit, leányvállalatait/fióktelepeit, üzletágait, termékköreit a nyereséghez való hozzájárulás, a kockázatok, illetve a szervezeti/törvényben meghatározott prioritások alapján. Meghatározza továbbá az intézmény peer groupját (hasonló intézményekből álló csoportját), továbbá az előzetes elemzés eredményeit figyelembe veszi az arányosság elve alkalmazásának elősegítésére, az intézmény arányossági kategóriákba való besorolása érdekében.</w:t>
      </w:r>
    </w:p>
    <w:p w14:paraId="6A0D31DD" w14:textId="77777777" w:rsidR="00026B30" w:rsidRPr="00181755" w:rsidRDefault="00026B30" w:rsidP="00181755">
      <w:pPr>
        <w:rPr>
          <w:rFonts w:asciiTheme="minorHAnsi" w:hAnsiTheme="minorHAnsi"/>
        </w:rPr>
      </w:pPr>
      <w:r w:rsidRPr="00181755">
        <w:rPr>
          <w:rFonts w:asciiTheme="minorHAnsi" w:hAnsiTheme="minorHAnsi"/>
        </w:rPr>
        <w:t>E fázis részeként meghatározásra kerülnek az elemzés fókuszpontjai is (kiemelt vizsgálati területek, illetve a vizsgálat irányai abban az esetben, ha az adott vizsgálat célja nem igényli teljes részletezettségű, mindenre kiterjedő üzleti modell elemzés végzését). A kisebb intézmények esetén – az arányosság elvének figyelembe vételével, a méretéhez és tevékenységéhez mérten – az üzleti modell elemzés a főbb témakörökre koncentráltan kerül végrehajtásra, amelynek során egyes témakörök vizsgálata elhagyható.</w:t>
      </w:r>
    </w:p>
    <w:p w14:paraId="173EDA7B" w14:textId="77777777" w:rsidR="00026B30" w:rsidRPr="00181755" w:rsidRDefault="00026B30" w:rsidP="00181755">
      <w:pPr>
        <w:rPr>
          <w:rFonts w:asciiTheme="minorHAnsi" w:hAnsiTheme="minorHAnsi"/>
        </w:rPr>
      </w:pPr>
      <w:r w:rsidRPr="00181755">
        <w:rPr>
          <w:rFonts w:asciiTheme="minorHAnsi" w:hAnsiTheme="minorHAnsi"/>
          <w:b/>
        </w:rPr>
        <w:t>(2) Üzleti környezet értékelése.</w:t>
      </w:r>
      <w:r w:rsidRPr="00181755">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61506970" w14:textId="77777777" w:rsidR="00026B30" w:rsidRPr="00181755" w:rsidRDefault="00026B30" w:rsidP="00181755">
      <w:pPr>
        <w:rPr>
          <w:rFonts w:asciiTheme="minorHAnsi" w:hAnsiTheme="minorHAnsi"/>
        </w:rPr>
      </w:pPr>
      <w:r w:rsidRPr="00181755">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4E9D5D6" w14:textId="77777777" w:rsidR="00026B30" w:rsidRPr="00181755" w:rsidRDefault="00026B30" w:rsidP="00181755">
      <w:pPr>
        <w:rPr>
          <w:rFonts w:asciiTheme="minorHAnsi" w:hAnsiTheme="minorHAnsi"/>
        </w:rPr>
      </w:pPr>
      <w:r w:rsidRPr="00181755">
        <w:rPr>
          <w:rFonts w:asciiTheme="minorHAnsi" w:hAnsiTheme="minorHAnsi"/>
          <w:b/>
        </w:rPr>
        <w:t>(3) Az üzleti modell kvantitatív elemzése.</w:t>
      </w:r>
      <w:r w:rsidRPr="00181755">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9BD5F03" w14:textId="77777777" w:rsidR="00026B30" w:rsidRPr="00181755" w:rsidRDefault="00026B30" w:rsidP="00181755">
      <w:pPr>
        <w:rPr>
          <w:rFonts w:asciiTheme="minorHAnsi" w:hAnsiTheme="minorHAnsi"/>
        </w:rPr>
      </w:pPr>
      <w:r w:rsidRPr="00181755">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0F2E1FC" w14:textId="0AD57E44" w:rsidR="00026B30" w:rsidRPr="00181755" w:rsidRDefault="00026B30" w:rsidP="00181755">
      <w:pPr>
        <w:rPr>
          <w:rFonts w:asciiTheme="minorHAnsi" w:hAnsiTheme="minorHAnsi"/>
        </w:rPr>
      </w:pPr>
      <w:r w:rsidRPr="00181755">
        <w:rPr>
          <w:rFonts w:asciiTheme="minorHAnsi" w:hAnsiTheme="minorHAnsi"/>
          <w:b/>
        </w:rPr>
        <w:t xml:space="preserve">(4) Az üzleti modell kvalitatív elemzése. </w:t>
      </w:r>
      <w:r w:rsidRPr="00181755">
        <w:rPr>
          <w:rFonts w:asciiTheme="minorHAnsi" w:hAnsiTheme="minorHAnsi"/>
        </w:rPr>
        <w:t xml:space="preserve">Az MNB megvizsgálja az intézmények eredményes működésére ható tényezőket és a főbb külső és belső függőségi viszonyokat, továbbá az ügyfelekkel, üzleti partnerekkel, beszállítókkal fennálló kapcsolat </w:t>
      </w:r>
      <w:r w:rsidR="006340AB" w:rsidRPr="00181755">
        <w:rPr>
          <w:rFonts w:asciiTheme="minorHAnsi" w:hAnsiTheme="minorHAnsi"/>
        </w:rPr>
        <w:t>minőségét</w:t>
      </w:r>
      <w:r w:rsidRPr="00181755">
        <w:rPr>
          <w:rFonts w:asciiTheme="minorHAnsi" w:hAnsiTheme="minorHAnsi"/>
        </w:rPr>
        <w:t>, illetve azokat a területeket, amelyeken az intézménynek versenyelőnye van a hasonló intézményekkel szemben.</w:t>
      </w:r>
    </w:p>
    <w:p w14:paraId="30D46FF7" w14:textId="77777777" w:rsidR="00026B30" w:rsidRPr="00181755" w:rsidRDefault="00026B30" w:rsidP="00181755">
      <w:pPr>
        <w:rPr>
          <w:rFonts w:asciiTheme="minorHAnsi" w:hAnsiTheme="minorHAnsi"/>
        </w:rPr>
      </w:pPr>
      <w:r w:rsidRPr="00181755">
        <w:rPr>
          <w:rFonts w:asciiTheme="minorHAnsi" w:hAnsiTheme="minorHAnsi"/>
          <w:b/>
        </w:rPr>
        <w:t xml:space="preserve">(5) Stratégia és pénzügyi tervek értékelése. </w:t>
      </w:r>
      <w:r w:rsidRPr="00181755">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60D83477" w14:textId="77777777" w:rsidR="00026B30" w:rsidRPr="00181755" w:rsidRDefault="00026B30" w:rsidP="00181755">
      <w:pPr>
        <w:rPr>
          <w:rFonts w:asciiTheme="minorHAnsi" w:hAnsiTheme="minorHAnsi"/>
        </w:rPr>
      </w:pPr>
      <w:r w:rsidRPr="00181755">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1619BFC" w14:textId="77777777" w:rsidR="00026B30" w:rsidRPr="00181755" w:rsidRDefault="00026B30" w:rsidP="00181755">
      <w:pPr>
        <w:rPr>
          <w:rFonts w:asciiTheme="minorHAnsi" w:hAnsiTheme="minorHAnsi"/>
        </w:rPr>
      </w:pPr>
      <w:r w:rsidRPr="00181755">
        <w:rPr>
          <w:rFonts w:asciiTheme="minorHAnsi" w:hAnsiTheme="minorHAnsi"/>
          <w:b/>
        </w:rPr>
        <w:t xml:space="preserve">(6) Az MNB álláspontjának kialakítása. </w:t>
      </w:r>
      <w:r w:rsidRPr="00181755">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8A9FBD1" w14:textId="77777777" w:rsidR="00026B30" w:rsidRPr="00181755" w:rsidRDefault="00026B30" w:rsidP="00181755">
      <w:pPr>
        <w:rPr>
          <w:rFonts w:asciiTheme="minorHAnsi" w:hAnsiTheme="minorHAnsi"/>
        </w:rPr>
      </w:pPr>
      <w:r w:rsidRPr="00181755">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C2E88FF" w14:textId="77777777" w:rsidR="00026B30" w:rsidRPr="00181755" w:rsidRDefault="00026B30" w:rsidP="00181755">
      <w:pPr>
        <w:rPr>
          <w:rFonts w:asciiTheme="minorHAnsi" w:hAnsiTheme="minorHAnsi"/>
        </w:rPr>
      </w:pPr>
      <w:r w:rsidRPr="00181755">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04A7316" w14:textId="77777777" w:rsidR="00026B30" w:rsidRPr="00181755" w:rsidRDefault="00026B30" w:rsidP="00181755">
      <w:pPr>
        <w:rPr>
          <w:rFonts w:asciiTheme="minorHAnsi" w:hAnsiTheme="minorHAnsi"/>
        </w:rPr>
      </w:pPr>
      <w:r w:rsidRPr="00181755">
        <w:rPr>
          <w:rFonts w:asciiTheme="minorHAnsi" w:hAnsiTheme="minorHAnsi"/>
        </w:rPr>
        <w:t>Az MNB a fenti értékelés alapján alakítja ki az üzleti modell életképességére és a stratégia fenntarthatóságára vonatkozó átfogó véleményét, amelyet az eredmények összefoglalásában fejt ki, meghatározva az üzleti modell elemzésére vonatkozó számszerű értékelést is.</w:t>
      </w:r>
    </w:p>
    <w:p w14:paraId="66B15731" w14:textId="7602D765" w:rsidR="003F29E3" w:rsidRPr="00181755" w:rsidRDefault="00026B30" w:rsidP="00181755">
      <w:pPr>
        <w:rPr>
          <w:rFonts w:asciiTheme="minorHAnsi" w:hAnsiTheme="minorHAnsi"/>
        </w:rPr>
      </w:pPr>
      <w:r w:rsidRPr="00181755">
        <w:rPr>
          <w:rFonts w:asciiTheme="minorHAnsi" w:hAnsiTheme="minorHAnsi"/>
          <w:b/>
        </w:rPr>
        <w:t xml:space="preserve">(7) Felügyeleti intézkedések meghatározása. </w:t>
      </w:r>
      <w:r w:rsidRPr="00181755">
        <w:rPr>
          <w:rFonts w:asciiTheme="minorHAnsi" w:hAnsiTheme="minorHAnsi"/>
        </w:rPr>
        <w:t>A vizsgálat céljától és fókuszától, valamint az üzleti modell elemzés eredményétől függően az MNB szükség szerint határozza meg a feltárt kockázatok kezelésére irányuló felügyeleti intézkedéseket.</w:t>
      </w:r>
      <w:bookmarkStart w:id="1333" w:name="_IV._Stressz_tesztek"/>
      <w:bookmarkStart w:id="1334" w:name="_Toc462403232"/>
      <w:bookmarkStart w:id="1335" w:name="_Toc462403248"/>
      <w:bookmarkStart w:id="1336" w:name="_Érzékenységvizsgálatok"/>
      <w:bookmarkStart w:id="1337" w:name="_Toc462403249"/>
      <w:bookmarkStart w:id="1338" w:name="_Az_alkalmazott_kockázati"/>
      <w:bookmarkStart w:id="1339" w:name="_Toc462403252"/>
      <w:bookmarkStart w:id="1340" w:name="_Integrált_kockázatkezelési_szemléle"/>
      <w:bookmarkStart w:id="1341" w:name="_Toc462403279"/>
      <w:bookmarkEnd w:id="1333"/>
      <w:bookmarkEnd w:id="1334"/>
      <w:bookmarkEnd w:id="1335"/>
      <w:bookmarkEnd w:id="1336"/>
      <w:bookmarkEnd w:id="1337"/>
      <w:bookmarkEnd w:id="1338"/>
      <w:bookmarkEnd w:id="1339"/>
      <w:bookmarkEnd w:id="1340"/>
      <w:bookmarkEnd w:id="1341"/>
    </w:p>
    <w:p w14:paraId="66B15732" w14:textId="77777777" w:rsidR="003F29E3" w:rsidRPr="00181755" w:rsidRDefault="003F29E3" w:rsidP="00181755">
      <w:pPr>
        <w:rPr>
          <w:rFonts w:asciiTheme="minorHAnsi" w:hAnsiTheme="minorHAnsi"/>
        </w:rPr>
      </w:pPr>
    </w:p>
    <w:p w14:paraId="66B15733" w14:textId="77777777" w:rsidR="003F29E3" w:rsidRPr="00181755" w:rsidRDefault="003F29E3" w:rsidP="00181755">
      <w:pPr>
        <w:pStyle w:val="Cmsor1"/>
        <w:rPr>
          <w:rFonts w:asciiTheme="minorHAnsi" w:hAnsiTheme="minorHAnsi"/>
        </w:rPr>
      </w:pPr>
      <w:r w:rsidRPr="00181755">
        <w:rPr>
          <w:rFonts w:asciiTheme="minorHAnsi" w:hAnsiTheme="minorHAnsi"/>
        </w:rPr>
        <w:br w:type="page"/>
      </w:r>
      <w:bookmarkStart w:id="1342" w:name="_V._Belső_irányítás"/>
      <w:bookmarkStart w:id="1343" w:name="_Toc378256247"/>
      <w:bookmarkStart w:id="1344" w:name="_Toc378592095"/>
      <w:bookmarkStart w:id="1345" w:name="_Toc461095264"/>
      <w:bookmarkStart w:id="1346" w:name="_Toc461179225"/>
      <w:bookmarkStart w:id="1347" w:name="_Toc461179920"/>
      <w:bookmarkStart w:id="1348" w:name="_Toc461197766"/>
      <w:bookmarkStart w:id="1349" w:name="_Toc461201364"/>
      <w:bookmarkStart w:id="1350" w:name="_Toc461548065"/>
      <w:bookmarkStart w:id="1351" w:name="_Toc462402105"/>
      <w:bookmarkStart w:id="1352" w:name="_Toc462403280"/>
      <w:bookmarkStart w:id="1353" w:name="_Toc462403552"/>
      <w:bookmarkStart w:id="1354" w:name="_Toc468180671"/>
      <w:bookmarkStart w:id="1355" w:name="_Toc468181228"/>
      <w:bookmarkStart w:id="1356" w:name="_Toc468191494"/>
      <w:bookmarkEnd w:id="1342"/>
      <w:r w:rsidRPr="00181755">
        <w:rPr>
          <w:rFonts w:asciiTheme="minorHAnsi" w:hAnsiTheme="minorHAnsi"/>
        </w:rPr>
        <w:t>A kis intézmények belső tőkeszükséglet-számítására, likviditás megfelelőségére vonatkozó felügyeleti elvárások</w:t>
      </w:r>
      <w:bookmarkEnd w:id="1343"/>
      <w:bookmarkEnd w:id="1344"/>
      <w:r w:rsidRPr="00181755">
        <w:rPr>
          <w:rFonts w:asciiTheme="minorHAnsi" w:hAnsiTheme="minorHAnsi"/>
        </w:rPr>
        <w:t xml:space="preserve"> és a vonatkozó felügyeleti felülvizsgálati folyamat</w:t>
      </w:r>
      <w:bookmarkEnd w:id="1345"/>
      <w:bookmarkEnd w:id="1346"/>
      <w:bookmarkEnd w:id="1347"/>
      <w:bookmarkEnd w:id="1348"/>
      <w:bookmarkEnd w:id="1349"/>
      <w:bookmarkEnd w:id="1350"/>
      <w:bookmarkEnd w:id="1351"/>
      <w:bookmarkEnd w:id="1352"/>
      <w:bookmarkEnd w:id="1353"/>
      <w:bookmarkEnd w:id="1354"/>
      <w:bookmarkEnd w:id="1355"/>
      <w:bookmarkEnd w:id="1356"/>
    </w:p>
    <w:p w14:paraId="66B15735" w14:textId="77777777" w:rsidR="003F29E3" w:rsidRPr="00181755" w:rsidRDefault="003F29E3" w:rsidP="00181755">
      <w:pPr>
        <w:pStyle w:val="Cmsor2"/>
        <w:rPr>
          <w:rFonts w:asciiTheme="minorHAnsi" w:hAnsiTheme="minorHAnsi"/>
        </w:rPr>
      </w:pPr>
      <w:bookmarkStart w:id="1357" w:name="_VI._Az_ICAAP"/>
      <w:bookmarkStart w:id="1358" w:name="_VII._Kis_intézmények"/>
      <w:bookmarkStart w:id="1359" w:name="_Arányosság_elve"/>
      <w:bookmarkStart w:id="1360" w:name="_Toc378592096"/>
      <w:bookmarkStart w:id="1361" w:name="_Toc461095265"/>
      <w:bookmarkStart w:id="1362" w:name="_Toc461179226"/>
      <w:bookmarkStart w:id="1363" w:name="_Toc461179921"/>
      <w:bookmarkStart w:id="1364" w:name="_Toc461197767"/>
      <w:bookmarkStart w:id="1365" w:name="_Toc461201365"/>
      <w:bookmarkStart w:id="1366" w:name="_Toc461548066"/>
      <w:bookmarkStart w:id="1367" w:name="_Toc462402106"/>
      <w:bookmarkStart w:id="1368" w:name="_Toc462403281"/>
      <w:bookmarkStart w:id="1369" w:name="_Toc462403553"/>
      <w:bookmarkStart w:id="1370" w:name="_Toc468180672"/>
      <w:bookmarkStart w:id="1371" w:name="_Toc468181229"/>
      <w:bookmarkStart w:id="1372" w:name="_Toc468191495"/>
      <w:bookmarkEnd w:id="1357"/>
      <w:bookmarkEnd w:id="1358"/>
      <w:bookmarkEnd w:id="1359"/>
      <w:r w:rsidRPr="00181755">
        <w:rPr>
          <w:rFonts w:asciiTheme="minorHAnsi" w:hAnsiTheme="minorHAnsi"/>
        </w:rPr>
        <w:t>Arányosság elv</w:t>
      </w:r>
      <w:bookmarkEnd w:id="1360"/>
      <w:r w:rsidRPr="00181755">
        <w:rPr>
          <w:rFonts w:asciiTheme="minorHAnsi" w:hAnsiTheme="minorHAnsi"/>
        </w:rPr>
        <w:t>ének alkalmazása</w:t>
      </w:r>
      <w:bookmarkEnd w:id="1361"/>
      <w:bookmarkEnd w:id="1362"/>
      <w:bookmarkEnd w:id="1363"/>
      <w:bookmarkEnd w:id="1364"/>
      <w:bookmarkEnd w:id="1365"/>
      <w:bookmarkEnd w:id="1366"/>
      <w:bookmarkEnd w:id="1367"/>
      <w:bookmarkEnd w:id="1368"/>
      <w:bookmarkEnd w:id="1369"/>
      <w:bookmarkEnd w:id="1370"/>
      <w:bookmarkEnd w:id="1371"/>
      <w:bookmarkEnd w:id="1372"/>
    </w:p>
    <w:p w14:paraId="66B15736" w14:textId="77777777" w:rsidR="003F29E3" w:rsidRPr="00181755" w:rsidRDefault="003F29E3" w:rsidP="00181755">
      <w:pPr>
        <w:rPr>
          <w:rFonts w:asciiTheme="minorHAnsi" w:hAnsiTheme="minorHAnsi"/>
        </w:rPr>
      </w:pPr>
      <w:r w:rsidRPr="00181755">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181755" w:rsidRDefault="003F29E3" w:rsidP="00181755">
      <w:pPr>
        <w:pStyle w:val="felsorolsos"/>
        <w:rPr>
          <w:rFonts w:asciiTheme="minorHAnsi" w:hAnsiTheme="minorHAnsi"/>
        </w:rPr>
      </w:pPr>
      <w:r w:rsidRPr="00181755">
        <w:rPr>
          <w:rFonts w:asciiTheme="minorHAnsi" w:hAnsiTheme="minorHAnsi"/>
        </w:rPr>
        <w:t>típusától,</w:t>
      </w:r>
    </w:p>
    <w:p w14:paraId="66B15738" w14:textId="77777777" w:rsidR="003F29E3" w:rsidRPr="00181755" w:rsidRDefault="003F29E3" w:rsidP="00181755">
      <w:pPr>
        <w:pStyle w:val="felsorolsos"/>
        <w:rPr>
          <w:rFonts w:asciiTheme="minorHAnsi" w:hAnsiTheme="minorHAnsi"/>
        </w:rPr>
      </w:pPr>
      <w:r w:rsidRPr="00181755">
        <w:rPr>
          <w:rFonts w:asciiTheme="minorHAnsi" w:hAnsiTheme="minorHAnsi"/>
        </w:rPr>
        <w:t>méretétől,</w:t>
      </w:r>
    </w:p>
    <w:p w14:paraId="66B15739"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tevékenységének összetettségétől</w:t>
      </w:r>
    </w:p>
    <w:p w14:paraId="66B1573A"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és természetesen annak kockázatosságától. </w:t>
      </w:r>
    </w:p>
    <w:p w14:paraId="66B1573C" w14:textId="3A8C0362" w:rsidR="003F29E3" w:rsidRPr="00181755" w:rsidRDefault="003F29E3" w:rsidP="00181755">
      <w:pPr>
        <w:spacing w:after="240"/>
        <w:rPr>
          <w:rFonts w:asciiTheme="minorHAnsi" w:hAnsiTheme="minorHAnsi"/>
        </w:rPr>
      </w:pPr>
      <w:r w:rsidRPr="00181755">
        <w:rPr>
          <w:rFonts w:asciiTheme="minorHAnsi" w:hAnsiTheme="minorHAnsi"/>
        </w:rPr>
        <w:t>Az arányos követelmény tehát relatív fogalom és a fenti több tényező vizsgálatának eredménye. Megjegyzendő, hogy az arányosság elvének érvényesítése az összes CRD</w:t>
      </w:r>
      <w:r w:rsidR="00A82A54" w:rsidRPr="00181755">
        <w:rPr>
          <w:rFonts w:asciiTheme="minorHAnsi" w:hAnsiTheme="minorHAnsi"/>
        </w:rPr>
        <w:t xml:space="preserve"> IV</w:t>
      </w:r>
      <w:r w:rsidRPr="00181755">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181755">
        <w:rPr>
          <w:rFonts w:asciiTheme="minorHAnsi" w:hAnsiTheme="minorHAnsi"/>
        </w:rPr>
        <w:t xml:space="preserve">úgynevezett kis intézményeket. </w:t>
      </w:r>
    </w:p>
    <w:p w14:paraId="66B1573D" w14:textId="77777777" w:rsidR="003F29E3" w:rsidRPr="00181755" w:rsidRDefault="003F29E3" w:rsidP="00181755">
      <w:pPr>
        <w:pStyle w:val="Cmsor2"/>
        <w:rPr>
          <w:rFonts w:asciiTheme="minorHAnsi" w:hAnsiTheme="minorHAnsi"/>
        </w:rPr>
      </w:pPr>
      <w:bookmarkStart w:id="1373" w:name="_Kis_intézmény"/>
      <w:bookmarkStart w:id="1374" w:name="_Toc378592097"/>
      <w:bookmarkStart w:id="1375" w:name="_Toc461095266"/>
      <w:bookmarkStart w:id="1376" w:name="_Toc461179227"/>
      <w:bookmarkStart w:id="1377" w:name="_Toc461179922"/>
      <w:bookmarkStart w:id="1378" w:name="_Toc461197768"/>
      <w:bookmarkStart w:id="1379" w:name="_Toc461201366"/>
      <w:bookmarkStart w:id="1380" w:name="_Toc461548067"/>
      <w:bookmarkStart w:id="1381" w:name="_Toc462402107"/>
      <w:bookmarkStart w:id="1382" w:name="_Toc462403282"/>
      <w:bookmarkStart w:id="1383" w:name="_Toc462403554"/>
      <w:bookmarkStart w:id="1384" w:name="_Toc468180673"/>
      <w:bookmarkStart w:id="1385" w:name="_Toc468181230"/>
      <w:bookmarkStart w:id="1386" w:name="_Toc468191496"/>
      <w:bookmarkEnd w:id="1373"/>
      <w:r w:rsidRPr="00181755">
        <w:rPr>
          <w:rFonts w:asciiTheme="minorHAnsi" w:hAnsiTheme="minorHAnsi"/>
        </w:rPr>
        <w:t>A kis intézmény</w:t>
      </w:r>
      <w:bookmarkEnd w:id="1374"/>
      <w:r w:rsidRPr="00181755">
        <w:rPr>
          <w:rFonts w:asciiTheme="minorHAnsi" w:hAnsiTheme="minorHAnsi"/>
        </w:rPr>
        <w:t xml:space="preserve"> meghatározása</w:t>
      </w:r>
      <w:bookmarkEnd w:id="1375"/>
      <w:bookmarkEnd w:id="1376"/>
      <w:bookmarkEnd w:id="1377"/>
      <w:bookmarkEnd w:id="1378"/>
      <w:bookmarkEnd w:id="1379"/>
      <w:bookmarkEnd w:id="1380"/>
      <w:bookmarkEnd w:id="1381"/>
      <w:bookmarkEnd w:id="1382"/>
      <w:bookmarkEnd w:id="1383"/>
      <w:bookmarkEnd w:id="1384"/>
      <w:bookmarkEnd w:id="1385"/>
      <w:bookmarkEnd w:id="1386"/>
    </w:p>
    <w:p w14:paraId="66B1573E" w14:textId="77777777" w:rsidR="003F29E3" w:rsidRPr="00181755" w:rsidRDefault="003F29E3" w:rsidP="00181755">
      <w:pPr>
        <w:rPr>
          <w:rFonts w:asciiTheme="minorHAnsi" w:hAnsiTheme="minorHAnsi"/>
        </w:rPr>
      </w:pPr>
      <w:r w:rsidRPr="00181755">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tevékenysége nem bonyolult és csak termékek egy jól behatárolható körére irányul,</w:t>
      </w:r>
    </w:p>
    <w:p w14:paraId="66B15740" w14:textId="77777777" w:rsidR="003F29E3" w:rsidRPr="00181755" w:rsidRDefault="003F29E3" w:rsidP="00181755">
      <w:pPr>
        <w:pStyle w:val="felsorolsos"/>
        <w:rPr>
          <w:rFonts w:asciiTheme="minorHAnsi" w:hAnsiTheme="minorHAnsi"/>
        </w:rPr>
      </w:pPr>
      <w:r w:rsidRPr="00181755">
        <w:rPr>
          <w:rFonts w:asciiTheme="minorHAnsi" w:hAnsiTheme="minorHAnsi"/>
        </w:rPr>
        <w:t>relatíve kis piaci részesedéssel rendelkezik,</w:t>
      </w:r>
    </w:p>
    <w:p w14:paraId="66B15741" w14:textId="77777777" w:rsidR="003F29E3" w:rsidRPr="00181755" w:rsidRDefault="003F29E3" w:rsidP="00181755">
      <w:pPr>
        <w:pStyle w:val="felsorolsos"/>
        <w:rPr>
          <w:rFonts w:asciiTheme="minorHAnsi" w:hAnsiTheme="minorHAnsi"/>
        </w:rPr>
      </w:pPr>
      <w:r w:rsidRPr="00181755">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181755" w:rsidRDefault="003F29E3" w:rsidP="00181755">
      <w:pPr>
        <w:pStyle w:val="felsorolsos"/>
        <w:rPr>
          <w:rFonts w:asciiTheme="minorHAnsi" w:hAnsiTheme="minorHAnsi"/>
        </w:rPr>
      </w:pPr>
      <w:r w:rsidRPr="00181755">
        <w:rPr>
          <w:rFonts w:asciiTheme="minorHAnsi" w:hAnsiTheme="minorHAnsi"/>
        </w:rPr>
        <w:t>elsősorban Magyarország területén nyújtja szolgáltatásait és nem végez jelentős határon átnyúló szolgáltatásokat,</w:t>
      </w:r>
    </w:p>
    <w:p w14:paraId="66B15743" w14:textId="77777777" w:rsidR="003F29E3" w:rsidRPr="00181755" w:rsidRDefault="003F29E3" w:rsidP="00181755">
      <w:pPr>
        <w:pStyle w:val="felsorolsos"/>
        <w:rPr>
          <w:rFonts w:asciiTheme="minorHAnsi" w:hAnsiTheme="minorHAnsi"/>
        </w:rPr>
      </w:pPr>
      <w:r w:rsidRPr="00181755">
        <w:rPr>
          <w:rFonts w:asciiTheme="minorHAnsi" w:hAnsiTheme="minorHAnsi"/>
        </w:rPr>
        <w:t>saját véleménye szerint kis intézménynek minősíthető.</w:t>
      </w:r>
    </w:p>
    <w:p w14:paraId="66B15744" w14:textId="77777777" w:rsidR="003F29E3" w:rsidRPr="00181755" w:rsidRDefault="003F29E3" w:rsidP="00181755">
      <w:pPr>
        <w:rPr>
          <w:rFonts w:asciiTheme="minorHAnsi" w:hAnsiTheme="minorHAnsi"/>
        </w:rPr>
      </w:pPr>
      <w:r w:rsidRPr="00181755">
        <w:rPr>
          <w:rFonts w:asciiTheme="minorHAnsi" w:hAnsiTheme="minorHAnsi"/>
        </w:rPr>
        <w:t>Arról, hogy egy intézmény kis intézményként kezelhető, a végső döntést az MNB hozza meg.</w:t>
      </w:r>
    </w:p>
    <w:p w14:paraId="4B261765" w14:textId="13ACA3EC" w:rsidR="00FB41CF" w:rsidRPr="00181755" w:rsidRDefault="003F29E3" w:rsidP="00181755">
      <w:pPr>
        <w:rPr>
          <w:rFonts w:asciiTheme="minorHAnsi" w:hAnsiTheme="minorHAnsi"/>
        </w:rPr>
      </w:pPr>
      <w:r w:rsidRPr="00181755">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181755">
        <w:rPr>
          <w:rFonts w:asciiTheme="minorHAnsi" w:hAnsiTheme="minorHAnsi"/>
        </w:rPr>
        <w:t>a során egyedileg is ellenőrzi.</w:t>
      </w:r>
    </w:p>
    <w:p w14:paraId="66B15747" w14:textId="77777777" w:rsidR="003F29E3" w:rsidRPr="00181755" w:rsidRDefault="003F29E3" w:rsidP="00181755">
      <w:pPr>
        <w:pStyle w:val="Cmsor2"/>
        <w:rPr>
          <w:rFonts w:asciiTheme="minorHAnsi" w:hAnsiTheme="minorHAnsi"/>
        </w:rPr>
      </w:pPr>
      <w:bookmarkStart w:id="1387" w:name="_Kis_intézményekre_érvényes"/>
      <w:bookmarkStart w:id="1388" w:name="_Toc378592098"/>
      <w:bookmarkStart w:id="1389" w:name="_Toc461095267"/>
      <w:bookmarkStart w:id="1390" w:name="_Toc461179228"/>
      <w:bookmarkStart w:id="1391" w:name="_Toc461179923"/>
      <w:bookmarkStart w:id="1392" w:name="_Toc461197769"/>
      <w:bookmarkStart w:id="1393" w:name="_Toc461201367"/>
      <w:bookmarkStart w:id="1394" w:name="_Toc461548068"/>
      <w:bookmarkStart w:id="1395" w:name="_Toc462402108"/>
      <w:bookmarkStart w:id="1396" w:name="_Toc462403283"/>
      <w:bookmarkStart w:id="1397" w:name="_Toc462403555"/>
      <w:bookmarkStart w:id="1398" w:name="_Toc468180674"/>
      <w:bookmarkStart w:id="1399" w:name="_Toc468181231"/>
      <w:bookmarkStart w:id="1400" w:name="_Toc468191497"/>
      <w:bookmarkEnd w:id="1387"/>
      <w:r w:rsidRPr="00181755">
        <w:rPr>
          <w:rFonts w:asciiTheme="minorHAnsi" w:hAnsiTheme="minorHAnsi"/>
        </w:rPr>
        <w:t>Kis intézmények belső tőkeszükséglet-számítására vonatkozó felügyeleti elvárások</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66B15748" w14:textId="77777777" w:rsidR="003F29E3" w:rsidRPr="00181755" w:rsidRDefault="003F29E3" w:rsidP="00181755">
      <w:pPr>
        <w:rPr>
          <w:rFonts w:asciiTheme="minorHAnsi" w:hAnsiTheme="minorHAnsi"/>
        </w:rPr>
      </w:pPr>
      <w:r w:rsidRPr="00181755">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181755">
        <w:rPr>
          <w:rStyle w:val="Lbjegyzet-hivatkozs"/>
          <w:rFonts w:asciiTheme="minorHAnsi" w:hAnsiTheme="minorHAnsi"/>
        </w:rPr>
        <w:footnoteReference w:id="90"/>
      </w:r>
      <w:r w:rsidRPr="00181755">
        <w:rPr>
          <w:rFonts w:asciiTheme="minorHAnsi" w:hAnsiTheme="minorHAnsi"/>
        </w:rPr>
        <w:t>.</w:t>
      </w:r>
    </w:p>
    <w:p w14:paraId="66B15749" w14:textId="77777777" w:rsidR="003F29E3" w:rsidRPr="00181755" w:rsidRDefault="003F29E3" w:rsidP="00181755">
      <w:pPr>
        <w:rPr>
          <w:rFonts w:asciiTheme="minorHAnsi" w:hAnsiTheme="minorHAnsi"/>
        </w:rPr>
      </w:pPr>
      <w:r w:rsidRPr="00181755">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181755" w:rsidRDefault="003F29E3" w:rsidP="00181755">
      <w:pPr>
        <w:spacing w:after="240"/>
        <w:rPr>
          <w:rFonts w:asciiTheme="minorHAnsi" w:hAnsiTheme="minorHAnsi"/>
        </w:rPr>
      </w:pPr>
      <w:r w:rsidRPr="00181755">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181755">
        <w:rPr>
          <w:rFonts w:asciiTheme="minorHAnsi" w:hAnsiTheme="minorHAnsi"/>
        </w:rPr>
        <w:t xml:space="preserve">ökkentésével mérsékelni lehet. </w:t>
      </w:r>
    </w:p>
    <w:p w14:paraId="66B1574C" w14:textId="77777777" w:rsidR="003F29E3" w:rsidRPr="00181755" w:rsidRDefault="003F29E3" w:rsidP="00181755">
      <w:pPr>
        <w:pStyle w:val="Cmsor2"/>
        <w:rPr>
          <w:rFonts w:asciiTheme="minorHAnsi" w:hAnsiTheme="minorHAnsi"/>
        </w:rPr>
      </w:pPr>
      <w:bookmarkStart w:id="1401" w:name="_Módszertan"/>
      <w:bookmarkStart w:id="1402" w:name="_Toc378592099"/>
      <w:bookmarkStart w:id="1403" w:name="_Toc461095268"/>
      <w:bookmarkStart w:id="1404" w:name="_Toc461179229"/>
      <w:bookmarkStart w:id="1405" w:name="_Toc461179924"/>
      <w:bookmarkStart w:id="1406" w:name="_Toc461197770"/>
      <w:bookmarkStart w:id="1407" w:name="_Toc461201368"/>
      <w:bookmarkStart w:id="1408" w:name="_Toc461548069"/>
      <w:bookmarkStart w:id="1409" w:name="_Toc462402109"/>
      <w:bookmarkStart w:id="1410" w:name="_Toc462403284"/>
      <w:bookmarkStart w:id="1411" w:name="_Toc462403556"/>
      <w:bookmarkStart w:id="1412" w:name="_Toc468180675"/>
      <w:bookmarkStart w:id="1413" w:name="_Toc468181232"/>
      <w:bookmarkStart w:id="1414" w:name="_Toc468191498"/>
      <w:bookmarkEnd w:id="1401"/>
      <w:r w:rsidRPr="00181755">
        <w:rPr>
          <w:rFonts w:asciiTheme="minorHAnsi" w:hAnsiTheme="minorHAnsi"/>
        </w:rPr>
        <w:t>Kis</w:t>
      </w:r>
      <w:r w:rsidRPr="00181755">
        <w:rPr>
          <w:rFonts w:asciiTheme="minorHAnsi" w:hAnsiTheme="minorHAnsi"/>
          <w:lang w:val="hu-HU"/>
        </w:rPr>
        <w:t xml:space="preserve"> </w:t>
      </w:r>
      <w:r w:rsidRPr="00181755">
        <w:rPr>
          <w:rFonts w:asciiTheme="minorHAnsi" w:hAnsiTheme="minorHAnsi"/>
        </w:rPr>
        <w:t>intézmények által alkalmazott módszertan</w:t>
      </w:r>
      <w:bookmarkEnd w:id="1402"/>
      <w:r w:rsidRPr="00181755">
        <w:rPr>
          <w:rFonts w:asciiTheme="minorHAnsi" w:hAnsiTheme="minorHAnsi"/>
        </w:rPr>
        <w:t>ok</w:t>
      </w:r>
      <w:bookmarkEnd w:id="1403"/>
      <w:bookmarkEnd w:id="1404"/>
      <w:bookmarkEnd w:id="1405"/>
      <w:bookmarkEnd w:id="1406"/>
      <w:bookmarkEnd w:id="1407"/>
      <w:bookmarkEnd w:id="1408"/>
      <w:bookmarkEnd w:id="1409"/>
      <w:bookmarkEnd w:id="1410"/>
      <w:bookmarkEnd w:id="1411"/>
      <w:bookmarkEnd w:id="1412"/>
      <w:bookmarkEnd w:id="1413"/>
      <w:bookmarkEnd w:id="1414"/>
    </w:p>
    <w:p w14:paraId="66B1574D" w14:textId="660E2936" w:rsidR="003F29E3" w:rsidRPr="00181755" w:rsidRDefault="003F29E3" w:rsidP="00181755">
      <w:pPr>
        <w:rPr>
          <w:rFonts w:asciiTheme="minorHAnsi" w:hAnsiTheme="minorHAnsi"/>
        </w:rPr>
      </w:pPr>
      <w:r w:rsidRPr="00181755">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181755">
        <w:rPr>
          <w:rFonts w:asciiTheme="minorHAnsi" w:hAnsiTheme="minorHAnsi"/>
        </w:rPr>
        <w:t>-</w:t>
      </w:r>
      <w:r w:rsidRPr="00181755">
        <w:rPr>
          <w:rFonts w:asciiTheme="minorHAnsi" w:hAnsiTheme="minorHAnsi"/>
        </w:rPr>
        <w:t>tőkekövetelményre.</w:t>
      </w:r>
    </w:p>
    <w:p w14:paraId="66B1574E" w14:textId="77777777" w:rsidR="003F29E3" w:rsidRPr="00181755" w:rsidRDefault="003F29E3" w:rsidP="00181755">
      <w:pPr>
        <w:rPr>
          <w:rFonts w:asciiTheme="minorHAnsi" w:hAnsiTheme="minorHAnsi"/>
        </w:rPr>
      </w:pPr>
      <w:r w:rsidRPr="00181755">
        <w:rPr>
          <w:rFonts w:asciiTheme="minorHAnsi" w:hAnsiTheme="minorHAnsi"/>
        </w:rPr>
        <w:t>Annak az intézménynek, amelyik ezt a módszert választja, annak az alábbiakat kell megbecsülnie:</w:t>
      </w:r>
    </w:p>
    <w:p w14:paraId="66B1574F" w14:textId="77777777" w:rsidR="003F29E3" w:rsidRPr="00181755" w:rsidRDefault="003F29E3" w:rsidP="00181755">
      <w:pPr>
        <w:pStyle w:val="felsorolsos"/>
        <w:rPr>
          <w:rFonts w:asciiTheme="minorHAnsi" w:hAnsiTheme="minorHAnsi"/>
        </w:rPr>
      </w:pPr>
      <w:r w:rsidRPr="00181755">
        <w:rPr>
          <w:rFonts w:asciiTheme="minorHAnsi" w:hAnsiTheme="minorHAnsi"/>
        </w:rPr>
        <w:t>az 1. pillér szerint számított tőkekövetelmény</w:t>
      </w:r>
      <w:r w:rsidRPr="00181755">
        <w:rPr>
          <w:rFonts w:asciiTheme="minorHAnsi" w:hAnsiTheme="minorHAnsi"/>
          <w:lang w:val="hu-HU"/>
        </w:rPr>
        <w:t xml:space="preserve"> kockázatonként</w:t>
      </w:r>
      <w:r w:rsidRPr="00181755">
        <w:rPr>
          <w:rFonts w:asciiTheme="minorHAnsi" w:hAnsiTheme="minorHAnsi"/>
        </w:rPr>
        <w:t xml:space="preserve"> megfelelően tükrözi-e a tényleges kockázatokat;</w:t>
      </w:r>
    </w:p>
    <w:p w14:paraId="66B15750" w14:textId="77777777" w:rsidR="003F29E3" w:rsidRPr="00181755" w:rsidRDefault="003F29E3" w:rsidP="00181755">
      <w:pPr>
        <w:pStyle w:val="felsorolsos"/>
        <w:rPr>
          <w:rFonts w:asciiTheme="minorHAnsi" w:hAnsiTheme="minorHAnsi"/>
        </w:rPr>
      </w:pPr>
      <w:r w:rsidRPr="00181755">
        <w:rPr>
          <w:rFonts w:asciiTheme="minorHAnsi" w:hAnsiTheme="minorHAnsi"/>
        </w:rPr>
        <w:t>mennyi tőkét kell allokálni a 2. pillér, valamint a külső tényezők miatti kockázatokra.</w:t>
      </w:r>
    </w:p>
    <w:p w14:paraId="66B15751" w14:textId="77777777" w:rsidR="003F29E3" w:rsidRPr="00181755" w:rsidRDefault="003F29E3" w:rsidP="00181755">
      <w:pPr>
        <w:rPr>
          <w:rFonts w:asciiTheme="minorHAnsi" w:hAnsiTheme="minorHAnsi"/>
        </w:rPr>
      </w:pPr>
      <w:r w:rsidRPr="00181755">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181755" w:rsidRDefault="003F29E3" w:rsidP="00181755">
      <w:pPr>
        <w:rPr>
          <w:rFonts w:asciiTheme="minorHAnsi" w:hAnsiTheme="minorHAnsi"/>
        </w:rPr>
      </w:pPr>
      <w:r w:rsidRPr="00181755">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181755" w:rsidRDefault="003F29E3" w:rsidP="00181755">
      <w:pPr>
        <w:rPr>
          <w:rFonts w:asciiTheme="minorHAnsi" w:hAnsiTheme="minorHAnsi"/>
        </w:rPr>
      </w:pPr>
    </w:p>
    <w:p w14:paraId="66B15754" w14:textId="77777777" w:rsidR="003F29E3" w:rsidRPr="00181755" w:rsidRDefault="003F29E3" w:rsidP="00181755">
      <w:pPr>
        <w:pStyle w:val="Cmsor2"/>
        <w:rPr>
          <w:rFonts w:asciiTheme="minorHAnsi" w:hAnsiTheme="minorHAnsi"/>
        </w:rPr>
      </w:pPr>
      <w:bookmarkStart w:id="1415" w:name="_A_belső_tőkeszükséglet-számítás"/>
      <w:bookmarkStart w:id="1416" w:name="_Toc378592100"/>
      <w:bookmarkStart w:id="1417" w:name="_Toc461095269"/>
      <w:bookmarkStart w:id="1418" w:name="_Toc461179230"/>
      <w:bookmarkStart w:id="1419" w:name="_Toc461179925"/>
      <w:bookmarkStart w:id="1420" w:name="_Toc461197771"/>
      <w:bookmarkStart w:id="1421" w:name="_Toc461201369"/>
      <w:bookmarkStart w:id="1422" w:name="_Toc461548070"/>
      <w:bookmarkStart w:id="1423" w:name="_Toc462402110"/>
      <w:bookmarkStart w:id="1424" w:name="_Toc462403285"/>
      <w:bookmarkStart w:id="1425" w:name="_Toc462403557"/>
      <w:bookmarkStart w:id="1426" w:name="_Toc468180676"/>
      <w:bookmarkStart w:id="1427" w:name="_Toc468181233"/>
      <w:bookmarkStart w:id="1428" w:name="_Toc468191499"/>
      <w:bookmarkEnd w:id="1415"/>
      <w:r w:rsidRPr="00181755">
        <w:rPr>
          <w:rFonts w:asciiTheme="minorHAnsi" w:hAnsiTheme="minorHAnsi"/>
        </w:rPr>
        <w:t>A belső tőkeszükséglet-számítás lépései</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66B15755" w14:textId="77777777" w:rsidR="003F29E3" w:rsidRPr="00181755" w:rsidRDefault="003F29E3" w:rsidP="00181755">
      <w:pPr>
        <w:rPr>
          <w:rFonts w:asciiTheme="minorHAnsi" w:hAnsiTheme="minorHAnsi"/>
        </w:rPr>
      </w:pPr>
      <w:r w:rsidRPr="00181755">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181755">
        <w:rPr>
          <w:rFonts w:asciiTheme="minorHAnsi" w:hAnsiTheme="minorHAnsi"/>
          <w:lang w:val="hu-HU"/>
        </w:rPr>
        <w:t xml:space="preserve">szolgáló </w:t>
      </w:r>
      <w:r w:rsidRPr="00181755">
        <w:rPr>
          <w:rFonts w:asciiTheme="minorHAnsi" w:hAnsiTheme="minorHAnsi"/>
        </w:rPr>
        <w:t>tőke összege.</w:t>
      </w:r>
    </w:p>
    <w:p w14:paraId="66B15758"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7777777" w:rsidR="003F29E3" w:rsidRPr="00181755" w:rsidRDefault="003F29E3" w:rsidP="00181755">
      <w:pPr>
        <w:pStyle w:val="felsorolsos"/>
        <w:rPr>
          <w:rFonts w:asciiTheme="minorHAnsi" w:hAnsiTheme="minorHAnsi"/>
        </w:rPr>
      </w:pPr>
      <w:r w:rsidRPr="00181755">
        <w:rPr>
          <w:rFonts w:asciiTheme="minorHAnsi" w:hAnsiTheme="minorHAnsi"/>
        </w:rPr>
        <w:t>Eredmény.</w:t>
      </w:r>
    </w:p>
    <w:p w14:paraId="66B1575B" w14:textId="7C2EBA64" w:rsidR="003F29E3" w:rsidRPr="00181755" w:rsidRDefault="003F29E3" w:rsidP="00181755">
      <w:pPr>
        <w:spacing w:after="240"/>
        <w:rPr>
          <w:rFonts w:asciiTheme="minorHAnsi" w:hAnsiTheme="minorHAnsi"/>
        </w:rPr>
      </w:pPr>
      <w:r w:rsidRPr="00181755">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181755">
        <w:rPr>
          <w:rFonts w:asciiTheme="minorHAnsi" w:hAnsiTheme="minorHAnsi"/>
        </w:rPr>
        <w:t>rányú tőkeelemekre van szükség.</w:t>
      </w:r>
    </w:p>
    <w:p w14:paraId="66B1575C" w14:textId="77777777" w:rsidR="003F29E3" w:rsidRPr="00181755" w:rsidRDefault="003F29E3" w:rsidP="00181755">
      <w:pPr>
        <w:pStyle w:val="Cmsor2"/>
        <w:rPr>
          <w:rFonts w:asciiTheme="minorHAnsi" w:hAnsiTheme="minorHAnsi"/>
          <w:lang w:val="hu-HU"/>
        </w:rPr>
      </w:pPr>
      <w:bookmarkStart w:id="1429" w:name="_Kis_hitelintézetek_tipikus"/>
      <w:bookmarkStart w:id="1430" w:name="_Toc378592101"/>
      <w:bookmarkStart w:id="1431" w:name="_Toc461095270"/>
      <w:bookmarkStart w:id="1432" w:name="_Toc461179231"/>
      <w:bookmarkStart w:id="1433" w:name="_Toc461179926"/>
      <w:bookmarkStart w:id="1434" w:name="_Toc461197772"/>
      <w:bookmarkStart w:id="1435" w:name="_Toc461201370"/>
      <w:bookmarkStart w:id="1436" w:name="_Toc461548071"/>
      <w:bookmarkStart w:id="1437" w:name="_Toc462402111"/>
      <w:bookmarkStart w:id="1438" w:name="_Toc462403286"/>
      <w:bookmarkStart w:id="1439" w:name="_Toc462403558"/>
      <w:bookmarkStart w:id="1440" w:name="_Toc468180677"/>
      <w:bookmarkStart w:id="1441" w:name="_Toc468181234"/>
      <w:bookmarkStart w:id="1442" w:name="_Toc468191500"/>
      <w:bookmarkEnd w:id="1429"/>
      <w:r w:rsidRPr="00181755">
        <w:rPr>
          <w:rFonts w:asciiTheme="minorHAnsi" w:hAnsiTheme="minorHAnsi"/>
        </w:rPr>
        <w:t>Kis hitelintézetek tipikus kockázatai</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p>
    <w:p w14:paraId="66B1575D" w14:textId="77777777" w:rsidR="003F29E3" w:rsidRPr="00181755" w:rsidRDefault="003F29E3" w:rsidP="00181755">
      <w:pPr>
        <w:rPr>
          <w:rFonts w:asciiTheme="minorHAnsi" w:hAnsiTheme="minorHAnsi"/>
        </w:rPr>
      </w:pPr>
      <w:r w:rsidRPr="00181755">
        <w:rPr>
          <w:rFonts w:asciiTheme="minorHAnsi" w:hAnsiTheme="minorHAnsi"/>
        </w:rPr>
        <w:t>A kis hitelintézetek vonatkozásában jellemzően az alábbi fő kockázatok értékelendőek:</w:t>
      </w:r>
    </w:p>
    <w:p w14:paraId="66B1575E"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e</w:t>
      </w:r>
      <w:r w:rsidRPr="00181755">
        <w:rPr>
          <w:rFonts w:asciiTheme="minorHAnsi" w:hAnsiTheme="minorHAnsi"/>
        </w:rPr>
        <w:t>llenőrzési/vezetési kockázat (internal governance),</w:t>
      </w:r>
    </w:p>
    <w:p w14:paraId="66B1575F"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h</w:t>
      </w:r>
      <w:r w:rsidRPr="00181755">
        <w:rPr>
          <w:rFonts w:asciiTheme="minorHAnsi" w:hAnsiTheme="minorHAnsi"/>
        </w:rPr>
        <w:t>itelkockázat,</w:t>
      </w:r>
    </w:p>
    <w:p w14:paraId="66B1576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oncentrációs kockázat (egyedi ügyfelek, földrajzi, szektorális),</w:t>
      </w:r>
    </w:p>
    <w:p w14:paraId="66B1576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amatláb-kockázat,</w:t>
      </w:r>
    </w:p>
    <w:p w14:paraId="66B1576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w:t>
      </w:r>
    </w:p>
    <w:p w14:paraId="66B1576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m</w:t>
      </w:r>
      <w:r w:rsidRPr="00181755">
        <w:rPr>
          <w:rFonts w:asciiTheme="minorHAnsi" w:hAnsiTheme="minorHAnsi"/>
        </w:rPr>
        <w:t>űködési kockázat,</w:t>
      </w:r>
    </w:p>
    <w:p w14:paraId="66B1576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s</w:t>
      </w:r>
      <w:r w:rsidRPr="00181755">
        <w:rPr>
          <w:rFonts w:asciiTheme="minorHAnsi" w:hAnsiTheme="minorHAnsi"/>
        </w:rPr>
        <w:t>tratégiai kockázat,</w:t>
      </w:r>
    </w:p>
    <w:p w14:paraId="66B15765" w14:textId="77777777" w:rsidR="003F29E3" w:rsidRPr="00181755" w:rsidRDefault="003F29E3" w:rsidP="00181755">
      <w:pPr>
        <w:pStyle w:val="felsorolsos"/>
        <w:rPr>
          <w:rFonts w:asciiTheme="minorHAnsi" w:hAnsiTheme="minorHAnsi"/>
        </w:rPr>
      </w:pPr>
      <w:r w:rsidRPr="00181755">
        <w:rPr>
          <w:rFonts w:asciiTheme="minorHAnsi" w:hAnsiTheme="minorHAnsi"/>
        </w:rPr>
        <w:t>külső tényezők kockázata.</w:t>
      </w:r>
    </w:p>
    <w:p w14:paraId="66B15767" w14:textId="6F5DD077" w:rsidR="003F29E3" w:rsidRPr="00181755" w:rsidRDefault="003F29E3" w:rsidP="00181755">
      <w:pPr>
        <w:spacing w:after="240"/>
        <w:rPr>
          <w:rFonts w:asciiTheme="minorHAnsi" w:hAnsiTheme="minorHAnsi"/>
        </w:rPr>
      </w:pPr>
      <w:r w:rsidRPr="00181755">
        <w:rPr>
          <w:rFonts w:asciiTheme="minorHAnsi" w:hAnsiTheme="minorHAnsi"/>
        </w:rPr>
        <w:t>Természetesen egyes hitelintézeteknél további kockázatok is lehetnek, amelyeket a</w:t>
      </w:r>
      <w:r w:rsidR="00FB41CF" w:rsidRPr="00181755">
        <w:rPr>
          <w:rFonts w:asciiTheme="minorHAnsi" w:hAnsiTheme="minorHAnsi"/>
        </w:rPr>
        <w:t>z intézménynek értékelnie kell.</w:t>
      </w:r>
    </w:p>
    <w:p w14:paraId="66B15768" w14:textId="77777777" w:rsidR="003F29E3" w:rsidRPr="00181755" w:rsidRDefault="003F29E3" w:rsidP="00181755">
      <w:pPr>
        <w:pStyle w:val="Cmsor2"/>
        <w:rPr>
          <w:rFonts w:asciiTheme="minorHAnsi" w:hAnsiTheme="minorHAnsi"/>
          <w:lang w:val="hu-HU"/>
        </w:rPr>
      </w:pPr>
      <w:bookmarkStart w:id="1443" w:name="_Toc461095271"/>
      <w:bookmarkStart w:id="1444" w:name="_Toc461179232"/>
      <w:bookmarkStart w:id="1445" w:name="_Toc461179927"/>
      <w:bookmarkStart w:id="1446" w:name="_Toc461197773"/>
      <w:bookmarkStart w:id="1447" w:name="_Toc461201371"/>
      <w:bookmarkStart w:id="1448" w:name="_Toc461548072"/>
      <w:bookmarkStart w:id="1449" w:name="_Toc462402112"/>
      <w:bookmarkStart w:id="1450" w:name="_Toc462403287"/>
      <w:bookmarkStart w:id="1451" w:name="_Toc462403559"/>
      <w:bookmarkStart w:id="1452" w:name="_Toc468180678"/>
      <w:bookmarkStart w:id="1453" w:name="_Toc468181235"/>
      <w:bookmarkStart w:id="1454" w:name="_Toc468191501"/>
      <w:r w:rsidRPr="00181755">
        <w:rPr>
          <w:rFonts w:asciiTheme="minorHAnsi" w:hAnsiTheme="minorHAnsi"/>
        </w:rPr>
        <w:t>A befektetési vállalkozások esetében a szokásostól eltérő többlet kockázatot generáló tevékenység</w:t>
      </w:r>
      <w:r w:rsidRPr="00181755">
        <w:rPr>
          <w:rFonts w:asciiTheme="minorHAnsi" w:hAnsiTheme="minorHAnsi"/>
          <w:lang w:val="hu-HU"/>
        </w:rPr>
        <w:t>ek</w:t>
      </w:r>
      <w:bookmarkEnd w:id="1443"/>
      <w:bookmarkEnd w:id="1444"/>
      <w:bookmarkEnd w:id="1445"/>
      <w:bookmarkEnd w:id="1446"/>
      <w:bookmarkEnd w:id="1447"/>
      <w:bookmarkEnd w:id="1448"/>
      <w:bookmarkEnd w:id="1449"/>
      <w:bookmarkEnd w:id="1450"/>
      <w:bookmarkEnd w:id="1451"/>
      <w:bookmarkEnd w:id="1452"/>
      <w:bookmarkEnd w:id="1453"/>
      <w:bookmarkEnd w:id="1454"/>
    </w:p>
    <w:p w14:paraId="66B15769" w14:textId="77777777" w:rsidR="003F29E3" w:rsidRPr="00181755" w:rsidRDefault="003F29E3" w:rsidP="00181755">
      <w:pPr>
        <w:rPr>
          <w:rFonts w:asciiTheme="minorHAnsi" w:hAnsiTheme="minorHAnsi"/>
        </w:rPr>
      </w:pPr>
      <w:r w:rsidRPr="00181755">
        <w:rPr>
          <w:rFonts w:asciiTheme="minorHAnsi" w:hAnsiTheme="minorHAnsi"/>
        </w:rPr>
        <w:t>A befektetési vállalkozások vonatkozásában többlet kockázat jellemzően az alábbi tevékenységeknél fordulhat elő:</w:t>
      </w:r>
    </w:p>
    <w:p w14:paraId="66B1576A" w14:textId="77777777" w:rsidR="003F29E3" w:rsidRPr="00181755" w:rsidRDefault="003F29E3" w:rsidP="00181755">
      <w:pPr>
        <w:pStyle w:val="felsorolsos"/>
        <w:rPr>
          <w:rFonts w:asciiTheme="minorHAnsi" w:hAnsiTheme="minorHAnsi"/>
        </w:rPr>
      </w:pPr>
      <w:r w:rsidRPr="00181755">
        <w:rPr>
          <w:rFonts w:asciiTheme="minorHAnsi" w:hAnsiTheme="minorHAnsi"/>
        </w:rPr>
        <w:t>nagy tőkeáttételű ügyletekre vonatkozó szolgáltatás nyújtása vagy közvetítése,</w:t>
      </w:r>
    </w:p>
    <w:p w14:paraId="66B1576B" w14:textId="77777777" w:rsidR="003F29E3" w:rsidRPr="00181755" w:rsidRDefault="003F29E3" w:rsidP="00181755">
      <w:pPr>
        <w:pStyle w:val="felsorolsos"/>
        <w:rPr>
          <w:rFonts w:asciiTheme="minorHAnsi" w:hAnsiTheme="minorHAnsi"/>
        </w:rPr>
      </w:pPr>
      <w:r w:rsidRPr="00181755">
        <w:rPr>
          <w:rFonts w:asciiTheme="minorHAnsi" w:hAnsiTheme="minorHAnsi"/>
        </w:rPr>
        <w:t>„</w:t>
      </w:r>
      <w:r w:rsidRPr="00181755">
        <w:rPr>
          <w:rFonts w:asciiTheme="minorHAnsi" w:hAnsiTheme="minorHAnsi"/>
          <w:lang w:val="hu-HU"/>
        </w:rPr>
        <w:t>h</w:t>
      </w:r>
      <w:r w:rsidRPr="00181755">
        <w:rPr>
          <w:rFonts w:asciiTheme="minorHAnsi" w:hAnsiTheme="minorHAnsi"/>
        </w:rPr>
        <w:t>igh frequ</w:t>
      </w:r>
      <w:r w:rsidRPr="00181755">
        <w:rPr>
          <w:rFonts w:asciiTheme="minorHAnsi" w:hAnsiTheme="minorHAnsi"/>
          <w:lang w:val="hu-HU"/>
        </w:rPr>
        <w:t>e</w:t>
      </w:r>
      <w:r w:rsidRPr="00181755">
        <w:rPr>
          <w:rFonts w:asciiTheme="minorHAnsi" w:hAnsiTheme="minorHAnsi"/>
        </w:rPr>
        <w:t>ncy trading” szolgáltatás nyújtása vagy közvetítése,</w:t>
      </w:r>
    </w:p>
    <w:p w14:paraId="66B1576C" w14:textId="77777777" w:rsidR="003F29E3" w:rsidRPr="00181755" w:rsidRDefault="003F29E3" w:rsidP="00181755">
      <w:pPr>
        <w:pStyle w:val="felsorolsos"/>
        <w:rPr>
          <w:rFonts w:asciiTheme="minorHAnsi" w:hAnsiTheme="minorHAnsi"/>
        </w:rPr>
      </w:pPr>
      <w:r w:rsidRPr="00181755">
        <w:rPr>
          <w:rFonts w:asciiTheme="minorHAnsi" w:hAnsiTheme="minorHAnsi"/>
        </w:rPr>
        <w:t>befektetési hitel vagy halasztott pénzügyi teljesítés szolgáltatás,</w:t>
      </w:r>
    </w:p>
    <w:p w14:paraId="66B1576E" w14:textId="18CC690D"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saját számlás kereskedés (saját számláról ügyfél javára v</w:t>
      </w:r>
      <w:r w:rsidR="00FB41CF" w:rsidRPr="00181755">
        <w:rPr>
          <w:rFonts w:asciiTheme="minorHAnsi" w:hAnsiTheme="minorHAnsi"/>
        </w:rPr>
        <w:t>égrehajtott ügyletek esetében).</w:t>
      </w:r>
    </w:p>
    <w:p w14:paraId="66B1576F" w14:textId="77777777" w:rsidR="003F29E3" w:rsidRPr="00181755" w:rsidRDefault="003F29E3" w:rsidP="00181755">
      <w:pPr>
        <w:pStyle w:val="Cmsor2"/>
        <w:rPr>
          <w:rFonts w:asciiTheme="minorHAnsi" w:hAnsiTheme="minorHAnsi"/>
        </w:rPr>
      </w:pPr>
      <w:bookmarkStart w:id="1455" w:name="_Toc461095272"/>
      <w:bookmarkStart w:id="1456" w:name="_Toc461179233"/>
      <w:bookmarkStart w:id="1457" w:name="_Toc461179928"/>
      <w:bookmarkStart w:id="1458" w:name="_Toc461197774"/>
      <w:bookmarkStart w:id="1459" w:name="_Toc461201372"/>
      <w:bookmarkStart w:id="1460" w:name="_Toc461548073"/>
      <w:bookmarkStart w:id="1461" w:name="_Toc462402113"/>
      <w:bookmarkStart w:id="1462" w:name="_Toc462403288"/>
      <w:bookmarkStart w:id="1463" w:name="_Toc462403560"/>
      <w:bookmarkStart w:id="1464" w:name="_Toc468180679"/>
      <w:bookmarkStart w:id="1465" w:name="_Toc468181236"/>
      <w:bookmarkStart w:id="1466" w:name="_Toc468191502"/>
      <w:r w:rsidRPr="00181755">
        <w:rPr>
          <w:rFonts w:asciiTheme="minorHAnsi" w:hAnsiTheme="minorHAnsi"/>
        </w:rPr>
        <w:t>Felügyeleti felülvizsgálatok a kis intézményeknél</w:t>
      </w:r>
      <w:bookmarkEnd w:id="1455"/>
      <w:bookmarkEnd w:id="1456"/>
      <w:bookmarkEnd w:id="1457"/>
      <w:bookmarkEnd w:id="1458"/>
      <w:bookmarkEnd w:id="1459"/>
      <w:bookmarkEnd w:id="1460"/>
      <w:bookmarkEnd w:id="1461"/>
      <w:bookmarkEnd w:id="1462"/>
      <w:bookmarkEnd w:id="1463"/>
      <w:bookmarkEnd w:id="1464"/>
      <w:bookmarkEnd w:id="1465"/>
      <w:bookmarkEnd w:id="1466"/>
    </w:p>
    <w:p w14:paraId="66B15770" w14:textId="484FEFA2" w:rsidR="003F29E3" w:rsidRPr="00181755" w:rsidRDefault="003F29E3" w:rsidP="00181755">
      <w:pPr>
        <w:rPr>
          <w:rFonts w:asciiTheme="minorHAnsi" w:hAnsiTheme="minorHAnsi"/>
        </w:rPr>
      </w:pPr>
      <w:r w:rsidRPr="00181755">
        <w:rPr>
          <w:rFonts w:asciiTheme="minorHAnsi" w:hAnsiTheme="minorHAnsi"/>
        </w:rPr>
        <w:t>A kis intézmények esetében az MNB évente egyszerűsített, kérdőíves felülvizsgálatot folytat le, illetve a 3</w:t>
      </w:r>
      <w:r w:rsidR="001A580F" w:rsidRPr="00181755">
        <w:rPr>
          <w:rFonts w:asciiTheme="minorHAnsi" w:hAnsiTheme="minorHAnsi"/>
        </w:rPr>
        <w:t xml:space="preserve"> </w:t>
      </w:r>
      <w:r w:rsidRPr="00181755">
        <w:rPr>
          <w:rFonts w:asciiTheme="minorHAnsi" w:hAnsiTheme="minorHAnsi"/>
        </w:rPr>
        <w:t xml:space="preserve">éves gyakoriságú átfogó vizsgálatok során végez nagyobb intenzitású felülvizsgálatot.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77777777" w:rsidR="003F29E3" w:rsidRPr="00181755" w:rsidRDefault="003F29E3" w:rsidP="00181755">
      <w:pPr>
        <w:rPr>
          <w:rFonts w:asciiTheme="minorHAnsi" w:hAnsiTheme="minorHAnsi"/>
        </w:rPr>
      </w:pPr>
      <w:r w:rsidRPr="00181755">
        <w:rPr>
          <w:rFonts w:asciiTheme="minorHAnsi" w:hAnsiTheme="minorHAnsi"/>
        </w:rPr>
        <w:t xml:space="preserve">A kérdőíves felmérést az MNB minden évben elvégzi,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148E4B01" w:rsidR="003F29E3" w:rsidRPr="00181755" w:rsidRDefault="003F29E3" w:rsidP="00181755">
      <w:pPr>
        <w:rPr>
          <w:rFonts w:asciiTheme="minorHAnsi" w:hAnsiTheme="minorHAnsi"/>
        </w:rPr>
      </w:pPr>
      <w:r w:rsidRPr="00181755">
        <w:rPr>
          <w:rFonts w:asciiTheme="minorHAnsi" w:hAnsiTheme="minorHAnsi"/>
        </w:rPr>
        <w:t>Amennyiben a kis intézmény a maga számára az ICAAP alkalmazása során magasabb tőkekövetelményt tart szükségesnek, és az MNB ezen felül nem állapít meg többlet</w:t>
      </w:r>
      <w:r w:rsidR="003C6A4E" w:rsidRPr="00181755">
        <w:rPr>
          <w:rFonts w:asciiTheme="minorHAnsi" w:hAnsiTheme="minorHAnsi"/>
        </w:rPr>
        <w:t>-</w:t>
      </w:r>
      <w:r w:rsidRPr="00181755">
        <w:rPr>
          <w:rFonts w:asciiTheme="minorHAnsi" w:hAnsiTheme="minorHAnsi"/>
        </w:rPr>
        <w:t xml:space="preserve">tőkekövetelményt, az intézmény által számított magasabb tőkekövetelményt tekinti az MNB a </w:t>
      </w:r>
      <w:r w:rsidR="004252EA" w:rsidRPr="00181755">
        <w:rPr>
          <w:rFonts w:asciiTheme="minorHAnsi" w:hAnsiTheme="minorHAnsi"/>
        </w:rPr>
        <w:t>SREP tőke</w:t>
      </w:r>
      <w:r w:rsidRPr="00181755">
        <w:rPr>
          <w:rFonts w:asciiTheme="minorHAnsi" w:hAnsiTheme="minorHAnsi"/>
        </w:rPr>
        <w:t>szükségletének.</w:t>
      </w:r>
    </w:p>
    <w:p w14:paraId="2E415DD0" w14:textId="569EA18D" w:rsidR="005B5FE2" w:rsidRPr="00181755" w:rsidRDefault="003F29E3" w:rsidP="00181755">
      <w:pPr>
        <w:spacing w:after="240"/>
        <w:rPr>
          <w:rFonts w:asciiTheme="minorHAnsi" w:hAnsiTheme="minorHAnsi"/>
        </w:rPr>
      </w:pPr>
      <w:r w:rsidRPr="00181755">
        <w:rPr>
          <w:rFonts w:asciiTheme="minorHAnsi" w:hAnsiTheme="minorHAnsi"/>
        </w:rPr>
        <w:t>Az egyes intézmények likviditás megfelelőségének értékelése is a felügyeleti felülvizsgálati folyamat része. A felülvizsgálat során az MNB értékeli az intézmény likviditási pufferét, finanszírozási politikáját, szabályzatát és mechanizmusait a likviditási és finanszírozási kockázatok mérésére, kezelésére. A kis intézmények likviditás likviditás-megfelelőségének értékelésekor az MNB a megfelelő kockázatkezelést preferálja többlettőke-pu</w:t>
      </w:r>
      <w:r w:rsidR="00FB41CF" w:rsidRPr="00181755">
        <w:rPr>
          <w:rFonts w:asciiTheme="minorHAnsi" w:hAnsiTheme="minorHAnsi"/>
        </w:rPr>
        <w:t>ffer megképeztetésével szemben.</w:t>
      </w:r>
    </w:p>
    <w:p w14:paraId="0F02A49B" w14:textId="31E01804" w:rsidR="00616192" w:rsidRPr="00181755" w:rsidRDefault="005B5FE2" w:rsidP="00181755">
      <w:pPr>
        <w:pStyle w:val="Cmsor2"/>
        <w:rPr>
          <w:rFonts w:asciiTheme="minorHAnsi" w:hAnsiTheme="minorHAnsi"/>
        </w:rPr>
      </w:pPr>
      <w:bookmarkStart w:id="1467" w:name="_Toc468180680"/>
      <w:bookmarkStart w:id="1468" w:name="_Toc468181237"/>
      <w:bookmarkStart w:id="1469" w:name="_Toc468191503"/>
      <w:r w:rsidRPr="00181755">
        <w:rPr>
          <w:rFonts w:asciiTheme="minorHAnsi" w:hAnsiTheme="minorHAnsi"/>
        </w:rPr>
        <w:t>A befektetési vállalkozások esetében a legjellemzőbb többlet</w:t>
      </w:r>
      <w:r w:rsidR="003C6A4E" w:rsidRPr="00181755">
        <w:rPr>
          <w:rFonts w:asciiTheme="minorHAnsi" w:hAnsiTheme="minorHAnsi"/>
          <w:lang w:val="hu-HU"/>
        </w:rPr>
        <w:t>-</w:t>
      </w:r>
      <w:r w:rsidRPr="00181755">
        <w:rPr>
          <w:rFonts w:asciiTheme="minorHAnsi" w:hAnsiTheme="minorHAnsi"/>
        </w:rPr>
        <w:t>tőkekövetelmény előírások</w:t>
      </w:r>
      <w:bookmarkEnd w:id="1467"/>
      <w:bookmarkEnd w:id="1468"/>
      <w:bookmarkEnd w:id="1469"/>
      <w:r w:rsidRPr="00181755">
        <w:rPr>
          <w:rFonts w:asciiTheme="minorHAnsi" w:hAnsiTheme="minorHAnsi"/>
        </w:rPr>
        <w:t xml:space="preserve"> </w:t>
      </w:r>
    </w:p>
    <w:p w14:paraId="7740E118" w14:textId="0E7B9909" w:rsidR="00E577A1" w:rsidRPr="00181755" w:rsidRDefault="00E577A1" w:rsidP="00181755">
      <w:pPr>
        <w:rPr>
          <w:rFonts w:asciiTheme="minorHAnsi" w:hAnsiTheme="minorHAnsi"/>
        </w:rPr>
      </w:pPr>
      <w:r w:rsidRPr="00181755">
        <w:rPr>
          <w:rFonts w:asciiTheme="minorHAnsi" w:hAnsiTheme="minorHAnsi"/>
        </w:rPr>
        <w:t>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§-ban euróban meghatározott induló tőkének, a megfigyelés időpontját megelőző egy naptári évben, az MNB által közzétett legmagasabb devizaárfolyam 95%-ával történő forintosított értékében határozza meg.</w:t>
      </w:r>
    </w:p>
    <w:p w14:paraId="0F085C71" w14:textId="1953BF3D" w:rsidR="00E577A1" w:rsidRPr="00181755" w:rsidRDefault="00E577A1" w:rsidP="00181755">
      <w:pPr>
        <w:rPr>
          <w:rFonts w:asciiTheme="minorHAnsi" w:hAnsiTheme="minorHAnsi"/>
        </w:rPr>
      </w:pPr>
      <w:r w:rsidRPr="00181755">
        <w:rPr>
          <w:rFonts w:asciiTheme="minorHAnsi" w:hAnsiTheme="minorHAnsi"/>
        </w:rPr>
        <w:t>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I. pillér általános módszertanával összhangban – 20%-os kockázati súly és 8%-os tőkekövetelmény alkalmazásával történik.</w:t>
      </w:r>
    </w:p>
    <w:p w14:paraId="7FB4A80A" w14:textId="76B78BDA" w:rsidR="00D93623" w:rsidRPr="00181755" w:rsidRDefault="00E13F25" w:rsidP="00181755">
      <w:pPr>
        <w:rPr>
          <w:rFonts w:asciiTheme="minorHAnsi" w:hAnsiTheme="minorHAnsi"/>
        </w:rPr>
      </w:pPr>
      <w:r w:rsidRPr="00181755">
        <w:rPr>
          <w:rFonts w:asciiTheme="minorHAnsi" w:hAnsiTheme="minorHAnsi"/>
        </w:rPr>
        <w:t xml:space="preserve">A White Label szerződések partnerkockázati kitettségére </w:t>
      </w:r>
      <w:r w:rsidR="00D93623" w:rsidRPr="00181755">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19762468" w:rsidR="003F29E3" w:rsidRPr="00181755" w:rsidRDefault="00E577A1" w:rsidP="00181755">
      <w:pPr>
        <w:spacing w:after="240"/>
        <w:rPr>
          <w:rFonts w:asciiTheme="minorHAnsi" w:hAnsiTheme="minorHAnsi"/>
        </w:rPr>
      </w:pPr>
      <w:r w:rsidRPr="00181755">
        <w:rPr>
          <w:rFonts w:asciiTheme="minorHAnsi" w:hAnsiTheme="minorHAnsi"/>
        </w:rPr>
        <w:t>A működési veszteség (káresemény) figyelembe vételére azon intézmények esetében került sor, amelyek működési vesztesége meghaladta a működési kockázat I. pilléres tőkekövetelményének 5%-át. Ebben az esetben a működési kockázat pótlólagos tőkekövetelményét a</w:t>
      </w:r>
      <w:r w:rsidR="005F6CEC" w:rsidRPr="00181755">
        <w:rPr>
          <w:rFonts w:asciiTheme="minorHAnsi" w:hAnsiTheme="minorHAnsi"/>
        </w:rPr>
        <w:t>z MNB a</w:t>
      </w:r>
      <w:r w:rsidRPr="00181755">
        <w:rPr>
          <w:rFonts w:asciiTheme="minorHAnsi" w:hAnsiTheme="minorHAnsi"/>
        </w:rPr>
        <w:t xml:space="preserve"> működési veszteség 100%-ában </w:t>
      </w:r>
      <w:r w:rsidR="005F6CEC" w:rsidRPr="00181755">
        <w:rPr>
          <w:rFonts w:asciiTheme="minorHAnsi" w:hAnsiTheme="minorHAnsi"/>
        </w:rPr>
        <w:t>állapítja meg</w:t>
      </w:r>
      <w:r w:rsidR="00FB41CF" w:rsidRPr="00181755">
        <w:rPr>
          <w:rFonts w:asciiTheme="minorHAnsi" w:hAnsiTheme="minorHAnsi"/>
        </w:rPr>
        <w:t>.</w:t>
      </w:r>
    </w:p>
    <w:p w14:paraId="66B15775" w14:textId="77777777" w:rsidR="003F29E3" w:rsidRPr="00181755" w:rsidRDefault="003F29E3" w:rsidP="00181755">
      <w:pPr>
        <w:pStyle w:val="Cmsor2"/>
        <w:rPr>
          <w:rFonts w:asciiTheme="minorHAnsi" w:hAnsiTheme="minorHAnsi"/>
        </w:rPr>
      </w:pPr>
      <w:bookmarkStart w:id="1470" w:name="_Toc461095273"/>
      <w:bookmarkStart w:id="1471" w:name="_Toc461179234"/>
      <w:bookmarkStart w:id="1472" w:name="_Toc461179929"/>
      <w:bookmarkStart w:id="1473" w:name="_Toc461197775"/>
      <w:bookmarkStart w:id="1474" w:name="_Toc461201373"/>
      <w:bookmarkStart w:id="1475" w:name="_Toc461548074"/>
      <w:bookmarkStart w:id="1476" w:name="_Toc462402114"/>
      <w:bookmarkStart w:id="1477" w:name="_Toc462403289"/>
      <w:bookmarkStart w:id="1478" w:name="_Toc462403561"/>
      <w:bookmarkStart w:id="1479" w:name="_Toc468180681"/>
      <w:bookmarkStart w:id="1480" w:name="_Toc468181238"/>
      <w:bookmarkStart w:id="1481" w:name="_Toc468191504"/>
      <w:r w:rsidRPr="00181755">
        <w:rPr>
          <w:rFonts w:asciiTheme="minorHAnsi" w:hAnsiTheme="minorHAnsi"/>
        </w:rPr>
        <w:t>Felügyeleti intézkedések a kis intézményekkel szemben</w:t>
      </w:r>
      <w:bookmarkEnd w:id="1470"/>
      <w:bookmarkEnd w:id="1471"/>
      <w:bookmarkEnd w:id="1472"/>
      <w:bookmarkEnd w:id="1473"/>
      <w:bookmarkEnd w:id="1474"/>
      <w:bookmarkEnd w:id="1475"/>
      <w:bookmarkEnd w:id="1476"/>
      <w:bookmarkEnd w:id="1477"/>
      <w:bookmarkEnd w:id="1478"/>
      <w:bookmarkEnd w:id="1479"/>
      <w:bookmarkEnd w:id="1480"/>
      <w:bookmarkEnd w:id="1481"/>
    </w:p>
    <w:p w14:paraId="66B15776" w14:textId="77777777" w:rsidR="003F29E3" w:rsidRPr="00181755" w:rsidRDefault="003F29E3" w:rsidP="00181755">
      <w:pPr>
        <w:rPr>
          <w:rFonts w:asciiTheme="minorHAnsi" w:hAnsiTheme="minorHAnsi"/>
        </w:rPr>
      </w:pPr>
      <w:r w:rsidRPr="00181755">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181755">
        <w:rPr>
          <w:rFonts w:asciiTheme="minorHAnsi" w:hAnsiTheme="minorHAnsi"/>
        </w:rPr>
        <w:t xml:space="preserve"> </w:t>
      </w:r>
      <w:r w:rsidRPr="00181755">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181755" w:rsidRDefault="003F29E3" w:rsidP="00181755">
      <w:pPr>
        <w:rPr>
          <w:rFonts w:asciiTheme="minorHAnsi" w:hAnsiTheme="minorHAnsi"/>
        </w:rPr>
      </w:pPr>
      <w:r w:rsidRPr="00181755">
        <w:rPr>
          <w:rFonts w:asciiTheme="minorHAnsi" w:hAnsiTheme="minorHAnsi"/>
        </w:rPr>
        <w:t>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megadását az MNB kiinduló alapnak szánja, a gyakorlatban további szempontok is felmerülhetnek, és mérlegelésre kerülhetnek.</w:t>
      </w:r>
    </w:p>
    <w:p w14:paraId="66B15779" w14:textId="58F7BF97" w:rsidR="003F29E3" w:rsidRPr="00181755" w:rsidRDefault="003F29E3" w:rsidP="00181755">
      <w:pPr>
        <w:spacing w:after="240"/>
        <w:rPr>
          <w:rFonts w:asciiTheme="minorHAnsi" w:hAnsiTheme="minorHAnsi"/>
        </w:rPr>
      </w:pPr>
      <w:r w:rsidRPr="00181755">
        <w:rPr>
          <w:rFonts w:asciiTheme="minorHAnsi" w:hAnsiTheme="minorHAnsi"/>
        </w:rPr>
        <w:t>A felügyeleti felülvizsgálat keretében hozott intézkedéseknek nem kizárólagos eszköze a többlet</w:t>
      </w:r>
      <w:r w:rsidR="003C6A4E" w:rsidRPr="00181755">
        <w:rPr>
          <w:rFonts w:asciiTheme="minorHAnsi" w:hAnsiTheme="minorHAnsi"/>
        </w:rPr>
        <w:t>-</w:t>
      </w:r>
      <w:r w:rsidRPr="00181755">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181755">
        <w:rPr>
          <w:rFonts w:asciiTheme="minorHAnsi" w:hAnsiTheme="minorHAnsi"/>
        </w:rPr>
        <w:t>felülvizsgálat lefolytatásáról.</w:t>
      </w:r>
    </w:p>
    <w:p w14:paraId="66B1577A" w14:textId="77777777" w:rsidR="003F29E3" w:rsidRPr="00181755" w:rsidRDefault="003F29E3" w:rsidP="00181755">
      <w:pPr>
        <w:pStyle w:val="Cmsor3"/>
        <w:rPr>
          <w:rFonts w:asciiTheme="minorHAnsi" w:hAnsiTheme="minorHAnsi"/>
        </w:rPr>
      </w:pPr>
      <w:bookmarkStart w:id="1482" w:name="_Toc461095274"/>
      <w:bookmarkStart w:id="1483" w:name="_Toc461179930"/>
      <w:bookmarkStart w:id="1484" w:name="_Toc461201374"/>
      <w:bookmarkStart w:id="1485" w:name="_Toc461548075"/>
      <w:bookmarkStart w:id="1486" w:name="_Toc462402115"/>
      <w:bookmarkStart w:id="1487" w:name="_Toc462403290"/>
      <w:bookmarkStart w:id="1488" w:name="_Toc462403562"/>
      <w:bookmarkStart w:id="1489" w:name="_Toc468180682"/>
      <w:bookmarkStart w:id="1490" w:name="_Toc468181239"/>
      <w:bookmarkStart w:id="1491" w:name="_Toc468191505"/>
      <w:r w:rsidRPr="00181755">
        <w:rPr>
          <w:rFonts w:asciiTheme="minorHAnsi" w:hAnsiTheme="minorHAnsi"/>
        </w:rPr>
        <w:t>Felügyeleti intézkedések kis hitelintézeteknél</w:t>
      </w:r>
      <w:bookmarkEnd w:id="1482"/>
      <w:bookmarkEnd w:id="1483"/>
      <w:bookmarkEnd w:id="1484"/>
      <w:bookmarkEnd w:id="1485"/>
      <w:bookmarkEnd w:id="1486"/>
      <w:bookmarkEnd w:id="1487"/>
      <w:bookmarkEnd w:id="1488"/>
      <w:bookmarkEnd w:id="1489"/>
      <w:bookmarkEnd w:id="1490"/>
      <w:bookmarkEnd w:id="1491"/>
    </w:p>
    <w:p w14:paraId="66B1577B" w14:textId="6F813BE2" w:rsidR="003F29E3" w:rsidRPr="00181755" w:rsidRDefault="003F29E3" w:rsidP="00181755">
      <w:pPr>
        <w:rPr>
          <w:rFonts w:asciiTheme="minorHAnsi" w:hAnsiTheme="minorHAnsi"/>
        </w:rPr>
      </w:pPr>
      <w:r w:rsidRPr="00181755">
        <w:rPr>
          <w:rFonts w:asciiTheme="minorHAnsi" w:hAnsiTheme="minorHAnsi"/>
        </w:rPr>
        <w:t>A felügyeleti felülvizsgálat keretében intézkedésre kell felszólítani azokat a hitelintézeteket, illetve esetlegesen többlet</w:t>
      </w:r>
      <w:r w:rsidR="003C6A4E" w:rsidRPr="00181755">
        <w:rPr>
          <w:rFonts w:asciiTheme="minorHAnsi" w:hAnsiTheme="minorHAnsi"/>
        </w:rPr>
        <w:t>-</w:t>
      </w:r>
      <w:r w:rsidRPr="00181755">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181755" w:rsidRDefault="003F29E3" w:rsidP="00181755">
      <w:pPr>
        <w:pStyle w:val="felsorolsos"/>
        <w:rPr>
          <w:rFonts w:asciiTheme="minorHAnsi" w:hAnsiTheme="minorHAnsi"/>
        </w:rPr>
      </w:pPr>
      <w:r w:rsidRPr="00181755">
        <w:rPr>
          <w:rFonts w:asciiTheme="minorHAnsi" w:hAnsiTheme="minorHAnsi"/>
        </w:rPr>
        <w:t>az átlagoshoz képest kockázatosabb körülmények között (pl. földrajzi környezet, magasabb kockázatú ügyfélkör) működnek,</w:t>
      </w:r>
    </w:p>
    <w:p w14:paraId="66B1577D" w14:textId="77777777" w:rsidR="003F29E3" w:rsidRPr="00181755" w:rsidRDefault="003F29E3" w:rsidP="00181755">
      <w:pPr>
        <w:pStyle w:val="felsorolsos"/>
        <w:rPr>
          <w:rFonts w:asciiTheme="minorHAnsi" w:hAnsiTheme="minorHAnsi"/>
        </w:rPr>
      </w:pPr>
      <w:r w:rsidRPr="00181755">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7F"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80" w14:textId="7E0C5BBD" w:rsidR="003F29E3" w:rsidRPr="00181755" w:rsidRDefault="003F29E3" w:rsidP="00181755">
      <w:pPr>
        <w:pStyle w:val="felsorolsos"/>
        <w:rPr>
          <w:rFonts w:asciiTheme="minorHAnsi" w:hAnsiTheme="minorHAnsi"/>
        </w:rPr>
      </w:pPr>
      <w:r w:rsidRPr="00181755">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r w:rsidR="001A580F" w:rsidRPr="00181755">
        <w:rPr>
          <w:rFonts w:asciiTheme="minorHAnsi" w:hAnsiTheme="minorHAnsi"/>
          <w:lang w:val="hu-HU"/>
        </w:rPr>
        <w:t xml:space="preserve"> folyamatos akvizíciós lépéseket hajt végre,</w:t>
      </w:r>
    </w:p>
    <w:p w14:paraId="66B15782"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181755" w:rsidRDefault="003F29E3" w:rsidP="00181755">
      <w:pPr>
        <w:pStyle w:val="felsorolsos"/>
        <w:rPr>
          <w:rFonts w:asciiTheme="minorHAnsi" w:hAnsiTheme="minorHAnsi"/>
        </w:rPr>
      </w:pPr>
      <w:r w:rsidRPr="00181755">
        <w:rPr>
          <w:rFonts w:asciiTheme="minorHAnsi" w:hAnsiTheme="minorHAnsi"/>
        </w:rPr>
        <w:t>az intézmény által kínált pénzügyi kondíciók lényegesen eltérnek a piacon megszokottól, és az MNB értékelése szerint ez hosszú távon nem fen</w:t>
      </w:r>
      <w:r w:rsidR="00FB41CF" w:rsidRPr="00181755">
        <w:rPr>
          <w:rFonts w:asciiTheme="minorHAnsi" w:hAnsiTheme="minorHAnsi"/>
        </w:rPr>
        <w:t>ntartható üzleti modellt jelent</w:t>
      </w:r>
      <w:r w:rsidR="00FB41CF" w:rsidRPr="00181755">
        <w:rPr>
          <w:rFonts w:asciiTheme="minorHAnsi" w:hAnsiTheme="minorHAnsi"/>
          <w:lang w:val="hu-HU"/>
        </w:rPr>
        <w:t>,</w:t>
      </w:r>
    </w:p>
    <w:p w14:paraId="66B15784" w14:textId="5B19D00C"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nem tart be alapvető, felügyeleti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85"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8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w:t>
      </w:r>
      <w:r w:rsidR="001A580F" w:rsidRPr="00181755">
        <w:rPr>
          <w:rFonts w:asciiTheme="minorHAnsi" w:hAnsiTheme="minorHAnsi"/>
          <w:lang w:val="hu-HU"/>
        </w:rPr>
        <w:t>/ILAAP</w:t>
      </w:r>
      <w:r w:rsidRPr="00181755">
        <w:rPr>
          <w:rFonts w:asciiTheme="minorHAnsi" w:hAnsiTheme="minorHAnsi"/>
        </w:rPr>
        <w:t xml:space="preserve"> minősége nem megfelelő,</w:t>
      </w:r>
    </w:p>
    <w:p w14:paraId="66B15789" w14:textId="67BDD63D" w:rsidR="003F29E3" w:rsidRPr="00181755" w:rsidRDefault="003F29E3" w:rsidP="00181755">
      <w:pPr>
        <w:pStyle w:val="felsorolsos"/>
        <w:rPr>
          <w:rFonts w:asciiTheme="minorHAnsi" w:hAnsiTheme="minorHAnsi"/>
        </w:rPr>
      </w:pPr>
      <w:r w:rsidRPr="00181755">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181755">
        <w:rPr>
          <w:rFonts w:asciiTheme="minorHAnsi" w:hAnsiTheme="minorHAnsi"/>
          <w:lang w:val="hu-HU"/>
        </w:rPr>
        <w:t>,</w:t>
      </w:r>
    </w:p>
    <w:p w14:paraId="66B1578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tulajdonosainak magatartása nem teszi lehetővé a hatékony tulajdonosi kontroll működését.</w:t>
      </w:r>
    </w:p>
    <w:p w14:paraId="66B1578C" w14:textId="64E1519A" w:rsidR="003F29E3" w:rsidRPr="00181755" w:rsidRDefault="003F29E3" w:rsidP="00181755">
      <w:pPr>
        <w:spacing w:after="240"/>
        <w:rPr>
          <w:rFonts w:asciiTheme="minorHAnsi" w:hAnsiTheme="minorHAnsi"/>
        </w:rPr>
      </w:pPr>
      <w:r w:rsidRPr="00181755">
        <w:rPr>
          <w:rFonts w:asciiTheme="minorHAnsi" w:hAnsiTheme="minorHAnsi"/>
        </w:rPr>
        <w:t>A személyre szabott értékelés korlátozott lehetősége miatt a többlet</w:t>
      </w:r>
      <w:r w:rsidR="003C6A4E" w:rsidRPr="00181755">
        <w:rPr>
          <w:rFonts w:asciiTheme="minorHAnsi" w:hAnsiTheme="minorHAnsi"/>
        </w:rPr>
        <w:t>-</w:t>
      </w:r>
      <w:r w:rsidRPr="00181755">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181755">
        <w:rPr>
          <w:rFonts w:asciiTheme="minorHAnsi" w:hAnsiTheme="minorHAnsi"/>
        </w:rPr>
        <w:t>egelés eredményeképp alakul ki.</w:t>
      </w:r>
    </w:p>
    <w:p w14:paraId="66B1578D" w14:textId="77777777" w:rsidR="003F29E3" w:rsidRPr="00181755" w:rsidRDefault="003F29E3" w:rsidP="00181755">
      <w:pPr>
        <w:pStyle w:val="Cmsor3"/>
        <w:rPr>
          <w:rFonts w:asciiTheme="minorHAnsi" w:hAnsiTheme="minorHAnsi"/>
        </w:rPr>
      </w:pPr>
      <w:bookmarkStart w:id="1492" w:name="_Toc461095275"/>
      <w:bookmarkStart w:id="1493" w:name="_Toc461179931"/>
      <w:bookmarkStart w:id="1494" w:name="_Toc461201375"/>
      <w:bookmarkStart w:id="1495" w:name="_Toc461548076"/>
      <w:bookmarkStart w:id="1496" w:name="_Toc462402116"/>
      <w:bookmarkStart w:id="1497" w:name="_Toc462403291"/>
      <w:bookmarkStart w:id="1498" w:name="_Toc462403563"/>
      <w:bookmarkStart w:id="1499" w:name="_Toc468180683"/>
      <w:bookmarkStart w:id="1500" w:name="_Toc468181240"/>
      <w:bookmarkStart w:id="1501" w:name="_Toc468191506"/>
      <w:r w:rsidRPr="00181755">
        <w:rPr>
          <w:rFonts w:asciiTheme="minorHAnsi" w:hAnsiTheme="minorHAnsi"/>
        </w:rPr>
        <w:t>Felügyeleti intézkedések befektetési vállalkozásoknál</w:t>
      </w:r>
      <w:bookmarkEnd w:id="1492"/>
      <w:bookmarkEnd w:id="1493"/>
      <w:bookmarkEnd w:id="1494"/>
      <w:bookmarkEnd w:id="1495"/>
      <w:bookmarkEnd w:id="1496"/>
      <w:bookmarkEnd w:id="1497"/>
      <w:bookmarkEnd w:id="1498"/>
      <w:bookmarkEnd w:id="1499"/>
      <w:bookmarkEnd w:id="1500"/>
      <w:bookmarkEnd w:id="1501"/>
    </w:p>
    <w:p w14:paraId="66B1578E" w14:textId="77777777" w:rsidR="003F29E3" w:rsidRPr="00181755" w:rsidRDefault="003F29E3" w:rsidP="00181755">
      <w:pPr>
        <w:rPr>
          <w:rFonts w:asciiTheme="minorHAnsi" w:hAnsiTheme="minorHAnsi"/>
        </w:rPr>
      </w:pPr>
      <w:r w:rsidRPr="00181755">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181755" w:rsidRDefault="003F29E3" w:rsidP="00181755">
      <w:pPr>
        <w:pStyle w:val="felsorolsos"/>
        <w:rPr>
          <w:rFonts w:asciiTheme="minorHAnsi" w:hAnsiTheme="minorHAnsi"/>
        </w:rPr>
      </w:pPr>
      <w:r w:rsidRPr="00181755">
        <w:rPr>
          <w:rFonts w:asciiTheme="minorHAnsi" w:hAnsiTheme="minorHAnsi"/>
        </w:rPr>
        <w:t>ügyfélszámlák felett az üzletkötő meghatalmazással rendelkezhet,</w:t>
      </w:r>
    </w:p>
    <w:p w14:paraId="66B15790" w14:textId="77777777" w:rsidR="003F29E3" w:rsidRPr="00181755" w:rsidRDefault="003F29E3" w:rsidP="00181755">
      <w:pPr>
        <w:pStyle w:val="felsorolsos"/>
        <w:rPr>
          <w:rFonts w:asciiTheme="minorHAnsi" w:hAnsiTheme="minorHAnsi"/>
        </w:rPr>
      </w:pPr>
      <w:r w:rsidRPr="00181755">
        <w:rPr>
          <w:rFonts w:asciiTheme="minorHAnsi" w:hAnsiTheme="minorHAnsi"/>
        </w:rPr>
        <w:t>az üzletkötők a megszokottnál magasabb limitekkel és/vagy hatáskörrel rendelkeznek,</w:t>
      </w:r>
    </w:p>
    <w:p w14:paraId="66B15791" w14:textId="77777777" w:rsidR="003F29E3" w:rsidRPr="00181755" w:rsidRDefault="003F29E3" w:rsidP="00181755">
      <w:pPr>
        <w:pStyle w:val="felsorolsos"/>
        <w:rPr>
          <w:rFonts w:asciiTheme="minorHAnsi" w:hAnsiTheme="minorHAnsi"/>
        </w:rPr>
      </w:pPr>
      <w:r w:rsidRPr="00181755">
        <w:rPr>
          <w:rFonts w:asciiTheme="minorHAnsi" w:hAnsiTheme="minorHAnsi"/>
        </w:rPr>
        <w:t>függő számlák, átvezetési számlák, technikai számlák megnyitása, vezetése (indokolatlanul, kontrollálatlanul),</w:t>
      </w:r>
    </w:p>
    <w:p w14:paraId="66B1579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határon átnyúló szolgáltatások, </w:t>
      </w:r>
    </w:p>
    <w:p w14:paraId="66B15793" w14:textId="77777777" w:rsidR="003F29E3" w:rsidRPr="00181755" w:rsidRDefault="003F29E3" w:rsidP="00181755">
      <w:pPr>
        <w:pStyle w:val="felsorolsos"/>
        <w:rPr>
          <w:rFonts w:asciiTheme="minorHAnsi" w:hAnsiTheme="minorHAnsi"/>
        </w:rPr>
      </w:pPr>
      <w:r w:rsidRPr="00181755">
        <w:rPr>
          <w:rFonts w:asciiTheme="minorHAnsi" w:hAnsiTheme="minorHAnsi"/>
        </w:rPr>
        <w:t>fejlett derivatív eszközökkel való kereskedés, külföldi értékpapírok vásárlása,</w:t>
      </w:r>
    </w:p>
    <w:p w14:paraId="66B15794" w14:textId="77777777" w:rsidR="003F29E3" w:rsidRPr="00181755" w:rsidRDefault="003F29E3" w:rsidP="00181755">
      <w:pPr>
        <w:pStyle w:val="felsorolsos"/>
        <w:rPr>
          <w:rFonts w:asciiTheme="minorHAnsi" w:hAnsiTheme="minorHAnsi"/>
        </w:rPr>
      </w:pPr>
      <w:r w:rsidRPr="00181755">
        <w:rPr>
          <w:rFonts w:asciiTheme="minorHAnsi" w:hAnsiTheme="minorHAnsi"/>
        </w:rPr>
        <w:t>harmadik fél letétkezelők igénybevétele,</w:t>
      </w:r>
    </w:p>
    <w:p w14:paraId="66B15795" w14:textId="77777777" w:rsidR="003F29E3" w:rsidRPr="00181755" w:rsidRDefault="003F29E3" w:rsidP="00181755">
      <w:pPr>
        <w:pStyle w:val="felsorolsos"/>
        <w:rPr>
          <w:rFonts w:asciiTheme="minorHAnsi" w:hAnsiTheme="minorHAnsi"/>
        </w:rPr>
      </w:pPr>
      <w:r w:rsidRPr="00181755">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181755" w:rsidRDefault="003F29E3" w:rsidP="00181755">
      <w:pPr>
        <w:pStyle w:val="felsorolsos"/>
        <w:rPr>
          <w:rFonts w:asciiTheme="minorHAnsi" w:hAnsiTheme="minorHAnsi"/>
        </w:rPr>
      </w:pPr>
      <w:r w:rsidRPr="00181755">
        <w:rPr>
          <w:rFonts w:asciiTheme="minorHAnsi" w:hAnsiTheme="minorHAnsi"/>
        </w:rPr>
        <w:t>a kereskedési és a back office rendszerek fizikai és logikai elkülönítésének a hiánya,</w:t>
      </w:r>
    </w:p>
    <w:p w14:paraId="66B1579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tulajdonosi viszonyai nem teszik lehetővé a hatékony tulajdonosi kontroll működését,</w:t>
      </w:r>
    </w:p>
    <w:p w14:paraId="66B15798"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99"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9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p>
    <w:p w14:paraId="66B1579B" w14:textId="3EC53A85" w:rsidR="003F29E3" w:rsidRPr="00181755" w:rsidRDefault="003F29E3" w:rsidP="00181755">
      <w:pPr>
        <w:pStyle w:val="felsorolsos"/>
        <w:rPr>
          <w:rFonts w:asciiTheme="minorHAnsi" w:hAnsiTheme="minorHAnsi"/>
        </w:rPr>
      </w:pPr>
      <w:r w:rsidRPr="00181755">
        <w:rPr>
          <w:rFonts w:asciiTheme="minorHAnsi" w:hAnsiTheme="minorHAnsi"/>
        </w:rPr>
        <w:t>az intézmény nem tart be alapvető, felügyele</w:t>
      </w:r>
      <w:r w:rsidR="00EB1BE0">
        <w:rPr>
          <w:rFonts w:asciiTheme="minorHAnsi" w:hAnsiTheme="minorHAnsi"/>
        </w:rPr>
        <w:t xml:space="preserv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9C"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9E"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 minősége nem megfelelő.</w:t>
      </w:r>
    </w:p>
    <w:p w14:paraId="66B157A0" w14:textId="77777777" w:rsidR="003F29E3" w:rsidRPr="00181755" w:rsidRDefault="003F29E3" w:rsidP="00181755">
      <w:pPr>
        <w:rPr>
          <w:rFonts w:asciiTheme="minorHAnsi" w:hAnsiTheme="minorHAnsi"/>
        </w:rPr>
      </w:pPr>
      <w:r w:rsidRPr="00181755">
        <w:rPr>
          <w:rFonts w:asciiTheme="minorHAnsi" w:hAnsiTheme="minorHAnsi"/>
        </w:rPr>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58299415" w:rsidR="003F29E3" w:rsidRPr="00181755" w:rsidRDefault="003F29E3" w:rsidP="00181755">
      <w:pPr>
        <w:spacing w:after="240"/>
        <w:rPr>
          <w:rFonts w:asciiTheme="minorHAnsi" w:hAnsiTheme="minorHAnsi"/>
        </w:rPr>
      </w:pPr>
      <w:r w:rsidRPr="00181755">
        <w:rPr>
          <w:rFonts w:asciiTheme="minorHAnsi" w:hAnsiTheme="minorHAnsi"/>
        </w:rPr>
        <w:t>A hatályos jogszabályok a felügyeleti felülvizsgálat keretében előírható maximum többlet</w:t>
      </w:r>
      <w:r w:rsidR="003C6A4E" w:rsidRPr="00181755">
        <w:rPr>
          <w:rFonts w:asciiTheme="minorHAnsi" w:hAnsiTheme="minorHAnsi"/>
        </w:rPr>
        <w:t>-</w:t>
      </w:r>
      <w:r w:rsidRPr="00181755">
        <w:rPr>
          <w:rFonts w:asciiTheme="minorHAnsi" w:hAnsiTheme="minorHAnsi"/>
        </w:rPr>
        <w:t xml:space="preserve">tőkekövetelményt az 1. pillér szerint kiszámított tőkekövetelmény alapján állapítják meg úgy, hogy a </w:t>
      </w:r>
      <w:r w:rsidR="004252EA" w:rsidRPr="00181755">
        <w:rPr>
          <w:rFonts w:asciiTheme="minorHAnsi" w:hAnsiTheme="minorHAnsi"/>
        </w:rPr>
        <w:t>SREP tőke</w:t>
      </w:r>
      <w:r w:rsidRPr="00181755">
        <w:rPr>
          <w:rFonts w:asciiTheme="minorHAnsi" w:hAnsiTheme="minorHAnsi"/>
        </w:rPr>
        <w:t>követelmény (az 1. pillér szerinti tőkekövetelmény és a felügyeleti felülvizsgálati eljárásban előírt többlet</w:t>
      </w:r>
      <w:r w:rsidR="003C6A4E" w:rsidRPr="00181755">
        <w:rPr>
          <w:rFonts w:asciiTheme="minorHAnsi" w:hAnsiTheme="minorHAnsi"/>
        </w:rPr>
        <w:t>-</w:t>
      </w:r>
      <w:r w:rsidRPr="00181755">
        <w:rPr>
          <w:rFonts w:asciiTheme="minorHAnsi" w:hAnsiTheme="minorHAnsi"/>
        </w:rPr>
        <w:t xml:space="preserve">tőkekövetelmény összege) legfeljebb a Bszt. 105.§ (2) bekezdésében meghatározott tőkekövetelmény kétszerese lehet. A </w:t>
      </w:r>
      <w:r w:rsidR="004252EA" w:rsidRPr="00181755">
        <w:rPr>
          <w:rFonts w:asciiTheme="minorHAnsi" w:hAnsiTheme="minorHAnsi"/>
        </w:rPr>
        <w:t>SREP tőke</w:t>
      </w:r>
      <w:r w:rsidRPr="00181755">
        <w:rPr>
          <w:rFonts w:asciiTheme="minorHAnsi" w:hAnsiTheme="minorHAnsi"/>
        </w:rPr>
        <w:t xml:space="preserve">követelmény azoknál a befektetési vállalkozásoknál, amelyeknél az </w:t>
      </w:r>
      <w:r w:rsidR="00C30828" w:rsidRPr="00181755">
        <w:rPr>
          <w:rFonts w:asciiTheme="minorHAnsi" w:hAnsiTheme="minorHAnsi"/>
        </w:rPr>
        <w:t>1</w:t>
      </w:r>
      <w:r w:rsidRPr="00181755">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181755">
        <w:rPr>
          <w:rFonts w:asciiTheme="minorHAnsi" w:hAnsiTheme="minorHAnsi"/>
        </w:rPr>
        <w:t>1</w:t>
      </w:r>
      <w:r w:rsidRPr="00181755">
        <w:rPr>
          <w:rFonts w:asciiTheme="minorHAnsi" w:hAnsiTheme="minorHAnsi"/>
        </w:rPr>
        <w:t>. pilléres tőkekövetelményt a Bszt. 105. (1) bekezdés a) pontja határozza meg, a tevékenység megkezdéséhez szükséges induló tőke 100%-tól 200%-ig terjedő elő</w:t>
      </w:r>
      <w:r w:rsidR="00FB41CF" w:rsidRPr="00181755">
        <w:rPr>
          <w:rFonts w:asciiTheme="minorHAnsi" w:hAnsiTheme="minorHAnsi"/>
        </w:rPr>
        <w:t>írásaként kerül meghatározásra.</w:t>
      </w:r>
    </w:p>
    <w:p w14:paraId="66B157A3" w14:textId="77777777" w:rsidR="003F29E3" w:rsidRPr="00181755" w:rsidRDefault="003F29E3" w:rsidP="00181755">
      <w:pPr>
        <w:pStyle w:val="Cmsor2"/>
        <w:rPr>
          <w:rFonts w:asciiTheme="minorHAnsi" w:hAnsiTheme="minorHAnsi"/>
        </w:rPr>
      </w:pPr>
      <w:bookmarkStart w:id="1502" w:name="_Toc461095276"/>
      <w:bookmarkStart w:id="1503" w:name="_Toc461179235"/>
      <w:bookmarkStart w:id="1504" w:name="_Toc461179932"/>
      <w:bookmarkStart w:id="1505" w:name="_Toc461197776"/>
      <w:bookmarkStart w:id="1506" w:name="_Toc461201376"/>
      <w:bookmarkStart w:id="1507" w:name="_Toc461548077"/>
      <w:bookmarkStart w:id="1508" w:name="_Toc462402117"/>
      <w:bookmarkStart w:id="1509" w:name="_Toc462403292"/>
      <w:bookmarkStart w:id="1510" w:name="_Toc462403564"/>
      <w:bookmarkStart w:id="1511" w:name="_Toc468180684"/>
      <w:bookmarkStart w:id="1512" w:name="_Toc468181241"/>
      <w:bookmarkStart w:id="1513" w:name="_Toc468191507"/>
      <w:r w:rsidRPr="00181755">
        <w:rPr>
          <w:rFonts w:asciiTheme="minorHAnsi" w:hAnsiTheme="minorHAnsi"/>
        </w:rPr>
        <w:t>A felügyeleti felülvizsgálat lezárása</w:t>
      </w:r>
      <w:bookmarkEnd w:id="1502"/>
      <w:bookmarkEnd w:id="1503"/>
      <w:bookmarkEnd w:id="1504"/>
      <w:bookmarkEnd w:id="1505"/>
      <w:bookmarkEnd w:id="1506"/>
      <w:bookmarkEnd w:id="1507"/>
      <w:bookmarkEnd w:id="1508"/>
      <w:bookmarkEnd w:id="1509"/>
      <w:bookmarkEnd w:id="1510"/>
      <w:bookmarkEnd w:id="1511"/>
      <w:bookmarkEnd w:id="1512"/>
      <w:bookmarkEnd w:id="1513"/>
    </w:p>
    <w:p w14:paraId="66B157A4" w14:textId="77777777" w:rsidR="003F29E3" w:rsidRPr="00181755" w:rsidRDefault="003F29E3" w:rsidP="00181755">
      <w:pPr>
        <w:rPr>
          <w:rFonts w:asciiTheme="minorHAnsi" w:hAnsiTheme="minorHAnsi"/>
        </w:rPr>
      </w:pPr>
      <w:r w:rsidRPr="00181755">
        <w:rPr>
          <w:rFonts w:asciiTheme="minorHAnsi" w:hAnsiTheme="minorHAnsi"/>
        </w:rPr>
        <w:t xml:space="preserve">A kérdőívek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181755">
        <w:rPr>
          <w:rFonts w:asciiTheme="minorHAnsi" w:hAnsiTheme="minorHAnsi"/>
        </w:rPr>
        <w:t>SREP tőke</w:t>
      </w:r>
      <w:r w:rsidRPr="00181755">
        <w:rPr>
          <w:rFonts w:asciiTheme="minorHAnsi" w:hAnsiTheme="minorHAnsi"/>
        </w:rPr>
        <w:t>követelménynek (TSCR), teljes tőkekövetelménynek (OCR) való megfelelést az MNB nem látja biztosítottnak, a szükséges tőkepótlásra határozatban hívhatja fel az intézményt.</w:t>
      </w:r>
    </w:p>
    <w:p w14:paraId="66B157A5" w14:textId="77777777" w:rsidR="003F29E3" w:rsidRPr="00181755" w:rsidRDefault="003F29E3" w:rsidP="00181755">
      <w:pPr>
        <w:rPr>
          <w:rFonts w:asciiTheme="minorHAnsi" w:hAnsiTheme="minorHAnsi"/>
        </w:rPr>
      </w:pPr>
      <w:r w:rsidRPr="00181755">
        <w:rPr>
          <w:rFonts w:asciiTheme="minorHAnsi" w:hAnsiTheme="minorHAnsi"/>
        </w:rPr>
        <w:t xml:space="preserve">Ha az MNB átfogó vizsgálat keretében folytatja le a felügyeleti felülvizsgálatot, a lezárásra a vizsgálat lezárásának keretében kerül sor. </w:t>
      </w:r>
    </w:p>
    <w:p w14:paraId="66B157A6" w14:textId="77777777" w:rsidR="003F29E3" w:rsidRPr="00181755" w:rsidRDefault="003F29E3" w:rsidP="00181755">
      <w:pPr>
        <w:pStyle w:val="Cmsor1"/>
        <w:rPr>
          <w:rFonts w:asciiTheme="minorHAnsi" w:hAnsiTheme="minorHAnsi"/>
        </w:rPr>
      </w:pPr>
      <w:bookmarkStart w:id="1514" w:name="_VIII._Az_ICAAP"/>
      <w:bookmarkEnd w:id="1514"/>
      <w:r w:rsidRPr="00181755">
        <w:rPr>
          <w:rFonts w:asciiTheme="minorHAnsi" w:hAnsiTheme="minorHAnsi"/>
        </w:rPr>
        <w:br w:type="page"/>
      </w:r>
      <w:bookmarkStart w:id="1515" w:name="_IX._Nyilvánosságra-hozatal_és"/>
      <w:bookmarkStart w:id="1516" w:name="_Toc461095277"/>
      <w:bookmarkStart w:id="1517" w:name="_Toc461179236"/>
      <w:bookmarkStart w:id="1518" w:name="_Toc461179933"/>
      <w:bookmarkStart w:id="1519" w:name="_Toc461197777"/>
      <w:bookmarkStart w:id="1520" w:name="_Toc461201377"/>
      <w:bookmarkStart w:id="1521" w:name="_Toc461548078"/>
      <w:bookmarkStart w:id="1522" w:name="_Toc462402118"/>
      <w:bookmarkStart w:id="1523" w:name="_Toc462403293"/>
      <w:bookmarkStart w:id="1524" w:name="_Toc462403565"/>
      <w:bookmarkStart w:id="1525" w:name="_Toc468180685"/>
      <w:bookmarkStart w:id="1526" w:name="_Toc468181242"/>
      <w:bookmarkStart w:id="1527" w:name="_Toc468191508"/>
      <w:bookmarkStart w:id="1528" w:name="_Toc378256250"/>
      <w:bookmarkStart w:id="1529" w:name="_Toc378592111"/>
      <w:bookmarkEnd w:id="1515"/>
      <w:r w:rsidRPr="00181755">
        <w:rPr>
          <w:rFonts w:asciiTheme="minorHAnsi" w:hAnsiTheme="minorHAnsi"/>
        </w:rPr>
        <w:t>Dokumentum-lista</w:t>
      </w:r>
      <w:bookmarkEnd w:id="1516"/>
      <w:bookmarkEnd w:id="1517"/>
      <w:bookmarkEnd w:id="1518"/>
      <w:bookmarkEnd w:id="1519"/>
      <w:bookmarkEnd w:id="1520"/>
      <w:bookmarkEnd w:id="1521"/>
      <w:bookmarkEnd w:id="1522"/>
      <w:bookmarkEnd w:id="1523"/>
      <w:bookmarkEnd w:id="1524"/>
      <w:bookmarkEnd w:id="1525"/>
      <w:bookmarkEnd w:id="1526"/>
      <w:bookmarkEnd w:id="1527"/>
    </w:p>
    <w:bookmarkEnd w:id="1528"/>
    <w:bookmarkEnd w:id="1529"/>
    <w:p w14:paraId="66B157A7" w14:textId="77777777" w:rsidR="003F29E3" w:rsidRPr="00181755" w:rsidRDefault="003F29E3" w:rsidP="00181755">
      <w:pPr>
        <w:rPr>
          <w:rFonts w:asciiTheme="minorHAnsi" w:hAnsiTheme="minorHAnsi"/>
        </w:rPr>
      </w:pPr>
      <w:r w:rsidRPr="00181755">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181755" w:rsidRDefault="003F29E3" w:rsidP="00181755">
      <w:pPr>
        <w:rPr>
          <w:rFonts w:asciiTheme="minorHAnsi" w:hAnsiTheme="minorHAnsi"/>
        </w:rPr>
      </w:pPr>
      <w:r w:rsidRPr="00181755">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0A51B0AB" w:rsidR="003F29E3" w:rsidRPr="00181755" w:rsidRDefault="003F29E3" w:rsidP="00181755">
      <w:pPr>
        <w:spacing w:after="240"/>
        <w:rPr>
          <w:rFonts w:asciiTheme="minorHAnsi" w:hAnsiTheme="minorHAnsi"/>
        </w:rPr>
      </w:pPr>
      <w:r w:rsidRPr="00181755">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tőkeszámítás módszereit és eredményét, a likviditás megfelelőséget biztosító rendszert az intézménynek kell bemutatnia és meg kell védenie. A benyújtott anyaggal szemben felügyeleti elvárás, hogy az intézmény hozzon fel minden</w:t>
      </w:r>
      <w:r w:rsidR="00FB41CF" w:rsidRPr="00181755">
        <w:rPr>
          <w:rFonts w:asciiTheme="minorHAnsi" w:hAnsiTheme="minorHAnsi"/>
        </w:rPr>
        <w:t xml:space="preserve"> érvet a kalkulációi védelmére.</w:t>
      </w:r>
    </w:p>
    <w:p w14:paraId="66B157AB" w14:textId="77777777" w:rsidR="003F29E3" w:rsidRPr="00181755" w:rsidRDefault="003F29E3" w:rsidP="00181755">
      <w:pPr>
        <w:pStyle w:val="Cmsor2"/>
        <w:rPr>
          <w:rFonts w:asciiTheme="minorHAnsi" w:hAnsiTheme="minorHAnsi"/>
        </w:rPr>
      </w:pPr>
      <w:bookmarkStart w:id="1530" w:name="_Összefoglaló"/>
      <w:bookmarkStart w:id="1531" w:name="_Toc378592112"/>
      <w:bookmarkStart w:id="1532" w:name="_Toc461095278"/>
      <w:bookmarkStart w:id="1533" w:name="_Toc461179237"/>
      <w:bookmarkStart w:id="1534" w:name="_Toc461179934"/>
      <w:bookmarkStart w:id="1535" w:name="_Toc461197778"/>
      <w:bookmarkStart w:id="1536" w:name="_Toc461201378"/>
      <w:bookmarkStart w:id="1537" w:name="_Toc461548079"/>
      <w:bookmarkStart w:id="1538" w:name="_Toc462402119"/>
      <w:bookmarkStart w:id="1539" w:name="_Toc462403294"/>
      <w:bookmarkStart w:id="1540" w:name="_Toc462403566"/>
      <w:bookmarkStart w:id="1541" w:name="_Toc468180686"/>
      <w:bookmarkStart w:id="1542" w:name="_Toc468181243"/>
      <w:bookmarkStart w:id="1543" w:name="_Toc468191509"/>
      <w:bookmarkEnd w:id="1530"/>
      <w:r w:rsidRPr="00181755">
        <w:rPr>
          <w:rFonts w:asciiTheme="minorHAnsi" w:hAnsiTheme="minorHAnsi"/>
        </w:rPr>
        <w:t>Összefoglaló</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66B157AC" w14:textId="77777777" w:rsidR="003F29E3" w:rsidRPr="00181755" w:rsidRDefault="003F29E3" w:rsidP="00181755">
      <w:pPr>
        <w:pStyle w:val="felsorolsos"/>
        <w:rPr>
          <w:rFonts w:asciiTheme="minorHAnsi" w:hAnsiTheme="minorHAnsi"/>
        </w:rPr>
      </w:pPr>
      <w:r w:rsidRPr="00181755">
        <w:rPr>
          <w:rFonts w:asciiTheme="minorHAnsi" w:hAnsiTheme="minorHAnsi"/>
        </w:rPr>
        <w:t>Egyéni, illetve csoport szintű kockázati stratégia bemutatása önálló dokumentumként (</w:t>
      </w:r>
      <w:r w:rsidRPr="00181755">
        <w:rPr>
          <w:rFonts w:asciiTheme="minorHAnsi" w:hAnsiTheme="minorHAnsi"/>
          <w:lang w:val="hu-HU"/>
        </w:rPr>
        <w:t xml:space="preserve">az ICAAP és az ILAAP </w:t>
      </w:r>
      <w:r w:rsidRPr="00181755">
        <w:rPr>
          <w:rFonts w:asciiTheme="minorHAnsi" w:hAnsiTheme="minorHAnsi"/>
        </w:rPr>
        <w:t>folyamatának dokumentálásánál többek között kellő hangsúlyt kell fektetni az intézmény kockázatkezelés</w:t>
      </w:r>
      <w:r w:rsidRPr="00181755">
        <w:rPr>
          <w:rFonts w:asciiTheme="minorHAnsi" w:hAnsiTheme="minorHAnsi"/>
          <w:lang w:val="hu-HU"/>
        </w:rPr>
        <w:t>i</w:t>
      </w:r>
      <w:r w:rsidRPr="00181755">
        <w:rPr>
          <w:rFonts w:asciiTheme="minorHAnsi" w:hAnsiTheme="minorHAnsi"/>
        </w:rPr>
        <w:t xml:space="preserve"> szervezeti, irányítási és felvigyázói funkciójának, valamint a belső ellenőrzési mechanizmusainak bemutatására).</w:t>
      </w:r>
    </w:p>
    <w:p w14:paraId="66B157A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intézmény/csoport lényeges tevékenységeinek/üzletágainak rövid bemutatása. Csoport esetében kerüljön ismertetésre, hogy a</w:t>
      </w:r>
      <w:r w:rsidRPr="00181755">
        <w:rPr>
          <w:rFonts w:asciiTheme="minorHAnsi" w:hAnsiTheme="minorHAnsi"/>
          <w:lang w:val="hu-HU"/>
        </w:rPr>
        <w:t xml:space="preserve"> tőke- és a likviditás megfelelőségi </w:t>
      </w:r>
      <w:r w:rsidRPr="00181755">
        <w:rPr>
          <w:rFonts w:asciiTheme="minorHAnsi" w:hAnsiTheme="minorHAnsi"/>
        </w:rPr>
        <w:t>folyamat mely cégcsoport</w:t>
      </w:r>
      <w:r w:rsidRPr="00181755">
        <w:rPr>
          <w:rFonts w:asciiTheme="minorHAnsi" w:hAnsiTheme="minorHAnsi"/>
          <w:lang w:val="hu-HU"/>
        </w:rPr>
        <w:t>-</w:t>
      </w:r>
      <w:r w:rsidRPr="00181755">
        <w:rPr>
          <w:rFonts w:asciiTheme="minorHAnsi" w:hAnsiTheme="minorHAnsi"/>
        </w:rPr>
        <w:t xml:space="preserve"> tagokat fedi le.</w:t>
      </w:r>
    </w:p>
    <w:p w14:paraId="66B157AE" w14:textId="77777777" w:rsidR="003F29E3" w:rsidRPr="00181755" w:rsidRDefault="003F29E3" w:rsidP="00181755">
      <w:pPr>
        <w:pStyle w:val="felsorolsos"/>
        <w:rPr>
          <w:rFonts w:asciiTheme="minorHAnsi" w:hAnsiTheme="minorHAnsi"/>
        </w:rPr>
      </w:pPr>
      <w:r w:rsidRPr="00181755">
        <w:rPr>
          <w:rFonts w:asciiTheme="minorHAnsi" w:hAnsiTheme="minorHAnsi"/>
        </w:rPr>
        <w:t>Áttekintés az alkalmazott belső tőkeszükséglet számítási módszerekről, az alkalmazott módszer</w:t>
      </w:r>
      <w:r w:rsidRPr="00181755">
        <w:rPr>
          <w:rFonts w:asciiTheme="minorHAnsi" w:hAnsiTheme="minorHAnsi"/>
          <w:lang w:val="hu-HU"/>
        </w:rPr>
        <w:t>(ek)</w:t>
      </w:r>
      <w:r w:rsidRPr="00181755">
        <w:rPr>
          <w:rFonts w:asciiTheme="minorHAnsi" w:hAnsiTheme="minorHAnsi"/>
        </w:rPr>
        <w:t xml:space="preserve"> esetleges változtatásáról. </w:t>
      </w:r>
    </w:p>
    <w:p w14:paraId="66B157AF" w14:textId="77777777" w:rsidR="003F29E3" w:rsidRPr="00181755" w:rsidRDefault="003F29E3" w:rsidP="00181755">
      <w:pPr>
        <w:pStyle w:val="felsorolsos"/>
        <w:rPr>
          <w:rFonts w:asciiTheme="minorHAnsi" w:hAnsiTheme="minorHAnsi"/>
        </w:rPr>
      </w:pPr>
      <w:r w:rsidRPr="00181755">
        <w:rPr>
          <w:rFonts w:asciiTheme="minorHAnsi" w:hAnsiTheme="minorHAnsi"/>
        </w:rPr>
        <w:t>Use teszt dokumentálása. Szükséges bemutatni, hogy milyen területeken használja fel a tőkeszámítás eredményét az intézmény, a bemutatás jelentősen befolyásolhatja a tőkeszámítások megbízhatóságának felügyeleti megítélését. A belső tőkeszükséglet</w:t>
      </w:r>
      <w:r w:rsidRPr="00181755">
        <w:rPr>
          <w:rFonts w:asciiTheme="minorHAnsi" w:hAnsiTheme="minorHAnsi"/>
          <w:lang w:val="hu-HU"/>
        </w:rPr>
        <w:t>-</w:t>
      </w:r>
      <w:r w:rsidRPr="00181755">
        <w:rPr>
          <w:rFonts w:asciiTheme="minorHAnsi" w:hAnsiTheme="minorHAnsi"/>
        </w:rPr>
        <w:t>számítás eredménye és a rendelkezésre álló tőke kapcsolata.</w:t>
      </w:r>
    </w:p>
    <w:p w14:paraId="66B157B0"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 megfelelőségének értékelése.</w:t>
      </w:r>
    </w:p>
    <w:p w14:paraId="66B157B1"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intézményi belső önértékelések (GAP analízis) és ezek alapján megfogalmazott feladattervek ismertetése, ICAAP</w:t>
      </w:r>
      <w:r w:rsidRPr="00181755">
        <w:rPr>
          <w:rFonts w:asciiTheme="minorHAnsi" w:hAnsiTheme="minorHAnsi"/>
          <w:lang w:val="hu-HU"/>
        </w:rPr>
        <w:t xml:space="preserve"> és ILAAP</w:t>
      </w:r>
      <w:r w:rsidRPr="00181755">
        <w:rPr>
          <w:rFonts w:asciiTheme="minorHAnsi" w:hAnsiTheme="minorHAnsi"/>
        </w:rPr>
        <w:t xml:space="preserve"> éves felülvizsgálat eredményének bemutatása</w:t>
      </w:r>
      <w:r w:rsidRPr="00181755">
        <w:rPr>
          <w:rFonts w:asciiTheme="minorHAnsi" w:hAnsiTheme="minorHAnsi"/>
          <w:lang w:val="hu-HU"/>
        </w:rPr>
        <w:t>.</w:t>
      </w:r>
    </w:p>
    <w:p w14:paraId="66B157B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 Az intézmény lényeges kockázatainak rövid értékelése, az előző értékeléshez képest bekövetkezett változások.</w:t>
      </w:r>
    </w:p>
    <w:p w14:paraId="66B157B4" w14:textId="455F5593"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A tőke-megfelelőségi</w:t>
      </w:r>
      <w:r w:rsidRPr="00181755">
        <w:rPr>
          <w:rFonts w:asciiTheme="minorHAnsi" w:hAnsiTheme="minorHAnsi"/>
          <w:lang w:val="hu-HU"/>
        </w:rPr>
        <w:t>, likviditás megfelelőségi</w:t>
      </w:r>
      <w:r w:rsidRPr="00181755">
        <w:rPr>
          <w:rFonts w:asciiTheme="minorHAnsi" w:hAnsiTheme="minorHAnsi"/>
        </w:rPr>
        <w:t xml:space="preserve"> vizsgálat ideje, mely cégcsoport-tagokra terjed ki</w:t>
      </w:r>
      <w:r w:rsidR="00FB41CF" w:rsidRPr="00181755">
        <w:rPr>
          <w:rFonts w:asciiTheme="minorHAnsi" w:hAnsiTheme="minorHAnsi"/>
        </w:rPr>
        <w:t>, ki végezte és ki hagyta jóvá.</w:t>
      </w:r>
    </w:p>
    <w:p w14:paraId="66B157B5" w14:textId="77777777" w:rsidR="003F29E3" w:rsidRPr="00181755" w:rsidRDefault="003F29E3" w:rsidP="00181755">
      <w:pPr>
        <w:pStyle w:val="Cmsor2"/>
        <w:rPr>
          <w:rFonts w:asciiTheme="minorHAnsi" w:hAnsiTheme="minorHAnsi"/>
        </w:rPr>
      </w:pPr>
      <w:bookmarkStart w:id="1544" w:name="_A_jelenlegi_és"/>
      <w:bookmarkStart w:id="1545" w:name="_Toc378592113"/>
      <w:bookmarkStart w:id="1546" w:name="_Toc461095279"/>
      <w:bookmarkStart w:id="1547" w:name="_Toc461179238"/>
      <w:bookmarkStart w:id="1548" w:name="_Toc461179935"/>
      <w:bookmarkStart w:id="1549" w:name="_Toc461197779"/>
      <w:bookmarkStart w:id="1550" w:name="_Toc461201379"/>
      <w:bookmarkStart w:id="1551" w:name="_Toc461548080"/>
      <w:bookmarkStart w:id="1552" w:name="_Toc462402120"/>
      <w:bookmarkStart w:id="1553" w:name="_Toc462403295"/>
      <w:bookmarkStart w:id="1554" w:name="_Toc462403567"/>
      <w:bookmarkStart w:id="1555" w:name="_Toc468180687"/>
      <w:bookmarkStart w:id="1556" w:name="_Toc468181244"/>
      <w:bookmarkStart w:id="1557" w:name="_Toc468191510"/>
      <w:bookmarkEnd w:id="1544"/>
      <w:r w:rsidRPr="00181755">
        <w:rPr>
          <w:rFonts w:asciiTheme="minorHAnsi" w:hAnsiTheme="minorHAnsi"/>
        </w:rPr>
        <w:t>A jelenlegi és a tervezett tőkehelyzet bemutatása</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66B157B6" w14:textId="77777777" w:rsidR="003F29E3" w:rsidRPr="00181755" w:rsidRDefault="003F29E3" w:rsidP="00181755">
      <w:pPr>
        <w:rPr>
          <w:rFonts w:asciiTheme="minorHAnsi" w:hAnsiTheme="minorHAnsi"/>
        </w:rPr>
      </w:pPr>
      <w:r w:rsidRPr="00181755">
        <w:rPr>
          <w:rFonts w:asciiTheme="minorHAnsi" w:hAnsiTheme="minorHAnsi"/>
        </w:rPr>
        <w:t>A tőketerv részletezése, ezen belül a tőkeigény-tőkefelhasználás, belső/külső források, osztalék-politika.</w:t>
      </w:r>
    </w:p>
    <w:p w14:paraId="66B157B7" w14:textId="77777777" w:rsidR="003F29E3" w:rsidRPr="00181755" w:rsidRDefault="003F29E3" w:rsidP="00181755">
      <w:pPr>
        <w:rPr>
          <w:rFonts w:asciiTheme="minorHAnsi" w:hAnsiTheme="minorHAnsi"/>
        </w:rPr>
      </w:pPr>
    </w:p>
    <w:p w14:paraId="66B157B8" w14:textId="77777777" w:rsidR="003F29E3" w:rsidRPr="00181755" w:rsidRDefault="00AB1BC5" w:rsidP="00181755">
      <w:pPr>
        <w:pStyle w:val="Cmsor2"/>
        <w:rPr>
          <w:rFonts w:asciiTheme="minorHAnsi" w:hAnsiTheme="minorHAnsi"/>
        </w:rPr>
      </w:pPr>
      <w:bookmarkStart w:id="1558" w:name="_Tőkemegfelelési_számítás_részletes"/>
      <w:bookmarkStart w:id="1559" w:name="_Toc378592114"/>
      <w:bookmarkEnd w:id="1558"/>
      <w:r w:rsidRPr="00181755">
        <w:rPr>
          <w:rFonts w:asciiTheme="minorHAnsi" w:hAnsiTheme="minorHAnsi"/>
        </w:rPr>
        <w:br w:type="page"/>
      </w:r>
      <w:bookmarkStart w:id="1560" w:name="_Toc461095280"/>
      <w:bookmarkStart w:id="1561" w:name="_Toc461179239"/>
      <w:bookmarkStart w:id="1562" w:name="_Toc461179936"/>
      <w:bookmarkStart w:id="1563" w:name="_Toc461197780"/>
      <w:bookmarkStart w:id="1564" w:name="_Toc461201380"/>
      <w:bookmarkStart w:id="1565" w:name="_Toc461548081"/>
      <w:bookmarkStart w:id="1566" w:name="_Toc462402121"/>
      <w:bookmarkStart w:id="1567" w:name="_Toc462403296"/>
      <w:bookmarkStart w:id="1568" w:name="_Toc462403568"/>
      <w:bookmarkStart w:id="1569" w:name="_Toc468180688"/>
      <w:bookmarkStart w:id="1570" w:name="_Toc468181245"/>
      <w:bookmarkStart w:id="1571" w:name="_Toc468191511"/>
      <w:r w:rsidR="003F29E3" w:rsidRPr="00181755">
        <w:rPr>
          <w:rFonts w:asciiTheme="minorHAnsi" w:hAnsiTheme="minorHAnsi"/>
        </w:rPr>
        <w:t>Tőkemegfelelési számítás részletes ismertetése</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14:paraId="66B157B9"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feltárására és kezelésére kialakított módszertan dokumentációja;</w:t>
      </w:r>
    </w:p>
    <w:p w14:paraId="66B157BA"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számítási módszer és eredmény részletes ismertetése, gazdasági tőkeszámítási módszer esetében a konfidencia-szint, feltételek megadása;</w:t>
      </w:r>
    </w:p>
    <w:p w14:paraId="66B157BB"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időpontja és időhorizontja;</w:t>
      </w:r>
    </w:p>
    <w:p w14:paraId="66B157BC"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térképe, a kockázatok definíciója;</w:t>
      </w:r>
    </w:p>
    <w:p w14:paraId="66B157BD"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során figyelembe vett lényeges kockázatok ismertetése, ahol szükséges</w:t>
      </w:r>
      <w:r w:rsidRPr="00181755">
        <w:rPr>
          <w:rFonts w:asciiTheme="minorHAnsi" w:hAnsiTheme="minorHAnsi"/>
          <w:lang w:val="hu-HU"/>
        </w:rPr>
        <w:t>,</w:t>
      </w:r>
      <w:r w:rsidRPr="00181755">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kockázatot csökkentő elemek;</w:t>
      </w:r>
    </w:p>
    <w:p w14:paraId="66B157BF" w14:textId="77777777" w:rsidR="003F29E3" w:rsidRPr="00181755" w:rsidRDefault="003F29E3" w:rsidP="00181755">
      <w:pPr>
        <w:pStyle w:val="felsorolsos"/>
        <w:rPr>
          <w:rFonts w:asciiTheme="minorHAnsi" w:hAnsiTheme="minorHAnsi"/>
        </w:rPr>
      </w:pPr>
      <w:r w:rsidRPr="00181755">
        <w:rPr>
          <w:rFonts w:asciiTheme="minorHAnsi" w:hAnsiTheme="minorHAnsi"/>
        </w:rPr>
        <w:t>a módszertan és feltételezések ismertetése (a kockázatok mérésének módszere);</w:t>
      </w:r>
    </w:p>
    <w:p w14:paraId="66B157C0" w14:textId="77777777" w:rsidR="003F29E3" w:rsidRPr="00181755" w:rsidRDefault="003F29E3" w:rsidP="00181755">
      <w:pPr>
        <w:pStyle w:val="felsorolsos"/>
        <w:rPr>
          <w:rFonts w:asciiTheme="minorHAnsi" w:hAnsiTheme="minorHAnsi"/>
        </w:rPr>
      </w:pPr>
      <w:r w:rsidRPr="00181755">
        <w:rPr>
          <w:rFonts w:asciiTheme="minorHAnsi" w:hAnsiTheme="minorHAnsi"/>
        </w:rPr>
        <w:t>az egyéb kockázatok belső tőkeallokáció folyamatában történő figyelembevétele;</w:t>
      </w:r>
    </w:p>
    <w:p w14:paraId="66B157C1" w14:textId="77777777" w:rsidR="003F29E3" w:rsidRPr="00181755" w:rsidRDefault="003F29E3" w:rsidP="00181755">
      <w:pPr>
        <w:pStyle w:val="felsorolsos"/>
        <w:rPr>
          <w:rFonts w:asciiTheme="minorHAnsi" w:hAnsiTheme="minorHAnsi"/>
        </w:rPr>
      </w:pPr>
      <w:r w:rsidRPr="00181755">
        <w:rPr>
          <w:rFonts w:asciiTheme="minorHAnsi" w:hAnsiTheme="minorHAnsi"/>
        </w:rPr>
        <w:t>a stressz</w:t>
      </w:r>
      <w:r w:rsidRPr="00181755">
        <w:rPr>
          <w:rFonts w:asciiTheme="minorHAnsi" w:hAnsiTheme="minorHAnsi"/>
          <w:lang w:val="hu-HU"/>
        </w:rPr>
        <w:t>-</w:t>
      </w:r>
      <w:r w:rsidRPr="00181755">
        <w:rPr>
          <w:rFonts w:asciiTheme="minorHAnsi" w:hAnsiTheme="minorHAnsi"/>
        </w:rPr>
        <w:t>teszt és forgatókönyv-teszt eljárások feltevéseinek és eredményeinek ismertetése;</w:t>
      </w:r>
    </w:p>
    <w:p w14:paraId="66B157C2" w14:textId="77777777" w:rsidR="003F29E3" w:rsidRPr="00181755" w:rsidRDefault="003F29E3" w:rsidP="00181755">
      <w:pPr>
        <w:pStyle w:val="felsorolsos"/>
        <w:rPr>
          <w:rFonts w:asciiTheme="minorHAnsi" w:hAnsiTheme="minorHAnsi"/>
        </w:rPr>
      </w:pPr>
      <w:r w:rsidRPr="00181755">
        <w:rPr>
          <w:rFonts w:asciiTheme="minorHAnsi" w:hAnsiTheme="minorHAnsi"/>
        </w:rPr>
        <w:t>az aggregálási eljárás ismertetése, a figyelembe vett korrelációs, diverzifikációs hatások és azok indoklása;</w:t>
      </w:r>
    </w:p>
    <w:p w14:paraId="66B157C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181755" w:rsidRDefault="003F29E3" w:rsidP="00181755">
      <w:pPr>
        <w:spacing w:after="240"/>
        <w:rPr>
          <w:rFonts w:asciiTheme="minorHAnsi" w:hAnsiTheme="minorHAnsi"/>
        </w:rPr>
      </w:pPr>
      <w:r w:rsidRPr="00181755">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181755">
        <w:rPr>
          <w:rFonts w:asciiTheme="minorHAnsi" w:hAnsiTheme="minorHAnsi"/>
        </w:rPr>
        <w:t>meggyőző érvekkel támassza alá.</w:t>
      </w:r>
    </w:p>
    <w:p w14:paraId="66B157C6" w14:textId="77777777" w:rsidR="003F29E3" w:rsidRPr="00181755" w:rsidRDefault="003F29E3" w:rsidP="00181755">
      <w:pPr>
        <w:pStyle w:val="Cmsor2"/>
        <w:rPr>
          <w:rFonts w:asciiTheme="minorHAnsi" w:hAnsiTheme="minorHAnsi"/>
        </w:rPr>
      </w:pPr>
      <w:bookmarkStart w:id="1572" w:name="_A_belső_tőkeszükséglet"/>
      <w:bookmarkStart w:id="1573" w:name="_Toc378592115"/>
      <w:bookmarkStart w:id="1574" w:name="_Toc461095281"/>
      <w:bookmarkStart w:id="1575" w:name="_Toc461179240"/>
      <w:bookmarkStart w:id="1576" w:name="_Toc461179937"/>
      <w:bookmarkStart w:id="1577" w:name="_Toc461197781"/>
      <w:bookmarkStart w:id="1578" w:name="_Toc461201381"/>
      <w:bookmarkStart w:id="1579" w:name="_Toc461548082"/>
      <w:bookmarkStart w:id="1580" w:name="_Toc462402122"/>
      <w:bookmarkStart w:id="1581" w:name="_Toc462403297"/>
      <w:bookmarkStart w:id="1582" w:name="_Toc462403569"/>
      <w:bookmarkStart w:id="1583" w:name="_Toc468180689"/>
      <w:bookmarkStart w:id="1584" w:name="_Toc468181246"/>
      <w:bookmarkStart w:id="1585" w:name="_Toc468191512"/>
      <w:bookmarkEnd w:id="1572"/>
      <w:r w:rsidRPr="00181755">
        <w:rPr>
          <w:rFonts w:asciiTheme="minorHAnsi" w:hAnsiTheme="minorHAnsi"/>
        </w:rPr>
        <w:t>A belső tőkeszükséglet</w:t>
      </w:r>
      <w:r w:rsidRPr="00181755">
        <w:rPr>
          <w:rFonts w:asciiTheme="minorHAnsi" w:hAnsiTheme="minorHAnsi"/>
          <w:lang w:val="hu-HU"/>
        </w:rPr>
        <w:t>-</w:t>
      </w:r>
      <w:r w:rsidRPr="00181755">
        <w:rPr>
          <w:rFonts w:asciiTheme="minorHAnsi" w:hAnsiTheme="minorHAnsi"/>
        </w:rPr>
        <w:t>számítási módszertan beépülése a folyamatokba</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66B157C7" w14:textId="77777777" w:rsidR="003F29E3" w:rsidRPr="00181755" w:rsidRDefault="003F29E3" w:rsidP="00181755">
      <w:pPr>
        <w:pStyle w:val="felsorolsos"/>
        <w:rPr>
          <w:rFonts w:asciiTheme="minorHAnsi" w:hAnsiTheme="minorHAnsi"/>
        </w:rPr>
      </w:pPr>
      <w:r w:rsidRPr="00181755">
        <w:rPr>
          <w:rFonts w:asciiTheme="minorHAnsi" w:hAnsiTheme="minorHAnsi"/>
        </w:rPr>
        <w:t>annak értékelése, bemutatása, hogy a belső tőkemegfelelés folyamatai mennyire képezik a döntési folyamat integráns részét;</w:t>
      </w:r>
    </w:p>
    <w:p w14:paraId="66B157C8" w14:textId="77777777" w:rsidR="003F29E3" w:rsidRPr="00181755" w:rsidRDefault="003F29E3" w:rsidP="00181755">
      <w:pPr>
        <w:pStyle w:val="felsorolsos"/>
        <w:rPr>
          <w:rFonts w:asciiTheme="minorHAnsi" w:hAnsiTheme="minorHAnsi"/>
        </w:rPr>
      </w:pPr>
      <w:r w:rsidRPr="00181755">
        <w:rPr>
          <w:rFonts w:asciiTheme="minorHAnsi" w:hAnsiTheme="minorHAnsi"/>
        </w:rPr>
        <w:t>ICAAP felülvizsgálat eredménye, főbb megállapítások;</w:t>
      </w:r>
    </w:p>
    <w:p w14:paraId="66B157C9" w14:textId="77777777" w:rsidR="003F29E3" w:rsidRPr="00181755" w:rsidRDefault="003F29E3" w:rsidP="00181755">
      <w:pPr>
        <w:pStyle w:val="felsorolsos"/>
        <w:rPr>
          <w:rFonts w:asciiTheme="minorHAnsi" w:hAnsiTheme="minorHAnsi"/>
        </w:rPr>
      </w:pPr>
      <w:r w:rsidRPr="00181755">
        <w:rPr>
          <w:rFonts w:asciiTheme="minorHAnsi" w:hAnsiTheme="minorHAnsi"/>
        </w:rPr>
        <w:t>az ICAAP folyamatokban tervezett</w:t>
      </w:r>
      <w:r w:rsidRPr="00181755">
        <w:rPr>
          <w:rFonts w:asciiTheme="minorHAnsi" w:hAnsiTheme="minorHAnsi"/>
          <w:lang w:val="hu-HU"/>
        </w:rPr>
        <w:t>,</w:t>
      </w:r>
      <w:r w:rsidRPr="00181755">
        <w:rPr>
          <w:rFonts w:asciiTheme="minorHAnsi" w:hAnsiTheme="minorHAnsi"/>
        </w:rPr>
        <w:t xml:space="preserve"> illetve folyamatban lévő változtatások.</w:t>
      </w:r>
    </w:p>
    <w:p w14:paraId="66B157CB" w14:textId="1D431E70" w:rsidR="003F29E3" w:rsidRPr="00181755" w:rsidRDefault="003F29E3" w:rsidP="00181755">
      <w:pPr>
        <w:spacing w:after="240"/>
        <w:rPr>
          <w:rFonts w:asciiTheme="minorHAnsi" w:hAnsiTheme="minorHAnsi"/>
        </w:rPr>
      </w:pPr>
      <w:r w:rsidRPr="00181755">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181755">
        <w:rPr>
          <w:rFonts w:asciiTheme="minorHAnsi" w:hAnsiTheme="minorHAnsi"/>
        </w:rPr>
        <w:t>z MNB-t tájékoztatni szükséges.</w:t>
      </w:r>
    </w:p>
    <w:p w14:paraId="66B157CC" w14:textId="77777777" w:rsidR="003F29E3" w:rsidRPr="00181755" w:rsidRDefault="003F29E3" w:rsidP="00181755">
      <w:pPr>
        <w:pStyle w:val="Cmsor2"/>
        <w:rPr>
          <w:rFonts w:asciiTheme="minorHAnsi" w:hAnsiTheme="minorHAnsi"/>
        </w:rPr>
      </w:pPr>
      <w:bookmarkStart w:id="1586" w:name="_Toc461095282"/>
      <w:bookmarkStart w:id="1587" w:name="_Toc461179241"/>
      <w:bookmarkStart w:id="1588" w:name="_Toc461179938"/>
      <w:bookmarkStart w:id="1589" w:name="_Toc461197782"/>
      <w:bookmarkStart w:id="1590" w:name="_Toc461201382"/>
      <w:bookmarkStart w:id="1591" w:name="_Toc461548083"/>
      <w:bookmarkStart w:id="1592" w:name="_Toc462402123"/>
      <w:bookmarkStart w:id="1593" w:name="_Toc462403298"/>
      <w:bookmarkStart w:id="1594" w:name="_Toc462403570"/>
      <w:bookmarkStart w:id="1595" w:name="_Toc468180690"/>
      <w:bookmarkStart w:id="1596" w:name="_Toc468181247"/>
      <w:bookmarkStart w:id="1597" w:name="_Toc468191513"/>
      <w:r w:rsidRPr="00181755">
        <w:rPr>
          <w:rFonts w:asciiTheme="minorHAnsi" w:hAnsiTheme="minorHAnsi"/>
        </w:rPr>
        <w:t>A likviditás megfelelőségének belső értékelési folyamatának ismertetése</w:t>
      </w:r>
      <w:bookmarkEnd w:id="1586"/>
      <w:bookmarkEnd w:id="1587"/>
      <w:bookmarkEnd w:id="1588"/>
      <w:bookmarkEnd w:id="1589"/>
      <w:bookmarkEnd w:id="1590"/>
      <w:bookmarkEnd w:id="1591"/>
      <w:bookmarkEnd w:id="1592"/>
      <w:bookmarkEnd w:id="1593"/>
      <w:bookmarkEnd w:id="1594"/>
      <w:bookmarkEnd w:id="1595"/>
      <w:bookmarkEnd w:id="1596"/>
      <w:bookmarkEnd w:id="1597"/>
    </w:p>
    <w:p w14:paraId="66B157CD" w14:textId="77777777" w:rsidR="003F29E3" w:rsidRPr="00181755" w:rsidRDefault="003F29E3" w:rsidP="00181755">
      <w:pPr>
        <w:rPr>
          <w:rFonts w:asciiTheme="minorHAnsi" w:hAnsiTheme="minorHAnsi"/>
        </w:rPr>
      </w:pPr>
      <w:r w:rsidRPr="00181755">
        <w:rPr>
          <w:rFonts w:asciiTheme="minorHAnsi" w:hAnsiTheme="minorHAnsi"/>
        </w:rPr>
        <w:t>Az ILAAP folyamat értékeléséhez minimálisan az alábbi dokumentumokat kell az intézménynek benyújtania:</w:t>
      </w:r>
    </w:p>
    <w:p w14:paraId="66B157CE" w14:textId="373C3734" w:rsidR="003F29E3" w:rsidRPr="00181755" w:rsidRDefault="003F29E3" w:rsidP="00181755">
      <w:pPr>
        <w:pStyle w:val="felsorolsos"/>
        <w:rPr>
          <w:rFonts w:asciiTheme="minorHAnsi" w:hAnsiTheme="minorHAnsi"/>
        </w:rPr>
      </w:pPr>
      <w:r w:rsidRPr="00181755">
        <w:rPr>
          <w:rFonts w:asciiTheme="minorHAnsi" w:hAnsiTheme="minorHAnsi"/>
          <w:lang w:val="hu-HU"/>
        </w:rPr>
        <w:t>a</w:t>
      </w:r>
      <w:r w:rsidRPr="00181755">
        <w:rPr>
          <w:rFonts w:asciiTheme="minorHAnsi" w:hAnsiTheme="minorHAnsi"/>
        </w:rPr>
        <w:t>ktuális likviditási stratégi</w:t>
      </w:r>
      <w:r w:rsidRPr="00181755">
        <w:rPr>
          <w:rFonts w:asciiTheme="minorHAnsi" w:hAnsiTheme="minorHAnsi"/>
          <w:lang w:val="hu-HU"/>
        </w:rPr>
        <w:t>a</w:t>
      </w:r>
      <w:r w:rsidR="00685B84" w:rsidRPr="00181755">
        <w:rPr>
          <w:rFonts w:asciiTheme="minorHAnsi" w:hAnsiTheme="minorHAnsi"/>
          <w:lang w:val="hu-HU"/>
        </w:rPr>
        <w:t>, kiemelve a megelőző likviditási stratégiához képest</w:t>
      </w:r>
      <w:r w:rsidR="00A07640" w:rsidRPr="00181755">
        <w:rPr>
          <w:rFonts w:asciiTheme="minorHAnsi" w:hAnsiTheme="minorHAnsi"/>
          <w:lang w:val="hu-HU"/>
        </w:rPr>
        <w:t xml:space="preserve"> bekövetkezett</w:t>
      </w:r>
      <w:r w:rsidR="00685B84" w:rsidRPr="00181755">
        <w:rPr>
          <w:rFonts w:asciiTheme="minorHAnsi" w:hAnsiTheme="minorHAnsi"/>
          <w:lang w:val="hu-HU"/>
        </w:rPr>
        <w:t xml:space="preserve"> változásokat</w:t>
      </w:r>
      <w:r w:rsidRPr="00181755">
        <w:rPr>
          <w:rFonts w:asciiTheme="minorHAnsi" w:hAnsiTheme="minorHAnsi"/>
          <w:lang w:val="hu-HU"/>
        </w:rPr>
        <w:t>;</w:t>
      </w:r>
      <w:r w:rsidR="00685B84" w:rsidRPr="00181755">
        <w:rPr>
          <w:rFonts w:asciiTheme="minorHAnsi" w:hAnsiTheme="minorHAnsi"/>
          <w:lang w:val="hu-HU"/>
        </w:rPr>
        <w:t xml:space="preserve"> </w:t>
      </w:r>
    </w:p>
    <w:p w14:paraId="66B157CF" w14:textId="1C1E856F" w:rsidR="003F29E3" w:rsidRPr="00181755" w:rsidRDefault="00685B84" w:rsidP="00181755">
      <w:pPr>
        <w:pStyle w:val="felsorolsos"/>
        <w:rPr>
          <w:rFonts w:asciiTheme="minorHAnsi" w:hAnsiTheme="minorHAnsi"/>
        </w:rPr>
      </w:pPr>
      <w:r w:rsidRPr="00181755">
        <w:rPr>
          <w:rFonts w:asciiTheme="minorHAnsi" w:hAnsiTheme="minorHAnsi"/>
          <w:lang w:val="hu-HU"/>
        </w:rPr>
        <w:t xml:space="preserve">a vizsgálatot megelőző év </w:t>
      </w:r>
      <w:r w:rsidR="003F29E3" w:rsidRPr="00181755">
        <w:rPr>
          <w:rFonts w:asciiTheme="minorHAnsi" w:hAnsiTheme="minorHAnsi"/>
        </w:rPr>
        <w:t>likviditási terv</w:t>
      </w:r>
      <w:r w:rsidRPr="00181755">
        <w:rPr>
          <w:rFonts w:asciiTheme="minorHAnsi" w:hAnsiTheme="minorHAnsi"/>
          <w:lang w:val="hu-HU"/>
        </w:rPr>
        <w:t>e visszamérve</w:t>
      </w:r>
      <w:r w:rsidR="003F29E3" w:rsidRPr="00181755">
        <w:rPr>
          <w:rFonts w:asciiTheme="minorHAnsi" w:hAnsiTheme="minorHAnsi"/>
        </w:rPr>
        <w:t>, aktuális likviditási terv</w:t>
      </w:r>
      <w:r w:rsidRPr="00181755">
        <w:rPr>
          <w:rFonts w:asciiTheme="minorHAnsi" w:hAnsiTheme="minorHAnsi"/>
          <w:lang w:val="hu-HU"/>
        </w:rPr>
        <w:t xml:space="preserve"> és</w:t>
      </w:r>
      <w:r w:rsidRPr="00181755">
        <w:rPr>
          <w:rFonts w:asciiTheme="minorHAnsi" w:hAnsiTheme="minorHAnsi"/>
        </w:rPr>
        <w:t xml:space="preserve"> </w:t>
      </w:r>
      <w:r w:rsidRPr="00181755">
        <w:rPr>
          <w:rFonts w:asciiTheme="minorHAnsi" w:hAnsiTheme="minorHAnsi"/>
          <w:lang w:val="hu-HU"/>
        </w:rPr>
        <w:t xml:space="preserve">aktuális </w:t>
      </w:r>
      <w:r w:rsidRPr="00181755">
        <w:rPr>
          <w:rFonts w:asciiTheme="minorHAnsi" w:hAnsiTheme="minorHAnsi"/>
        </w:rPr>
        <w:t>likviditási válságterv (LCP)</w:t>
      </w:r>
      <w:r w:rsidRPr="00181755">
        <w:rPr>
          <w:rFonts w:asciiTheme="minorHAnsi" w:hAnsiTheme="minorHAnsi"/>
          <w:lang w:val="hu-HU"/>
        </w:rPr>
        <w:t>;</w:t>
      </w:r>
    </w:p>
    <w:p w14:paraId="66B157D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 xml:space="preserve">likviditási </w:t>
      </w:r>
      <w:r w:rsidRPr="00181755">
        <w:rPr>
          <w:rFonts w:asciiTheme="minorHAnsi" w:hAnsiTheme="minorHAnsi"/>
        </w:rPr>
        <w:t>kockázati riportok (</w:t>
      </w:r>
      <w:r w:rsidR="00685B84" w:rsidRPr="00181755">
        <w:rPr>
          <w:rFonts w:asciiTheme="minorHAnsi" w:hAnsiTheme="minorHAnsi"/>
          <w:lang w:val="hu-HU"/>
        </w:rPr>
        <w:t xml:space="preserve">negyedéves és havi riportok </w:t>
      </w:r>
      <w:r w:rsidRPr="00181755">
        <w:rPr>
          <w:rFonts w:asciiTheme="minorHAnsi" w:hAnsiTheme="minorHAnsi"/>
        </w:rPr>
        <w:t xml:space="preserve">az elmúlt egy évre vonatkozóan, </w:t>
      </w:r>
      <w:r w:rsidR="00685B84" w:rsidRPr="00181755">
        <w:rPr>
          <w:rFonts w:asciiTheme="minorHAnsi" w:hAnsiTheme="minorHAnsi"/>
          <w:lang w:val="hu-HU"/>
        </w:rPr>
        <w:t>heti és napi riportok a vizsgálat vonatkozási napjának hónapjára vonatkozóan</w:t>
      </w:r>
      <w:r w:rsidRPr="00181755">
        <w:rPr>
          <w:rFonts w:asciiTheme="minorHAnsi" w:hAnsiTheme="minorHAnsi"/>
        </w:rPr>
        <w:t>);</w:t>
      </w:r>
    </w:p>
    <w:p w14:paraId="66B157D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stressz</w:t>
      </w:r>
      <w:r w:rsidRPr="00181755">
        <w:rPr>
          <w:rFonts w:asciiTheme="minorHAnsi" w:hAnsiTheme="minorHAnsi"/>
          <w:lang w:val="hu-HU"/>
        </w:rPr>
        <w:t>-</w:t>
      </w:r>
      <w:r w:rsidRPr="00181755">
        <w:rPr>
          <w:rFonts w:asciiTheme="minorHAnsi" w:hAnsiTheme="minorHAnsi"/>
        </w:rPr>
        <w:t>tesztek (feltételezések, eredmények)</w:t>
      </w:r>
      <w:r w:rsidRPr="00181755">
        <w:rPr>
          <w:rFonts w:asciiTheme="minorHAnsi" w:hAnsiTheme="minorHAnsi"/>
          <w:lang w:val="hu-HU"/>
        </w:rPr>
        <w:t>;</w:t>
      </w:r>
    </w:p>
    <w:p w14:paraId="66B157D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 xml:space="preserve">apcsolódó aktuális </w:t>
      </w:r>
      <w:r w:rsidR="00685B84" w:rsidRPr="00181755">
        <w:rPr>
          <w:rFonts w:asciiTheme="minorHAnsi" w:hAnsiTheme="minorHAnsi"/>
        </w:rPr>
        <w:t xml:space="preserve">belső </w:t>
      </w:r>
      <w:r w:rsidRPr="00181755">
        <w:rPr>
          <w:rFonts w:asciiTheme="minorHAnsi" w:hAnsiTheme="minorHAnsi"/>
        </w:rPr>
        <w:t>likviditási szabályzatok</w:t>
      </w:r>
      <w:r w:rsidRPr="00181755">
        <w:rPr>
          <w:rFonts w:asciiTheme="minorHAnsi" w:hAnsiTheme="minorHAnsi"/>
          <w:lang w:val="hu-HU"/>
        </w:rPr>
        <w:t xml:space="preserve"> és a b</w:t>
      </w:r>
      <w:r w:rsidRPr="00181755">
        <w:rPr>
          <w:rFonts w:asciiTheme="minorHAnsi" w:hAnsiTheme="minorHAnsi"/>
        </w:rPr>
        <w:t>első finanszírozási transzferárak szabályzata</w:t>
      </w:r>
      <w:r w:rsidRPr="00181755">
        <w:rPr>
          <w:rFonts w:asciiTheme="minorHAnsi" w:hAnsiTheme="minorHAnsi"/>
          <w:lang w:val="hu-HU"/>
        </w:rPr>
        <w:t xml:space="preserve">; </w:t>
      </w:r>
    </w:p>
    <w:p w14:paraId="66B157D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orai figyelmezető jelek elmúlt egy évi értékei, küszöbértékei (early warning indicators), esetleges jelzésekre történt reakció bemutatásával</w:t>
      </w:r>
      <w:r w:rsidRPr="00181755">
        <w:rPr>
          <w:rFonts w:asciiTheme="minorHAnsi" w:hAnsiTheme="minorHAnsi"/>
          <w:lang w:val="hu-HU"/>
        </w:rPr>
        <w:t>;</w:t>
      </w:r>
    </w:p>
    <w:p w14:paraId="66B157D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b</w:t>
      </w:r>
      <w:r w:rsidRPr="00181755">
        <w:rPr>
          <w:rFonts w:asciiTheme="minorHAnsi" w:hAnsiTheme="minorHAnsi"/>
        </w:rPr>
        <w:t>etétkiáramlás számszerűsítéséhez alkalmazott modellek, feltételezések, szegmentációk, idősorok</w:t>
      </w:r>
      <w:r w:rsidRPr="00181755">
        <w:rPr>
          <w:rFonts w:asciiTheme="minorHAnsi" w:hAnsiTheme="minorHAnsi"/>
          <w:lang w:val="hu-HU"/>
        </w:rPr>
        <w:t>;</w:t>
      </w:r>
    </w:p>
    <w:p w14:paraId="66B157D5"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kockázattal összefüggő belső ellenőri jelentés</w:t>
      </w:r>
      <w:r w:rsidRPr="00181755">
        <w:rPr>
          <w:rFonts w:asciiTheme="minorHAnsi" w:hAnsiTheme="minorHAnsi"/>
          <w:lang w:val="hu-HU"/>
        </w:rPr>
        <w:t>;</w:t>
      </w:r>
    </w:p>
    <w:p w14:paraId="66B157D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limitek teljes listája </w:t>
      </w:r>
      <w:r w:rsidR="00685B84" w:rsidRPr="00181755">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181755">
        <w:rPr>
          <w:rFonts w:asciiTheme="minorHAnsi" w:hAnsiTheme="minorHAnsi"/>
          <w:lang w:val="hu-HU"/>
        </w:rPr>
        <w:t>;</w:t>
      </w:r>
    </w:p>
    <w:p w14:paraId="66B157D7"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fedezeti ráta (LCR), nettó stabil finanszírozási mutató (NSFR) számításának levezetése a vizsgálat vonatkozási dátumára vonatkozóan</w:t>
      </w:r>
      <w:r w:rsidRPr="00181755">
        <w:rPr>
          <w:rFonts w:asciiTheme="minorHAnsi" w:hAnsiTheme="minorHAnsi"/>
          <w:lang w:val="hu-HU"/>
        </w:rPr>
        <w:t>;</w:t>
      </w:r>
    </w:p>
    <w:p w14:paraId="66B157D8"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c</w:t>
      </w:r>
      <w:r w:rsidRPr="00181755">
        <w:rPr>
          <w:rFonts w:asciiTheme="minorHAnsi" w:hAnsiTheme="minorHAnsi"/>
        </w:rPr>
        <w:t>soportfinanszírozási ügyletek</w:t>
      </w:r>
      <w:r w:rsidRPr="00181755">
        <w:rPr>
          <w:rFonts w:asciiTheme="minorHAnsi" w:hAnsiTheme="minorHAnsi"/>
          <w:lang w:val="hu-HU"/>
        </w:rPr>
        <w:t xml:space="preserve"> listája.</w:t>
      </w:r>
    </w:p>
    <w:p w14:paraId="66B157D9" w14:textId="77777777" w:rsidR="003F29E3" w:rsidRPr="00181755" w:rsidRDefault="003F29E3" w:rsidP="00181755">
      <w:pPr>
        <w:pStyle w:val="Cmsor1"/>
        <w:rPr>
          <w:rFonts w:asciiTheme="minorHAnsi" w:hAnsiTheme="minorHAnsi"/>
        </w:rPr>
      </w:pPr>
      <w:r w:rsidRPr="00181755">
        <w:rPr>
          <w:rFonts w:asciiTheme="minorHAnsi" w:hAnsiTheme="minorHAnsi"/>
          <w:i/>
        </w:rPr>
        <w:br w:type="page"/>
      </w:r>
      <w:bookmarkStart w:id="1598" w:name="_Mellékletek:"/>
      <w:bookmarkStart w:id="1599" w:name="_Toc378256251"/>
      <w:bookmarkStart w:id="1600" w:name="_Toc378592116"/>
      <w:bookmarkStart w:id="1601" w:name="_Toc461095283"/>
      <w:bookmarkStart w:id="1602" w:name="_Toc461179242"/>
      <w:bookmarkStart w:id="1603" w:name="_Toc461179939"/>
      <w:bookmarkStart w:id="1604" w:name="_Toc461197783"/>
      <w:bookmarkStart w:id="1605" w:name="_Toc461201383"/>
      <w:bookmarkStart w:id="1606" w:name="_Toc461548084"/>
      <w:bookmarkStart w:id="1607" w:name="_Toc462402124"/>
      <w:bookmarkStart w:id="1608" w:name="_Toc462403299"/>
      <w:bookmarkStart w:id="1609" w:name="_Toc462403571"/>
      <w:bookmarkStart w:id="1610" w:name="_Toc468180691"/>
      <w:bookmarkStart w:id="1611" w:name="_Toc468181248"/>
      <w:bookmarkStart w:id="1612" w:name="_Toc468191514"/>
      <w:bookmarkEnd w:id="1598"/>
      <w:r w:rsidRPr="00181755">
        <w:rPr>
          <w:rFonts w:asciiTheme="minorHAnsi" w:hAnsiTheme="minorHAnsi"/>
        </w:rPr>
        <w:t>Mellékletek</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66B157DA" w14:textId="77777777" w:rsidR="003F29E3" w:rsidRPr="00181755" w:rsidRDefault="003F29E3" w:rsidP="00181755">
      <w:pPr>
        <w:rPr>
          <w:rFonts w:asciiTheme="minorHAnsi" w:hAnsiTheme="minorHAnsi"/>
        </w:rPr>
      </w:pPr>
    </w:p>
    <w:p w14:paraId="66B157DB" w14:textId="77777777" w:rsidR="003F29E3" w:rsidRPr="00181755" w:rsidRDefault="003F29E3" w:rsidP="00181755">
      <w:pPr>
        <w:rPr>
          <w:rFonts w:asciiTheme="minorHAnsi" w:hAnsiTheme="minorHAnsi"/>
        </w:rPr>
      </w:pPr>
      <w:r w:rsidRPr="00181755">
        <w:rPr>
          <w:rFonts w:asciiTheme="minorHAnsi" w:hAnsiTheme="minorHAnsi"/>
        </w:rPr>
        <w:t>1. számú melléklet: A feltárt hiányosságokra adható felügyeleti válaszlépések a kis hitelintézeteknél</w:t>
      </w:r>
    </w:p>
    <w:p w14:paraId="66B157DC" w14:textId="77777777" w:rsidR="003F29E3" w:rsidRPr="00181755" w:rsidRDefault="003F29E3" w:rsidP="00181755">
      <w:pPr>
        <w:rPr>
          <w:rFonts w:asciiTheme="minorHAnsi" w:hAnsiTheme="minorHAnsi"/>
        </w:rPr>
      </w:pPr>
      <w:r w:rsidRPr="00181755">
        <w:rPr>
          <w:rFonts w:asciiTheme="minorHAnsi" w:hAnsiTheme="minorHAnsi"/>
        </w:rPr>
        <w:t>2. számú melléklet: A feltárt hiányosságokra adható felügyeleti válaszlépések a befektetési vállalkozásoknál</w:t>
      </w:r>
    </w:p>
    <w:p w14:paraId="66B157DD" w14:textId="77777777" w:rsidR="003F29E3" w:rsidRPr="00181755" w:rsidRDefault="003F29E3" w:rsidP="00181755">
      <w:pPr>
        <w:rPr>
          <w:rFonts w:asciiTheme="minorHAnsi" w:hAnsiTheme="minorHAnsi"/>
        </w:rPr>
      </w:pPr>
      <w:r w:rsidRPr="00181755">
        <w:rPr>
          <w:rFonts w:asciiTheme="minorHAnsi" w:hAnsiTheme="minorHAnsi"/>
        </w:rPr>
        <w:t>3. számú melléklet: A befektetési vállalkozásoknál tipikusan előforduló működési kockázatok tevékenységenkénti bontásban</w:t>
      </w:r>
    </w:p>
    <w:p w14:paraId="66B157DE" w14:textId="77777777" w:rsidR="003F29E3" w:rsidRDefault="003F29E3" w:rsidP="00181755">
      <w:pPr>
        <w:rPr>
          <w:rFonts w:asciiTheme="minorHAnsi" w:hAnsiTheme="minorHAnsi"/>
        </w:rPr>
      </w:pPr>
      <w:r w:rsidRPr="00181755">
        <w:rPr>
          <w:rFonts w:asciiTheme="minorHAnsi" w:hAnsiTheme="minorHAnsi"/>
        </w:rPr>
        <w:t>4. számú melléklet: Kockázatos portfóliókról szóló tájékoztató</w:t>
      </w:r>
      <w:r w:rsidR="00212001" w:rsidRPr="00181755">
        <w:rPr>
          <w:rFonts w:asciiTheme="minorHAnsi" w:hAnsiTheme="minorHAnsi"/>
        </w:rPr>
        <w:t xml:space="preserve"> (külön található az MNB honlapján)</w:t>
      </w:r>
    </w:p>
    <w:p w14:paraId="58D2B03E" w14:textId="64BE17AE" w:rsidR="002C6E87" w:rsidRPr="00181755" w:rsidRDefault="002C6E87" w:rsidP="00181755">
      <w:pPr>
        <w:rPr>
          <w:rFonts w:asciiTheme="minorHAnsi" w:hAnsiTheme="minorHAnsi"/>
        </w:rPr>
      </w:pPr>
      <w:r>
        <w:rPr>
          <w:rFonts w:asciiTheme="minorHAnsi" w:hAnsiTheme="minorHAnsi"/>
        </w:rPr>
        <w:t xml:space="preserve">5. számú melléklet: Adatbekérés a kockázatos portfoliók ellenőrzéséhez </w:t>
      </w:r>
      <w:r w:rsidRPr="00181755">
        <w:rPr>
          <w:rFonts w:asciiTheme="minorHAnsi" w:hAnsiTheme="minorHAnsi"/>
        </w:rPr>
        <w:t>(külön található az MNB honlapján)</w:t>
      </w:r>
    </w:p>
    <w:p w14:paraId="66B157DF" w14:textId="40A70CC9" w:rsidR="003F29E3" w:rsidRDefault="002C6E87" w:rsidP="00181755">
      <w:pPr>
        <w:rPr>
          <w:rFonts w:asciiTheme="minorHAnsi" w:hAnsiTheme="minorHAnsi"/>
        </w:rPr>
      </w:pPr>
      <w:r>
        <w:rPr>
          <w:rFonts w:asciiTheme="minorHAnsi" w:hAnsiTheme="minorHAnsi"/>
        </w:rPr>
        <w:t>6</w:t>
      </w:r>
      <w:r w:rsidR="00DF2C9F">
        <w:rPr>
          <w:rFonts w:asciiTheme="minorHAnsi" w:hAnsiTheme="minorHAnsi"/>
        </w:rPr>
        <w:t xml:space="preserve">. számú melléklet: </w:t>
      </w:r>
      <w:r w:rsidR="003F29E3" w:rsidRPr="00181755">
        <w:rPr>
          <w:rFonts w:asciiTheme="minorHAnsi" w:hAnsiTheme="minorHAnsi"/>
        </w:rPr>
        <w:t>A devizaárfolyam-kockázat számítására alkalmazni kért belső modell</w:t>
      </w:r>
      <w:r w:rsidR="00212001" w:rsidRPr="00181755">
        <w:rPr>
          <w:rFonts w:asciiTheme="minorHAnsi" w:hAnsiTheme="minorHAnsi"/>
        </w:rPr>
        <w:t xml:space="preserve"> (külön található az MNB honlapján)</w:t>
      </w:r>
    </w:p>
    <w:p w14:paraId="71F9947B" w14:textId="4935B6A9" w:rsidR="002C6E87" w:rsidRDefault="002C6E87" w:rsidP="00181755">
      <w:pPr>
        <w:rPr>
          <w:rFonts w:asciiTheme="minorHAnsi" w:hAnsiTheme="minorHAnsi"/>
        </w:rPr>
      </w:pPr>
      <w:r>
        <w:rPr>
          <w:rFonts w:asciiTheme="minorHAnsi" w:hAnsiTheme="minorHAnsi"/>
        </w:rPr>
        <w:t xml:space="preserve">7. számú melléklet: Hitelintézetek SREP áttekintő lap </w:t>
      </w:r>
      <w:r w:rsidRPr="00181755">
        <w:rPr>
          <w:rFonts w:asciiTheme="minorHAnsi" w:hAnsiTheme="minorHAnsi"/>
        </w:rPr>
        <w:t>(külön található az MNB honlapján)</w:t>
      </w:r>
    </w:p>
    <w:p w14:paraId="2CAD48C3" w14:textId="023B7ABA" w:rsidR="002C6E87" w:rsidRDefault="002C6E87" w:rsidP="00181755">
      <w:pPr>
        <w:rPr>
          <w:rFonts w:asciiTheme="minorHAnsi" w:hAnsiTheme="minorHAnsi"/>
        </w:rPr>
      </w:pPr>
      <w:r>
        <w:rPr>
          <w:rFonts w:asciiTheme="minorHAnsi" w:hAnsiTheme="minorHAnsi"/>
        </w:rPr>
        <w:t xml:space="preserve">8. számú melléklet: Befektetési vállalkozások SREP kérdőív </w:t>
      </w:r>
      <w:r w:rsidRPr="00181755">
        <w:rPr>
          <w:rFonts w:asciiTheme="minorHAnsi" w:hAnsiTheme="minorHAnsi"/>
        </w:rPr>
        <w:t>(külön található az MNB honlapján)</w:t>
      </w:r>
    </w:p>
    <w:p w14:paraId="6D6DA910" w14:textId="062D5CA5" w:rsidR="002C6E87" w:rsidRPr="00181755" w:rsidRDefault="002C6E87" w:rsidP="00181755">
      <w:pPr>
        <w:rPr>
          <w:rFonts w:asciiTheme="minorHAnsi" w:hAnsiTheme="minorHAnsi"/>
        </w:rPr>
      </w:pPr>
      <w:r>
        <w:rPr>
          <w:rFonts w:asciiTheme="minorHAnsi" w:hAnsiTheme="minorHAnsi"/>
        </w:rPr>
        <w:t xml:space="preserve">9. számú melléklet: Befektetési vállalkozások SREP áttekintő lap </w:t>
      </w:r>
      <w:r w:rsidRPr="00181755">
        <w:rPr>
          <w:rFonts w:asciiTheme="minorHAnsi" w:hAnsiTheme="minorHAnsi"/>
        </w:rPr>
        <w:t>(külön található az MNB honlapján)</w:t>
      </w:r>
    </w:p>
    <w:p w14:paraId="66B157E0" w14:textId="77777777" w:rsidR="003F29E3" w:rsidRPr="00181755" w:rsidRDefault="003F29E3" w:rsidP="00181755">
      <w:pPr>
        <w:rPr>
          <w:rFonts w:asciiTheme="minorHAnsi" w:hAnsiTheme="minorHAnsi"/>
        </w:rPr>
      </w:pPr>
    </w:p>
    <w:p w14:paraId="66B157E1" w14:textId="77777777" w:rsidR="003F29E3" w:rsidRPr="00181755" w:rsidRDefault="003F29E3" w:rsidP="00181755">
      <w:pPr>
        <w:rPr>
          <w:rFonts w:asciiTheme="minorHAnsi" w:hAnsiTheme="minorHAnsi"/>
        </w:rPr>
        <w:sectPr w:rsidR="003F29E3" w:rsidRPr="00181755" w:rsidSect="00C645A0">
          <w:footerReference w:type="even" r:id="rId38"/>
          <w:footerReference w:type="default" r:id="rId39"/>
          <w:pgSz w:w="11906" w:h="16838"/>
          <w:pgMar w:top="1418" w:right="1416" w:bottom="1417" w:left="1134" w:header="708" w:footer="708" w:gutter="0"/>
          <w:cols w:space="708"/>
          <w:titlePg/>
          <w:docGrid w:linePitch="360"/>
        </w:sectPr>
      </w:pPr>
    </w:p>
    <w:p w14:paraId="66B157E2" w14:textId="77777777" w:rsidR="003F29E3" w:rsidRPr="00561A6B" w:rsidRDefault="003F29E3" w:rsidP="00461238">
      <w:pPr>
        <w:pStyle w:val="Listaszerbekezds"/>
        <w:numPr>
          <w:ilvl w:val="0"/>
          <w:numId w:val="12"/>
        </w:numPr>
        <w:ind w:left="567" w:hanging="589"/>
        <w:rPr>
          <w:rFonts w:ascii="Calibri" w:hAnsi="Calibri"/>
        </w:rPr>
      </w:pPr>
      <w:r w:rsidRPr="00561A6B">
        <w:rPr>
          <w:rFonts w:ascii="Calibri" w:hAnsi="Calibri"/>
          <w:lang w:val="hu-HU"/>
        </w:rPr>
        <w:t>számú melléklet:</w:t>
      </w:r>
      <w:r w:rsidRPr="00561A6B">
        <w:rPr>
          <w:rFonts w:ascii="Calibri" w:hAnsi="Calibri"/>
        </w:rPr>
        <w:t xml:space="preserve"> A feltárt hiányosságokra adható felügyeleti válaszlépések</w:t>
      </w:r>
      <w:r w:rsidRPr="00561A6B">
        <w:rPr>
          <w:rFonts w:ascii="Calibri" w:hAnsi="Calibr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7E7" w14:textId="77777777" w:rsidTr="00C645A0">
        <w:trPr>
          <w:trHeight w:val="488"/>
        </w:trPr>
        <w:tc>
          <w:tcPr>
            <w:tcW w:w="4966" w:type="dxa"/>
            <w:shd w:val="clear" w:color="auto" w:fill="F3F3F3"/>
            <w:vAlign w:val="center"/>
          </w:tcPr>
          <w:p w14:paraId="66B157E3" w14:textId="77777777" w:rsidR="003F29E3" w:rsidRPr="00561A6B" w:rsidRDefault="003F29E3" w:rsidP="00D10772">
            <w:r w:rsidRPr="00561A6B">
              <w:t>Feltárt hiányosság, probléma</w:t>
            </w:r>
          </w:p>
        </w:tc>
        <w:tc>
          <w:tcPr>
            <w:tcW w:w="2835" w:type="dxa"/>
            <w:shd w:val="clear" w:color="auto" w:fill="F3F3F3"/>
            <w:vAlign w:val="center"/>
          </w:tcPr>
          <w:p w14:paraId="66B157E4" w14:textId="77777777" w:rsidR="003F29E3" w:rsidRPr="00561A6B" w:rsidRDefault="003F29E3" w:rsidP="00D10772">
            <w:r w:rsidRPr="00561A6B">
              <w:t>Felügyeleti intézkedés</w:t>
            </w:r>
          </w:p>
        </w:tc>
        <w:tc>
          <w:tcPr>
            <w:tcW w:w="1276" w:type="dxa"/>
            <w:shd w:val="clear" w:color="auto" w:fill="F3F3F3"/>
            <w:vAlign w:val="center"/>
          </w:tcPr>
          <w:p w14:paraId="66B157E5" w14:textId="77777777" w:rsidR="003F29E3" w:rsidRPr="00561A6B" w:rsidRDefault="003F29E3" w:rsidP="00D10772">
            <w:r w:rsidRPr="00561A6B">
              <w:t>Probléma kategória</w:t>
            </w:r>
          </w:p>
        </w:tc>
        <w:tc>
          <w:tcPr>
            <w:tcW w:w="2983" w:type="dxa"/>
            <w:shd w:val="clear" w:color="auto" w:fill="F3F3F3"/>
            <w:vAlign w:val="center"/>
          </w:tcPr>
          <w:p w14:paraId="66B157E6" w14:textId="77777777" w:rsidR="003F29E3" w:rsidRPr="00561A6B" w:rsidRDefault="003F29E3" w:rsidP="00D10772">
            <w:r w:rsidRPr="00561A6B">
              <w:t>Elsődleges információforrások</w:t>
            </w:r>
          </w:p>
        </w:tc>
      </w:tr>
      <w:tr w:rsidR="003F29E3" w:rsidRPr="00561A6B" w14:paraId="66B157EC" w14:textId="77777777" w:rsidTr="00C645A0">
        <w:tc>
          <w:tcPr>
            <w:tcW w:w="4966" w:type="dxa"/>
            <w:shd w:val="clear" w:color="auto" w:fill="FFFFFF"/>
            <w:vAlign w:val="center"/>
          </w:tcPr>
          <w:p w14:paraId="66B157E8"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7EA" w14:textId="77777777" w:rsidR="003F29E3" w:rsidRPr="00561A6B" w:rsidRDefault="003F29E3" w:rsidP="00D10772">
            <w:r w:rsidRPr="00561A6B">
              <w:t>II.</w:t>
            </w:r>
          </w:p>
        </w:tc>
        <w:tc>
          <w:tcPr>
            <w:tcW w:w="2983" w:type="dxa"/>
            <w:shd w:val="clear" w:color="auto" w:fill="FFFFFF"/>
            <w:vAlign w:val="center"/>
          </w:tcPr>
          <w:p w14:paraId="66B157EB" w14:textId="77777777" w:rsidR="003F29E3" w:rsidRPr="00561A6B" w:rsidRDefault="003F29E3" w:rsidP="00D10772">
            <w:r w:rsidRPr="00561A6B">
              <w:t>Adatszolgáltatás, kérdőív, MNB vizsgálatok</w:t>
            </w:r>
          </w:p>
        </w:tc>
      </w:tr>
      <w:tr w:rsidR="003F29E3" w:rsidRPr="00561A6B" w14:paraId="66B157F1" w14:textId="77777777" w:rsidTr="00C645A0">
        <w:tc>
          <w:tcPr>
            <w:tcW w:w="4966" w:type="dxa"/>
            <w:shd w:val="clear" w:color="auto" w:fill="FFFFFF"/>
            <w:vAlign w:val="center"/>
          </w:tcPr>
          <w:p w14:paraId="66B157ED" w14:textId="77777777" w:rsidR="003F29E3" w:rsidRPr="00561A6B" w:rsidRDefault="003F29E3" w:rsidP="00D10772">
            <w:pPr>
              <w:rPr>
                <w:b/>
              </w:rPr>
            </w:pPr>
            <w:r w:rsidRPr="00561A6B">
              <w:t>Magas geográfiai koncentrációs kockázat</w:t>
            </w:r>
          </w:p>
        </w:tc>
        <w:tc>
          <w:tcPr>
            <w:tcW w:w="2835" w:type="dxa"/>
            <w:shd w:val="clear" w:color="auto" w:fill="FFFFFF"/>
            <w:vAlign w:val="center"/>
          </w:tcPr>
          <w:p w14:paraId="66B157EE" w14:textId="77777777" w:rsidR="003F29E3" w:rsidRPr="00561A6B" w:rsidRDefault="003F29E3" w:rsidP="00D10772">
            <w:r w:rsidRPr="00561A6B">
              <w:t>Fokozottabb figyelem a kockázatkezelés során</w:t>
            </w:r>
          </w:p>
        </w:tc>
        <w:tc>
          <w:tcPr>
            <w:tcW w:w="1276" w:type="dxa"/>
            <w:shd w:val="clear" w:color="auto" w:fill="FFFFFF"/>
            <w:vAlign w:val="center"/>
          </w:tcPr>
          <w:p w14:paraId="66B157EF" w14:textId="77777777" w:rsidR="003F29E3" w:rsidRPr="00561A6B" w:rsidRDefault="003F29E3" w:rsidP="00D10772">
            <w:r w:rsidRPr="00561A6B">
              <w:t>III.</w:t>
            </w:r>
          </w:p>
        </w:tc>
        <w:tc>
          <w:tcPr>
            <w:tcW w:w="2983" w:type="dxa"/>
            <w:shd w:val="clear" w:color="auto" w:fill="FFFFFF"/>
            <w:vAlign w:val="center"/>
          </w:tcPr>
          <w:p w14:paraId="66B157F0" w14:textId="77777777" w:rsidR="003F29E3" w:rsidRPr="00561A6B" w:rsidRDefault="003F29E3" w:rsidP="00D10772">
            <w:r w:rsidRPr="00561A6B">
              <w:t>Kérdőív, MNB vizsgálat, szektorelemzés</w:t>
            </w:r>
          </w:p>
        </w:tc>
      </w:tr>
      <w:tr w:rsidR="003F29E3" w:rsidRPr="00561A6B" w14:paraId="66B157F6" w14:textId="77777777" w:rsidTr="00C645A0">
        <w:tc>
          <w:tcPr>
            <w:tcW w:w="4966" w:type="dxa"/>
            <w:vAlign w:val="center"/>
          </w:tcPr>
          <w:p w14:paraId="66B157F2" w14:textId="77777777" w:rsidR="003F29E3" w:rsidRPr="00561A6B" w:rsidRDefault="003F29E3" w:rsidP="00D10772">
            <w:pPr>
              <w:rPr>
                <w:b/>
              </w:rPr>
            </w:pPr>
            <w:r w:rsidRPr="00561A6B">
              <w:t>Az intézmény stratégiája nem megalapozott</w:t>
            </w:r>
          </w:p>
        </w:tc>
        <w:tc>
          <w:tcPr>
            <w:tcW w:w="2835" w:type="dxa"/>
            <w:vAlign w:val="center"/>
          </w:tcPr>
          <w:p w14:paraId="66B157F3" w14:textId="77777777" w:rsidR="003F29E3" w:rsidRPr="00561A6B" w:rsidRDefault="003F29E3" w:rsidP="00D10772">
            <w:r w:rsidRPr="00561A6B">
              <w:t>Felhívás a stratégia megváltoztatására</w:t>
            </w:r>
          </w:p>
        </w:tc>
        <w:tc>
          <w:tcPr>
            <w:tcW w:w="1276" w:type="dxa"/>
            <w:vAlign w:val="center"/>
          </w:tcPr>
          <w:p w14:paraId="66B157F4" w14:textId="77777777" w:rsidR="003F29E3" w:rsidRPr="00561A6B" w:rsidRDefault="003F29E3" w:rsidP="00D10772">
            <w:r w:rsidRPr="00561A6B">
              <w:t>II.</w:t>
            </w:r>
          </w:p>
        </w:tc>
        <w:tc>
          <w:tcPr>
            <w:tcW w:w="2983" w:type="dxa"/>
            <w:vAlign w:val="center"/>
          </w:tcPr>
          <w:p w14:paraId="66B157F5" w14:textId="77777777" w:rsidR="003F29E3" w:rsidRPr="00561A6B" w:rsidRDefault="003F29E3" w:rsidP="00D10772">
            <w:r w:rsidRPr="00561A6B">
              <w:t>MNB vizsgálat, adatszolgáltatások</w:t>
            </w:r>
          </w:p>
        </w:tc>
      </w:tr>
      <w:tr w:rsidR="003F29E3" w:rsidRPr="00561A6B" w14:paraId="66B157FB" w14:textId="77777777" w:rsidTr="00C645A0">
        <w:tc>
          <w:tcPr>
            <w:tcW w:w="4966" w:type="dxa"/>
            <w:vAlign w:val="center"/>
          </w:tcPr>
          <w:p w14:paraId="66B157F7" w14:textId="77777777" w:rsidR="003F29E3" w:rsidRPr="00561A6B" w:rsidRDefault="003F29E3" w:rsidP="00D10772">
            <w:r w:rsidRPr="00561A6B">
              <w:t>A tulajdonosok osztalékpolitikája nem teszi lehetővé a szavatoló tőke szükséges növekedését</w:t>
            </w:r>
          </w:p>
        </w:tc>
        <w:tc>
          <w:tcPr>
            <w:tcW w:w="2835" w:type="dxa"/>
            <w:vAlign w:val="center"/>
          </w:tcPr>
          <w:p w14:paraId="66B157F8" w14:textId="77777777" w:rsidR="003F29E3" w:rsidRPr="00561A6B" w:rsidRDefault="003F29E3" w:rsidP="00D10772">
            <w:r w:rsidRPr="00561A6B">
              <w:t>A tulajdonosok figyelmének felhívása a lehetséges problémákra</w:t>
            </w:r>
          </w:p>
        </w:tc>
        <w:tc>
          <w:tcPr>
            <w:tcW w:w="1276" w:type="dxa"/>
            <w:vAlign w:val="center"/>
          </w:tcPr>
          <w:p w14:paraId="66B157F9" w14:textId="77777777" w:rsidR="003F29E3" w:rsidRPr="00561A6B" w:rsidRDefault="003F29E3" w:rsidP="00D10772">
            <w:r w:rsidRPr="00561A6B">
              <w:t xml:space="preserve"> II.</w:t>
            </w:r>
          </w:p>
        </w:tc>
        <w:tc>
          <w:tcPr>
            <w:tcW w:w="2983" w:type="dxa"/>
            <w:vAlign w:val="center"/>
          </w:tcPr>
          <w:p w14:paraId="66B157FA" w14:textId="77777777" w:rsidR="003F29E3" w:rsidRPr="00561A6B" w:rsidRDefault="003F29E3" w:rsidP="00D10772">
            <w:r w:rsidRPr="00561A6B">
              <w:t>Adatszolgáltatás, kérdőív</w:t>
            </w:r>
          </w:p>
        </w:tc>
      </w:tr>
      <w:tr w:rsidR="003F29E3" w:rsidRPr="00561A6B" w14:paraId="66B15800" w14:textId="77777777" w:rsidTr="00C645A0">
        <w:tc>
          <w:tcPr>
            <w:tcW w:w="4966" w:type="dxa"/>
            <w:vAlign w:val="center"/>
          </w:tcPr>
          <w:p w14:paraId="66B157FC" w14:textId="77777777" w:rsidR="003F29E3" w:rsidRPr="00561A6B" w:rsidRDefault="003F29E3" w:rsidP="00D10772">
            <w:pPr>
              <w:rPr>
                <w:b/>
              </w:rPr>
            </w:pPr>
            <w:r w:rsidRPr="00561A6B">
              <w:t>Bizalom megromlása (reputációs kockázat)</w:t>
            </w:r>
          </w:p>
        </w:tc>
        <w:tc>
          <w:tcPr>
            <w:tcW w:w="2835" w:type="dxa"/>
            <w:vAlign w:val="center"/>
          </w:tcPr>
          <w:p w14:paraId="66B157FD" w14:textId="77777777" w:rsidR="003F29E3" w:rsidRPr="00561A6B" w:rsidRDefault="003F29E3" w:rsidP="00D10772">
            <w:r w:rsidRPr="00561A6B">
              <w:t>A tevékenység fokozottabb felügyeleti figyelemmel kísérése</w:t>
            </w:r>
          </w:p>
        </w:tc>
        <w:tc>
          <w:tcPr>
            <w:tcW w:w="1276" w:type="dxa"/>
            <w:vAlign w:val="center"/>
          </w:tcPr>
          <w:p w14:paraId="66B157FE" w14:textId="77777777" w:rsidR="003F29E3" w:rsidRPr="00561A6B" w:rsidRDefault="003F29E3" w:rsidP="00D10772">
            <w:r w:rsidRPr="00561A6B">
              <w:t xml:space="preserve"> I.</w:t>
            </w:r>
          </w:p>
        </w:tc>
        <w:tc>
          <w:tcPr>
            <w:tcW w:w="2983" w:type="dxa"/>
            <w:vAlign w:val="center"/>
          </w:tcPr>
          <w:p w14:paraId="66B157FF" w14:textId="77777777" w:rsidR="003F29E3" w:rsidRPr="00561A6B" w:rsidRDefault="003F29E3" w:rsidP="00D10772">
            <w:r w:rsidRPr="00561A6B">
              <w:t>MNB vizsgálat, piaci információk, kérdőív</w:t>
            </w:r>
          </w:p>
        </w:tc>
      </w:tr>
      <w:tr w:rsidR="003F29E3" w:rsidRPr="00561A6B" w14:paraId="66B15805" w14:textId="77777777" w:rsidTr="00C645A0">
        <w:tc>
          <w:tcPr>
            <w:tcW w:w="4966" w:type="dxa"/>
            <w:vAlign w:val="center"/>
          </w:tcPr>
          <w:p w14:paraId="66B15801" w14:textId="77777777" w:rsidR="003F29E3" w:rsidRPr="00561A6B" w:rsidRDefault="003F29E3" w:rsidP="00D10772">
            <w:pPr>
              <w:rPr>
                <w:b/>
              </w:rPr>
            </w:pPr>
            <w:r w:rsidRPr="00561A6B">
              <w:t>Tulajdonosi kontroll hiánya, vagy gyengesége</w:t>
            </w:r>
          </w:p>
        </w:tc>
        <w:tc>
          <w:tcPr>
            <w:tcW w:w="2835" w:type="dxa"/>
            <w:vAlign w:val="center"/>
          </w:tcPr>
          <w:p w14:paraId="66B15802" w14:textId="77777777" w:rsidR="003F29E3" w:rsidRPr="00561A6B" w:rsidRDefault="003F29E3" w:rsidP="00D10772">
            <w:r w:rsidRPr="00561A6B">
              <w:t>Felhívás a tulajdonosi kontroll erősítésére</w:t>
            </w:r>
          </w:p>
        </w:tc>
        <w:tc>
          <w:tcPr>
            <w:tcW w:w="1276" w:type="dxa"/>
            <w:vAlign w:val="center"/>
          </w:tcPr>
          <w:p w14:paraId="66B15803" w14:textId="77777777" w:rsidR="003F29E3" w:rsidRPr="00561A6B" w:rsidRDefault="003F29E3" w:rsidP="00D10772">
            <w:r w:rsidRPr="00561A6B">
              <w:t>III.</w:t>
            </w:r>
          </w:p>
        </w:tc>
        <w:tc>
          <w:tcPr>
            <w:tcW w:w="2983" w:type="dxa"/>
            <w:vAlign w:val="center"/>
          </w:tcPr>
          <w:p w14:paraId="66B15804" w14:textId="77777777" w:rsidR="003F29E3" w:rsidRPr="00561A6B" w:rsidRDefault="003F29E3" w:rsidP="00D10772">
            <w:r w:rsidRPr="00561A6B">
              <w:t>Adatszolgáltatás, MNB vizsgálat</w:t>
            </w:r>
          </w:p>
        </w:tc>
      </w:tr>
      <w:tr w:rsidR="003F29E3" w:rsidRPr="00561A6B" w14:paraId="66B1580A" w14:textId="77777777" w:rsidTr="00C645A0">
        <w:tc>
          <w:tcPr>
            <w:tcW w:w="4966" w:type="dxa"/>
            <w:vAlign w:val="center"/>
          </w:tcPr>
          <w:p w14:paraId="66B15806"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07"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08" w14:textId="77777777" w:rsidR="003F29E3" w:rsidRPr="00561A6B" w:rsidRDefault="003F29E3" w:rsidP="00D10772">
            <w:r w:rsidRPr="00561A6B">
              <w:t>I.</w:t>
            </w:r>
          </w:p>
        </w:tc>
        <w:tc>
          <w:tcPr>
            <w:tcW w:w="2983" w:type="dxa"/>
            <w:vAlign w:val="center"/>
          </w:tcPr>
          <w:p w14:paraId="66B15809" w14:textId="77777777" w:rsidR="003F29E3" w:rsidRPr="00561A6B" w:rsidRDefault="003F29E3" w:rsidP="00D10772">
            <w:r w:rsidRPr="00561A6B">
              <w:t>MNB és egyéb szervezetek vizsgálatai, prudenciális megbeszélések tapasztalatai.</w:t>
            </w:r>
          </w:p>
        </w:tc>
      </w:tr>
      <w:tr w:rsidR="003F29E3" w:rsidRPr="00561A6B" w14:paraId="66B1580F" w14:textId="77777777" w:rsidTr="00C645A0">
        <w:tc>
          <w:tcPr>
            <w:tcW w:w="4966" w:type="dxa"/>
            <w:vAlign w:val="center"/>
          </w:tcPr>
          <w:p w14:paraId="66B1580B" w14:textId="77777777" w:rsidR="003F29E3" w:rsidRPr="00561A6B" w:rsidRDefault="003F29E3" w:rsidP="00D10772">
            <w:pPr>
              <w:rPr>
                <w:b/>
              </w:rPr>
            </w:pPr>
            <w:r w:rsidRPr="00561A6B">
              <w:t>Nem engedélyezési hatáskörbe tartozó vezetők végzettségével, szakmai gyakorlatával kapcsolatos problémák</w:t>
            </w:r>
          </w:p>
        </w:tc>
        <w:tc>
          <w:tcPr>
            <w:tcW w:w="2835" w:type="dxa"/>
            <w:vAlign w:val="center"/>
          </w:tcPr>
          <w:p w14:paraId="66B1580C" w14:textId="77777777" w:rsidR="003F29E3" w:rsidRPr="00561A6B" w:rsidRDefault="003F29E3" w:rsidP="00D10772">
            <w:r w:rsidRPr="00561A6B">
              <w:t>Szakmai továbbképzésre felhívás</w:t>
            </w:r>
          </w:p>
        </w:tc>
        <w:tc>
          <w:tcPr>
            <w:tcW w:w="1276" w:type="dxa"/>
            <w:vAlign w:val="center"/>
          </w:tcPr>
          <w:p w14:paraId="66B1580D" w14:textId="77777777" w:rsidR="003F29E3" w:rsidRPr="00561A6B" w:rsidRDefault="003F29E3" w:rsidP="00D10772">
            <w:r w:rsidRPr="00561A6B">
              <w:t>III.</w:t>
            </w:r>
          </w:p>
        </w:tc>
        <w:tc>
          <w:tcPr>
            <w:tcW w:w="2983" w:type="dxa"/>
            <w:vAlign w:val="center"/>
          </w:tcPr>
          <w:p w14:paraId="66B1580E" w14:textId="77777777" w:rsidR="003F29E3" w:rsidRPr="00561A6B" w:rsidRDefault="003F29E3" w:rsidP="00D10772">
            <w:r w:rsidRPr="00561A6B">
              <w:t>Kérdőív, MNB vizsgálatok</w:t>
            </w:r>
          </w:p>
        </w:tc>
      </w:tr>
      <w:tr w:rsidR="003F29E3" w:rsidRPr="00561A6B" w14:paraId="66B15814" w14:textId="77777777" w:rsidTr="00C645A0">
        <w:tc>
          <w:tcPr>
            <w:tcW w:w="4966" w:type="dxa"/>
            <w:vAlign w:val="center"/>
          </w:tcPr>
          <w:p w14:paraId="66B15810" w14:textId="77777777" w:rsidR="003F29E3" w:rsidRPr="00561A6B" w:rsidRDefault="003F29E3" w:rsidP="00D10772">
            <w:pPr>
              <w:rPr>
                <w:b/>
              </w:rPr>
            </w:pPr>
            <w:r w:rsidRPr="00561A6B">
              <w:t>Korábbi felügyeleti határozatok be nem tartása</w:t>
            </w:r>
          </w:p>
        </w:tc>
        <w:tc>
          <w:tcPr>
            <w:tcW w:w="2835" w:type="dxa"/>
            <w:vAlign w:val="center"/>
          </w:tcPr>
          <w:p w14:paraId="66B15811" w14:textId="77777777" w:rsidR="003F29E3" w:rsidRPr="00561A6B" w:rsidRDefault="003F29E3" w:rsidP="00D10772">
            <w:r w:rsidRPr="00561A6B">
              <w:t>Felügyeleti határozatok betartására kötelezés, bírság</w:t>
            </w:r>
          </w:p>
        </w:tc>
        <w:tc>
          <w:tcPr>
            <w:tcW w:w="1276" w:type="dxa"/>
            <w:vAlign w:val="center"/>
          </w:tcPr>
          <w:p w14:paraId="66B15812" w14:textId="77777777" w:rsidR="003F29E3" w:rsidRPr="00561A6B" w:rsidRDefault="003F29E3" w:rsidP="00D10772">
            <w:r w:rsidRPr="00561A6B">
              <w:t>I.</w:t>
            </w:r>
          </w:p>
        </w:tc>
        <w:tc>
          <w:tcPr>
            <w:tcW w:w="2983" w:type="dxa"/>
            <w:vAlign w:val="center"/>
          </w:tcPr>
          <w:p w14:paraId="66B15813" w14:textId="77777777" w:rsidR="003F29E3" w:rsidRPr="00561A6B" w:rsidRDefault="003F29E3" w:rsidP="00D10772">
            <w:r w:rsidRPr="00561A6B">
              <w:t>MNB vizsgálat, kérdőív</w:t>
            </w:r>
          </w:p>
        </w:tc>
      </w:tr>
      <w:tr w:rsidR="003F29E3" w:rsidRPr="00561A6B" w14:paraId="66B15819" w14:textId="77777777" w:rsidTr="00C645A0">
        <w:tc>
          <w:tcPr>
            <w:tcW w:w="4966" w:type="dxa"/>
            <w:vAlign w:val="center"/>
          </w:tcPr>
          <w:p w14:paraId="66B15815" w14:textId="27D6724C" w:rsidR="003F29E3" w:rsidRPr="00561A6B" w:rsidRDefault="003F29E3" w:rsidP="00EB1BE0">
            <w:pPr>
              <w:rPr>
                <w:b/>
              </w:rPr>
            </w:pPr>
            <w:r w:rsidRPr="00561A6B">
              <w:t xml:space="preserve">MNB ajánlások, módszertani </w:t>
            </w:r>
            <w:r w:rsidR="00EB1BE0">
              <w:t>kézikönyvek</w:t>
            </w:r>
            <w:r w:rsidRPr="00561A6B">
              <w:t xml:space="preserve"> be nem tartása</w:t>
            </w:r>
          </w:p>
        </w:tc>
        <w:tc>
          <w:tcPr>
            <w:tcW w:w="2835" w:type="dxa"/>
            <w:vAlign w:val="center"/>
          </w:tcPr>
          <w:p w14:paraId="66B15816" w14:textId="04D37863" w:rsidR="003F29E3" w:rsidRPr="00561A6B" w:rsidRDefault="003F29E3" w:rsidP="00EB1BE0">
            <w:r w:rsidRPr="00561A6B">
              <w:t xml:space="preserve">Ajánlások, </w:t>
            </w:r>
            <w:r w:rsidR="00EB1BE0">
              <w:t>kézikönyvek</w:t>
            </w:r>
            <w:r w:rsidRPr="00561A6B">
              <w:t xml:space="preserve"> betartására való figyelemfelhívás</w:t>
            </w:r>
          </w:p>
        </w:tc>
        <w:tc>
          <w:tcPr>
            <w:tcW w:w="1276" w:type="dxa"/>
            <w:vAlign w:val="center"/>
          </w:tcPr>
          <w:p w14:paraId="66B15817" w14:textId="77777777" w:rsidR="003F29E3" w:rsidRPr="00561A6B" w:rsidRDefault="003F29E3" w:rsidP="00D10772">
            <w:r w:rsidRPr="00561A6B">
              <w:t>II.</w:t>
            </w:r>
          </w:p>
        </w:tc>
        <w:tc>
          <w:tcPr>
            <w:tcW w:w="2983" w:type="dxa"/>
            <w:vAlign w:val="center"/>
          </w:tcPr>
          <w:p w14:paraId="66B15818" w14:textId="77777777" w:rsidR="003F29E3" w:rsidRPr="00561A6B" w:rsidRDefault="003F29E3" w:rsidP="00D10772">
            <w:r w:rsidRPr="00561A6B">
              <w:t>MNB vizsgálat</w:t>
            </w:r>
          </w:p>
        </w:tc>
      </w:tr>
      <w:tr w:rsidR="003F29E3" w:rsidRPr="00561A6B" w14:paraId="66B1581E" w14:textId="77777777" w:rsidTr="00C645A0">
        <w:tc>
          <w:tcPr>
            <w:tcW w:w="4966" w:type="dxa"/>
            <w:vAlign w:val="center"/>
          </w:tcPr>
          <w:p w14:paraId="66B1581A"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1B" w14:textId="77777777" w:rsidR="003F29E3" w:rsidRPr="00561A6B" w:rsidRDefault="003F29E3" w:rsidP="00D10772">
            <w:r w:rsidRPr="00561A6B">
              <w:t>A felügyeleti felhívások követésének szorosabb figyelemmel kísérése</w:t>
            </w:r>
          </w:p>
        </w:tc>
        <w:tc>
          <w:tcPr>
            <w:tcW w:w="1276" w:type="dxa"/>
            <w:vAlign w:val="center"/>
          </w:tcPr>
          <w:p w14:paraId="66B1581C" w14:textId="77777777" w:rsidR="003F29E3" w:rsidRPr="00561A6B" w:rsidRDefault="003F29E3" w:rsidP="00D10772">
            <w:r w:rsidRPr="00561A6B">
              <w:t xml:space="preserve"> II.</w:t>
            </w:r>
          </w:p>
        </w:tc>
        <w:tc>
          <w:tcPr>
            <w:tcW w:w="2983" w:type="dxa"/>
            <w:vAlign w:val="center"/>
          </w:tcPr>
          <w:p w14:paraId="66B1581D" w14:textId="77777777" w:rsidR="003F29E3" w:rsidRPr="00561A6B" w:rsidRDefault="003F29E3" w:rsidP="00D10772">
            <w:r w:rsidRPr="00561A6B">
              <w:t>MNB vizsgálat, kérdőív</w:t>
            </w:r>
          </w:p>
        </w:tc>
      </w:tr>
      <w:tr w:rsidR="003F29E3" w:rsidRPr="00561A6B" w14:paraId="66B15823" w14:textId="77777777" w:rsidTr="00C645A0">
        <w:tc>
          <w:tcPr>
            <w:tcW w:w="4966" w:type="dxa"/>
            <w:vAlign w:val="center"/>
          </w:tcPr>
          <w:p w14:paraId="66B1581F"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20" w14:textId="77777777" w:rsidR="003F29E3" w:rsidRPr="00561A6B" w:rsidRDefault="003F29E3" w:rsidP="00D10772">
            <w:r w:rsidRPr="00561A6B">
              <w:t>Kockázatkezelési és ellenőrzési hiányosságok kijavítására kötelezés</w:t>
            </w:r>
          </w:p>
        </w:tc>
        <w:tc>
          <w:tcPr>
            <w:tcW w:w="1276" w:type="dxa"/>
            <w:vAlign w:val="center"/>
          </w:tcPr>
          <w:p w14:paraId="66B15821" w14:textId="77777777" w:rsidR="003F29E3" w:rsidRPr="00561A6B" w:rsidRDefault="003F29E3" w:rsidP="00D10772">
            <w:r w:rsidRPr="00561A6B">
              <w:t>I.</w:t>
            </w:r>
          </w:p>
        </w:tc>
        <w:tc>
          <w:tcPr>
            <w:tcW w:w="2983" w:type="dxa"/>
            <w:vAlign w:val="center"/>
          </w:tcPr>
          <w:p w14:paraId="66B15822" w14:textId="77777777" w:rsidR="003F29E3" w:rsidRPr="00561A6B" w:rsidRDefault="003F29E3" w:rsidP="00D10772">
            <w:r w:rsidRPr="00561A6B">
              <w:t xml:space="preserve">MNB és más szervek vizsgálati anyagai </w:t>
            </w:r>
          </w:p>
        </w:tc>
      </w:tr>
      <w:tr w:rsidR="003F29E3" w:rsidRPr="00561A6B" w14:paraId="66B15828" w14:textId="77777777" w:rsidTr="00C645A0">
        <w:tc>
          <w:tcPr>
            <w:tcW w:w="4966" w:type="dxa"/>
            <w:vAlign w:val="center"/>
          </w:tcPr>
          <w:p w14:paraId="66B15824"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825" w14:textId="77777777" w:rsidR="003F29E3" w:rsidRPr="00561A6B" w:rsidRDefault="003F29E3" w:rsidP="00D10772">
            <w:r w:rsidRPr="00561A6B">
              <w:t>Kockázatkezelési és ellenőrzési hiányosságok kijavítására kötelezés</w:t>
            </w:r>
          </w:p>
        </w:tc>
        <w:tc>
          <w:tcPr>
            <w:tcW w:w="1276" w:type="dxa"/>
            <w:vAlign w:val="center"/>
          </w:tcPr>
          <w:p w14:paraId="66B15826" w14:textId="77777777" w:rsidR="003F29E3" w:rsidRPr="00561A6B" w:rsidRDefault="003F29E3" w:rsidP="00D10772">
            <w:r w:rsidRPr="00561A6B">
              <w:t>I.</w:t>
            </w:r>
          </w:p>
        </w:tc>
        <w:tc>
          <w:tcPr>
            <w:tcW w:w="2983" w:type="dxa"/>
            <w:vAlign w:val="center"/>
          </w:tcPr>
          <w:p w14:paraId="66B15827" w14:textId="77777777" w:rsidR="003F29E3" w:rsidRPr="00561A6B" w:rsidRDefault="003F29E3" w:rsidP="00D10772">
            <w:r w:rsidRPr="00561A6B">
              <w:t xml:space="preserve"> MNB vizsgálatok, adatszolgáltatás</w:t>
            </w:r>
          </w:p>
        </w:tc>
      </w:tr>
      <w:tr w:rsidR="003F29E3" w:rsidRPr="00561A6B" w14:paraId="66B1582D" w14:textId="77777777" w:rsidTr="00C645A0">
        <w:tc>
          <w:tcPr>
            <w:tcW w:w="4966" w:type="dxa"/>
            <w:vAlign w:val="center"/>
          </w:tcPr>
          <w:p w14:paraId="66B15829"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2A" w14:textId="77777777" w:rsidR="003F29E3" w:rsidRPr="00561A6B" w:rsidRDefault="003F29E3" w:rsidP="00D10772">
            <w:r w:rsidRPr="00561A6B">
              <w:t>Felhívás termék és szolgáltatási kínálatának, üzleti modelljének módosítására</w:t>
            </w:r>
          </w:p>
        </w:tc>
        <w:tc>
          <w:tcPr>
            <w:tcW w:w="1276" w:type="dxa"/>
            <w:vAlign w:val="center"/>
          </w:tcPr>
          <w:p w14:paraId="66B1582B" w14:textId="77777777" w:rsidR="003F29E3" w:rsidRPr="00561A6B" w:rsidRDefault="003F29E3" w:rsidP="00D10772">
            <w:r w:rsidRPr="00561A6B">
              <w:t>III.</w:t>
            </w:r>
          </w:p>
        </w:tc>
        <w:tc>
          <w:tcPr>
            <w:tcW w:w="2983" w:type="dxa"/>
            <w:vAlign w:val="center"/>
          </w:tcPr>
          <w:p w14:paraId="66B1582C" w14:textId="77777777" w:rsidR="003F29E3" w:rsidRPr="00561A6B" w:rsidRDefault="003F29E3" w:rsidP="00D10772">
            <w:r w:rsidRPr="00561A6B">
              <w:t>MNB és más szervek vizsgálati anyagai, adatszolgáltatás</w:t>
            </w:r>
          </w:p>
        </w:tc>
      </w:tr>
      <w:tr w:rsidR="003F29E3" w:rsidRPr="00561A6B" w14:paraId="66B15832" w14:textId="77777777" w:rsidTr="00C645A0">
        <w:tc>
          <w:tcPr>
            <w:tcW w:w="4966" w:type="dxa"/>
            <w:vAlign w:val="center"/>
          </w:tcPr>
          <w:p w14:paraId="66B1582E" w14:textId="77777777" w:rsidR="003F29E3" w:rsidRPr="00561A6B" w:rsidRDefault="003F29E3" w:rsidP="00D10772">
            <w:pPr>
              <w:rPr>
                <w:b/>
              </w:rPr>
            </w:pPr>
            <w:r w:rsidRPr="00561A6B">
              <w:t>Kis intézménytől nem megszokott tevékenység végzése</w:t>
            </w:r>
          </w:p>
        </w:tc>
        <w:tc>
          <w:tcPr>
            <w:tcW w:w="2835" w:type="dxa"/>
            <w:vAlign w:val="center"/>
          </w:tcPr>
          <w:p w14:paraId="66B1582F" w14:textId="77777777" w:rsidR="003F29E3" w:rsidRPr="00561A6B" w:rsidRDefault="003F29E3" w:rsidP="00D10772">
            <w:r w:rsidRPr="00561A6B">
              <w:t>A tevékenység fokozottabb felügyeleti figyelemmel kísérése</w:t>
            </w:r>
          </w:p>
        </w:tc>
        <w:tc>
          <w:tcPr>
            <w:tcW w:w="1276" w:type="dxa"/>
            <w:vAlign w:val="center"/>
          </w:tcPr>
          <w:p w14:paraId="66B15830" w14:textId="77777777" w:rsidR="003F29E3" w:rsidRPr="00561A6B" w:rsidRDefault="003F29E3" w:rsidP="00D10772">
            <w:r w:rsidRPr="00561A6B">
              <w:t>III.</w:t>
            </w:r>
          </w:p>
        </w:tc>
        <w:tc>
          <w:tcPr>
            <w:tcW w:w="2983" w:type="dxa"/>
            <w:vAlign w:val="center"/>
          </w:tcPr>
          <w:p w14:paraId="66B15831" w14:textId="77777777" w:rsidR="003F29E3" w:rsidRPr="00561A6B" w:rsidRDefault="003F29E3" w:rsidP="00D10772">
            <w:r w:rsidRPr="00561A6B">
              <w:t>Kérdőív, MNB vizsgálat, adatszolgáltatás</w:t>
            </w:r>
          </w:p>
        </w:tc>
      </w:tr>
      <w:tr w:rsidR="003F29E3" w:rsidRPr="00561A6B" w14:paraId="66B15837" w14:textId="77777777" w:rsidTr="00C645A0">
        <w:tc>
          <w:tcPr>
            <w:tcW w:w="4966" w:type="dxa"/>
            <w:vAlign w:val="center"/>
          </w:tcPr>
          <w:p w14:paraId="66B15833" w14:textId="77777777" w:rsidR="003F29E3" w:rsidRPr="00561A6B" w:rsidRDefault="003F29E3" w:rsidP="00D10772">
            <w:pPr>
              <w:rPr>
                <w:b/>
              </w:rPr>
            </w:pPr>
            <w:r w:rsidRPr="00561A6B">
              <w:t>Új típusú tevékenységek, piacok</w:t>
            </w:r>
          </w:p>
        </w:tc>
        <w:tc>
          <w:tcPr>
            <w:tcW w:w="2835" w:type="dxa"/>
            <w:vAlign w:val="center"/>
          </w:tcPr>
          <w:p w14:paraId="66B15834" w14:textId="77777777" w:rsidR="003F29E3" w:rsidRPr="00561A6B" w:rsidRDefault="003F29E3" w:rsidP="00D10772">
            <w:r w:rsidRPr="00561A6B">
              <w:t>Új tevékenységek és piacok fokozottabb felügyeleti figyelemmel kísérése</w:t>
            </w:r>
          </w:p>
        </w:tc>
        <w:tc>
          <w:tcPr>
            <w:tcW w:w="1276" w:type="dxa"/>
            <w:vAlign w:val="center"/>
          </w:tcPr>
          <w:p w14:paraId="66B15835" w14:textId="77777777" w:rsidR="003F29E3" w:rsidRPr="00561A6B" w:rsidRDefault="003F29E3" w:rsidP="00D10772">
            <w:r w:rsidRPr="00561A6B">
              <w:t>III.</w:t>
            </w:r>
          </w:p>
        </w:tc>
        <w:tc>
          <w:tcPr>
            <w:tcW w:w="2983" w:type="dxa"/>
            <w:vAlign w:val="center"/>
          </w:tcPr>
          <w:p w14:paraId="66B15836" w14:textId="77777777" w:rsidR="003F29E3" w:rsidRPr="00561A6B" w:rsidRDefault="003F29E3" w:rsidP="00D10772">
            <w:r w:rsidRPr="00561A6B">
              <w:t>Adatszolgáltatás, MNB vizsgálat, kérdőív</w:t>
            </w:r>
          </w:p>
        </w:tc>
      </w:tr>
      <w:tr w:rsidR="003F29E3" w:rsidRPr="00561A6B" w14:paraId="66B1583C" w14:textId="77777777" w:rsidTr="00C645A0">
        <w:tc>
          <w:tcPr>
            <w:tcW w:w="4966" w:type="dxa"/>
            <w:vAlign w:val="center"/>
          </w:tcPr>
          <w:p w14:paraId="66B15838" w14:textId="77777777" w:rsidR="003F29E3" w:rsidRPr="00561A6B" w:rsidRDefault="003F29E3" w:rsidP="00D10772">
            <w:pPr>
              <w:rPr>
                <w:b/>
              </w:rPr>
            </w:pPr>
            <w:r w:rsidRPr="00561A6B">
              <w:t>Piaci részarány csökkenése/növekedési ütem elmaradása a szektor átlagtól</w:t>
            </w:r>
          </w:p>
        </w:tc>
        <w:tc>
          <w:tcPr>
            <w:tcW w:w="2835" w:type="dxa"/>
            <w:vAlign w:val="center"/>
          </w:tcPr>
          <w:p w14:paraId="66B15839" w14:textId="77777777" w:rsidR="003F29E3" w:rsidRPr="00561A6B" w:rsidRDefault="003F29E3" w:rsidP="00D10772">
            <w:r w:rsidRPr="00561A6B">
              <w:t>Felhívás üzleti modelljének, üzletpolitikájának módosítására</w:t>
            </w:r>
          </w:p>
        </w:tc>
        <w:tc>
          <w:tcPr>
            <w:tcW w:w="1276" w:type="dxa"/>
            <w:vAlign w:val="center"/>
          </w:tcPr>
          <w:p w14:paraId="66B1583A" w14:textId="77777777" w:rsidR="003F29E3" w:rsidRPr="00561A6B" w:rsidRDefault="003F29E3" w:rsidP="00D10772">
            <w:r w:rsidRPr="00561A6B">
              <w:t>III.</w:t>
            </w:r>
          </w:p>
        </w:tc>
        <w:tc>
          <w:tcPr>
            <w:tcW w:w="2983" w:type="dxa"/>
            <w:vAlign w:val="center"/>
          </w:tcPr>
          <w:p w14:paraId="66B1583B" w14:textId="77777777" w:rsidR="003F29E3" w:rsidRPr="00561A6B" w:rsidRDefault="003F29E3" w:rsidP="00D10772">
            <w:r w:rsidRPr="00561A6B">
              <w:t xml:space="preserve"> MNB vizsgálat, kérdőív, adatszolgáltatás, Pszáf elemzések</w:t>
            </w:r>
          </w:p>
        </w:tc>
      </w:tr>
      <w:tr w:rsidR="003F29E3" w:rsidRPr="00561A6B" w14:paraId="66B15841" w14:textId="77777777" w:rsidTr="00C645A0">
        <w:trPr>
          <w:trHeight w:val="750"/>
        </w:trPr>
        <w:tc>
          <w:tcPr>
            <w:tcW w:w="4966" w:type="dxa"/>
            <w:vAlign w:val="center"/>
          </w:tcPr>
          <w:p w14:paraId="66B1583D" w14:textId="77777777" w:rsidR="003F29E3" w:rsidRPr="00561A6B" w:rsidRDefault="003F29E3" w:rsidP="00D10772">
            <w:pPr>
              <w:rPr>
                <w:b/>
              </w:rPr>
            </w:pPr>
            <w:r w:rsidRPr="00561A6B">
              <w:t>Az intézmény ügyfélstruktúrája problémás, erősen koncentrált ágazat, termék vagy kor szerint.</w:t>
            </w:r>
          </w:p>
        </w:tc>
        <w:tc>
          <w:tcPr>
            <w:tcW w:w="2835" w:type="dxa"/>
            <w:vAlign w:val="center"/>
          </w:tcPr>
          <w:p w14:paraId="66B1583E" w14:textId="77777777" w:rsidR="003F29E3" w:rsidRPr="00561A6B" w:rsidRDefault="003F29E3" w:rsidP="00D10772">
            <w:r w:rsidRPr="00561A6B">
              <w:t>Felhívás ügyfélstruktúrájának módosítására</w:t>
            </w:r>
          </w:p>
        </w:tc>
        <w:tc>
          <w:tcPr>
            <w:tcW w:w="1276" w:type="dxa"/>
            <w:vAlign w:val="center"/>
          </w:tcPr>
          <w:p w14:paraId="66B1583F" w14:textId="77777777" w:rsidR="003F29E3" w:rsidRPr="00561A6B" w:rsidRDefault="003F29E3" w:rsidP="00D10772">
            <w:r w:rsidRPr="00561A6B">
              <w:t>II.</w:t>
            </w:r>
          </w:p>
        </w:tc>
        <w:tc>
          <w:tcPr>
            <w:tcW w:w="2983" w:type="dxa"/>
            <w:vAlign w:val="center"/>
          </w:tcPr>
          <w:p w14:paraId="66B15840" w14:textId="77777777" w:rsidR="003F29E3" w:rsidRPr="00561A6B" w:rsidRDefault="003F29E3" w:rsidP="00D10772">
            <w:r w:rsidRPr="00561A6B">
              <w:t>MNB és más szervek vizsgálati anyagai, adatszolgáltatás</w:t>
            </w:r>
          </w:p>
        </w:tc>
      </w:tr>
      <w:tr w:rsidR="003F29E3" w:rsidRPr="00561A6B" w14:paraId="66B15847" w14:textId="77777777" w:rsidTr="00C645A0">
        <w:tc>
          <w:tcPr>
            <w:tcW w:w="4966" w:type="dxa"/>
            <w:vAlign w:val="center"/>
          </w:tcPr>
          <w:p w14:paraId="66B15842"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43" w14:textId="77777777" w:rsidR="003F29E3" w:rsidRPr="00561A6B" w:rsidRDefault="003F29E3" w:rsidP="00D10772">
            <w:r w:rsidRPr="00561A6B">
              <w:t>Az engedély nélküli tevékenységek megszüntetésére kötelezés</w:t>
            </w:r>
          </w:p>
        </w:tc>
        <w:tc>
          <w:tcPr>
            <w:tcW w:w="1276" w:type="dxa"/>
            <w:vAlign w:val="center"/>
          </w:tcPr>
          <w:p w14:paraId="66B15844" w14:textId="77777777" w:rsidR="003F29E3" w:rsidRPr="00561A6B" w:rsidRDefault="003F29E3" w:rsidP="00D10772"/>
          <w:p w14:paraId="66B15845" w14:textId="77777777" w:rsidR="003F29E3" w:rsidRPr="00561A6B" w:rsidRDefault="003F29E3" w:rsidP="00D10772">
            <w:r w:rsidRPr="00561A6B">
              <w:t>II.</w:t>
            </w:r>
          </w:p>
        </w:tc>
        <w:tc>
          <w:tcPr>
            <w:tcW w:w="2983" w:type="dxa"/>
            <w:vAlign w:val="center"/>
          </w:tcPr>
          <w:p w14:paraId="66B15846" w14:textId="77777777" w:rsidR="003F29E3" w:rsidRPr="00561A6B" w:rsidRDefault="003F29E3" w:rsidP="00D10772">
            <w:r w:rsidRPr="00561A6B">
              <w:t>MNB és más szervek vizsgálati anyagai, adatszolgáltatás</w:t>
            </w:r>
          </w:p>
        </w:tc>
      </w:tr>
      <w:tr w:rsidR="003F29E3" w:rsidRPr="00561A6B" w14:paraId="66B1584C" w14:textId="77777777" w:rsidTr="00C645A0">
        <w:tc>
          <w:tcPr>
            <w:tcW w:w="4966" w:type="dxa"/>
            <w:vAlign w:val="center"/>
          </w:tcPr>
          <w:p w14:paraId="66B15848" w14:textId="77777777" w:rsidR="003F29E3" w:rsidRPr="00561A6B" w:rsidRDefault="003F29E3" w:rsidP="00D10772">
            <w:pPr>
              <w:rPr>
                <w:b/>
              </w:rPr>
            </w:pPr>
            <w:r w:rsidRPr="00561A6B">
              <w:t>Az intézmény megengedhetetlen eszközöket alkalmaz akvizíciós, marketing és közzétételi politikájában.</w:t>
            </w:r>
          </w:p>
        </w:tc>
        <w:tc>
          <w:tcPr>
            <w:tcW w:w="2835" w:type="dxa"/>
            <w:vAlign w:val="center"/>
          </w:tcPr>
          <w:p w14:paraId="66B15849" w14:textId="77777777" w:rsidR="003F29E3" w:rsidRPr="00561A6B" w:rsidRDefault="003F29E3" w:rsidP="00D10772">
            <w:r w:rsidRPr="00561A6B">
              <w:t>Felhívás akvizíciós, marketing és közzétételi politikájának megváltoztatására.</w:t>
            </w:r>
          </w:p>
        </w:tc>
        <w:tc>
          <w:tcPr>
            <w:tcW w:w="1276" w:type="dxa"/>
            <w:vAlign w:val="center"/>
          </w:tcPr>
          <w:p w14:paraId="66B1584A" w14:textId="77777777" w:rsidR="003F29E3" w:rsidRPr="00561A6B" w:rsidRDefault="003F29E3" w:rsidP="00D10772">
            <w:r w:rsidRPr="00561A6B">
              <w:t>II.</w:t>
            </w:r>
          </w:p>
        </w:tc>
        <w:tc>
          <w:tcPr>
            <w:tcW w:w="2983" w:type="dxa"/>
            <w:vAlign w:val="center"/>
          </w:tcPr>
          <w:p w14:paraId="66B1584B" w14:textId="77777777" w:rsidR="003F29E3" w:rsidRPr="00561A6B" w:rsidRDefault="003F29E3" w:rsidP="00D10772">
            <w:r w:rsidRPr="00561A6B">
              <w:t>MNB és más szervek vizsgálati anyagai, adatszolgáltatás</w:t>
            </w:r>
          </w:p>
        </w:tc>
      </w:tr>
      <w:tr w:rsidR="003F29E3" w:rsidRPr="00561A6B" w14:paraId="66B15851" w14:textId="77777777" w:rsidTr="00C645A0">
        <w:tc>
          <w:tcPr>
            <w:tcW w:w="4966" w:type="dxa"/>
            <w:vAlign w:val="center"/>
          </w:tcPr>
          <w:p w14:paraId="66B1584D" w14:textId="77777777" w:rsidR="003F29E3" w:rsidRPr="00561A6B" w:rsidRDefault="003F29E3" w:rsidP="00D10772">
            <w:pPr>
              <w:rPr>
                <w:b/>
              </w:rPr>
            </w:pPr>
            <w:r w:rsidRPr="00561A6B">
              <w:t>Eszközminőség a hasonló hitelintézetekhez képest az alsó 10 és 20% között van</w:t>
            </w:r>
          </w:p>
        </w:tc>
        <w:tc>
          <w:tcPr>
            <w:tcW w:w="2835" w:type="dxa"/>
            <w:vAlign w:val="center"/>
          </w:tcPr>
          <w:p w14:paraId="66B1584E" w14:textId="77777777" w:rsidR="003F29E3" w:rsidRPr="00561A6B" w:rsidRDefault="003F29E3" w:rsidP="00D10772">
            <w:r w:rsidRPr="00561A6B">
              <w:t>Hitelkockázatok csökkentésére szóló felhívás</w:t>
            </w:r>
          </w:p>
        </w:tc>
        <w:tc>
          <w:tcPr>
            <w:tcW w:w="1276" w:type="dxa"/>
            <w:vAlign w:val="center"/>
          </w:tcPr>
          <w:p w14:paraId="66B1584F" w14:textId="77777777" w:rsidR="003F29E3" w:rsidRPr="00561A6B" w:rsidRDefault="003F29E3" w:rsidP="00D10772">
            <w:r w:rsidRPr="00561A6B">
              <w:t>III.</w:t>
            </w:r>
          </w:p>
        </w:tc>
        <w:tc>
          <w:tcPr>
            <w:tcW w:w="2983" w:type="dxa"/>
            <w:vAlign w:val="center"/>
          </w:tcPr>
          <w:p w14:paraId="66B15850" w14:textId="77777777" w:rsidR="003F29E3" w:rsidRPr="00561A6B" w:rsidRDefault="003F29E3" w:rsidP="00D10772">
            <w:r w:rsidRPr="00561A6B">
              <w:t>Adatszolgáltatás</w:t>
            </w:r>
          </w:p>
        </w:tc>
      </w:tr>
      <w:tr w:rsidR="003F29E3" w:rsidRPr="00561A6B" w14:paraId="66B15856" w14:textId="77777777" w:rsidTr="00C645A0">
        <w:tc>
          <w:tcPr>
            <w:tcW w:w="4966" w:type="dxa"/>
            <w:vAlign w:val="center"/>
          </w:tcPr>
          <w:p w14:paraId="66B15852" w14:textId="77777777" w:rsidR="003F29E3" w:rsidRPr="00561A6B" w:rsidRDefault="003F29E3" w:rsidP="00D10772">
            <w:pPr>
              <w:rPr>
                <w:b/>
              </w:rPr>
            </w:pPr>
            <w:r w:rsidRPr="00561A6B">
              <w:t>Eszközminőség a hasonló hitelintézetekhez képest az alsó 10%-ban van</w:t>
            </w:r>
          </w:p>
        </w:tc>
        <w:tc>
          <w:tcPr>
            <w:tcW w:w="2835" w:type="dxa"/>
            <w:vAlign w:val="center"/>
          </w:tcPr>
          <w:p w14:paraId="66B15853" w14:textId="77777777" w:rsidR="003F29E3" w:rsidRPr="00561A6B" w:rsidRDefault="003F29E3" w:rsidP="00D10772">
            <w:r w:rsidRPr="00561A6B">
              <w:t>Hitelkockázatok csökkentésére szóló felhívás</w:t>
            </w:r>
          </w:p>
        </w:tc>
        <w:tc>
          <w:tcPr>
            <w:tcW w:w="1276" w:type="dxa"/>
            <w:vAlign w:val="center"/>
          </w:tcPr>
          <w:p w14:paraId="66B15854" w14:textId="77777777" w:rsidR="003F29E3" w:rsidRPr="00561A6B" w:rsidRDefault="003F29E3" w:rsidP="00D10772">
            <w:r w:rsidRPr="00561A6B">
              <w:t>II.</w:t>
            </w:r>
          </w:p>
        </w:tc>
        <w:tc>
          <w:tcPr>
            <w:tcW w:w="2983" w:type="dxa"/>
            <w:vAlign w:val="center"/>
          </w:tcPr>
          <w:p w14:paraId="66B15855" w14:textId="77777777" w:rsidR="003F29E3" w:rsidRPr="00561A6B" w:rsidRDefault="003F29E3" w:rsidP="00D10772">
            <w:r w:rsidRPr="00561A6B">
              <w:t>Adatszolgáltatás</w:t>
            </w:r>
          </w:p>
        </w:tc>
      </w:tr>
      <w:tr w:rsidR="003F29E3" w:rsidRPr="00561A6B" w14:paraId="66B1585B" w14:textId="77777777" w:rsidTr="00C645A0">
        <w:tc>
          <w:tcPr>
            <w:tcW w:w="4966" w:type="dxa"/>
            <w:vAlign w:val="center"/>
          </w:tcPr>
          <w:p w14:paraId="66B15857" w14:textId="77777777" w:rsidR="003F29E3" w:rsidRPr="00561A6B" w:rsidRDefault="003F29E3" w:rsidP="00D10772">
            <w:pPr>
              <w:rPr>
                <w:b/>
              </w:rPr>
            </w:pPr>
            <w:r w:rsidRPr="00561A6B">
              <w:t>Jelentős, éves szinten a saját tőke 5 %-át meghaladó hitelezési veszteségek az elmúlt 3 évben.</w:t>
            </w:r>
          </w:p>
        </w:tc>
        <w:tc>
          <w:tcPr>
            <w:tcW w:w="2835" w:type="dxa"/>
            <w:vAlign w:val="center"/>
          </w:tcPr>
          <w:p w14:paraId="66B15858" w14:textId="77777777" w:rsidR="003F29E3" w:rsidRPr="00561A6B" w:rsidRDefault="003F29E3" w:rsidP="00D10772">
            <w:r w:rsidRPr="00561A6B">
              <w:t>Hitelezési veszteségek keletkezésének kivizsgálása</w:t>
            </w:r>
          </w:p>
        </w:tc>
        <w:tc>
          <w:tcPr>
            <w:tcW w:w="1276" w:type="dxa"/>
            <w:vAlign w:val="center"/>
          </w:tcPr>
          <w:p w14:paraId="66B15859" w14:textId="77777777" w:rsidR="003F29E3" w:rsidRPr="00561A6B" w:rsidRDefault="003F29E3" w:rsidP="00D10772">
            <w:r w:rsidRPr="00561A6B">
              <w:t>II.</w:t>
            </w:r>
          </w:p>
        </w:tc>
        <w:tc>
          <w:tcPr>
            <w:tcW w:w="2983" w:type="dxa"/>
            <w:vAlign w:val="center"/>
          </w:tcPr>
          <w:p w14:paraId="66B1585A" w14:textId="77777777" w:rsidR="003F29E3" w:rsidRPr="00561A6B" w:rsidRDefault="003F29E3" w:rsidP="00D10772">
            <w:r w:rsidRPr="00561A6B">
              <w:t>MNB vizsgálat, adatszolgáltatás, Kérdőív</w:t>
            </w:r>
          </w:p>
        </w:tc>
      </w:tr>
      <w:tr w:rsidR="003F29E3" w:rsidRPr="00561A6B" w14:paraId="66B15860" w14:textId="77777777" w:rsidTr="00C645A0">
        <w:tc>
          <w:tcPr>
            <w:tcW w:w="4966" w:type="dxa"/>
            <w:vAlign w:val="center"/>
          </w:tcPr>
          <w:p w14:paraId="66B1585C" w14:textId="77777777" w:rsidR="003F29E3" w:rsidRPr="00561A6B" w:rsidRDefault="003F29E3" w:rsidP="00D10772">
            <w:pPr>
              <w:rPr>
                <w:b/>
              </w:rPr>
            </w:pPr>
            <w:r w:rsidRPr="00561A6B">
              <w:t>A függővé tett kamatok aránya legalább 30 %-kal magasabb a szektorátlagnál.</w:t>
            </w:r>
          </w:p>
        </w:tc>
        <w:tc>
          <w:tcPr>
            <w:tcW w:w="2835" w:type="dxa"/>
            <w:vAlign w:val="center"/>
          </w:tcPr>
          <w:p w14:paraId="66B1585D" w14:textId="77777777" w:rsidR="003F29E3" w:rsidRPr="00561A6B" w:rsidRDefault="003F29E3" w:rsidP="00D10772">
            <w:r w:rsidRPr="00561A6B">
              <w:t>Hitelezési veszteségek keletkezésének kivizsgálása</w:t>
            </w:r>
          </w:p>
        </w:tc>
        <w:tc>
          <w:tcPr>
            <w:tcW w:w="1276" w:type="dxa"/>
            <w:vAlign w:val="center"/>
          </w:tcPr>
          <w:p w14:paraId="66B1585E" w14:textId="77777777" w:rsidR="003F29E3" w:rsidRPr="00561A6B" w:rsidRDefault="003F29E3" w:rsidP="00D10772">
            <w:r w:rsidRPr="00561A6B">
              <w:t>III.</w:t>
            </w:r>
          </w:p>
        </w:tc>
        <w:tc>
          <w:tcPr>
            <w:tcW w:w="2983" w:type="dxa"/>
            <w:vAlign w:val="center"/>
          </w:tcPr>
          <w:p w14:paraId="66B1585F" w14:textId="77777777" w:rsidR="003F29E3" w:rsidRPr="00561A6B" w:rsidRDefault="003F29E3" w:rsidP="00D10772">
            <w:r w:rsidRPr="00561A6B">
              <w:t>Adatszolgáltatás</w:t>
            </w:r>
          </w:p>
        </w:tc>
      </w:tr>
      <w:tr w:rsidR="003F29E3" w:rsidRPr="00561A6B" w14:paraId="66B15865" w14:textId="77777777" w:rsidTr="00C645A0">
        <w:tc>
          <w:tcPr>
            <w:tcW w:w="4966" w:type="dxa"/>
            <w:vAlign w:val="center"/>
          </w:tcPr>
          <w:p w14:paraId="66B15861"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862" w14:textId="77777777" w:rsidR="003F29E3" w:rsidRPr="00561A6B" w:rsidRDefault="003F29E3" w:rsidP="00D10772">
            <w:r w:rsidRPr="00561A6B">
              <w:t>Kockázatkezelési és ellenőrzési hiányosságok kijavítására kötelezés</w:t>
            </w:r>
          </w:p>
        </w:tc>
        <w:tc>
          <w:tcPr>
            <w:tcW w:w="1276" w:type="dxa"/>
            <w:vAlign w:val="center"/>
          </w:tcPr>
          <w:p w14:paraId="66B15863" w14:textId="77777777" w:rsidR="003F29E3" w:rsidRPr="00561A6B" w:rsidRDefault="003F29E3" w:rsidP="00D10772">
            <w:r w:rsidRPr="00561A6B">
              <w:t>I.</w:t>
            </w:r>
          </w:p>
        </w:tc>
        <w:tc>
          <w:tcPr>
            <w:tcW w:w="2983" w:type="dxa"/>
            <w:vAlign w:val="center"/>
          </w:tcPr>
          <w:p w14:paraId="66B15864" w14:textId="77777777" w:rsidR="003F29E3" w:rsidRPr="00561A6B" w:rsidRDefault="003F29E3" w:rsidP="00D10772">
            <w:r w:rsidRPr="00561A6B">
              <w:t>MNB vizsgálat, más szervezetektől kapott vizsgálati anyagok</w:t>
            </w:r>
          </w:p>
        </w:tc>
      </w:tr>
      <w:tr w:rsidR="003F29E3" w:rsidRPr="00561A6B" w14:paraId="66B1586A" w14:textId="77777777" w:rsidTr="00C645A0">
        <w:tc>
          <w:tcPr>
            <w:tcW w:w="4966" w:type="dxa"/>
            <w:vAlign w:val="center"/>
          </w:tcPr>
          <w:p w14:paraId="66B15866" w14:textId="77777777" w:rsidR="003F29E3" w:rsidRPr="00561A6B" w:rsidRDefault="003F29E3" w:rsidP="00D10772">
            <w:pPr>
              <w:rPr>
                <w:b/>
              </w:rPr>
            </w:pPr>
            <w:r w:rsidRPr="00561A6B">
              <w:t>Átlagosnál nagyobb hitelkockázatú partnerkör a minősítések és az ágazati kockázatok alapján.</w:t>
            </w:r>
          </w:p>
        </w:tc>
        <w:tc>
          <w:tcPr>
            <w:tcW w:w="2835" w:type="dxa"/>
            <w:vAlign w:val="center"/>
          </w:tcPr>
          <w:p w14:paraId="66B15867" w14:textId="77777777" w:rsidR="003F29E3" w:rsidRPr="00561A6B" w:rsidRDefault="003F29E3" w:rsidP="00D10772">
            <w:r w:rsidRPr="00561A6B">
              <w:t>Részletesebb jelentések, szigorúbb kockázatkezelési eljárások megkövetelése</w:t>
            </w:r>
          </w:p>
        </w:tc>
        <w:tc>
          <w:tcPr>
            <w:tcW w:w="1276" w:type="dxa"/>
            <w:vAlign w:val="center"/>
          </w:tcPr>
          <w:p w14:paraId="66B15868" w14:textId="77777777" w:rsidR="003F29E3" w:rsidRPr="00561A6B" w:rsidRDefault="003F29E3" w:rsidP="00D10772">
            <w:r w:rsidRPr="00561A6B">
              <w:t>III.</w:t>
            </w:r>
          </w:p>
        </w:tc>
        <w:tc>
          <w:tcPr>
            <w:tcW w:w="2983" w:type="dxa"/>
            <w:vAlign w:val="center"/>
          </w:tcPr>
          <w:p w14:paraId="66B15869" w14:textId="77777777" w:rsidR="003F29E3" w:rsidRPr="00561A6B" w:rsidRDefault="003F29E3" w:rsidP="00D10772">
            <w:r w:rsidRPr="00561A6B">
              <w:t>Kérdőív, MNB vizsgálat</w:t>
            </w:r>
          </w:p>
        </w:tc>
      </w:tr>
      <w:tr w:rsidR="003F29E3" w:rsidRPr="00561A6B" w14:paraId="66B1586F" w14:textId="77777777" w:rsidTr="00C645A0">
        <w:tc>
          <w:tcPr>
            <w:tcW w:w="4966" w:type="dxa"/>
            <w:vAlign w:val="center"/>
          </w:tcPr>
          <w:p w14:paraId="66B1586B" w14:textId="77777777" w:rsidR="003F29E3" w:rsidRPr="00561A6B" w:rsidRDefault="003F29E3" w:rsidP="00D10772">
            <w:pPr>
              <w:rPr>
                <w:b/>
              </w:rPr>
            </w:pPr>
            <w:r w:rsidRPr="00561A6B">
              <w:t>Új hitelezési termékek bevezetése, különös tekintettel a magyar piacon nem szokványos és bejáratott konstrukciókra.</w:t>
            </w:r>
          </w:p>
        </w:tc>
        <w:tc>
          <w:tcPr>
            <w:tcW w:w="2835" w:type="dxa"/>
            <w:vAlign w:val="center"/>
          </w:tcPr>
          <w:p w14:paraId="66B1586C" w14:textId="77777777" w:rsidR="003F29E3" w:rsidRPr="00561A6B" w:rsidRDefault="003F29E3" w:rsidP="00D10772">
            <w:r w:rsidRPr="00561A6B">
              <w:t>Új termékek figyelemmel kísérése</w:t>
            </w:r>
          </w:p>
        </w:tc>
        <w:tc>
          <w:tcPr>
            <w:tcW w:w="1276" w:type="dxa"/>
            <w:vAlign w:val="center"/>
          </w:tcPr>
          <w:p w14:paraId="66B1586D" w14:textId="77777777" w:rsidR="003F29E3" w:rsidRPr="00561A6B" w:rsidRDefault="003F29E3" w:rsidP="00D10772">
            <w:r w:rsidRPr="00561A6B">
              <w:t>III.</w:t>
            </w:r>
          </w:p>
        </w:tc>
        <w:tc>
          <w:tcPr>
            <w:tcW w:w="2983" w:type="dxa"/>
            <w:vAlign w:val="center"/>
          </w:tcPr>
          <w:p w14:paraId="66B1586E" w14:textId="77777777" w:rsidR="003F29E3" w:rsidRPr="00561A6B" w:rsidRDefault="003F29E3" w:rsidP="00D10772">
            <w:r w:rsidRPr="00561A6B">
              <w:t>Kérdőív, MNB vizsgálat</w:t>
            </w:r>
          </w:p>
        </w:tc>
      </w:tr>
      <w:tr w:rsidR="003F29E3" w:rsidRPr="00561A6B" w14:paraId="66B15874" w14:textId="77777777" w:rsidTr="00C645A0">
        <w:tc>
          <w:tcPr>
            <w:tcW w:w="4966" w:type="dxa"/>
            <w:vAlign w:val="center"/>
          </w:tcPr>
          <w:p w14:paraId="66B15870" w14:textId="77777777" w:rsidR="003F29E3" w:rsidRPr="00561A6B" w:rsidRDefault="003F29E3" w:rsidP="00D10772">
            <w:pPr>
              <w:rPr>
                <w:b/>
              </w:rPr>
            </w:pPr>
            <w:r w:rsidRPr="00561A6B">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561A6B" w:rsidRDefault="003F29E3" w:rsidP="00D10772">
            <w:r w:rsidRPr="00561A6B">
              <w:t>Prudenciális korlátok szigorúbb figyelemmel kísérése</w:t>
            </w:r>
          </w:p>
        </w:tc>
        <w:tc>
          <w:tcPr>
            <w:tcW w:w="1276" w:type="dxa"/>
            <w:vAlign w:val="center"/>
          </w:tcPr>
          <w:p w14:paraId="66B15872" w14:textId="77777777" w:rsidR="003F29E3" w:rsidRPr="00561A6B" w:rsidRDefault="003F29E3" w:rsidP="00D10772">
            <w:r w:rsidRPr="00561A6B">
              <w:t>III.</w:t>
            </w:r>
          </w:p>
        </w:tc>
        <w:tc>
          <w:tcPr>
            <w:tcW w:w="2983" w:type="dxa"/>
            <w:vAlign w:val="center"/>
          </w:tcPr>
          <w:p w14:paraId="66B15873" w14:textId="77777777" w:rsidR="003F29E3" w:rsidRPr="00561A6B" w:rsidRDefault="003F29E3" w:rsidP="00D10772">
            <w:r w:rsidRPr="00561A6B">
              <w:t>Adatszolgáltatás</w:t>
            </w:r>
          </w:p>
        </w:tc>
      </w:tr>
      <w:tr w:rsidR="003F29E3" w:rsidRPr="00561A6B" w14:paraId="66B15879" w14:textId="77777777" w:rsidTr="00C645A0">
        <w:trPr>
          <w:trHeight w:val="1191"/>
        </w:trPr>
        <w:tc>
          <w:tcPr>
            <w:tcW w:w="4966" w:type="dxa"/>
            <w:vAlign w:val="center"/>
          </w:tcPr>
          <w:p w14:paraId="66B15875" w14:textId="77777777" w:rsidR="003F29E3" w:rsidRPr="00561A6B" w:rsidRDefault="003F29E3" w:rsidP="00D10772">
            <w:pPr>
              <w:rPr>
                <w:b/>
              </w:rPr>
            </w:pPr>
            <w:r w:rsidRPr="00561A6B">
              <w:t>Magas országkockázat</w:t>
            </w:r>
          </w:p>
        </w:tc>
        <w:tc>
          <w:tcPr>
            <w:tcW w:w="2835" w:type="dxa"/>
            <w:vAlign w:val="center"/>
          </w:tcPr>
          <w:p w14:paraId="66B15876" w14:textId="77777777" w:rsidR="003F29E3" w:rsidRPr="00561A6B" w:rsidRDefault="003F29E3" w:rsidP="00D10772">
            <w:r w:rsidRPr="00561A6B">
              <w:t>A tevékenység fokozottabb felügyeleti figyelemmel kísérése</w:t>
            </w:r>
          </w:p>
        </w:tc>
        <w:tc>
          <w:tcPr>
            <w:tcW w:w="1276" w:type="dxa"/>
            <w:vAlign w:val="center"/>
          </w:tcPr>
          <w:p w14:paraId="66B15877" w14:textId="59F1A7FF" w:rsidR="003F29E3" w:rsidRPr="00561A6B" w:rsidRDefault="003F29E3" w:rsidP="00D10772">
            <w:r w:rsidRPr="00561A6B">
              <w:t>Többlet</w:t>
            </w:r>
            <w:r w:rsidR="003C6A4E">
              <w:t>-</w:t>
            </w:r>
            <w:r w:rsidRPr="00561A6B">
              <w:t>tőkekövetelmény előírása külön módszertan szerint</w:t>
            </w:r>
          </w:p>
        </w:tc>
        <w:tc>
          <w:tcPr>
            <w:tcW w:w="2983" w:type="dxa"/>
            <w:vAlign w:val="center"/>
          </w:tcPr>
          <w:p w14:paraId="66B15878" w14:textId="77777777" w:rsidR="003F29E3" w:rsidRPr="00561A6B" w:rsidRDefault="003F29E3" w:rsidP="00D10772">
            <w:r w:rsidRPr="00561A6B">
              <w:t>Adatszolgáltatás</w:t>
            </w:r>
          </w:p>
        </w:tc>
      </w:tr>
      <w:tr w:rsidR="003F29E3" w:rsidRPr="00561A6B" w14:paraId="66B1587E" w14:textId="77777777" w:rsidTr="00C645A0">
        <w:tc>
          <w:tcPr>
            <w:tcW w:w="4966" w:type="dxa"/>
            <w:vAlign w:val="center"/>
          </w:tcPr>
          <w:p w14:paraId="66B1587A" w14:textId="77777777" w:rsidR="003F29E3" w:rsidRPr="00561A6B" w:rsidRDefault="003F29E3" w:rsidP="00D10772">
            <w:pPr>
              <w:rPr>
                <w:b/>
              </w:rPr>
            </w:pPr>
            <w:r w:rsidRPr="00561A6B">
              <w:t>Jelentős, a piaci kockázatból jelentkező veszteségek az elmúlt 3 évben</w:t>
            </w:r>
          </w:p>
        </w:tc>
        <w:tc>
          <w:tcPr>
            <w:tcW w:w="2835" w:type="dxa"/>
            <w:vAlign w:val="center"/>
          </w:tcPr>
          <w:p w14:paraId="66B1587B" w14:textId="77777777" w:rsidR="003F29E3" w:rsidRPr="00561A6B" w:rsidRDefault="003F29E3" w:rsidP="00D10772">
            <w:r w:rsidRPr="00561A6B">
              <w:t>Piaci kockázat veszteségek keletkezésének kivizsgálása</w:t>
            </w:r>
          </w:p>
        </w:tc>
        <w:tc>
          <w:tcPr>
            <w:tcW w:w="1276" w:type="dxa"/>
            <w:vAlign w:val="center"/>
          </w:tcPr>
          <w:p w14:paraId="66B1587C" w14:textId="77777777" w:rsidR="003F29E3" w:rsidRPr="00561A6B" w:rsidRDefault="003F29E3" w:rsidP="00D10772">
            <w:r w:rsidRPr="00561A6B">
              <w:t>II.</w:t>
            </w:r>
          </w:p>
        </w:tc>
        <w:tc>
          <w:tcPr>
            <w:tcW w:w="2983" w:type="dxa"/>
            <w:vAlign w:val="center"/>
          </w:tcPr>
          <w:p w14:paraId="66B1587D" w14:textId="77777777" w:rsidR="003F29E3" w:rsidRPr="00561A6B" w:rsidRDefault="003F29E3" w:rsidP="00D10772">
            <w:r w:rsidRPr="00561A6B">
              <w:t>Kérdőív</w:t>
            </w:r>
          </w:p>
        </w:tc>
      </w:tr>
      <w:tr w:rsidR="003F29E3" w:rsidRPr="00561A6B" w14:paraId="66B15883" w14:textId="77777777" w:rsidTr="00C645A0">
        <w:tc>
          <w:tcPr>
            <w:tcW w:w="4966" w:type="dxa"/>
            <w:vAlign w:val="center"/>
          </w:tcPr>
          <w:p w14:paraId="66B1587F" w14:textId="77777777" w:rsidR="003F29E3" w:rsidRPr="00561A6B" w:rsidRDefault="003F29E3" w:rsidP="00D10772">
            <w:pPr>
              <w:rPr>
                <w:b/>
              </w:rPr>
            </w:pPr>
            <w:r w:rsidRPr="00561A6B">
              <w:t>Átlagostól eltérő kondíciójú termékek</w:t>
            </w:r>
          </w:p>
        </w:tc>
        <w:tc>
          <w:tcPr>
            <w:tcW w:w="2835" w:type="dxa"/>
            <w:vAlign w:val="center"/>
          </w:tcPr>
          <w:p w14:paraId="66B15880" w14:textId="77777777" w:rsidR="003F29E3" w:rsidRPr="00561A6B" w:rsidRDefault="003F29E3" w:rsidP="00D10772">
            <w:r w:rsidRPr="00561A6B">
              <w:t>Kondíciók felülvizsgálatára való felhívás</w:t>
            </w:r>
          </w:p>
        </w:tc>
        <w:tc>
          <w:tcPr>
            <w:tcW w:w="1276" w:type="dxa"/>
            <w:vAlign w:val="center"/>
          </w:tcPr>
          <w:p w14:paraId="66B15881" w14:textId="77777777" w:rsidR="003F29E3" w:rsidRPr="00561A6B" w:rsidRDefault="003F29E3" w:rsidP="00D10772">
            <w:r w:rsidRPr="00561A6B">
              <w:t>III.</w:t>
            </w:r>
          </w:p>
        </w:tc>
        <w:tc>
          <w:tcPr>
            <w:tcW w:w="2983" w:type="dxa"/>
            <w:vAlign w:val="center"/>
          </w:tcPr>
          <w:p w14:paraId="66B15882" w14:textId="77777777" w:rsidR="003F29E3" w:rsidRPr="00561A6B" w:rsidRDefault="003F29E3" w:rsidP="00D10772">
            <w:r w:rsidRPr="00561A6B">
              <w:t>MNB vizsgálatok, kérdőív</w:t>
            </w:r>
          </w:p>
        </w:tc>
      </w:tr>
      <w:tr w:rsidR="003F29E3" w:rsidRPr="00561A6B" w14:paraId="66B15888" w14:textId="77777777" w:rsidTr="00C645A0">
        <w:trPr>
          <w:trHeight w:val="1274"/>
        </w:trPr>
        <w:tc>
          <w:tcPr>
            <w:tcW w:w="4966" w:type="dxa"/>
            <w:vAlign w:val="center"/>
          </w:tcPr>
          <w:p w14:paraId="66B15884" w14:textId="77777777" w:rsidR="003F29E3" w:rsidRPr="00561A6B" w:rsidRDefault="003F29E3" w:rsidP="00D10772">
            <w:pPr>
              <w:rPr>
                <w:b/>
              </w:rPr>
            </w:pPr>
            <w:r w:rsidRPr="00561A6B">
              <w:t>Kamatláb érzékenységi vizsgálat magas kockázatot jelez</w:t>
            </w:r>
          </w:p>
        </w:tc>
        <w:tc>
          <w:tcPr>
            <w:tcW w:w="2835" w:type="dxa"/>
            <w:vAlign w:val="center"/>
          </w:tcPr>
          <w:p w14:paraId="66B15885" w14:textId="77777777" w:rsidR="003F29E3" w:rsidRPr="00561A6B" w:rsidRDefault="003F29E3" w:rsidP="00D10772">
            <w:r w:rsidRPr="00561A6B">
              <w:t>Kamatlábkockázat kezelési technikák fejlesztésére felhívás</w:t>
            </w:r>
          </w:p>
        </w:tc>
        <w:tc>
          <w:tcPr>
            <w:tcW w:w="1276" w:type="dxa"/>
            <w:vAlign w:val="center"/>
          </w:tcPr>
          <w:p w14:paraId="66B15886" w14:textId="26C6D614" w:rsidR="003F29E3" w:rsidRPr="00561A6B" w:rsidRDefault="003F29E3" w:rsidP="00D10772">
            <w:r w:rsidRPr="00561A6B">
              <w:t>Többlet</w:t>
            </w:r>
            <w:r w:rsidR="003C6A4E">
              <w:t>-</w:t>
            </w:r>
            <w:r w:rsidRPr="00561A6B">
              <w:t>tőkekövetelmény előírása külön módszertan szerint</w:t>
            </w:r>
          </w:p>
        </w:tc>
        <w:tc>
          <w:tcPr>
            <w:tcW w:w="2983" w:type="dxa"/>
            <w:vAlign w:val="center"/>
          </w:tcPr>
          <w:p w14:paraId="66B15887" w14:textId="77777777" w:rsidR="003F29E3" w:rsidRPr="00561A6B" w:rsidRDefault="003F29E3" w:rsidP="00D10772">
            <w:r w:rsidRPr="00561A6B">
              <w:t>MNBvizsgálatok, adatszolgáltatás</w:t>
            </w:r>
          </w:p>
        </w:tc>
      </w:tr>
      <w:tr w:rsidR="003F29E3" w:rsidRPr="00561A6B" w14:paraId="66B1588D" w14:textId="77777777" w:rsidTr="00C645A0">
        <w:trPr>
          <w:trHeight w:val="1047"/>
        </w:trPr>
        <w:tc>
          <w:tcPr>
            <w:tcW w:w="4966" w:type="dxa"/>
            <w:vAlign w:val="center"/>
          </w:tcPr>
          <w:p w14:paraId="66B15889" w14:textId="77777777" w:rsidR="003F29E3" w:rsidRPr="00561A6B" w:rsidRDefault="003F29E3" w:rsidP="00D10772">
            <w:pPr>
              <w:rPr>
                <w:b/>
              </w:rPr>
            </w:pPr>
            <w:r w:rsidRPr="00561A6B">
              <w:t>Gyakori likviditási nehézségek, többlet forrásbevonási lehetőségek hiánya, GAP analízis magas lejárati különbözeteket mutat</w:t>
            </w:r>
          </w:p>
        </w:tc>
        <w:tc>
          <w:tcPr>
            <w:tcW w:w="2835" w:type="dxa"/>
            <w:vAlign w:val="center"/>
          </w:tcPr>
          <w:p w14:paraId="66B1588A" w14:textId="77777777" w:rsidR="003F29E3" w:rsidRPr="00561A6B" w:rsidRDefault="003F29E3" w:rsidP="00D10772">
            <w:r w:rsidRPr="00561A6B">
              <w:t>Likviditási kockázat kezelési technikák fejlesztésére felhívás</w:t>
            </w:r>
          </w:p>
        </w:tc>
        <w:tc>
          <w:tcPr>
            <w:tcW w:w="1276" w:type="dxa"/>
            <w:vAlign w:val="center"/>
          </w:tcPr>
          <w:p w14:paraId="66B1588B" w14:textId="77777777" w:rsidR="003F29E3" w:rsidRPr="00561A6B" w:rsidRDefault="003F29E3" w:rsidP="00D10772">
            <w:r w:rsidRPr="00561A6B">
              <w:t>II.</w:t>
            </w:r>
          </w:p>
        </w:tc>
        <w:tc>
          <w:tcPr>
            <w:tcW w:w="2983" w:type="dxa"/>
            <w:vAlign w:val="center"/>
          </w:tcPr>
          <w:p w14:paraId="66B1588C" w14:textId="77777777" w:rsidR="003F29E3" w:rsidRPr="00561A6B" w:rsidRDefault="003F29E3" w:rsidP="00D10772">
            <w:r w:rsidRPr="00561A6B">
              <w:t>Kérdőív, adatszolgáltatás, MNB elemzés</w:t>
            </w:r>
          </w:p>
        </w:tc>
      </w:tr>
      <w:tr w:rsidR="003F29E3" w:rsidRPr="00561A6B" w14:paraId="66B15892" w14:textId="77777777" w:rsidTr="00C645A0">
        <w:tc>
          <w:tcPr>
            <w:tcW w:w="4966" w:type="dxa"/>
            <w:vAlign w:val="center"/>
          </w:tcPr>
          <w:p w14:paraId="66B1588E" w14:textId="77777777" w:rsidR="003F29E3" w:rsidRPr="00561A6B" w:rsidRDefault="003F29E3" w:rsidP="00D10772">
            <w:pPr>
              <w:rPr>
                <w:b/>
              </w:rPr>
            </w:pPr>
            <w:r w:rsidRPr="00561A6B">
              <w:t>Jelentős, működési kockázatból származó veszteségek az elmúlt 3 évben</w:t>
            </w:r>
          </w:p>
        </w:tc>
        <w:tc>
          <w:tcPr>
            <w:tcW w:w="2835" w:type="dxa"/>
            <w:vAlign w:val="center"/>
          </w:tcPr>
          <w:p w14:paraId="66B1588F" w14:textId="77777777" w:rsidR="003F29E3" w:rsidRPr="00561A6B" w:rsidRDefault="003F29E3" w:rsidP="00D10772">
            <w:r w:rsidRPr="00561A6B">
              <w:t>Működési kockázat veszteségek keletkezésének kivizsgálása</w:t>
            </w:r>
          </w:p>
        </w:tc>
        <w:tc>
          <w:tcPr>
            <w:tcW w:w="1276" w:type="dxa"/>
            <w:vAlign w:val="center"/>
          </w:tcPr>
          <w:p w14:paraId="66B15890" w14:textId="77777777" w:rsidR="003F29E3" w:rsidRPr="00561A6B" w:rsidRDefault="003F29E3" w:rsidP="00D10772">
            <w:r w:rsidRPr="00561A6B">
              <w:t>II.</w:t>
            </w:r>
          </w:p>
        </w:tc>
        <w:tc>
          <w:tcPr>
            <w:tcW w:w="2983" w:type="dxa"/>
            <w:vAlign w:val="center"/>
          </w:tcPr>
          <w:p w14:paraId="66B15891" w14:textId="77777777" w:rsidR="003F29E3" w:rsidRPr="00561A6B" w:rsidRDefault="003F29E3" w:rsidP="00D10772">
            <w:r w:rsidRPr="00561A6B">
              <w:t>Kérdőív</w:t>
            </w:r>
          </w:p>
        </w:tc>
      </w:tr>
      <w:tr w:rsidR="003F29E3" w:rsidRPr="00561A6B" w14:paraId="66B15897" w14:textId="77777777" w:rsidTr="00C645A0">
        <w:tc>
          <w:tcPr>
            <w:tcW w:w="4966" w:type="dxa"/>
            <w:vAlign w:val="center"/>
          </w:tcPr>
          <w:p w14:paraId="66B15893" w14:textId="77777777" w:rsidR="003F29E3" w:rsidRPr="00561A6B" w:rsidDel="00A90474" w:rsidRDefault="003F29E3" w:rsidP="00D10772">
            <w:pPr>
              <w:rPr>
                <w:b/>
              </w:rPr>
            </w:pPr>
            <w:r w:rsidRPr="00561A6B">
              <w:t>Jelentős tevékenységek kiszervezése, nem kellő figyelem a kiszervezett tevékenységet végzőre</w:t>
            </w:r>
          </w:p>
        </w:tc>
        <w:tc>
          <w:tcPr>
            <w:tcW w:w="2835" w:type="dxa"/>
            <w:vAlign w:val="center"/>
          </w:tcPr>
          <w:p w14:paraId="66B15894" w14:textId="77777777" w:rsidR="003F29E3" w:rsidRPr="00561A6B" w:rsidDel="00A90474" w:rsidRDefault="003F29E3" w:rsidP="00D10772">
            <w:r w:rsidRPr="00561A6B">
              <w:t>Kiszervezett tevékenység fokozottabb figyelemmel kísérésére felhívás</w:t>
            </w:r>
          </w:p>
        </w:tc>
        <w:tc>
          <w:tcPr>
            <w:tcW w:w="1276" w:type="dxa"/>
            <w:vAlign w:val="center"/>
          </w:tcPr>
          <w:p w14:paraId="66B15895" w14:textId="77777777" w:rsidR="003F29E3" w:rsidRPr="00561A6B" w:rsidDel="00A90474" w:rsidRDefault="003F29E3" w:rsidP="00D10772">
            <w:r w:rsidRPr="00561A6B">
              <w:t>III.</w:t>
            </w:r>
          </w:p>
        </w:tc>
        <w:tc>
          <w:tcPr>
            <w:tcW w:w="2983" w:type="dxa"/>
            <w:vAlign w:val="center"/>
          </w:tcPr>
          <w:p w14:paraId="66B15896" w14:textId="77777777" w:rsidR="003F29E3" w:rsidRPr="00561A6B" w:rsidDel="00A90474" w:rsidRDefault="003F29E3" w:rsidP="00D10772">
            <w:r w:rsidRPr="00561A6B">
              <w:t>Adatszolgáltatás, MNB ellenőrzés, kérdőív</w:t>
            </w:r>
          </w:p>
        </w:tc>
      </w:tr>
      <w:tr w:rsidR="003F29E3" w:rsidRPr="00561A6B" w14:paraId="66B1589C" w14:textId="77777777" w:rsidTr="00C645A0">
        <w:tc>
          <w:tcPr>
            <w:tcW w:w="4966" w:type="dxa"/>
            <w:vAlign w:val="center"/>
          </w:tcPr>
          <w:p w14:paraId="66B15898" w14:textId="77777777" w:rsidR="003F29E3" w:rsidRPr="00561A6B" w:rsidDel="00A90474" w:rsidRDefault="003F29E3" w:rsidP="00D10772">
            <w:pPr>
              <w:rPr>
                <w:b/>
              </w:rPr>
            </w:pPr>
            <w:r w:rsidRPr="00561A6B">
              <w:t>Nyilvántartási, adminisztrációs problémák (Nem csak a működési kockázatok nyilvántartásának vonatkozásában)</w:t>
            </w:r>
          </w:p>
        </w:tc>
        <w:tc>
          <w:tcPr>
            <w:tcW w:w="2835" w:type="dxa"/>
            <w:vAlign w:val="center"/>
          </w:tcPr>
          <w:p w14:paraId="66B15899" w14:textId="77777777" w:rsidR="003F29E3" w:rsidRPr="00561A6B" w:rsidDel="00A90474" w:rsidRDefault="003F29E3" w:rsidP="00D10772">
            <w:r w:rsidRPr="00561A6B">
              <w:t>Nyilvántartási hiányosságok kiküszöbölésére vonatkozó felhívás</w:t>
            </w:r>
          </w:p>
        </w:tc>
        <w:tc>
          <w:tcPr>
            <w:tcW w:w="1276" w:type="dxa"/>
            <w:vAlign w:val="center"/>
          </w:tcPr>
          <w:p w14:paraId="66B1589A" w14:textId="77777777" w:rsidR="003F29E3" w:rsidRPr="00561A6B" w:rsidDel="00A90474" w:rsidRDefault="003F29E3" w:rsidP="00D10772">
            <w:r w:rsidRPr="00561A6B">
              <w:t>II.</w:t>
            </w:r>
          </w:p>
        </w:tc>
        <w:tc>
          <w:tcPr>
            <w:tcW w:w="2983" w:type="dxa"/>
            <w:vAlign w:val="center"/>
          </w:tcPr>
          <w:p w14:paraId="66B1589B" w14:textId="77777777" w:rsidR="003F29E3" w:rsidRPr="00561A6B" w:rsidDel="00A90474" w:rsidRDefault="003F29E3" w:rsidP="00D10772">
            <w:r w:rsidRPr="00561A6B">
              <w:t>MNB vizsgálat, ügyfélpanaszok, adatszolgáltatások</w:t>
            </w:r>
          </w:p>
        </w:tc>
      </w:tr>
      <w:tr w:rsidR="003F29E3" w:rsidRPr="00561A6B" w14:paraId="66B158A1" w14:textId="77777777" w:rsidTr="00C645A0">
        <w:trPr>
          <w:trHeight w:val="799"/>
        </w:trPr>
        <w:tc>
          <w:tcPr>
            <w:tcW w:w="4966" w:type="dxa"/>
            <w:vAlign w:val="center"/>
          </w:tcPr>
          <w:p w14:paraId="66B1589D" w14:textId="77777777" w:rsidR="003F29E3" w:rsidRPr="00561A6B" w:rsidDel="00A90474" w:rsidRDefault="003F29E3" w:rsidP="00D10772">
            <w:pPr>
              <w:rPr>
                <w:b/>
              </w:rPr>
            </w:pPr>
            <w:r w:rsidRPr="00561A6B">
              <w:t>Informatikai hiányosságok</w:t>
            </w:r>
          </w:p>
        </w:tc>
        <w:tc>
          <w:tcPr>
            <w:tcW w:w="2835" w:type="dxa"/>
            <w:vAlign w:val="center"/>
          </w:tcPr>
          <w:p w14:paraId="66B1589E" w14:textId="77777777" w:rsidR="003F29E3" w:rsidRPr="00561A6B" w:rsidDel="00A90474" w:rsidRDefault="003F29E3" w:rsidP="00D10772">
            <w:r w:rsidRPr="00561A6B">
              <w:t>Informatikai hiányosságok kiküszöbölésére vonatkozó felhívás</w:t>
            </w:r>
          </w:p>
        </w:tc>
        <w:tc>
          <w:tcPr>
            <w:tcW w:w="1276" w:type="dxa"/>
            <w:vAlign w:val="center"/>
          </w:tcPr>
          <w:p w14:paraId="66B1589F" w14:textId="77777777" w:rsidR="003F29E3" w:rsidRPr="00561A6B" w:rsidDel="00A90474" w:rsidRDefault="003F29E3" w:rsidP="00D10772">
            <w:r w:rsidRPr="00561A6B">
              <w:t>II.</w:t>
            </w:r>
          </w:p>
        </w:tc>
        <w:tc>
          <w:tcPr>
            <w:tcW w:w="2983" w:type="dxa"/>
            <w:vAlign w:val="center"/>
          </w:tcPr>
          <w:p w14:paraId="66B158A0" w14:textId="77777777" w:rsidR="003F29E3" w:rsidRPr="00561A6B" w:rsidDel="00A90474" w:rsidRDefault="003F29E3" w:rsidP="00D10772">
            <w:r w:rsidRPr="00561A6B">
              <w:t>Helyszíni és nem helyszíni vizsgálatok, ügyfélpanaszok</w:t>
            </w:r>
          </w:p>
        </w:tc>
      </w:tr>
      <w:tr w:rsidR="003F29E3" w:rsidRPr="00561A6B" w14:paraId="66B158A6" w14:textId="77777777" w:rsidTr="00C645A0">
        <w:trPr>
          <w:trHeight w:val="1275"/>
        </w:trPr>
        <w:tc>
          <w:tcPr>
            <w:tcW w:w="4966" w:type="dxa"/>
            <w:vAlign w:val="center"/>
          </w:tcPr>
          <w:p w14:paraId="66B158A2" w14:textId="77777777" w:rsidR="003F29E3" w:rsidRPr="00561A6B" w:rsidRDefault="003F29E3" w:rsidP="00D10772">
            <w:pPr>
              <w:rPr>
                <w:b/>
              </w:rPr>
            </w:pPr>
            <w:r w:rsidRPr="00561A6B">
              <w:t>Az 1. pillérnél magasabb ICAAP érték</w:t>
            </w:r>
          </w:p>
        </w:tc>
        <w:tc>
          <w:tcPr>
            <w:tcW w:w="2835" w:type="dxa"/>
            <w:vAlign w:val="center"/>
          </w:tcPr>
          <w:p w14:paraId="66B158A3" w14:textId="350F7B15" w:rsidR="003F29E3" w:rsidRPr="00561A6B" w:rsidRDefault="003F29E3" w:rsidP="003C6A4E">
            <w:r w:rsidRPr="00561A6B">
              <w:t>Többlet</w:t>
            </w:r>
            <w:r w:rsidR="003C6A4E">
              <w:t>-</w:t>
            </w:r>
            <w:r w:rsidRPr="00561A6B">
              <w:t>tőkekövetelmény előírása ICAAP értéktől és az MNB kockázatértékelés eredményétől függően</w:t>
            </w:r>
          </w:p>
        </w:tc>
        <w:tc>
          <w:tcPr>
            <w:tcW w:w="1276" w:type="dxa"/>
            <w:vAlign w:val="center"/>
          </w:tcPr>
          <w:p w14:paraId="66B158A4" w14:textId="77777777" w:rsidR="003F29E3" w:rsidRPr="00561A6B" w:rsidRDefault="003F29E3" w:rsidP="00D10772">
            <w:r w:rsidRPr="00561A6B">
              <w:t>I.</w:t>
            </w:r>
          </w:p>
        </w:tc>
        <w:tc>
          <w:tcPr>
            <w:tcW w:w="2983" w:type="dxa"/>
            <w:vAlign w:val="center"/>
          </w:tcPr>
          <w:p w14:paraId="66B158A5" w14:textId="77777777" w:rsidR="003F29E3" w:rsidRPr="00561A6B" w:rsidRDefault="003F29E3" w:rsidP="00D10772">
            <w:r w:rsidRPr="00561A6B">
              <w:t>Adatszolgáltatás, kérdőív</w:t>
            </w:r>
          </w:p>
        </w:tc>
      </w:tr>
      <w:tr w:rsidR="003F29E3" w:rsidRPr="00561A6B" w14:paraId="66B158AB" w14:textId="77777777" w:rsidTr="00C645A0">
        <w:tc>
          <w:tcPr>
            <w:tcW w:w="4966" w:type="dxa"/>
            <w:vAlign w:val="center"/>
          </w:tcPr>
          <w:p w14:paraId="66B158A7" w14:textId="77777777" w:rsidR="003F29E3" w:rsidRPr="00561A6B" w:rsidRDefault="003F29E3" w:rsidP="00D10772">
            <w:pPr>
              <w:rPr>
                <w:b/>
              </w:rPr>
            </w:pPr>
            <w:r w:rsidRPr="00561A6B">
              <w:t>Szavatoló tőke előző év végi állapothoz képest 10%-nál nagyobb csökkenése</w:t>
            </w:r>
          </w:p>
        </w:tc>
        <w:tc>
          <w:tcPr>
            <w:tcW w:w="2835" w:type="dxa"/>
            <w:vAlign w:val="center"/>
          </w:tcPr>
          <w:p w14:paraId="66B158A8" w14:textId="77777777" w:rsidR="003F29E3" w:rsidRPr="00561A6B" w:rsidRDefault="003F29E3" w:rsidP="00D10772">
            <w:r w:rsidRPr="00561A6B">
              <w:t>Tőketerv készítésére kötelezés</w:t>
            </w:r>
          </w:p>
        </w:tc>
        <w:tc>
          <w:tcPr>
            <w:tcW w:w="1276" w:type="dxa"/>
            <w:vAlign w:val="center"/>
          </w:tcPr>
          <w:p w14:paraId="66B158A9" w14:textId="77777777" w:rsidR="003F29E3" w:rsidRPr="00561A6B" w:rsidRDefault="003F29E3" w:rsidP="00D10772">
            <w:r w:rsidRPr="00561A6B">
              <w:t xml:space="preserve"> II.</w:t>
            </w:r>
          </w:p>
        </w:tc>
        <w:tc>
          <w:tcPr>
            <w:tcW w:w="2983" w:type="dxa"/>
            <w:vAlign w:val="center"/>
          </w:tcPr>
          <w:p w14:paraId="66B158AA" w14:textId="77777777" w:rsidR="003F29E3" w:rsidRPr="00561A6B" w:rsidRDefault="003F29E3" w:rsidP="00D10772">
            <w:r w:rsidRPr="00561A6B">
              <w:t>Adatszolgáltatás</w:t>
            </w:r>
          </w:p>
        </w:tc>
      </w:tr>
    </w:tbl>
    <w:p w14:paraId="66B158AC" w14:textId="77777777" w:rsidR="003F29E3" w:rsidRPr="00561A6B" w:rsidRDefault="003F29E3" w:rsidP="00D10772"/>
    <w:p w14:paraId="66B158AD" w14:textId="77777777" w:rsidR="003F29E3" w:rsidRPr="00461238" w:rsidRDefault="003F29E3" w:rsidP="00461238">
      <w:pPr>
        <w:pStyle w:val="Listaszerbekezds"/>
        <w:numPr>
          <w:ilvl w:val="0"/>
          <w:numId w:val="12"/>
        </w:numPr>
        <w:ind w:left="567" w:hanging="589"/>
        <w:rPr>
          <w:rFonts w:ascii="Calibri" w:hAnsi="Calibri"/>
          <w:lang w:val="hu-HU"/>
        </w:rPr>
      </w:pPr>
      <w:r w:rsidRPr="00561A6B">
        <w:rPr>
          <w:rFonts w:ascii="Calibri" w:hAnsi="Calibri"/>
          <w:lang w:val="hu-HU"/>
        </w:rPr>
        <w:t>számú melléklet:</w:t>
      </w:r>
      <w:r w:rsidRPr="00461238">
        <w:rPr>
          <w:rFonts w:ascii="Calibri" w:hAnsi="Calibri"/>
          <w:lang w:val="hu-HU"/>
        </w:rPr>
        <w:t xml:space="preserve"> A feltárt hiányosságokra adható felügyeleti válaszlépések</w:t>
      </w:r>
      <w:r w:rsidRPr="00561A6B">
        <w:rPr>
          <w:rFonts w:ascii="Calibri" w:hAnsi="Calibri"/>
          <w:lang w:val="hu-HU"/>
        </w:rPr>
        <w:t xml:space="preserve">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8B2" w14:textId="77777777" w:rsidTr="00C645A0">
        <w:trPr>
          <w:trHeight w:val="723"/>
        </w:trPr>
        <w:tc>
          <w:tcPr>
            <w:tcW w:w="4966" w:type="dxa"/>
            <w:shd w:val="clear" w:color="auto" w:fill="F3F3F3"/>
            <w:vAlign w:val="center"/>
          </w:tcPr>
          <w:p w14:paraId="66B158AE" w14:textId="77777777" w:rsidR="003F29E3" w:rsidRPr="00561A6B" w:rsidRDefault="003F29E3" w:rsidP="00D10772">
            <w:r w:rsidRPr="00561A6B">
              <w:t>Feltárt hiányosság, probléma</w:t>
            </w:r>
          </w:p>
        </w:tc>
        <w:tc>
          <w:tcPr>
            <w:tcW w:w="2835" w:type="dxa"/>
            <w:shd w:val="clear" w:color="auto" w:fill="F3F3F3"/>
            <w:vAlign w:val="center"/>
          </w:tcPr>
          <w:p w14:paraId="66B158AF" w14:textId="77777777" w:rsidR="003F29E3" w:rsidRPr="00561A6B" w:rsidRDefault="003F29E3" w:rsidP="00D10772">
            <w:r w:rsidRPr="00561A6B">
              <w:t>Felügyeleti intézkedés</w:t>
            </w:r>
          </w:p>
        </w:tc>
        <w:tc>
          <w:tcPr>
            <w:tcW w:w="1276" w:type="dxa"/>
            <w:shd w:val="clear" w:color="auto" w:fill="F3F3F3"/>
            <w:vAlign w:val="center"/>
          </w:tcPr>
          <w:p w14:paraId="66B158B0" w14:textId="77777777" w:rsidR="003F29E3" w:rsidRPr="00561A6B" w:rsidRDefault="003F29E3" w:rsidP="00D10772">
            <w:r w:rsidRPr="00561A6B">
              <w:t>Probléma kategória</w:t>
            </w:r>
          </w:p>
        </w:tc>
        <w:tc>
          <w:tcPr>
            <w:tcW w:w="2983" w:type="dxa"/>
            <w:shd w:val="clear" w:color="auto" w:fill="F3F3F3"/>
            <w:vAlign w:val="center"/>
          </w:tcPr>
          <w:p w14:paraId="66B158B1" w14:textId="77777777" w:rsidR="003F29E3" w:rsidRPr="00561A6B" w:rsidRDefault="003F29E3" w:rsidP="00D10772">
            <w:r w:rsidRPr="00561A6B">
              <w:t>Elsődleges információforrások</w:t>
            </w:r>
          </w:p>
        </w:tc>
      </w:tr>
      <w:tr w:rsidR="003F29E3" w:rsidRPr="00561A6B" w14:paraId="66B158B7" w14:textId="77777777" w:rsidTr="00C645A0">
        <w:tc>
          <w:tcPr>
            <w:tcW w:w="4966" w:type="dxa"/>
            <w:shd w:val="clear" w:color="auto" w:fill="FFFFFF"/>
            <w:vAlign w:val="center"/>
          </w:tcPr>
          <w:p w14:paraId="66B158B3"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8B5" w14:textId="77777777" w:rsidR="003F29E3" w:rsidRPr="00561A6B" w:rsidRDefault="003F29E3" w:rsidP="00D10772">
            <w:r w:rsidRPr="00561A6B">
              <w:t>II.</w:t>
            </w:r>
          </w:p>
        </w:tc>
        <w:tc>
          <w:tcPr>
            <w:tcW w:w="2983" w:type="dxa"/>
            <w:shd w:val="clear" w:color="auto" w:fill="FFFFFF"/>
            <w:vAlign w:val="center"/>
          </w:tcPr>
          <w:p w14:paraId="66B158B6" w14:textId="77777777" w:rsidR="003F29E3" w:rsidRPr="00561A6B" w:rsidRDefault="003F29E3" w:rsidP="00D10772">
            <w:r w:rsidRPr="00561A6B">
              <w:t>Adatszolgáltatás, kérdőív, felügyeleti vizsgálatok</w:t>
            </w:r>
          </w:p>
        </w:tc>
      </w:tr>
      <w:tr w:rsidR="003F29E3" w:rsidRPr="00561A6B" w14:paraId="66B158BC" w14:textId="77777777" w:rsidTr="00C645A0">
        <w:tc>
          <w:tcPr>
            <w:tcW w:w="4966" w:type="dxa"/>
            <w:vAlign w:val="center"/>
          </w:tcPr>
          <w:p w14:paraId="66B158B8" w14:textId="77777777" w:rsidR="003F29E3" w:rsidRPr="00561A6B" w:rsidRDefault="003F29E3" w:rsidP="00D10772">
            <w:pPr>
              <w:rPr>
                <w:b/>
              </w:rPr>
            </w:pPr>
            <w:r w:rsidRPr="00561A6B">
              <w:t>Tulajdonosi kontroll hiánya, vagy gyengesége</w:t>
            </w:r>
          </w:p>
        </w:tc>
        <w:tc>
          <w:tcPr>
            <w:tcW w:w="2835" w:type="dxa"/>
            <w:vAlign w:val="center"/>
          </w:tcPr>
          <w:p w14:paraId="66B158B9" w14:textId="77777777" w:rsidR="003F29E3" w:rsidRPr="00561A6B" w:rsidRDefault="003F29E3" w:rsidP="00D10772">
            <w:r w:rsidRPr="00561A6B">
              <w:t>Felhívás a tulajdonosi kontroll erősítésére</w:t>
            </w:r>
          </w:p>
        </w:tc>
        <w:tc>
          <w:tcPr>
            <w:tcW w:w="1276" w:type="dxa"/>
            <w:vAlign w:val="center"/>
          </w:tcPr>
          <w:p w14:paraId="66B158BA" w14:textId="77777777" w:rsidR="003F29E3" w:rsidRPr="00561A6B" w:rsidRDefault="003F29E3" w:rsidP="00D10772">
            <w:r w:rsidRPr="00561A6B">
              <w:t>III.</w:t>
            </w:r>
          </w:p>
        </w:tc>
        <w:tc>
          <w:tcPr>
            <w:tcW w:w="2983" w:type="dxa"/>
            <w:vAlign w:val="center"/>
          </w:tcPr>
          <w:p w14:paraId="66B158BB" w14:textId="77777777" w:rsidR="003F29E3" w:rsidRPr="00561A6B" w:rsidRDefault="003F29E3" w:rsidP="00D10772">
            <w:r w:rsidRPr="00561A6B">
              <w:t>Adatszolgáltatás, felügyeleti vizsgálat</w:t>
            </w:r>
          </w:p>
        </w:tc>
      </w:tr>
      <w:tr w:rsidR="003F29E3" w:rsidRPr="00561A6B" w14:paraId="66B158C1" w14:textId="77777777" w:rsidTr="00C645A0">
        <w:tc>
          <w:tcPr>
            <w:tcW w:w="4966" w:type="dxa"/>
            <w:vAlign w:val="center"/>
          </w:tcPr>
          <w:p w14:paraId="66B158BD" w14:textId="77777777" w:rsidR="003F29E3" w:rsidRPr="00561A6B" w:rsidRDefault="003F29E3" w:rsidP="00D10772">
            <w:pPr>
              <w:rPr>
                <w:b/>
              </w:rPr>
            </w:pPr>
            <w:r w:rsidRPr="00561A6B">
              <w:t>Az intézmény stratégiája nem megalapozott</w:t>
            </w:r>
          </w:p>
        </w:tc>
        <w:tc>
          <w:tcPr>
            <w:tcW w:w="2835" w:type="dxa"/>
            <w:vAlign w:val="center"/>
          </w:tcPr>
          <w:p w14:paraId="66B158BE" w14:textId="77777777" w:rsidR="003F29E3" w:rsidRPr="00561A6B" w:rsidRDefault="003F29E3" w:rsidP="00D10772">
            <w:r w:rsidRPr="00561A6B">
              <w:t>Felhívás a stratégia megváltoztatására</w:t>
            </w:r>
          </w:p>
        </w:tc>
        <w:tc>
          <w:tcPr>
            <w:tcW w:w="1276" w:type="dxa"/>
            <w:vAlign w:val="center"/>
          </w:tcPr>
          <w:p w14:paraId="66B158BF" w14:textId="77777777" w:rsidR="003F29E3" w:rsidRPr="00561A6B" w:rsidRDefault="003F29E3" w:rsidP="00D10772">
            <w:r w:rsidRPr="00561A6B">
              <w:t>II.</w:t>
            </w:r>
          </w:p>
        </w:tc>
        <w:tc>
          <w:tcPr>
            <w:tcW w:w="2983" w:type="dxa"/>
            <w:vAlign w:val="center"/>
          </w:tcPr>
          <w:p w14:paraId="66B158C0" w14:textId="77777777" w:rsidR="003F29E3" w:rsidRPr="00561A6B" w:rsidRDefault="003F29E3" w:rsidP="00D10772">
            <w:r w:rsidRPr="00561A6B">
              <w:t>Felügyeleti vizsgálat, adatszolgáltatások</w:t>
            </w:r>
          </w:p>
        </w:tc>
      </w:tr>
      <w:tr w:rsidR="003F29E3" w:rsidRPr="00561A6B" w14:paraId="66B158C6" w14:textId="77777777" w:rsidTr="00C645A0">
        <w:tc>
          <w:tcPr>
            <w:tcW w:w="4966" w:type="dxa"/>
            <w:vAlign w:val="center"/>
          </w:tcPr>
          <w:p w14:paraId="66B158C2" w14:textId="77777777" w:rsidR="003F29E3" w:rsidRPr="00561A6B" w:rsidRDefault="003F29E3" w:rsidP="00D10772">
            <w:pPr>
              <w:rPr>
                <w:b/>
              </w:rPr>
            </w:pPr>
            <w:r w:rsidRPr="00561A6B">
              <w:t>Bizalom megromlása (reputációs kockázat)</w:t>
            </w:r>
          </w:p>
        </w:tc>
        <w:tc>
          <w:tcPr>
            <w:tcW w:w="2835" w:type="dxa"/>
            <w:vAlign w:val="center"/>
          </w:tcPr>
          <w:p w14:paraId="66B158C3" w14:textId="77777777" w:rsidR="003F29E3" w:rsidRPr="00561A6B" w:rsidRDefault="003F29E3" w:rsidP="00D10772">
            <w:r w:rsidRPr="00561A6B">
              <w:t>A tevékenység fokozottabb felügyeleti figyelemmel kísérése</w:t>
            </w:r>
          </w:p>
        </w:tc>
        <w:tc>
          <w:tcPr>
            <w:tcW w:w="1276" w:type="dxa"/>
            <w:vAlign w:val="center"/>
          </w:tcPr>
          <w:p w14:paraId="66B158C4" w14:textId="77777777" w:rsidR="003F29E3" w:rsidRPr="00561A6B" w:rsidRDefault="003F29E3" w:rsidP="00D10772">
            <w:r w:rsidRPr="00561A6B">
              <w:t xml:space="preserve"> I.</w:t>
            </w:r>
          </w:p>
        </w:tc>
        <w:tc>
          <w:tcPr>
            <w:tcW w:w="2983" w:type="dxa"/>
            <w:vAlign w:val="center"/>
          </w:tcPr>
          <w:p w14:paraId="66B158C5" w14:textId="77777777" w:rsidR="003F29E3" w:rsidRPr="00561A6B" w:rsidRDefault="003F29E3" w:rsidP="00D10772">
            <w:r w:rsidRPr="00561A6B">
              <w:t>Felügyeleti vizsgálat, piaci információk, kérdőív</w:t>
            </w:r>
          </w:p>
        </w:tc>
      </w:tr>
      <w:tr w:rsidR="003F29E3" w:rsidRPr="00561A6B" w14:paraId="66B158CB" w14:textId="77777777" w:rsidTr="00C645A0">
        <w:tc>
          <w:tcPr>
            <w:tcW w:w="4966" w:type="dxa"/>
            <w:vAlign w:val="center"/>
          </w:tcPr>
          <w:p w14:paraId="66B158C7"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C8"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C9" w14:textId="77777777" w:rsidR="003F29E3" w:rsidRPr="00561A6B" w:rsidRDefault="003F29E3" w:rsidP="00D10772">
            <w:r w:rsidRPr="00561A6B">
              <w:t>I.</w:t>
            </w:r>
          </w:p>
        </w:tc>
        <w:tc>
          <w:tcPr>
            <w:tcW w:w="2983" w:type="dxa"/>
            <w:vAlign w:val="center"/>
          </w:tcPr>
          <w:p w14:paraId="66B158CA" w14:textId="77777777" w:rsidR="003F29E3" w:rsidRPr="00561A6B" w:rsidRDefault="003F29E3" w:rsidP="00D10772">
            <w:r w:rsidRPr="00561A6B">
              <w:t>Felügyeleti és egyéb szervezetek vizsgálatai, prudenciális megbeszélések tapasztalatai.</w:t>
            </w:r>
          </w:p>
        </w:tc>
      </w:tr>
      <w:tr w:rsidR="003F29E3" w:rsidRPr="00561A6B" w14:paraId="66B158D0" w14:textId="77777777" w:rsidTr="00C645A0">
        <w:tc>
          <w:tcPr>
            <w:tcW w:w="4966" w:type="dxa"/>
            <w:vAlign w:val="center"/>
          </w:tcPr>
          <w:p w14:paraId="66B158CC" w14:textId="77777777" w:rsidR="003F29E3" w:rsidRPr="00561A6B" w:rsidRDefault="003F29E3" w:rsidP="00D10772">
            <w:pPr>
              <w:rPr>
                <w:b/>
              </w:rPr>
            </w:pPr>
            <w:r w:rsidRPr="00561A6B">
              <w:t>Nem engedélyezési hatáskörbe tartozó vezetők végzettségével, szakmai gyakorlatával kapcsolatos problémák</w:t>
            </w:r>
          </w:p>
        </w:tc>
        <w:tc>
          <w:tcPr>
            <w:tcW w:w="2835" w:type="dxa"/>
            <w:vAlign w:val="center"/>
          </w:tcPr>
          <w:p w14:paraId="66B158CD" w14:textId="77777777" w:rsidR="003F29E3" w:rsidRPr="00561A6B" w:rsidRDefault="003F29E3" w:rsidP="00D10772">
            <w:r w:rsidRPr="00561A6B">
              <w:t>Szakmai továbbképzésre felhívás</w:t>
            </w:r>
          </w:p>
        </w:tc>
        <w:tc>
          <w:tcPr>
            <w:tcW w:w="1276" w:type="dxa"/>
            <w:vAlign w:val="center"/>
          </w:tcPr>
          <w:p w14:paraId="66B158CE" w14:textId="77777777" w:rsidR="003F29E3" w:rsidRPr="00561A6B" w:rsidRDefault="003F29E3" w:rsidP="00D10772">
            <w:r w:rsidRPr="00561A6B">
              <w:t>III.</w:t>
            </w:r>
          </w:p>
        </w:tc>
        <w:tc>
          <w:tcPr>
            <w:tcW w:w="2983" w:type="dxa"/>
            <w:vAlign w:val="center"/>
          </w:tcPr>
          <w:p w14:paraId="66B158CF" w14:textId="77777777" w:rsidR="003F29E3" w:rsidRPr="00561A6B" w:rsidRDefault="003F29E3" w:rsidP="00D10772">
            <w:r w:rsidRPr="00561A6B">
              <w:t>Kérdőív, felügyeleti vizsgálatok</w:t>
            </w:r>
          </w:p>
        </w:tc>
      </w:tr>
      <w:tr w:rsidR="003F29E3" w:rsidRPr="00561A6B" w14:paraId="66B158D5" w14:textId="77777777" w:rsidTr="00C645A0">
        <w:tc>
          <w:tcPr>
            <w:tcW w:w="4966" w:type="dxa"/>
            <w:vAlign w:val="center"/>
          </w:tcPr>
          <w:p w14:paraId="66B158D1" w14:textId="77777777" w:rsidR="003F29E3" w:rsidRPr="00561A6B" w:rsidRDefault="003F29E3" w:rsidP="00D10772">
            <w:pPr>
              <w:rPr>
                <w:b/>
              </w:rPr>
            </w:pPr>
            <w:r w:rsidRPr="00561A6B">
              <w:t>Korábbi felügyeleti határozatok be nem tartása</w:t>
            </w:r>
          </w:p>
        </w:tc>
        <w:tc>
          <w:tcPr>
            <w:tcW w:w="2835" w:type="dxa"/>
            <w:vAlign w:val="center"/>
          </w:tcPr>
          <w:p w14:paraId="66B158D2" w14:textId="77777777" w:rsidR="003F29E3" w:rsidRPr="00561A6B" w:rsidRDefault="003F29E3" w:rsidP="00D10772">
            <w:r w:rsidRPr="00561A6B">
              <w:t>Felügyeleti határozatok betartására kötelezés, bírság</w:t>
            </w:r>
          </w:p>
        </w:tc>
        <w:tc>
          <w:tcPr>
            <w:tcW w:w="1276" w:type="dxa"/>
            <w:vAlign w:val="center"/>
          </w:tcPr>
          <w:p w14:paraId="66B158D3" w14:textId="77777777" w:rsidR="003F29E3" w:rsidRPr="00561A6B" w:rsidRDefault="003F29E3" w:rsidP="00D10772">
            <w:r w:rsidRPr="00561A6B">
              <w:t>I.</w:t>
            </w:r>
          </w:p>
        </w:tc>
        <w:tc>
          <w:tcPr>
            <w:tcW w:w="2983" w:type="dxa"/>
            <w:vAlign w:val="center"/>
          </w:tcPr>
          <w:p w14:paraId="66B158D4" w14:textId="77777777" w:rsidR="003F29E3" w:rsidRPr="00561A6B" w:rsidRDefault="003F29E3" w:rsidP="00D10772">
            <w:r w:rsidRPr="00561A6B">
              <w:t>Felügyeleti vizsgálat, kérdőív</w:t>
            </w:r>
          </w:p>
        </w:tc>
      </w:tr>
      <w:tr w:rsidR="003F29E3" w:rsidRPr="00561A6B" w14:paraId="66B158DA" w14:textId="77777777" w:rsidTr="00C645A0">
        <w:tc>
          <w:tcPr>
            <w:tcW w:w="4966" w:type="dxa"/>
            <w:vAlign w:val="center"/>
          </w:tcPr>
          <w:p w14:paraId="66B158D6" w14:textId="3FDFA85A" w:rsidR="003F29E3" w:rsidRPr="00561A6B" w:rsidRDefault="003F29E3" w:rsidP="00EB1BE0">
            <w:pPr>
              <w:rPr>
                <w:b/>
              </w:rPr>
            </w:pPr>
            <w:r w:rsidRPr="00561A6B">
              <w:t>Felügyeleti ajánlá</w:t>
            </w:r>
            <w:r w:rsidR="00EB1BE0">
              <w:t>sok, módszertani kézikönyvek</w:t>
            </w:r>
            <w:r w:rsidRPr="00561A6B">
              <w:t xml:space="preserve"> be nem tartása</w:t>
            </w:r>
          </w:p>
        </w:tc>
        <w:tc>
          <w:tcPr>
            <w:tcW w:w="2835" w:type="dxa"/>
            <w:vAlign w:val="center"/>
          </w:tcPr>
          <w:p w14:paraId="66B158D7" w14:textId="72F133DF" w:rsidR="003F29E3" w:rsidRPr="00561A6B" w:rsidRDefault="003F29E3" w:rsidP="00EB1BE0">
            <w:r w:rsidRPr="00561A6B">
              <w:t xml:space="preserve">Ajánlások, </w:t>
            </w:r>
            <w:r w:rsidR="00EB1BE0">
              <w:t>kézikönyvek</w:t>
            </w:r>
            <w:r w:rsidRPr="00561A6B">
              <w:t xml:space="preserve"> betartására való figyelemfelhívás</w:t>
            </w:r>
          </w:p>
        </w:tc>
        <w:tc>
          <w:tcPr>
            <w:tcW w:w="1276" w:type="dxa"/>
            <w:vAlign w:val="center"/>
          </w:tcPr>
          <w:p w14:paraId="66B158D8" w14:textId="77777777" w:rsidR="003F29E3" w:rsidRPr="00561A6B" w:rsidRDefault="003F29E3" w:rsidP="00D10772">
            <w:r w:rsidRPr="00561A6B">
              <w:t>II.</w:t>
            </w:r>
          </w:p>
        </w:tc>
        <w:tc>
          <w:tcPr>
            <w:tcW w:w="2983" w:type="dxa"/>
            <w:vAlign w:val="center"/>
          </w:tcPr>
          <w:p w14:paraId="66B158D9" w14:textId="77777777" w:rsidR="003F29E3" w:rsidRPr="00561A6B" w:rsidRDefault="003F29E3" w:rsidP="00D10772">
            <w:r w:rsidRPr="00561A6B">
              <w:t>Felügyeleti vizsgálat</w:t>
            </w:r>
          </w:p>
        </w:tc>
      </w:tr>
      <w:tr w:rsidR="003F29E3" w:rsidRPr="00561A6B" w14:paraId="66B158DF" w14:textId="77777777" w:rsidTr="00C645A0">
        <w:trPr>
          <w:trHeight w:val="927"/>
        </w:trPr>
        <w:tc>
          <w:tcPr>
            <w:tcW w:w="4966" w:type="dxa"/>
            <w:vAlign w:val="center"/>
          </w:tcPr>
          <w:p w14:paraId="66B158DB"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DC" w14:textId="77777777" w:rsidR="003F29E3" w:rsidRPr="00561A6B" w:rsidRDefault="003F29E3" w:rsidP="00D10772">
            <w:r w:rsidRPr="00561A6B">
              <w:t>A felügyeleti felhívások követésének szorosabb figyelemmel kísérése</w:t>
            </w:r>
          </w:p>
        </w:tc>
        <w:tc>
          <w:tcPr>
            <w:tcW w:w="1276" w:type="dxa"/>
            <w:vAlign w:val="center"/>
          </w:tcPr>
          <w:p w14:paraId="66B158DD" w14:textId="77777777" w:rsidR="003F29E3" w:rsidRPr="00561A6B" w:rsidRDefault="003F29E3" w:rsidP="00D10772">
            <w:r w:rsidRPr="00561A6B">
              <w:t xml:space="preserve"> II.</w:t>
            </w:r>
          </w:p>
        </w:tc>
        <w:tc>
          <w:tcPr>
            <w:tcW w:w="2983" w:type="dxa"/>
            <w:vAlign w:val="center"/>
          </w:tcPr>
          <w:p w14:paraId="66B158DE" w14:textId="77777777" w:rsidR="003F29E3" w:rsidRPr="00561A6B" w:rsidRDefault="003F29E3" w:rsidP="00D10772">
            <w:r w:rsidRPr="00561A6B">
              <w:t>Felügyeleti vizsgálat, kérdőív</w:t>
            </w:r>
          </w:p>
        </w:tc>
      </w:tr>
      <w:tr w:rsidR="003F29E3" w:rsidRPr="00561A6B" w14:paraId="66B158E4" w14:textId="77777777" w:rsidTr="00C645A0">
        <w:trPr>
          <w:trHeight w:val="500"/>
        </w:trPr>
        <w:tc>
          <w:tcPr>
            <w:tcW w:w="4966" w:type="dxa"/>
            <w:vAlign w:val="center"/>
          </w:tcPr>
          <w:p w14:paraId="66B158E0"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E1" w14:textId="77777777" w:rsidR="003F29E3" w:rsidRPr="00561A6B" w:rsidRDefault="003F29E3" w:rsidP="00D10772">
            <w:r w:rsidRPr="00561A6B">
              <w:t>Kockázatkezelési és ellenőrzési hiányosságok kijavítására kötelezés</w:t>
            </w:r>
          </w:p>
        </w:tc>
        <w:tc>
          <w:tcPr>
            <w:tcW w:w="1276" w:type="dxa"/>
            <w:vAlign w:val="center"/>
          </w:tcPr>
          <w:p w14:paraId="66B158E2" w14:textId="77777777" w:rsidR="003F29E3" w:rsidRPr="00561A6B" w:rsidRDefault="003F29E3" w:rsidP="00D10772">
            <w:r w:rsidRPr="00561A6B">
              <w:t>I.</w:t>
            </w:r>
          </w:p>
        </w:tc>
        <w:tc>
          <w:tcPr>
            <w:tcW w:w="2983" w:type="dxa"/>
            <w:vAlign w:val="center"/>
          </w:tcPr>
          <w:p w14:paraId="66B158E3" w14:textId="77777777" w:rsidR="003F29E3" w:rsidRPr="00561A6B" w:rsidRDefault="003F29E3" w:rsidP="00D10772">
            <w:r w:rsidRPr="00561A6B">
              <w:t xml:space="preserve">Felügyeleti és más szervek vizsgálati anyagai </w:t>
            </w:r>
          </w:p>
        </w:tc>
      </w:tr>
      <w:tr w:rsidR="003F29E3" w:rsidRPr="00561A6B" w14:paraId="66B158E9" w14:textId="77777777" w:rsidTr="00C645A0">
        <w:tc>
          <w:tcPr>
            <w:tcW w:w="4966" w:type="dxa"/>
            <w:vAlign w:val="center"/>
          </w:tcPr>
          <w:p w14:paraId="66B158E5"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E6" w14:textId="77777777" w:rsidR="003F29E3" w:rsidRPr="00561A6B" w:rsidRDefault="003F29E3" w:rsidP="00D10772">
            <w:r w:rsidRPr="00561A6B">
              <w:t>Felhívás termék és szolgáltatási kínálatának módosítására</w:t>
            </w:r>
          </w:p>
        </w:tc>
        <w:tc>
          <w:tcPr>
            <w:tcW w:w="1276" w:type="dxa"/>
            <w:vAlign w:val="center"/>
          </w:tcPr>
          <w:p w14:paraId="66B158E7" w14:textId="77777777" w:rsidR="003F29E3" w:rsidRPr="00561A6B" w:rsidRDefault="003F29E3" w:rsidP="00D10772">
            <w:r w:rsidRPr="00561A6B">
              <w:t>III.</w:t>
            </w:r>
          </w:p>
        </w:tc>
        <w:tc>
          <w:tcPr>
            <w:tcW w:w="2983" w:type="dxa"/>
            <w:vAlign w:val="center"/>
          </w:tcPr>
          <w:p w14:paraId="66B158E8" w14:textId="77777777" w:rsidR="003F29E3" w:rsidRPr="00561A6B" w:rsidRDefault="003F29E3" w:rsidP="00D10772">
            <w:r w:rsidRPr="00561A6B">
              <w:t>Felügyeleti és más szervek vizsgálati anyagai, adatszolgáltatás</w:t>
            </w:r>
          </w:p>
        </w:tc>
      </w:tr>
      <w:tr w:rsidR="003F29E3" w:rsidRPr="00561A6B" w14:paraId="66B158EE" w14:textId="77777777" w:rsidTr="00C645A0">
        <w:tc>
          <w:tcPr>
            <w:tcW w:w="4966" w:type="dxa"/>
            <w:vAlign w:val="center"/>
          </w:tcPr>
          <w:p w14:paraId="66B158EA" w14:textId="77777777" w:rsidR="003F29E3" w:rsidRPr="00561A6B" w:rsidRDefault="003F29E3" w:rsidP="00D10772">
            <w:pPr>
              <w:rPr>
                <w:b/>
              </w:rPr>
            </w:pPr>
            <w:r w:rsidRPr="00561A6B">
              <w:t>Új típusú tevékenységek, piacok</w:t>
            </w:r>
          </w:p>
        </w:tc>
        <w:tc>
          <w:tcPr>
            <w:tcW w:w="2835" w:type="dxa"/>
            <w:vAlign w:val="center"/>
          </w:tcPr>
          <w:p w14:paraId="66B158EB" w14:textId="77777777" w:rsidR="003F29E3" w:rsidRPr="00561A6B" w:rsidRDefault="003F29E3" w:rsidP="00D10772">
            <w:r w:rsidRPr="00561A6B">
              <w:t>Új tevékenységek és piacok fokozottabb felügyeleti figyelemmel kísérése</w:t>
            </w:r>
          </w:p>
        </w:tc>
        <w:tc>
          <w:tcPr>
            <w:tcW w:w="1276" w:type="dxa"/>
            <w:vAlign w:val="center"/>
          </w:tcPr>
          <w:p w14:paraId="66B158EC" w14:textId="77777777" w:rsidR="003F29E3" w:rsidRPr="00561A6B" w:rsidRDefault="003F29E3" w:rsidP="00D10772">
            <w:r w:rsidRPr="00561A6B">
              <w:t>III.</w:t>
            </w:r>
          </w:p>
        </w:tc>
        <w:tc>
          <w:tcPr>
            <w:tcW w:w="2983" w:type="dxa"/>
            <w:vAlign w:val="center"/>
          </w:tcPr>
          <w:p w14:paraId="66B158ED" w14:textId="77777777" w:rsidR="003F29E3" w:rsidRPr="00561A6B" w:rsidRDefault="003F29E3" w:rsidP="00D10772">
            <w:r w:rsidRPr="00561A6B">
              <w:t>Adatszolgáltatás, Felügyeleti vizsgálat, kérdőív</w:t>
            </w:r>
          </w:p>
        </w:tc>
      </w:tr>
      <w:tr w:rsidR="003F29E3" w:rsidRPr="00561A6B" w14:paraId="66B158F3" w14:textId="77777777" w:rsidTr="00C645A0">
        <w:tc>
          <w:tcPr>
            <w:tcW w:w="4966" w:type="dxa"/>
            <w:vAlign w:val="center"/>
          </w:tcPr>
          <w:p w14:paraId="66B158EF" w14:textId="77777777" w:rsidR="003F29E3" w:rsidRPr="00561A6B" w:rsidRDefault="003F29E3" w:rsidP="00D10772">
            <w:pPr>
              <w:rPr>
                <w:b/>
              </w:rPr>
            </w:pPr>
            <w:r w:rsidRPr="00561A6B">
              <w:t>Az intézmény ügyfélstruktúrája erősen koncentrált ágazat vagy termék szerint.</w:t>
            </w:r>
          </w:p>
        </w:tc>
        <w:tc>
          <w:tcPr>
            <w:tcW w:w="2835" w:type="dxa"/>
            <w:vAlign w:val="center"/>
          </w:tcPr>
          <w:p w14:paraId="66B158F0" w14:textId="77777777" w:rsidR="003F29E3" w:rsidRPr="00561A6B" w:rsidRDefault="003F29E3" w:rsidP="00D10772">
            <w:r w:rsidRPr="00561A6B">
              <w:t>Felhívás ügyfélstruktúrájának módosítására</w:t>
            </w:r>
          </w:p>
        </w:tc>
        <w:tc>
          <w:tcPr>
            <w:tcW w:w="1276" w:type="dxa"/>
            <w:vAlign w:val="center"/>
          </w:tcPr>
          <w:p w14:paraId="66B158F1" w14:textId="77777777" w:rsidR="003F29E3" w:rsidRPr="00561A6B" w:rsidRDefault="003F29E3" w:rsidP="00D10772">
            <w:r w:rsidRPr="00561A6B">
              <w:t>II.</w:t>
            </w:r>
          </w:p>
        </w:tc>
        <w:tc>
          <w:tcPr>
            <w:tcW w:w="2983" w:type="dxa"/>
            <w:vAlign w:val="center"/>
          </w:tcPr>
          <w:p w14:paraId="66B158F2" w14:textId="77777777" w:rsidR="003F29E3" w:rsidRPr="00561A6B" w:rsidRDefault="003F29E3" w:rsidP="00D10772">
            <w:r w:rsidRPr="00561A6B">
              <w:t>Felügyeleti és más szervek vizsgálati anyagai, adatszolgáltatás</w:t>
            </w:r>
          </w:p>
        </w:tc>
      </w:tr>
      <w:tr w:rsidR="003F29E3" w:rsidRPr="00561A6B" w14:paraId="66B158F8" w14:textId="77777777" w:rsidTr="00C645A0">
        <w:tc>
          <w:tcPr>
            <w:tcW w:w="4966" w:type="dxa"/>
            <w:vAlign w:val="center"/>
          </w:tcPr>
          <w:p w14:paraId="66B158F4"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F5" w14:textId="77777777" w:rsidR="003F29E3" w:rsidRPr="00561A6B" w:rsidRDefault="003F29E3" w:rsidP="00D10772">
            <w:r w:rsidRPr="00561A6B">
              <w:t>Az engedély nélküli tevékenységek megszüntetésére kötelezés</w:t>
            </w:r>
          </w:p>
        </w:tc>
        <w:tc>
          <w:tcPr>
            <w:tcW w:w="1276" w:type="dxa"/>
            <w:vAlign w:val="center"/>
          </w:tcPr>
          <w:p w14:paraId="66B158F6" w14:textId="77777777" w:rsidR="003F29E3" w:rsidRPr="00561A6B" w:rsidRDefault="003F29E3" w:rsidP="00D10772">
            <w:r w:rsidRPr="00561A6B">
              <w:t>I.</w:t>
            </w:r>
          </w:p>
        </w:tc>
        <w:tc>
          <w:tcPr>
            <w:tcW w:w="2983" w:type="dxa"/>
            <w:vAlign w:val="center"/>
          </w:tcPr>
          <w:p w14:paraId="66B158F7" w14:textId="77777777" w:rsidR="003F29E3" w:rsidRPr="00561A6B" w:rsidRDefault="003F29E3" w:rsidP="00D10772">
            <w:r w:rsidRPr="00561A6B">
              <w:t>Felügyeleti és más szervek vizsgálati anyagai, adatszolgáltatás</w:t>
            </w:r>
          </w:p>
        </w:tc>
      </w:tr>
      <w:tr w:rsidR="003F29E3" w:rsidRPr="00561A6B" w14:paraId="66B158FD" w14:textId="77777777" w:rsidTr="00C645A0">
        <w:tc>
          <w:tcPr>
            <w:tcW w:w="4966" w:type="dxa"/>
            <w:vAlign w:val="center"/>
          </w:tcPr>
          <w:p w14:paraId="66B158F9" w14:textId="77777777" w:rsidR="003F29E3" w:rsidRPr="00561A6B" w:rsidRDefault="003F29E3" w:rsidP="00D10772">
            <w:pPr>
              <w:rPr>
                <w:b/>
              </w:rPr>
            </w:pPr>
            <w:r w:rsidRPr="00561A6B">
              <w:t>Az intézmény megengedhetetlen eszközöket alkalmaz akvizíciós, marketing és közzétételi politikájában.</w:t>
            </w:r>
          </w:p>
        </w:tc>
        <w:tc>
          <w:tcPr>
            <w:tcW w:w="2835" w:type="dxa"/>
            <w:vAlign w:val="center"/>
          </w:tcPr>
          <w:p w14:paraId="66B158FA" w14:textId="77777777" w:rsidR="003F29E3" w:rsidRPr="00561A6B" w:rsidRDefault="003F29E3" w:rsidP="00D10772">
            <w:r w:rsidRPr="00561A6B">
              <w:t>Felhívás akvizíciós, marketing és közzétételi politikájának megváltoztatására.</w:t>
            </w:r>
          </w:p>
        </w:tc>
        <w:tc>
          <w:tcPr>
            <w:tcW w:w="1276" w:type="dxa"/>
            <w:vAlign w:val="center"/>
          </w:tcPr>
          <w:p w14:paraId="66B158FB" w14:textId="77777777" w:rsidR="003F29E3" w:rsidRPr="00561A6B" w:rsidRDefault="003F29E3" w:rsidP="00D10772">
            <w:r w:rsidRPr="00561A6B">
              <w:t>II.</w:t>
            </w:r>
          </w:p>
        </w:tc>
        <w:tc>
          <w:tcPr>
            <w:tcW w:w="2983" w:type="dxa"/>
            <w:vAlign w:val="center"/>
          </w:tcPr>
          <w:p w14:paraId="66B158FC" w14:textId="77777777" w:rsidR="003F29E3" w:rsidRPr="00561A6B" w:rsidRDefault="003F29E3" w:rsidP="00D10772">
            <w:r w:rsidRPr="00561A6B">
              <w:t>Felügyeleti és más szervek vizsgálati anyagai, adatszolgáltatás</w:t>
            </w:r>
          </w:p>
        </w:tc>
      </w:tr>
      <w:tr w:rsidR="003F29E3" w:rsidRPr="00561A6B" w14:paraId="66B15902" w14:textId="77777777" w:rsidTr="00C645A0">
        <w:tc>
          <w:tcPr>
            <w:tcW w:w="4966" w:type="dxa"/>
            <w:vAlign w:val="center"/>
          </w:tcPr>
          <w:p w14:paraId="66B158FE" w14:textId="77777777" w:rsidR="003F29E3" w:rsidRPr="00561A6B" w:rsidRDefault="003F29E3" w:rsidP="00D10772">
            <w:pPr>
              <w:rPr>
                <w:b/>
              </w:rPr>
            </w:pPr>
            <w:r w:rsidRPr="00561A6B">
              <w:t>Jelentős hitelezési kockázatból jelentkező veszteségek az elmúlt 3 évben</w:t>
            </w:r>
          </w:p>
        </w:tc>
        <w:tc>
          <w:tcPr>
            <w:tcW w:w="2835" w:type="dxa"/>
            <w:vAlign w:val="center"/>
          </w:tcPr>
          <w:p w14:paraId="66B158FF" w14:textId="77777777" w:rsidR="003F29E3" w:rsidRPr="00561A6B" w:rsidRDefault="003F29E3" w:rsidP="00D10772">
            <w:r w:rsidRPr="00561A6B">
              <w:t>Hitelezési veszteségek keletkezésének kivizsgálása</w:t>
            </w:r>
          </w:p>
        </w:tc>
        <w:tc>
          <w:tcPr>
            <w:tcW w:w="1276" w:type="dxa"/>
            <w:vAlign w:val="center"/>
          </w:tcPr>
          <w:p w14:paraId="66B15900" w14:textId="77777777" w:rsidR="003F29E3" w:rsidRPr="00561A6B" w:rsidRDefault="003F29E3" w:rsidP="00D10772">
            <w:r w:rsidRPr="00561A6B">
              <w:t>II.</w:t>
            </w:r>
          </w:p>
        </w:tc>
        <w:tc>
          <w:tcPr>
            <w:tcW w:w="2983" w:type="dxa"/>
            <w:vAlign w:val="center"/>
          </w:tcPr>
          <w:p w14:paraId="66B15901" w14:textId="77777777" w:rsidR="003F29E3" w:rsidRPr="00561A6B" w:rsidRDefault="003F29E3" w:rsidP="00D10772">
            <w:r w:rsidRPr="00561A6B">
              <w:t>Felügyeleti vizsgálat, adatszolgáltatás, Kérdőív</w:t>
            </w:r>
          </w:p>
        </w:tc>
      </w:tr>
      <w:tr w:rsidR="003F29E3" w:rsidRPr="00561A6B" w14:paraId="66B15907" w14:textId="77777777" w:rsidTr="00C645A0">
        <w:tc>
          <w:tcPr>
            <w:tcW w:w="4966" w:type="dxa"/>
            <w:vAlign w:val="center"/>
          </w:tcPr>
          <w:p w14:paraId="66B15903"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904" w14:textId="77777777" w:rsidR="003F29E3" w:rsidRPr="00561A6B" w:rsidRDefault="003F29E3" w:rsidP="00D10772">
            <w:r w:rsidRPr="00561A6B">
              <w:t>Kockázatkezelési és ellenőrzési hiányosságok kijavítására kötelezés</w:t>
            </w:r>
          </w:p>
        </w:tc>
        <w:tc>
          <w:tcPr>
            <w:tcW w:w="1276" w:type="dxa"/>
            <w:vAlign w:val="center"/>
          </w:tcPr>
          <w:p w14:paraId="66B15905" w14:textId="77777777" w:rsidR="003F29E3" w:rsidRPr="00561A6B" w:rsidRDefault="003F29E3" w:rsidP="00D10772">
            <w:r w:rsidRPr="00561A6B">
              <w:t>I.</w:t>
            </w:r>
          </w:p>
        </w:tc>
        <w:tc>
          <w:tcPr>
            <w:tcW w:w="2983" w:type="dxa"/>
            <w:vAlign w:val="center"/>
          </w:tcPr>
          <w:p w14:paraId="66B15906" w14:textId="77777777" w:rsidR="003F29E3" w:rsidRPr="00561A6B" w:rsidRDefault="003F29E3" w:rsidP="00D10772">
            <w:r w:rsidRPr="00561A6B">
              <w:t>Felügyeleti vizsgálat, más szervezetektől kapott vizsgálati anyagok</w:t>
            </w:r>
          </w:p>
        </w:tc>
      </w:tr>
      <w:tr w:rsidR="003F29E3" w:rsidRPr="00561A6B" w14:paraId="66B1590C" w14:textId="77777777" w:rsidTr="00C645A0">
        <w:tc>
          <w:tcPr>
            <w:tcW w:w="4966" w:type="dxa"/>
            <w:vAlign w:val="center"/>
          </w:tcPr>
          <w:p w14:paraId="66B15908" w14:textId="77777777" w:rsidR="003F29E3" w:rsidRPr="00561A6B" w:rsidRDefault="003F29E3" w:rsidP="00D10772">
            <w:pPr>
              <w:rPr>
                <w:b/>
              </w:rPr>
            </w:pPr>
            <w:r w:rsidRPr="00561A6B">
              <w:t>Jelentős piaci kockázatból jelentkező veszteségek az elmúlt 3 évben</w:t>
            </w:r>
          </w:p>
        </w:tc>
        <w:tc>
          <w:tcPr>
            <w:tcW w:w="2835" w:type="dxa"/>
            <w:vAlign w:val="center"/>
          </w:tcPr>
          <w:p w14:paraId="66B15909" w14:textId="77777777" w:rsidR="003F29E3" w:rsidRPr="00561A6B" w:rsidRDefault="003F29E3" w:rsidP="00D10772">
            <w:r w:rsidRPr="00561A6B">
              <w:t>Piaci kockázat veszteségek keletkezésének kivizsgálása</w:t>
            </w:r>
          </w:p>
        </w:tc>
        <w:tc>
          <w:tcPr>
            <w:tcW w:w="1276" w:type="dxa"/>
            <w:vAlign w:val="center"/>
          </w:tcPr>
          <w:p w14:paraId="66B1590A" w14:textId="77777777" w:rsidR="003F29E3" w:rsidRPr="00561A6B" w:rsidRDefault="003F29E3" w:rsidP="00D10772">
            <w:r w:rsidRPr="00561A6B">
              <w:t>II.</w:t>
            </w:r>
          </w:p>
        </w:tc>
        <w:tc>
          <w:tcPr>
            <w:tcW w:w="2983" w:type="dxa"/>
            <w:vAlign w:val="center"/>
          </w:tcPr>
          <w:p w14:paraId="66B1590B" w14:textId="77777777" w:rsidR="003F29E3" w:rsidRPr="00561A6B" w:rsidRDefault="003F29E3" w:rsidP="00D10772">
            <w:r w:rsidRPr="00561A6B">
              <w:t>Kérdőív</w:t>
            </w:r>
          </w:p>
        </w:tc>
      </w:tr>
      <w:tr w:rsidR="003F29E3" w:rsidRPr="00561A6B" w14:paraId="66B15911" w14:textId="77777777" w:rsidTr="00C645A0">
        <w:tc>
          <w:tcPr>
            <w:tcW w:w="4966" w:type="dxa"/>
            <w:vAlign w:val="center"/>
          </w:tcPr>
          <w:p w14:paraId="66B1590D"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90E" w14:textId="77777777" w:rsidR="003F29E3" w:rsidRPr="00561A6B" w:rsidRDefault="003F29E3" w:rsidP="00D10772">
            <w:r w:rsidRPr="00561A6B">
              <w:t>Kondíciók felülvizsgálatára való felhívás</w:t>
            </w:r>
          </w:p>
        </w:tc>
        <w:tc>
          <w:tcPr>
            <w:tcW w:w="1276" w:type="dxa"/>
            <w:vAlign w:val="center"/>
          </w:tcPr>
          <w:p w14:paraId="66B1590F" w14:textId="77777777" w:rsidR="003F29E3" w:rsidRPr="00561A6B" w:rsidRDefault="003F29E3" w:rsidP="00D10772">
            <w:r w:rsidRPr="00561A6B">
              <w:t>III.</w:t>
            </w:r>
          </w:p>
        </w:tc>
        <w:tc>
          <w:tcPr>
            <w:tcW w:w="2983" w:type="dxa"/>
            <w:vAlign w:val="center"/>
          </w:tcPr>
          <w:p w14:paraId="66B15910" w14:textId="77777777" w:rsidR="003F29E3" w:rsidRPr="00561A6B" w:rsidRDefault="003F29E3" w:rsidP="00D10772">
            <w:r w:rsidRPr="00561A6B">
              <w:t>Felügyeleti vizsgálatok, kérdőív</w:t>
            </w:r>
          </w:p>
        </w:tc>
      </w:tr>
      <w:tr w:rsidR="003F29E3" w:rsidRPr="00561A6B" w14:paraId="66B15916" w14:textId="77777777" w:rsidTr="00C645A0">
        <w:trPr>
          <w:trHeight w:val="1047"/>
        </w:trPr>
        <w:tc>
          <w:tcPr>
            <w:tcW w:w="4966" w:type="dxa"/>
            <w:vAlign w:val="center"/>
          </w:tcPr>
          <w:p w14:paraId="66B15912" w14:textId="77777777" w:rsidR="003F29E3" w:rsidRPr="00561A6B" w:rsidRDefault="003F29E3" w:rsidP="00D10772">
            <w:pPr>
              <w:rPr>
                <w:b/>
              </w:rPr>
            </w:pPr>
            <w:r w:rsidRPr="00561A6B">
              <w:t>Gyakori likviditási nehézségek</w:t>
            </w:r>
          </w:p>
        </w:tc>
        <w:tc>
          <w:tcPr>
            <w:tcW w:w="2835" w:type="dxa"/>
            <w:vAlign w:val="center"/>
          </w:tcPr>
          <w:p w14:paraId="66B15913" w14:textId="77777777" w:rsidR="003F29E3" w:rsidRPr="00561A6B" w:rsidRDefault="003F29E3" w:rsidP="00D10772">
            <w:r w:rsidRPr="00561A6B">
              <w:t>Likviditási kockázat kezelési technikák fejlesztésére felhívás</w:t>
            </w:r>
          </w:p>
        </w:tc>
        <w:tc>
          <w:tcPr>
            <w:tcW w:w="1276" w:type="dxa"/>
            <w:vAlign w:val="center"/>
          </w:tcPr>
          <w:p w14:paraId="66B15914" w14:textId="77777777" w:rsidR="003F29E3" w:rsidRPr="00561A6B" w:rsidRDefault="003F29E3" w:rsidP="00D10772">
            <w:r w:rsidRPr="00561A6B">
              <w:t>II.</w:t>
            </w:r>
          </w:p>
        </w:tc>
        <w:tc>
          <w:tcPr>
            <w:tcW w:w="2983" w:type="dxa"/>
            <w:vAlign w:val="center"/>
          </w:tcPr>
          <w:p w14:paraId="66B15915" w14:textId="77777777" w:rsidR="003F29E3" w:rsidRPr="00561A6B" w:rsidRDefault="003F29E3" w:rsidP="00D10772">
            <w:r w:rsidRPr="00561A6B">
              <w:t>Kérdőív, adatszolgáltatás, felügyeleti elemzés</w:t>
            </w:r>
          </w:p>
        </w:tc>
      </w:tr>
    </w:tbl>
    <w:p w14:paraId="66B15917" w14:textId="77777777" w:rsidR="003F29E3" w:rsidRPr="00461238" w:rsidRDefault="003F29E3" w:rsidP="00461238">
      <w:pPr>
        <w:pStyle w:val="Listaszerbekezds"/>
        <w:numPr>
          <w:ilvl w:val="0"/>
          <w:numId w:val="12"/>
        </w:numPr>
        <w:ind w:left="567" w:hanging="589"/>
        <w:rPr>
          <w:rFonts w:ascii="Calibri" w:hAnsi="Calibri"/>
          <w:lang w:val="hu-HU"/>
        </w:rPr>
      </w:pPr>
      <w:r w:rsidRPr="00561A6B">
        <w:rPr>
          <w:rFonts w:ascii="Calibri" w:hAnsi="Calibri"/>
        </w:rPr>
        <w:br w:type="page"/>
      </w:r>
      <w:r w:rsidRPr="00461238">
        <w:rPr>
          <w:rFonts w:ascii="Calibri" w:hAnsi="Calibri"/>
          <w:lang w:val="hu-HU"/>
        </w:rPr>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72"/>
        <w:gridCol w:w="7373"/>
        <w:gridCol w:w="2560"/>
      </w:tblGrid>
      <w:tr w:rsidR="003F29E3" w:rsidRPr="00561A6B" w14:paraId="66B1591B" w14:textId="77777777" w:rsidTr="00C645A0">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561A6B" w:rsidRDefault="003F29E3" w:rsidP="00D10772">
            <w:r w:rsidRPr="00561A6B">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561A6B" w:rsidRDefault="003F29E3" w:rsidP="00D10772">
            <w:r w:rsidRPr="00561A6B">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561A6B" w:rsidRDefault="003F29E3" w:rsidP="00D10772">
            <w:r w:rsidRPr="00561A6B">
              <w:t>Probléma kategória</w:t>
            </w:r>
          </w:p>
        </w:tc>
      </w:tr>
      <w:tr w:rsidR="003F29E3" w:rsidRPr="00561A6B" w14:paraId="66B1591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561A6B" w:rsidRDefault="003F29E3" w:rsidP="00D10772">
            <w:r w:rsidRPr="00561A6B">
              <w:t>Megbízás felvétele és továbbítása, megbízás végrehajtása, portfóliókezelés</w:t>
            </w:r>
          </w:p>
        </w:tc>
      </w:tr>
      <w:tr w:rsidR="003F29E3" w:rsidRPr="00561A6B" w14:paraId="66B1592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561A6B" w:rsidRDefault="003F29E3" w:rsidP="00D10772">
            <w:r w:rsidRPr="00561A6B">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561A6B" w:rsidRDefault="003F29E3" w:rsidP="00D10772">
            <w:r w:rsidRPr="00561A6B">
              <w:t xml:space="preserve">I. </w:t>
            </w:r>
          </w:p>
        </w:tc>
      </w:tr>
      <w:tr w:rsidR="003F29E3" w:rsidRPr="00561A6B" w14:paraId="66B1592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561A6B" w:rsidRDefault="003F29E3" w:rsidP="00D10772"/>
        </w:tc>
      </w:tr>
      <w:tr w:rsidR="003F29E3" w:rsidRPr="00561A6B" w14:paraId="66B1592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561A6B" w:rsidRDefault="003F29E3" w:rsidP="00D10772"/>
        </w:tc>
      </w:tr>
      <w:tr w:rsidR="003F29E3" w:rsidRPr="00561A6B" w14:paraId="66B1592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561A6B" w:rsidRDefault="003F29E3" w:rsidP="00D10772">
            <w:r w:rsidRPr="00561A6B">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561A6B" w:rsidRDefault="003F29E3" w:rsidP="00D10772">
            <w:r w:rsidRPr="00561A6B">
              <w:t xml:space="preserve">I. </w:t>
            </w:r>
          </w:p>
        </w:tc>
      </w:tr>
      <w:tr w:rsidR="003F29E3" w:rsidRPr="00561A6B" w14:paraId="66B1593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561A6B" w:rsidRDefault="003F29E3" w:rsidP="00D10772"/>
        </w:tc>
      </w:tr>
      <w:tr w:rsidR="003F29E3" w:rsidRPr="00561A6B" w14:paraId="66B1593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561A6B" w:rsidRDefault="003F29E3" w:rsidP="00D10772"/>
        </w:tc>
      </w:tr>
      <w:tr w:rsidR="003F29E3" w:rsidRPr="00561A6B" w14:paraId="66B1593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561A6B" w:rsidRDefault="003F29E3" w:rsidP="00D10772">
            <w:r w:rsidRPr="00561A6B">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561A6B" w:rsidRDefault="003F29E3" w:rsidP="00D10772">
            <w:r w:rsidRPr="00561A6B">
              <w:t xml:space="preserve">I. </w:t>
            </w:r>
          </w:p>
        </w:tc>
      </w:tr>
      <w:tr w:rsidR="003F29E3" w:rsidRPr="00561A6B" w14:paraId="66B1593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561A6B" w:rsidRDefault="003F29E3" w:rsidP="00D10772"/>
        </w:tc>
      </w:tr>
      <w:tr w:rsidR="003F29E3" w:rsidRPr="00561A6B" w14:paraId="66B1594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561A6B" w:rsidRDefault="003F29E3" w:rsidP="00D10772"/>
        </w:tc>
      </w:tr>
      <w:tr w:rsidR="003F29E3" w:rsidRPr="00561A6B" w14:paraId="66B15945" w14:textId="77777777" w:rsidTr="00C645A0">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561A6B" w:rsidRDefault="003F29E3" w:rsidP="00D10772">
            <w:r w:rsidRPr="00561A6B">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561A6B" w:rsidRDefault="003F29E3" w:rsidP="00D10772">
            <w:r w:rsidRPr="00561A6B">
              <w:t xml:space="preserve">II. </w:t>
            </w:r>
          </w:p>
        </w:tc>
      </w:tr>
      <w:tr w:rsidR="003F29E3" w:rsidRPr="00561A6B" w14:paraId="66B1594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561A6B" w:rsidRDefault="003F29E3" w:rsidP="00D10772">
            <w:r w:rsidRPr="00561A6B">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561A6B" w:rsidRDefault="003F29E3" w:rsidP="00D10772">
            <w:r w:rsidRPr="00561A6B">
              <w:t xml:space="preserve">I. </w:t>
            </w:r>
          </w:p>
        </w:tc>
      </w:tr>
      <w:tr w:rsidR="003F29E3" w:rsidRPr="00561A6B" w14:paraId="66B1594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561A6B" w:rsidRDefault="003F29E3" w:rsidP="00D10772"/>
        </w:tc>
      </w:tr>
      <w:tr w:rsidR="003F29E3" w:rsidRPr="00561A6B" w14:paraId="66B1595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561A6B" w:rsidRDefault="003F29E3" w:rsidP="00D10772"/>
        </w:tc>
      </w:tr>
      <w:tr w:rsidR="003F29E3" w:rsidRPr="00561A6B" w14:paraId="66B1595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561A6B" w:rsidRDefault="003F29E3" w:rsidP="00D10772">
            <w:r w:rsidRPr="00561A6B">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561A6B" w:rsidRDefault="003F29E3" w:rsidP="00D10772">
            <w:r w:rsidRPr="00561A6B">
              <w:t xml:space="preserve">II. </w:t>
            </w:r>
          </w:p>
        </w:tc>
      </w:tr>
      <w:tr w:rsidR="003F29E3" w:rsidRPr="00561A6B" w14:paraId="66B1595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561A6B" w:rsidRDefault="003F29E3" w:rsidP="00D10772"/>
        </w:tc>
      </w:tr>
      <w:tr w:rsidR="003F29E3" w:rsidRPr="00561A6B" w14:paraId="66B1595D"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561A6B" w:rsidRDefault="003F29E3" w:rsidP="00D10772"/>
        </w:tc>
      </w:tr>
      <w:tr w:rsidR="003F29E3" w:rsidRPr="00561A6B" w14:paraId="66B1596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561A6B" w:rsidRDefault="003F29E3" w:rsidP="00D10772">
            <w:r w:rsidRPr="00561A6B">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561A6B" w:rsidRDefault="003F29E3" w:rsidP="00D10772">
            <w:r w:rsidRPr="00561A6B">
              <w:t xml:space="preserve">I. </w:t>
            </w:r>
          </w:p>
        </w:tc>
      </w:tr>
      <w:tr w:rsidR="003F29E3" w:rsidRPr="00561A6B" w14:paraId="66B1596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561A6B" w:rsidRDefault="003F29E3" w:rsidP="00D10772"/>
        </w:tc>
      </w:tr>
      <w:tr w:rsidR="003F29E3" w:rsidRPr="00561A6B" w14:paraId="66B1596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561A6B" w:rsidRDefault="003F29E3" w:rsidP="00D10772"/>
        </w:tc>
      </w:tr>
      <w:tr w:rsidR="003F29E3" w:rsidRPr="00561A6B" w14:paraId="66B1596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561A6B" w:rsidRDefault="003F29E3" w:rsidP="00D10772">
            <w:r w:rsidRPr="00561A6B">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561A6B" w:rsidRDefault="003F29E3" w:rsidP="00D10772">
            <w:r w:rsidRPr="00561A6B">
              <w:t xml:space="preserve">II. </w:t>
            </w:r>
          </w:p>
        </w:tc>
      </w:tr>
      <w:tr w:rsidR="003F29E3" w:rsidRPr="00561A6B" w14:paraId="66B1597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561A6B" w:rsidRDefault="003F29E3" w:rsidP="00D10772">
            <w:r w:rsidRPr="00561A6B">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561A6B" w:rsidRDefault="003F29E3" w:rsidP="00D10772">
            <w:r w:rsidRPr="00561A6B">
              <w:t xml:space="preserve">I. </w:t>
            </w:r>
          </w:p>
        </w:tc>
      </w:tr>
      <w:tr w:rsidR="003F29E3" w:rsidRPr="00561A6B" w14:paraId="66B1597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561A6B" w:rsidRDefault="003F29E3" w:rsidP="00D10772"/>
        </w:tc>
      </w:tr>
      <w:tr w:rsidR="003F29E3" w:rsidRPr="00561A6B" w14:paraId="66B1597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561A6B" w:rsidRDefault="003F29E3" w:rsidP="00D10772"/>
        </w:tc>
      </w:tr>
      <w:tr w:rsidR="003F29E3" w:rsidRPr="00561A6B" w14:paraId="66B1597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561A6B" w:rsidRDefault="003F29E3" w:rsidP="00D10772">
            <w:r w:rsidRPr="00561A6B">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561A6B" w:rsidRDefault="003F29E3" w:rsidP="00D10772">
            <w:r w:rsidRPr="00561A6B">
              <w:t xml:space="preserve">II. </w:t>
            </w:r>
          </w:p>
        </w:tc>
      </w:tr>
      <w:tr w:rsidR="003F29E3" w:rsidRPr="00561A6B" w14:paraId="66B1598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561A6B" w:rsidRDefault="003F29E3" w:rsidP="00D10772"/>
        </w:tc>
      </w:tr>
      <w:tr w:rsidR="003F29E3" w:rsidRPr="00561A6B" w14:paraId="66B1598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561A6B" w:rsidRDefault="003F29E3" w:rsidP="00D10772"/>
        </w:tc>
      </w:tr>
      <w:tr w:rsidR="003F29E3" w:rsidRPr="00561A6B" w14:paraId="66B1598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561A6B" w:rsidRDefault="003F29E3" w:rsidP="00D10772">
            <w:r w:rsidRPr="00561A6B">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561A6B" w:rsidRDefault="003F29E3" w:rsidP="00D10772">
            <w:r w:rsidRPr="00561A6B">
              <w:t xml:space="preserve">II. </w:t>
            </w:r>
          </w:p>
        </w:tc>
      </w:tr>
      <w:tr w:rsidR="003F29E3" w:rsidRPr="00561A6B" w14:paraId="66B1598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561A6B" w:rsidRDefault="003F29E3" w:rsidP="00D10772">
            <w:r w:rsidRPr="00561A6B">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561A6B" w:rsidRDefault="003F29E3" w:rsidP="00D10772">
            <w:r w:rsidRPr="00561A6B">
              <w:t xml:space="preserve">I. </w:t>
            </w:r>
          </w:p>
        </w:tc>
      </w:tr>
      <w:tr w:rsidR="003F29E3" w:rsidRPr="00561A6B" w14:paraId="66B1599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561A6B" w:rsidRDefault="003F29E3" w:rsidP="00D10772">
            <w:r w:rsidRPr="00561A6B">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561A6B" w:rsidRDefault="003F29E3" w:rsidP="00D10772">
            <w:r w:rsidRPr="00561A6B">
              <w:t xml:space="preserve">II. </w:t>
            </w:r>
          </w:p>
        </w:tc>
      </w:tr>
      <w:tr w:rsidR="003F29E3" w:rsidRPr="00561A6B" w14:paraId="66B1599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561A6B" w:rsidRDefault="003F29E3" w:rsidP="00D10772">
            <w:r w:rsidRPr="00561A6B">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561A6B" w:rsidRDefault="003F29E3" w:rsidP="00D10772">
            <w:r w:rsidRPr="00561A6B">
              <w:t xml:space="preserve">II. </w:t>
            </w:r>
          </w:p>
        </w:tc>
      </w:tr>
      <w:tr w:rsidR="003F29E3" w:rsidRPr="00561A6B" w14:paraId="66B1599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561A6B" w:rsidRDefault="003F29E3" w:rsidP="00D10772">
            <w:r w:rsidRPr="00561A6B">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561A6B" w:rsidRDefault="003F29E3" w:rsidP="00D10772">
            <w:r w:rsidRPr="00561A6B">
              <w:t xml:space="preserve">II. </w:t>
            </w:r>
          </w:p>
        </w:tc>
      </w:tr>
      <w:tr w:rsidR="003F29E3" w:rsidRPr="00561A6B" w14:paraId="66B1599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561A6B" w:rsidRDefault="003F29E3" w:rsidP="00D10772">
            <w:r w:rsidRPr="00561A6B">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561A6B" w:rsidRDefault="003F29E3" w:rsidP="00D10772">
            <w:r w:rsidRPr="00561A6B">
              <w:t>III.</w:t>
            </w:r>
          </w:p>
        </w:tc>
      </w:tr>
      <w:tr w:rsidR="003F29E3" w:rsidRPr="00561A6B" w14:paraId="66B159A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561A6B" w:rsidRDefault="003F29E3" w:rsidP="00D10772">
            <w:r w:rsidRPr="00561A6B">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561A6B" w:rsidRDefault="003F29E3" w:rsidP="00D10772">
            <w:r w:rsidRPr="00561A6B">
              <w:t xml:space="preserve">I. </w:t>
            </w:r>
          </w:p>
        </w:tc>
      </w:tr>
      <w:tr w:rsidR="003F29E3" w:rsidRPr="00561A6B" w14:paraId="66B159A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561A6B" w:rsidRDefault="003F29E3" w:rsidP="00D10772">
            <w:r w:rsidRPr="00561A6B">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561A6B" w:rsidRDefault="003F29E3" w:rsidP="00D10772">
            <w:r w:rsidRPr="00561A6B">
              <w:t xml:space="preserve">I. </w:t>
            </w:r>
          </w:p>
        </w:tc>
      </w:tr>
      <w:tr w:rsidR="003F29E3" w:rsidRPr="00561A6B" w14:paraId="66B159A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561A6B" w:rsidRDefault="003F29E3" w:rsidP="00D10772">
            <w:r w:rsidRPr="00561A6B">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561A6B" w:rsidRDefault="003F29E3" w:rsidP="00D10772">
            <w:r w:rsidRPr="00561A6B">
              <w:t xml:space="preserve">II. </w:t>
            </w:r>
          </w:p>
        </w:tc>
      </w:tr>
      <w:tr w:rsidR="003F29E3" w:rsidRPr="00561A6B" w14:paraId="66B159A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561A6B" w:rsidRDefault="003F29E3" w:rsidP="00D10772">
            <w:r w:rsidRPr="00561A6B">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561A6B" w:rsidRDefault="003F29E3" w:rsidP="00D10772">
            <w:r w:rsidRPr="00561A6B">
              <w:t xml:space="preserve">II. </w:t>
            </w:r>
          </w:p>
        </w:tc>
      </w:tr>
      <w:tr w:rsidR="003F29E3" w:rsidRPr="00561A6B" w14:paraId="66B159AF"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561A6B" w:rsidRDefault="003F29E3" w:rsidP="00D10772">
            <w:r w:rsidRPr="00561A6B">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561A6B" w14:paraId="66B159B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561A6B" w:rsidRDefault="003F29E3" w:rsidP="00D10772">
            <w:r w:rsidRPr="00561A6B">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561A6B" w:rsidRDefault="003F29E3" w:rsidP="00D10772">
            <w:r w:rsidRPr="00561A6B">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561A6B" w:rsidRDefault="003F29E3" w:rsidP="00D10772">
            <w:r w:rsidRPr="00561A6B">
              <w:t>I.</w:t>
            </w:r>
          </w:p>
        </w:tc>
      </w:tr>
      <w:tr w:rsidR="003F29E3" w:rsidRPr="00561A6B" w14:paraId="66B159B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561A6B" w:rsidRDefault="003F29E3" w:rsidP="00D10772">
            <w:r w:rsidRPr="00561A6B">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561A6B" w:rsidRDefault="003F29E3" w:rsidP="00D10772">
            <w:r w:rsidRPr="00561A6B">
              <w:t>II.</w:t>
            </w:r>
          </w:p>
        </w:tc>
      </w:tr>
      <w:tr w:rsidR="003F29E3" w:rsidRPr="00561A6B" w14:paraId="66B159B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561A6B" w:rsidRDefault="003F29E3" w:rsidP="00D10772">
            <w:r w:rsidRPr="00561A6B">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561A6B" w:rsidRDefault="003F29E3" w:rsidP="00D10772">
            <w:r w:rsidRPr="00561A6B">
              <w:t>III.</w:t>
            </w:r>
          </w:p>
        </w:tc>
      </w:tr>
      <w:tr w:rsidR="003F29E3" w:rsidRPr="00561A6B" w14:paraId="66B159B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561A6B" w:rsidRDefault="003F29E3" w:rsidP="00D10772">
            <w:r w:rsidRPr="00561A6B">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561A6B" w:rsidRDefault="003F29E3" w:rsidP="00D10772">
            <w:r w:rsidRPr="00561A6B">
              <w:t>II.</w:t>
            </w:r>
          </w:p>
        </w:tc>
      </w:tr>
      <w:tr w:rsidR="003F29E3" w:rsidRPr="00561A6B" w14:paraId="66B159C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561A6B" w:rsidRDefault="003F29E3" w:rsidP="00D10772">
            <w:r w:rsidRPr="00561A6B">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561A6B" w:rsidRDefault="003F29E3" w:rsidP="00D10772">
            <w:r w:rsidRPr="00561A6B">
              <w:t>III.</w:t>
            </w:r>
          </w:p>
        </w:tc>
      </w:tr>
      <w:tr w:rsidR="003F29E3" w:rsidRPr="00561A6B" w14:paraId="66B159C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561A6B" w:rsidRDefault="003F29E3" w:rsidP="00D10772">
            <w:r w:rsidRPr="00561A6B">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561A6B" w:rsidRDefault="003F29E3" w:rsidP="00D10772">
            <w:r w:rsidRPr="00561A6B">
              <w:t>I.</w:t>
            </w:r>
          </w:p>
        </w:tc>
      </w:tr>
      <w:tr w:rsidR="003F29E3" w:rsidRPr="00561A6B" w14:paraId="66B159C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561A6B" w:rsidRDefault="003F29E3" w:rsidP="00D10772">
            <w:r w:rsidRPr="00561A6B">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561A6B" w:rsidRDefault="003F29E3" w:rsidP="00D10772">
            <w:r w:rsidRPr="00561A6B">
              <w:t>III.</w:t>
            </w:r>
          </w:p>
        </w:tc>
      </w:tr>
      <w:tr w:rsidR="003F29E3" w:rsidRPr="00561A6B" w14:paraId="66B159C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561A6B" w:rsidRDefault="003F29E3" w:rsidP="00D10772">
            <w:r w:rsidRPr="00561A6B">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561A6B" w:rsidRDefault="003F29E3" w:rsidP="00D10772">
            <w:r w:rsidRPr="00561A6B">
              <w:t>I.</w:t>
            </w:r>
          </w:p>
        </w:tc>
      </w:tr>
      <w:tr w:rsidR="003F29E3" w:rsidRPr="00561A6B" w14:paraId="66B159D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561A6B" w:rsidRDefault="003F29E3" w:rsidP="00D10772">
            <w:r w:rsidRPr="00561A6B">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561A6B" w:rsidRDefault="003F29E3" w:rsidP="00D10772">
            <w:r w:rsidRPr="00561A6B">
              <w:t xml:space="preserve">I. </w:t>
            </w:r>
          </w:p>
        </w:tc>
      </w:tr>
      <w:tr w:rsidR="003F29E3" w:rsidRPr="00561A6B" w14:paraId="66B159D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561A6B" w:rsidRDefault="003F29E3" w:rsidP="00D10772">
            <w:r w:rsidRPr="00561A6B">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561A6B" w:rsidRDefault="003F29E3" w:rsidP="00D10772">
            <w:r w:rsidRPr="00561A6B">
              <w:t>I.</w:t>
            </w:r>
          </w:p>
        </w:tc>
      </w:tr>
      <w:tr w:rsidR="003F29E3" w:rsidRPr="00561A6B" w14:paraId="66B159D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561A6B" w:rsidRDefault="003F29E3" w:rsidP="00D10772">
            <w:r w:rsidRPr="00561A6B">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561A6B" w:rsidRDefault="003F29E3" w:rsidP="00D10772">
            <w:r w:rsidRPr="00561A6B">
              <w:t xml:space="preserve">II. </w:t>
            </w:r>
          </w:p>
        </w:tc>
      </w:tr>
      <w:tr w:rsidR="003F29E3" w:rsidRPr="00561A6B" w14:paraId="66B159D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561A6B" w:rsidRDefault="003F29E3" w:rsidP="00D10772">
            <w:r w:rsidRPr="00561A6B">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561A6B" w:rsidRDefault="003F29E3" w:rsidP="00D10772">
            <w:r w:rsidRPr="00561A6B">
              <w:t>II.</w:t>
            </w:r>
          </w:p>
        </w:tc>
      </w:tr>
      <w:tr w:rsidR="003F29E3" w:rsidRPr="00561A6B" w14:paraId="66B159E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561A6B" w:rsidRDefault="003F29E3" w:rsidP="00D10772">
            <w:r w:rsidRPr="00561A6B">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561A6B" w:rsidRDefault="003F29E3" w:rsidP="00D10772">
            <w:r w:rsidRPr="00561A6B">
              <w:t>II.</w:t>
            </w:r>
          </w:p>
        </w:tc>
      </w:tr>
      <w:tr w:rsidR="003F29E3" w:rsidRPr="00561A6B" w14:paraId="66B159E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561A6B" w:rsidRDefault="003F29E3" w:rsidP="00D10772">
            <w:r w:rsidRPr="00561A6B">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561A6B" w:rsidRDefault="003F29E3" w:rsidP="00D10772">
            <w:r w:rsidRPr="00561A6B">
              <w:t>II.</w:t>
            </w:r>
          </w:p>
        </w:tc>
      </w:tr>
      <w:tr w:rsidR="003F29E3" w:rsidRPr="00561A6B" w14:paraId="66B159E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561A6B" w:rsidRDefault="003F29E3" w:rsidP="00D10772">
            <w:r w:rsidRPr="00561A6B">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561A6B" w:rsidRDefault="003F29E3" w:rsidP="00D10772">
            <w:r w:rsidRPr="00561A6B">
              <w:t xml:space="preserve">I. </w:t>
            </w:r>
          </w:p>
        </w:tc>
      </w:tr>
      <w:tr w:rsidR="003F29E3" w:rsidRPr="00561A6B" w14:paraId="66B159E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561A6B" w:rsidRDefault="003F29E3" w:rsidP="00D10772">
            <w:r w:rsidRPr="00561A6B">
              <w:t>Sajátszámlás kereskedés</w:t>
            </w:r>
          </w:p>
        </w:tc>
      </w:tr>
      <w:tr w:rsidR="003F29E3" w:rsidRPr="00561A6B" w14:paraId="66B159F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561A6B" w:rsidRDefault="003F29E3" w:rsidP="00D10772">
            <w:r w:rsidRPr="00561A6B">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561A6B" w:rsidRDefault="003F29E3" w:rsidP="00D10772">
            <w:r w:rsidRPr="00561A6B">
              <w:t xml:space="preserve">I. </w:t>
            </w:r>
          </w:p>
        </w:tc>
      </w:tr>
      <w:tr w:rsidR="003F29E3" w:rsidRPr="00561A6B" w14:paraId="66B159F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561A6B" w:rsidRDefault="003F29E3" w:rsidP="00D10772">
            <w:r w:rsidRPr="00561A6B">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561A6B" w:rsidRDefault="003F29E3" w:rsidP="00D10772">
            <w:r w:rsidRPr="00561A6B">
              <w:t>II.</w:t>
            </w:r>
          </w:p>
        </w:tc>
      </w:tr>
      <w:tr w:rsidR="003F29E3" w:rsidRPr="00561A6B" w14:paraId="66B159F7"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561A6B" w:rsidRDefault="003F29E3" w:rsidP="00D10772">
            <w:r w:rsidRPr="00561A6B">
              <w:t>Kockázatkezelés, ellenőrzés</w:t>
            </w:r>
          </w:p>
        </w:tc>
      </w:tr>
      <w:tr w:rsidR="003F29E3" w:rsidRPr="00561A6B" w14:paraId="66B159F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561A6B" w:rsidRDefault="003F29E3" w:rsidP="00D10772">
            <w:r w:rsidRPr="00561A6B">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561A6B" w:rsidRDefault="003F29E3" w:rsidP="00D10772">
            <w:r w:rsidRPr="00561A6B">
              <w:t>III.</w:t>
            </w:r>
          </w:p>
        </w:tc>
      </w:tr>
      <w:tr w:rsidR="003F29E3" w:rsidRPr="00561A6B" w14:paraId="66B159F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561A6B" w:rsidRDefault="003F29E3" w:rsidP="00D10772">
            <w:r w:rsidRPr="00561A6B">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561A6B" w:rsidRDefault="003F29E3" w:rsidP="00D10772">
            <w:r w:rsidRPr="00561A6B">
              <w:t>II.</w:t>
            </w:r>
          </w:p>
        </w:tc>
      </w:tr>
      <w:tr w:rsidR="003F29E3" w:rsidRPr="00561A6B" w14:paraId="66B15A0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561A6B" w:rsidRDefault="003F29E3" w:rsidP="00D10772">
            <w:r w:rsidRPr="00561A6B">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561A6B" w:rsidRDefault="003F29E3" w:rsidP="00D10772">
            <w:r w:rsidRPr="00561A6B">
              <w:t>II.</w:t>
            </w:r>
          </w:p>
        </w:tc>
      </w:tr>
      <w:tr w:rsidR="003F29E3" w:rsidRPr="00561A6B" w14:paraId="66B15A0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561A6B" w:rsidRDefault="003F29E3" w:rsidP="00D10772">
            <w:r w:rsidRPr="00561A6B">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561A6B" w:rsidRDefault="003F29E3" w:rsidP="00D10772">
            <w:r w:rsidRPr="00561A6B">
              <w:t>III.</w:t>
            </w:r>
          </w:p>
        </w:tc>
      </w:tr>
      <w:tr w:rsidR="003F29E3" w:rsidRPr="00561A6B" w14:paraId="66B15A0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561A6B" w:rsidRDefault="003F29E3" w:rsidP="00D10772">
            <w:r w:rsidRPr="00561A6B">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561A6B" w:rsidRDefault="003F29E3" w:rsidP="00D10772">
            <w:r w:rsidRPr="00561A6B">
              <w:t xml:space="preserve">I. </w:t>
            </w:r>
          </w:p>
        </w:tc>
      </w:tr>
      <w:tr w:rsidR="003F29E3" w:rsidRPr="00561A6B" w14:paraId="66B15A0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561A6B" w:rsidRDefault="003F29E3" w:rsidP="00D10772">
            <w:r w:rsidRPr="00561A6B">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561A6B" w:rsidRDefault="003F29E3" w:rsidP="00D10772">
            <w:r w:rsidRPr="00561A6B">
              <w:t>I.</w:t>
            </w:r>
          </w:p>
        </w:tc>
      </w:tr>
      <w:tr w:rsidR="003F29E3" w:rsidRPr="00561A6B" w14:paraId="66B15A1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561A6B" w:rsidRDefault="003F29E3" w:rsidP="00D10772">
            <w:r w:rsidRPr="00561A6B">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561A6B" w:rsidRDefault="003F29E3" w:rsidP="00D10772">
            <w:r w:rsidRPr="00561A6B">
              <w:t>II.</w:t>
            </w:r>
          </w:p>
        </w:tc>
      </w:tr>
      <w:tr w:rsidR="003F29E3" w:rsidRPr="00561A6B" w14:paraId="66B15A1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561A6B" w:rsidRDefault="003F29E3" w:rsidP="00D10772">
            <w:r w:rsidRPr="00561A6B">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561A6B" w:rsidRDefault="003F29E3" w:rsidP="00D10772">
            <w:r w:rsidRPr="00561A6B">
              <w:t>II.</w:t>
            </w:r>
          </w:p>
        </w:tc>
      </w:tr>
      <w:tr w:rsidR="003F29E3" w:rsidRPr="00561A6B" w14:paraId="66B15A1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561A6B" w:rsidRDefault="003F29E3" w:rsidP="00D10772">
            <w:r w:rsidRPr="00561A6B">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561A6B" w:rsidRDefault="003F29E3" w:rsidP="00D10772">
            <w:r w:rsidRPr="00561A6B">
              <w:t xml:space="preserve">I. </w:t>
            </w:r>
          </w:p>
        </w:tc>
      </w:tr>
      <w:tr w:rsidR="003F29E3" w:rsidRPr="00561A6B" w14:paraId="66B15A1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561A6B" w:rsidRDefault="003F29E3" w:rsidP="00D10772">
            <w:r w:rsidRPr="00561A6B">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561A6B" w:rsidRDefault="003F29E3" w:rsidP="00D10772">
            <w:r w:rsidRPr="00561A6B">
              <w:t xml:space="preserve">I. </w:t>
            </w:r>
          </w:p>
        </w:tc>
      </w:tr>
      <w:tr w:rsidR="003F29E3" w:rsidRPr="00561A6B" w14:paraId="66B15A2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561A6B" w:rsidRDefault="003F29E3" w:rsidP="00D10772">
            <w:r w:rsidRPr="00561A6B">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561A6B" w:rsidRDefault="003F29E3" w:rsidP="00D10772">
            <w:r w:rsidRPr="00561A6B">
              <w:t xml:space="preserve">I. </w:t>
            </w:r>
          </w:p>
        </w:tc>
      </w:tr>
      <w:tr w:rsidR="003F29E3" w:rsidRPr="00561A6B" w14:paraId="66B15A2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561A6B" w:rsidRDefault="003F29E3" w:rsidP="00D10772">
            <w:r w:rsidRPr="00561A6B">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561A6B" w:rsidRDefault="003F29E3" w:rsidP="00D10772">
            <w:r w:rsidRPr="00561A6B">
              <w:t xml:space="preserve">II. </w:t>
            </w:r>
          </w:p>
        </w:tc>
      </w:tr>
      <w:tr w:rsidR="003F29E3" w:rsidRPr="00561A6B" w14:paraId="66B15A2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561A6B" w:rsidRDefault="003F29E3" w:rsidP="00D10772">
            <w:r w:rsidRPr="00561A6B">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561A6B" w:rsidRDefault="003F29E3" w:rsidP="00D10772">
            <w:r w:rsidRPr="00561A6B">
              <w:t xml:space="preserve">I. </w:t>
            </w:r>
          </w:p>
        </w:tc>
      </w:tr>
      <w:tr w:rsidR="003F29E3" w:rsidRPr="00561A6B" w14:paraId="66B15A2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561A6B" w:rsidRDefault="003F29E3" w:rsidP="00D10772">
            <w:r w:rsidRPr="00561A6B">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561A6B" w:rsidRDefault="003F29E3" w:rsidP="00D10772">
            <w:r w:rsidRPr="00561A6B">
              <w:t xml:space="preserve">I. </w:t>
            </w:r>
          </w:p>
        </w:tc>
      </w:tr>
      <w:tr w:rsidR="003F29E3" w:rsidRPr="00561A6B" w14:paraId="66B15A3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561A6B" w:rsidRDefault="003F29E3" w:rsidP="00D10772">
            <w:r w:rsidRPr="00561A6B">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561A6B" w:rsidRDefault="003F29E3" w:rsidP="00D10772">
            <w:r w:rsidRPr="00561A6B">
              <w:t xml:space="preserve">I. </w:t>
            </w:r>
          </w:p>
        </w:tc>
      </w:tr>
      <w:tr w:rsidR="003F29E3" w:rsidRPr="00561A6B" w14:paraId="66B15A3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561A6B" w:rsidRDefault="003F29E3" w:rsidP="00D10772">
            <w:r w:rsidRPr="00561A6B">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561A6B" w:rsidRDefault="003F29E3" w:rsidP="00D10772">
            <w:r w:rsidRPr="00561A6B">
              <w:t>III.</w:t>
            </w:r>
          </w:p>
        </w:tc>
      </w:tr>
      <w:tr w:rsidR="003F29E3" w:rsidRPr="00561A6B" w14:paraId="66B15A3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561A6B" w:rsidRDefault="003F29E3" w:rsidP="00D10772">
            <w:r w:rsidRPr="00561A6B">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561A6B" w:rsidRDefault="003F29E3" w:rsidP="00D10772">
            <w:r w:rsidRPr="00561A6B">
              <w:t xml:space="preserve">II. </w:t>
            </w:r>
          </w:p>
        </w:tc>
      </w:tr>
      <w:tr w:rsidR="003F29E3" w:rsidRPr="00561A6B" w14:paraId="66B15A3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561A6B" w:rsidRDefault="003F29E3" w:rsidP="00D10772">
            <w:r w:rsidRPr="00561A6B">
              <w:t>Humán kockázatok kezelése</w:t>
            </w:r>
          </w:p>
        </w:tc>
      </w:tr>
      <w:tr w:rsidR="003F29E3" w:rsidRPr="00561A6B" w14:paraId="66B15A4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77777777" w:rsidR="003F29E3" w:rsidRPr="00561A6B" w:rsidRDefault="003F29E3" w:rsidP="00D10772">
            <w:r w:rsidRPr="00561A6B">
              <w:t>nincs olyan eszközrendszer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561A6B" w:rsidRDefault="003F29E3" w:rsidP="00D10772">
            <w:r w:rsidRPr="00561A6B">
              <w:t xml:space="preserve">II. </w:t>
            </w:r>
          </w:p>
        </w:tc>
      </w:tr>
      <w:tr w:rsidR="003F29E3" w:rsidRPr="00561A6B" w14:paraId="66B15A4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561A6B" w:rsidRDefault="003F29E3" w:rsidP="00D10772">
            <w:r w:rsidRPr="00561A6B">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561A6B" w:rsidRDefault="003F29E3" w:rsidP="00D10772">
            <w:r w:rsidRPr="00561A6B">
              <w:t xml:space="preserve">I. </w:t>
            </w:r>
          </w:p>
        </w:tc>
      </w:tr>
      <w:tr w:rsidR="003F29E3" w:rsidRPr="00561A6B" w14:paraId="66B15A4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561A6B" w:rsidRDefault="003F29E3" w:rsidP="00D10772">
            <w:r w:rsidRPr="00561A6B">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561A6B" w:rsidRDefault="003F29E3" w:rsidP="00D10772">
            <w:r w:rsidRPr="00561A6B">
              <w:t>III.</w:t>
            </w:r>
          </w:p>
        </w:tc>
      </w:tr>
      <w:tr w:rsidR="003F29E3" w:rsidRPr="00561A6B" w14:paraId="66B15A4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561A6B" w:rsidRDefault="003F29E3" w:rsidP="00D10772">
            <w:r w:rsidRPr="00561A6B">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561A6B" w:rsidRDefault="003F29E3" w:rsidP="00D10772">
            <w:r w:rsidRPr="00561A6B">
              <w:t>III.</w:t>
            </w:r>
          </w:p>
        </w:tc>
      </w:tr>
      <w:tr w:rsidR="003F29E3" w:rsidRPr="00561A6B" w14:paraId="66B15A5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561A6B" w:rsidRDefault="003F29E3" w:rsidP="00D10772">
            <w:r w:rsidRPr="00561A6B">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561A6B" w:rsidRDefault="003F29E3" w:rsidP="00D10772">
            <w:r w:rsidRPr="00561A6B">
              <w:t xml:space="preserve">II. </w:t>
            </w:r>
          </w:p>
        </w:tc>
      </w:tr>
      <w:tr w:rsidR="003F29E3" w:rsidRPr="00561A6B" w14:paraId="66B15A5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561A6B" w:rsidRDefault="003F29E3" w:rsidP="00D10772">
            <w:r w:rsidRPr="00561A6B">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561A6B" w:rsidRDefault="003F29E3" w:rsidP="00D10772">
            <w:r w:rsidRPr="00561A6B">
              <w:t xml:space="preserve">II. </w:t>
            </w:r>
          </w:p>
        </w:tc>
      </w:tr>
      <w:tr w:rsidR="003F29E3" w:rsidRPr="00561A6B" w14:paraId="66B15A5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561A6B" w:rsidRDefault="003F29E3" w:rsidP="00D10772">
            <w:r w:rsidRPr="00561A6B">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561A6B" w:rsidRDefault="003F29E3" w:rsidP="00D10772">
            <w:r w:rsidRPr="00561A6B">
              <w:t xml:space="preserve">III. </w:t>
            </w:r>
          </w:p>
        </w:tc>
      </w:tr>
      <w:tr w:rsidR="003F29E3" w:rsidRPr="00561A6B" w14:paraId="66B15A5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561A6B" w:rsidRDefault="003F29E3" w:rsidP="00D10772">
            <w:r w:rsidRPr="00561A6B">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561A6B" w:rsidRDefault="003F29E3" w:rsidP="00D10772">
            <w:r w:rsidRPr="00561A6B">
              <w:t>III.</w:t>
            </w:r>
          </w:p>
        </w:tc>
      </w:tr>
      <w:tr w:rsidR="003F29E3" w:rsidRPr="00561A6B" w14:paraId="66B15A6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561A6B" w:rsidRDefault="003F29E3" w:rsidP="00D10772">
            <w:r w:rsidRPr="00561A6B">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561A6B" w:rsidRDefault="003F29E3" w:rsidP="00D10772">
            <w:r w:rsidRPr="00561A6B">
              <w:t xml:space="preserve">I. </w:t>
            </w:r>
          </w:p>
        </w:tc>
      </w:tr>
      <w:tr w:rsidR="003F29E3" w:rsidRPr="00561A6B" w14:paraId="66B15A6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561A6B" w:rsidRDefault="003F29E3" w:rsidP="00D10772">
            <w:r w:rsidRPr="00561A6B">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561A6B" w:rsidRDefault="003F29E3" w:rsidP="00D10772">
            <w:r w:rsidRPr="00561A6B">
              <w:t xml:space="preserve">I. </w:t>
            </w:r>
          </w:p>
        </w:tc>
      </w:tr>
      <w:tr w:rsidR="003F29E3" w:rsidRPr="00561A6B" w14:paraId="66B15A6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561A6B" w:rsidRDefault="003F29E3" w:rsidP="00D10772">
            <w:r w:rsidRPr="00561A6B">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561A6B" w:rsidRDefault="003F29E3" w:rsidP="00D10772">
            <w:r w:rsidRPr="00561A6B">
              <w:t xml:space="preserve">I. </w:t>
            </w:r>
          </w:p>
        </w:tc>
      </w:tr>
    </w:tbl>
    <w:p w14:paraId="66B15A6A" w14:textId="77777777" w:rsidR="003F29E3" w:rsidRPr="00561A6B" w:rsidRDefault="003F29E3" w:rsidP="00D10772">
      <w:pPr>
        <w:sectPr w:rsidR="003F29E3" w:rsidRPr="00561A6B" w:rsidSect="00C645A0">
          <w:pgSz w:w="16838" w:h="11906" w:orient="landscape"/>
          <w:pgMar w:top="1683" w:right="2155" w:bottom="1106" w:left="1418" w:header="567" w:footer="709" w:gutter="0"/>
          <w:cols w:space="708"/>
          <w:docGrid w:linePitch="360"/>
        </w:sectPr>
      </w:pPr>
    </w:p>
    <w:p w14:paraId="66B15A6B" w14:textId="77777777" w:rsidR="004E72FF" w:rsidRPr="00561A6B" w:rsidRDefault="004E72FF" w:rsidP="00844180"/>
    <w:sectPr w:rsidR="004E72FF" w:rsidRPr="00561A6B"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604EB" w14:textId="77777777" w:rsidR="00A50AE4" w:rsidRDefault="00A50AE4" w:rsidP="00D10772">
      <w:r>
        <w:separator/>
      </w:r>
    </w:p>
  </w:endnote>
  <w:endnote w:type="continuationSeparator" w:id="0">
    <w:p w14:paraId="4A0B2EE8" w14:textId="77777777" w:rsidR="00A50AE4" w:rsidRDefault="00A50AE4" w:rsidP="00D10772">
      <w:r>
        <w:continuationSeparator/>
      </w:r>
    </w:p>
  </w:endnote>
  <w:endnote w:type="continuationNotice" w:id="1">
    <w:p w14:paraId="45A8573D" w14:textId="77777777" w:rsidR="00A50AE4" w:rsidRDefault="00A50A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5AB2" w14:textId="77777777" w:rsidR="00A50AE4" w:rsidRDefault="00A50AE4" w:rsidP="00D10772">
    <w:pPr>
      <w:pStyle w:val="llb"/>
      <w:rPr>
        <w:rStyle w:val="Oldalszm"/>
      </w:rPr>
    </w:pPr>
    <w:r>
      <w:rPr>
        <w:rStyle w:val="Oldalszm"/>
      </w:rPr>
      <w:fldChar w:fldCharType="begin"/>
    </w:r>
    <w:r>
      <w:rPr>
        <w:rStyle w:val="Oldalszm"/>
      </w:rPr>
      <w:instrText xml:space="preserve">PAGE  </w:instrText>
    </w:r>
    <w:r>
      <w:rPr>
        <w:rStyle w:val="Oldalszm"/>
      </w:rPr>
      <w:fldChar w:fldCharType="end"/>
    </w:r>
  </w:p>
  <w:p w14:paraId="66B15AB3" w14:textId="77777777" w:rsidR="00A50AE4" w:rsidRDefault="00A50AE4" w:rsidP="00D1077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5AB4" w14:textId="40B13075" w:rsidR="00A50AE4" w:rsidRDefault="00A50AE4" w:rsidP="00E3405D">
    <w:pPr>
      <w:pStyle w:val="llb"/>
      <w:jc w:val="center"/>
    </w:pPr>
    <w:r>
      <w:rPr>
        <w:rStyle w:val="Oldalszm"/>
      </w:rPr>
      <w:fldChar w:fldCharType="begin"/>
    </w:r>
    <w:r>
      <w:rPr>
        <w:rStyle w:val="Oldalszm"/>
      </w:rPr>
      <w:instrText xml:space="preserve">PAGE  </w:instrText>
    </w:r>
    <w:r>
      <w:rPr>
        <w:rStyle w:val="Oldalszm"/>
      </w:rPr>
      <w:fldChar w:fldCharType="separate"/>
    </w:r>
    <w:r w:rsidR="009D3208">
      <w:rPr>
        <w:rStyle w:val="Oldalszm"/>
        <w:noProof/>
      </w:rPr>
      <w:t>21</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4113" w14:textId="77777777" w:rsidR="00A50AE4" w:rsidRDefault="00A50AE4" w:rsidP="00D10772">
      <w:r>
        <w:separator/>
      </w:r>
    </w:p>
  </w:footnote>
  <w:footnote w:type="continuationSeparator" w:id="0">
    <w:p w14:paraId="092DDD83" w14:textId="77777777" w:rsidR="00A50AE4" w:rsidRDefault="00A50AE4" w:rsidP="00D10772">
      <w:r>
        <w:continuationSeparator/>
      </w:r>
    </w:p>
  </w:footnote>
  <w:footnote w:type="continuationNotice" w:id="1">
    <w:p w14:paraId="38F9286E" w14:textId="77777777" w:rsidR="00A50AE4" w:rsidRDefault="00A50AE4">
      <w:pPr>
        <w:spacing w:after="0"/>
      </w:pPr>
    </w:p>
  </w:footnote>
  <w:footnote w:id="2">
    <w:p w14:paraId="66B15AB7" w14:textId="77777777" w:rsidR="00A50AE4" w:rsidRPr="00D45130" w:rsidRDefault="00A50AE4" w:rsidP="00D10772">
      <w:pPr>
        <w:pStyle w:val="Lbjegyzetszveg"/>
        <w:rPr>
          <w:lang w:val="hu-HU"/>
        </w:rPr>
      </w:pPr>
      <w:r>
        <w:rPr>
          <w:rStyle w:val="Lbjegyzet-hivatkozs"/>
        </w:rPr>
        <w:footnoteRef/>
      </w:r>
      <w:r>
        <w:t xml:space="preserve"> Bár jogszabályi előírás nem kötelezi az intézményeket az ILAAP lefolytatására, az egyre terjedő nemzetközi jó gyakorlatoknak megfelelően bizonyos intézményi körben az MNB is elvárja az alkalmazását.</w:t>
      </w:r>
    </w:p>
  </w:footnote>
  <w:footnote w:id="3">
    <w:p w14:paraId="23FCEC4B" w14:textId="47781701" w:rsidR="00A50AE4" w:rsidRPr="00EC7392" w:rsidRDefault="00A50AE4" w:rsidP="00745F2B">
      <w:pPr>
        <w:pStyle w:val="Lbjegyzetszveg"/>
        <w:rPr>
          <w:lang w:val="hu-HU"/>
        </w:rPr>
      </w:pPr>
      <w:r>
        <w:rPr>
          <w:rStyle w:val="Lbjegyzet-hivatkozs"/>
        </w:rPr>
        <w:footnoteRef/>
      </w:r>
      <w:r>
        <w:t xml:space="preserve"> </w:t>
      </w:r>
      <w:r>
        <w:rPr>
          <w:lang w:val="hu-HU"/>
        </w:rPr>
        <w:t>Guidelines on common procedures and methodologies for the supervisory review and evaluation process (SREP), EBA/GL/2014/13</w:t>
      </w:r>
    </w:p>
  </w:footnote>
  <w:footnote w:id="4">
    <w:p w14:paraId="66B15AB9" w14:textId="2D7C7838" w:rsidR="00A50AE4" w:rsidRPr="00C53018" w:rsidRDefault="00A50AE4" w:rsidP="006561DB">
      <w:pPr>
        <w:pStyle w:val="Lbjegyzetszveg"/>
      </w:pPr>
      <w:r w:rsidRPr="0007489D">
        <w:rPr>
          <w:rStyle w:val="Lbjegyzet-hivatkozs"/>
        </w:rPr>
        <w:footnoteRef/>
      </w:r>
      <w:r w:rsidRPr="0007489D">
        <w:t xml:space="preserve"> </w:t>
      </w:r>
      <w:r>
        <w:t>A</w:t>
      </w:r>
      <w:r>
        <w:rPr>
          <w:lang w:val="hu-HU"/>
        </w:rPr>
        <w:t xml:space="preserve"> kézikönyv</w:t>
      </w:r>
      <w:r w:rsidRPr="00C53018">
        <w:t xml:space="preserve"> elsősorban a CRD</w:t>
      </w:r>
      <w:r>
        <w:t xml:space="preserve"> </w:t>
      </w:r>
      <w:r w:rsidRPr="00C53018">
        <w:t>IV/CRR,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386514F6" w14:textId="77777777" w:rsidR="00A50AE4" w:rsidRPr="00DD12FB" w:rsidRDefault="00A50AE4" w:rsidP="00E334C4">
      <w:pPr>
        <w:pStyle w:val="Lbjegyzetszveg"/>
      </w:pPr>
      <w:r w:rsidRPr="00DD12FB">
        <w:rPr>
          <w:rStyle w:val="Lbjegyzet-hivatkozs"/>
        </w:rPr>
        <w:footnoteRef/>
      </w:r>
      <w:r w:rsidRPr="00DD12FB">
        <w:t xml:space="preserve"> 2013/36/EK 97-101. cikk</w:t>
      </w:r>
    </w:p>
  </w:footnote>
  <w:footnote w:id="6">
    <w:p w14:paraId="66B15ABA" w14:textId="2DF1A8DA" w:rsidR="00A50AE4" w:rsidRPr="00A72DD3" w:rsidRDefault="00A50AE4" w:rsidP="00D10772">
      <w:pPr>
        <w:pStyle w:val="Lbjegyzetszveg"/>
        <w:rPr>
          <w:lang w:val="hu-HU"/>
        </w:rPr>
      </w:pPr>
      <w:r w:rsidRPr="00C53018">
        <w:rPr>
          <w:rStyle w:val="Lbjegyzet-hivatkozs"/>
        </w:rPr>
        <w:footnoteRef/>
      </w:r>
      <w:r w:rsidRPr="00C53018">
        <w:t xml:space="preserve"> </w:t>
      </w:r>
      <w:r>
        <w:rPr>
          <w:lang w:val="hu-HU"/>
        </w:rPr>
        <w:t>CRD IV 73. cikke</w:t>
      </w:r>
    </w:p>
  </w:footnote>
  <w:footnote w:id="7">
    <w:p w14:paraId="66B15ABC" w14:textId="77777777" w:rsidR="00A50AE4" w:rsidRPr="00AA6587" w:rsidRDefault="00A50AE4" w:rsidP="00D10772">
      <w:pPr>
        <w:pStyle w:val="Lbjegyzetszveg"/>
      </w:pPr>
      <w:r>
        <w:rPr>
          <w:rStyle w:val="Lbjegyzet-hivatkozs"/>
        </w:rPr>
        <w:footnoteRef/>
      </w:r>
      <w:r>
        <w:t xml:space="preserve"> A működési kockázatok esetében mind a várt, mind a nem várt veszteségekre is fedezetet kell nyújtania a tőkének</w:t>
      </w:r>
    </w:p>
  </w:footnote>
  <w:footnote w:id="8">
    <w:p w14:paraId="66B15ABD" w14:textId="0B4C1B4C" w:rsidR="00A50AE4" w:rsidRPr="009213D4" w:rsidRDefault="00A50AE4" w:rsidP="00D10772">
      <w:pPr>
        <w:pStyle w:val="Lbjegyzetszveg"/>
      </w:pPr>
      <w:r w:rsidRPr="009213D4">
        <w:rPr>
          <w:rStyle w:val="Lbjegyzet-hivatkozs"/>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A50AE4" w:rsidRPr="0050673C" w:rsidRDefault="00A50AE4" w:rsidP="00D10772">
      <w:pPr>
        <w:pStyle w:val="Lbjegyzetszveg"/>
        <w:rPr>
          <w:lang w:val="hu-HU"/>
        </w:rPr>
      </w:pPr>
      <w:r w:rsidRPr="00A4708A">
        <w:rPr>
          <w:rStyle w:val="Lbjegyzet-hivatkozs"/>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A50AE4" w:rsidRPr="00BF02D0" w:rsidRDefault="00A50AE4">
      <w:pPr>
        <w:pStyle w:val="Lbjegyzetszveg"/>
        <w:rPr>
          <w:lang w:val="hu-HU"/>
        </w:rPr>
      </w:pPr>
      <w:r>
        <w:rPr>
          <w:rStyle w:val="Lbjegyzet-hivatkozs"/>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A50AE4" w:rsidRPr="00CF5BB5" w:rsidRDefault="00A50AE4" w:rsidP="00D10772">
      <w:pPr>
        <w:pStyle w:val="Lbjegyzetszveg"/>
      </w:pPr>
      <w:r w:rsidRPr="00CF5BB5">
        <w:rPr>
          <w:rStyle w:val="Lbjegyzet-hivatkozs"/>
        </w:rPr>
        <w:footnoteRef/>
      </w:r>
      <w:r w:rsidRPr="00CF5BB5">
        <w:t xml:space="preserve"> A továbbiakban az 1. pillér és a szabályozói pillér megjelöléseket szinonimaként használjuk. </w:t>
      </w:r>
    </w:p>
  </w:footnote>
  <w:footnote w:id="12">
    <w:p w14:paraId="66B15AC3" w14:textId="77777777" w:rsidR="00A50AE4" w:rsidRPr="00191CF3" w:rsidRDefault="00A50AE4" w:rsidP="00D10772">
      <w:pPr>
        <w:pStyle w:val="Lbjegyzetszveg"/>
      </w:pPr>
      <w:r w:rsidRPr="00191CF3">
        <w:rPr>
          <w:rStyle w:val="Lbjegyzet-hivatkozs"/>
        </w:rPr>
        <w:footnoteRef/>
      </w:r>
      <w:r w:rsidRPr="00191CF3">
        <w:t xml:space="preserve"> Az MFB és az Eximbank nem tartozik a </w:t>
      </w:r>
      <w:r>
        <w:t>CRD IV</w:t>
      </w:r>
      <w:r w:rsidRPr="00191CF3">
        <w:t>/CRR hatálya alá, rájuk az ICAAP</w:t>
      </w:r>
      <w:r>
        <w:t xml:space="preserve">, </w:t>
      </w:r>
      <w:r w:rsidRPr="00191CF3">
        <w:t xml:space="preserve">ILAAP és </w:t>
      </w:r>
      <w:r>
        <w:t>a felügyeleti felülvizsgálati</w:t>
      </w:r>
      <w:r w:rsidRPr="00191CF3">
        <w:t xml:space="preserve"> folyamat sem értelmezhető.</w:t>
      </w:r>
    </w:p>
  </w:footnote>
  <w:footnote w:id="13">
    <w:p w14:paraId="66B15AC4" w14:textId="77777777" w:rsidR="00A50AE4" w:rsidRPr="00DF4A39" w:rsidRDefault="00A50AE4" w:rsidP="00D10772">
      <w:pPr>
        <w:rPr>
          <w:rStyle w:val="LbjegyzetszvegChar"/>
        </w:rPr>
      </w:pPr>
      <w:r w:rsidRPr="003023ED">
        <w:rPr>
          <w:rStyle w:val="Lbjegyzet-hivatkozs"/>
          <w:sz w:val="16"/>
          <w:szCs w:val="16"/>
        </w:rPr>
        <w:footnoteRef/>
      </w:r>
      <w:r w:rsidRPr="003023ED">
        <w:t xml:space="preserve"> </w:t>
      </w:r>
      <w:r w:rsidRPr="00DF4A39">
        <w:rPr>
          <w:rStyle w:val="LbjegyzetszvegChar"/>
        </w:rPr>
        <w:t>Ha az anyavállalat nem-EU országban (harmadik országban) bejegyzett, akkor a Hpt. 174. § (5)-(7), illetőleg a Bszt. 161/B. § (5)-(7) szerint kell eljárni.</w:t>
      </w:r>
    </w:p>
  </w:footnote>
  <w:footnote w:id="14">
    <w:p w14:paraId="66B15AC7" w14:textId="77777777" w:rsidR="00A50AE4" w:rsidRPr="002E0E1C" w:rsidRDefault="00A50AE4" w:rsidP="00D10772">
      <w:pPr>
        <w:pStyle w:val="Lbjegyzetszveg"/>
      </w:pPr>
      <w:r w:rsidRPr="002E0E1C">
        <w:rPr>
          <w:rStyle w:val="Lbjegyzet-hivatkozs"/>
        </w:rPr>
        <w:footnoteRef/>
      </w:r>
      <w:r w:rsidRPr="002E0E1C">
        <w:t xml:space="preserve"> 2013. évi CXXXIX. törvény a Magyar Nemzeti Bankról</w:t>
      </w:r>
    </w:p>
  </w:footnote>
  <w:footnote w:id="15">
    <w:p w14:paraId="1B296567" w14:textId="23890972" w:rsidR="00A50AE4" w:rsidRPr="0050673C" w:rsidRDefault="00A50AE4">
      <w:pPr>
        <w:pStyle w:val="Lbjegyzetszveg"/>
        <w:rPr>
          <w:lang w:val="hu-HU"/>
        </w:rPr>
      </w:pPr>
      <w:r>
        <w:rPr>
          <w:rStyle w:val="Lbjegyzet-hivatkozs"/>
        </w:rPr>
        <w:footnoteRef/>
      </w:r>
      <w:r>
        <w:t xml:space="preserve"> </w:t>
      </w:r>
      <w:r w:rsidRPr="00561A6B">
        <w:t>Az ebben a fejezetben ismertetett eljárások a sztenderd ICAAP felülvizsgálatra az arányossági szempontok figyelembevételével értelmezendőek, ahol pedig eltérés van a komplex és a sztenderd felügyeleti felülvizsgálat gyakorlatában, ott azt külön jelezzük. Az egyszerűsített felügyeleti felülvizsgálati folyamatot külön fejezet mutatja be.</w:t>
      </w:r>
    </w:p>
  </w:footnote>
  <w:footnote w:id="16">
    <w:p w14:paraId="72792A7C" w14:textId="4D76DF0A" w:rsidR="00A50AE4" w:rsidRPr="00E709C5" w:rsidRDefault="00A50AE4" w:rsidP="00D10772">
      <w:pPr>
        <w:pStyle w:val="Lbjegyzetszveg"/>
        <w:rPr>
          <w:lang w:val="hu-HU"/>
        </w:rPr>
      </w:pPr>
      <w:r>
        <w:rPr>
          <w:rStyle w:val="Lbjegyzet-hivatkozs"/>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7">
    <w:p w14:paraId="45B86207" w14:textId="312B85DB" w:rsidR="00A50AE4" w:rsidRPr="0050673C" w:rsidRDefault="00A50AE4">
      <w:pPr>
        <w:pStyle w:val="Lbjegyzetszveg"/>
        <w:rPr>
          <w:lang w:val="hu-HU"/>
        </w:rPr>
      </w:pPr>
      <w:r>
        <w:rPr>
          <w:rStyle w:val="Lbjegyzet-hivatkozs"/>
        </w:rPr>
        <w:footnoteRef/>
      </w:r>
      <w:r>
        <w:t xml:space="preserve"> </w:t>
      </w:r>
      <w:r>
        <w:rPr>
          <w:lang w:val="hu-HU"/>
        </w:rPr>
        <w:t>EBA/GL/2016/10 ajánlás</w:t>
      </w:r>
    </w:p>
  </w:footnote>
  <w:footnote w:id="18">
    <w:p w14:paraId="66B15ACA" w14:textId="77777777" w:rsidR="00A50AE4" w:rsidRDefault="00A50AE4" w:rsidP="00D10772">
      <w:pPr>
        <w:pStyle w:val="Lbjegyzetszveg"/>
      </w:pPr>
      <w:r>
        <w:rPr>
          <w:rStyle w:val="Lbjegyzet-hivatkozs"/>
        </w:rPr>
        <w:footnoteRef/>
      </w:r>
      <w:r>
        <w:t xml:space="preserve"> A Tőke fejezetben a SREP értékelő lap csatolásával.</w:t>
      </w:r>
    </w:p>
  </w:footnote>
  <w:footnote w:id="19">
    <w:p w14:paraId="66B15ACB" w14:textId="77777777" w:rsidR="00A50AE4" w:rsidRPr="00EC7392" w:rsidRDefault="00A50AE4" w:rsidP="008C22D5">
      <w:pPr>
        <w:rPr>
          <w:sz w:val="16"/>
          <w:szCs w:val="16"/>
          <w:lang w:val="x-none" w:eastAsia="x-none"/>
        </w:rPr>
      </w:pPr>
      <w:r>
        <w:rPr>
          <w:rStyle w:val="Lbjegyzet-hivatkozs"/>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A50AE4" w:rsidRPr="00EC7392" w:rsidRDefault="00A50AE4">
      <w:pPr>
        <w:pStyle w:val="Lbjegyzetszveg"/>
        <w:rPr>
          <w:lang w:val="hu-HU"/>
        </w:rPr>
      </w:pPr>
    </w:p>
  </w:footnote>
  <w:footnote w:id="20">
    <w:p w14:paraId="66B15ACD" w14:textId="77777777" w:rsidR="00A50AE4" w:rsidRDefault="00A50AE4" w:rsidP="00D10772">
      <w:pPr>
        <w:pStyle w:val="Lbjegyzetszveg"/>
      </w:pPr>
      <w:r>
        <w:rPr>
          <w:rStyle w:val="Lbjegyzet-hivatkozs"/>
        </w:rPr>
        <w:footnoteRef/>
      </w:r>
      <w:r>
        <w:t xml:space="preserve"> Kis és közepes intézmények esetében – az ilyen intézmények számosságára tekintettel – csak abban az esetben készül vizsgálati jelentés, ha a felügyeleti felülvizsgálat átfogó vizsgálat keretében valósul meg. </w:t>
      </w:r>
    </w:p>
  </w:footnote>
  <w:footnote w:id="21">
    <w:p w14:paraId="66B15ACE" w14:textId="77777777" w:rsidR="00A50AE4" w:rsidRPr="00AF0089" w:rsidRDefault="00A50AE4" w:rsidP="00AB47CB">
      <w:pPr>
        <w:pStyle w:val="Listaszerbekezds"/>
        <w:ind w:left="0"/>
        <w:rPr>
          <w:lang w:val="hu-HU"/>
        </w:rPr>
      </w:pPr>
      <w:r w:rsidRPr="00620AEB">
        <w:rPr>
          <w:rStyle w:val="LbjegyzetszvegChar"/>
          <w:vertAlign w:val="superscript"/>
        </w:rPr>
        <w:footnoteRef/>
      </w:r>
      <w:r w:rsidRPr="00620AEB">
        <w:rPr>
          <w:rStyle w:val="LbjegyzetszvegChar"/>
          <w:vertAlign w:val="superscript"/>
        </w:rPr>
        <w:t xml:space="preserve"> </w:t>
      </w:r>
      <w:r w:rsidRPr="00CA5D24">
        <w:rPr>
          <w:rStyle w:val="Lbjegyzetszveg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LbjegyzetszvegChar"/>
        </w:rPr>
        <w:t>gát haladéktalanul tájékoztatja</w:t>
      </w:r>
      <w:r>
        <w:rPr>
          <w:rStyle w:val="LbjegyzetszvegChar"/>
          <w:lang w:val="hu-HU"/>
        </w:rPr>
        <w:t>.</w:t>
      </w:r>
    </w:p>
  </w:footnote>
  <w:footnote w:id="22">
    <w:p w14:paraId="66B15ACF" w14:textId="77777777" w:rsidR="00A50AE4" w:rsidRPr="00F53223" w:rsidRDefault="00A50AE4" w:rsidP="00D10772">
      <w:pPr>
        <w:pStyle w:val="Lbjegyzetszveg"/>
      </w:pPr>
      <w:r>
        <w:rPr>
          <w:rStyle w:val="Lbjegyzet-hivatkozs"/>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3">
    <w:p w14:paraId="66B15AD0" w14:textId="77777777" w:rsidR="00A50AE4" w:rsidRPr="001839F4" w:rsidRDefault="00A50AE4" w:rsidP="00D10772">
      <w:pPr>
        <w:pStyle w:val="Lbjegyzetszveg"/>
      </w:pPr>
      <w:r w:rsidRPr="001839F4">
        <w:rPr>
          <w:rStyle w:val="Lbjegyzet-hivatkozs"/>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4">
    <w:p w14:paraId="66B15AD1" w14:textId="77777777" w:rsidR="00A50AE4" w:rsidRPr="00B10F85" w:rsidRDefault="00A50AE4" w:rsidP="00D10772">
      <w:pPr>
        <w:pStyle w:val="Lbjegyzetszveg"/>
      </w:pPr>
      <w:r w:rsidRPr="00B10F85">
        <w:rPr>
          <w:rStyle w:val="Lbjegyzet-hivatkozs"/>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5">
    <w:p w14:paraId="55F83DB5" w14:textId="77777777" w:rsidR="00A50AE4" w:rsidRPr="004028C0" w:rsidRDefault="00A50AE4" w:rsidP="00073510">
      <w:pPr>
        <w:pStyle w:val="Lbjegyzetszveg"/>
      </w:pPr>
      <w:r>
        <w:rPr>
          <w:rStyle w:val="Lbjegyzet-hivatkozs"/>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6">
    <w:p w14:paraId="66B15AD3" w14:textId="77777777" w:rsidR="00A50AE4" w:rsidRDefault="00A50AE4" w:rsidP="00D10772">
      <w:pPr>
        <w:pStyle w:val="Lbjegyzetszveg"/>
      </w:pPr>
      <w:r>
        <w:rPr>
          <w:rStyle w:val="Lbjegyzet-hivatkozs"/>
        </w:rPr>
        <w:footnoteRef/>
      </w:r>
      <w:r>
        <w:t xml:space="preserve"> A kitűzött terveket és tényeket megfelelő időközönként</w:t>
      </w:r>
      <w:r>
        <w:rPr>
          <w:lang w:val="hu-HU"/>
        </w:rPr>
        <w:t xml:space="preserve"> össze kell vetn</w:t>
      </w:r>
      <w:r>
        <w:t>i.</w:t>
      </w:r>
    </w:p>
  </w:footnote>
  <w:footnote w:id="27">
    <w:p w14:paraId="2D5FC1F9" w14:textId="77777777" w:rsidR="00A50AE4" w:rsidRPr="00C35EE6" w:rsidRDefault="00A50AE4" w:rsidP="00D10772">
      <w:pPr>
        <w:pStyle w:val="Lbjegyzetszveg"/>
      </w:pPr>
      <w:r w:rsidRPr="00C35EE6">
        <w:rPr>
          <w:rStyle w:val="Lbjegyzet-hivatkozs"/>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8">
    <w:p w14:paraId="66B15AD7" w14:textId="77777777" w:rsidR="00A50AE4" w:rsidRPr="00C35EE6" w:rsidRDefault="00A50AE4" w:rsidP="00D10772">
      <w:pPr>
        <w:pStyle w:val="Lbjegyzetszveg"/>
      </w:pPr>
      <w:r w:rsidRPr="00C35EE6">
        <w:rPr>
          <w:rStyle w:val="Lbjegyzet-hivatkozs"/>
        </w:rPr>
        <w:footnoteRef/>
      </w:r>
      <w:r w:rsidRPr="00C35EE6">
        <w:t xml:space="preserve"> Tulajdonképpen ezért nem fogadható el szabályozási célra</w:t>
      </w:r>
      <w:r>
        <w:rPr>
          <w:lang w:val="hu-HU"/>
        </w:rPr>
        <w:t xml:space="preserve"> (csak legfeljebb 2. pillérben)</w:t>
      </w:r>
      <w:r w:rsidRPr="00C35EE6">
        <w:t>.</w:t>
      </w:r>
    </w:p>
  </w:footnote>
  <w:footnote w:id="29">
    <w:p w14:paraId="66B15AD8" w14:textId="77777777" w:rsidR="00A50AE4" w:rsidRPr="00705E1D" w:rsidRDefault="00A50AE4" w:rsidP="00D10772">
      <w:pPr>
        <w:rPr>
          <w:rStyle w:val="LbjegyzetszvegChar"/>
        </w:rPr>
      </w:pPr>
      <w:r w:rsidRPr="00C35EE6">
        <w:rPr>
          <w:rStyle w:val="Lbjegyzet-hivatkozs"/>
          <w:sz w:val="16"/>
          <w:szCs w:val="16"/>
        </w:rPr>
        <w:footnoteRef/>
      </w:r>
      <w:r w:rsidRPr="00C35EE6">
        <w:t xml:space="preserve"> </w:t>
      </w:r>
      <w:r w:rsidRPr="00705E1D">
        <w:rPr>
          <w:rStyle w:val="Lbjegyzetszveg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30">
    <w:p w14:paraId="66B15AD9" w14:textId="77777777" w:rsidR="00A50AE4" w:rsidRPr="0084556F" w:rsidRDefault="00A50AE4" w:rsidP="00D10772">
      <w:pPr>
        <w:pStyle w:val="Lbjegyzetszveg"/>
      </w:pPr>
      <w:r w:rsidRPr="0084556F">
        <w:rPr>
          <w:rStyle w:val="Lbjegyzet-hivatkozs"/>
        </w:rPr>
        <w:footnoteRef/>
      </w:r>
      <w:r w:rsidRPr="0084556F">
        <w:t xml:space="preserve"> A szakirodalom a feltételes, rövid távú nemteljesítési valószínűséget gyakran PIT (</w:t>
      </w:r>
      <w:r w:rsidRPr="0084556F">
        <w:rPr>
          <w:i/>
        </w:rPr>
        <w:t>point-in-time</w:t>
      </w:r>
      <w:r w:rsidRPr="0084556F">
        <w:t>) PD-nek nevezi, szemben a hosszú távú, átlagos TTC (</w:t>
      </w:r>
      <w:r w:rsidRPr="0084556F">
        <w:rPr>
          <w:i/>
        </w:rPr>
        <w:t>through-the-cycle</w:t>
      </w:r>
      <w:r w:rsidRPr="0084556F">
        <w:t xml:space="preserve">) PD-vel. </w:t>
      </w:r>
    </w:p>
  </w:footnote>
  <w:footnote w:id="31">
    <w:p w14:paraId="66B15ADA" w14:textId="77777777" w:rsidR="00A50AE4" w:rsidRPr="00636B53" w:rsidRDefault="00A50AE4">
      <w:pPr>
        <w:pStyle w:val="Lbjegyzetszveg"/>
        <w:rPr>
          <w:lang w:val="hu-HU"/>
        </w:rPr>
      </w:pPr>
      <w:r w:rsidRPr="000A6A50">
        <w:rPr>
          <w:rStyle w:val="Lbjegyzet-hivatkozs"/>
        </w:rPr>
        <w:footnoteRef/>
      </w:r>
      <w:r w:rsidRPr="00C6548F">
        <w:t xml:space="preserve"> </w:t>
      </w:r>
      <w:r w:rsidRPr="00CD03A9">
        <w:rPr>
          <w:lang w:val="hu-HU"/>
        </w:rPr>
        <w:t>Az EBA ajánlást fog kiadni a CRR szerinti nemteljesítési definíció megfelelő alkalmazása érdekében.</w:t>
      </w:r>
      <w:r>
        <w:rPr>
          <w:lang w:val="hu-HU"/>
        </w:rPr>
        <w:t xml:space="preserve"> </w:t>
      </w:r>
    </w:p>
  </w:footnote>
  <w:footnote w:id="32">
    <w:p w14:paraId="23649F37" w14:textId="7EB4E30E" w:rsidR="00A50AE4" w:rsidRPr="0050673C" w:rsidRDefault="00A50AE4">
      <w:pPr>
        <w:pStyle w:val="Lbjegyzetszveg"/>
        <w:rPr>
          <w:lang w:val="hu-HU"/>
        </w:rPr>
      </w:pPr>
      <w:r>
        <w:rPr>
          <w:rStyle w:val="Lbjegyzet-hivatkozs"/>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3">
    <w:p w14:paraId="158DF35C" w14:textId="5D39030A" w:rsidR="00A50AE4" w:rsidRPr="0050673C" w:rsidRDefault="00A50AE4">
      <w:pPr>
        <w:pStyle w:val="Lbjegyzetszveg"/>
        <w:rPr>
          <w:lang w:val="hu-HU"/>
        </w:rPr>
      </w:pPr>
      <w:r>
        <w:rPr>
          <w:rStyle w:val="Lbjegyzet-hivatkozs"/>
        </w:rPr>
        <w:footnoteRef/>
      </w:r>
      <w:r>
        <w:t xml:space="preserve"> </w:t>
      </w:r>
      <w:r>
        <w:rPr>
          <w:lang w:val="hu-HU"/>
        </w:rPr>
        <w:t>likely range of variability of default rates</w:t>
      </w:r>
    </w:p>
  </w:footnote>
  <w:footnote w:id="34">
    <w:p w14:paraId="4B7A9382" w14:textId="790066ED" w:rsidR="00A50AE4" w:rsidRPr="0050673C" w:rsidRDefault="00A50AE4">
      <w:pPr>
        <w:pStyle w:val="Lbjegyzetszveg"/>
        <w:rPr>
          <w:lang w:val="hu-HU"/>
        </w:rPr>
      </w:pPr>
      <w:r>
        <w:rPr>
          <w:rStyle w:val="Lbjegyzet-hivatkozs"/>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35">
    <w:p w14:paraId="66B15ADB" w14:textId="77777777" w:rsidR="00A50AE4" w:rsidRPr="00635DA9" w:rsidRDefault="00A50AE4" w:rsidP="00D10772">
      <w:pPr>
        <w:pStyle w:val="Lbjegyzetszveg"/>
      </w:pPr>
      <w:r w:rsidRPr="00635DA9">
        <w:rPr>
          <w:rStyle w:val="Lbjegyzet-hivatkozs"/>
        </w:rPr>
        <w:footnoteRef/>
      </w:r>
      <w:r w:rsidRPr="00635DA9">
        <w:t xml:space="preserve"> A tőkeszámítás során az LGD-t érintő korrekció hiányával összhangban indokolt lehet a bemeneti PD-k arányos csökkentése.    </w:t>
      </w:r>
    </w:p>
  </w:footnote>
  <w:footnote w:id="36">
    <w:p w14:paraId="66B15ADC" w14:textId="77777777" w:rsidR="00A50AE4" w:rsidRPr="00635DA9" w:rsidRDefault="00A50AE4" w:rsidP="00B93A43">
      <w:pPr>
        <w:pStyle w:val="Lbjegyzetszveg"/>
      </w:pPr>
      <w:r w:rsidRPr="00635DA9">
        <w:rPr>
          <w:rStyle w:val="Lbjegyzet-hivatkozs"/>
        </w:rPr>
        <w:footnoteRef/>
      </w:r>
      <w:r w:rsidRPr="00635DA9">
        <w:t xml:space="preserve"> Lásd a 2013. évi CCXXXVII. törvény (Hpt.) 84. §-ának és 250/2000. (XII.24.) Kormányrendelet VI. fejezetének vonatkozó rendelkezéseit.  </w:t>
      </w:r>
    </w:p>
  </w:footnote>
  <w:footnote w:id="37">
    <w:p w14:paraId="109B166F" w14:textId="07B0AA49" w:rsidR="00A50AE4" w:rsidRPr="007E4E5B" w:rsidRDefault="00A50AE4">
      <w:pPr>
        <w:pStyle w:val="Lbjegyzetszveg"/>
        <w:rPr>
          <w:lang w:val="hu-HU"/>
        </w:rPr>
      </w:pPr>
      <w:r>
        <w:rPr>
          <w:rStyle w:val="Lbjegyzet-hivatkozs"/>
        </w:rPr>
        <w:footnoteRef/>
      </w:r>
      <w:r>
        <w:t xml:space="preserve"> </w:t>
      </w:r>
      <w:r>
        <w:rPr>
          <w:lang w:val="hu-HU"/>
        </w:rPr>
        <w:t>CRR-ben meghatározott alap IRB módszerre vonatkozó LGD értékek</w:t>
      </w:r>
    </w:p>
  </w:footnote>
  <w:footnote w:id="38">
    <w:p w14:paraId="4DA128BA" w14:textId="77777777" w:rsidR="00A50AE4" w:rsidRPr="0050673C" w:rsidRDefault="00A50AE4">
      <w:pPr>
        <w:pStyle w:val="Lbjegyzetszveg"/>
        <w:rPr>
          <w:lang w:val="hu-HU"/>
        </w:rPr>
      </w:pPr>
      <w:r>
        <w:rPr>
          <w:rStyle w:val="Lbjegyzet-hivatkozs"/>
        </w:rPr>
        <w:footnoteRef/>
      </w:r>
      <w:r>
        <w:t xml:space="preserve"> </w:t>
      </w:r>
      <w:r>
        <w:rPr>
          <w:lang w:val="hu-HU"/>
        </w:rPr>
        <w:t>A CRR rendelkezéseinek értelmezését segíti Seregdi László: A szavatoló tőke szerepe a hitelintézetek prudenciális szabályozásában című anyaga.</w:t>
      </w:r>
    </w:p>
  </w:footnote>
  <w:footnote w:id="39">
    <w:p w14:paraId="66B15ADF" w14:textId="77777777" w:rsidR="00A50AE4" w:rsidRPr="004E14D2" w:rsidRDefault="00A50AE4" w:rsidP="00D10772">
      <w:pPr>
        <w:pStyle w:val="Lbjegyzetszveg"/>
      </w:pPr>
      <w:r>
        <w:rPr>
          <w:rStyle w:val="Lbjegyzet-hivatkozs"/>
        </w:rPr>
        <w:footnoteRef/>
      </w:r>
      <w:r>
        <w:t xml:space="preserve"> A szegmentációt illetően a CRR-t tartjuk itt is irányadónak. </w:t>
      </w:r>
    </w:p>
  </w:footnote>
  <w:footnote w:id="40">
    <w:p w14:paraId="40EBF8B6" w14:textId="32DA444F" w:rsidR="00A50AE4" w:rsidRPr="0050673C" w:rsidRDefault="00A50AE4">
      <w:pPr>
        <w:pStyle w:val="Lbjegyzetszveg"/>
        <w:rPr>
          <w:lang w:val="hu-HU"/>
        </w:rPr>
      </w:pPr>
      <w:r>
        <w:rPr>
          <w:rStyle w:val="Lbjegyzet-hivatkozs"/>
        </w:rPr>
        <w:footnoteRef/>
      </w:r>
      <w:r>
        <w:t xml:space="preserve"> </w:t>
      </w:r>
      <w:r>
        <w:rPr>
          <w:lang w:val="hu-HU"/>
        </w:rPr>
        <w:t>A CRR jelenleg érvényben lévő előírásai szerint a CVA kitettség számításakor mind az ügylet, mind az ügyfél tipusok tekintetében szűkített, (kivételeket tartalmazó) hatály alkalmazandó.</w:t>
      </w:r>
    </w:p>
  </w:footnote>
  <w:footnote w:id="41">
    <w:p w14:paraId="66B15AE0" w14:textId="77777777" w:rsidR="00A50AE4" w:rsidRPr="00173EDD" w:rsidRDefault="00A50AE4" w:rsidP="00A542B6">
      <w:pPr>
        <w:autoSpaceDE w:val="0"/>
        <w:autoSpaceDN w:val="0"/>
        <w:adjustRightInd w:val="0"/>
        <w:spacing w:after="0"/>
        <w:jc w:val="left"/>
        <w:rPr>
          <w:sz w:val="16"/>
          <w:szCs w:val="16"/>
        </w:rPr>
      </w:pPr>
      <w:r w:rsidRPr="00173EDD">
        <w:rPr>
          <w:rStyle w:val="Lbjegyzet-hivatkozs"/>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42">
    <w:p w14:paraId="24A94C0E" w14:textId="044BC16F" w:rsidR="00A50AE4" w:rsidRPr="0050673C" w:rsidRDefault="00A50AE4">
      <w:pPr>
        <w:pStyle w:val="Lbjegyzetszveg"/>
        <w:rPr>
          <w:lang w:val="hu-HU"/>
        </w:rPr>
      </w:pPr>
      <w:r>
        <w:rPr>
          <w:rStyle w:val="Lbjegyzet-hivatkozs"/>
        </w:rPr>
        <w:footnoteRef/>
      </w:r>
      <w:r>
        <w:t xml:space="preserve"> </w:t>
      </w:r>
      <w:r>
        <w:rPr>
          <w:lang w:val="hu-HU"/>
        </w:rPr>
        <w:t xml:space="preserve">A fedezettel nem rendelkező kölcsönfelvevőknek történő devizahitelezéssel kapcsolatban a felügyeleti felülvizsgálati és értékelési eljárás keretében hozott tőkeintézkedésekről szóló EBA iránymutatás, EBA/GL/2013/02 </w:t>
      </w:r>
    </w:p>
  </w:footnote>
  <w:footnote w:id="43">
    <w:p w14:paraId="3ABFBC8D" w14:textId="4690C37E" w:rsidR="00A50AE4" w:rsidRPr="0050673C" w:rsidRDefault="00A50AE4">
      <w:pPr>
        <w:pStyle w:val="Lbjegyzetszveg"/>
        <w:rPr>
          <w:lang w:val="hu-HU"/>
        </w:rPr>
      </w:pPr>
      <w:r>
        <w:rPr>
          <w:rStyle w:val="Lbjegyzet-hivatkozs"/>
        </w:rPr>
        <w:footnoteRef/>
      </w:r>
      <w:r>
        <w:t xml:space="preserve"> </w:t>
      </w:r>
      <w:r>
        <w:rPr>
          <w:lang w:val="hu-HU"/>
        </w:rPr>
        <w:t>Összhangban a CRR 181. cikk (1) bekezdés c) pontjával.</w:t>
      </w:r>
    </w:p>
  </w:footnote>
  <w:footnote w:id="44">
    <w:p w14:paraId="66B15AE1" w14:textId="77777777" w:rsidR="00A50AE4" w:rsidRPr="00BE4137" w:rsidRDefault="00A50AE4" w:rsidP="003F7941">
      <w:pPr>
        <w:pStyle w:val="Lbjegyzetszveg"/>
      </w:pPr>
      <w:r w:rsidRPr="00D95F90">
        <w:rPr>
          <w:rStyle w:val="Lbjegyzet-hivatkozs"/>
        </w:rPr>
        <w:footnoteRef/>
      </w:r>
      <w:r w:rsidRPr="00D95F90">
        <w:t xml:space="preserve"> A</w:t>
      </w:r>
      <w:r w:rsidRPr="00D95F90">
        <w:rPr>
          <w:lang w:val="hu-HU"/>
        </w:rPr>
        <w:t xml:space="preserve"> CEBS GL 03 szerint </w:t>
      </w:r>
      <w:r w:rsidRPr="00D95F90">
        <w:t>elszámolási kockázat (settlement risk) az a kockázat, amely abból ered, hogy míg a hitelintézet (befektetési szolgáltató) teljesíti szállítási, illetve fizetési kötelezettségét, nem kapja meg a várt módon a partnertől az ellenértéket</w:t>
      </w:r>
      <w:r w:rsidRPr="00D95F90">
        <w:rPr>
          <w:szCs w:val="24"/>
        </w:rPr>
        <w:t>.</w:t>
      </w:r>
    </w:p>
  </w:footnote>
  <w:footnote w:id="45">
    <w:p w14:paraId="66B15AE2" w14:textId="77777777" w:rsidR="00A50AE4" w:rsidRPr="00BE4137" w:rsidRDefault="00A50AE4" w:rsidP="003F7941">
      <w:pPr>
        <w:pStyle w:val="Lbjegyzetszveg"/>
      </w:pPr>
      <w:r w:rsidRPr="00DA4686">
        <w:rPr>
          <w:rStyle w:val="Lbjegyzet-hivatkozs"/>
        </w:rPr>
        <w:footnoteRef/>
      </w:r>
      <w:r w:rsidRPr="00BE4137">
        <w:t xml:space="preserve"> Az értékpapír-elszámolásokhoz kapcsolódóan piaci szereplők különböző mértékű kockázatot vállalnak attól függően, hogy az adott ügylet elszámolása garantált-e (CCP részvételével zajlik), milyen módon kerül elszámolásra, illetve hogy hány piacot, elszámolási rendszert érint. A cross-border, illetve multi-market értékpapír elszámolások – különösen a rendszerek interoperabilitásának hiányából fakadó – nehézségei fokozott kockázatot rejtenek magukban, s a letétkezelői láncolatok is a pótlási költség és a likviditási kockázat relevanciájára hívja fel a figyelmet. </w:t>
      </w:r>
    </w:p>
  </w:footnote>
  <w:footnote w:id="46">
    <w:p w14:paraId="66B15AE3" w14:textId="77777777" w:rsidR="00A50AE4" w:rsidRPr="00B620E2" w:rsidRDefault="00A50AE4" w:rsidP="003F7941">
      <w:pPr>
        <w:pStyle w:val="Lbjegyzetszveg"/>
      </w:pPr>
      <w:r w:rsidRPr="00B620E2">
        <w:rPr>
          <w:rStyle w:val="Lbjegyzet-hivatkozs"/>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47">
    <w:p w14:paraId="1D9F1EDD" w14:textId="77777777" w:rsidR="00A50AE4" w:rsidRPr="00D04451" w:rsidRDefault="00A50AE4" w:rsidP="00FA0F8F">
      <w:pPr>
        <w:pStyle w:val="Lbjegyzetszveg"/>
        <w:rPr>
          <w:lang w:val="hu-HU"/>
        </w:rPr>
      </w:pPr>
      <w:r>
        <w:rPr>
          <w:rStyle w:val="Lbjegyzet-hivatkozs"/>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48">
    <w:p w14:paraId="66B15AE4" w14:textId="77777777" w:rsidR="00A50AE4" w:rsidRDefault="00A50AE4" w:rsidP="003F7941">
      <w:pPr>
        <w:pStyle w:val="Lbjegyzetszveg"/>
      </w:pPr>
      <w:r>
        <w:rPr>
          <w:rStyle w:val="Lbjegyzet-hivatkozs"/>
        </w:rPr>
        <w:footnoteRef/>
      </w:r>
      <w:r>
        <w:t xml:space="preserve"> Az elszámolóházak nemteljesítések (késedelmes teljesítések) esetén az elszámolások (elszámolási rendszer) biztonsága,</w:t>
      </w:r>
      <w:r w:rsidRPr="00B3353B">
        <w:t xml:space="preserve"> </w:t>
      </w:r>
      <w:r>
        <w:t>a határidőben nem teljesített ügylet mielőbbi elszámolása-teljesítése érdekében rásegítő mechanizmusokat alkalmaznak. A KELER háromlépcsős rásegítő mechanizmust alkalmaz; (1) ha a nemteljesítés megbízói alszámlán következett be, a KELER a befektetési szolgáltató saját alszámlájáról átvezeti a nemteljesített értékpapírt/értékpapírokat; (2) a KELER a központi értékpapír-kölcsönzési rendszeren keresztül megkísérli megszerezni a szükséges értékpapírt/értékpapírokat; (3) örökített korrekciós DVP ügyletet hoz létre a nemteljesítővel és a vétlen féllel.</w:t>
      </w:r>
    </w:p>
  </w:footnote>
  <w:footnote w:id="49">
    <w:p w14:paraId="66B15AE5" w14:textId="77777777" w:rsidR="00A50AE4" w:rsidRPr="00E0473C" w:rsidRDefault="00A50AE4" w:rsidP="003F7941">
      <w:pPr>
        <w:pStyle w:val="Lbjegyzetszveg"/>
        <w:rPr>
          <w:lang w:val="hu-HU"/>
        </w:rPr>
      </w:pPr>
      <w:r>
        <w:rPr>
          <w:rStyle w:val="Lbjegyzet-hivatkozs"/>
        </w:rPr>
        <w:footnoteRef/>
      </w:r>
      <w:r>
        <w:t xml:space="preserve"> A KELER pénz-, illetve értékpapír-oldali nemteljesítés esetén alkalmazott eljárásáról részletesen lásd a KELER Általános Üzletszabályzatát</w:t>
      </w:r>
      <w:r>
        <w:rPr>
          <w:lang w:val="hu-HU"/>
        </w:rPr>
        <w:t>.</w:t>
      </w:r>
    </w:p>
  </w:footnote>
  <w:footnote w:id="50">
    <w:p w14:paraId="66B15AE6" w14:textId="77777777" w:rsidR="00A50AE4" w:rsidRDefault="00A50AE4" w:rsidP="003F7941">
      <w:pPr>
        <w:pStyle w:val="Lbjegyzetszveg"/>
      </w:pPr>
      <w:r>
        <w:rPr>
          <w:rStyle w:val="Lbjegyzet-hivatkozs"/>
        </w:rPr>
        <w:footnoteRef/>
      </w:r>
      <w:r>
        <w:t xml:space="preserve"> Elméleti szempontból ezen túlmenően elfogadhatónak tartja az MNB az elszámolási kockázat működési kockázati veszteségesemények alapján történő azonosítását és számszerűsítését is, azonban minden esetben elvárja a veszteséget kiváltó mögöttes hitelkockázati és piaci tényezők vizsgálatát is. </w:t>
      </w:r>
    </w:p>
  </w:footnote>
  <w:footnote w:id="51">
    <w:p w14:paraId="66B15AE7" w14:textId="44AD5D6E" w:rsidR="00A50AE4" w:rsidRPr="0050673C" w:rsidRDefault="00A50AE4" w:rsidP="00D04A5F">
      <w:pPr>
        <w:pStyle w:val="Lbjegyzetszveg"/>
        <w:rPr>
          <w:lang w:val="hu-HU"/>
        </w:rPr>
      </w:pPr>
      <w:r>
        <w:rPr>
          <w:rStyle w:val="Lbjegyzet-hivatkozs"/>
        </w:rPr>
        <w:footnoteRef/>
      </w:r>
      <w:r>
        <w:t xml:space="preserve"> Az értékpapírosítás témakörével a CRR 5. fejezete,</w:t>
      </w:r>
      <w:r>
        <w:rPr>
          <w:lang w:val="hu-HU"/>
        </w:rPr>
        <w:t xml:space="preserve"> </w:t>
      </w:r>
      <w:r>
        <w:t>a kapcsolódó másodszintű jogszabályok, illetve az EBA által kiadott iránymutatások foglalkoznak részletesen, valamint a CRD IV 82. cikke</w:t>
      </w:r>
      <w:r>
        <w:rPr>
          <w:lang w:val="hu-HU"/>
        </w:rPr>
        <w:t>, és az EBA SREP Ajánlás 155-157. bekezdései</w:t>
      </w:r>
    </w:p>
  </w:footnote>
  <w:footnote w:id="52">
    <w:p w14:paraId="60A15287" w14:textId="450D4AA4" w:rsidR="00A50AE4" w:rsidRPr="008847AC" w:rsidRDefault="00A50AE4">
      <w:pPr>
        <w:pStyle w:val="Lbjegyzetszveg"/>
        <w:rPr>
          <w:lang w:val="hu-HU"/>
        </w:rPr>
      </w:pPr>
      <w:r>
        <w:rPr>
          <w:rStyle w:val="Lbjegyzet-hivatkozs"/>
        </w:rPr>
        <w:footnoteRef/>
      </w:r>
      <w:r>
        <w:t xml:space="preserve"> </w:t>
      </w:r>
      <w:hyperlink r:id="rId2" w:history="1">
        <w:r w:rsidRPr="007445A2">
          <w:rPr>
            <w:rStyle w:val="Hiperhivatkozs"/>
          </w:rPr>
          <w:t>http://eur-lex.europa.eu/legal-content/EN/TXT/?uri=OJ:JOL_2015_263_R_0005</w:t>
        </w:r>
      </w:hyperlink>
      <w:r>
        <w:rPr>
          <w:lang w:val="hu-HU"/>
        </w:rPr>
        <w:t xml:space="preserve">; </w:t>
      </w:r>
      <w:r w:rsidRPr="00D72467">
        <w:t>http://eur-lex.europa.eu/legal-content/EN-HU/TXT/?uri=CELEX:32014R0602&amp;from=EN</w:t>
      </w:r>
    </w:p>
  </w:footnote>
  <w:footnote w:id="53">
    <w:p w14:paraId="66B15AE9" w14:textId="4D996F84" w:rsidR="00A50AE4" w:rsidRPr="00422DAB" w:rsidRDefault="00A50AE4" w:rsidP="0050673C">
      <w:r w:rsidRPr="00422DAB">
        <w:rPr>
          <w:rStyle w:val="Lbjegyzet-hivatkozs"/>
          <w:sz w:val="16"/>
          <w:szCs w:val="16"/>
        </w:rPr>
        <w:footnoteRef/>
      </w:r>
      <w:r w:rsidRPr="00422DAB">
        <w:rPr>
          <w:sz w:val="16"/>
          <w:szCs w:val="16"/>
        </w:rPr>
        <w:t xml:space="preserve"> </w:t>
      </w:r>
      <w:r w:rsidRPr="00422DAB">
        <w:rPr>
          <w:sz w:val="16"/>
          <w:szCs w:val="16"/>
          <w:lang w:val="x-none" w:eastAsia="x-none"/>
        </w:rPr>
        <w:t>A 2010. december 31-én megjelent, a CRD (2009/111/EK irányelv) 122a. cikkének alkalmazásáról szóló CEBS iránymutatások</w:t>
      </w:r>
      <w:r>
        <w:rPr>
          <w:sz w:val="16"/>
          <w:szCs w:val="16"/>
          <w:lang w:eastAsia="x-none"/>
        </w:rPr>
        <w:t>,</w:t>
      </w:r>
      <w:r w:rsidRPr="00422DAB">
        <w:rPr>
          <w:sz w:val="16"/>
          <w:szCs w:val="16"/>
          <w:lang w:val="x-none" w:eastAsia="x-none"/>
        </w:rPr>
        <w:t xml:space="preserve"> a 2014. júl. 7-én megjelent, CRR 243. és 244. cikkeiben meghatározott jelentős hitelkockázat átruházásáról szóló EBA iránymutatások (EBA/GL/2014/05) </w:t>
      </w:r>
      <w:r>
        <w:rPr>
          <w:sz w:val="16"/>
          <w:szCs w:val="16"/>
          <w:lang w:eastAsia="x-none"/>
        </w:rPr>
        <w:t xml:space="preserve">(melyek </w:t>
      </w:r>
      <w:r w:rsidRPr="00422DAB">
        <w:rPr>
          <w:sz w:val="16"/>
          <w:szCs w:val="16"/>
          <w:lang w:val="x-none" w:eastAsia="x-none"/>
        </w:rPr>
        <w:t xml:space="preserve">követelményeket határoznak meg azon kezdeményező intézmények számára, akik az értékpapírosított kitettségekhez tartozó jelentős mértékű hitelkockázatot harmadik félre kívánják átruházni, illetve </w:t>
      </w:r>
      <w:r>
        <w:rPr>
          <w:sz w:val="16"/>
          <w:szCs w:val="16"/>
          <w:lang w:eastAsia="x-none"/>
        </w:rPr>
        <w:t xml:space="preserve">- </w:t>
      </w:r>
      <w:r w:rsidRPr="00422DAB">
        <w:rPr>
          <w:sz w:val="16"/>
          <w:szCs w:val="16"/>
          <w:lang w:val="x-none" w:eastAsia="x-none"/>
        </w:rPr>
        <w:t>a CRR 243. cikk (4) bekezdése és a 244. cikk (4) bekezdésében meghatározottak szerint</w:t>
      </w:r>
      <w:r>
        <w:rPr>
          <w:sz w:val="16"/>
          <w:szCs w:val="16"/>
          <w:lang w:eastAsia="x-none"/>
        </w:rPr>
        <w:t xml:space="preserve"> - </w:t>
      </w:r>
      <w:r w:rsidRPr="00422DAB">
        <w:rPr>
          <w:sz w:val="16"/>
          <w:szCs w:val="16"/>
          <w:lang w:val="x-none" w:eastAsia="x-none"/>
        </w:rPr>
        <w:t>bizonyítani kívánják, hogy a szavatoló tőke követelmények csökkentését a hitelkockázat harmadik félre történő átruházása indokolja</w:t>
      </w:r>
      <w:r>
        <w:rPr>
          <w:sz w:val="16"/>
          <w:szCs w:val="16"/>
          <w:lang w:eastAsia="x-none"/>
        </w:rPr>
        <w:t>), valamint a 2016. november 24-én megjelent, az értékpapírosítási ügyletek burkolt támogatásáról szóló EBA iránymutatás (</w:t>
      </w:r>
      <w:r w:rsidRPr="00A373D2">
        <w:rPr>
          <w:sz w:val="16"/>
          <w:szCs w:val="16"/>
          <w:lang w:eastAsia="x-none"/>
        </w:rPr>
        <w:t>EBA/GL/2016/08</w:t>
      </w:r>
      <w:r>
        <w:rPr>
          <w:sz w:val="16"/>
          <w:szCs w:val="16"/>
          <w:lang w:eastAsia="x-none"/>
        </w:rPr>
        <w:t>)</w:t>
      </w:r>
      <w:r w:rsidRPr="00422DAB">
        <w:rPr>
          <w:sz w:val="16"/>
          <w:szCs w:val="16"/>
          <w:lang w:val="x-none" w:eastAsia="x-none"/>
        </w:rPr>
        <w:t>.</w:t>
      </w:r>
    </w:p>
  </w:footnote>
  <w:footnote w:id="54">
    <w:p w14:paraId="1905AA17" w14:textId="77777777" w:rsidR="00A50AE4" w:rsidRDefault="00A50AE4" w:rsidP="008847AC">
      <w:pPr>
        <w:pStyle w:val="Lbjegyzetszveg"/>
      </w:pPr>
      <w:r>
        <w:rPr>
          <w:rStyle w:val="Lbjegyzet-hivatkozs"/>
        </w:rPr>
        <w:footnoteRef/>
      </w:r>
      <w:r>
        <w:t xml:space="preserve"> </w:t>
      </w:r>
      <w:r w:rsidRPr="006252DE">
        <w:t>https://www.eba.europa.eu/regulation-and-policy/securitisation-and-covered-bonds/cebs-guidelines-on-the-application-of-article-122a-of-the-crd</w:t>
      </w:r>
    </w:p>
  </w:footnote>
  <w:footnote w:id="55">
    <w:p w14:paraId="484A7F97" w14:textId="77777777" w:rsidR="00A50AE4" w:rsidRDefault="00A50AE4" w:rsidP="00B30147">
      <w:pPr>
        <w:pStyle w:val="Lbjegyzetszveg"/>
      </w:pPr>
      <w:r>
        <w:rPr>
          <w:rStyle w:val="Lbjegyzet-hivatkozs"/>
        </w:rPr>
        <w:footnoteRef/>
      </w:r>
      <w:r>
        <w:t xml:space="preserve"> </w:t>
      </w:r>
      <w:hyperlink r:id="rId3" w:history="1">
        <w:r w:rsidRPr="005D787D">
          <w:rPr>
            <w:rStyle w:val="Hiperhivatkozs"/>
          </w:rPr>
          <w:t>https://www.eba.europa.eu/documents/10180/1672271/Guidelines+on+implicit+support+for+securitisation+transactions+%28EBA-GL-2016-08%29_HU.pdf/c66b1d41-be92-45d9-b7f5-f119c6c3afbe</w:t>
        </w:r>
      </w:hyperlink>
    </w:p>
    <w:p w14:paraId="6D0D9813" w14:textId="77777777" w:rsidR="00A50AE4" w:rsidRDefault="00A50AE4" w:rsidP="00B30147">
      <w:pPr>
        <w:pStyle w:val="Lbjegyzetszveg"/>
      </w:pPr>
    </w:p>
  </w:footnote>
  <w:footnote w:id="56">
    <w:p w14:paraId="66B15AEA" w14:textId="77777777" w:rsidR="00A50AE4" w:rsidRDefault="00A50AE4" w:rsidP="003F7941">
      <w:pPr>
        <w:pStyle w:val="Lbjegyzetszveg"/>
      </w:pPr>
      <w:r w:rsidRPr="00523B0D">
        <w:rPr>
          <w:rStyle w:val="Lbjegyzet-hivatkozs"/>
        </w:rPr>
        <w:footnoteRef/>
      </w:r>
      <w:r w:rsidRPr="00523B0D">
        <w:t xml:space="preserve"> Ennek megfelelően a koncentrációs kockázat nem teljes egészében a 2. pillérben lefedett kockázatnak tekinthető.</w:t>
      </w:r>
    </w:p>
  </w:footnote>
  <w:footnote w:id="57">
    <w:p w14:paraId="66B15AEB" w14:textId="77777777" w:rsidR="00A50AE4" w:rsidRDefault="00A50AE4" w:rsidP="003F7941">
      <w:pPr>
        <w:pStyle w:val="Lbjegyzetszveg"/>
      </w:pPr>
      <w:r>
        <w:rPr>
          <w:rStyle w:val="Lbjegyzet-hivatkozs"/>
        </w:rPr>
        <w:footnoteRef/>
      </w:r>
      <w:r>
        <w:t xml:space="preserve"> Lsd. CRR 4. cikk (1) bekezdés 39.</w:t>
      </w:r>
    </w:p>
  </w:footnote>
  <w:footnote w:id="58">
    <w:p w14:paraId="66B15AEC" w14:textId="77777777" w:rsidR="00A50AE4" w:rsidRDefault="00A50AE4" w:rsidP="003F7941">
      <w:pPr>
        <w:pStyle w:val="Lbjegyzetszveg"/>
      </w:pPr>
      <w:r>
        <w:rPr>
          <w:rStyle w:val="Lbjegyzet-hivatkozs"/>
        </w:rPr>
        <w:footnoteRef/>
      </w:r>
      <w:r>
        <w:t xml:space="preserve"> A CRR 395. cikke szabályozza a nagykockázat vállalását.</w:t>
      </w:r>
    </w:p>
  </w:footnote>
  <w:footnote w:id="59">
    <w:p w14:paraId="66B15AED" w14:textId="77777777" w:rsidR="00A50AE4" w:rsidRPr="008F31AB" w:rsidRDefault="00A50AE4" w:rsidP="00D10772">
      <w:pPr>
        <w:pStyle w:val="Lbjegyzetszveg"/>
        <w:rPr>
          <w:lang w:val="hu-HU"/>
        </w:rPr>
      </w:pPr>
      <w:r w:rsidRPr="0084556F">
        <w:rPr>
          <w:rStyle w:val="Lbjegyzet-hivatkozs"/>
        </w:rPr>
        <w:footnoteRef/>
      </w:r>
      <w:r>
        <w:t xml:space="preserve"> </w:t>
      </w:r>
      <w:r>
        <w:rPr>
          <w:lang w:val="hu-HU"/>
        </w:rPr>
        <w:t>a</w:t>
      </w:r>
      <w:r>
        <w:t xml:space="preserve"> tőke</w:t>
      </w:r>
      <w:r w:rsidRPr="0084556F">
        <w:t xml:space="preserve"> értékvesztés</w:t>
      </w:r>
      <w:r>
        <w:rPr>
          <w:lang w:val="hu-HU"/>
        </w:rPr>
        <w:t>-</w:t>
      </w:r>
      <w:r w:rsidRPr="0084556F">
        <w:t>hiánnyal való csökkentését ill. az értékvesztés</w:t>
      </w:r>
      <w:r>
        <w:rPr>
          <w:lang w:val="hu-HU"/>
        </w:rPr>
        <w:t>-</w:t>
      </w:r>
      <w:r w:rsidRPr="0084556F">
        <w:t>többlet (egy részével) való növelését</w:t>
      </w:r>
    </w:p>
  </w:footnote>
  <w:footnote w:id="60">
    <w:p w14:paraId="121ACB3E" w14:textId="51CEE917" w:rsidR="00A50AE4" w:rsidRPr="0050673C" w:rsidRDefault="00A50AE4">
      <w:pPr>
        <w:pStyle w:val="Lbjegyzetszveg"/>
        <w:rPr>
          <w:lang w:val="hu-HU"/>
        </w:rPr>
      </w:pPr>
      <w:r>
        <w:rPr>
          <w:rStyle w:val="Lbjegyzet-hivatkozs"/>
        </w:rPr>
        <w:footnoteRef/>
      </w:r>
      <w:r>
        <w:t xml:space="preserve"> </w:t>
      </w:r>
      <w:r>
        <w:rPr>
          <w:lang w:val="hu-HU"/>
        </w:rPr>
        <w:t>Piaci Hitelprogram</w:t>
      </w:r>
    </w:p>
  </w:footnote>
  <w:footnote w:id="61">
    <w:p w14:paraId="783B63FB" w14:textId="2CD20DD5" w:rsidR="00A50AE4" w:rsidRPr="0050673C" w:rsidRDefault="00A50AE4">
      <w:pPr>
        <w:pStyle w:val="Lbjegyzetszveg"/>
        <w:rPr>
          <w:lang w:val="hu-HU"/>
        </w:rPr>
      </w:pPr>
      <w:r>
        <w:rPr>
          <w:rStyle w:val="Lbjegyzet-hivatkozs"/>
        </w:rPr>
        <w:footnoteRef/>
      </w:r>
      <w:r>
        <w:t xml:space="preserve"> </w:t>
      </w:r>
      <w:r>
        <w:rPr>
          <w:lang w:val="hu-HU"/>
        </w:rPr>
        <w:t>A tőkeszámításba bekerülő eseményekre vonatkozóan olyan validáció biztosítása az elvárt, mely során ellenőrzésre kerül mindazon információk köre, mely a tőkeszámításban felhasználásra kerül (pl. üzletág, eseménytípus, bruttó veszteség, biztosítás, hitelkockázat relevancia, stb.)</w:t>
      </w:r>
    </w:p>
  </w:footnote>
  <w:footnote w:id="62">
    <w:p w14:paraId="7B07BB79" w14:textId="16B10470" w:rsidR="00A50AE4" w:rsidRPr="0050673C" w:rsidRDefault="00A50AE4">
      <w:pPr>
        <w:pStyle w:val="Lbjegyzetszveg"/>
        <w:rPr>
          <w:lang w:val="hu-HU"/>
        </w:rPr>
      </w:pPr>
      <w:r>
        <w:rPr>
          <w:rStyle w:val="Lbjegyzet-hivatkozs"/>
        </w:rPr>
        <w:footnoteRef/>
      </w:r>
      <w:r>
        <w:t xml:space="preserve"> </w:t>
      </w:r>
      <w:r>
        <w:rPr>
          <w:lang w:val="hu-HU"/>
        </w:rPr>
        <w:t xml:space="preserve">A KRI lefedettség biztosítását az MNB üzletág-eseménytípus alapján javasolja, ugyanakkor az önértékelési módszertanok alapján más (pl. folyamati, kockázati) bontás mentén történő lefedettség elemzést is elfogadhatónak tart. </w:t>
      </w:r>
    </w:p>
  </w:footnote>
  <w:footnote w:id="63">
    <w:p w14:paraId="6D5A8C56" w14:textId="1D4EED1F" w:rsidR="00A50AE4" w:rsidRPr="0050673C" w:rsidRDefault="00A50AE4">
      <w:pPr>
        <w:pStyle w:val="Lbjegyzetszveg"/>
        <w:rPr>
          <w:lang w:val="hu-HU"/>
        </w:rPr>
      </w:pPr>
      <w:r>
        <w:rPr>
          <w:rStyle w:val="Lbjegyzet-hivatkozs"/>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64">
    <w:p w14:paraId="66B15AF0" w14:textId="77777777" w:rsidR="00A50AE4" w:rsidRPr="0034042C" w:rsidRDefault="00A50AE4" w:rsidP="00D10772">
      <w:pPr>
        <w:pStyle w:val="Lbjegyzetszveg"/>
      </w:pPr>
      <w:r w:rsidRPr="0034042C">
        <w:rPr>
          <w:rStyle w:val="Lbjegyzet-hivatkozs"/>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65">
    <w:p w14:paraId="66B15AF1" w14:textId="77777777" w:rsidR="00A50AE4" w:rsidRPr="009065F3" w:rsidRDefault="00A50AE4" w:rsidP="00D10772">
      <w:pPr>
        <w:pStyle w:val="Lbjegyzetszveg"/>
      </w:pPr>
      <w:r w:rsidRPr="009065F3">
        <w:rPr>
          <w:rStyle w:val="Lbjegyzet-hivatkozs"/>
        </w:rPr>
        <w:footnoteRef/>
      </w:r>
      <w:r w:rsidRPr="009065F3">
        <w:t xml:space="preserve"> </w:t>
      </w:r>
      <w:r>
        <w:t>A</w:t>
      </w:r>
      <w:r w:rsidRPr="009065F3">
        <w:t xml:space="preserve"> pozíció prudens értéke azzal az árral megállapított érték, amelyen vagy amelynél jobb áron 90%-os konfidencia szint mellett le lehet zárni a pozíciót</w:t>
      </w:r>
      <w:r>
        <w:t>.</w:t>
      </w:r>
    </w:p>
  </w:footnote>
  <w:footnote w:id="66">
    <w:p w14:paraId="66B15AF2" w14:textId="77777777" w:rsidR="00A50AE4" w:rsidRPr="009065F3" w:rsidRDefault="00A50AE4" w:rsidP="00D10772">
      <w:pPr>
        <w:pStyle w:val="Lbjegyzetszveg"/>
      </w:pPr>
      <w:r w:rsidRPr="009065F3">
        <w:rPr>
          <w:rStyle w:val="Lbjegyzet-hivatkozs"/>
        </w:rPr>
        <w:footnoteRef/>
      </w:r>
      <w:r w:rsidRPr="009065F3">
        <w:t xml:space="preserve"> Az illikviditás származhat piaci tökéletlenségből, de akár az intézmény maga is előidézheti, pl. túlzottan koncentrált portfólió tartásával.</w:t>
      </w:r>
    </w:p>
  </w:footnote>
  <w:footnote w:id="67">
    <w:p w14:paraId="66B15AF3" w14:textId="77777777" w:rsidR="00A50AE4" w:rsidRPr="009065F3" w:rsidRDefault="00A50AE4" w:rsidP="00D10772">
      <w:pPr>
        <w:pStyle w:val="Lbjegyzetszveg"/>
      </w:pPr>
      <w:r w:rsidRPr="009065F3">
        <w:rPr>
          <w:rStyle w:val="Lbjegyzet-hivatkozs"/>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68">
    <w:p w14:paraId="66B15AF4" w14:textId="77777777" w:rsidR="00A50AE4" w:rsidRPr="009065F3" w:rsidRDefault="00A50AE4" w:rsidP="00D10772">
      <w:pPr>
        <w:pStyle w:val="Lbjegyzetszveg"/>
      </w:pPr>
      <w:r w:rsidRPr="009065F3">
        <w:rPr>
          <w:rStyle w:val="Lbjegyzet-hivatkozs"/>
        </w:rPr>
        <w:footnoteRef/>
      </w:r>
      <w:r w:rsidRPr="009065F3">
        <w:t xml:space="preserve"> Pl. tartási periódus, konfidencia intervallum, korrekciós tényező, stb.</w:t>
      </w:r>
    </w:p>
  </w:footnote>
  <w:footnote w:id="69">
    <w:p w14:paraId="66B15AF5" w14:textId="359D1C2D" w:rsidR="00A50AE4" w:rsidRPr="00EC7392" w:rsidRDefault="00A50AE4">
      <w:pPr>
        <w:pStyle w:val="Lbjegyzetszveg"/>
        <w:rPr>
          <w:lang w:val="hu-HU"/>
        </w:rPr>
      </w:pPr>
    </w:p>
  </w:footnote>
  <w:footnote w:id="70">
    <w:p w14:paraId="4893E028" w14:textId="77777777" w:rsidR="00A50AE4" w:rsidRPr="0050673C" w:rsidRDefault="00A50AE4">
      <w:pPr>
        <w:pStyle w:val="Lbjegyzetszveg"/>
        <w:rPr>
          <w:lang w:val="hu-HU"/>
        </w:rPr>
      </w:pPr>
      <w:r>
        <w:rPr>
          <w:rStyle w:val="Lbjegyzet-hivatkozs"/>
        </w:rPr>
        <w:footnoteRef/>
      </w:r>
      <w:r>
        <w:t xml:space="preserve"> </w:t>
      </w:r>
      <w:r>
        <w:rPr>
          <w:lang w:val="hu-HU"/>
        </w:rPr>
        <w:t>EBA iránymutatása a stresszhelyzeti kockáztatott értékről (EBA/GL/2012/2)</w:t>
      </w:r>
    </w:p>
  </w:footnote>
  <w:footnote w:id="71">
    <w:p w14:paraId="66B15AF6" w14:textId="54FFA924" w:rsidR="00A50AE4" w:rsidRPr="008C1553" w:rsidRDefault="00A50AE4">
      <w:pPr>
        <w:pStyle w:val="Lbjegyzetszveg"/>
        <w:rPr>
          <w:lang w:val="hu-HU"/>
        </w:rPr>
      </w:pPr>
    </w:p>
  </w:footnote>
  <w:footnote w:id="72">
    <w:p w14:paraId="0AB4249D" w14:textId="77777777" w:rsidR="00A50AE4" w:rsidRDefault="00A50AE4">
      <w:pPr>
        <w:pStyle w:val="Lbjegyzetszveg"/>
        <w:rPr>
          <w:lang w:val="hu-HU"/>
        </w:rPr>
      </w:pPr>
      <w:r>
        <w:rPr>
          <w:rStyle w:val="Lbjegyzet-hivatkozs"/>
        </w:rPr>
        <w:footnoteRef/>
      </w:r>
      <w:r>
        <w:t xml:space="preserve"> </w:t>
      </w:r>
      <w:r>
        <w:rPr>
          <w:lang w:val="hu-HU"/>
        </w:rPr>
        <w:t>A legújabb (2016. április) bázeli sztenderd már 15%-ot ajánl.</w:t>
      </w:r>
    </w:p>
    <w:p w14:paraId="43286918" w14:textId="0C714AF5" w:rsidR="00A50AE4" w:rsidRPr="0050673C" w:rsidRDefault="00A50AE4">
      <w:pPr>
        <w:pStyle w:val="Lbjegyzetszveg"/>
        <w:rPr>
          <w:lang w:val="hu-HU"/>
        </w:rPr>
      </w:pPr>
      <w:r>
        <w:rPr>
          <w:lang w:val="hu-HU"/>
        </w:rPr>
        <w:t xml:space="preserve"> </w:t>
      </w:r>
      <w:hyperlink r:id="rId4" w:history="1">
        <w:r w:rsidRPr="00D03CD0">
          <w:rPr>
            <w:rStyle w:val="Hiperhivatkozs"/>
            <w:lang w:val="hu-HU"/>
          </w:rPr>
          <w:t>http://www.bis.org/bcbs/publ/d368.htm</w:t>
        </w:r>
      </w:hyperlink>
    </w:p>
  </w:footnote>
  <w:footnote w:id="73">
    <w:p w14:paraId="66B15AF9" w14:textId="77777777" w:rsidR="00A50AE4" w:rsidRDefault="00A50AE4" w:rsidP="00DA1560">
      <w:pPr>
        <w:pStyle w:val="Lbjegyzetszveg"/>
      </w:pPr>
      <w:r>
        <w:rPr>
          <w:rStyle w:val="Lbjegyzet-hivatkozs"/>
        </w:rPr>
        <w:footnoteRef/>
      </w:r>
      <w:r>
        <w:t xml:space="preserve"> A számítások elvégzésének módja lehet pl. a megelőző időszakok átlagos tőkeigények és szórásának alapul vétele.</w:t>
      </w:r>
    </w:p>
  </w:footnote>
  <w:footnote w:id="74">
    <w:p w14:paraId="4E214759" w14:textId="1504FEA4" w:rsidR="00A50AE4" w:rsidRPr="0050673C" w:rsidRDefault="00A50AE4">
      <w:pPr>
        <w:pStyle w:val="Lbjegyzetszveg"/>
        <w:rPr>
          <w:lang w:val="hu-HU"/>
        </w:rPr>
      </w:pPr>
      <w:r>
        <w:rPr>
          <w:rStyle w:val="Lbjegyzet-hivatkozs"/>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75">
    <w:p w14:paraId="775823F5" w14:textId="3EAB9D34" w:rsidR="00A50AE4" w:rsidRPr="00F71C0A" w:rsidRDefault="00A50AE4" w:rsidP="00043570">
      <w:pPr>
        <w:pStyle w:val="Lbjegyzetszveg"/>
        <w:rPr>
          <w:lang w:val="hu-HU"/>
        </w:rPr>
      </w:pPr>
      <w:r>
        <w:rPr>
          <w:rStyle w:val="Lbjegyzet-hivatkozs"/>
        </w:rPr>
        <w:footnoteRef/>
      </w:r>
      <w:r>
        <w:t xml:space="preserve"> </w:t>
      </w:r>
      <w:r>
        <w:rPr>
          <w:lang w:val="hu-HU"/>
        </w:rPr>
        <w:t>Az MNB elvárja, hogy az intézmény legalább éves rendszerességgel felülvizsgálja üzleti terveit.</w:t>
      </w:r>
    </w:p>
  </w:footnote>
  <w:footnote w:id="76">
    <w:p w14:paraId="0B0B3AE8" w14:textId="77777777" w:rsidR="00A50AE4" w:rsidRPr="009F7C08" w:rsidRDefault="00A50AE4" w:rsidP="003826DA">
      <w:pPr>
        <w:pStyle w:val="Lbjegyzetszveg"/>
      </w:pPr>
      <w:r w:rsidRPr="009F7C08">
        <w:rPr>
          <w:rStyle w:val="Lbjegyzet-hivatkozs"/>
        </w:rPr>
        <w:footnoteRef/>
      </w:r>
      <w:r w:rsidRPr="009F7C08">
        <w:t xml:space="preserve"> </w:t>
      </w:r>
      <w:r>
        <w:t xml:space="preserve">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77">
    <w:p w14:paraId="48DF8E54" w14:textId="77777777" w:rsidR="00A50AE4" w:rsidRPr="009F7C08" w:rsidRDefault="00A50AE4" w:rsidP="003826DA">
      <w:pPr>
        <w:pStyle w:val="Lbjegyzetszveg"/>
      </w:pPr>
      <w:r w:rsidRPr="009F7C08">
        <w:rPr>
          <w:rStyle w:val="Lbjegyzet-hivatkozs"/>
        </w:rPr>
        <w:footnoteRef/>
      </w:r>
      <w:r w:rsidRPr="009F7C08">
        <w:t xml:space="preserve"> A 2. pilléres tesztek kérdéskörét a CR</w:t>
      </w:r>
      <w:r>
        <w:t>R</w:t>
      </w:r>
      <w:r w:rsidRPr="009F7C08">
        <w:t xml:space="preserve"> meglehetősen általános szinten szabályozza, bizonyos kockázati típusok esetén azonban valamivel konkrétabb rendelkezéseket is tartalmaz (pl. banki könyvi kamatláb-kockázat, hitelezés koncentrációs kockázata stb.)</w:t>
      </w:r>
    </w:p>
  </w:footnote>
  <w:footnote w:id="78">
    <w:p w14:paraId="43640142" w14:textId="77777777" w:rsidR="00A50AE4" w:rsidRDefault="00A50AE4" w:rsidP="003826DA">
      <w:pPr>
        <w:pStyle w:val="Lbjegyzetszveg"/>
      </w:pPr>
      <w:r>
        <w:rPr>
          <w:rStyle w:val="Lbjegyzet-hivatkozs"/>
        </w:rPr>
        <w:footnoteRef/>
      </w:r>
      <w:r>
        <w:t xml:space="preserve"> A nemlineáris kockázati kapcsolatok léte miatt az MNB hasznosnak tartja különböző súlyosságú és valószínűségű stressz-helyzetek vizsgálatát.</w:t>
      </w:r>
    </w:p>
  </w:footnote>
  <w:footnote w:id="79">
    <w:p w14:paraId="6E912B86" w14:textId="77777777" w:rsidR="00A50AE4" w:rsidRPr="00FF7C03" w:rsidRDefault="00A50AE4" w:rsidP="003826DA">
      <w:pPr>
        <w:pStyle w:val="Lbjegyzetszveg"/>
        <w:rPr>
          <w:lang w:val="hu-HU"/>
        </w:rPr>
      </w:pPr>
      <w:r>
        <w:rPr>
          <w:rStyle w:val="Lbjegyzet-hivatkozs"/>
        </w:rPr>
        <w:footnoteRef/>
      </w:r>
      <w:r>
        <w:t xml:space="preserve"> </w:t>
      </w:r>
      <w:r>
        <w:rPr>
          <w:lang w:val="hu-HU"/>
        </w:rPr>
        <w:t>Felhívjuk a figyelmet, hogy folyamatban van a „</w:t>
      </w:r>
      <w:r>
        <w:t>Guidelines on stress testing and supervisory stress testing</w:t>
      </w:r>
      <w:r>
        <w:rPr>
          <w:lang w:val="hu-HU"/>
        </w:rPr>
        <w:t xml:space="preserve">” útmutató elkészítése, melyet az EBA várhatóan 2016-ban publikál. </w:t>
      </w:r>
    </w:p>
  </w:footnote>
  <w:footnote w:id="80">
    <w:p w14:paraId="1C764BE8" w14:textId="77777777" w:rsidR="00A50AE4" w:rsidRDefault="00A50AE4" w:rsidP="00D10772">
      <w:pPr>
        <w:pStyle w:val="Lbjegyzetszveg"/>
      </w:pPr>
      <w:r>
        <w:rPr>
          <w:rStyle w:val="Lbjegyzet-hivatkozs"/>
        </w:rPr>
        <w:footnoteRef/>
      </w:r>
      <w:r>
        <w:t xml:space="preserve"> Ez az egyik leglényegesebb különbség. Az 1.pillérben a hitelkockázatra nem lehet a diverzifikációs hatásokat is figyelembevevő belső modellt alkalmazni.</w:t>
      </w:r>
    </w:p>
  </w:footnote>
  <w:footnote w:id="81">
    <w:p w14:paraId="66B15AFD" w14:textId="77777777" w:rsidR="00A50AE4" w:rsidRDefault="00A50AE4" w:rsidP="00D10772">
      <w:pPr>
        <w:pStyle w:val="Lbjegyzetszveg"/>
      </w:pPr>
      <w:r>
        <w:rPr>
          <w:rStyle w:val="Lbjegyzet-hivatkozs"/>
        </w:rPr>
        <w:footnoteRef/>
      </w:r>
      <w:r>
        <w:t xml:space="preserve"> A gyakorlatban ez a legelterjedtebb megoldás, az időtáv tipikusan 1 év, de bizonyos esetekben lehet hosszabb is.</w:t>
      </w:r>
    </w:p>
  </w:footnote>
  <w:footnote w:id="82">
    <w:p w14:paraId="66B15AFE" w14:textId="77777777" w:rsidR="00A50AE4" w:rsidRPr="008F31AB" w:rsidRDefault="00A50AE4">
      <w:pPr>
        <w:pStyle w:val="Lbjegyzetszveg"/>
        <w:rPr>
          <w:lang w:val="hu-HU"/>
        </w:rPr>
      </w:pPr>
      <w:r>
        <w:rPr>
          <w:rStyle w:val="Lbjegyzet-hivatkozs"/>
        </w:rPr>
        <w:footnoteRef/>
      </w:r>
      <w:r>
        <w:t xml:space="preserve"> Az 1. pillérben előírt konfidenciaszintek inkább a szigorúbb felszámolási szemléletnek felelnek meg</w:t>
      </w:r>
    </w:p>
  </w:footnote>
  <w:footnote w:id="83">
    <w:p w14:paraId="014ACDEA" w14:textId="77777777" w:rsidR="00A50AE4" w:rsidRDefault="00A50AE4" w:rsidP="00D10772">
      <w:pPr>
        <w:pStyle w:val="Lbjegyzetszveg"/>
      </w:pPr>
      <w:r>
        <w:rPr>
          <w:rStyle w:val="Lbjegyzet-hivatkozs"/>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tőkeszámítás nem kellően kiforrott voltát, belső elfogadottságának hiányát jelenti.</w:t>
      </w:r>
    </w:p>
  </w:footnote>
  <w:footnote w:id="84">
    <w:p w14:paraId="66B15B01" w14:textId="6F08B2C0" w:rsidR="00A50AE4" w:rsidRPr="00B16C16" w:rsidRDefault="00A50AE4" w:rsidP="00B16C16">
      <w:pPr>
        <w:pStyle w:val="Lbjegyzetszveg"/>
        <w:rPr>
          <w:lang w:val="hu-HU"/>
        </w:rPr>
      </w:pPr>
      <w:r>
        <w:rPr>
          <w:rStyle w:val="Lbjegyzet-hivatkozs"/>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85">
    <w:p w14:paraId="66B15B02" w14:textId="77777777" w:rsidR="00A50AE4" w:rsidRPr="00EC76E2" w:rsidRDefault="00A50AE4" w:rsidP="003F29E3">
      <w:pPr>
        <w:pStyle w:val="Default"/>
        <w:rPr>
          <w:rFonts w:ascii="Calibri" w:hAnsi="Calibri"/>
          <w:sz w:val="16"/>
          <w:szCs w:val="16"/>
        </w:rPr>
      </w:pPr>
      <w:r w:rsidRPr="00EC76E2">
        <w:rPr>
          <w:rStyle w:val="Lbjegyzet-hivatkozs"/>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86">
    <w:p w14:paraId="66B15B03" w14:textId="77777777" w:rsidR="00A50AE4" w:rsidRPr="00EC76E2" w:rsidRDefault="00A50AE4" w:rsidP="00D10772">
      <w:pPr>
        <w:pStyle w:val="Lbjegyzetszveg"/>
      </w:pPr>
      <w:r w:rsidRPr="00EC76E2">
        <w:rPr>
          <w:rStyle w:val="Lbjegyzet-hivatkozs"/>
        </w:rPr>
        <w:footnoteRef/>
      </w:r>
      <w:r w:rsidRPr="00EC76E2">
        <w:t xml:space="preserve"> nettó stabil forrás ellátottsági mutató</w:t>
      </w:r>
    </w:p>
  </w:footnote>
  <w:footnote w:id="87">
    <w:p w14:paraId="66B15B04" w14:textId="77777777" w:rsidR="00A50AE4" w:rsidRPr="0034406D" w:rsidRDefault="00A50AE4" w:rsidP="00D10772">
      <w:pPr>
        <w:pStyle w:val="Lbjegyzetszveg"/>
      </w:pPr>
      <w:r w:rsidRPr="0034406D">
        <w:rPr>
          <w:rStyle w:val="Lbjegyzet-hivatkozs"/>
        </w:rPr>
        <w:footnoteRef/>
      </w:r>
      <w:r w:rsidRPr="0034406D">
        <w:t xml:space="preserve"> </w:t>
      </w:r>
      <w:r>
        <w:t>I</w:t>
      </w:r>
      <w:r w:rsidRPr="0034406D">
        <w:t>ntergiro</w:t>
      </w:r>
    </w:p>
  </w:footnote>
  <w:footnote w:id="88">
    <w:p w14:paraId="66B15B05" w14:textId="77777777" w:rsidR="00A50AE4" w:rsidRPr="008D3680" w:rsidRDefault="00A50AE4" w:rsidP="00D10772">
      <w:pPr>
        <w:pStyle w:val="Lbjegyzetszveg"/>
      </w:pPr>
      <w:r w:rsidRPr="00D20F0E">
        <w:rPr>
          <w:rStyle w:val="Lbjegyzet-hivatkozs"/>
        </w:rPr>
        <w:footnoteRef/>
      </w:r>
      <w:r w:rsidRPr="00D20F0E">
        <w:t xml:space="preserve"> MCO = maximum cash outflow</w:t>
      </w:r>
    </w:p>
  </w:footnote>
  <w:footnote w:id="89">
    <w:p w14:paraId="429D2DBB" w14:textId="77777777" w:rsidR="00A50AE4" w:rsidRPr="009615D1" w:rsidRDefault="00A50AE4" w:rsidP="00026B30">
      <w:pPr>
        <w:pStyle w:val="Lbjegyzetszveg"/>
        <w:rPr>
          <w:color w:val="auto"/>
          <w:sz w:val="20"/>
        </w:rPr>
      </w:pPr>
      <w:r w:rsidRPr="009615D1">
        <w:rPr>
          <w:rStyle w:val="Lbjegyzet-hivatkozs"/>
          <w:color w:val="auto"/>
          <w:sz w:val="20"/>
        </w:rPr>
        <w:footnoteRef/>
      </w:r>
      <w:r w:rsidRPr="009615D1">
        <w:rPr>
          <w:color w:val="auto"/>
          <w:sz w:val="20"/>
        </w:rPr>
        <w:t xml:space="preserve"> </w:t>
      </w:r>
      <w:r w:rsidRPr="0050673C">
        <w:rPr>
          <w:color w:val="auto"/>
        </w:rPr>
        <w:t>Az üzleti modell azon módszerek, eszközök és struktúrák összessége, amelyek alkalmazásán keresztül az intézmény működik, nyereséget termel és növekszik.</w:t>
      </w:r>
    </w:p>
  </w:footnote>
  <w:footnote w:id="90">
    <w:p w14:paraId="66B15B0A" w14:textId="77777777" w:rsidR="00A50AE4" w:rsidRPr="00426B4F" w:rsidRDefault="00A50AE4" w:rsidP="00D10772">
      <w:pPr>
        <w:pStyle w:val="Lbjegyzetszveg"/>
      </w:pPr>
      <w:r w:rsidRPr="00426B4F">
        <w:rPr>
          <w:rStyle w:val="Lbjegyzet-hivatkozs"/>
        </w:rPr>
        <w:footnoteRef/>
      </w:r>
      <w:r w:rsidRPr="00426B4F">
        <w:t xml:space="preserve"> Az arányosság a felügyeleti elvárásban csak az ICAAP 6-10 alapelvek érvényesülésére értendő. Az első öt ICAAP alapelvnek minden intézménynek maradéktalanul meg kell felelnie.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11EAA"/>
    <w:multiLevelType w:val="hybridMultilevel"/>
    <w:tmpl w:val="2EAAA0E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0853156F"/>
    <w:multiLevelType w:val="hybridMultilevel"/>
    <w:tmpl w:val="C5B2CF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882A1D"/>
    <w:multiLevelType w:val="hybridMultilevel"/>
    <w:tmpl w:val="B57C0D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2"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331399A"/>
    <w:multiLevelType w:val="hybridMultilevel"/>
    <w:tmpl w:val="367695D8"/>
    <w:lvl w:ilvl="0" w:tplc="040E0001">
      <w:start w:val="1"/>
      <w:numFmt w:val="bullet"/>
      <w:lvlText w:val=""/>
      <w:lvlJc w:val="left"/>
      <w:pPr>
        <w:ind w:left="1287" w:hanging="360"/>
      </w:pPr>
      <w:rPr>
        <w:rFonts w:ascii="Symbol" w:hAnsi="Symbol" w:hint="default"/>
      </w:rPr>
    </w:lvl>
    <w:lvl w:ilvl="1" w:tplc="F620E858">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26485847"/>
    <w:multiLevelType w:val="hybridMultilevel"/>
    <w:tmpl w:val="E648E110"/>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21"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D2D4740"/>
    <w:multiLevelType w:val="multilevel"/>
    <w:tmpl w:val="3676DB6A"/>
    <w:lvl w:ilvl="0">
      <w:start w:val="1"/>
      <w:numFmt w:val="upperRoman"/>
      <w:pStyle w:val="Cmsor1"/>
      <w:lvlText w:val="%1."/>
      <w:lvlJc w:val="right"/>
      <w:pPr>
        <w:ind w:left="360" w:hanging="360"/>
      </w:pPr>
    </w:lvl>
    <w:lvl w:ilvl="1">
      <w:start w:val="1"/>
      <w:numFmt w:val="decimal"/>
      <w:pStyle w:val="Cmsor2"/>
      <w:lvlText w:val="%1.%2"/>
      <w:lvlJc w:val="left"/>
      <w:pPr>
        <w:ind w:left="7664" w:hanging="576"/>
      </w:pPr>
      <w:rPr>
        <w:b/>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rPr>
        <w:i w:val="0"/>
      </w:rPr>
    </w:lvl>
    <w:lvl w:ilvl="4">
      <w:start w:val="1"/>
      <w:numFmt w:val="decimal"/>
      <w:pStyle w:val="Cmsor5"/>
      <w:lvlText w:val="%1.%2.%3.%4.%5"/>
      <w:lvlJc w:val="left"/>
      <w:pPr>
        <w:ind w:left="1008" w:hanging="1008"/>
      </w:pPr>
      <w:rPr>
        <w:sz w:val="22"/>
        <w:szCs w:val="22"/>
      </w:r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4"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4E03F53"/>
    <w:multiLevelType w:val="hybridMultilevel"/>
    <w:tmpl w:val="255CB73E"/>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5E149E1"/>
    <w:multiLevelType w:val="hybridMultilevel"/>
    <w:tmpl w:val="3620D842"/>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E67E2EF2">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32"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5" w15:restartNumberingAfterBreak="0">
    <w:nsid w:val="48B22761"/>
    <w:multiLevelType w:val="hybridMultilevel"/>
    <w:tmpl w:val="DD48C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FFF3433"/>
    <w:multiLevelType w:val="hybridMultilevel"/>
    <w:tmpl w:val="778E21A2"/>
    <w:lvl w:ilvl="0" w:tplc="040E0001">
      <w:start w:val="1"/>
      <w:numFmt w:val="bullet"/>
      <w:lvlText w:val=""/>
      <w:lvlJc w:val="left"/>
      <w:pPr>
        <w:ind w:left="720" w:hanging="360"/>
      </w:pPr>
      <w:rPr>
        <w:rFonts w:ascii="Symbol" w:hAnsi="Symbol" w:hint="default"/>
        <w:b w:val="0"/>
        <w:sz w:val="24"/>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43"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50"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1" w15:restartNumberingAfterBreak="0">
    <w:nsid w:val="6CAF5271"/>
    <w:multiLevelType w:val="hybridMultilevel"/>
    <w:tmpl w:val="F3244C38"/>
    <w:lvl w:ilvl="0" w:tplc="040E0001">
      <w:start w:val="1"/>
      <w:numFmt w:val="bullet"/>
      <w:lvlText w:val=""/>
      <w:lvlJc w:val="left"/>
      <w:pPr>
        <w:ind w:left="720" w:hanging="360"/>
      </w:pPr>
      <w:rPr>
        <w:rFonts w:ascii="Symbol" w:hAnsi="Symbol" w:hint="default"/>
        <w:b w:val="0"/>
        <w:sz w:val="24"/>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4"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7" w15:restartNumberingAfterBreak="0">
    <w:nsid w:val="794776DC"/>
    <w:multiLevelType w:val="hybridMultilevel"/>
    <w:tmpl w:val="2D36FC1A"/>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66A5606">
      <w:start w:val="2"/>
      <w:numFmt w:val="bullet"/>
      <w:lvlText w:val="-"/>
      <w:lvlJc w:val="left"/>
      <w:pPr>
        <w:tabs>
          <w:tab w:val="num" w:pos="1440"/>
        </w:tabs>
        <w:ind w:left="1440" w:hanging="360"/>
      </w:pPr>
      <w:rPr>
        <w:rFonts w:ascii="Times New Roman" w:eastAsia="Times New Roman" w:hAnsi="Times New Roman" w:cs="Times New Roman"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0" w15:restartNumberingAfterBreak="0">
    <w:nsid w:val="7AC063E4"/>
    <w:multiLevelType w:val="hybridMultilevel"/>
    <w:tmpl w:val="F1E09D8C"/>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20"/>
  </w:num>
  <w:num w:numId="4">
    <w:abstractNumId w:val="21"/>
  </w:num>
  <w:num w:numId="5">
    <w:abstractNumId w:val="57"/>
  </w:num>
  <w:num w:numId="6">
    <w:abstractNumId w:val="23"/>
  </w:num>
  <w:num w:numId="7">
    <w:abstractNumId w:val="40"/>
  </w:num>
  <w:num w:numId="8">
    <w:abstractNumId w:val="43"/>
  </w:num>
  <w:num w:numId="9">
    <w:abstractNumId w:val="44"/>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2"/>
  </w:num>
  <w:num w:numId="14">
    <w:abstractNumId w:val="11"/>
  </w:num>
  <w:num w:numId="15">
    <w:abstractNumId w:val="27"/>
  </w:num>
  <w:num w:numId="16">
    <w:abstractNumId w:val="2"/>
  </w:num>
  <w:num w:numId="17">
    <w:abstractNumId w:val="14"/>
  </w:num>
  <w:num w:numId="18">
    <w:abstractNumId w:val="10"/>
  </w:num>
  <w:num w:numId="19">
    <w:abstractNumId w:val="62"/>
  </w:num>
  <w:num w:numId="20">
    <w:abstractNumId w:val="38"/>
  </w:num>
  <w:num w:numId="21">
    <w:abstractNumId w:val="56"/>
  </w:num>
  <w:num w:numId="22">
    <w:abstractNumId w:val="31"/>
  </w:num>
  <w:num w:numId="23">
    <w:abstractNumId w:val="33"/>
  </w:num>
  <w:num w:numId="24">
    <w:abstractNumId w:val="45"/>
  </w:num>
  <w:num w:numId="25">
    <w:abstractNumId w:val="53"/>
  </w:num>
  <w:num w:numId="26">
    <w:abstractNumId w:val="8"/>
  </w:num>
  <w:num w:numId="27">
    <w:abstractNumId w:val="7"/>
  </w:num>
  <w:num w:numId="28">
    <w:abstractNumId w:val="13"/>
  </w:num>
  <w:num w:numId="29">
    <w:abstractNumId w:val="54"/>
  </w:num>
  <w:num w:numId="30">
    <w:abstractNumId w:val="35"/>
  </w:num>
  <w:num w:numId="31">
    <w:abstractNumId w:val="29"/>
  </w:num>
  <w:num w:numId="32">
    <w:abstractNumId w:val="52"/>
  </w:num>
  <w:num w:numId="33">
    <w:abstractNumId w:val="6"/>
  </w:num>
  <w:num w:numId="34">
    <w:abstractNumId w:val="15"/>
  </w:num>
  <w:num w:numId="35">
    <w:abstractNumId w:val="46"/>
  </w:num>
  <w:num w:numId="36">
    <w:abstractNumId w:val="5"/>
  </w:num>
  <w:num w:numId="37">
    <w:abstractNumId w:val="22"/>
  </w:num>
  <w:num w:numId="38">
    <w:abstractNumId w:val="17"/>
  </w:num>
  <w:num w:numId="39">
    <w:abstractNumId w:val="41"/>
  </w:num>
  <w:num w:numId="40">
    <w:abstractNumId w:val="58"/>
  </w:num>
  <w:num w:numId="41">
    <w:abstractNumId w:val="37"/>
  </w:num>
  <w:num w:numId="42">
    <w:abstractNumId w:val="36"/>
  </w:num>
  <w:num w:numId="43">
    <w:abstractNumId w:val="28"/>
  </w:num>
  <w:num w:numId="44">
    <w:abstractNumId w:val="3"/>
  </w:num>
  <w:num w:numId="45">
    <w:abstractNumId w:val="30"/>
  </w:num>
  <w:num w:numId="46">
    <w:abstractNumId w:val="63"/>
  </w:num>
  <w:num w:numId="47">
    <w:abstractNumId w:val="48"/>
  </w:num>
  <w:num w:numId="48">
    <w:abstractNumId w:val="24"/>
  </w:num>
  <w:num w:numId="49">
    <w:abstractNumId w:val="19"/>
  </w:num>
  <w:num w:numId="50">
    <w:abstractNumId w:val="55"/>
  </w:num>
  <w:num w:numId="51">
    <w:abstractNumId w:val="39"/>
  </w:num>
  <w:num w:numId="52">
    <w:abstractNumId w:val="51"/>
  </w:num>
  <w:num w:numId="53">
    <w:abstractNumId w:val="50"/>
  </w:num>
  <w:num w:numId="54">
    <w:abstractNumId w:val="64"/>
  </w:num>
  <w:num w:numId="55">
    <w:abstractNumId w:val="59"/>
  </w:num>
  <w:num w:numId="56">
    <w:abstractNumId w:val="18"/>
  </w:num>
  <w:num w:numId="57">
    <w:abstractNumId w:val="25"/>
  </w:num>
  <w:num w:numId="58">
    <w:abstractNumId w:val="47"/>
  </w:num>
  <w:num w:numId="59">
    <w:abstractNumId w:val="61"/>
  </w:num>
  <w:num w:numId="60">
    <w:abstractNumId w:val="1"/>
  </w:num>
  <w:num w:numId="61">
    <w:abstractNumId w:val="16"/>
  </w:num>
  <w:num w:numId="62">
    <w:abstractNumId w:val="60"/>
  </w:num>
  <w:num w:numId="63">
    <w:abstractNumId w:val="0"/>
  </w:num>
  <w:num w:numId="64">
    <w:abstractNumId w:val="12"/>
  </w:num>
  <w:num w:numId="65">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E3"/>
    <w:rsid w:val="00000089"/>
    <w:rsid w:val="000009CA"/>
    <w:rsid w:val="000025BF"/>
    <w:rsid w:val="00002D0C"/>
    <w:rsid w:val="000035EB"/>
    <w:rsid w:val="00003744"/>
    <w:rsid w:val="00010D07"/>
    <w:rsid w:val="00015366"/>
    <w:rsid w:val="00022190"/>
    <w:rsid w:val="00022991"/>
    <w:rsid w:val="00024A69"/>
    <w:rsid w:val="00024E85"/>
    <w:rsid w:val="00025683"/>
    <w:rsid w:val="00026B30"/>
    <w:rsid w:val="00034DF6"/>
    <w:rsid w:val="0003682E"/>
    <w:rsid w:val="000410F0"/>
    <w:rsid w:val="00041DED"/>
    <w:rsid w:val="00042A3D"/>
    <w:rsid w:val="00043570"/>
    <w:rsid w:val="0004362D"/>
    <w:rsid w:val="000466CF"/>
    <w:rsid w:val="00047DD4"/>
    <w:rsid w:val="00051461"/>
    <w:rsid w:val="000515A8"/>
    <w:rsid w:val="00070EB0"/>
    <w:rsid w:val="0007245F"/>
    <w:rsid w:val="0007324E"/>
    <w:rsid w:val="00073510"/>
    <w:rsid w:val="000750D1"/>
    <w:rsid w:val="00075157"/>
    <w:rsid w:val="0007728F"/>
    <w:rsid w:val="000776E3"/>
    <w:rsid w:val="00077781"/>
    <w:rsid w:val="00077C94"/>
    <w:rsid w:val="00081102"/>
    <w:rsid w:val="0008207B"/>
    <w:rsid w:val="00083786"/>
    <w:rsid w:val="00083C70"/>
    <w:rsid w:val="0008549A"/>
    <w:rsid w:val="00085D7E"/>
    <w:rsid w:val="000906F1"/>
    <w:rsid w:val="000937F9"/>
    <w:rsid w:val="00093A94"/>
    <w:rsid w:val="00093F22"/>
    <w:rsid w:val="00094D59"/>
    <w:rsid w:val="00096BA1"/>
    <w:rsid w:val="00097B7C"/>
    <w:rsid w:val="00097CAE"/>
    <w:rsid w:val="000A09F7"/>
    <w:rsid w:val="000A2041"/>
    <w:rsid w:val="000A6500"/>
    <w:rsid w:val="000A68C3"/>
    <w:rsid w:val="000A69B2"/>
    <w:rsid w:val="000A6A50"/>
    <w:rsid w:val="000A71F0"/>
    <w:rsid w:val="000B07C3"/>
    <w:rsid w:val="000B0CF6"/>
    <w:rsid w:val="000B0FBC"/>
    <w:rsid w:val="000B1F57"/>
    <w:rsid w:val="000B226F"/>
    <w:rsid w:val="000B321C"/>
    <w:rsid w:val="000B53CC"/>
    <w:rsid w:val="000B6C81"/>
    <w:rsid w:val="000B7E31"/>
    <w:rsid w:val="000C14FE"/>
    <w:rsid w:val="000C19EC"/>
    <w:rsid w:val="000C2AE6"/>
    <w:rsid w:val="000C3153"/>
    <w:rsid w:val="000C3F56"/>
    <w:rsid w:val="000D05C1"/>
    <w:rsid w:val="000D0BEE"/>
    <w:rsid w:val="000D10AD"/>
    <w:rsid w:val="000D1930"/>
    <w:rsid w:val="000D1B0F"/>
    <w:rsid w:val="000D3518"/>
    <w:rsid w:val="000D3DAC"/>
    <w:rsid w:val="000D42A4"/>
    <w:rsid w:val="000D7115"/>
    <w:rsid w:val="000E08E2"/>
    <w:rsid w:val="000E1E7D"/>
    <w:rsid w:val="000E3670"/>
    <w:rsid w:val="000E4CEE"/>
    <w:rsid w:val="000E7049"/>
    <w:rsid w:val="000E776E"/>
    <w:rsid w:val="000F0ACE"/>
    <w:rsid w:val="000F14DC"/>
    <w:rsid w:val="000F2858"/>
    <w:rsid w:val="000F503E"/>
    <w:rsid w:val="000F64D0"/>
    <w:rsid w:val="000F6D84"/>
    <w:rsid w:val="000F6E72"/>
    <w:rsid w:val="001064F6"/>
    <w:rsid w:val="001069F6"/>
    <w:rsid w:val="0010737E"/>
    <w:rsid w:val="00111243"/>
    <w:rsid w:val="001137F6"/>
    <w:rsid w:val="001140AE"/>
    <w:rsid w:val="001167E4"/>
    <w:rsid w:val="001176B8"/>
    <w:rsid w:val="00120220"/>
    <w:rsid w:val="00120354"/>
    <w:rsid w:val="00120DA0"/>
    <w:rsid w:val="00121525"/>
    <w:rsid w:val="0012480B"/>
    <w:rsid w:val="00125E1A"/>
    <w:rsid w:val="00127AD4"/>
    <w:rsid w:val="00135319"/>
    <w:rsid w:val="001359F2"/>
    <w:rsid w:val="00135ACE"/>
    <w:rsid w:val="001373CC"/>
    <w:rsid w:val="00137D76"/>
    <w:rsid w:val="0014015A"/>
    <w:rsid w:val="0014218C"/>
    <w:rsid w:val="00144C1E"/>
    <w:rsid w:val="0015018C"/>
    <w:rsid w:val="001510EC"/>
    <w:rsid w:val="00152686"/>
    <w:rsid w:val="00152E5A"/>
    <w:rsid w:val="001547F9"/>
    <w:rsid w:val="00154847"/>
    <w:rsid w:val="001566D2"/>
    <w:rsid w:val="00163159"/>
    <w:rsid w:val="001651DB"/>
    <w:rsid w:val="00170021"/>
    <w:rsid w:val="001706AA"/>
    <w:rsid w:val="00172059"/>
    <w:rsid w:val="00172C60"/>
    <w:rsid w:val="00173EDD"/>
    <w:rsid w:val="00173F45"/>
    <w:rsid w:val="00174EFA"/>
    <w:rsid w:val="0017614A"/>
    <w:rsid w:val="00181755"/>
    <w:rsid w:val="00181DC0"/>
    <w:rsid w:val="00182B4E"/>
    <w:rsid w:val="00185A5E"/>
    <w:rsid w:val="001877FB"/>
    <w:rsid w:val="00190A6A"/>
    <w:rsid w:val="00193E76"/>
    <w:rsid w:val="00195DF9"/>
    <w:rsid w:val="00195E0E"/>
    <w:rsid w:val="001A0B48"/>
    <w:rsid w:val="001A1644"/>
    <w:rsid w:val="001A25C4"/>
    <w:rsid w:val="001A580F"/>
    <w:rsid w:val="001A5CBE"/>
    <w:rsid w:val="001A7470"/>
    <w:rsid w:val="001B5F55"/>
    <w:rsid w:val="001C00CB"/>
    <w:rsid w:val="001C30EE"/>
    <w:rsid w:val="001C44E8"/>
    <w:rsid w:val="001C4DF8"/>
    <w:rsid w:val="001C5AFC"/>
    <w:rsid w:val="001C6619"/>
    <w:rsid w:val="001C6A52"/>
    <w:rsid w:val="001D0AF6"/>
    <w:rsid w:val="001D1C2B"/>
    <w:rsid w:val="001D3BDB"/>
    <w:rsid w:val="001D65B5"/>
    <w:rsid w:val="001D6902"/>
    <w:rsid w:val="001D6E01"/>
    <w:rsid w:val="001E0771"/>
    <w:rsid w:val="001E659E"/>
    <w:rsid w:val="001E7DD7"/>
    <w:rsid w:val="001F15E3"/>
    <w:rsid w:val="001F5722"/>
    <w:rsid w:val="001F5D07"/>
    <w:rsid w:val="001F6AE4"/>
    <w:rsid w:val="0020025B"/>
    <w:rsid w:val="00200FD4"/>
    <w:rsid w:val="00202690"/>
    <w:rsid w:val="002077EB"/>
    <w:rsid w:val="00210431"/>
    <w:rsid w:val="00212001"/>
    <w:rsid w:val="00217983"/>
    <w:rsid w:val="002179AA"/>
    <w:rsid w:val="00221776"/>
    <w:rsid w:val="00222880"/>
    <w:rsid w:val="00224C4A"/>
    <w:rsid w:val="0022527A"/>
    <w:rsid w:val="00225705"/>
    <w:rsid w:val="0022789C"/>
    <w:rsid w:val="00231184"/>
    <w:rsid w:val="002318D5"/>
    <w:rsid w:val="00232270"/>
    <w:rsid w:val="00232D71"/>
    <w:rsid w:val="00234F5A"/>
    <w:rsid w:val="0023603D"/>
    <w:rsid w:val="002424F0"/>
    <w:rsid w:val="00243208"/>
    <w:rsid w:val="0024394E"/>
    <w:rsid w:val="00243CD2"/>
    <w:rsid w:val="002462AB"/>
    <w:rsid w:val="00247390"/>
    <w:rsid w:val="002478DD"/>
    <w:rsid w:val="002518ED"/>
    <w:rsid w:val="00251AEF"/>
    <w:rsid w:val="00251CC1"/>
    <w:rsid w:val="00251E4F"/>
    <w:rsid w:val="00251E8B"/>
    <w:rsid w:val="00251EA3"/>
    <w:rsid w:val="00253A81"/>
    <w:rsid w:val="00255938"/>
    <w:rsid w:val="00255B21"/>
    <w:rsid w:val="0025666E"/>
    <w:rsid w:val="00260322"/>
    <w:rsid w:val="00267047"/>
    <w:rsid w:val="00271AC8"/>
    <w:rsid w:val="00273AE4"/>
    <w:rsid w:val="00274C60"/>
    <w:rsid w:val="00274E3A"/>
    <w:rsid w:val="00275765"/>
    <w:rsid w:val="0027641C"/>
    <w:rsid w:val="00277F4A"/>
    <w:rsid w:val="00281BE6"/>
    <w:rsid w:val="00282E08"/>
    <w:rsid w:val="00283417"/>
    <w:rsid w:val="002915DA"/>
    <w:rsid w:val="00293475"/>
    <w:rsid w:val="00293E1F"/>
    <w:rsid w:val="002A014E"/>
    <w:rsid w:val="002A1FD1"/>
    <w:rsid w:val="002A78A3"/>
    <w:rsid w:val="002A7A9B"/>
    <w:rsid w:val="002B5167"/>
    <w:rsid w:val="002B5C75"/>
    <w:rsid w:val="002C3E60"/>
    <w:rsid w:val="002C567F"/>
    <w:rsid w:val="002C6E87"/>
    <w:rsid w:val="002C7143"/>
    <w:rsid w:val="002D0C5A"/>
    <w:rsid w:val="002D3AED"/>
    <w:rsid w:val="002D500B"/>
    <w:rsid w:val="002D7458"/>
    <w:rsid w:val="002E2FC9"/>
    <w:rsid w:val="002E3859"/>
    <w:rsid w:val="002E4AB1"/>
    <w:rsid w:val="002E5CDC"/>
    <w:rsid w:val="002E6862"/>
    <w:rsid w:val="002E6DDC"/>
    <w:rsid w:val="002E7E46"/>
    <w:rsid w:val="002F1A3C"/>
    <w:rsid w:val="002F2C0A"/>
    <w:rsid w:val="002F35E0"/>
    <w:rsid w:val="002F586A"/>
    <w:rsid w:val="003001E3"/>
    <w:rsid w:val="00300863"/>
    <w:rsid w:val="00302509"/>
    <w:rsid w:val="0030394B"/>
    <w:rsid w:val="00303B36"/>
    <w:rsid w:val="0030457D"/>
    <w:rsid w:val="00306668"/>
    <w:rsid w:val="0030671A"/>
    <w:rsid w:val="00306E67"/>
    <w:rsid w:val="00310526"/>
    <w:rsid w:val="0031185D"/>
    <w:rsid w:val="00313689"/>
    <w:rsid w:val="00313C04"/>
    <w:rsid w:val="003146A4"/>
    <w:rsid w:val="00315150"/>
    <w:rsid w:val="003172E9"/>
    <w:rsid w:val="0032237B"/>
    <w:rsid w:val="00323C6B"/>
    <w:rsid w:val="00324C44"/>
    <w:rsid w:val="003302AA"/>
    <w:rsid w:val="0033034F"/>
    <w:rsid w:val="00333C2F"/>
    <w:rsid w:val="00337C85"/>
    <w:rsid w:val="003417F4"/>
    <w:rsid w:val="0034313F"/>
    <w:rsid w:val="0034383E"/>
    <w:rsid w:val="00344E25"/>
    <w:rsid w:val="00347860"/>
    <w:rsid w:val="00347DBF"/>
    <w:rsid w:val="0035006D"/>
    <w:rsid w:val="003510DA"/>
    <w:rsid w:val="0035659B"/>
    <w:rsid w:val="00357973"/>
    <w:rsid w:val="00361648"/>
    <w:rsid w:val="00362982"/>
    <w:rsid w:val="00370124"/>
    <w:rsid w:val="00375906"/>
    <w:rsid w:val="00380465"/>
    <w:rsid w:val="003812BE"/>
    <w:rsid w:val="00382675"/>
    <w:rsid w:val="003826DA"/>
    <w:rsid w:val="00382AD3"/>
    <w:rsid w:val="003841D3"/>
    <w:rsid w:val="00386C5F"/>
    <w:rsid w:val="0038713E"/>
    <w:rsid w:val="00387577"/>
    <w:rsid w:val="0038768D"/>
    <w:rsid w:val="00387E25"/>
    <w:rsid w:val="00387E6B"/>
    <w:rsid w:val="003910A0"/>
    <w:rsid w:val="00391E34"/>
    <w:rsid w:val="003922B2"/>
    <w:rsid w:val="0039545E"/>
    <w:rsid w:val="00395D6B"/>
    <w:rsid w:val="00396543"/>
    <w:rsid w:val="0039660D"/>
    <w:rsid w:val="00396B01"/>
    <w:rsid w:val="003A0679"/>
    <w:rsid w:val="003A07C5"/>
    <w:rsid w:val="003A2F61"/>
    <w:rsid w:val="003A6D7C"/>
    <w:rsid w:val="003A7546"/>
    <w:rsid w:val="003B07C4"/>
    <w:rsid w:val="003B3691"/>
    <w:rsid w:val="003C1608"/>
    <w:rsid w:val="003C4C89"/>
    <w:rsid w:val="003C51DD"/>
    <w:rsid w:val="003C6A4E"/>
    <w:rsid w:val="003D1112"/>
    <w:rsid w:val="003D2120"/>
    <w:rsid w:val="003D693B"/>
    <w:rsid w:val="003E05D1"/>
    <w:rsid w:val="003E2799"/>
    <w:rsid w:val="003E2A44"/>
    <w:rsid w:val="003E4C9D"/>
    <w:rsid w:val="003E6BA9"/>
    <w:rsid w:val="003E6FF8"/>
    <w:rsid w:val="003F18D6"/>
    <w:rsid w:val="003F1E41"/>
    <w:rsid w:val="003F28CA"/>
    <w:rsid w:val="003F29E3"/>
    <w:rsid w:val="003F7299"/>
    <w:rsid w:val="003F7941"/>
    <w:rsid w:val="003F7B19"/>
    <w:rsid w:val="003F7D3F"/>
    <w:rsid w:val="00402081"/>
    <w:rsid w:val="0040383A"/>
    <w:rsid w:val="00403ABE"/>
    <w:rsid w:val="00404C14"/>
    <w:rsid w:val="004067AA"/>
    <w:rsid w:val="00406D86"/>
    <w:rsid w:val="00406EB1"/>
    <w:rsid w:val="004125BB"/>
    <w:rsid w:val="00413081"/>
    <w:rsid w:val="00415926"/>
    <w:rsid w:val="00415B0D"/>
    <w:rsid w:val="00415D32"/>
    <w:rsid w:val="00415DB1"/>
    <w:rsid w:val="004176A7"/>
    <w:rsid w:val="00422836"/>
    <w:rsid w:val="00422904"/>
    <w:rsid w:val="004244F7"/>
    <w:rsid w:val="00425142"/>
    <w:rsid w:val="004252EA"/>
    <w:rsid w:val="00426C02"/>
    <w:rsid w:val="004300C3"/>
    <w:rsid w:val="00430BA0"/>
    <w:rsid w:val="00432197"/>
    <w:rsid w:val="004323AA"/>
    <w:rsid w:val="00433073"/>
    <w:rsid w:val="0043357D"/>
    <w:rsid w:val="004335F3"/>
    <w:rsid w:val="00433BAF"/>
    <w:rsid w:val="0043512F"/>
    <w:rsid w:val="00435A67"/>
    <w:rsid w:val="00436CB7"/>
    <w:rsid w:val="00440A62"/>
    <w:rsid w:val="00441144"/>
    <w:rsid w:val="00441A10"/>
    <w:rsid w:val="00441EFF"/>
    <w:rsid w:val="00442F8A"/>
    <w:rsid w:val="00444570"/>
    <w:rsid w:val="00447B28"/>
    <w:rsid w:val="0045356E"/>
    <w:rsid w:val="00453A7E"/>
    <w:rsid w:val="00455242"/>
    <w:rsid w:val="00455C12"/>
    <w:rsid w:val="00455DD2"/>
    <w:rsid w:val="00461076"/>
    <w:rsid w:val="00461238"/>
    <w:rsid w:val="004614E8"/>
    <w:rsid w:val="00461676"/>
    <w:rsid w:val="00461900"/>
    <w:rsid w:val="00463CC4"/>
    <w:rsid w:val="00467A7D"/>
    <w:rsid w:val="00467BDA"/>
    <w:rsid w:val="00470BBA"/>
    <w:rsid w:val="00471B20"/>
    <w:rsid w:val="004738D9"/>
    <w:rsid w:val="004746B1"/>
    <w:rsid w:val="00477563"/>
    <w:rsid w:val="00477C75"/>
    <w:rsid w:val="00477FEB"/>
    <w:rsid w:val="00482794"/>
    <w:rsid w:val="0048647B"/>
    <w:rsid w:val="00486B11"/>
    <w:rsid w:val="004923C4"/>
    <w:rsid w:val="00494EC0"/>
    <w:rsid w:val="004955AB"/>
    <w:rsid w:val="004957A7"/>
    <w:rsid w:val="00495E5D"/>
    <w:rsid w:val="0049763B"/>
    <w:rsid w:val="004A421A"/>
    <w:rsid w:val="004A76BB"/>
    <w:rsid w:val="004A7B9E"/>
    <w:rsid w:val="004A7CB9"/>
    <w:rsid w:val="004B3145"/>
    <w:rsid w:val="004B4372"/>
    <w:rsid w:val="004B5E63"/>
    <w:rsid w:val="004B6E80"/>
    <w:rsid w:val="004B74AE"/>
    <w:rsid w:val="004B7E48"/>
    <w:rsid w:val="004C15B7"/>
    <w:rsid w:val="004C402E"/>
    <w:rsid w:val="004C60BC"/>
    <w:rsid w:val="004D1282"/>
    <w:rsid w:val="004D1401"/>
    <w:rsid w:val="004D1E56"/>
    <w:rsid w:val="004D1FF0"/>
    <w:rsid w:val="004D544B"/>
    <w:rsid w:val="004D6790"/>
    <w:rsid w:val="004E0090"/>
    <w:rsid w:val="004E069F"/>
    <w:rsid w:val="004E084F"/>
    <w:rsid w:val="004E0D54"/>
    <w:rsid w:val="004E21EE"/>
    <w:rsid w:val="004E44B0"/>
    <w:rsid w:val="004E4EC7"/>
    <w:rsid w:val="004E72FF"/>
    <w:rsid w:val="004F0108"/>
    <w:rsid w:val="004F042B"/>
    <w:rsid w:val="004F403F"/>
    <w:rsid w:val="004F461B"/>
    <w:rsid w:val="004F715E"/>
    <w:rsid w:val="00500867"/>
    <w:rsid w:val="005037F8"/>
    <w:rsid w:val="00504088"/>
    <w:rsid w:val="0050430D"/>
    <w:rsid w:val="0050673C"/>
    <w:rsid w:val="005101AA"/>
    <w:rsid w:val="0051029A"/>
    <w:rsid w:val="00510866"/>
    <w:rsid w:val="00511287"/>
    <w:rsid w:val="00512A9C"/>
    <w:rsid w:val="00512DD5"/>
    <w:rsid w:val="00514074"/>
    <w:rsid w:val="00515450"/>
    <w:rsid w:val="00517162"/>
    <w:rsid w:val="005200BE"/>
    <w:rsid w:val="00521B30"/>
    <w:rsid w:val="005236D0"/>
    <w:rsid w:val="0052597F"/>
    <w:rsid w:val="0053007E"/>
    <w:rsid w:val="00531A1D"/>
    <w:rsid w:val="00531EE6"/>
    <w:rsid w:val="0053246F"/>
    <w:rsid w:val="0053314E"/>
    <w:rsid w:val="0053410B"/>
    <w:rsid w:val="00537232"/>
    <w:rsid w:val="00537E82"/>
    <w:rsid w:val="00540601"/>
    <w:rsid w:val="00541E50"/>
    <w:rsid w:val="00542A9C"/>
    <w:rsid w:val="00543F79"/>
    <w:rsid w:val="00544B6E"/>
    <w:rsid w:val="00544D9F"/>
    <w:rsid w:val="00545EAB"/>
    <w:rsid w:val="005468DF"/>
    <w:rsid w:val="00547ADD"/>
    <w:rsid w:val="0055259B"/>
    <w:rsid w:val="00554995"/>
    <w:rsid w:val="00555012"/>
    <w:rsid w:val="0055563D"/>
    <w:rsid w:val="0055738A"/>
    <w:rsid w:val="005577C3"/>
    <w:rsid w:val="00561A6B"/>
    <w:rsid w:val="0056521E"/>
    <w:rsid w:val="005666C6"/>
    <w:rsid w:val="00567C0A"/>
    <w:rsid w:val="005709D8"/>
    <w:rsid w:val="00571550"/>
    <w:rsid w:val="0057283C"/>
    <w:rsid w:val="00573396"/>
    <w:rsid w:val="00575610"/>
    <w:rsid w:val="0057698F"/>
    <w:rsid w:val="00577438"/>
    <w:rsid w:val="005804BF"/>
    <w:rsid w:val="00582E7E"/>
    <w:rsid w:val="0058369F"/>
    <w:rsid w:val="00591CAE"/>
    <w:rsid w:val="00591E58"/>
    <w:rsid w:val="00592384"/>
    <w:rsid w:val="00593824"/>
    <w:rsid w:val="005942F6"/>
    <w:rsid w:val="0059569A"/>
    <w:rsid w:val="00596DBE"/>
    <w:rsid w:val="005A2595"/>
    <w:rsid w:val="005A3DE2"/>
    <w:rsid w:val="005A6F59"/>
    <w:rsid w:val="005A758F"/>
    <w:rsid w:val="005B1D00"/>
    <w:rsid w:val="005B2BDE"/>
    <w:rsid w:val="005B3AA8"/>
    <w:rsid w:val="005B3E90"/>
    <w:rsid w:val="005B42F3"/>
    <w:rsid w:val="005B4ABF"/>
    <w:rsid w:val="005B5FE2"/>
    <w:rsid w:val="005B7172"/>
    <w:rsid w:val="005B7924"/>
    <w:rsid w:val="005C09AA"/>
    <w:rsid w:val="005C0C74"/>
    <w:rsid w:val="005C12BE"/>
    <w:rsid w:val="005C3AA1"/>
    <w:rsid w:val="005C5D1A"/>
    <w:rsid w:val="005C65E5"/>
    <w:rsid w:val="005C66E4"/>
    <w:rsid w:val="005C7F0A"/>
    <w:rsid w:val="005D188C"/>
    <w:rsid w:val="005D375D"/>
    <w:rsid w:val="005D37CB"/>
    <w:rsid w:val="005D4ECF"/>
    <w:rsid w:val="005D5056"/>
    <w:rsid w:val="005D568D"/>
    <w:rsid w:val="005E15EE"/>
    <w:rsid w:val="005E767A"/>
    <w:rsid w:val="005F1F15"/>
    <w:rsid w:val="005F213D"/>
    <w:rsid w:val="005F2B19"/>
    <w:rsid w:val="005F2E46"/>
    <w:rsid w:val="005F53B5"/>
    <w:rsid w:val="005F6CEC"/>
    <w:rsid w:val="005F6FF2"/>
    <w:rsid w:val="006015F3"/>
    <w:rsid w:val="006017E0"/>
    <w:rsid w:val="00602504"/>
    <w:rsid w:val="00604827"/>
    <w:rsid w:val="006053A3"/>
    <w:rsid w:val="006054A2"/>
    <w:rsid w:val="00606CAE"/>
    <w:rsid w:val="006100FF"/>
    <w:rsid w:val="00610539"/>
    <w:rsid w:val="00610E8E"/>
    <w:rsid w:val="00611D9B"/>
    <w:rsid w:val="00613115"/>
    <w:rsid w:val="00614444"/>
    <w:rsid w:val="006151E2"/>
    <w:rsid w:val="00615E80"/>
    <w:rsid w:val="00616192"/>
    <w:rsid w:val="006204E5"/>
    <w:rsid w:val="006209C0"/>
    <w:rsid w:val="006210AC"/>
    <w:rsid w:val="006222C9"/>
    <w:rsid w:val="006237F9"/>
    <w:rsid w:val="00624A9B"/>
    <w:rsid w:val="00624DFD"/>
    <w:rsid w:val="00625772"/>
    <w:rsid w:val="00625D71"/>
    <w:rsid w:val="00627845"/>
    <w:rsid w:val="006304B1"/>
    <w:rsid w:val="00630BB6"/>
    <w:rsid w:val="00630D0C"/>
    <w:rsid w:val="006340AB"/>
    <w:rsid w:val="00636B53"/>
    <w:rsid w:val="006418C7"/>
    <w:rsid w:val="00641C17"/>
    <w:rsid w:val="006420CF"/>
    <w:rsid w:val="00642F5F"/>
    <w:rsid w:val="0064349E"/>
    <w:rsid w:val="00644305"/>
    <w:rsid w:val="00644805"/>
    <w:rsid w:val="00644A5F"/>
    <w:rsid w:val="0065241E"/>
    <w:rsid w:val="006534C6"/>
    <w:rsid w:val="00655226"/>
    <w:rsid w:val="00655249"/>
    <w:rsid w:val="006561DB"/>
    <w:rsid w:val="00656719"/>
    <w:rsid w:val="006636DD"/>
    <w:rsid w:val="00663A64"/>
    <w:rsid w:val="00664D5A"/>
    <w:rsid w:val="00665EE7"/>
    <w:rsid w:val="006668C3"/>
    <w:rsid w:val="00673840"/>
    <w:rsid w:val="00673AEE"/>
    <w:rsid w:val="00676EC1"/>
    <w:rsid w:val="006811C6"/>
    <w:rsid w:val="00685B84"/>
    <w:rsid w:val="0068621B"/>
    <w:rsid w:val="0069041D"/>
    <w:rsid w:val="006907DD"/>
    <w:rsid w:val="006947CD"/>
    <w:rsid w:val="006951F9"/>
    <w:rsid w:val="00695BE5"/>
    <w:rsid w:val="00696745"/>
    <w:rsid w:val="00696764"/>
    <w:rsid w:val="00696CCE"/>
    <w:rsid w:val="006A08BA"/>
    <w:rsid w:val="006A2138"/>
    <w:rsid w:val="006A4E0E"/>
    <w:rsid w:val="006A5C40"/>
    <w:rsid w:val="006A68BD"/>
    <w:rsid w:val="006B0D9E"/>
    <w:rsid w:val="006B1530"/>
    <w:rsid w:val="006B172D"/>
    <w:rsid w:val="006B2272"/>
    <w:rsid w:val="006B43F2"/>
    <w:rsid w:val="006B66A6"/>
    <w:rsid w:val="006B751D"/>
    <w:rsid w:val="006C07A8"/>
    <w:rsid w:val="006C1411"/>
    <w:rsid w:val="006C158A"/>
    <w:rsid w:val="006C28F8"/>
    <w:rsid w:val="006C562C"/>
    <w:rsid w:val="006C669F"/>
    <w:rsid w:val="006C6B2E"/>
    <w:rsid w:val="006D4F56"/>
    <w:rsid w:val="006D60FA"/>
    <w:rsid w:val="006D6B65"/>
    <w:rsid w:val="006D77D3"/>
    <w:rsid w:val="006E1B53"/>
    <w:rsid w:val="006E50F8"/>
    <w:rsid w:val="006E70E5"/>
    <w:rsid w:val="006E72B6"/>
    <w:rsid w:val="006E73B4"/>
    <w:rsid w:val="006E7D3B"/>
    <w:rsid w:val="006F308D"/>
    <w:rsid w:val="006F3A05"/>
    <w:rsid w:val="006F4BD2"/>
    <w:rsid w:val="006F50DB"/>
    <w:rsid w:val="006F59C7"/>
    <w:rsid w:val="006F7E4B"/>
    <w:rsid w:val="00700057"/>
    <w:rsid w:val="007001F7"/>
    <w:rsid w:val="007002E6"/>
    <w:rsid w:val="00702626"/>
    <w:rsid w:val="00705E1D"/>
    <w:rsid w:val="00706B30"/>
    <w:rsid w:val="007073D3"/>
    <w:rsid w:val="00707970"/>
    <w:rsid w:val="00714DBB"/>
    <w:rsid w:val="00715108"/>
    <w:rsid w:val="00715796"/>
    <w:rsid w:val="007176F8"/>
    <w:rsid w:val="00720EEF"/>
    <w:rsid w:val="00721261"/>
    <w:rsid w:val="00721B70"/>
    <w:rsid w:val="0072572B"/>
    <w:rsid w:val="00725F72"/>
    <w:rsid w:val="00726A4E"/>
    <w:rsid w:val="00734CDC"/>
    <w:rsid w:val="00735917"/>
    <w:rsid w:val="007371F0"/>
    <w:rsid w:val="00737B3F"/>
    <w:rsid w:val="007406E5"/>
    <w:rsid w:val="00743459"/>
    <w:rsid w:val="007441F6"/>
    <w:rsid w:val="00745F2B"/>
    <w:rsid w:val="00746905"/>
    <w:rsid w:val="00747411"/>
    <w:rsid w:val="007479E6"/>
    <w:rsid w:val="007514BB"/>
    <w:rsid w:val="00752247"/>
    <w:rsid w:val="007550D9"/>
    <w:rsid w:val="0075653C"/>
    <w:rsid w:val="00757D4E"/>
    <w:rsid w:val="00761C69"/>
    <w:rsid w:val="00770AC4"/>
    <w:rsid w:val="00771801"/>
    <w:rsid w:val="007732C9"/>
    <w:rsid w:val="007759D3"/>
    <w:rsid w:val="00777457"/>
    <w:rsid w:val="007775BD"/>
    <w:rsid w:val="00777836"/>
    <w:rsid w:val="00781ABF"/>
    <w:rsid w:val="00783991"/>
    <w:rsid w:val="0078653E"/>
    <w:rsid w:val="00786EF5"/>
    <w:rsid w:val="007870BA"/>
    <w:rsid w:val="00791BFD"/>
    <w:rsid w:val="00797AF0"/>
    <w:rsid w:val="007A236D"/>
    <w:rsid w:val="007A2F89"/>
    <w:rsid w:val="007A5B66"/>
    <w:rsid w:val="007A61AE"/>
    <w:rsid w:val="007A66E3"/>
    <w:rsid w:val="007B1818"/>
    <w:rsid w:val="007B2D9A"/>
    <w:rsid w:val="007B481C"/>
    <w:rsid w:val="007B4AB5"/>
    <w:rsid w:val="007C10E8"/>
    <w:rsid w:val="007C1584"/>
    <w:rsid w:val="007C1A66"/>
    <w:rsid w:val="007C2C32"/>
    <w:rsid w:val="007C3A6B"/>
    <w:rsid w:val="007C51BB"/>
    <w:rsid w:val="007C5D93"/>
    <w:rsid w:val="007C687F"/>
    <w:rsid w:val="007C6E61"/>
    <w:rsid w:val="007C7D12"/>
    <w:rsid w:val="007D2DE2"/>
    <w:rsid w:val="007D30F5"/>
    <w:rsid w:val="007D3DFE"/>
    <w:rsid w:val="007D4027"/>
    <w:rsid w:val="007D751D"/>
    <w:rsid w:val="007E2525"/>
    <w:rsid w:val="007E3A7B"/>
    <w:rsid w:val="007E4E5B"/>
    <w:rsid w:val="007E5B84"/>
    <w:rsid w:val="007E6910"/>
    <w:rsid w:val="007F00D0"/>
    <w:rsid w:val="007F0680"/>
    <w:rsid w:val="007F12F4"/>
    <w:rsid w:val="007F4DAA"/>
    <w:rsid w:val="007F6167"/>
    <w:rsid w:val="007F62B1"/>
    <w:rsid w:val="0080060B"/>
    <w:rsid w:val="00800AD8"/>
    <w:rsid w:val="00801494"/>
    <w:rsid w:val="00804C2E"/>
    <w:rsid w:val="0080500C"/>
    <w:rsid w:val="00806632"/>
    <w:rsid w:val="008125B9"/>
    <w:rsid w:val="00812EC9"/>
    <w:rsid w:val="00813C8C"/>
    <w:rsid w:val="00814E58"/>
    <w:rsid w:val="00817370"/>
    <w:rsid w:val="00822D50"/>
    <w:rsid w:val="00824831"/>
    <w:rsid w:val="00826E50"/>
    <w:rsid w:val="00832314"/>
    <w:rsid w:val="0083270E"/>
    <w:rsid w:val="008374B6"/>
    <w:rsid w:val="008408EC"/>
    <w:rsid w:val="008410C7"/>
    <w:rsid w:val="00841105"/>
    <w:rsid w:val="00844180"/>
    <w:rsid w:val="0084598B"/>
    <w:rsid w:val="008459E7"/>
    <w:rsid w:val="00851F37"/>
    <w:rsid w:val="00853BE0"/>
    <w:rsid w:val="008547B3"/>
    <w:rsid w:val="00857A9B"/>
    <w:rsid w:val="008602ED"/>
    <w:rsid w:val="00863E0C"/>
    <w:rsid w:val="008643BE"/>
    <w:rsid w:val="008648C0"/>
    <w:rsid w:val="00866649"/>
    <w:rsid w:val="008675CC"/>
    <w:rsid w:val="00870469"/>
    <w:rsid w:val="008711A9"/>
    <w:rsid w:val="00871864"/>
    <w:rsid w:val="008718A8"/>
    <w:rsid w:val="00874CA9"/>
    <w:rsid w:val="00875A74"/>
    <w:rsid w:val="00882301"/>
    <w:rsid w:val="0088445D"/>
    <w:rsid w:val="008845FE"/>
    <w:rsid w:val="008847AC"/>
    <w:rsid w:val="00885955"/>
    <w:rsid w:val="00886202"/>
    <w:rsid w:val="0088730C"/>
    <w:rsid w:val="0088793F"/>
    <w:rsid w:val="00887EC6"/>
    <w:rsid w:val="00896C30"/>
    <w:rsid w:val="008A1FE4"/>
    <w:rsid w:val="008A2643"/>
    <w:rsid w:val="008A27E8"/>
    <w:rsid w:val="008A49F1"/>
    <w:rsid w:val="008A4B35"/>
    <w:rsid w:val="008A513B"/>
    <w:rsid w:val="008B085A"/>
    <w:rsid w:val="008B1C15"/>
    <w:rsid w:val="008B1D16"/>
    <w:rsid w:val="008B47F7"/>
    <w:rsid w:val="008B4C37"/>
    <w:rsid w:val="008B5119"/>
    <w:rsid w:val="008C1553"/>
    <w:rsid w:val="008C2186"/>
    <w:rsid w:val="008C22D5"/>
    <w:rsid w:val="008C34BF"/>
    <w:rsid w:val="008C6FB0"/>
    <w:rsid w:val="008D1935"/>
    <w:rsid w:val="008D1A5C"/>
    <w:rsid w:val="008D3194"/>
    <w:rsid w:val="008D3E11"/>
    <w:rsid w:val="008D471A"/>
    <w:rsid w:val="008D745B"/>
    <w:rsid w:val="008D7D57"/>
    <w:rsid w:val="008E003F"/>
    <w:rsid w:val="008E164B"/>
    <w:rsid w:val="008E2516"/>
    <w:rsid w:val="008E4106"/>
    <w:rsid w:val="008E4778"/>
    <w:rsid w:val="008E505D"/>
    <w:rsid w:val="008E5DC9"/>
    <w:rsid w:val="008E74C5"/>
    <w:rsid w:val="008E75B0"/>
    <w:rsid w:val="008E7961"/>
    <w:rsid w:val="008E7BFE"/>
    <w:rsid w:val="008F294C"/>
    <w:rsid w:val="008F31AB"/>
    <w:rsid w:val="008F3BDF"/>
    <w:rsid w:val="008F4B17"/>
    <w:rsid w:val="008F77EF"/>
    <w:rsid w:val="00900DD5"/>
    <w:rsid w:val="00902678"/>
    <w:rsid w:val="00906835"/>
    <w:rsid w:val="00906962"/>
    <w:rsid w:val="0091069E"/>
    <w:rsid w:val="00911981"/>
    <w:rsid w:val="00911F96"/>
    <w:rsid w:val="0091356A"/>
    <w:rsid w:val="009138BF"/>
    <w:rsid w:val="00916901"/>
    <w:rsid w:val="00916F25"/>
    <w:rsid w:val="009170D1"/>
    <w:rsid w:val="00920F30"/>
    <w:rsid w:val="00922D0D"/>
    <w:rsid w:val="00924F40"/>
    <w:rsid w:val="00924F58"/>
    <w:rsid w:val="00934073"/>
    <w:rsid w:val="0093447D"/>
    <w:rsid w:val="009400E5"/>
    <w:rsid w:val="00940552"/>
    <w:rsid w:val="00941DCF"/>
    <w:rsid w:val="00943C3D"/>
    <w:rsid w:val="0094566C"/>
    <w:rsid w:val="00950015"/>
    <w:rsid w:val="009501AF"/>
    <w:rsid w:val="00950303"/>
    <w:rsid w:val="0095162F"/>
    <w:rsid w:val="00952895"/>
    <w:rsid w:val="00953525"/>
    <w:rsid w:val="00956F8F"/>
    <w:rsid w:val="00957A0E"/>
    <w:rsid w:val="00957D38"/>
    <w:rsid w:val="00961AC6"/>
    <w:rsid w:val="00962470"/>
    <w:rsid w:val="00962BF2"/>
    <w:rsid w:val="00964406"/>
    <w:rsid w:val="00964EAA"/>
    <w:rsid w:val="00971B9D"/>
    <w:rsid w:val="00972818"/>
    <w:rsid w:val="009745AA"/>
    <w:rsid w:val="009769FB"/>
    <w:rsid w:val="00976A26"/>
    <w:rsid w:val="0098135A"/>
    <w:rsid w:val="009847AC"/>
    <w:rsid w:val="00984E9F"/>
    <w:rsid w:val="00986642"/>
    <w:rsid w:val="00991E24"/>
    <w:rsid w:val="00992893"/>
    <w:rsid w:val="00994CF1"/>
    <w:rsid w:val="00996766"/>
    <w:rsid w:val="009968CF"/>
    <w:rsid w:val="009A2C5B"/>
    <w:rsid w:val="009A49E5"/>
    <w:rsid w:val="009A5FDC"/>
    <w:rsid w:val="009A6C83"/>
    <w:rsid w:val="009A6DE6"/>
    <w:rsid w:val="009A7375"/>
    <w:rsid w:val="009A7DB2"/>
    <w:rsid w:val="009B2B68"/>
    <w:rsid w:val="009B4844"/>
    <w:rsid w:val="009B53ED"/>
    <w:rsid w:val="009B68AF"/>
    <w:rsid w:val="009B77AE"/>
    <w:rsid w:val="009B7D7E"/>
    <w:rsid w:val="009C0339"/>
    <w:rsid w:val="009C2C9F"/>
    <w:rsid w:val="009C5CAD"/>
    <w:rsid w:val="009C6837"/>
    <w:rsid w:val="009C75C1"/>
    <w:rsid w:val="009D26FA"/>
    <w:rsid w:val="009D3208"/>
    <w:rsid w:val="009E125A"/>
    <w:rsid w:val="009E35DE"/>
    <w:rsid w:val="009E63CE"/>
    <w:rsid w:val="009E7A22"/>
    <w:rsid w:val="009F2CF2"/>
    <w:rsid w:val="009F3EB2"/>
    <w:rsid w:val="009F6A94"/>
    <w:rsid w:val="00A00F5F"/>
    <w:rsid w:val="00A011D0"/>
    <w:rsid w:val="00A03CA1"/>
    <w:rsid w:val="00A050B8"/>
    <w:rsid w:val="00A059C2"/>
    <w:rsid w:val="00A073F7"/>
    <w:rsid w:val="00A07640"/>
    <w:rsid w:val="00A1074D"/>
    <w:rsid w:val="00A10DCA"/>
    <w:rsid w:val="00A10F1D"/>
    <w:rsid w:val="00A1214E"/>
    <w:rsid w:val="00A129DC"/>
    <w:rsid w:val="00A16D54"/>
    <w:rsid w:val="00A20AC4"/>
    <w:rsid w:val="00A2138B"/>
    <w:rsid w:val="00A2334D"/>
    <w:rsid w:val="00A25938"/>
    <w:rsid w:val="00A26947"/>
    <w:rsid w:val="00A26BBA"/>
    <w:rsid w:val="00A2763B"/>
    <w:rsid w:val="00A27FDC"/>
    <w:rsid w:val="00A30417"/>
    <w:rsid w:val="00A305BD"/>
    <w:rsid w:val="00A327CB"/>
    <w:rsid w:val="00A33C72"/>
    <w:rsid w:val="00A33D8F"/>
    <w:rsid w:val="00A33F86"/>
    <w:rsid w:val="00A33FBA"/>
    <w:rsid w:val="00A36061"/>
    <w:rsid w:val="00A4103A"/>
    <w:rsid w:val="00A42077"/>
    <w:rsid w:val="00A42689"/>
    <w:rsid w:val="00A4304E"/>
    <w:rsid w:val="00A43513"/>
    <w:rsid w:val="00A43799"/>
    <w:rsid w:val="00A44BB9"/>
    <w:rsid w:val="00A473D2"/>
    <w:rsid w:val="00A50A2A"/>
    <w:rsid w:val="00A50AE4"/>
    <w:rsid w:val="00A516EF"/>
    <w:rsid w:val="00A51E5B"/>
    <w:rsid w:val="00A52D22"/>
    <w:rsid w:val="00A542B6"/>
    <w:rsid w:val="00A5581A"/>
    <w:rsid w:val="00A56AD3"/>
    <w:rsid w:val="00A57B84"/>
    <w:rsid w:val="00A601C1"/>
    <w:rsid w:val="00A61167"/>
    <w:rsid w:val="00A62962"/>
    <w:rsid w:val="00A63D6F"/>
    <w:rsid w:val="00A70E14"/>
    <w:rsid w:val="00A72DD3"/>
    <w:rsid w:val="00A743F1"/>
    <w:rsid w:val="00A763E4"/>
    <w:rsid w:val="00A767D8"/>
    <w:rsid w:val="00A77B63"/>
    <w:rsid w:val="00A8026F"/>
    <w:rsid w:val="00A81F32"/>
    <w:rsid w:val="00A82A54"/>
    <w:rsid w:val="00A8489E"/>
    <w:rsid w:val="00A84B6F"/>
    <w:rsid w:val="00A948D3"/>
    <w:rsid w:val="00A9781D"/>
    <w:rsid w:val="00A97DF5"/>
    <w:rsid w:val="00AA258E"/>
    <w:rsid w:val="00AA6BFA"/>
    <w:rsid w:val="00AA6EAA"/>
    <w:rsid w:val="00AA796D"/>
    <w:rsid w:val="00AB08C5"/>
    <w:rsid w:val="00AB1BC5"/>
    <w:rsid w:val="00AB1F99"/>
    <w:rsid w:val="00AB2AE1"/>
    <w:rsid w:val="00AB432B"/>
    <w:rsid w:val="00AB47CB"/>
    <w:rsid w:val="00AB4B9B"/>
    <w:rsid w:val="00AB6C88"/>
    <w:rsid w:val="00AC20B0"/>
    <w:rsid w:val="00AC5A93"/>
    <w:rsid w:val="00AC6617"/>
    <w:rsid w:val="00AD124D"/>
    <w:rsid w:val="00AD1B0C"/>
    <w:rsid w:val="00AD2303"/>
    <w:rsid w:val="00AD3F4F"/>
    <w:rsid w:val="00AD43F8"/>
    <w:rsid w:val="00AD4DF5"/>
    <w:rsid w:val="00AE0400"/>
    <w:rsid w:val="00AE5C34"/>
    <w:rsid w:val="00AE7CFE"/>
    <w:rsid w:val="00AF1DEF"/>
    <w:rsid w:val="00AF6273"/>
    <w:rsid w:val="00AF6A57"/>
    <w:rsid w:val="00B0264B"/>
    <w:rsid w:val="00B059F6"/>
    <w:rsid w:val="00B06A5C"/>
    <w:rsid w:val="00B07AD9"/>
    <w:rsid w:val="00B10D0C"/>
    <w:rsid w:val="00B10FEC"/>
    <w:rsid w:val="00B12C89"/>
    <w:rsid w:val="00B166E6"/>
    <w:rsid w:val="00B16C16"/>
    <w:rsid w:val="00B17100"/>
    <w:rsid w:val="00B17273"/>
    <w:rsid w:val="00B17CC8"/>
    <w:rsid w:val="00B17FFA"/>
    <w:rsid w:val="00B21A9F"/>
    <w:rsid w:val="00B227F4"/>
    <w:rsid w:val="00B2474E"/>
    <w:rsid w:val="00B278C2"/>
    <w:rsid w:val="00B27A47"/>
    <w:rsid w:val="00B30147"/>
    <w:rsid w:val="00B3203B"/>
    <w:rsid w:val="00B33623"/>
    <w:rsid w:val="00B33CFB"/>
    <w:rsid w:val="00B35724"/>
    <w:rsid w:val="00B3599C"/>
    <w:rsid w:val="00B36752"/>
    <w:rsid w:val="00B3770C"/>
    <w:rsid w:val="00B40F1A"/>
    <w:rsid w:val="00B45AC7"/>
    <w:rsid w:val="00B46B1D"/>
    <w:rsid w:val="00B477FE"/>
    <w:rsid w:val="00B51F44"/>
    <w:rsid w:val="00B549B3"/>
    <w:rsid w:val="00B55C72"/>
    <w:rsid w:val="00B55E5C"/>
    <w:rsid w:val="00B573F6"/>
    <w:rsid w:val="00B619F7"/>
    <w:rsid w:val="00B62C58"/>
    <w:rsid w:val="00B62FCB"/>
    <w:rsid w:val="00B64036"/>
    <w:rsid w:val="00B66344"/>
    <w:rsid w:val="00B672CC"/>
    <w:rsid w:val="00B729EB"/>
    <w:rsid w:val="00B7372B"/>
    <w:rsid w:val="00B7487B"/>
    <w:rsid w:val="00B74B66"/>
    <w:rsid w:val="00B7657B"/>
    <w:rsid w:val="00B8064E"/>
    <w:rsid w:val="00B80E2C"/>
    <w:rsid w:val="00B829B3"/>
    <w:rsid w:val="00B9051A"/>
    <w:rsid w:val="00B91415"/>
    <w:rsid w:val="00B919AD"/>
    <w:rsid w:val="00B91B79"/>
    <w:rsid w:val="00B934A4"/>
    <w:rsid w:val="00B93A43"/>
    <w:rsid w:val="00B94260"/>
    <w:rsid w:val="00B946CC"/>
    <w:rsid w:val="00B951C7"/>
    <w:rsid w:val="00B95E10"/>
    <w:rsid w:val="00B965B3"/>
    <w:rsid w:val="00BA1427"/>
    <w:rsid w:val="00BA218C"/>
    <w:rsid w:val="00BA33A5"/>
    <w:rsid w:val="00BA4C99"/>
    <w:rsid w:val="00BA5B0A"/>
    <w:rsid w:val="00BB21B3"/>
    <w:rsid w:val="00BB2873"/>
    <w:rsid w:val="00BB6A08"/>
    <w:rsid w:val="00BB7CF9"/>
    <w:rsid w:val="00BC0371"/>
    <w:rsid w:val="00BC2327"/>
    <w:rsid w:val="00BC2656"/>
    <w:rsid w:val="00BC57E8"/>
    <w:rsid w:val="00BD0668"/>
    <w:rsid w:val="00BD09B9"/>
    <w:rsid w:val="00BD18B7"/>
    <w:rsid w:val="00BD5377"/>
    <w:rsid w:val="00BD5A46"/>
    <w:rsid w:val="00BE00D8"/>
    <w:rsid w:val="00BE1C78"/>
    <w:rsid w:val="00BE49C4"/>
    <w:rsid w:val="00BE4B8F"/>
    <w:rsid w:val="00BE512A"/>
    <w:rsid w:val="00BE5E8B"/>
    <w:rsid w:val="00BE6007"/>
    <w:rsid w:val="00BF02D0"/>
    <w:rsid w:val="00BF08B3"/>
    <w:rsid w:val="00BF0EF3"/>
    <w:rsid w:val="00BF106D"/>
    <w:rsid w:val="00BF4F3E"/>
    <w:rsid w:val="00BF57AE"/>
    <w:rsid w:val="00BF5ECD"/>
    <w:rsid w:val="00C00521"/>
    <w:rsid w:val="00C022C2"/>
    <w:rsid w:val="00C02BFD"/>
    <w:rsid w:val="00C02E02"/>
    <w:rsid w:val="00C04B56"/>
    <w:rsid w:val="00C04D28"/>
    <w:rsid w:val="00C04F39"/>
    <w:rsid w:val="00C056BC"/>
    <w:rsid w:val="00C10814"/>
    <w:rsid w:val="00C10FF9"/>
    <w:rsid w:val="00C1121F"/>
    <w:rsid w:val="00C11DCB"/>
    <w:rsid w:val="00C135D2"/>
    <w:rsid w:val="00C13E32"/>
    <w:rsid w:val="00C13EE5"/>
    <w:rsid w:val="00C22087"/>
    <w:rsid w:val="00C22FFC"/>
    <w:rsid w:val="00C249A1"/>
    <w:rsid w:val="00C24B86"/>
    <w:rsid w:val="00C25823"/>
    <w:rsid w:val="00C26F9A"/>
    <w:rsid w:val="00C30828"/>
    <w:rsid w:val="00C32848"/>
    <w:rsid w:val="00C3695D"/>
    <w:rsid w:val="00C37BCF"/>
    <w:rsid w:val="00C42EB4"/>
    <w:rsid w:val="00C44FDB"/>
    <w:rsid w:val="00C46103"/>
    <w:rsid w:val="00C53F8F"/>
    <w:rsid w:val="00C61D19"/>
    <w:rsid w:val="00C62EBA"/>
    <w:rsid w:val="00C645A0"/>
    <w:rsid w:val="00C651A1"/>
    <w:rsid w:val="00C6548F"/>
    <w:rsid w:val="00C72868"/>
    <w:rsid w:val="00C72ECC"/>
    <w:rsid w:val="00C73376"/>
    <w:rsid w:val="00C736F4"/>
    <w:rsid w:val="00C75879"/>
    <w:rsid w:val="00C76281"/>
    <w:rsid w:val="00C76A55"/>
    <w:rsid w:val="00C76F21"/>
    <w:rsid w:val="00C77C58"/>
    <w:rsid w:val="00C8016C"/>
    <w:rsid w:val="00C81222"/>
    <w:rsid w:val="00C812FD"/>
    <w:rsid w:val="00C81974"/>
    <w:rsid w:val="00C82258"/>
    <w:rsid w:val="00C824E3"/>
    <w:rsid w:val="00C8577C"/>
    <w:rsid w:val="00C85D13"/>
    <w:rsid w:val="00C8646C"/>
    <w:rsid w:val="00C86E63"/>
    <w:rsid w:val="00C92B1D"/>
    <w:rsid w:val="00C92CA9"/>
    <w:rsid w:val="00CA04E9"/>
    <w:rsid w:val="00CA0515"/>
    <w:rsid w:val="00CA05A5"/>
    <w:rsid w:val="00CA1CC7"/>
    <w:rsid w:val="00CA6451"/>
    <w:rsid w:val="00CA6F9A"/>
    <w:rsid w:val="00CB02B1"/>
    <w:rsid w:val="00CB19DD"/>
    <w:rsid w:val="00CB2D67"/>
    <w:rsid w:val="00CB5B8E"/>
    <w:rsid w:val="00CB70CB"/>
    <w:rsid w:val="00CB74BA"/>
    <w:rsid w:val="00CB7FAA"/>
    <w:rsid w:val="00CC0359"/>
    <w:rsid w:val="00CC0707"/>
    <w:rsid w:val="00CC191B"/>
    <w:rsid w:val="00CC1EA3"/>
    <w:rsid w:val="00CC2CCB"/>
    <w:rsid w:val="00CC3E33"/>
    <w:rsid w:val="00CC4055"/>
    <w:rsid w:val="00CC4F41"/>
    <w:rsid w:val="00CC67BA"/>
    <w:rsid w:val="00CC72DB"/>
    <w:rsid w:val="00CC7D51"/>
    <w:rsid w:val="00CD03A9"/>
    <w:rsid w:val="00CD13C2"/>
    <w:rsid w:val="00CD22D8"/>
    <w:rsid w:val="00CD359C"/>
    <w:rsid w:val="00CD4CD9"/>
    <w:rsid w:val="00CD4F88"/>
    <w:rsid w:val="00CD5591"/>
    <w:rsid w:val="00CD594B"/>
    <w:rsid w:val="00CE047D"/>
    <w:rsid w:val="00CE0BD0"/>
    <w:rsid w:val="00CE1BEB"/>
    <w:rsid w:val="00CE29ED"/>
    <w:rsid w:val="00CE5128"/>
    <w:rsid w:val="00CE5260"/>
    <w:rsid w:val="00CE5993"/>
    <w:rsid w:val="00CE61F0"/>
    <w:rsid w:val="00CE6414"/>
    <w:rsid w:val="00CF3A34"/>
    <w:rsid w:val="00CF3C3F"/>
    <w:rsid w:val="00CF4577"/>
    <w:rsid w:val="00CF5FD6"/>
    <w:rsid w:val="00CF770E"/>
    <w:rsid w:val="00D00606"/>
    <w:rsid w:val="00D010BD"/>
    <w:rsid w:val="00D03CD0"/>
    <w:rsid w:val="00D04A5F"/>
    <w:rsid w:val="00D10772"/>
    <w:rsid w:val="00D10E42"/>
    <w:rsid w:val="00D1534D"/>
    <w:rsid w:val="00D17378"/>
    <w:rsid w:val="00D176C5"/>
    <w:rsid w:val="00D2061B"/>
    <w:rsid w:val="00D2126A"/>
    <w:rsid w:val="00D30C37"/>
    <w:rsid w:val="00D3418F"/>
    <w:rsid w:val="00D3428D"/>
    <w:rsid w:val="00D34A4C"/>
    <w:rsid w:val="00D36CD1"/>
    <w:rsid w:val="00D37144"/>
    <w:rsid w:val="00D40DA0"/>
    <w:rsid w:val="00D41A8D"/>
    <w:rsid w:val="00D42C25"/>
    <w:rsid w:val="00D44BCC"/>
    <w:rsid w:val="00D463B2"/>
    <w:rsid w:val="00D517EC"/>
    <w:rsid w:val="00D52F5D"/>
    <w:rsid w:val="00D53048"/>
    <w:rsid w:val="00D544DB"/>
    <w:rsid w:val="00D55D77"/>
    <w:rsid w:val="00D5705F"/>
    <w:rsid w:val="00D57074"/>
    <w:rsid w:val="00D61BEA"/>
    <w:rsid w:val="00D61FDB"/>
    <w:rsid w:val="00D630AC"/>
    <w:rsid w:val="00D647EA"/>
    <w:rsid w:val="00D72FA2"/>
    <w:rsid w:val="00D73C56"/>
    <w:rsid w:val="00D74AF0"/>
    <w:rsid w:val="00D75791"/>
    <w:rsid w:val="00D75FE5"/>
    <w:rsid w:val="00D7609F"/>
    <w:rsid w:val="00D772A5"/>
    <w:rsid w:val="00D806D8"/>
    <w:rsid w:val="00D814F7"/>
    <w:rsid w:val="00D8345F"/>
    <w:rsid w:val="00D839BE"/>
    <w:rsid w:val="00D85ECC"/>
    <w:rsid w:val="00D90682"/>
    <w:rsid w:val="00D90728"/>
    <w:rsid w:val="00D90D8D"/>
    <w:rsid w:val="00D93623"/>
    <w:rsid w:val="00D949B9"/>
    <w:rsid w:val="00D956E1"/>
    <w:rsid w:val="00D95B73"/>
    <w:rsid w:val="00D971B3"/>
    <w:rsid w:val="00DA0A06"/>
    <w:rsid w:val="00DA106D"/>
    <w:rsid w:val="00DA1560"/>
    <w:rsid w:val="00DA38C3"/>
    <w:rsid w:val="00DA3C63"/>
    <w:rsid w:val="00DA5242"/>
    <w:rsid w:val="00DA5A70"/>
    <w:rsid w:val="00DA7549"/>
    <w:rsid w:val="00DA7581"/>
    <w:rsid w:val="00DB0162"/>
    <w:rsid w:val="00DB0C45"/>
    <w:rsid w:val="00DB2661"/>
    <w:rsid w:val="00DB38FF"/>
    <w:rsid w:val="00DB620A"/>
    <w:rsid w:val="00DB6440"/>
    <w:rsid w:val="00DB66D7"/>
    <w:rsid w:val="00DB72D2"/>
    <w:rsid w:val="00DC0DED"/>
    <w:rsid w:val="00DC0EEE"/>
    <w:rsid w:val="00DC2DD0"/>
    <w:rsid w:val="00DD15F5"/>
    <w:rsid w:val="00DD224E"/>
    <w:rsid w:val="00DD48A4"/>
    <w:rsid w:val="00DD7F2D"/>
    <w:rsid w:val="00DE0123"/>
    <w:rsid w:val="00DE18DF"/>
    <w:rsid w:val="00DE1E4A"/>
    <w:rsid w:val="00DE2211"/>
    <w:rsid w:val="00DE3390"/>
    <w:rsid w:val="00DE570E"/>
    <w:rsid w:val="00DE5FA4"/>
    <w:rsid w:val="00DE6CF8"/>
    <w:rsid w:val="00DE6E3B"/>
    <w:rsid w:val="00DE7342"/>
    <w:rsid w:val="00DE7A6C"/>
    <w:rsid w:val="00DF2C9F"/>
    <w:rsid w:val="00DF3A3A"/>
    <w:rsid w:val="00DF45B3"/>
    <w:rsid w:val="00DF4680"/>
    <w:rsid w:val="00DF4A39"/>
    <w:rsid w:val="00DF7ED8"/>
    <w:rsid w:val="00DF7FA2"/>
    <w:rsid w:val="00E01951"/>
    <w:rsid w:val="00E020A6"/>
    <w:rsid w:val="00E04665"/>
    <w:rsid w:val="00E04E7A"/>
    <w:rsid w:val="00E078AC"/>
    <w:rsid w:val="00E07B1A"/>
    <w:rsid w:val="00E10AE6"/>
    <w:rsid w:val="00E12BAF"/>
    <w:rsid w:val="00E13005"/>
    <w:rsid w:val="00E1383E"/>
    <w:rsid w:val="00E13F25"/>
    <w:rsid w:val="00E1746B"/>
    <w:rsid w:val="00E21E86"/>
    <w:rsid w:val="00E22DE4"/>
    <w:rsid w:val="00E25394"/>
    <w:rsid w:val="00E264AF"/>
    <w:rsid w:val="00E2705A"/>
    <w:rsid w:val="00E334C4"/>
    <w:rsid w:val="00E3405D"/>
    <w:rsid w:val="00E34A1E"/>
    <w:rsid w:val="00E34D49"/>
    <w:rsid w:val="00E353B8"/>
    <w:rsid w:val="00E35812"/>
    <w:rsid w:val="00E368A0"/>
    <w:rsid w:val="00E36F9F"/>
    <w:rsid w:val="00E40CCF"/>
    <w:rsid w:val="00E41D2C"/>
    <w:rsid w:val="00E430B8"/>
    <w:rsid w:val="00E43698"/>
    <w:rsid w:val="00E454AB"/>
    <w:rsid w:val="00E471E8"/>
    <w:rsid w:val="00E50508"/>
    <w:rsid w:val="00E50E1F"/>
    <w:rsid w:val="00E50FDE"/>
    <w:rsid w:val="00E525CC"/>
    <w:rsid w:val="00E539AE"/>
    <w:rsid w:val="00E56135"/>
    <w:rsid w:val="00E577A1"/>
    <w:rsid w:val="00E57D75"/>
    <w:rsid w:val="00E6018B"/>
    <w:rsid w:val="00E6063A"/>
    <w:rsid w:val="00E62EEA"/>
    <w:rsid w:val="00E63C9B"/>
    <w:rsid w:val="00E64E59"/>
    <w:rsid w:val="00E66E05"/>
    <w:rsid w:val="00E67E1D"/>
    <w:rsid w:val="00E70460"/>
    <w:rsid w:val="00E70938"/>
    <w:rsid w:val="00E709C5"/>
    <w:rsid w:val="00E7166F"/>
    <w:rsid w:val="00E7442C"/>
    <w:rsid w:val="00E754CF"/>
    <w:rsid w:val="00E75731"/>
    <w:rsid w:val="00E776ED"/>
    <w:rsid w:val="00E77AA5"/>
    <w:rsid w:val="00E8230D"/>
    <w:rsid w:val="00E8329A"/>
    <w:rsid w:val="00E84F54"/>
    <w:rsid w:val="00E8655A"/>
    <w:rsid w:val="00E86A8D"/>
    <w:rsid w:val="00E87F13"/>
    <w:rsid w:val="00E92058"/>
    <w:rsid w:val="00E941E9"/>
    <w:rsid w:val="00E9632E"/>
    <w:rsid w:val="00EA0537"/>
    <w:rsid w:val="00EA2425"/>
    <w:rsid w:val="00EA5F90"/>
    <w:rsid w:val="00EA6CA3"/>
    <w:rsid w:val="00EA7A0F"/>
    <w:rsid w:val="00EB1BE0"/>
    <w:rsid w:val="00EB21BA"/>
    <w:rsid w:val="00EB29C1"/>
    <w:rsid w:val="00EB3177"/>
    <w:rsid w:val="00EB3302"/>
    <w:rsid w:val="00EB4F5D"/>
    <w:rsid w:val="00EB6398"/>
    <w:rsid w:val="00EC0E43"/>
    <w:rsid w:val="00EC1477"/>
    <w:rsid w:val="00EC32FD"/>
    <w:rsid w:val="00EC5C23"/>
    <w:rsid w:val="00EC5F6D"/>
    <w:rsid w:val="00EC6779"/>
    <w:rsid w:val="00EC7392"/>
    <w:rsid w:val="00ED1190"/>
    <w:rsid w:val="00ED1208"/>
    <w:rsid w:val="00ED171B"/>
    <w:rsid w:val="00ED31BB"/>
    <w:rsid w:val="00ED4831"/>
    <w:rsid w:val="00ED58C0"/>
    <w:rsid w:val="00ED7B59"/>
    <w:rsid w:val="00ED7C14"/>
    <w:rsid w:val="00EE3D7E"/>
    <w:rsid w:val="00EE490C"/>
    <w:rsid w:val="00EE6A2E"/>
    <w:rsid w:val="00EF0330"/>
    <w:rsid w:val="00EF222D"/>
    <w:rsid w:val="00EF2A79"/>
    <w:rsid w:val="00EF34A7"/>
    <w:rsid w:val="00EF6C6A"/>
    <w:rsid w:val="00F00AC0"/>
    <w:rsid w:val="00F01393"/>
    <w:rsid w:val="00F02DE4"/>
    <w:rsid w:val="00F02F62"/>
    <w:rsid w:val="00F06406"/>
    <w:rsid w:val="00F100CA"/>
    <w:rsid w:val="00F10D05"/>
    <w:rsid w:val="00F15341"/>
    <w:rsid w:val="00F16502"/>
    <w:rsid w:val="00F20753"/>
    <w:rsid w:val="00F21C76"/>
    <w:rsid w:val="00F2335D"/>
    <w:rsid w:val="00F24432"/>
    <w:rsid w:val="00F24903"/>
    <w:rsid w:val="00F36374"/>
    <w:rsid w:val="00F41A99"/>
    <w:rsid w:val="00F4370C"/>
    <w:rsid w:val="00F44850"/>
    <w:rsid w:val="00F47FBB"/>
    <w:rsid w:val="00F507D8"/>
    <w:rsid w:val="00F51C81"/>
    <w:rsid w:val="00F57467"/>
    <w:rsid w:val="00F6344D"/>
    <w:rsid w:val="00F661F6"/>
    <w:rsid w:val="00F66D67"/>
    <w:rsid w:val="00F740B6"/>
    <w:rsid w:val="00F743A5"/>
    <w:rsid w:val="00F74E8E"/>
    <w:rsid w:val="00F77009"/>
    <w:rsid w:val="00F822ED"/>
    <w:rsid w:val="00F82CAA"/>
    <w:rsid w:val="00F83C7A"/>
    <w:rsid w:val="00F842DE"/>
    <w:rsid w:val="00F90B14"/>
    <w:rsid w:val="00F911CC"/>
    <w:rsid w:val="00F915D2"/>
    <w:rsid w:val="00F92CCD"/>
    <w:rsid w:val="00F92ED1"/>
    <w:rsid w:val="00F957F8"/>
    <w:rsid w:val="00F966E2"/>
    <w:rsid w:val="00F97ED0"/>
    <w:rsid w:val="00FA0F8F"/>
    <w:rsid w:val="00FA170E"/>
    <w:rsid w:val="00FA1719"/>
    <w:rsid w:val="00FA437F"/>
    <w:rsid w:val="00FA4EA5"/>
    <w:rsid w:val="00FA7182"/>
    <w:rsid w:val="00FB3E18"/>
    <w:rsid w:val="00FB405D"/>
    <w:rsid w:val="00FB41CF"/>
    <w:rsid w:val="00FB43DA"/>
    <w:rsid w:val="00FB6B5A"/>
    <w:rsid w:val="00FC0D88"/>
    <w:rsid w:val="00FC12E9"/>
    <w:rsid w:val="00FC1C41"/>
    <w:rsid w:val="00FC232E"/>
    <w:rsid w:val="00FC7A15"/>
    <w:rsid w:val="00FD4705"/>
    <w:rsid w:val="00FD4AC2"/>
    <w:rsid w:val="00FD6A3E"/>
    <w:rsid w:val="00FD75AD"/>
    <w:rsid w:val="00FE0E08"/>
    <w:rsid w:val="00FE1A7E"/>
    <w:rsid w:val="00FE26E1"/>
    <w:rsid w:val="00FE3AF5"/>
    <w:rsid w:val="00FE477C"/>
    <w:rsid w:val="00FE728A"/>
    <w:rsid w:val="00FE730E"/>
    <w:rsid w:val="00FF0CBC"/>
    <w:rsid w:val="00FF2030"/>
    <w:rsid w:val="00FF27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5012"/>
  <w15:docId w15:val="{FC3A0E48-0E7B-4536-BE0C-40E44294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44850"/>
    <w:pPr>
      <w:spacing w:after="120"/>
      <w:jc w:val="both"/>
    </w:pPr>
    <w:rPr>
      <w:rFonts w:eastAsia="Times New Roman"/>
      <w:color w:val="000000"/>
      <w:sz w:val="22"/>
      <w:szCs w:val="22"/>
    </w:rPr>
  </w:style>
  <w:style w:type="paragraph" w:styleId="Cmsor1">
    <w:name w:val="heading 1"/>
    <w:basedOn w:val="Norml"/>
    <w:next w:val="Norml"/>
    <w:link w:val="Cmsor1Char"/>
    <w:autoRedefine/>
    <w:qFormat/>
    <w:rsid w:val="000B53CC"/>
    <w:pPr>
      <w:keepNext/>
      <w:numPr>
        <w:numId w:val="6"/>
      </w:numPr>
      <w:tabs>
        <w:tab w:val="left" w:pos="426"/>
      </w:tabs>
      <w:spacing w:after="240"/>
      <w:ind w:left="357" w:hanging="357"/>
      <w:jc w:val="left"/>
      <w:outlineLvl w:val="0"/>
    </w:pPr>
    <w:rPr>
      <w:rFonts w:cs="Arial"/>
      <w:b/>
      <w:bCs/>
      <w:kern w:val="32"/>
    </w:rPr>
  </w:style>
  <w:style w:type="paragraph" w:styleId="Cmsor2">
    <w:name w:val="heading 2"/>
    <w:basedOn w:val="Norml"/>
    <w:next w:val="Norml"/>
    <w:link w:val="Cmsor2Char"/>
    <w:autoRedefine/>
    <w:qFormat/>
    <w:rsid w:val="00FB41CF"/>
    <w:pPr>
      <w:keepNext/>
      <w:numPr>
        <w:ilvl w:val="1"/>
        <w:numId w:val="6"/>
      </w:numPr>
      <w:spacing w:after="240"/>
      <w:ind w:left="0" w:firstLine="0"/>
      <w:outlineLvl w:val="1"/>
    </w:pPr>
    <w:rPr>
      <w:b/>
      <w:bCs/>
      <w:iCs/>
      <w:lang w:val="x-none" w:eastAsia="x-none"/>
    </w:rPr>
  </w:style>
  <w:style w:type="paragraph" w:styleId="Cmsor3">
    <w:name w:val="heading 3"/>
    <w:basedOn w:val="Norml"/>
    <w:next w:val="Norml"/>
    <w:link w:val="Cmsor3Char"/>
    <w:qFormat/>
    <w:rsid w:val="003F29E3"/>
    <w:pPr>
      <w:keepNext/>
      <w:numPr>
        <w:ilvl w:val="2"/>
        <w:numId w:val="6"/>
      </w:numPr>
      <w:outlineLvl w:val="2"/>
    </w:pPr>
    <w:rPr>
      <w:b/>
      <w:bCs/>
      <w:i/>
      <w:color w:val="auto"/>
      <w:lang w:val="x-none" w:eastAsia="x-none"/>
    </w:rPr>
  </w:style>
  <w:style w:type="paragraph" w:styleId="Cmsor4">
    <w:name w:val="heading 4"/>
    <w:basedOn w:val="Norml"/>
    <w:next w:val="Norml"/>
    <w:link w:val="Cmsor4Char"/>
    <w:unhideWhenUsed/>
    <w:qFormat/>
    <w:rsid w:val="00274C60"/>
    <w:pPr>
      <w:keepNext/>
      <w:keepLines/>
      <w:numPr>
        <w:ilvl w:val="3"/>
        <w:numId w:val="6"/>
      </w:numPr>
      <w:spacing w:before="200"/>
      <w:outlineLvl w:val="3"/>
    </w:pPr>
    <w:rPr>
      <w:b/>
      <w:bCs/>
      <w:i/>
      <w:iCs/>
      <w:color w:val="auto"/>
      <w:lang w:val="x-none" w:eastAsia="x-none"/>
    </w:rPr>
  </w:style>
  <w:style w:type="paragraph" w:styleId="Cmsor5">
    <w:name w:val="heading 5"/>
    <w:basedOn w:val="Norml"/>
    <w:next w:val="Norml"/>
    <w:link w:val="Cmsor5Char"/>
    <w:unhideWhenUsed/>
    <w:qFormat/>
    <w:rsid w:val="003F29E3"/>
    <w:pPr>
      <w:keepNext/>
      <w:keepLines/>
      <w:numPr>
        <w:ilvl w:val="4"/>
        <w:numId w:val="6"/>
      </w:numPr>
      <w:spacing w:before="200"/>
      <w:outlineLvl w:val="4"/>
    </w:pPr>
    <w:rPr>
      <w:b/>
      <w:color w:val="auto"/>
      <w:lang w:val="x-none" w:eastAsia="x-none"/>
    </w:rPr>
  </w:style>
  <w:style w:type="paragraph" w:styleId="Cmsor6">
    <w:name w:val="heading 6"/>
    <w:basedOn w:val="Norml"/>
    <w:next w:val="Norml"/>
    <w:link w:val="Cmsor6Char"/>
    <w:unhideWhenUsed/>
    <w:qFormat/>
    <w:rsid w:val="003F29E3"/>
    <w:pPr>
      <w:numPr>
        <w:ilvl w:val="5"/>
        <w:numId w:val="6"/>
      </w:numPr>
      <w:spacing w:before="240" w:after="60"/>
      <w:outlineLvl w:val="5"/>
    </w:pPr>
    <w:rPr>
      <w:b/>
      <w:bCs/>
      <w:lang w:val="x-none" w:eastAsia="x-none"/>
    </w:rPr>
  </w:style>
  <w:style w:type="paragraph" w:styleId="Cmsor7">
    <w:name w:val="heading 7"/>
    <w:basedOn w:val="Norml"/>
    <w:next w:val="Norml"/>
    <w:link w:val="Cmsor7Char"/>
    <w:semiHidden/>
    <w:unhideWhenUsed/>
    <w:qFormat/>
    <w:rsid w:val="003F29E3"/>
    <w:pPr>
      <w:numPr>
        <w:ilvl w:val="6"/>
        <w:numId w:val="6"/>
      </w:numPr>
      <w:spacing w:before="240" w:after="60"/>
      <w:outlineLvl w:val="6"/>
    </w:pPr>
    <w:rPr>
      <w:lang w:val="x-none" w:eastAsia="x-none"/>
    </w:rPr>
  </w:style>
  <w:style w:type="paragraph" w:styleId="Cmsor8">
    <w:name w:val="heading 8"/>
    <w:basedOn w:val="Norml"/>
    <w:next w:val="Norml"/>
    <w:link w:val="Cmsor8Char"/>
    <w:semiHidden/>
    <w:unhideWhenUsed/>
    <w:qFormat/>
    <w:rsid w:val="003F29E3"/>
    <w:pPr>
      <w:numPr>
        <w:ilvl w:val="7"/>
        <w:numId w:val="6"/>
      </w:numPr>
      <w:spacing w:before="240" w:after="60"/>
      <w:outlineLvl w:val="7"/>
    </w:pPr>
    <w:rPr>
      <w:i/>
      <w:iCs/>
      <w:lang w:val="x-none" w:eastAsia="x-none"/>
    </w:rPr>
  </w:style>
  <w:style w:type="paragraph" w:styleId="Cmsor9">
    <w:name w:val="heading 9"/>
    <w:basedOn w:val="Norml"/>
    <w:next w:val="Norml"/>
    <w:link w:val="Cmsor9Char"/>
    <w:semiHidden/>
    <w:unhideWhenUsed/>
    <w:qFormat/>
    <w:rsid w:val="003F29E3"/>
    <w:pPr>
      <w:numPr>
        <w:ilvl w:val="8"/>
        <w:numId w:val="6"/>
      </w:numPr>
      <w:spacing w:before="240" w:after="60"/>
      <w:outlineLvl w:val="8"/>
    </w:pPr>
    <w:rPr>
      <w:rFonts w:ascii="Cambria" w:hAnsi="Cambria"/>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0B53CC"/>
    <w:rPr>
      <w:rFonts w:eastAsia="Times New Roman" w:cs="Arial"/>
      <w:b/>
      <w:bCs/>
      <w:color w:val="000000"/>
      <w:kern w:val="32"/>
      <w:sz w:val="22"/>
      <w:szCs w:val="22"/>
    </w:rPr>
  </w:style>
  <w:style w:type="character" w:customStyle="1" w:styleId="Cmsor2Char">
    <w:name w:val="Címsor 2 Char"/>
    <w:link w:val="Cmsor2"/>
    <w:rsid w:val="00FB41CF"/>
    <w:rPr>
      <w:rFonts w:eastAsia="Times New Roman"/>
      <w:b/>
      <w:bCs/>
      <w:iCs/>
      <w:color w:val="000000"/>
      <w:sz w:val="22"/>
      <w:szCs w:val="22"/>
      <w:lang w:val="x-none" w:eastAsia="x-none"/>
    </w:rPr>
  </w:style>
  <w:style w:type="character" w:customStyle="1" w:styleId="Cmsor3Char">
    <w:name w:val="Címsor 3 Char"/>
    <w:link w:val="Cmsor3"/>
    <w:rsid w:val="003F29E3"/>
    <w:rPr>
      <w:rFonts w:eastAsia="Times New Roman"/>
      <w:b/>
      <w:bCs/>
      <w:i/>
      <w:sz w:val="22"/>
      <w:szCs w:val="22"/>
      <w:lang w:val="x-none" w:eastAsia="x-none"/>
    </w:rPr>
  </w:style>
  <w:style w:type="character" w:customStyle="1" w:styleId="Cmsor4Char">
    <w:name w:val="Címsor 4 Char"/>
    <w:link w:val="Cmsor4"/>
    <w:rsid w:val="00274C60"/>
    <w:rPr>
      <w:rFonts w:eastAsia="Times New Roman"/>
      <w:b/>
      <w:bCs/>
      <w:i/>
      <w:iCs/>
      <w:sz w:val="22"/>
      <w:szCs w:val="22"/>
      <w:lang w:val="x-none" w:eastAsia="x-none"/>
    </w:rPr>
  </w:style>
  <w:style w:type="character" w:customStyle="1" w:styleId="Cmsor5Char">
    <w:name w:val="Címsor 5 Char"/>
    <w:link w:val="Cmsor5"/>
    <w:rsid w:val="003F29E3"/>
    <w:rPr>
      <w:rFonts w:eastAsia="Times New Roman"/>
      <w:b/>
      <w:sz w:val="22"/>
      <w:szCs w:val="22"/>
      <w:lang w:val="x-none" w:eastAsia="x-none"/>
    </w:rPr>
  </w:style>
  <w:style w:type="character" w:customStyle="1" w:styleId="Cmsor6Char">
    <w:name w:val="Címsor 6 Char"/>
    <w:link w:val="Cmsor6"/>
    <w:rsid w:val="003F29E3"/>
    <w:rPr>
      <w:rFonts w:eastAsia="Times New Roman"/>
      <w:b/>
      <w:bCs/>
      <w:color w:val="000000"/>
      <w:sz w:val="22"/>
      <w:szCs w:val="22"/>
      <w:lang w:val="x-none" w:eastAsia="x-none"/>
    </w:rPr>
  </w:style>
  <w:style w:type="character" w:customStyle="1" w:styleId="Cmsor7Char">
    <w:name w:val="Címsor 7 Char"/>
    <w:link w:val="Cmsor7"/>
    <w:semiHidden/>
    <w:rsid w:val="003F29E3"/>
    <w:rPr>
      <w:rFonts w:eastAsia="Times New Roman"/>
      <w:color w:val="000000"/>
      <w:sz w:val="22"/>
      <w:szCs w:val="22"/>
      <w:lang w:val="x-none" w:eastAsia="x-none"/>
    </w:rPr>
  </w:style>
  <w:style w:type="character" w:customStyle="1" w:styleId="Cmsor8Char">
    <w:name w:val="Címsor 8 Char"/>
    <w:link w:val="Cmsor8"/>
    <w:semiHidden/>
    <w:rsid w:val="003F29E3"/>
    <w:rPr>
      <w:rFonts w:eastAsia="Times New Roman"/>
      <w:i/>
      <w:iCs/>
      <w:color w:val="000000"/>
      <w:sz w:val="22"/>
      <w:szCs w:val="22"/>
      <w:lang w:val="x-none" w:eastAsia="x-none"/>
    </w:rPr>
  </w:style>
  <w:style w:type="character" w:customStyle="1" w:styleId="Cmsor9Char">
    <w:name w:val="Címsor 9 Char"/>
    <w:link w:val="Cmsor9"/>
    <w:semiHidden/>
    <w:rsid w:val="003F29E3"/>
    <w:rPr>
      <w:rFonts w:ascii="Cambria" w:eastAsia="Times New Roman" w:hAnsi="Cambria"/>
      <w:color w:val="000000"/>
      <w:sz w:val="22"/>
      <w:szCs w:val="22"/>
      <w:lang w:val="x-none" w:eastAsia="x-none"/>
    </w:rPr>
  </w:style>
  <w:style w:type="paragraph" w:styleId="Lbjegyzetszveg">
    <w:name w:val="footnote text"/>
    <w:aliases w:val="lábléc,Footnote Text Char1 Char,Footnote Text Char Char Char,lábléc Char Char Char,lábléc Char1 Char,Footnote Text Char1,Footnote Text Char Char,lábléc Char Char,lábléc Char1"/>
    <w:basedOn w:val="Norml"/>
    <w:link w:val="LbjegyzetszvegChar"/>
    <w:uiPriority w:val="99"/>
    <w:qFormat/>
    <w:rsid w:val="003F29E3"/>
    <w:pPr>
      <w:spacing w:after="0"/>
    </w:pPr>
    <w:rPr>
      <w:sz w:val="16"/>
      <w:szCs w:val="16"/>
      <w:lang w:val="x-none" w:eastAsia="x-none"/>
    </w:rPr>
  </w:style>
  <w:style w:type="character" w:customStyle="1" w:styleId="LbjegyzetszvegChar">
    <w:name w:val="Lábjegyzetszöveg Char"/>
    <w:aliases w:val="lábléc Char,Footnote Text Char1 Char Char,Footnote Text Char Char Char Char,lábléc Char Char Char Char,lábléc Char1 Char Char,Footnote Text Char1 Char1,Footnote Text Char Char Char1,lábléc Char Char Char1,lábléc Char1 Char1"/>
    <w:link w:val="Lbjegyzetszveg"/>
    <w:uiPriority w:val="99"/>
    <w:rsid w:val="003F29E3"/>
    <w:rPr>
      <w:rFonts w:ascii="Calibri" w:eastAsia="Times New Roman" w:hAnsi="Calibri" w:cs="Times New Roman"/>
      <w:color w:val="000000"/>
      <w:sz w:val="16"/>
      <w:szCs w:val="16"/>
      <w:lang w:val="x-none" w:eastAsia="x-none"/>
    </w:rPr>
  </w:style>
  <w:style w:type="character" w:styleId="Lbjegyzet-hivatkozs">
    <w:name w:val="footnote reference"/>
    <w:aliases w:val="Footnote Reference Number,Footnote Reference_LVL6,Footnote Reference_LVL61,Footnote Reference_LVL62,Footnote Reference_LVL63,Footnote Reference_LVL64, Char1,Char1"/>
    <w:uiPriority w:val="99"/>
    <w:rsid w:val="003F29E3"/>
    <w:rPr>
      <w:vertAlign w:val="superscript"/>
    </w:rPr>
  </w:style>
  <w:style w:type="paragraph" w:customStyle="1" w:styleId="Norml1">
    <w:name w:val="Normál1"/>
    <w:basedOn w:val="Norml"/>
    <w:next w:val="Norml"/>
    <w:autoRedefine/>
    <w:rsid w:val="003F29E3"/>
    <w:pPr>
      <w:numPr>
        <w:numId w:val="1"/>
      </w:numPr>
      <w:autoSpaceDE w:val="0"/>
      <w:autoSpaceDN w:val="0"/>
      <w:adjustRightInd w:val="0"/>
    </w:pPr>
    <w:rPr>
      <w:rFonts w:ascii="Garamond" w:hAnsi="Garamond"/>
    </w:rPr>
  </w:style>
  <w:style w:type="paragraph" w:styleId="Buborkszveg">
    <w:name w:val="Balloon Text"/>
    <w:basedOn w:val="Norml"/>
    <w:link w:val="BuborkszvegChar"/>
    <w:semiHidden/>
    <w:rsid w:val="003F29E3"/>
    <w:rPr>
      <w:rFonts w:ascii="Tahoma" w:hAnsi="Tahoma" w:cs="Tahoma"/>
      <w:sz w:val="16"/>
      <w:szCs w:val="16"/>
    </w:rPr>
  </w:style>
  <w:style w:type="character" w:customStyle="1" w:styleId="BuborkszvegChar">
    <w:name w:val="Buborékszöveg Char"/>
    <w:link w:val="Buborkszveg"/>
    <w:semiHidden/>
    <w:rsid w:val="003F29E3"/>
    <w:rPr>
      <w:rFonts w:ascii="Tahoma" w:eastAsia="Times New Roman" w:hAnsi="Tahoma" w:cs="Tahoma"/>
      <w:color w:val="000000"/>
      <w:sz w:val="16"/>
      <w:szCs w:val="16"/>
      <w:lang w:eastAsia="hu-HU"/>
    </w:rPr>
  </w:style>
  <w:style w:type="paragraph" w:styleId="NormlWeb">
    <w:name w:val="Normal (Web)"/>
    <w:basedOn w:val="Norml"/>
    <w:uiPriority w:val="99"/>
    <w:rsid w:val="003F29E3"/>
    <w:pPr>
      <w:spacing w:before="100" w:beforeAutospacing="1" w:after="100" w:afterAutospacing="1"/>
    </w:pPr>
  </w:style>
  <w:style w:type="character" w:styleId="Hiperhivatkozs">
    <w:name w:val="Hyperlink"/>
    <w:uiPriority w:val="99"/>
    <w:rsid w:val="003F29E3"/>
    <w:rPr>
      <w:color w:val="0000FF"/>
      <w:u w:val="single"/>
    </w:rPr>
  </w:style>
  <w:style w:type="character" w:styleId="Jegyzethivatkozs">
    <w:name w:val="annotation reference"/>
    <w:rsid w:val="003F29E3"/>
    <w:rPr>
      <w:sz w:val="16"/>
      <w:szCs w:val="16"/>
    </w:rPr>
  </w:style>
  <w:style w:type="paragraph" w:styleId="Jegyzetszveg">
    <w:name w:val="annotation text"/>
    <w:basedOn w:val="Norml"/>
    <w:link w:val="JegyzetszvegChar"/>
    <w:rsid w:val="003F29E3"/>
    <w:rPr>
      <w:sz w:val="20"/>
      <w:szCs w:val="20"/>
    </w:rPr>
  </w:style>
  <w:style w:type="character" w:customStyle="1" w:styleId="JegyzetszvegChar">
    <w:name w:val="Jegyzetszöveg Char"/>
    <w:link w:val="Jegyzetszveg"/>
    <w:rsid w:val="003F29E3"/>
    <w:rPr>
      <w:rFonts w:ascii="Calibri" w:eastAsia="Times New Roman" w:hAnsi="Calibri" w:cs="Times New Roman"/>
      <w:color w:val="000000"/>
      <w:sz w:val="20"/>
      <w:szCs w:val="20"/>
      <w:lang w:eastAsia="hu-HU"/>
    </w:rPr>
  </w:style>
  <w:style w:type="paragraph" w:styleId="Szvegtrzs">
    <w:name w:val="Body Text"/>
    <w:basedOn w:val="Norml"/>
    <w:link w:val="Szvegtrzs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SzvegtrzsChar">
    <w:name w:val="Szövegtörzs Char"/>
    <w:link w:val="Szvegtrzs"/>
    <w:rsid w:val="003F29E3"/>
    <w:rPr>
      <w:rFonts w:ascii="Times New Roman" w:eastAsia="Times New Roman" w:hAnsi="Times New Roman" w:cs="Times New Roman"/>
      <w:bCs/>
      <w:sz w:val="24"/>
      <w:szCs w:val="20"/>
      <w:lang w:val="x-none" w:eastAsia="x-none"/>
    </w:rPr>
  </w:style>
  <w:style w:type="paragraph" w:styleId="Szvegtrzsbehzssal2">
    <w:name w:val="Body Text Indent 2"/>
    <w:basedOn w:val="Norml"/>
    <w:link w:val="Szvegtrzsbehzssal2Char"/>
    <w:rsid w:val="003F29E3"/>
    <w:pPr>
      <w:spacing w:line="480" w:lineRule="auto"/>
      <w:ind w:left="283"/>
    </w:pPr>
    <w:rPr>
      <w:bCs/>
    </w:rPr>
  </w:style>
  <w:style w:type="character" w:customStyle="1" w:styleId="Szvegtrzsbehzssal2Char">
    <w:name w:val="Szövegtörzs behúzással 2 Char"/>
    <w:link w:val="Szvegtrzsbehzssal2"/>
    <w:rsid w:val="003F29E3"/>
    <w:rPr>
      <w:rFonts w:ascii="Calibri" w:eastAsia="Times New Roman" w:hAnsi="Calibri" w:cs="Times New Roman"/>
      <w:bCs/>
      <w:color w:val="000000"/>
      <w:lang w:eastAsia="hu-HU"/>
    </w:rPr>
  </w:style>
  <w:style w:type="paragraph" w:styleId="llb">
    <w:name w:val="footer"/>
    <w:basedOn w:val="Norml"/>
    <w:link w:val="llbChar"/>
    <w:rsid w:val="003F29E3"/>
    <w:pPr>
      <w:tabs>
        <w:tab w:val="center" w:pos="4536"/>
        <w:tab w:val="right" w:pos="9072"/>
      </w:tabs>
    </w:pPr>
  </w:style>
  <w:style w:type="character" w:customStyle="1" w:styleId="llbChar">
    <w:name w:val="Élőláb Char"/>
    <w:link w:val="llb"/>
    <w:rsid w:val="003F29E3"/>
    <w:rPr>
      <w:rFonts w:ascii="Calibri" w:eastAsia="Times New Roman" w:hAnsi="Calibri" w:cs="Times New Roman"/>
      <w:color w:val="000000"/>
      <w:lang w:eastAsia="hu-HU"/>
    </w:rPr>
  </w:style>
  <w:style w:type="character" w:styleId="Oldalszm">
    <w:name w:val="page number"/>
    <w:basedOn w:val="Bekezdsalapbettpusa"/>
    <w:rsid w:val="003F29E3"/>
  </w:style>
  <w:style w:type="paragraph" w:styleId="Cm">
    <w:name w:val="Title"/>
    <w:basedOn w:val="Norml"/>
    <w:link w:val="CmChar"/>
    <w:qFormat/>
    <w:rsid w:val="003F29E3"/>
    <w:pPr>
      <w:jc w:val="center"/>
    </w:pPr>
    <w:rPr>
      <w:b/>
    </w:rPr>
  </w:style>
  <w:style w:type="character" w:customStyle="1" w:styleId="CmChar">
    <w:name w:val="Cím Char"/>
    <w:link w:val="Cm"/>
    <w:rsid w:val="003F29E3"/>
    <w:rPr>
      <w:rFonts w:ascii="Calibri" w:eastAsia="Times New Roman" w:hAnsi="Calibri" w:cs="Times New Roman"/>
      <w:b/>
      <w:color w:val="000000"/>
      <w:lang w:eastAsia="hu-HU"/>
    </w:rPr>
  </w:style>
  <w:style w:type="paragraph" w:styleId="TJ1">
    <w:name w:val="toc 1"/>
    <w:basedOn w:val="Norml"/>
    <w:next w:val="Norml"/>
    <w:autoRedefine/>
    <w:uiPriority w:val="39"/>
    <w:rsid w:val="003F29E3"/>
    <w:pPr>
      <w:tabs>
        <w:tab w:val="right" w:leader="dot" w:pos="9373"/>
      </w:tabs>
    </w:pPr>
    <w:rPr>
      <w:b/>
      <w:noProof/>
    </w:rPr>
  </w:style>
  <w:style w:type="paragraph" w:styleId="TJ2">
    <w:name w:val="toc 2"/>
    <w:basedOn w:val="Norml"/>
    <w:next w:val="Norml"/>
    <w:autoRedefine/>
    <w:uiPriority w:val="39"/>
    <w:rsid w:val="003F29E3"/>
    <w:pPr>
      <w:tabs>
        <w:tab w:val="right" w:leader="dot" w:pos="9373"/>
      </w:tabs>
      <w:ind w:left="240"/>
    </w:pPr>
    <w:rPr>
      <w:noProof/>
    </w:rPr>
  </w:style>
  <w:style w:type="paragraph" w:styleId="TJ3">
    <w:name w:val="toc 3"/>
    <w:basedOn w:val="Norml"/>
    <w:next w:val="Norm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Kiemels2">
    <w:name w:val="Strong"/>
    <w:qFormat/>
    <w:rsid w:val="003F29E3"/>
    <w:rPr>
      <w:b/>
      <w:bCs/>
    </w:rPr>
  </w:style>
  <w:style w:type="paragraph" w:styleId="Megjegyzstrgya">
    <w:name w:val="annotation subject"/>
    <w:basedOn w:val="Jegyzetszveg"/>
    <w:next w:val="Jegyzetszveg"/>
    <w:link w:val="MegjegyzstrgyaChar"/>
    <w:rsid w:val="003F29E3"/>
    <w:rPr>
      <w:rFonts w:ascii="Times New Roman" w:hAnsi="Times New Roman"/>
      <w:b/>
      <w:bCs/>
      <w:color w:val="auto"/>
      <w:lang w:val="x-none" w:eastAsia="x-none"/>
    </w:rPr>
  </w:style>
  <w:style w:type="character" w:customStyle="1" w:styleId="MegjegyzstrgyaChar">
    <w:name w:val="Megjegyzés tárgya Char"/>
    <w:link w:val="Megjegyzstrgya"/>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l"/>
    <w:autoRedefine/>
    <w:rsid w:val="003F29E3"/>
    <w:pPr>
      <w:autoSpaceDE w:val="0"/>
      <w:autoSpaceDN w:val="0"/>
      <w:adjustRightInd w:val="0"/>
    </w:pPr>
    <w:rPr>
      <w:spacing w:val="-8"/>
    </w:rPr>
  </w:style>
  <w:style w:type="paragraph" w:customStyle="1" w:styleId="NormlFelsorolsPtty">
    <w:name w:val="Normál Felsorolás Pötty"/>
    <w:basedOn w:val="Norm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Bekezdsalapbettpusa"/>
    <w:rsid w:val="003F29E3"/>
  </w:style>
  <w:style w:type="character" w:styleId="Kiemels">
    <w:name w:val="Emphasis"/>
    <w:uiPriority w:val="20"/>
    <w:qFormat/>
    <w:rsid w:val="003F29E3"/>
    <w:rPr>
      <w:i/>
      <w:iCs/>
    </w:rPr>
  </w:style>
  <w:style w:type="paragraph" w:customStyle="1" w:styleId="cm10">
    <w:name w:val="cm10"/>
    <w:basedOn w:val="Norml"/>
    <w:rsid w:val="003F29E3"/>
    <w:pPr>
      <w:autoSpaceDE w:val="0"/>
      <w:autoSpaceDN w:val="0"/>
      <w:spacing w:after="615"/>
      <w:ind w:firstLine="47"/>
    </w:pPr>
    <w:rPr>
      <w:rFonts w:ascii="TT E 13 B 4 F 38t 00" w:hAnsi="TT E 13 B 4 F 38t 00"/>
    </w:rPr>
  </w:style>
  <w:style w:type="paragraph" w:styleId="lfej">
    <w:name w:val="header"/>
    <w:basedOn w:val="Norml"/>
    <w:link w:val="lfejChar"/>
    <w:rsid w:val="003F29E3"/>
    <w:pPr>
      <w:tabs>
        <w:tab w:val="center" w:pos="4536"/>
        <w:tab w:val="right" w:pos="9072"/>
      </w:tabs>
    </w:pPr>
  </w:style>
  <w:style w:type="character" w:customStyle="1" w:styleId="lfejChar">
    <w:name w:val="Élőfej Char"/>
    <w:link w:val="lfej"/>
    <w:rsid w:val="003F29E3"/>
    <w:rPr>
      <w:rFonts w:ascii="Calibri" w:eastAsia="Times New Roman" w:hAnsi="Calibri" w:cs="Times New Roman"/>
      <w:color w:val="000000"/>
      <w:lang w:eastAsia="hu-HU"/>
    </w:rPr>
  </w:style>
  <w:style w:type="character" w:styleId="Mrltotthiperhivatkozs">
    <w:name w:val="FollowedHyperlink"/>
    <w:rsid w:val="003F29E3"/>
    <w:rPr>
      <w:color w:val="800080"/>
      <w:u w:val="single"/>
    </w:rPr>
  </w:style>
  <w:style w:type="paragraph" w:styleId="Listaszerbekezds">
    <w:name w:val="List Paragraph"/>
    <w:basedOn w:val="Norml"/>
    <w:link w:val="Listaszerbekezds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l"/>
    <w:link w:val="alfelsorolsChar"/>
    <w:autoRedefine/>
    <w:qFormat/>
    <w:rsid w:val="008C1553"/>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aszerbekezds"/>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8C1553"/>
    <w:rPr>
      <w:rFonts w:eastAsia="Times New Roman"/>
      <w:color w:val="000000"/>
      <w:sz w:val="22"/>
      <w:lang w:val="x-none" w:eastAsia="x-none"/>
    </w:rPr>
  </w:style>
  <w:style w:type="paragraph" w:customStyle="1" w:styleId="Stlus2">
    <w:name w:val="Stílus2"/>
    <w:basedOn w:val="Cmsor3"/>
    <w:link w:val="Stlus2Char"/>
    <w:qFormat/>
    <w:rsid w:val="003F29E3"/>
    <w:pPr>
      <w:spacing w:before="60" w:after="0"/>
      <w:ind w:left="0"/>
    </w:pPr>
    <w:rPr>
      <w:rFonts w:ascii="Times New Roman" w:hAnsi="Times New Roman"/>
      <w:b w:val="0"/>
      <w:bCs w:val="0"/>
      <w:i w:val="0"/>
      <w:sz w:val="24"/>
      <w:szCs w:val="24"/>
    </w:rPr>
  </w:style>
  <w:style w:type="character" w:customStyle="1" w:styleId="ListaszerbekezdsChar">
    <w:name w:val="Listaszerű bekezdés Char"/>
    <w:link w:val="Listaszerbekezds"/>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Vltozat">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Bekezdsalapbettpusa"/>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artalomjegyzkcmsora">
    <w:name w:val="TOC Heading"/>
    <w:basedOn w:val="Cmsor1"/>
    <w:next w:val="Norm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Bekezdsalapbettpusa"/>
    <w:rsid w:val="003F29E3"/>
  </w:style>
  <w:style w:type="paragraph" w:styleId="TJ4">
    <w:name w:val="toc 4"/>
    <w:basedOn w:val="Norml"/>
    <w:next w:val="Norml"/>
    <w:autoRedefine/>
    <w:uiPriority w:val="39"/>
    <w:rsid w:val="003F29E3"/>
    <w:pPr>
      <w:spacing w:after="100"/>
      <w:ind w:left="720"/>
    </w:pPr>
  </w:style>
  <w:style w:type="paragraph" w:styleId="TJ5">
    <w:name w:val="toc 5"/>
    <w:basedOn w:val="Norml"/>
    <w:next w:val="Norml"/>
    <w:autoRedefine/>
    <w:uiPriority w:val="39"/>
    <w:unhideWhenUsed/>
    <w:rsid w:val="003F29E3"/>
    <w:pPr>
      <w:spacing w:after="100" w:line="276" w:lineRule="auto"/>
      <w:ind w:left="880"/>
      <w:jc w:val="left"/>
    </w:pPr>
  </w:style>
  <w:style w:type="paragraph" w:styleId="TJ6">
    <w:name w:val="toc 6"/>
    <w:basedOn w:val="Norml"/>
    <w:next w:val="Norml"/>
    <w:autoRedefine/>
    <w:uiPriority w:val="39"/>
    <w:unhideWhenUsed/>
    <w:rsid w:val="003F29E3"/>
    <w:pPr>
      <w:spacing w:after="100" w:line="276" w:lineRule="auto"/>
      <w:ind w:left="1100"/>
      <w:jc w:val="left"/>
    </w:pPr>
  </w:style>
  <w:style w:type="paragraph" w:styleId="TJ7">
    <w:name w:val="toc 7"/>
    <w:basedOn w:val="Norml"/>
    <w:next w:val="Norml"/>
    <w:autoRedefine/>
    <w:uiPriority w:val="39"/>
    <w:unhideWhenUsed/>
    <w:rsid w:val="003F29E3"/>
    <w:pPr>
      <w:spacing w:after="100" w:line="276" w:lineRule="auto"/>
      <w:ind w:left="1320"/>
      <w:jc w:val="left"/>
    </w:pPr>
  </w:style>
  <w:style w:type="paragraph" w:styleId="TJ8">
    <w:name w:val="toc 8"/>
    <w:basedOn w:val="Norml"/>
    <w:next w:val="Norml"/>
    <w:autoRedefine/>
    <w:uiPriority w:val="39"/>
    <w:unhideWhenUsed/>
    <w:rsid w:val="003F29E3"/>
    <w:pPr>
      <w:spacing w:after="100" w:line="276" w:lineRule="auto"/>
      <w:ind w:left="1540"/>
      <w:jc w:val="left"/>
    </w:pPr>
  </w:style>
  <w:style w:type="paragraph" w:styleId="TJ9">
    <w:name w:val="toc 9"/>
    <w:basedOn w:val="Norml"/>
    <w:next w:val="Norml"/>
    <w:autoRedefine/>
    <w:uiPriority w:val="39"/>
    <w:unhideWhenUsed/>
    <w:rsid w:val="003F29E3"/>
    <w:pPr>
      <w:spacing w:after="100" w:line="276" w:lineRule="auto"/>
      <w:ind w:left="1760"/>
      <w:jc w:val="left"/>
    </w:pPr>
  </w:style>
  <w:style w:type="table" w:customStyle="1" w:styleId="tblzat-fejlces">
    <w:name w:val="táblázat - fejléces"/>
    <w:basedOn w:val="Normltblzat"/>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Alcm">
    <w:name w:val="Subtitle"/>
    <w:basedOn w:val="Norml"/>
    <w:next w:val="Norml"/>
    <w:link w:val="AlcmChar"/>
    <w:qFormat/>
    <w:rsid w:val="003F29E3"/>
    <w:pPr>
      <w:spacing w:after="60"/>
      <w:jc w:val="center"/>
      <w:outlineLvl w:val="1"/>
    </w:pPr>
    <w:rPr>
      <w:rFonts w:ascii="Cambria" w:hAnsi="Cambria"/>
      <w:color w:val="auto"/>
      <w:sz w:val="24"/>
      <w:szCs w:val="24"/>
      <w:lang w:val="x-none" w:eastAsia="x-none"/>
    </w:rPr>
  </w:style>
  <w:style w:type="character" w:customStyle="1" w:styleId="AlcmChar">
    <w:name w:val="Alcím Char"/>
    <w:link w:val="Alcm"/>
    <w:rsid w:val="003F29E3"/>
    <w:rPr>
      <w:rFonts w:ascii="Cambria" w:eastAsia="Times New Roman" w:hAnsi="Cambria" w:cs="Times New Roman"/>
      <w:sz w:val="24"/>
      <w:szCs w:val="24"/>
      <w:lang w:val="x-none" w:eastAsia="x-none"/>
    </w:rPr>
  </w:style>
  <w:style w:type="table" w:styleId="Rcsostblzat">
    <w:name w:val="Table Grid"/>
    <w:basedOn w:val="Normltblzat"/>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l"/>
    <w:link w:val="numberedparagraphChar"/>
    <w:rsid w:val="006237F9"/>
    <w:pPr>
      <w:numPr>
        <w:numId w:val="10"/>
      </w:numPr>
      <w:spacing w:before="120" w:after="240" w:line="276" w:lineRule="auto"/>
    </w:pPr>
    <w:rPr>
      <w:rFonts w:eastAsia="Calibri"/>
      <w:color w:val="auto"/>
      <w:lang w:eastAsia="en-US"/>
    </w:rPr>
  </w:style>
  <w:style w:type="paragraph" w:customStyle="1" w:styleId="Listaszerbekezds3szint">
    <w:name w:val="Listaszerű bekezdés 3. szint"/>
    <w:basedOn w:val="Listaszerbekezds"/>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aszerbekezds"/>
    <w:uiPriority w:val="4"/>
    <w:qFormat/>
    <w:rsid w:val="000B7E31"/>
    <w:pPr>
      <w:numPr>
        <w:numId w:val="17"/>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aszerbekezds"/>
    <w:link w:val="Listaszerbekezds2szintChar"/>
    <w:uiPriority w:val="4"/>
    <w:qFormat/>
    <w:rsid w:val="003D2120"/>
    <w:pPr>
      <w:numPr>
        <w:numId w:val="25"/>
      </w:numPr>
      <w:spacing w:after="150" w:line="276" w:lineRule="auto"/>
    </w:pPr>
    <w:rPr>
      <w:rFonts w:eastAsiaTheme="minorHAnsi" w:cstheme="minorBidi"/>
      <w:szCs w:val="22"/>
    </w:rPr>
  </w:style>
  <w:style w:type="character" w:customStyle="1" w:styleId="Listaszerbekezds2szintChar">
    <w:name w:val="Listaszerű bekezdés 2. szint Char"/>
    <w:basedOn w:val="ListaszerbekezdsChar"/>
    <w:link w:val="Listaszerbekezds2szint"/>
    <w:uiPriority w:val="4"/>
    <w:rsid w:val="003D2120"/>
    <w:rPr>
      <w:rFonts w:ascii="Times New Roman" w:eastAsiaTheme="minorHAnsi" w:hAnsi="Times New Roman" w:cstheme="minorBidi"/>
      <w:sz w:val="24"/>
      <w:szCs w:val="22"/>
      <w:lang w:val="x-none" w:eastAsia="x-none"/>
    </w:rPr>
  </w:style>
  <w:style w:type="paragraph" w:styleId="Vgjegyzetszvege">
    <w:name w:val="endnote text"/>
    <w:basedOn w:val="Norml"/>
    <w:link w:val="VgjegyzetszvegeChar"/>
    <w:uiPriority w:val="99"/>
    <w:semiHidden/>
    <w:unhideWhenUsed/>
    <w:rsid w:val="001C4DF8"/>
    <w:pPr>
      <w:spacing w:after="0"/>
    </w:pPr>
    <w:rPr>
      <w:sz w:val="20"/>
      <w:szCs w:val="20"/>
    </w:rPr>
  </w:style>
  <w:style w:type="character" w:customStyle="1" w:styleId="VgjegyzetszvegeChar">
    <w:name w:val="Végjegyzet szövege Char"/>
    <w:basedOn w:val="Bekezdsalapbettpusa"/>
    <w:link w:val="Vgjegyzetszvege"/>
    <w:uiPriority w:val="99"/>
    <w:semiHidden/>
    <w:rsid w:val="001C4DF8"/>
    <w:rPr>
      <w:rFonts w:eastAsia="Times New Roman"/>
      <w:color w:val="000000"/>
    </w:rPr>
  </w:style>
  <w:style w:type="character" w:styleId="Vgjegyzet-hivatkozs">
    <w:name w:val="endnote reference"/>
    <w:basedOn w:val="Bekezdsalapbettpusa"/>
    <w:uiPriority w:val="99"/>
    <w:semiHidden/>
    <w:unhideWhenUsed/>
    <w:rsid w:val="001C4DF8"/>
    <w:rPr>
      <w:vertAlign w:val="superscript"/>
    </w:rPr>
  </w:style>
  <w:style w:type="paragraph" w:styleId="Kpalrs">
    <w:name w:val="caption"/>
    <w:basedOn w:val="Norml"/>
    <w:next w:val="Norml"/>
    <w:uiPriority w:val="35"/>
    <w:unhideWhenUsed/>
    <w:qFormat/>
    <w:rsid w:val="00D34A4C"/>
    <w:pPr>
      <w:spacing w:after="200" w:line="276" w:lineRule="auto"/>
      <w:jc w:val="left"/>
    </w:pPr>
    <w:rPr>
      <w:rFonts w:eastAsia="Calibri"/>
      <w:b/>
      <w:bCs/>
      <w:color w:val="898D8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chart" Target="charts/chart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documents/10180/1672271/Guidelines+on+implicit+support+for+securitisation+transactions+%28EBA-GL-2016-08%29_HU.pdf/c66b1d41-be92-45d9-b7f5-f119c6c3afbe" TargetMode="External"/><Relationship Id="rId2" Type="http://schemas.openxmlformats.org/officeDocument/2006/relationships/hyperlink" Target="http://eur-lex.europa.eu/legal-content/EN/TXT/?uri=OJ:JOL_2015_263_R_0005" TargetMode="External"/><Relationship Id="rId1" Type="http://schemas.openxmlformats.org/officeDocument/2006/relationships/hyperlink" Target="http://eur-lex.europa.eu/legal-content/HU/TXT/PDF/?uri=CELEX:32014R0710&amp;from=HU" TargetMode="External"/><Relationship Id="rId4" Type="http://schemas.openxmlformats.org/officeDocument/2006/relationships/hyperlink" Target="http://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xmlns:c16r2="http://schemas.microsoft.com/office/drawing/2015/06/char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xmlns:c16r2="http://schemas.microsoft.com/office/drawing/2015/06/char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129623632"/>
        <c:axId val="129623240"/>
      </c:lineChart>
      <c:catAx>
        <c:axId val="129623632"/>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129623240"/>
        <c:crosses val="autoZero"/>
        <c:auto val="1"/>
        <c:lblAlgn val="ctr"/>
        <c:lblOffset val="100"/>
        <c:tickLblSkip val="10"/>
        <c:tickMarkSkip val="10"/>
        <c:noMultiLvlLbl val="0"/>
      </c:catAx>
      <c:valAx>
        <c:axId val="129623240"/>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129623632"/>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t>
        <a:bodyPr/>
        <a:lstStyle/>
        <a:p>
          <a:endParaRPr lang="hu-HU"/>
        </a:p>
      </dgm:t>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t>
        <a:bodyPr/>
        <a:lstStyle/>
        <a:p>
          <a:endParaRPr lang="hu-HU"/>
        </a:p>
      </dgm:t>
    </dgm:pt>
    <dgm:pt modelId="{D8BC3276-ED9D-4B06-9D0D-98FFC798AD56}" type="pres">
      <dgm:prSet presAssocID="{9AE84EE3-A3BC-46F5-A5F7-CD9EBAA9E0BE}" presName="rootConnector" presStyleLbl="node3" presStyleIdx="0" presStyleCnt="1"/>
      <dgm:spPr/>
      <dgm:t>
        <a:bodyPr/>
        <a:lstStyle/>
        <a:p>
          <a:endParaRPr lang="hu-HU"/>
        </a:p>
      </dgm:t>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1404308D-F95C-4543-A5CE-EC9ED33B267F}" type="presOf" srcId="{1412DE38-84EF-454F-898B-AAC9B5D3866F}" destId="{D5FE2AF0-FF16-4627-B28E-BCDB21DE5E38}" srcOrd="0" destOrd="0" presId="urn:microsoft.com/office/officeart/2005/8/layout/orgChart1"/>
    <dgm:cxn modelId="{EA0713F5-7F52-4E10-B5DE-2C96514D03AB}" type="presOf" srcId="{C22CB852-C883-4E84-9876-AE5386011EB7}" destId="{797C12C5-1BB8-4D6B-A05F-9963F61302F2}" srcOrd="0" destOrd="0" presId="urn:microsoft.com/office/officeart/2005/8/layout/orgChart1"/>
    <dgm:cxn modelId="{655A81DF-525F-4F26-AE8C-1A398E65309A}" type="presOf" srcId="{C5ED77D8-24E7-4855-AB08-49F29D04892F}" destId="{EC850226-7A4B-49DA-9128-A681EAD35FB8}" srcOrd="0" destOrd="0" presId="urn:microsoft.com/office/officeart/2005/8/layout/orgChart1"/>
    <dgm:cxn modelId="{FB0BE6AA-A22E-487E-9B15-252614B6F1B0}" type="presOf" srcId="{9AE84EE3-A3BC-46F5-A5F7-CD9EBAA9E0BE}" destId="{32BC8322-AF47-4EB1-929D-CB53EB1EDD1B}"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B9D60A43-4E61-4702-B795-9613D8A12E0E}" type="presOf" srcId="{C22CB852-C883-4E84-9876-AE5386011EB7}" destId="{F0A24E22-8B7E-4B2F-9197-DB143DA8D292}"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CDC1130-66EC-433E-9537-2E4FD8D2FDBD}" type="presOf" srcId="{EDFD46D7-A1AD-4244-8E89-0AF9BC8033A9}" destId="{07635FD1-7448-436E-9B01-DD8DDC6B0DE0}" srcOrd="0" destOrd="0" presId="urn:microsoft.com/office/officeart/2005/8/layout/orgChart1"/>
    <dgm:cxn modelId="{EE7D3982-E445-405B-910F-68099C693EB7}" type="presOf" srcId="{9AE84EE3-A3BC-46F5-A5F7-CD9EBAA9E0BE}" destId="{D8BC3276-ED9D-4B06-9D0D-98FFC798AD56}" srcOrd="1" destOrd="0" presId="urn:microsoft.com/office/officeart/2005/8/layout/orgChart1"/>
    <dgm:cxn modelId="{BCD3E398-9FE9-483B-B8AE-4C54B06FCF81}" srcId="{023CAB7D-E47E-4283-A320-CCE1F2A409B0}" destId="{758DFA68-F85A-4337-80C1-ED7487DC2448}" srcOrd="1" destOrd="0" parTransId="{EDFD46D7-A1AD-4244-8E89-0AF9BC8033A9}" sibTransId="{F30642E7-D451-4B3E-8887-B4EF0ADD9213}"/>
    <dgm:cxn modelId="{7A362FEA-115B-4C98-A748-63BA03936265}" type="presOf" srcId="{758DFA68-F85A-4337-80C1-ED7487DC2448}" destId="{0A7B2013-9F7B-42BD-8BC0-A264FADE1EF5}" srcOrd="1" destOrd="0" presId="urn:microsoft.com/office/officeart/2005/8/layout/orgChart1"/>
    <dgm:cxn modelId="{155D077D-11BC-4CFB-A43F-6E35B88790B4}" type="presOf" srcId="{0470846F-CFEC-420C-A100-DE48ECBBC291}" destId="{652E01CB-06B2-4E9B-9A9D-712685CC5296}" srcOrd="0" destOrd="0" presId="urn:microsoft.com/office/officeart/2005/8/layout/orgChart1"/>
    <dgm:cxn modelId="{03DFAE5F-CEBA-4E36-A77F-1A4E0469EA9B}" type="presOf" srcId="{86E4897D-B9EA-431E-ADD9-E8125DBF52EA}" destId="{3305396F-0C14-4161-A783-AFC36A8E4842}" srcOrd="0" destOrd="0" presId="urn:microsoft.com/office/officeart/2005/8/layout/orgChart1"/>
    <dgm:cxn modelId="{A1E33553-BF08-4E9C-AED5-0653F8BB28D7}" type="presOf" srcId="{5B6C4A9B-9898-4139-88E7-DC595EF94A1D}" destId="{72FEABFE-0EC8-4A53-956B-58D58DD067DC}" srcOrd="0" destOrd="0" presId="urn:microsoft.com/office/officeart/2005/8/layout/orgChart1"/>
    <dgm:cxn modelId="{F4C56084-E898-4272-807B-3C4DF771279F}" type="presOf" srcId="{30AC1080-B406-41F2-B1BA-95C7D53E7DA7}" destId="{A392BC23-3B30-437F-A7B2-C92CA9EB3FD3}" srcOrd="1" destOrd="0" presId="urn:microsoft.com/office/officeart/2005/8/layout/orgChart1"/>
    <dgm:cxn modelId="{9FDD2C23-2B5A-42AC-B758-13D497595215}" type="presOf" srcId="{F50C8965-45E3-444B-9414-9AF24D054303}" destId="{0CF81988-BE01-456F-893D-9FC70C7C493A}"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8A31A181-6213-4F46-BBC4-7AB9EF5F6005}" srcId="{86E4897D-B9EA-431E-ADD9-E8125DBF52EA}" destId="{023CAB7D-E47E-4283-A320-CCE1F2A409B0}" srcOrd="0" destOrd="0" parTransId="{57831C85-EF0E-48D9-9F51-4750DE3A09EB}" sibTransId="{FB0A7B89-0AB3-48DF-80FC-89B8B6DB4541}"/>
    <dgm:cxn modelId="{52F3263F-0648-4396-A7BE-29E74AB9A783}" type="presOf" srcId="{30AC1080-B406-41F2-B1BA-95C7D53E7DA7}" destId="{04490F09-89EA-4042-B671-F18CE2B7A364}" srcOrd="0" destOrd="0" presId="urn:microsoft.com/office/officeart/2005/8/layout/orgChart1"/>
    <dgm:cxn modelId="{9BE64B66-1224-42EB-A0A6-32B0A582B27F}" type="presOf" srcId="{758DFA68-F85A-4337-80C1-ED7487DC2448}" destId="{E6AB2609-3D5F-4575-8960-1CFAEFF69BFE}" srcOrd="0" destOrd="0" presId="urn:microsoft.com/office/officeart/2005/8/layout/orgChart1"/>
    <dgm:cxn modelId="{1D2E23C0-81AE-4291-9F6E-6AF4A13202C2}" type="presOf" srcId="{F50C8965-45E3-444B-9414-9AF24D054303}" destId="{A6FA7CBE-5758-444B-AE99-FAD67B7C2581}" srcOrd="1" destOrd="0" presId="urn:microsoft.com/office/officeart/2005/8/layout/orgChart1"/>
    <dgm:cxn modelId="{26199894-CA8D-446B-B77E-149633338777}" type="presOf" srcId="{023CAB7D-E47E-4283-A320-CCE1F2A409B0}" destId="{74397F75-16F8-4EE2-99C9-F014C6A8065C}"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C5545307-FC8A-4944-B4F6-5C0EBD38CD29}" type="presOf" srcId="{023CAB7D-E47E-4283-A320-CCE1F2A409B0}" destId="{62B0C581-63A2-4AB4-ABFB-FA12879F1BC7}" srcOrd="0" destOrd="0" presId="urn:microsoft.com/office/officeart/2005/8/layout/orgChart1"/>
    <dgm:cxn modelId="{37047F4E-0CA9-4130-85F7-88CBDDC7B1C9}" type="presParOf" srcId="{3305396F-0C14-4161-A783-AFC36A8E4842}" destId="{F19FCE2C-4209-4B17-8B24-95799C3FA096}" srcOrd="0" destOrd="0" presId="urn:microsoft.com/office/officeart/2005/8/layout/orgChart1"/>
    <dgm:cxn modelId="{75D323F0-FE2C-4618-B20E-1A980C4BFE6E}" type="presParOf" srcId="{F19FCE2C-4209-4B17-8B24-95799C3FA096}" destId="{2329305D-8A19-432C-8894-30F1C96CCB19}" srcOrd="0" destOrd="0" presId="urn:microsoft.com/office/officeart/2005/8/layout/orgChart1"/>
    <dgm:cxn modelId="{62107456-73E9-454F-A74D-48D35787130C}" type="presParOf" srcId="{2329305D-8A19-432C-8894-30F1C96CCB19}" destId="{62B0C581-63A2-4AB4-ABFB-FA12879F1BC7}" srcOrd="0" destOrd="0" presId="urn:microsoft.com/office/officeart/2005/8/layout/orgChart1"/>
    <dgm:cxn modelId="{00F815AF-DDA9-42EA-B77E-BC4C60C31ABA}" type="presParOf" srcId="{2329305D-8A19-432C-8894-30F1C96CCB19}" destId="{74397F75-16F8-4EE2-99C9-F014C6A8065C}" srcOrd="1" destOrd="0" presId="urn:microsoft.com/office/officeart/2005/8/layout/orgChart1"/>
    <dgm:cxn modelId="{B58EE3D8-41FA-4AD0-B6F9-3368721A634E}" type="presParOf" srcId="{F19FCE2C-4209-4B17-8B24-95799C3FA096}" destId="{8D54CC20-034B-43E1-8019-66B3AC414C0A}" srcOrd="1" destOrd="0" presId="urn:microsoft.com/office/officeart/2005/8/layout/orgChart1"/>
    <dgm:cxn modelId="{44923163-B8E2-4FF2-8361-F2FA88E7D9DC}" type="presParOf" srcId="{8D54CC20-034B-43E1-8019-66B3AC414C0A}" destId="{EC850226-7A4B-49DA-9128-A681EAD35FB8}" srcOrd="0" destOrd="0" presId="urn:microsoft.com/office/officeart/2005/8/layout/orgChart1"/>
    <dgm:cxn modelId="{64D4E224-A8D0-4562-B8C5-2664313A6F3B}" type="presParOf" srcId="{8D54CC20-034B-43E1-8019-66B3AC414C0A}" destId="{33DEBCD1-2DF1-4112-B5BC-D7332A21F1C9}" srcOrd="1" destOrd="0" presId="urn:microsoft.com/office/officeart/2005/8/layout/orgChart1"/>
    <dgm:cxn modelId="{02431916-2185-41D8-AA0D-FE4732DE3B03}" type="presParOf" srcId="{33DEBCD1-2DF1-4112-B5BC-D7332A21F1C9}" destId="{4F430394-2294-4CBB-8E51-E93F8CC8BEB5}" srcOrd="0" destOrd="0" presId="urn:microsoft.com/office/officeart/2005/8/layout/orgChart1"/>
    <dgm:cxn modelId="{C199E4E4-6B0D-4000-85B4-F3A089390504}" type="presParOf" srcId="{4F430394-2294-4CBB-8E51-E93F8CC8BEB5}" destId="{04490F09-89EA-4042-B671-F18CE2B7A364}" srcOrd="0" destOrd="0" presId="urn:microsoft.com/office/officeart/2005/8/layout/orgChart1"/>
    <dgm:cxn modelId="{4C8CDF39-6F5E-44AA-8AEF-CE5991A98F62}" type="presParOf" srcId="{4F430394-2294-4CBB-8E51-E93F8CC8BEB5}" destId="{A392BC23-3B30-437F-A7B2-C92CA9EB3FD3}" srcOrd="1" destOrd="0" presId="urn:microsoft.com/office/officeart/2005/8/layout/orgChart1"/>
    <dgm:cxn modelId="{2DA3F2C9-4EF5-4AC1-99E4-2BBEAB22CE08}" type="presParOf" srcId="{33DEBCD1-2DF1-4112-B5BC-D7332A21F1C9}" destId="{A61CEE7C-F7C2-49FD-8F7A-336BFC7E839D}" srcOrd="1" destOrd="0" presId="urn:microsoft.com/office/officeart/2005/8/layout/orgChart1"/>
    <dgm:cxn modelId="{F181F0CF-31D6-40F5-9137-1D964E0F9879}" type="presParOf" srcId="{33DEBCD1-2DF1-4112-B5BC-D7332A21F1C9}" destId="{6AAF386F-A879-400A-A9AE-C1472C03E8EE}" srcOrd="2" destOrd="0" presId="urn:microsoft.com/office/officeart/2005/8/layout/orgChart1"/>
    <dgm:cxn modelId="{97C9F7B9-1A19-433C-953D-072147AD084C}" type="presParOf" srcId="{8D54CC20-034B-43E1-8019-66B3AC414C0A}" destId="{07635FD1-7448-436E-9B01-DD8DDC6B0DE0}" srcOrd="2" destOrd="0" presId="urn:microsoft.com/office/officeart/2005/8/layout/orgChart1"/>
    <dgm:cxn modelId="{6444E7A5-AFA9-4313-90D3-3761BA881F4C}" type="presParOf" srcId="{8D54CC20-034B-43E1-8019-66B3AC414C0A}" destId="{44DE6D20-3A44-42A2-9255-D59E67B89E71}" srcOrd="3" destOrd="0" presId="urn:microsoft.com/office/officeart/2005/8/layout/orgChart1"/>
    <dgm:cxn modelId="{39C15557-182B-4F5A-8C8B-CC35A1832EE4}" type="presParOf" srcId="{44DE6D20-3A44-42A2-9255-D59E67B89E71}" destId="{ADCE97E4-C0ED-4FB8-9454-D094E942EFC7}" srcOrd="0" destOrd="0" presId="urn:microsoft.com/office/officeart/2005/8/layout/orgChart1"/>
    <dgm:cxn modelId="{182F3290-53C5-46D5-A042-BDB001F427D1}" type="presParOf" srcId="{ADCE97E4-C0ED-4FB8-9454-D094E942EFC7}" destId="{E6AB2609-3D5F-4575-8960-1CFAEFF69BFE}" srcOrd="0" destOrd="0" presId="urn:microsoft.com/office/officeart/2005/8/layout/orgChart1"/>
    <dgm:cxn modelId="{3507E2B8-7E8E-46E5-831E-5B0874833A01}" type="presParOf" srcId="{ADCE97E4-C0ED-4FB8-9454-D094E942EFC7}" destId="{0A7B2013-9F7B-42BD-8BC0-A264FADE1EF5}" srcOrd="1" destOrd="0" presId="urn:microsoft.com/office/officeart/2005/8/layout/orgChart1"/>
    <dgm:cxn modelId="{0B9ADC63-679E-4112-8AF9-E615824833DC}" type="presParOf" srcId="{44DE6D20-3A44-42A2-9255-D59E67B89E71}" destId="{0D576817-6A4C-45BC-81B5-3B6260A3F909}" srcOrd="1" destOrd="0" presId="urn:microsoft.com/office/officeart/2005/8/layout/orgChart1"/>
    <dgm:cxn modelId="{94678DAC-F73F-463C-8A00-C70470C7D14F}" type="presParOf" srcId="{44DE6D20-3A44-42A2-9255-D59E67B89E71}" destId="{093125BA-8039-4F37-A790-6E0713AE71A7}" srcOrd="2" destOrd="0" presId="urn:microsoft.com/office/officeart/2005/8/layout/orgChart1"/>
    <dgm:cxn modelId="{76F3775D-F186-4A07-87AD-4E1C239958DE}" type="presParOf" srcId="{8D54CC20-034B-43E1-8019-66B3AC414C0A}" destId="{D5FE2AF0-FF16-4627-B28E-BCDB21DE5E38}" srcOrd="4" destOrd="0" presId="urn:microsoft.com/office/officeart/2005/8/layout/orgChart1"/>
    <dgm:cxn modelId="{CD33199A-D282-4820-A4B7-1862A1181748}" type="presParOf" srcId="{8D54CC20-034B-43E1-8019-66B3AC414C0A}" destId="{242A12E2-B770-46E5-A5D2-70D3618A9CEB}" srcOrd="5" destOrd="0" presId="urn:microsoft.com/office/officeart/2005/8/layout/orgChart1"/>
    <dgm:cxn modelId="{5976052A-B027-405E-9BAA-B7DA76F324C1}" type="presParOf" srcId="{242A12E2-B770-46E5-A5D2-70D3618A9CEB}" destId="{92443A1C-5A68-4BDE-BDFB-2C129F0BF7D7}" srcOrd="0" destOrd="0" presId="urn:microsoft.com/office/officeart/2005/8/layout/orgChart1"/>
    <dgm:cxn modelId="{A5563A05-616C-4C26-8B74-C50F7CF2F94D}" type="presParOf" srcId="{92443A1C-5A68-4BDE-BDFB-2C129F0BF7D7}" destId="{797C12C5-1BB8-4D6B-A05F-9963F61302F2}" srcOrd="0" destOrd="0" presId="urn:microsoft.com/office/officeart/2005/8/layout/orgChart1"/>
    <dgm:cxn modelId="{3A932E8C-E22B-4EBF-888C-624D5AC8E1B4}" type="presParOf" srcId="{92443A1C-5A68-4BDE-BDFB-2C129F0BF7D7}" destId="{F0A24E22-8B7E-4B2F-9197-DB143DA8D292}" srcOrd="1" destOrd="0" presId="urn:microsoft.com/office/officeart/2005/8/layout/orgChart1"/>
    <dgm:cxn modelId="{62FE2210-B2BA-4DB8-BAED-99410FAA4DB3}" type="presParOf" srcId="{242A12E2-B770-46E5-A5D2-70D3618A9CEB}" destId="{748A2C25-256B-4EE7-A681-4B46A55AE8E6}" srcOrd="1" destOrd="0" presId="urn:microsoft.com/office/officeart/2005/8/layout/orgChart1"/>
    <dgm:cxn modelId="{4E9D5E04-33C7-45F4-91D8-E02A40EAC686}" type="presParOf" srcId="{748A2C25-256B-4EE7-A681-4B46A55AE8E6}" destId="{652E01CB-06B2-4E9B-9A9D-712685CC5296}" srcOrd="0" destOrd="0" presId="urn:microsoft.com/office/officeart/2005/8/layout/orgChart1"/>
    <dgm:cxn modelId="{91D65DC9-1AAC-41AB-917C-25FBBD70909E}" type="presParOf" srcId="{748A2C25-256B-4EE7-A681-4B46A55AE8E6}" destId="{4B061452-2A9E-4D9C-8113-3986443A9620}" srcOrd="1" destOrd="0" presId="urn:microsoft.com/office/officeart/2005/8/layout/orgChart1"/>
    <dgm:cxn modelId="{8B3B4CD6-3F53-46C8-A246-56FF3133A932}" type="presParOf" srcId="{4B061452-2A9E-4D9C-8113-3986443A9620}" destId="{1488D6EB-D319-4ADD-AA1B-BB77012D42B4}" srcOrd="0" destOrd="0" presId="urn:microsoft.com/office/officeart/2005/8/layout/orgChart1"/>
    <dgm:cxn modelId="{565F51AF-0B73-4590-9C00-02057B632F4E}" type="presParOf" srcId="{1488D6EB-D319-4ADD-AA1B-BB77012D42B4}" destId="{32BC8322-AF47-4EB1-929D-CB53EB1EDD1B}" srcOrd="0" destOrd="0" presId="urn:microsoft.com/office/officeart/2005/8/layout/orgChart1"/>
    <dgm:cxn modelId="{46BDC914-8313-496D-9878-8B4558B396D8}" type="presParOf" srcId="{1488D6EB-D319-4ADD-AA1B-BB77012D42B4}" destId="{D8BC3276-ED9D-4B06-9D0D-98FFC798AD56}" srcOrd="1" destOrd="0" presId="urn:microsoft.com/office/officeart/2005/8/layout/orgChart1"/>
    <dgm:cxn modelId="{0E61A9CF-CDEB-45E2-AECD-E96A502B63D2}" type="presParOf" srcId="{4B061452-2A9E-4D9C-8113-3986443A9620}" destId="{BCE6056C-8947-419C-AE5E-E303B2F1BA09}" srcOrd="1" destOrd="0" presId="urn:microsoft.com/office/officeart/2005/8/layout/orgChart1"/>
    <dgm:cxn modelId="{50B5A442-6DE4-4269-BFC3-0C9D1B9F6D01}" type="presParOf" srcId="{4B061452-2A9E-4D9C-8113-3986443A9620}" destId="{45AB4E94-83D7-4CB4-B2DD-3C5663A4565B}" srcOrd="2" destOrd="0" presId="urn:microsoft.com/office/officeart/2005/8/layout/orgChart1"/>
    <dgm:cxn modelId="{E1A127FE-1B1E-46EE-9A33-A603B55008BE}" type="presParOf" srcId="{242A12E2-B770-46E5-A5D2-70D3618A9CEB}" destId="{509CA7CA-63F0-4FA6-B8F2-252044A70736}" srcOrd="2" destOrd="0" presId="urn:microsoft.com/office/officeart/2005/8/layout/orgChart1"/>
    <dgm:cxn modelId="{D934006E-CDAE-47BE-BCC0-5DC0CC58A5BF}" type="presParOf" srcId="{8D54CC20-034B-43E1-8019-66B3AC414C0A}" destId="{72FEABFE-0EC8-4A53-956B-58D58DD067DC}" srcOrd="6" destOrd="0" presId="urn:microsoft.com/office/officeart/2005/8/layout/orgChart1"/>
    <dgm:cxn modelId="{11080295-38B4-4987-AE82-05E24CC9B704}" type="presParOf" srcId="{8D54CC20-034B-43E1-8019-66B3AC414C0A}" destId="{E7A68D38-8190-44AF-B074-4F65798CD0D7}" srcOrd="7" destOrd="0" presId="urn:microsoft.com/office/officeart/2005/8/layout/orgChart1"/>
    <dgm:cxn modelId="{1E020BA9-A4BB-4775-915D-1DA90F750184}" type="presParOf" srcId="{E7A68D38-8190-44AF-B074-4F65798CD0D7}" destId="{E9CF43C2-860B-476D-89C0-7582089B00ED}" srcOrd="0" destOrd="0" presId="urn:microsoft.com/office/officeart/2005/8/layout/orgChart1"/>
    <dgm:cxn modelId="{FFD2C233-AE4F-47CF-86D6-B91061BB0217}" type="presParOf" srcId="{E9CF43C2-860B-476D-89C0-7582089B00ED}" destId="{0CF81988-BE01-456F-893D-9FC70C7C493A}" srcOrd="0" destOrd="0" presId="urn:microsoft.com/office/officeart/2005/8/layout/orgChart1"/>
    <dgm:cxn modelId="{C50BF09E-45E7-4FBD-9E5F-792E6CC7AF02}" type="presParOf" srcId="{E9CF43C2-860B-476D-89C0-7582089B00ED}" destId="{A6FA7CBE-5758-444B-AE99-FAD67B7C2581}" srcOrd="1" destOrd="0" presId="urn:microsoft.com/office/officeart/2005/8/layout/orgChart1"/>
    <dgm:cxn modelId="{111DE9E1-05D7-4A89-A833-3216E237627C}" type="presParOf" srcId="{E7A68D38-8190-44AF-B074-4F65798CD0D7}" destId="{348CDC18-64B1-400C-962C-9320DC624EE8}" srcOrd="1" destOrd="0" presId="urn:microsoft.com/office/officeart/2005/8/layout/orgChart1"/>
    <dgm:cxn modelId="{B787645A-4E8C-45C7-9EB8-045B72A3591F}" type="presParOf" srcId="{E7A68D38-8190-44AF-B074-4F65798CD0D7}" destId="{88FEF4CF-A81A-4EBC-9079-34A3578D021E}" srcOrd="2" destOrd="0" presId="urn:microsoft.com/office/officeart/2005/8/layout/orgChart1"/>
    <dgm:cxn modelId="{484AA668-43F7-4F79-B9BC-C0F41162F007}"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t>
        <a:bodyPr/>
        <a:lstStyle/>
        <a:p>
          <a:endParaRPr lang="hu-HU"/>
        </a:p>
      </dgm:t>
    </dgm:pt>
    <dgm:pt modelId="{5FA31A5F-8770-4EEA-B85C-E50AA8F9D166}" type="pres">
      <dgm:prSet presAssocID="{95635B1D-3455-4499-BD14-D9B674BD533D}" presName="rootConnector1" presStyleLbl="node1" presStyleIdx="0" presStyleCnt="0"/>
      <dgm:spPr/>
      <dgm:t>
        <a:bodyPr/>
        <a:lstStyle/>
        <a:p>
          <a:endParaRPr lang="hu-HU"/>
        </a:p>
      </dgm:t>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t>
        <a:bodyPr/>
        <a:lstStyle/>
        <a:p>
          <a:endParaRPr lang="hu-HU"/>
        </a:p>
      </dgm:t>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t>
        <a:bodyPr/>
        <a:lstStyle/>
        <a:p>
          <a:endParaRPr lang="hu-HU"/>
        </a:p>
      </dgm:t>
    </dgm:pt>
    <dgm:pt modelId="{0F1815B4-7B40-4AAC-A9C1-06720F474B4C}" type="pres">
      <dgm:prSet presAssocID="{4AF0A06A-7FB4-49F6-9428-9CBF523BDA87}" presName="rootConnector" presStyleLbl="node2" presStyleIdx="0" presStyleCnt="4"/>
      <dgm:spPr/>
      <dgm:t>
        <a:bodyPr/>
        <a:lstStyle/>
        <a:p>
          <a:endParaRPr lang="hu-HU"/>
        </a:p>
      </dgm:t>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t>
        <a:bodyPr/>
        <a:lstStyle/>
        <a:p>
          <a:endParaRPr lang="hu-HU"/>
        </a:p>
      </dgm:t>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t>
        <a:bodyPr/>
        <a:lstStyle/>
        <a:p>
          <a:endParaRPr lang="hu-HU"/>
        </a:p>
      </dgm:t>
    </dgm:pt>
    <dgm:pt modelId="{5093651E-2E1D-460B-B6A0-2C83ED82AEA9}" type="pres">
      <dgm:prSet presAssocID="{5F0C3B7C-8922-44C4-8418-CF11C765C76D}" presName="rootConnector" presStyleLbl="node2" presStyleIdx="1" presStyleCnt="4"/>
      <dgm:spPr/>
      <dgm:t>
        <a:bodyPr/>
        <a:lstStyle/>
        <a:p>
          <a:endParaRPr lang="hu-HU"/>
        </a:p>
      </dgm:t>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t>
        <a:bodyPr/>
        <a:lstStyle/>
        <a:p>
          <a:endParaRPr lang="hu-HU"/>
        </a:p>
      </dgm:t>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t>
        <a:bodyPr/>
        <a:lstStyle/>
        <a:p>
          <a:endParaRPr lang="hu-HU"/>
        </a:p>
      </dgm:t>
    </dgm:pt>
    <dgm:pt modelId="{6C99A5B3-A2B2-4E50-97EB-4E2BF5E44C8B}" type="pres">
      <dgm:prSet presAssocID="{6C5D3CA0-ED0C-4DB2-9121-362ED1446C5E}" presName="rootConnector" presStyleLbl="node2" presStyleIdx="2" presStyleCnt="4"/>
      <dgm:spPr/>
      <dgm:t>
        <a:bodyPr/>
        <a:lstStyle/>
        <a:p>
          <a:endParaRPr lang="hu-HU"/>
        </a:p>
      </dgm:t>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t>
        <a:bodyPr/>
        <a:lstStyle/>
        <a:p>
          <a:endParaRPr lang="hu-HU"/>
        </a:p>
      </dgm:t>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t>
        <a:bodyPr/>
        <a:lstStyle/>
        <a:p>
          <a:endParaRPr lang="hu-HU"/>
        </a:p>
      </dgm:t>
    </dgm:pt>
    <dgm:pt modelId="{06756F45-2F02-4D43-BBA1-2266EBB7F87B}" type="pres">
      <dgm:prSet presAssocID="{FC68FD10-AC86-4062-B866-979C10BAC564}" presName="rootConnector" presStyleLbl="node3" presStyleIdx="0" presStyleCnt="3"/>
      <dgm:spPr/>
      <dgm:t>
        <a:bodyPr/>
        <a:lstStyle/>
        <a:p>
          <a:endParaRPr lang="hu-HU"/>
        </a:p>
      </dgm:t>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t>
        <a:bodyPr/>
        <a:lstStyle/>
        <a:p>
          <a:endParaRPr lang="hu-HU"/>
        </a:p>
      </dgm:t>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t>
        <a:bodyPr/>
        <a:lstStyle/>
        <a:p>
          <a:endParaRPr lang="hu-HU"/>
        </a:p>
      </dgm:t>
    </dgm:pt>
    <dgm:pt modelId="{AFEC6366-7B0C-4CEE-A584-8B2C9F12F146}" type="pres">
      <dgm:prSet presAssocID="{646CFC89-903B-443E-A31F-46082F7A2799}" presName="rootConnector" presStyleLbl="node3" presStyleIdx="1" presStyleCnt="3"/>
      <dgm:spPr/>
      <dgm:t>
        <a:bodyPr/>
        <a:lstStyle/>
        <a:p>
          <a:endParaRPr lang="hu-HU"/>
        </a:p>
      </dgm:t>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t>
        <a:bodyPr/>
        <a:lstStyle/>
        <a:p>
          <a:endParaRPr lang="hu-HU"/>
        </a:p>
      </dgm:t>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t>
        <a:bodyPr/>
        <a:lstStyle/>
        <a:p>
          <a:endParaRPr lang="hu-HU"/>
        </a:p>
      </dgm:t>
    </dgm:pt>
    <dgm:pt modelId="{257A3C42-E2FB-44CA-B38A-D1CDB90AC01A}" type="pres">
      <dgm:prSet presAssocID="{E0432F6F-1314-45B0-99C3-7228CA556081}" presName="rootConnector" presStyleLbl="node3" presStyleIdx="2" presStyleCnt="3"/>
      <dgm:spPr/>
      <dgm:t>
        <a:bodyPr/>
        <a:lstStyle/>
        <a:p>
          <a:endParaRPr lang="hu-HU"/>
        </a:p>
      </dgm:t>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t>
        <a:bodyPr/>
        <a:lstStyle/>
        <a:p>
          <a:endParaRPr lang="hu-HU"/>
        </a:p>
      </dgm:t>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t>
        <a:bodyPr/>
        <a:lstStyle/>
        <a:p>
          <a:endParaRPr lang="hu-HU"/>
        </a:p>
      </dgm:t>
    </dgm:pt>
    <dgm:pt modelId="{F1982391-9E72-4958-81F4-A4E1498018DF}" type="pres">
      <dgm:prSet presAssocID="{73D85DD0-8867-456F-85CD-C092567AD6EA}" presName="rootConnector" presStyleLbl="node2" presStyleIdx="3" presStyleCnt="4"/>
      <dgm:spPr/>
      <dgm:t>
        <a:bodyPr/>
        <a:lstStyle/>
        <a:p>
          <a:endParaRPr lang="hu-HU"/>
        </a:p>
      </dgm:t>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61C6A7FA-1AFF-4816-B67E-811491629AA1}" type="presOf" srcId="{73D85DD0-8867-456F-85CD-C092567AD6EA}" destId="{F1982391-9E72-4958-81F4-A4E1498018DF}" srcOrd="1" destOrd="0" presId="urn:microsoft.com/office/officeart/2005/8/layout/orgChart1"/>
    <dgm:cxn modelId="{0DB93C1C-11C4-4118-A0C5-7AF514576D42}" type="presOf" srcId="{6C5D3CA0-ED0C-4DB2-9121-362ED1446C5E}" destId="{BD605F9E-348D-43F6-B67D-CEAE6FF661D8}"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A3404CE4-C924-4715-A143-680C203DB2FD}" type="presOf" srcId="{646CFC89-903B-443E-A31F-46082F7A2799}" destId="{714C544D-F6E6-40E9-A3B0-7E1763F57071}" srcOrd="0" destOrd="0" presId="urn:microsoft.com/office/officeart/2005/8/layout/orgChart1"/>
    <dgm:cxn modelId="{77398086-75ED-4820-9869-F1DF9440773E}" type="presOf" srcId="{95635B1D-3455-4499-BD14-D9B674BD533D}" destId="{5FA31A5F-8770-4EEA-B85C-E50AA8F9D166}" srcOrd="1" destOrd="0" presId="urn:microsoft.com/office/officeart/2005/8/layout/orgChart1"/>
    <dgm:cxn modelId="{1ADBEA11-AE0A-4E18-96AC-5D6682BE60BA}" type="presOf" srcId="{93ED99CB-7555-4243-95DE-E27B0CA5AB8A}" destId="{96D7B7F3-16E1-401F-9080-79C3CD240B12}" srcOrd="0" destOrd="0" presId="urn:microsoft.com/office/officeart/2005/8/layout/orgChart1"/>
    <dgm:cxn modelId="{0BC289A7-5DAB-4B04-9D71-91DE78DA7D18}" type="presOf" srcId="{539F169E-F3CD-429C-8B08-DE5C37EF76D0}" destId="{A57150C1-F2D5-45F0-A423-7304197EB336}" srcOrd="0" destOrd="0" presId="urn:microsoft.com/office/officeart/2005/8/layout/orgChart1"/>
    <dgm:cxn modelId="{ACA00C68-B5A9-4833-A72B-5A7013C07F5A}" type="presOf" srcId="{E0432F6F-1314-45B0-99C3-7228CA556081}" destId="{2632EED7-146E-461C-B004-E49D1772E9B0}" srcOrd="0" destOrd="0" presId="urn:microsoft.com/office/officeart/2005/8/layout/orgChart1"/>
    <dgm:cxn modelId="{642A2008-0D16-43EB-99DA-AD2123A2FE9B}" type="presOf" srcId="{4AF0A06A-7FB4-49F6-9428-9CBF523BDA87}" destId="{0F1815B4-7B40-4AAC-A9C1-06720F474B4C}" srcOrd="1" destOrd="0" presId="urn:microsoft.com/office/officeart/2005/8/layout/orgChart1"/>
    <dgm:cxn modelId="{D3A9DDA3-2617-458C-ADC4-0025213CD9F4}" type="presOf" srcId="{FC68FD10-AC86-4062-B866-979C10BAC564}" destId="{06756F45-2F02-4D43-BBA1-2266EBB7F87B}" srcOrd="1" destOrd="0" presId="urn:microsoft.com/office/officeart/2005/8/layout/orgChart1"/>
    <dgm:cxn modelId="{60C1C3FD-7EEC-4F6A-9760-D3C477366635}" type="presOf" srcId="{95635B1D-3455-4499-BD14-D9B674BD533D}" destId="{7047782D-B586-4E26-ABB5-8B64B3FE0970}"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F7A44EFD-B04A-41C7-9FDC-164012AFC08C}" type="presOf" srcId="{5F0C3B7C-8922-44C4-8418-CF11C765C76D}" destId="{5093651E-2E1D-460B-B6A0-2C83ED82AEA9}" srcOrd="1"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90A4219F-C455-46BC-B4B1-EB4FEFBA58A0}" type="presOf" srcId="{6C5D3CA0-ED0C-4DB2-9121-362ED1446C5E}" destId="{6C99A5B3-A2B2-4E50-97EB-4E2BF5E44C8B}" srcOrd="1" destOrd="0" presId="urn:microsoft.com/office/officeart/2005/8/layout/orgChart1"/>
    <dgm:cxn modelId="{0A9858C4-B877-483F-8F34-C88987F9057E}" type="presOf" srcId="{00311832-9019-4F4D-A2C3-C20B03EC68A1}" destId="{74619353-182D-4FA9-9E2F-0D013DB80159}" srcOrd="0" destOrd="0" presId="urn:microsoft.com/office/officeart/2005/8/layout/orgChart1"/>
    <dgm:cxn modelId="{CCEBBA88-DC2F-465B-B9AC-3FD935605A14}" type="presOf" srcId="{5F0C3B7C-8922-44C4-8418-CF11C765C76D}" destId="{BC6C7B4C-947D-4ADF-947C-95C485F9E73E}" srcOrd="0" destOrd="0" presId="urn:microsoft.com/office/officeart/2005/8/layout/orgChart1"/>
    <dgm:cxn modelId="{03D8983B-E086-4B12-B43F-3FBE7E683131}" type="presOf" srcId="{C85B6FB5-60AA-43E3-B8BD-96CAF01C36C6}" destId="{AD1422DD-B8E7-4ACD-8908-4BE611ADCA58}" srcOrd="0"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26D02BC7-00A3-4D50-915F-6066828CF722}" type="presOf" srcId="{56C3D045-0F3B-4717-9D73-800A288598B4}" destId="{41102AA6-A727-4076-9F7F-0530A1C5301C}" srcOrd="0" destOrd="0" presId="urn:microsoft.com/office/officeart/2005/8/layout/orgChart1"/>
    <dgm:cxn modelId="{0919F676-A91B-41D7-B397-91E10BC4EE84}" type="presOf" srcId="{4AF0A06A-7FB4-49F6-9428-9CBF523BDA87}" destId="{D65DA5BB-C0BC-4799-89E7-6E3494B2997C}" srcOrd="0"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FFD1F3C1-3729-46E8-871E-4A9F2944D042}" type="presOf" srcId="{E0432F6F-1314-45B0-99C3-7228CA556081}" destId="{257A3C42-E2FB-44CA-B38A-D1CDB90AC01A}" srcOrd="1" destOrd="0" presId="urn:microsoft.com/office/officeart/2005/8/layout/orgChart1"/>
    <dgm:cxn modelId="{3D8E6D51-7457-4231-9736-BA687F11E351}" srcId="{95635B1D-3455-4499-BD14-D9B674BD533D}" destId="{4AF0A06A-7FB4-49F6-9428-9CBF523BDA87}" srcOrd="0" destOrd="0" parTransId="{56C3D045-0F3B-4717-9D73-800A288598B4}" sibTransId="{48D4FBFB-EDA4-4372-A595-D8268C8EB27D}"/>
    <dgm:cxn modelId="{FBE83AD2-E1C8-4290-B2DB-74E598619C40}" srcId="{95635B1D-3455-4499-BD14-D9B674BD533D}" destId="{73D85DD0-8867-456F-85CD-C092567AD6EA}" srcOrd="3" destOrd="0" parTransId="{539F169E-F3CD-429C-8B08-DE5C37EF76D0}" sibTransId="{D97528C7-E927-4A6E-8001-E0A92F201A92}"/>
    <dgm:cxn modelId="{D88C95FF-758B-422E-B2F2-9D36F43D6DAD}" srcId="{00311832-9019-4F4D-A2C3-C20B03EC68A1}" destId="{95635B1D-3455-4499-BD14-D9B674BD533D}" srcOrd="0" destOrd="0" parTransId="{35D3896B-2B5B-4A9B-8B76-27A97A4012FC}" sibTransId="{A5964893-08CF-4FFD-8AC7-BB5D2497F1C3}"/>
    <dgm:cxn modelId="{261AB609-0798-495C-946A-24471BEEF51D}" type="presOf" srcId="{FC68FD10-AC86-4062-B866-979C10BAC564}" destId="{8A6CE1AE-0FA6-4B34-A6F0-1333A421786D}" srcOrd="0" destOrd="0" presId="urn:microsoft.com/office/officeart/2005/8/layout/orgChart1"/>
    <dgm:cxn modelId="{F748FB4E-BBF6-4547-BD0F-F9F7FED388F7}" type="presOf" srcId="{646CFC89-903B-443E-A31F-46082F7A2799}" destId="{AFEC6366-7B0C-4CEE-A584-8B2C9F12F146}" srcOrd="1" destOrd="0" presId="urn:microsoft.com/office/officeart/2005/8/layout/orgChart1"/>
    <dgm:cxn modelId="{95291BD9-5381-4108-933B-2594D4346027}" type="presOf" srcId="{2E4BECC1-29E7-4336-AC0A-C302CFBADB3F}" destId="{B0644172-082B-470C-BE8C-40795B0B0CE5}" srcOrd="0" destOrd="0" presId="urn:microsoft.com/office/officeart/2005/8/layout/orgChart1"/>
    <dgm:cxn modelId="{FBE3BD0D-A8D4-4208-8BED-ABC325397C56}" type="presOf" srcId="{73D85DD0-8867-456F-85CD-C092567AD6EA}" destId="{6CA19065-F2D1-475B-AD7C-6FB622CB6417}" srcOrd="0" destOrd="0" presId="urn:microsoft.com/office/officeart/2005/8/layout/orgChart1"/>
    <dgm:cxn modelId="{DB937D8A-8BFF-4417-A1B5-21EB61B3457D}" type="presOf" srcId="{02A432DB-9A1E-4C46-9BF9-AD21F4DFBBE5}" destId="{C37734EC-B3D0-4123-88ED-C936881E5816}" srcOrd="0" destOrd="0" presId="urn:microsoft.com/office/officeart/2005/8/layout/orgChart1"/>
    <dgm:cxn modelId="{73076825-165A-4F77-AEAF-6764CEBAC8B7}" type="presOf" srcId="{79857FA4-ED34-48F6-98E1-8408586BC04E}" destId="{98154086-FCD7-4965-A6B7-A389E1C0EC29}" srcOrd="0" destOrd="0" presId="urn:microsoft.com/office/officeart/2005/8/layout/orgChart1"/>
    <dgm:cxn modelId="{FEDEC4C5-41D9-4F17-A19B-48119A92AF4E}" type="presParOf" srcId="{74619353-182D-4FA9-9E2F-0D013DB80159}" destId="{D2DD2CE5-2888-4C73-A203-A73479D0D91D}" srcOrd="0" destOrd="0" presId="urn:microsoft.com/office/officeart/2005/8/layout/orgChart1"/>
    <dgm:cxn modelId="{D8775969-97CE-4733-8B04-CA64A5BAA053}" type="presParOf" srcId="{D2DD2CE5-2888-4C73-A203-A73479D0D91D}" destId="{9A93C9AC-E0E0-4245-8F0E-4C4DCDE9E8CC}" srcOrd="0" destOrd="0" presId="urn:microsoft.com/office/officeart/2005/8/layout/orgChart1"/>
    <dgm:cxn modelId="{8751E50F-F8CE-4346-BA22-892EDBA0C143}" type="presParOf" srcId="{9A93C9AC-E0E0-4245-8F0E-4C4DCDE9E8CC}" destId="{7047782D-B586-4E26-ABB5-8B64B3FE0970}" srcOrd="0" destOrd="0" presId="urn:microsoft.com/office/officeart/2005/8/layout/orgChart1"/>
    <dgm:cxn modelId="{532E0C0D-7DEB-4FD7-982B-2F163CCCDCA7}" type="presParOf" srcId="{9A93C9AC-E0E0-4245-8F0E-4C4DCDE9E8CC}" destId="{5FA31A5F-8770-4EEA-B85C-E50AA8F9D166}" srcOrd="1" destOrd="0" presId="urn:microsoft.com/office/officeart/2005/8/layout/orgChart1"/>
    <dgm:cxn modelId="{2A8BFF11-600A-46DF-8C54-5D53667FE78A}" type="presParOf" srcId="{D2DD2CE5-2888-4C73-A203-A73479D0D91D}" destId="{3B39BBAD-6CF8-49C6-B6CC-AFFDB634152A}" srcOrd="1" destOrd="0" presId="urn:microsoft.com/office/officeart/2005/8/layout/orgChart1"/>
    <dgm:cxn modelId="{42DF12DD-A0F9-46B9-8E5C-831CFF1DC809}" type="presParOf" srcId="{3B39BBAD-6CF8-49C6-B6CC-AFFDB634152A}" destId="{41102AA6-A727-4076-9F7F-0530A1C5301C}" srcOrd="0" destOrd="0" presId="urn:microsoft.com/office/officeart/2005/8/layout/orgChart1"/>
    <dgm:cxn modelId="{03787783-21AC-4681-A8B2-5BE5438A78DF}" type="presParOf" srcId="{3B39BBAD-6CF8-49C6-B6CC-AFFDB634152A}" destId="{B81BC657-E372-4D6B-ABB7-2986A9B96A8A}" srcOrd="1" destOrd="0" presId="urn:microsoft.com/office/officeart/2005/8/layout/orgChart1"/>
    <dgm:cxn modelId="{E89C93EB-AC9A-4CA3-A6B4-2082D51F8062}" type="presParOf" srcId="{B81BC657-E372-4D6B-ABB7-2986A9B96A8A}" destId="{B21E6B7F-6C6A-432F-B824-D857FA91FCCB}" srcOrd="0" destOrd="0" presId="urn:microsoft.com/office/officeart/2005/8/layout/orgChart1"/>
    <dgm:cxn modelId="{EFD0BA07-A50E-40F4-9ACE-F3A031E0C712}" type="presParOf" srcId="{B21E6B7F-6C6A-432F-B824-D857FA91FCCB}" destId="{D65DA5BB-C0BC-4799-89E7-6E3494B2997C}" srcOrd="0" destOrd="0" presId="urn:microsoft.com/office/officeart/2005/8/layout/orgChart1"/>
    <dgm:cxn modelId="{2A0B39ED-1181-4354-B8DF-EC369531E6A3}" type="presParOf" srcId="{B21E6B7F-6C6A-432F-B824-D857FA91FCCB}" destId="{0F1815B4-7B40-4AAC-A9C1-06720F474B4C}" srcOrd="1" destOrd="0" presId="urn:microsoft.com/office/officeart/2005/8/layout/orgChart1"/>
    <dgm:cxn modelId="{192FD8F0-8B5D-46D6-9494-C46CE2F08D6C}" type="presParOf" srcId="{B81BC657-E372-4D6B-ABB7-2986A9B96A8A}" destId="{9CC2F6A5-7BC5-4211-9FA5-C97BA12A5D5A}" srcOrd="1" destOrd="0" presId="urn:microsoft.com/office/officeart/2005/8/layout/orgChart1"/>
    <dgm:cxn modelId="{7DA6F5EF-B0CB-47DF-915B-D88684C60EFE}" type="presParOf" srcId="{B81BC657-E372-4D6B-ABB7-2986A9B96A8A}" destId="{0D22CC52-9F56-4F80-9C5E-C616D7962C88}" srcOrd="2" destOrd="0" presId="urn:microsoft.com/office/officeart/2005/8/layout/orgChart1"/>
    <dgm:cxn modelId="{957FB4A3-40BA-4FD5-AE87-27C78A0A8779}" type="presParOf" srcId="{3B39BBAD-6CF8-49C6-B6CC-AFFDB634152A}" destId="{AD1422DD-B8E7-4ACD-8908-4BE611ADCA58}" srcOrd="2" destOrd="0" presId="urn:microsoft.com/office/officeart/2005/8/layout/orgChart1"/>
    <dgm:cxn modelId="{671C4194-E0C7-4140-8D8C-366D2D08864D}" type="presParOf" srcId="{3B39BBAD-6CF8-49C6-B6CC-AFFDB634152A}" destId="{0E011475-6376-4F9A-85F9-E767AF4292CC}" srcOrd="3" destOrd="0" presId="urn:microsoft.com/office/officeart/2005/8/layout/orgChart1"/>
    <dgm:cxn modelId="{B409F9FD-D816-4CEB-A526-BE049D6FC51E}" type="presParOf" srcId="{0E011475-6376-4F9A-85F9-E767AF4292CC}" destId="{10F2EA5D-E240-4580-A655-8DD0960C2C12}" srcOrd="0" destOrd="0" presId="urn:microsoft.com/office/officeart/2005/8/layout/orgChart1"/>
    <dgm:cxn modelId="{B91C83D1-47C2-49DB-98E2-2566EC247A52}" type="presParOf" srcId="{10F2EA5D-E240-4580-A655-8DD0960C2C12}" destId="{BC6C7B4C-947D-4ADF-947C-95C485F9E73E}" srcOrd="0" destOrd="0" presId="urn:microsoft.com/office/officeart/2005/8/layout/orgChart1"/>
    <dgm:cxn modelId="{B9AECDAA-49E7-4D2D-BA9F-F7D7BB17952A}" type="presParOf" srcId="{10F2EA5D-E240-4580-A655-8DD0960C2C12}" destId="{5093651E-2E1D-460B-B6A0-2C83ED82AEA9}" srcOrd="1" destOrd="0" presId="urn:microsoft.com/office/officeart/2005/8/layout/orgChart1"/>
    <dgm:cxn modelId="{25F25ABB-034F-4275-AD7E-70822B8C8201}" type="presParOf" srcId="{0E011475-6376-4F9A-85F9-E767AF4292CC}" destId="{FE33C86A-20A8-41A4-8387-9D8570A47B45}" srcOrd="1" destOrd="0" presId="urn:microsoft.com/office/officeart/2005/8/layout/orgChart1"/>
    <dgm:cxn modelId="{27306105-F737-497B-A0EB-327788290594}" type="presParOf" srcId="{0E011475-6376-4F9A-85F9-E767AF4292CC}" destId="{EF672EF5-4818-421E-AD7D-687C56EB8741}" srcOrd="2" destOrd="0" presId="urn:microsoft.com/office/officeart/2005/8/layout/orgChart1"/>
    <dgm:cxn modelId="{0C3F2EB0-599A-42CC-9DA8-35DFDBDB7DE6}" type="presParOf" srcId="{3B39BBAD-6CF8-49C6-B6CC-AFFDB634152A}" destId="{96D7B7F3-16E1-401F-9080-79C3CD240B12}" srcOrd="4" destOrd="0" presId="urn:microsoft.com/office/officeart/2005/8/layout/orgChart1"/>
    <dgm:cxn modelId="{B75296B7-E6B5-45EC-9C7D-8F20B469E9D4}" type="presParOf" srcId="{3B39BBAD-6CF8-49C6-B6CC-AFFDB634152A}" destId="{CFBF5BB5-983E-4B8B-BA7C-4B991A1BC231}" srcOrd="5" destOrd="0" presId="urn:microsoft.com/office/officeart/2005/8/layout/orgChart1"/>
    <dgm:cxn modelId="{01000E3B-2047-4EF5-828B-4525D5705AC9}" type="presParOf" srcId="{CFBF5BB5-983E-4B8B-BA7C-4B991A1BC231}" destId="{230A7F5D-8EEE-412A-8DF6-169290094E8E}" srcOrd="0" destOrd="0" presId="urn:microsoft.com/office/officeart/2005/8/layout/orgChart1"/>
    <dgm:cxn modelId="{69FF20A0-A489-4306-8D3C-13C83FF5187B}" type="presParOf" srcId="{230A7F5D-8EEE-412A-8DF6-169290094E8E}" destId="{BD605F9E-348D-43F6-B67D-CEAE6FF661D8}" srcOrd="0" destOrd="0" presId="urn:microsoft.com/office/officeart/2005/8/layout/orgChart1"/>
    <dgm:cxn modelId="{3A6A3156-7D65-488B-B0F4-BCB1AF892F29}" type="presParOf" srcId="{230A7F5D-8EEE-412A-8DF6-169290094E8E}" destId="{6C99A5B3-A2B2-4E50-97EB-4E2BF5E44C8B}" srcOrd="1" destOrd="0" presId="urn:microsoft.com/office/officeart/2005/8/layout/orgChart1"/>
    <dgm:cxn modelId="{6E677F06-D465-4AAB-AD20-4F2F4C70CF8C}" type="presParOf" srcId="{CFBF5BB5-983E-4B8B-BA7C-4B991A1BC231}" destId="{69891469-A461-418D-809E-58C885DCF455}" srcOrd="1" destOrd="0" presId="urn:microsoft.com/office/officeart/2005/8/layout/orgChart1"/>
    <dgm:cxn modelId="{FE1F6ABF-A838-4E3F-8517-616982301D7C}" type="presParOf" srcId="{69891469-A461-418D-809E-58C885DCF455}" destId="{98154086-FCD7-4965-A6B7-A389E1C0EC29}" srcOrd="0" destOrd="0" presId="urn:microsoft.com/office/officeart/2005/8/layout/orgChart1"/>
    <dgm:cxn modelId="{7C196166-28A4-410D-8B8B-C06398E5ACBB}" type="presParOf" srcId="{69891469-A461-418D-809E-58C885DCF455}" destId="{36E7C4F8-4A4F-4293-B453-37E54FA22F18}" srcOrd="1" destOrd="0" presId="urn:microsoft.com/office/officeart/2005/8/layout/orgChart1"/>
    <dgm:cxn modelId="{2BA6960B-4ED3-47EC-AC47-6990AAC6FFC9}" type="presParOf" srcId="{36E7C4F8-4A4F-4293-B453-37E54FA22F18}" destId="{E34A40F7-7064-4989-8A2D-10DBCADE01F7}" srcOrd="0" destOrd="0" presId="urn:microsoft.com/office/officeart/2005/8/layout/orgChart1"/>
    <dgm:cxn modelId="{ECAD411B-9471-404A-98A8-CB1A7A9AC145}" type="presParOf" srcId="{E34A40F7-7064-4989-8A2D-10DBCADE01F7}" destId="{8A6CE1AE-0FA6-4B34-A6F0-1333A421786D}" srcOrd="0" destOrd="0" presId="urn:microsoft.com/office/officeart/2005/8/layout/orgChart1"/>
    <dgm:cxn modelId="{5100F455-6865-4DBB-9E0A-C28ACA807140}" type="presParOf" srcId="{E34A40F7-7064-4989-8A2D-10DBCADE01F7}" destId="{06756F45-2F02-4D43-BBA1-2266EBB7F87B}" srcOrd="1" destOrd="0" presId="urn:microsoft.com/office/officeart/2005/8/layout/orgChart1"/>
    <dgm:cxn modelId="{CF14EAB2-6700-4CBD-B097-B27128DE466B}" type="presParOf" srcId="{36E7C4F8-4A4F-4293-B453-37E54FA22F18}" destId="{4BCAE84E-DE89-4C9B-846D-CB24EC1BFA18}" srcOrd="1" destOrd="0" presId="urn:microsoft.com/office/officeart/2005/8/layout/orgChart1"/>
    <dgm:cxn modelId="{52C66FC8-C302-4DE8-8B0F-C47A4A89259D}" type="presParOf" srcId="{36E7C4F8-4A4F-4293-B453-37E54FA22F18}" destId="{91164FEC-C1BC-4C52-8A79-FBDA6A260484}" srcOrd="2" destOrd="0" presId="urn:microsoft.com/office/officeart/2005/8/layout/orgChart1"/>
    <dgm:cxn modelId="{1570626B-F46C-49DE-A2CF-26C02F20B049}" type="presParOf" srcId="{69891469-A461-418D-809E-58C885DCF455}" destId="{C37734EC-B3D0-4123-88ED-C936881E5816}" srcOrd="2" destOrd="0" presId="urn:microsoft.com/office/officeart/2005/8/layout/orgChart1"/>
    <dgm:cxn modelId="{F9679DD1-3C4E-439C-B1EA-BC51601A639D}" type="presParOf" srcId="{69891469-A461-418D-809E-58C885DCF455}" destId="{7E5912F9-EB3C-44D7-B735-98934A5C0066}" srcOrd="3" destOrd="0" presId="urn:microsoft.com/office/officeart/2005/8/layout/orgChart1"/>
    <dgm:cxn modelId="{64A57B3E-9D0A-4CD9-9F6A-D20ABE0FEFCB}" type="presParOf" srcId="{7E5912F9-EB3C-44D7-B735-98934A5C0066}" destId="{E94C4B73-7D70-4D45-985E-CE4CA0C6D32B}" srcOrd="0" destOrd="0" presId="urn:microsoft.com/office/officeart/2005/8/layout/orgChart1"/>
    <dgm:cxn modelId="{4286C74F-1E60-48A7-90FF-28923957B515}" type="presParOf" srcId="{E94C4B73-7D70-4D45-985E-CE4CA0C6D32B}" destId="{714C544D-F6E6-40E9-A3B0-7E1763F57071}" srcOrd="0" destOrd="0" presId="urn:microsoft.com/office/officeart/2005/8/layout/orgChart1"/>
    <dgm:cxn modelId="{370C5E45-AB14-47AE-ADA1-794E99492886}" type="presParOf" srcId="{E94C4B73-7D70-4D45-985E-CE4CA0C6D32B}" destId="{AFEC6366-7B0C-4CEE-A584-8B2C9F12F146}" srcOrd="1" destOrd="0" presId="urn:microsoft.com/office/officeart/2005/8/layout/orgChart1"/>
    <dgm:cxn modelId="{A8FE1200-0577-4D86-9FD4-907612F0B69C}" type="presParOf" srcId="{7E5912F9-EB3C-44D7-B735-98934A5C0066}" destId="{DB113D93-C2BA-4A63-87D6-284930CE4F66}" srcOrd="1" destOrd="0" presId="urn:microsoft.com/office/officeart/2005/8/layout/orgChart1"/>
    <dgm:cxn modelId="{A0E8EFE3-578C-4698-A4A4-2903E8C2295C}" type="presParOf" srcId="{7E5912F9-EB3C-44D7-B735-98934A5C0066}" destId="{51D755F7-500E-4BC4-A32A-27B72A99B3EC}" srcOrd="2" destOrd="0" presId="urn:microsoft.com/office/officeart/2005/8/layout/orgChart1"/>
    <dgm:cxn modelId="{35468696-4900-4438-803B-5A5B1CED8AC5}" type="presParOf" srcId="{69891469-A461-418D-809E-58C885DCF455}" destId="{B0644172-082B-470C-BE8C-40795B0B0CE5}" srcOrd="4" destOrd="0" presId="urn:microsoft.com/office/officeart/2005/8/layout/orgChart1"/>
    <dgm:cxn modelId="{8AC86CCF-0594-44BB-BDC3-9A8C53817CE9}" type="presParOf" srcId="{69891469-A461-418D-809E-58C885DCF455}" destId="{A5A19D6B-89F0-47A2-9BBC-4EE0E8DC48DA}" srcOrd="5" destOrd="0" presId="urn:microsoft.com/office/officeart/2005/8/layout/orgChart1"/>
    <dgm:cxn modelId="{3EA2571D-3E3F-40DE-89C8-5CEAEE9B0824}" type="presParOf" srcId="{A5A19D6B-89F0-47A2-9BBC-4EE0E8DC48DA}" destId="{38ACFAFC-5BFD-4450-96AC-7785A75A1B2F}" srcOrd="0" destOrd="0" presId="urn:microsoft.com/office/officeart/2005/8/layout/orgChart1"/>
    <dgm:cxn modelId="{9CDCF702-3033-4EC9-8477-FAE3F6CED7DA}" type="presParOf" srcId="{38ACFAFC-5BFD-4450-96AC-7785A75A1B2F}" destId="{2632EED7-146E-461C-B004-E49D1772E9B0}" srcOrd="0" destOrd="0" presId="urn:microsoft.com/office/officeart/2005/8/layout/orgChart1"/>
    <dgm:cxn modelId="{A69EFC6D-7247-4B92-A6A0-EC79584393E6}" type="presParOf" srcId="{38ACFAFC-5BFD-4450-96AC-7785A75A1B2F}" destId="{257A3C42-E2FB-44CA-B38A-D1CDB90AC01A}" srcOrd="1" destOrd="0" presId="urn:microsoft.com/office/officeart/2005/8/layout/orgChart1"/>
    <dgm:cxn modelId="{E940AA47-98CE-46C5-B585-792B4F173256}" type="presParOf" srcId="{A5A19D6B-89F0-47A2-9BBC-4EE0E8DC48DA}" destId="{0FF46ACF-B37C-4107-9960-5C9B7E4E8779}" srcOrd="1" destOrd="0" presId="urn:microsoft.com/office/officeart/2005/8/layout/orgChart1"/>
    <dgm:cxn modelId="{4B9F19B5-8685-4FB1-BABE-84A7097CC017}" type="presParOf" srcId="{A5A19D6B-89F0-47A2-9BBC-4EE0E8DC48DA}" destId="{E8520D33-D523-4D42-912E-FD64BA326589}" srcOrd="2" destOrd="0" presId="urn:microsoft.com/office/officeart/2005/8/layout/orgChart1"/>
    <dgm:cxn modelId="{A6BB75E8-0585-47CF-AFD8-8AF5BB53C7A9}" type="presParOf" srcId="{CFBF5BB5-983E-4B8B-BA7C-4B991A1BC231}" destId="{03D69233-6C2E-49A8-9976-4D59EB58ACED}" srcOrd="2" destOrd="0" presId="urn:microsoft.com/office/officeart/2005/8/layout/orgChart1"/>
    <dgm:cxn modelId="{C2A1C5EC-2BD7-4363-B554-20247411FF74}" type="presParOf" srcId="{3B39BBAD-6CF8-49C6-B6CC-AFFDB634152A}" destId="{A57150C1-F2D5-45F0-A423-7304197EB336}" srcOrd="6" destOrd="0" presId="urn:microsoft.com/office/officeart/2005/8/layout/orgChart1"/>
    <dgm:cxn modelId="{FD294F8B-7C78-46C7-AB2A-573EAADF6ED2}" type="presParOf" srcId="{3B39BBAD-6CF8-49C6-B6CC-AFFDB634152A}" destId="{B2E601B2-3759-4E17-9DF1-FAF615765392}" srcOrd="7" destOrd="0" presId="urn:microsoft.com/office/officeart/2005/8/layout/orgChart1"/>
    <dgm:cxn modelId="{FD07556F-6BE1-4F6B-96AA-EBC995A33AC2}" type="presParOf" srcId="{B2E601B2-3759-4E17-9DF1-FAF615765392}" destId="{79EA9F23-D2FC-4F59-A9F7-68929CD8D58D}" srcOrd="0" destOrd="0" presId="urn:microsoft.com/office/officeart/2005/8/layout/orgChart1"/>
    <dgm:cxn modelId="{76A8ED02-0B7E-44DD-A8D2-A48A5AEF5560}" type="presParOf" srcId="{79EA9F23-D2FC-4F59-A9F7-68929CD8D58D}" destId="{6CA19065-F2D1-475B-AD7C-6FB622CB6417}" srcOrd="0" destOrd="0" presId="urn:microsoft.com/office/officeart/2005/8/layout/orgChart1"/>
    <dgm:cxn modelId="{B7BAAADB-C62B-4B4D-AF28-82CCC013B734}" type="presParOf" srcId="{79EA9F23-D2FC-4F59-A9F7-68929CD8D58D}" destId="{F1982391-9E72-4958-81F4-A4E1498018DF}" srcOrd="1" destOrd="0" presId="urn:microsoft.com/office/officeart/2005/8/layout/orgChart1"/>
    <dgm:cxn modelId="{57D3AE53-660E-4114-ABC0-F82A95BDABCD}" type="presParOf" srcId="{B2E601B2-3759-4E17-9DF1-FAF615765392}" destId="{F506F088-9C8C-4655-B4D6-2BFDB9114769}" srcOrd="1" destOrd="0" presId="urn:microsoft.com/office/officeart/2005/8/layout/orgChart1"/>
    <dgm:cxn modelId="{F1A666E6-DA13-4454-9BCE-F09554736613}" type="presParOf" srcId="{B2E601B2-3759-4E17-9DF1-FAF615765392}" destId="{D889969E-074F-4BA1-A14A-C7ACAB2EC7DD}" srcOrd="2" destOrd="0" presId="urn:microsoft.com/office/officeart/2005/8/layout/orgChart1"/>
    <dgm:cxn modelId="{EB997AC0-7FD9-4A71-9469-1CD3FBBE1E7F}"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t>
        <a:bodyPr/>
        <a:lstStyle/>
        <a:p>
          <a:endParaRPr lang="hu-HU"/>
        </a:p>
      </dgm:t>
    </dgm:pt>
    <dgm:pt modelId="{BB6B3B2B-25ED-4DAA-AB96-EE0241D98EC3}" type="pres">
      <dgm:prSet presAssocID="{290C2173-9F3A-47B1-ACC7-55BFB92D43D5}" presName="rootConnector1" presStyleLbl="node1" presStyleIdx="0" presStyleCnt="0"/>
      <dgm:spPr/>
      <dgm:t>
        <a:bodyPr/>
        <a:lstStyle/>
        <a:p>
          <a:endParaRPr lang="hu-HU"/>
        </a:p>
      </dgm:t>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t>
        <a:bodyPr/>
        <a:lstStyle/>
        <a:p>
          <a:endParaRPr lang="hu-HU"/>
        </a:p>
      </dgm:t>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t>
        <a:bodyPr/>
        <a:lstStyle/>
        <a:p>
          <a:endParaRPr lang="hu-HU"/>
        </a:p>
      </dgm:t>
    </dgm:pt>
    <dgm:pt modelId="{B3225CF9-E180-4583-BDAF-7FF717356D8F}" type="pres">
      <dgm:prSet presAssocID="{38929868-226A-4D7F-8688-07EFD9CD6436}" presName="rootConnector" presStyleLbl="node2" presStyleIdx="0" presStyleCnt="3"/>
      <dgm:spPr/>
      <dgm:t>
        <a:bodyPr/>
        <a:lstStyle/>
        <a:p>
          <a:endParaRPr lang="hu-HU"/>
        </a:p>
      </dgm:t>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t>
        <a:bodyPr/>
        <a:lstStyle/>
        <a:p>
          <a:endParaRPr lang="hu-HU"/>
        </a:p>
      </dgm:t>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t>
        <a:bodyPr/>
        <a:lstStyle/>
        <a:p>
          <a:endParaRPr lang="hu-HU"/>
        </a:p>
      </dgm:t>
    </dgm:pt>
    <dgm:pt modelId="{5AF88AD5-B7D3-48B6-AB26-9422E3248415}" type="pres">
      <dgm:prSet presAssocID="{E20AB978-DCD9-40D3-A795-267C12DC23CE}" presName="rootConnector" presStyleLbl="node3" presStyleIdx="0" presStyleCnt="3"/>
      <dgm:spPr/>
      <dgm:t>
        <a:bodyPr/>
        <a:lstStyle/>
        <a:p>
          <a:endParaRPr lang="hu-HU"/>
        </a:p>
      </dgm:t>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t>
        <a:bodyPr/>
        <a:lstStyle/>
        <a:p>
          <a:endParaRPr lang="hu-HU"/>
        </a:p>
      </dgm:t>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t>
        <a:bodyPr/>
        <a:lstStyle/>
        <a:p>
          <a:endParaRPr lang="hu-HU"/>
        </a:p>
      </dgm:t>
    </dgm:pt>
    <dgm:pt modelId="{249E6CE6-8CFD-4E03-9421-5AEFEE634BDC}" type="pres">
      <dgm:prSet presAssocID="{68155A5F-730B-436D-A117-918717A9693D}" presName="rootConnector" presStyleLbl="node3" presStyleIdx="1" presStyleCnt="3"/>
      <dgm:spPr/>
      <dgm:t>
        <a:bodyPr/>
        <a:lstStyle/>
        <a:p>
          <a:endParaRPr lang="hu-HU"/>
        </a:p>
      </dgm:t>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t>
        <a:bodyPr/>
        <a:lstStyle/>
        <a:p>
          <a:endParaRPr lang="hu-HU"/>
        </a:p>
      </dgm:t>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t>
        <a:bodyPr/>
        <a:lstStyle/>
        <a:p>
          <a:endParaRPr lang="hu-HU"/>
        </a:p>
      </dgm:t>
    </dgm:pt>
    <dgm:pt modelId="{73D8D446-8660-4656-A091-09B3CE979856}" type="pres">
      <dgm:prSet presAssocID="{24DDB76B-6EE4-4B2C-B68F-73C5BA8BCB30}" presName="rootConnector" presStyleLbl="node3" presStyleIdx="2" presStyleCnt="3"/>
      <dgm:spPr/>
      <dgm:t>
        <a:bodyPr/>
        <a:lstStyle/>
        <a:p>
          <a:endParaRPr lang="hu-HU"/>
        </a:p>
      </dgm:t>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t>
        <a:bodyPr/>
        <a:lstStyle/>
        <a:p>
          <a:endParaRPr lang="hu-HU"/>
        </a:p>
      </dgm:t>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t>
        <a:bodyPr/>
        <a:lstStyle/>
        <a:p>
          <a:endParaRPr lang="hu-HU"/>
        </a:p>
      </dgm:t>
    </dgm:pt>
    <dgm:pt modelId="{E3D3CDBB-4A7F-4D4E-B520-6FB8C5E6CAF9}" type="pres">
      <dgm:prSet presAssocID="{B68007D4-66EE-483F-B26C-0E0AFE0BDED7}" presName="rootConnector" presStyleLbl="node2" presStyleIdx="1" presStyleCnt="3"/>
      <dgm:spPr/>
      <dgm:t>
        <a:bodyPr/>
        <a:lstStyle/>
        <a:p>
          <a:endParaRPr lang="hu-HU"/>
        </a:p>
      </dgm:t>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t>
        <a:bodyPr/>
        <a:lstStyle/>
        <a:p>
          <a:endParaRPr lang="hu-HU"/>
        </a:p>
      </dgm:t>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t>
        <a:bodyPr/>
        <a:lstStyle/>
        <a:p>
          <a:endParaRPr lang="hu-HU"/>
        </a:p>
      </dgm:t>
    </dgm:pt>
    <dgm:pt modelId="{10CF9AD9-54F3-415C-AF48-E45C9E8722E0}" type="pres">
      <dgm:prSet presAssocID="{45B0C606-26A6-48BB-9EBC-5A8A810DE162}" presName="rootConnector" presStyleLbl="node2" presStyleIdx="2" presStyleCnt="3"/>
      <dgm:spPr/>
      <dgm:t>
        <a:bodyPr/>
        <a:lstStyle/>
        <a:p>
          <a:endParaRPr lang="hu-HU"/>
        </a:p>
      </dgm:t>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25B47DF8-7E4F-4DF8-BA68-7B303DAF85D4}" type="presOf" srcId="{B68007D4-66EE-483F-B26C-0E0AFE0BDED7}" destId="{E3D3CDBB-4A7F-4D4E-B520-6FB8C5E6CAF9}" srcOrd="1" destOrd="0" presId="urn:microsoft.com/office/officeart/2005/8/layout/orgChart1"/>
    <dgm:cxn modelId="{6082E24F-BEFA-4D4F-95E0-5F3406C1747E}" type="presOf" srcId="{68155A5F-730B-436D-A117-918717A9693D}" destId="{249E6CE6-8CFD-4E03-9421-5AEFEE634BDC}" srcOrd="1"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17383545-A3DE-4D6A-A82E-D2658E39921E}" type="presOf" srcId="{F7B49A32-18CE-42F1-92EF-D33943DC808E}" destId="{A046D519-4DF1-4212-A2A2-993A0A63AEF0}" srcOrd="0"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B6D72810-9115-4F60-8B18-2ADBE3740753}" type="presOf" srcId="{5BB9EF1C-F10E-4034-A53F-EC9C7365DBD7}" destId="{6AC53688-31B0-4163-9635-8477DAAEE8B5}"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7FBD8712-9D96-4E47-BF21-CC7B5E4782B1}" type="presOf" srcId="{1BD7034E-09BC-4D8E-BC2E-6969F1FA1173}" destId="{B1F4795D-59AA-4FFE-BFFA-36596810EEF3}" srcOrd="0" destOrd="0" presId="urn:microsoft.com/office/officeart/2005/8/layout/orgChart1"/>
    <dgm:cxn modelId="{630BB792-28F1-49BF-8E87-A4F1BF670B14}" type="presOf" srcId="{E20AB978-DCD9-40D3-A795-267C12DC23CE}" destId="{97FA4009-D432-490A-AFA3-A63E792C8BB6}" srcOrd="0" destOrd="0" presId="urn:microsoft.com/office/officeart/2005/8/layout/orgChart1"/>
    <dgm:cxn modelId="{46F1D551-77CC-4003-A55A-C667BC638FB0}" type="presOf" srcId="{B68007D4-66EE-483F-B26C-0E0AFE0BDED7}" destId="{ECE37C99-F18B-4E86-A2E2-2477A2B8289D}" srcOrd="0" destOrd="0" presId="urn:microsoft.com/office/officeart/2005/8/layout/orgChart1"/>
    <dgm:cxn modelId="{6AC3BF6A-B0EE-4A91-965A-0163B8A7E536}" type="presOf" srcId="{290C2173-9F3A-47B1-ACC7-55BFB92D43D5}" destId="{0C3CF65D-ADF9-475C-8521-C5A30604DBE7}" srcOrd="0" destOrd="0" presId="urn:microsoft.com/office/officeart/2005/8/layout/orgChart1"/>
    <dgm:cxn modelId="{CDFF7151-8982-47B1-AD60-755496B8139D}" type="presOf" srcId="{1E8994C5-EFB7-45BF-8116-D4892C3B74BA}" destId="{1A2B7726-F732-4456-B550-F2EBD385E217}" srcOrd="0" destOrd="0" presId="urn:microsoft.com/office/officeart/2005/8/layout/orgChart1"/>
    <dgm:cxn modelId="{924A8867-B310-4E93-A42F-88D378C73939}" type="presOf" srcId="{2EDBCAE2-7B84-4C41-B5E6-04F8529BC7F5}" destId="{359D9735-E4B1-48EB-BB81-AC7040D8FAE5}" srcOrd="0" destOrd="0" presId="urn:microsoft.com/office/officeart/2005/8/layout/orgChart1"/>
    <dgm:cxn modelId="{452AEEEA-DC6F-4B31-9C0F-E18BC729BD04}" type="presOf" srcId="{24DDB76B-6EE4-4B2C-B68F-73C5BA8BCB30}" destId="{A7A1369C-6B59-485D-AE62-2940DBE1C943}" srcOrd="0" destOrd="0" presId="urn:microsoft.com/office/officeart/2005/8/layout/orgChart1"/>
    <dgm:cxn modelId="{4C75520A-04CB-4B01-BAA6-919421FC7A9D}" type="presOf" srcId="{38929868-226A-4D7F-8688-07EFD9CD6436}" destId="{B3225CF9-E180-4583-BDAF-7FF717356D8F}" srcOrd="1" destOrd="0" presId="urn:microsoft.com/office/officeart/2005/8/layout/orgChart1"/>
    <dgm:cxn modelId="{6BDFFBA2-53C3-4081-B7DF-58FA1BB82D5D}" type="presOf" srcId="{E20AB978-DCD9-40D3-A795-267C12DC23CE}" destId="{5AF88AD5-B7D3-48B6-AB26-9422E3248415}" srcOrd="1" destOrd="0" presId="urn:microsoft.com/office/officeart/2005/8/layout/orgChart1"/>
    <dgm:cxn modelId="{EED6B45F-FAC0-42F4-85DE-C5B25F51FE24}" type="presOf" srcId="{36C0E1DC-9BE7-4BB2-BA88-0B17759E0338}" destId="{062C5560-98DC-4C33-BA17-D79AAA9CE9FC}" srcOrd="0" destOrd="0" presId="urn:microsoft.com/office/officeart/2005/8/layout/orgChart1"/>
    <dgm:cxn modelId="{B40532FC-8E16-4466-A63E-03821970C32A}" type="presOf" srcId="{4E6C845B-C9AE-4850-B7C3-3F4C6EFD4164}" destId="{38F4797C-696B-44F8-A4CE-31FDA6EFE796}" srcOrd="0" destOrd="0" presId="urn:microsoft.com/office/officeart/2005/8/layout/orgChart1"/>
    <dgm:cxn modelId="{CA696B93-268D-46E0-9AB8-B4C62134AB4B}" type="presOf" srcId="{45B0C606-26A6-48BB-9EBC-5A8A810DE162}" destId="{BC8424C9-2404-4107-B385-81A8619142D2}" srcOrd="0" destOrd="0" presId="urn:microsoft.com/office/officeart/2005/8/layout/orgChart1"/>
    <dgm:cxn modelId="{B96263CD-6FDD-4EA5-BD22-C8D3CBA0C6CE}" type="presOf" srcId="{68155A5F-730B-436D-A117-918717A9693D}" destId="{F446F1FC-70BB-4B54-BD20-0F9B285E5D02}"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12D4A605-E099-4E28-999C-CC85D503CA84}" srcId="{290C2173-9F3A-47B1-ACC7-55BFB92D43D5}" destId="{45B0C606-26A6-48BB-9EBC-5A8A810DE162}" srcOrd="2" destOrd="0" parTransId="{4E6C845B-C9AE-4850-B7C3-3F4C6EFD4164}" sibTransId="{D8743C83-A9E3-4622-826D-A91C6A3DF43E}"/>
    <dgm:cxn modelId="{B93069E0-580D-4A9E-9465-39A0FB5CC30B}" type="presOf" srcId="{24DDB76B-6EE4-4B2C-B68F-73C5BA8BCB30}" destId="{73D8D446-8660-4656-A091-09B3CE979856}" srcOrd="1" destOrd="0" presId="urn:microsoft.com/office/officeart/2005/8/layout/orgChart1"/>
    <dgm:cxn modelId="{08E5FBB5-940A-411F-916C-F9CAA55A4E0F}" type="presOf" srcId="{45B0C606-26A6-48BB-9EBC-5A8A810DE162}" destId="{10CF9AD9-54F3-415C-AF48-E45C9E8722E0}" srcOrd="1" destOrd="0" presId="urn:microsoft.com/office/officeart/2005/8/layout/orgChart1"/>
    <dgm:cxn modelId="{BD97F7BB-3B46-45A9-9437-AEE274398067}" type="presOf" srcId="{290C2173-9F3A-47B1-ACC7-55BFB92D43D5}" destId="{BB6B3B2B-25ED-4DAA-AB96-EE0241D98EC3}" srcOrd="1" destOrd="0" presId="urn:microsoft.com/office/officeart/2005/8/layout/orgChart1"/>
    <dgm:cxn modelId="{9B17161C-284F-4134-ACDC-7D1EB74FEE25}" type="presOf" srcId="{38929868-226A-4D7F-8688-07EFD9CD6436}" destId="{FBDDCDBD-8A61-4173-A599-32ED8C87121D}" srcOrd="0"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7C1C48D9-231E-4F55-A420-773A700A6735}" srcId="{38929868-226A-4D7F-8688-07EFD9CD6436}" destId="{E20AB978-DCD9-40D3-A795-267C12DC23CE}" srcOrd="0" destOrd="0" parTransId="{1BD7034E-09BC-4D8E-BC2E-6969F1FA1173}" sibTransId="{10838902-AEDC-4D4A-AD50-48EE992DEEF7}"/>
    <dgm:cxn modelId="{ED310FB8-55F0-43E2-B958-76A2C208C3D7}" type="presParOf" srcId="{359D9735-E4B1-48EB-BB81-AC7040D8FAE5}" destId="{3F7194DF-E191-4E6F-B25D-A2D8DAAF1CC0}" srcOrd="0" destOrd="0" presId="urn:microsoft.com/office/officeart/2005/8/layout/orgChart1"/>
    <dgm:cxn modelId="{6D201069-604A-4478-8A52-1F57D7B5D7AB}" type="presParOf" srcId="{3F7194DF-E191-4E6F-B25D-A2D8DAAF1CC0}" destId="{88F668B6-3CAC-4FCD-B789-38BE6080ABFD}" srcOrd="0" destOrd="0" presId="urn:microsoft.com/office/officeart/2005/8/layout/orgChart1"/>
    <dgm:cxn modelId="{33DAE138-B294-4339-BF59-DE61118AB622}" type="presParOf" srcId="{88F668B6-3CAC-4FCD-B789-38BE6080ABFD}" destId="{0C3CF65D-ADF9-475C-8521-C5A30604DBE7}" srcOrd="0" destOrd="0" presId="urn:microsoft.com/office/officeart/2005/8/layout/orgChart1"/>
    <dgm:cxn modelId="{F18DFFE5-A63C-4242-AE47-2C742D9E1424}" type="presParOf" srcId="{88F668B6-3CAC-4FCD-B789-38BE6080ABFD}" destId="{BB6B3B2B-25ED-4DAA-AB96-EE0241D98EC3}" srcOrd="1" destOrd="0" presId="urn:microsoft.com/office/officeart/2005/8/layout/orgChart1"/>
    <dgm:cxn modelId="{0451C6E0-5BFD-4D52-A932-7174700948BB}" type="presParOf" srcId="{3F7194DF-E191-4E6F-B25D-A2D8DAAF1CC0}" destId="{DBEFD03B-F0DA-4DD5-9441-450580280EA2}" srcOrd="1" destOrd="0" presId="urn:microsoft.com/office/officeart/2005/8/layout/orgChart1"/>
    <dgm:cxn modelId="{EE5F34E5-6A00-4E2A-BAFB-90EA23BA252E}" type="presParOf" srcId="{DBEFD03B-F0DA-4DD5-9441-450580280EA2}" destId="{6AC53688-31B0-4163-9635-8477DAAEE8B5}" srcOrd="0" destOrd="0" presId="urn:microsoft.com/office/officeart/2005/8/layout/orgChart1"/>
    <dgm:cxn modelId="{4B6056DB-AA22-4E22-973E-418AE30F50D4}" type="presParOf" srcId="{DBEFD03B-F0DA-4DD5-9441-450580280EA2}" destId="{90DE0E53-9C57-4E85-B0DD-1038F1807ED7}" srcOrd="1" destOrd="0" presId="urn:microsoft.com/office/officeart/2005/8/layout/orgChart1"/>
    <dgm:cxn modelId="{3147C152-3778-45FA-8875-791986423E0A}" type="presParOf" srcId="{90DE0E53-9C57-4E85-B0DD-1038F1807ED7}" destId="{927768BC-755E-46F0-B632-F157FA9492A4}" srcOrd="0" destOrd="0" presId="urn:microsoft.com/office/officeart/2005/8/layout/orgChart1"/>
    <dgm:cxn modelId="{A79BF916-AD9A-400A-A0C4-84983FFAB91E}" type="presParOf" srcId="{927768BC-755E-46F0-B632-F157FA9492A4}" destId="{FBDDCDBD-8A61-4173-A599-32ED8C87121D}" srcOrd="0" destOrd="0" presId="urn:microsoft.com/office/officeart/2005/8/layout/orgChart1"/>
    <dgm:cxn modelId="{52500A25-EBF8-41A3-9E64-1C93D3F0D102}" type="presParOf" srcId="{927768BC-755E-46F0-B632-F157FA9492A4}" destId="{B3225CF9-E180-4583-BDAF-7FF717356D8F}" srcOrd="1" destOrd="0" presId="urn:microsoft.com/office/officeart/2005/8/layout/orgChart1"/>
    <dgm:cxn modelId="{37913191-1E1B-42F5-899A-5ECB4D8C2DD8}" type="presParOf" srcId="{90DE0E53-9C57-4E85-B0DD-1038F1807ED7}" destId="{9DA63538-DCA3-4B28-8E2F-91AE9FF22E38}" srcOrd="1" destOrd="0" presId="urn:microsoft.com/office/officeart/2005/8/layout/orgChart1"/>
    <dgm:cxn modelId="{AB3483E3-D713-4879-B6F6-92536D431ABC}" type="presParOf" srcId="{9DA63538-DCA3-4B28-8E2F-91AE9FF22E38}" destId="{B1F4795D-59AA-4FFE-BFFA-36596810EEF3}" srcOrd="0" destOrd="0" presId="urn:microsoft.com/office/officeart/2005/8/layout/orgChart1"/>
    <dgm:cxn modelId="{EB592341-1D1E-4A08-B6BB-A0B759419B3C}" type="presParOf" srcId="{9DA63538-DCA3-4B28-8E2F-91AE9FF22E38}" destId="{67549845-7676-4547-B72F-FF66B715AA3C}" srcOrd="1" destOrd="0" presId="urn:microsoft.com/office/officeart/2005/8/layout/orgChart1"/>
    <dgm:cxn modelId="{FB0E3ECC-FFDF-4491-8FFB-B6DD30152099}" type="presParOf" srcId="{67549845-7676-4547-B72F-FF66B715AA3C}" destId="{755A3EC2-84D8-43AA-83C2-C8E8C02B2ED8}" srcOrd="0" destOrd="0" presId="urn:microsoft.com/office/officeart/2005/8/layout/orgChart1"/>
    <dgm:cxn modelId="{428027A3-C2BC-49A0-879B-73AD82DA12F9}" type="presParOf" srcId="{755A3EC2-84D8-43AA-83C2-C8E8C02B2ED8}" destId="{97FA4009-D432-490A-AFA3-A63E792C8BB6}" srcOrd="0" destOrd="0" presId="urn:microsoft.com/office/officeart/2005/8/layout/orgChart1"/>
    <dgm:cxn modelId="{F075228E-9D4D-4D2D-A7AD-F76594895799}" type="presParOf" srcId="{755A3EC2-84D8-43AA-83C2-C8E8C02B2ED8}" destId="{5AF88AD5-B7D3-48B6-AB26-9422E3248415}" srcOrd="1" destOrd="0" presId="urn:microsoft.com/office/officeart/2005/8/layout/orgChart1"/>
    <dgm:cxn modelId="{44E26ABA-0557-4218-A673-FC79644667E7}" type="presParOf" srcId="{67549845-7676-4547-B72F-FF66B715AA3C}" destId="{E4DAFD29-0C52-4027-8D16-28313D56A3C3}" srcOrd="1" destOrd="0" presId="urn:microsoft.com/office/officeart/2005/8/layout/orgChart1"/>
    <dgm:cxn modelId="{C66DFBD1-9471-4724-B443-CBC6ADC5AC53}" type="presParOf" srcId="{67549845-7676-4547-B72F-FF66B715AA3C}" destId="{BBF35B6C-A807-4391-A4FF-7109CE53A07D}" srcOrd="2" destOrd="0" presId="urn:microsoft.com/office/officeart/2005/8/layout/orgChart1"/>
    <dgm:cxn modelId="{051D6D14-BC34-41B6-874F-D4B81537204C}" type="presParOf" srcId="{9DA63538-DCA3-4B28-8E2F-91AE9FF22E38}" destId="{1A2B7726-F732-4456-B550-F2EBD385E217}" srcOrd="2" destOrd="0" presId="urn:microsoft.com/office/officeart/2005/8/layout/orgChart1"/>
    <dgm:cxn modelId="{3D93D24A-97B8-4050-9571-700993437D38}" type="presParOf" srcId="{9DA63538-DCA3-4B28-8E2F-91AE9FF22E38}" destId="{29272511-816C-4A4D-AB44-34E8CC1D088A}" srcOrd="3" destOrd="0" presId="urn:microsoft.com/office/officeart/2005/8/layout/orgChart1"/>
    <dgm:cxn modelId="{33EE88BC-FF62-4235-BB66-215051D21B06}" type="presParOf" srcId="{29272511-816C-4A4D-AB44-34E8CC1D088A}" destId="{40B5BD12-4EB6-4A0D-8DB6-5D9170BBBD93}" srcOrd="0" destOrd="0" presId="urn:microsoft.com/office/officeart/2005/8/layout/orgChart1"/>
    <dgm:cxn modelId="{09076A3D-08C3-4349-90C6-66E8B0E7D53B}" type="presParOf" srcId="{40B5BD12-4EB6-4A0D-8DB6-5D9170BBBD93}" destId="{F446F1FC-70BB-4B54-BD20-0F9B285E5D02}" srcOrd="0" destOrd="0" presId="urn:microsoft.com/office/officeart/2005/8/layout/orgChart1"/>
    <dgm:cxn modelId="{9A51BE17-91E7-4F6E-9E70-2BAD79E547AC}" type="presParOf" srcId="{40B5BD12-4EB6-4A0D-8DB6-5D9170BBBD93}" destId="{249E6CE6-8CFD-4E03-9421-5AEFEE634BDC}" srcOrd="1" destOrd="0" presId="urn:microsoft.com/office/officeart/2005/8/layout/orgChart1"/>
    <dgm:cxn modelId="{478F06C8-B5FA-4631-88A8-503516D94A21}" type="presParOf" srcId="{29272511-816C-4A4D-AB44-34E8CC1D088A}" destId="{AF827201-A190-4B2F-A566-08653B8EFD49}" srcOrd="1" destOrd="0" presId="urn:microsoft.com/office/officeart/2005/8/layout/orgChart1"/>
    <dgm:cxn modelId="{A975F21D-FB82-4E2B-AEDD-A71F34EE6623}" type="presParOf" srcId="{29272511-816C-4A4D-AB44-34E8CC1D088A}" destId="{EC532D02-1EEB-48A0-A185-040BDC69110B}" srcOrd="2" destOrd="0" presId="urn:microsoft.com/office/officeart/2005/8/layout/orgChart1"/>
    <dgm:cxn modelId="{722DB29A-0D99-478A-912F-8CA84A4B2A7D}" type="presParOf" srcId="{9DA63538-DCA3-4B28-8E2F-91AE9FF22E38}" destId="{062C5560-98DC-4C33-BA17-D79AAA9CE9FC}" srcOrd="4" destOrd="0" presId="urn:microsoft.com/office/officeart/2005/8/layout/orgChart1"/>
    <dgm:cxn modelId="{1D4A1E2D-80BA-4B34-A8FD-CDBA77937FDB}" type="presParOf" srcId="{9DA63538-DCA3-4B28-8E2F-91AE9FF22E38}" destId="{8BF2D264-0A71-4D84-A375-8F09E98774A0}" srcOrd="5" destOrd="0" presId="urn:microsoft.com/office/officeart/2005/8/layout/orgChart1"/>
    <dgm:cxn modelId="{6C00C894-7B2B-4BBA-9D59-8AE338B28E40}" type="presParOf" srcId="{8BF2D264-0A71-4D84-A375-8F09E98774A0}" destId="{93AC8704-C6C1-4061-9112-2FE88FFBF289}" srcOrd="0" destOrd="0" presId="urn:microsoft.com/office/officeart/2005/8/layout/orgChart1"/>
    <dgm:cxn modelId="{2C376650-AE0C-4606-AABB-7519D2DE2AA2}" type="presParOf" srcId="{93AC8704-C6C1-4061-9112-2FE88FFBF289}" destId="{A7A1369C-6B59-485D-AE62-2940DBE1C943}" srcOrd="0" destOrd="0" presId="urn:microsoft.com/office/officeart/2005/8/layout/orgChart1"/>
    <dgm:cxn modelId="{36B003A2-7456-4E07-B47B-DDF94F0F024A}" type="presParOf" srcId="{93AC8704-C6C1-4061-9112-2FE88FFBF289}" destId="{73D8D446-8660-4656-A091-09B3CE979856}" srcOrd="1" destOrd="0" presId="urn:microsoft.com/office/officeart/2005/8/layout/orgChart1"/>
    <dgm:cxn modelId="{04D715C7-A9F6-4C72-9844-9D42E8B7977A}" type="presParOf" srcId="{8BF2D264-0A71-4D84-A375-8F09E98774A0}" destId="{F666343C-DC39-481A-B0DC-E0C972D2EC78}" srcOrd="1" destOrd="0" presId="urn:microsoft.com/office/officeart/2005/8/layout/orgChart1"/>
    <dgm:cxn modelId="{A7747B06-4DE3-4802-8C70-DA5BA45A12D5}" type="presParOf" srcId="{8BF2D264-0A71-4D84-A375-8F09E98774A0}" destId="{C0D164BD-5CFF-4DCD-92DC-E9CA22955B47}" srcOrd="2" destOrd="0" presId="urn:microsoft.com/office/officeart/2005/8/layout/orgChart1"/>
    <dgm:cxn modelId="{41798360-740D-43E9-88D0-763C80E1DF06}" type="presParOf" srcId="{90DE0E53-9C57-4E85-B0DD-1038F1807ED7}" destId="{AA33A243-AD51-47E7-A9CB-101F055B5A16}" srcOrd="2" destOrd="0" presId="urn:microsoft.com/office/officeart/2005/8/layout/orgChart1"/>
    <dgm:cxn modelId="{7B26E66F-B589-404D-A5F0-D935C6176FD4}" type="presParOf" srcId="{DBEFD03B-F0DA-4DD5-9441-450580280EA2}" destId="{A046D519-4DF1-4212-A2A2-993A0A63AEF0}" srcOrd="2" destOrd="0" presId="urn:microsoft.com/office/officeart/2005/8/layout/orgChart1"/>
    <dgm:cxn modelId="{DCB6AE29-E93D-4D20-915B-4F9C24AA8D8B}" type="presParOf" srcId="{DBEFD03B-F0DA-4DD5-9441-450580280EA2}" destId="{262C2E85-32AB-4DE1-8322-5BBD4EEF6C8A}" srcOrd="3" destOrd="0" presId="urn:microsoft.com/office/officeart/2005/8/layout/orgChart1"/>
    <dgm:cxn modelId="{AF50A510-9785-4853-9D59-BB0EB99EE8C1}" type="presParOf" srcId="{262C2E85-32AB-4DE1-8322-5BBD4EEF6C8A}" destId="{FA6399F6-F837-4197-B72C-CE58760A8C76}" srcOrd="0" destOrd="0" presId="urn:microsoft.com/office/officeart/2005/8/layout/orgChart1"/>
    <dgm:cxn modelId="{7BEBF307-17DF-406E-A13F-73BC9E81E617}" type="presParOf" srcId="{FA6399F6-F837-4197-B72C-CE58760A8C76}" destId="{ECE37C99-F18B-4E86-A2E2-2477A2B8289D}" srcOrd="0" destOrd="0" presId="urn:microsoft.com/office/officeart/2005/8/layout/orgChart1"/>
    <dgm:cxn modelId="{21D8E890-0922-4A6E-9FF0-CAF4A9178227}" type="presParOf" srcId="{FA6399F6-F837-4197-B72C-CE58760A8C76}" destId="{E3D3CDBB-4A7F-4D4E-B520-6FB8C5E6CAF9}" srcOrd="1" destOrd="0" presId="urn:microsoft.com/office/officeart/2005/8/layout/orgChart1"/>
    <dgm:cxn modelId="{FF70B577-5995-460F-8342-6F3707342C25}" type="presParOf" srcId="{262C2E85-32AB-4DE1-8322-5BBD4EEF6C8A}" destId="{1D98C9CB-C935-47A3-8B2C-C3CD29E6FD7B}" srcOrd="1" destOrd="0" presId="urn:microsoft.com/office/officeart/2005/8/layout/orgChart1"/>
    <dgm:cxn modelId="{D90A3489-7602-4631-91AD-EB7D24AEC50A}" type="presParOf" srcId="{262C2E85-32AB-4DE1-8322-5BBD4EEF6C8A}" destId="{6350D7F4-62C2-4270-B3BA-7CE50256BBD7}" srcOrd="2" destOrd="0" presId="urn:microsoft.com/office/officeart/2005/8/layout/orgChart1"/>
    <dgm:cxn modelId="{81F2B802-85DA-437F-9A01-398BD8CD0FB4}" type="presParOf" srcId="{DBEFD03B-F0DA-4DD5-9441-450580280EA2}" destId="{38F4797C-696B-44F8-A4CE-31FDA6EFE796}" srcOrd="4" destOrd="0" presId="urn:microsoft.com/office/officeart/2005/8/layout/orgChart1"/>
    <dgm:cxn modelId="{9A2A5B62-DEAF-4A07-B8F2-713D5CE34D9B}" type="presParOf" srcId="{DBEFD03B-F0DA-4DD5-9441-450580280EA2}" destId="{68AC6287-6905-4867-96EA-3330FFB68861}" srcOrd="5" destOrd="0" presId="urn:microsoft.com/office/officeart/2005/8/layout/orgChart1"/>
    <dgm:cxn modelId="{36C2CCE9-CBA0-438F-B396-D104F447C7A6}" type="presParOf" srcId="{68AC6287-6905-4867-96EA-3330FFB68861}" destId="{E85BB488-4DD5-469C-9B4C-8C8DD1B0B691}" srcOrd="0" destOrd="0" presId="urn:microsoft.com/office/officeart/2005/8/layout/orgChart1"/>
    <dgm:cxn modelId="{15556209-A964-464C-84FE-A629B134AFFE}" type="presParOf" srcId="{E85BB488-4DD5-469C-9B4C-8C8DD1B0B691}" destId="{BC8424C9-2404-4107-B385-81A8619142D2}" srcOrd="0" destOrd="0" presId="urn:microsoft.com/office/officeart/2005/8/layout/orgChart1"/>
    <dgm:cxn modelId="{8DB5B37B-3FE4-4F79-A153-8AAD8D6784F7}" type="presParOf" srcId="{E85BB488-4DD5-469C-9B4C-8C8DD1B0B691}" destId="{10CF9AD9-54F3-415C-AF48-E45C9E8722E0}" srcOrd="1" destOrd="0" presId="urn:microsoft.com/office/officeart/2005/8/layout/orgChart1"/>
    <dgm:cxn modelId="{A5758DE9-E67A-4F3F-8572-85CEE4F7C055}" type="presParOf" srcId="{68AC6287-6905-4867-96EA-3330FFB68861}" destId="{E49F1176-43F9-4BA6-B964-564E8720F80D}" srcOrd="1" destOrd="0" presId="urn:microsoft.com/office/officeart/2005/8/layout/orgChart1"/>
    <dgm:cxn modelId="{C7B886DD-08D3-41E8-A2E6-F9148B7F33D1}" type="presParOf" srcId="{68AC6287-6905-4867-96EA-3330FFB68861}" destId="{6DDCEA61-463C-42DE-9F8E-3438BD61B5F5}" srcOrd="2" destOrd="0" presId="urn:microsoft.com/office/officeart/2005/8/layout/orgChart1"/>
    <dgm:cxn modelId="{A64E52DA-2605-478B-979B-CCCA164B69CB}"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71C5289B-0B26-4BD2-B070-7EEE6348DCA5}" type="presOf" srcId="{F50C8965-45E3-444B-9414-9AF24D054303}" destId="{0CF81988-BE01-456F-893D-9FC70C7C493A}" srcOrd="0" destOrd="0" presId="urn:microsoft.com/office/officeart/2005/8/layout/orgChart1"/>
    <dgm:cxn modelId="{367EDCA8-625B-47AC-A887-80C4E8E2F4DA}" type="presOf" srcId="{758DFA68-F85A-4337-80C1-ED7487DC2448}" destId="{E6AB2609-3D5F-4575-8960-1CFAEFF69BFE}" srcOrd="0" destOrd="0" presId="urn:microsoft.com/office/officeart/2005/8/layout/orgChart1"/>
    <dgm:cxn modelId="{6679AFBB-008E-4729-927E-3EB4E3A4B639}" type="presOf" srcId="{C5ED77D8-24E7-4855-AB08-49F29D04892F}" destId="{EC850226-7A4B-49DA-9128-A681EAD35FB8}" srcOrd="0" destOrd="0" presId="urn:microsoft.com/office/officeart/2005/8/layout/orgChart1"/>
    <dgm:cxn modelId="{6B5D6C1A-657B-4A51-9283-55F7C3CC04EA}" type="presOf" srcId="{1412DE38-84EF-454F-898B-AAC9B5D3866F}" destId="{D5FE2AF0-FF16-4627-B28E-BCDB21DE5E38}" srcOrd="0" destOrd="0" presId="urn:microsoft.com/office/officeart/2005/8/layout/orgChart1"/>
    <dgm:cxn modelId="{BCD3E398-9FE9-483B-B8AE-4C54B06FCF81}" srcId="{023CAB7D-E47E-4283-A320-CCE1F2A409B0}" destId="{758DFA68-F85A-4337-80C1-ED7487DC2448}" srcOrd="1" destOrd="0" parTransId="{EDFD46D7-A1AD-4244-8E89-0AF9BC8033A9}" sibTransId="{F30642E7-D451-4B3E-8887-B4EF0ADD9213}"/>
    <dgm:cxn modelId="{B76B93DB-5CA9-4BFE-BE59-39E69C625333}" type="presOf" srcId="{C22CB852-C883-4E84-9876-AE5386011EB7}" destId="{F0A24E22-8B7E-4B2F-9197-DB143DA8D292}"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FA994CB1-17B0-4896-8431-DD4ED256229C}" type="presOf" srcId="{86E4897D-B9EA-431E-ADD9-E8125DBF52EA}" destId="{3305396F-0C14-4161-A783-AFC36A8E4842}" srcOrd="0" destOrd="0" presId="urn:microsoft.com/office/officeart/2005/8/layout/orgChart1"/>
    <dgm:cxn modelId="{2011ADB7-6AC5-4667-9AB0-13E7DD97CB0F}" type="presOf" srcId="{5B6C4A9B-9898-4139-88E7-DC595EF94A1D}" destId="{72FEABFE-0EC8-4A53-956B-58D58DD067DC}" srcOrd="0" destOrd="0" presId="urn:microsoft.com/office/officeart/2005/8/layout/orgChart1"/>
    <dgm:cxn modelId="{C0F31C0E-AA06-4242-B3AE-136668986B0C}" type="presOf" srcId="{C22CB852-C883-4E84-9876-AE5386011EB7}" destId="{797C12C5-1BB8-4D6B-A05F-9963F61302F2}"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FF82DAFC-92DA-4680-9A09-6415F978CB43}" type="presOf" srcId="{30AC1080-B406-41F2-B1BA-95C7D53E7DA7}" destId="{A392BC23-3B30-437F-A7B2-C92CA9EB3FD3}" srcOrd="1"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378ED71A-2615-4545-880C-B08EC876F3D2}" type="presOf" srcId="{EDFD46D7-A1AD-4244-8E89-0AF9BC8033A9}" destId="{07635FD1-7448-436E-9B01-DD8DDC6B0DE0}" srcOrd="0" destOrd="0" presId="urn:microsoft.com/office/officeart/2005/8/layout/orgChart1"/>
    <dgm:cxn modelId="{0DA3A04F-7856-4D31-BA3A-9FCF2B5D6FD2}" type="presOf" srcId="{F50C8965-45E3-444B-9414-9AF24D054303}" destId="{A6FA7CBE-5758-444B-AE99-FAD67B7C2581}" srcOrd="1" destOrd="0" presId="urn:microsoft.com/office/officeart/2005/8/layout/orgChart1"/>
    <dgm:cxn modelId="{D391B0FA-FE3F-4568-BD9E-6C2FC3ED3333}" type="presOf" srcId="{023CAB7D-E47E-4283-A320-CCE1F2A409B0}" destId="{62B0C581-63A2-4AB4-ABFB-FA12879F1BC7}" srcOrd="0" destOrd="0" presId="urn:microsoft.com/office/officeart/2005/8/layout/orgChart1"/>
    <dgm:cxn modelId="{5986ADFC-F5B6-4EB0-8268-47AD49ACAB1A}" type="presOf" srcId="{023CAB7D-E47E-4283-A320-CCE1F2A409B0}" destId="{74397F75-16F8-4EE2-99C9-F014C6A8065C}"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39A9BA6F-19B6-4B8F-A6C4-85B4682324E8}" type="presOf" srcId="{758DFA68-F85A-4337-80C1-ED7487DC2448}" destId="{0A7B2013-9F7B-42BD-8BC0-A264FADE1EF5}" srcOrd="1" destOrd="0" presId="urn:microsoft.com/office/officeart/2005/8/layout/orgChart1"/>
    <dgm:cxn modelId="{7C31BD52-69BB-4407-8F30-9C1F54BD3F37}" type="presOf" srcId="{30AC1080-B406-41F2-B1BA-95C7D53E7DA7}" destId="{04490F09-89EA-4042-B671-F18CE2B7A364}" srcOrd="0" destOrd="0" presId="urn:microsoft.com/office/officeart/2005/8/layout/orgChart1"/>
    <dgm:cxn modelId="{4916CDFC-A86C-4DDD-9102-44BD2A4F75F3}" type="presParOf" srcId="{3305396F-0C14-4161-A783-AFC36A8E4842}" destId="{F19FCE2C-4209-4B17-8B24-95799C3FA096}" srcOrd="0" destOrd="0" presId="urn:microsoft.com/office/officeart/2005/8/layout/orgChart1"/>
    <dgm:cxn modelId="{33C0F1CE-BFE5-4104-8585-8F91C7F8CE23}" type="presParOf" srcId="{F19FCE2C-4209-4B17-8B24-95799C3FA096}" destId="{2329305D-8A19-432C-8894-30F1C96CCB19}" srcOrd="0" destOrd="0" presId="urn:microsoft.com/office/officeart/2005/8/layout/orgChart1"/>
    <dgm:cxn modelId="{46838671-A0A9-4FDD-B8CC-026484104C67}" type="presParOf" srcId="{2329305D-8A19-432C-8894-30F1C96CCB19}" destId="{62B0C581-63A2-4AB4-ABFB-FA12879F1BC7}" srcOrd="0" destOrd="0" presId="urn:microsoft.com/office/officeart/2005/8/layout/orgChart1"/>
    <dgm:cxn modelId="{287D972E-8ABB-4C99-8467-20EA8B1E63EA}" type="presParOf" srcId="{2329305D-8A19-432C-8894-30F1C96CCB19}" destId="{74397F75-16F8-4EE2-99C9-F014C6A8065C}" srcOrd="1" destOrd="0" presId="urn:microsoft.com/office/officeart/2005/8/layout/orgChart1"/>
    <dgm:cxn modelId="{A0523514-4C6D-4A35-A04C-360C63E17441}" type="presParOf" srcId="{F19FCE2C-4209-4B17-8B24-95799C3FA096}" destId="{8D54CC20-034B-43E1-8019-66B3AC414C0A}" srcOrd="1" destOrd="0" presId="urn:microsoft.com/office/officeart/2005/8/layout/orgChart1"/>
    <dgm:cxn modelId="{1DE6C5E1-B028-4BD9-A948-62BC2B8CC091}" type="presParOf" srcId="{8D54CC20-034B-43E1-8019-66B3AC414C0A}" destId="{EC850226-7A4B-49DA-9128-A681EAD35FB8}" srcOrd="0" destOrd="0" presId="urn:microsoft.com/office/officeart/2005/8/layout/orgChart1"/>
    <dgm:cxn modelId="{90BF73D8-725F-46BF-8A22-2D045D5E453C}" type="presParOf" srcId="{8D54CC20-034B-43E1-8019-66B3AC414C0A}" destId="{33DEBCD1-2DF1-4112-B5BC-D7332A21F1C9}" srcOrd="1" destOrd="0" presId="urn:microsoft.com/office/officeart/2005/8/layout/orgChart1"/>
    <dgm:cxn modelId="{72C9DB69-4D8E-4FD2-9648-23EEDB590FB3}" type="presParOf" srcId="{33DEBCD1-2DF1-4112-B5BC-D7332A21F1C9}" destId="{4F430394-2294-4CBB-8E51-E93F8CC8BEB5}" srcOrd="0" destOrd="0" presId="urn:microsoft.com/office/officeart/2005/8/layout/orgChart1"/>
    <dgm:cxn modelId="{185D4A54-832B-428D-A8BE-DE76D9B5C4B3}" type="presParOf" srcId="{4F430394-2294-4CBB-8E51-E93F8CC8BEB5}" destId="{04490F09-89EA-4042-B671-F18CE2B7A364}" srcOrd="0" destOrd="0" presId="urn:microsoft.com/office/officeart/2005/8/layout/orgChart1"/>
    <dgm:cxn modelId="{83933223-A7E4-4C7F-92C2-F0E2C31CFFC6}" type="presParOf" srcId="{4F430394-2294-4CBB-8E51-E93F8CC8BEB5}" destId="{A392BC23-3B30-437F-A7B2-C92CA9EB3FD3}" srcOrd="1" destOrd="0" presId="urn:microsoft.com/office/officeart/2005/8/layout/orgChart1"/>
    <dgm:cxn modelId="{A54675C0-391D-47AF-A4B4-B8C9A47BC76A}" type="presParOf" srcId="{33DEBCD1-2DF1-4112-B5BC-D7332A21F1C9}" destId="{A61CEE7C-F7C2-49FD-8F7A-336BFC7E839D}" srcOrd="1" destOrd="0" presId="urn:microsoft.com/office/officeart/2005/8/layout/orgChart1"/>
    <dgm:cxn modelId="{E81B24F0-B38F-43A0-AA03-C2BD5AD7C12B}" type="presParOf" srcId="{33DEBCD1-2DF1-4112-B5BC-D7332A21F1C9}" destId="{6AAF386F-A879-400A-A9AE-C1472C03E8EE}" srcOrd="2" destOrd="0" presId="urn:microsoft.com/office/officeart/2005/8/layout/orgChart1"/>
    <dgm:cxn modelId="{E88CC523-31BB-42C8-8B29-E341959808B3}" type="presParOf" srcId="{8D54CC20-034B-43E1-8019-66B3AC414C0A}" destId="{07635FD1-7448-436E-9B01-DD8DDC6B0DE0}" srcOrd="2" destOrd="0" presId="urn:microsoft.com/office/officeart/2005/8/layout/orgChart1"/>
    <dgm:cxn modelId="{B374A3E2-302A-4E3A-BFB9-E0108F262D00}" type="presParOf" srcId="{8D54CC20-034B-43E1-8019-66B3AC414C0A}" destId="{44DE6D20-3A44-42A2-9255-D59E67B89E71}" srcOrd="3" destOrd="0" presId="urn:microsoft.com/office/officeart/2005/8/layout/orgChart1"/>
    <dgm:cxn modelId="{133DE848-67F9-431D-A014-8CE0792B9649}" type="presParOf" srcId="{44DE6D20-3A44-42A2-9255-D59E67B89E71}" destId="{ADCE97E4-C0ED-4FB8-9454-D094E942EFC7}" srcOrd="0" destOrd="0" presId="urn:microsoft.com/office/officeart/2005/8/layout/orgChart1"/>
    <dgm:cxn modelId="{4F3A0669-1680-4465-A97C-21965C47826B}" type="presParOf" srcId="{ADCE97E4-C0ED-4FB8-9454-D094E942EFC7}" destId="{E6AB2609-3D5F-4575-8960-1CFAEFF69BFE}" srcOrd="0" destOrd="0" presId="urn:microsoft.com/office/officeart/2005/8/layout/orgChart1"/>
    <dgm:cxn modelId="{9B626F08-4FD4-4CD9-9BB7-52B79DD3E3C5}" type="presParOf" srcId="{ADCE97E4-C0ED-4FB8-9454-D094E942EFC7}" destId="{0A7B2013-9F7B-42BD-8BC0-A264FADE1EF5}" srcOrd="1" destOrd="0" presId="urn:microsoft.com/office/officeart/2005/8/layout/orgChart1"/>
    <dgm:cxn modelId="{4E34EDD8-609D-46C8-9C7D-63654D3283C6}" type="presParOf" srcId="{44DE6D20-3A44-42A2-9255-D59E67B89E71}" destId="{0D576817-6A4C-45BC-81B5-3B6260A3F909}" srcOrd="1" destOrd="0" presId="urn:microsoft.com/office/officeart/2005/8/layout/orgChart1"/>
    <dgm:cxn modelId="{4943FDD1-95AC-492A-929B-BC4BBF150E32}" type="presParOf" srcId="{44DE6D20-3A44-42A2-9255-D59E67B89E71}" destId="{093125BA-8039-4F37-A790-6E0713AE71A7}" srcOrd="2" destOrd="0" presId="urn:microsoft.com/office/officeart/2005/8/layout/orgChart1"/>
    <dgm:cxn modelId="{298B6F1B-4222-4F81-B135-DC3331E63429}" type="presParOf" srcId="{8D54CC20-034B-43E1-8019-66B3AC414C0A}" destId="{D5FE2AF0-FF16-4627-B28E-BCDB21DE5E38}" srcOrd="4" destOrd="0" presId="urn:microsoft.com/office/officeart/2005/8/layout/orgChart1"/>
    <dgm:cxn modelId="{0FCDBB5B-9212-45E7-AF0C-1876CC7655BC}" type="presParOf" srcId="{8D54CC20-034B-43E1-8019-66B3AC414C0A}" destId="{242A12E2-B770-46E5-A5D2-70D3618A9CEB}" srcOrd="5" destOrd="0" presId="urn:microsoft.com/office/officeart/2005/8/layout/orgChart1"/>
    <dgm:cxn modelId="{36223BBC-C3D3-4320-A58F-553ACAA7B260}" type="presParOf" srcId="{242A12E2-B770-46E5-A5D2-70D3618A9CEB}" destId="{92443A1C-5A68-4BDE-BDFB-2C129F0BF7D7}" srcOrd="0" destOrd="0" presId="urn:microsoft.com/office/officeart/2005/8/layout/orgChart1"/>
    <dgm:cxn modelId="{333F36F6-4E86-4D90-8C26-53BAC3188291}" type="presParOf" srcId="{92443A1C-5A68-4BDE-BDFB-2C129F0BF7D7}" destId="{797C12C5-1BB8-4D6B-A05F-9963F61302F2}" srcOrd="0" destOrd="0" presId="urn:microsoft.com/office/officeart/2005/8/layout/orgChart1"/>
    <dgm:cxn modelId="{CEC5E6E5-EBAB-426F-AD2B-A0C2FDFCCE9E}" type="presParOf" srcId="{92443A1C-5A68-4BDE-BDFB-2C129F0BF7D7}" destId="{F0A24E22-8B7E-4B2F-9197-DB143DA8D292}" srcOrd="1" destOrd="0" presId="urn:microsoft.com/office/officeart/2005/8/layout/orgChart1"/>
    <dgm:cxn modelId="{C7BA951E-CBFC-4137-82FD-1D5A080F4277}" type="presParOf" srcId="{242A12E2-B770-46E5-A5D2-70D3618A9CEB}" destId="{748A2C25-256B-4EE7-A681-4B46A55AE8E6}" srcOrd="1" destOrd="0" presId="urn:microsoft.com/office/officeart/2005/8/layout/orgChart1"/>
    <dgm:cxn modelId="{46A66B17-ECF9-4F15-891C-B42370069003}" type="presParOf" srcId="{242A12E2-B770-46E5-A5D2-70D3618A9CEB}" destId="{509CA7CA-63F0-4FA6-B8F2-252044A70736}" srcOrd="2" destOrd="0" presId="urn:microsoft.com/office/officeart/2005/8/layout/orgChart1"/>
    <dgm:cxn modelId="{DC840DAD-1C37-476E-B397-54DAD8636854}" type="presParOf" srcId="{8D54CC20-034B-43E1-8019-66B3AC414C0A}" destId="{72FEABFE-0EC8-4A53-956B-58D58DD067DC}" srcOrd="6" destOrd="0" presId="urn:microsoft.com/office/officeart/2005/8/layout/orgChart1"/>
    <dgm:cxn modelId="{FA2B2651-0F02-4FDD-80A4-0ED5D742192F}" type="presParOf" srcId="{8D54CC20-034B-43E1-8019-66B3AC414C0A}" destId="{E7A68D38-8190-44AF-B074-4F65798CD0D7}" srcOrd="7" destOrd="0" presId="urn:microsoft.com/office/officeart/2005/8/layout/orgChart1"/>
    <dgm:cxn modelId="{3D942BA1-045A-4A83-B01A-CFAD83EBA51B}" type="presParOf" srcId="{E7A68D38-8190-44AF-B074-4F65798CD0D7}" destId="{E9CF43C2-860B-476D-89C0-7582089B00ED}" srcOrd="0" destOrd="0" presId="urn:microsoft.com/office/officeart/2005/8/layout/orgChart1"/>
    <dgm:cxn modelId="{8EAFFAA1-D8BB-46FA-A2B1-343138AF5AC7}" type="presParOf" srcId="{E9CF43C2-860B-476D-89C0-7582089B00ED}" destId="{0CF81988-BE01-456F-893D-9FC70C7C493A}" srcOrd="0" destOrd="0" presId="urn:microsoft.com/office/officeart/2005/8/layout/orgChart1"/>
    <dgm:cxn modelId="{A8EEA83C-9289-4600-A7D8-7C90835F7082}" type="presParOf" srcId="{E9CF43C2-860B-476D-89C0-7582089B00ED}" destId="{A6FA7CBE-5758-444B-AE99-FAD67B7C2581}" srcOrd="1" destOrd="0" presId="urn:microsoft.com/office/officeart/2005/8/layout/orgChart1"/>
    <dgm:cxn modelId="{265203DC-8D50-4A78-A674-84B491243148}" type="presParOf" srcId="{E7A68D38-8190-44AF-B074-4F65798CD0D7}" destId="{348CDC18-64B1-400C-962C-9320DC624EE8}" srcOrd="1" destOrd="0" presId="urn:microsoft.com/office/officeart/2005/8/layout/orgChart1"/>
    <dgm:cxn modelId="{90E19421-6387-42E3-8690-143663FA9D79}" type="presParOf" srcId="{E7A68D38-8190-44AF-B074-4F65798CD0D7}" destId="{88FEF4CF-A81A-4EBC-9079-34A3578D021E}" srcOrd="2" destOrd="0" presId="urn:microsoft.com/office/officeart/2005/8/layout/orgChart1"/>
    <dgm:cxn modelId="{CBA14AE2-8262-47FF-9606-7461AD47EF92}"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2"/>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1" presStyleCnt="2"/>
      <dgm:spPr/>
      <dgm:t>
        <a:bodyPr/>
        <a:lstStyle/>
        <a:p>
          <a:endParaRPr lang="hu-HU"/>
        </a:p>
      </dgm:t>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t>
        <a:bodyPr/>
        <a:lstStyle/>
        <a:p>
          <a:endParaRPr lang="hu-HU"/>
        </a:p>
      </dgm:t>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t>
        <a:bodyPr/>
        <a:lstStyle/>
        <a:p>
          <a:endParaRPr lang="hu-HU"/>
        </a:p>
      </dgm:t>
    </dgm:pt>
    <dgm:pt modelId="{D8BC3276-ED9D-4B06-9D0D-98FFC798AD56}" type="pres">
      <dgm:prSet presAssocID="{9AE84EE3-A3BC-46F5-A5F7-CD9EBAA9E0BE}" presName="rootConnector" presStyleLbl="node3" presStyleIdx="0" presStyleCnt="1"/>
      <dgm:spPr/>
      <dgm:t>
        <a:bodyPr/>
        <a:lstStyle/>
        <a:p>
          <a:endParaRPr lang="hu-HU"/>
        </a:p>
      </dgm:t>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D40A3352-1240-4BD8-BADC-EA7AE8EBC95E}" type="presOf" srcId="{9AE84EE3-A3BC-46F5-A5F7-CD9EBAA9E0BE}" destId="{D8BC3276-ED9D-4B06-9D0D-98FFC798AD56}" srcOrd="1" destOrd="0" presId="urn:microsoft.com/office/officeart/2005/8/layout/orgChart1"/>
    <dgm:cxn modelId="{3514EA7F-8696-4F2E-B0E4-2DB30ADF3649}" type="presOf" srcId="{86E4897D-B9EA-431E-ADD9-E8125DBF52EA}" destId="{3305396F-0C14-4161-A783-AFC36A8E4842}" srcOrd="0" destOrd="0" presId="urn:microsoft.com/office/officeart/2005/8/layout/orgChart1"/>
    <dgm:cxn modelId="{A2D8A4D1-9820-4332-897B-347CBCC9B8A3}" type="presOf" srcId="{9AE84EE3-A3BC-46F5-A5F7-CD9EBAA9E0BE}" destId="{32BC8322-AF47-4EB1-929D-CB53EB1EDD1B}"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E1B5A82D-FCED-4D20-B0A1-0789D57A6055}" type="presOf" srcId="{023CAB7D-E47E-4283-A320-CCE1F2A409B0}" destId="{74397F75-16F8-4EE2-99C9-F014C6A8065C}" srcOrd="1" destOrd="0" presId="urn:microsoft.com/office/officeart/2005/8/layout/orgChart1"/>
    <dgm:cxn modelId="{D612A731-900E-405A-9799-B9B1D0C3EE8F}" type="presOf" srcId="{0470846F-CFEC-420C-A100-DE48ECBBC291}" destId="{652E01CB-06B2-4E9B-9A9D-712685CC5296}" srcOrd="0" destOrd="0" presId="urn:microsoft.com/office/officeart/2005/8/layout/orgChart1"/>
    <dgm:cxn modelId="{FC988E44-AC35-47D6-AF1F-A39684289BAD}" type="presOf" srcId="{C22CB852-C883-4E84-9876-AE5386011EB7}" destId="{797C12C5-1BB8-4D6B-A05F-9963F61302F2}" srcOrd="0" destOrd="0" presId="urn:microsoft.com/office/officeart/2005/8/layout/orgChart1"/>
    <dgm:cxn modelId="{0409D0FD-590E-4527-B0D8-E58FCA8997A9}" type="presOf" srcId="{C5ED77D8-24E7-4855-AB08-49F29D04892F}" destId="{EC850226-7A4B-49DA-9128-A681EAD35FB8}"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3274B25F-6696-48BB-927A-C5C28A9E4CFA}" type="presOf" srcId="{C22CB852-C883-4E84-9876-AE5386011EB7}" destId="{F0A24E22-8B7E-4B2F-9197-DB143DA8D292}"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8D8839A8-953D-419B-88AE-979B7A004D43}" type="presOf" srcId="{30AC1080-B406-41F2-B1BA-95C7D53E7DA7}" destId="{A392BC23-3B30-437F-A7B2-C92CA9EB3FD3}" srcOrd="1" destOrd="0" presId="urn:microsoft.com/office/officeart/2005/8/layout/orgChart1"/>
    <dgm:cxn modelId="{B844D771-7892-4F69-BBE5-F8FEA44C7B58}" type="presOf" srcId="{023CAB7D-E47E-4283-A320-CCE1F2A409B0}" destId="{62B0C581-63A2-4AB4-ABFB-FA12879F1BC7}" srcOrd="0" destOrd="0" presId="urn:microsoft.com/office/officeart/2005/8/layout/orgChart1"/>
    <dgm:cxn modelId="{DB09B787-7C68-42F0-B7FE-B263B201F0B6}" type="presOf" srcId="{30AC1080-B406-41F2-B1BA-95C7D53E7DA7}" destId="{04490F09-89EA-4042-B671-F18CE2B7A364}"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9F8219E8-B657-4B7E-833E-F73C82BC70FF}" type="presOf" srcId="{1412DE38-84EF-454F-898B-AAC9B5D3866F}" destId="{D5FE2AF0-FF16-4627-B28E-BCDB21DE5E38}" srcOrd="0" destOrd="0" presId="urn:microsoft.com/office/officeart/2005/8/layout/orgChart1"/>
    <dgm:cxn modelId="{7F42BBCD-E891-42D3-B503-0611056781BE}" type="presParOf" srcId="{3305396F-0C14-4161-A783-AFC36A8E4842}" destId="{F19FCE2C-4209-4B17-8B24-95799C3FA096}" srcOrd="0" destOrd="0" presId="urn:microsoft.com/office/officeart/2005/8/layout/orgChart1"/>
    <dgm:cxn modelId="{018C08BF-54A3-4F29-A265-462912154434}" type="presParOf" srcId="{F19FCE2C-4209-4B17-8B24-95799C3FA096}" destId="{2329305D-8A19-432C-8894-30F1C96CCB19}" srcOrd="0" destOrd="0" presId="urn:microsoft.com/office/officeart/2005/8/layout/orgChart1"/>
    <dgm:cxn modelId="{7212991D-4721-4915-B90D-6839A229EB1D}" type="presParOf" srcId="{2329305D-8A19-432C-8894-30F1C96CCB19}" destId="{62B0C581-63A2-4AB4-ABFB-FA12879F1BC7}" srcOrd="0" destOrd="0" presId="urn:microsoft.com/office/officeart/2005/8/layout/orgChart1"/>
    <dgm:cxn modelId="{E8F9578B-4D8D-49CF-AD1B-C60859DCC92F}" type="presParOf" srcId="{2329305D-8A19-432C-8894-30F1C96CCB19}" destId="{74397F75-16F8-4EE2-99C9-F014C6A8065C}" srcOrd="1" destOrd="0" presId="urn:microsoft.com/office/officeart/2005/8/layout/orgChart1"/>
    <dgm:cxn modelId="{7852C812-BC36-41AB-9668-CAC3BCB52BC9}" type="presParOf" srcId="{F19FCE2C-4209-4B17-8B24-95799C3FA096}" destId="{8D54CC20-034B-43E1-8019-66B3AC414C0A}" srcOrd="1" destOrd="0" presId="urn:microsoft.com/office/officeart/2005/8/layout/orgChart1"/>
    <dgm:cxn modelId="{324A63B5-71BE-4218-991A-445BF6E97541}" type="presParOf" srcId="{8D54CC20-034B-43E1-8019-66B3AC414C0A}" destId="{EC850226-7A4B-49DA-9128-A681EAD35FB8}" srcOrd="0" destOrd="0" presId="urn:microsoft.com/office/officeart/2005/8/layout/orgChart1"/>
    <dgm:cxn modelId="{FC3DD700-0A8A-4C9E-9416-FCD4C1B50A84}" type="presParOf" srcId="{8D54CC20-034B-43E1-8019-66B3AC414C0A}" destId="{33DEBCD1-2DF1-4112-B5BC-D7332A21F1C9}" srcOrd="1" destOrd="0" presId="urn:microsoft.com/office/officeart/2005/8/layout/orgChart1"/>
    <dgm:cxn modelId="{12208C8F-D8C4-42A0-ADA5-1E6C911E8301}" type="presParOf" srcId="{33DEBCD1-2DF1-4112-B5BC-D7332A21F1C9}" destId="{4F430394-2294-4CBB-8E51-E93F8CC8BEB5}" srcOrd="0" destOrd="0" presId="urn:microsoft.com/office/officeart/2005/8/layout/orgChart1"/>
    <dgm:cxn modelId="{8135BBA7-1DB5-419C-A278-87096CEDBAC4}" type="presParOf" srcId="{4F430394-2294-4CBB-8E51-E93F8CC8BEB5}" destId="{04490F09-89EA-4042-B671-F18CE2B7A364}" srcOrd="0" destOrd="0" presId="urn:microsoft.com/office/officeart/2005/8/layout/orgChart1"/>
    <dgm:cxn modelId="{64C13DB6-1990-4831-A461-192056CAB566}" type="presParOf" srcId="{4F430394-2294-4CBB-8E51-E93F8CC8BEB5}" destId="{A392BC23-3B30-437F-A7B2-C92CA9EB3FD3}" srcOrd="1" destOrd="0" presId="urn:microsoft.com/office/officeart/2005/8/layout/orgChart1"/>
    <dgm:cxn modelId="{49C14C4C-E3EA-46EC-B531-539E4145CC2B}" type="presParOf" srcId="{33DEBCD1-2DF1-4112-B5BC-D7332A21F1C9}" destId="{A61CEE7C-F7C2-49FD-8F7A-336BFC7E839D}" srcOrd="1" destOrd="0" presId="urn:microsoft.com/office/officeart/2005/8/layout/orgChart1"/>
    <dgm:cxn modelId="{8218D7B6-ABCE-42D3-9957-5FC5FB929889}" type="presParOf" srcId="{33DEBCD1-2DF1-4112-B5BC-D7332A21F1C9}" destId="{6AAF386F-A879-400A-A9AE-C1472C03E8EE}" srcOrd="2" destOrd="0" presId="urn:microsoft.com/office/officeart/2005/8/layout/orgChart1"/>
    <dgm:cxn modelId="{0B3AEAEB-FD39-4EC6-B70B-7F84D874217D}" type="presParOf" srcId="{8D54CC20-034B-43E1-8019-66B3AC414C0A}" destId="{D5FE2AF0-FF16-4627-B28E-BCDB21DE5E38}" srcOrd="2" destOrd="0" presId="urn:microsoft.com/office/officeart/2005/8/layout/orgChart1"/>
    <dgm:cxn modelId="{82C758C0-72E8-4C08-BA90-2F05CBD42963}" type="presParOf" srcId="{8D54CC20-034B-43E1-8019-66B3AC414C0A}" destId="{242A12E2-B770-46E5-A5D2-70D3618A9CEB}" srcOrd="3" destOrd="0" presId="urn:microsoft.com/office/officeart/2005/8/layout/orgChart1"/>
    <dgm:cxn modelId="{20FD852E-101B-45CF-86FD-837BF62C9A99}" type="presParOf" srcId="{242A12E2-B770-46E5-A5D2-70D3618A9CEB}" destId="{92443A1C-5A68-4BDE-BDFB-2C129F0BF7D7}" srcOrd="0" destOrd="0" presId="urn:microsoft.com/office/officeart/2005/8/layout/orgChart1"/>
    <dgm:cxn modelId="{4D179AB3-A6FD-4461-BB39-D46681564240}" type="presParOf" srcId="{92443A1C-5A68-4BDE-BDFB-2C129F0BF7D7}" destId="{797C12C5-1BB8-4D6B-A05F-9963F61302F2}" srcOrd="0" destOrd="0" presId="urn:microsoft.com/office/officeart/2005/8/layout/orgChart1"/>
    <dgm:cxn modelId="{77BFB2C7-6266-42CA-8587-3DF0D2971296}" type="presParOf" srcId="{92443A1C-5A68-4BDE-BDFB-2C129F0BF7D7}" destId="{F0A24E22-8B7E-4B2F-9197-DB143DA8D292}" srcOrd="1" destOrd="0" presId="urn:microsoft.com/office/officeart/2005/8/layout/orgChart1"/>
    <dgm:cxn modelId="{95707472-3AD2-4C5A-8BF5-7B8F0CBC04A0}" type="presParOf" srcId="{242A12E2-B770-46E5-A5D2-70D3618A9CEB}" destId="{748A2C25-256B-4EE7-A681-4B46A55AE8E6}" srcOrd="1" destOrd="0" presId="urn:microsoft.com/office/officeart/2005/8/layout/orgChart1"/>
    <dgm:cxn modelId="{C1371EEE-18CD-4C97-8990-0B817872853C}" type="presParOf" srcId="{748A2C25-256B-4EE7-A681-4B46A55AE8E6}" destId="{652E01CB-06B2-4E9B-9A9D-712685CC5296}" srcOrd="0" destOrd="0" presId="urn:microsoft.com/office/officeart/2005/8/layout/orgChart1"/>
    <dgm:cxn modelId="{4EECF0BD-9F7C-4749-AFDC-E906593EE231}" type="presParOf" srcId="{748A2C25-256B-4EE7-A681-4B46A55AE8E6}" destId="{4B061452-2A9E-4D9C-8113-3986443A9620}" srcOrd="1" destOrd="0" presId="urn:microsoft.com/office/officeart/2005/8/layout/orgChart1"/>
    <dgm:cxn modelId="{0E4F9FD3-C6BA-4DAB-AFD7-E8A0029B091C}" type="presParOf" srcId="{4B061452-2A9E-4D9C-8113-3986443A9620}" destId="{1488D6EB-D319-4ADD-AA1B-BB77012D42B4}" srcOrd="0" destOrd="0" presId="urn:microsoft.com/office/officeart/2005/8/layout/orgChart1"/>
    <dgm:cxn modelId="{2FD90ADB-8E8E-4085-9411-55FEC502C771}" type="presParOf" srcId="{1488D6EB-D319-4ADD-AA1B-BB77012D42B4}" destId="{32BC8322-AF47-4EB1-929D-CB53EB1EDD1B}" srcOrd="0" destOrd="0" presId="urn:microsoft.com/office/officeart/2005/8/layout/orgChart1"/>
    <dgm:cxn modelId="{2ADBEE0A-4B69-4109-AD64-19372066BA53}" type="presParOf" srcId="{1488D6EB-D319-4ADD-AA1B-BB77012D42B4}" destId="{D8BC3276-ED9D-4B06-9D0D-98FFC798AD56}" srcOrd="1" destOrd="0" presId="urn:microsoft.com/office/officeart/2005/8/layout/orgChart1"/>
    <dgm:cxn modelId="{E03D3D39-0D83-4437-B9E7-21393DA30ED1}" type="presParOf" srcId="{4B061452-2A9E-4D9C-8113-3986443A9620}" destId="{BCE6056C-8947-419C-AE5E-E303B2F1BA09}" srcOrd="1" destOrd="0" presId="urn:microsoft.com/office/officeart/2005/8/layout/orgChart1"/>
    <dgm:cxn modelId="{47D9C5DF-93C8-4162-86F8-5BA953F09FA3}" type="presParOf" srcId="{4B061452-2A9E-4D9C-8113-3986443A9620}" destId="{45AB4E94-83D7-4CB4-B2DD-3C5663A4565B}" srcOrd="2" destOrd="0" presId="urn:microsoft.com/office/officeart/2005/8/layout/orgChart1"/>
    <dgm:cxn modelId="{950DEEA1-07AF-46C8-A711-ADEC2CC1C7EC}" type="presParOf" srcId="{242A12E2-B770-46E5-A5D2-70D3618A9CEB}" destId="{509CA7CA-63F0-4FA6-B8F2-252044A70736}" srcOrd="2" destOrd="0" presId="urn:microsoft.com/office/officeart/2005/8/layout/orgChart1"/>
    <dgm:cxn modelId="{C9315642-6874-4CB8-9CB4-C4E2E344C95B}"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Anyavállalat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b="1" kern="1200" baseline="0">
              <a:latin typeface="Calibri"/>
            </a:rPr>
            <a:t>Leányvállalat</a:t>
          </a:r>
        </a:p>
        <a:p>
          <a:pPr marR="0" lvl="0" algn="ctr" defTabSz="355600" rtl="0">
            <a:lnSpc>
              <a:spcPct val="90000"/>
            </a:lnSpc>
            <a:spcBef>
              <a:spcPct val="0"/>
            </a:spcBef>
            <a:spcAft>
              <a:spcPct val="35000"/>
            </a:spcAft>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Központi szerv</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A7DD61-A356-42AE-8602-B9E9BD6B0190}">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4.xml><?xml version="1.0" encoding="utf-8"?>
<ds:datastoreItem xmlns:ds="http://schemas.openxmlformats.org/officeDocument/2006/customXml" ds:itemID="{5C459FDC-CF01-4604-9CC4-F82A4F2C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53788</Words>
  <Characters>371143</Characters>
  <Application>Microsoft Office Word</Application>
  <DocSecurity>0</DocSecurity>
  <Lines>3092</Lines>
  <Paragraphs>848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424083</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Firák Erika</cp:lastModifiedBy>
  <cp:revision>3</cp:revision>
  <cp:lastPrinted>2017-02-14T13:51:00Z</cp:lastPrinted>
  <dcterms:created xsi:type="dcterms:W3CDTF">2017-03-01T15:54:00Z</dcterms:created>
  <dcterms:modified xsi:type="dcterms:W3CDTF">2017-03-01T16:07:00Z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ies>
</file>