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5012" w14:textId="77777777" w:rsidR="003F29E3" w:rsidRPr="006A6890" w:rsidRDefault="003F29E3" w:rsidP="00D10772">
      <w:pPr>
        <w:rPr>
          <w:rFonts w:asciiTheme="minorHAnsi" w:hAnsiTheme="minorHAnsi"/>
        </w:rPr>
      </w:pPr>
      <w:bookmarkStart w:id="0" w:name="HUMANSOFTiktatoszam"/>
      <w:bookmarkEnd w:id="0"/>
    </w:p>
    <w:p w14:paraId="66B15013" w14:textId="77777777" w:rsidR="003F29E3" w:rsidRPr="006A6890" w:rsidRDefault="003F29E3" w:rsidP="00D10772">
      <w:pPr>
        <w:rPr>
          <w:rFonts w:asciiTheme="minorHAnsi" w:hAnsiTheme="minorHAnsi"/>
        </w:rPr>
      </w:pPr>
      <w:bookmarkStart w:id="1" w:name="HUMANSOFTdatumHUN"/>
      <w:bookmarkEnd w:id="1"/>
    </w:p>
    <w:p w14:paraId="66B15014" w14:textId="77777777" w:rsidR="003F29E3" w:rsidRPr="006A6890" w:rsidRDefault="003F29E3"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w:t>
      </w:r>
      <w:proofErr w:type="spellStart"/>
      <w:r w:rsidRPr="006A6890">
        <w:rPr>
          <w:rFonts w:asciiTheme="minorHAnsi" w:hAnsiTheme="minorHAnsi"/>
          <w:sz w:val="28"/>
          <w:szCs w:val="28"/>
        </w:rPr>
        <w:t>ILAAP</w:t>
      </w:r>
      <w:proofErr w:type="spellEnd"/>
      <w:r w:rsidRPr="006A6890">
        <w:rPr>
          <w:rFonts w:asciiTheme="minorHAnsi" w:hAnsiTheme="minorHAnsi"/>
          <w:sz w:val="28"/>
          <w:szCs w:val="28"/>
        </w:rPr>
        <w:t>)</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w:t>
      </w:r>
      <w:proofErr w:type="spellStart"/>
      <w:r w:rsidR="00B27A47" w:rsidRPr="006A6890">
        <w:rPr>
          <w:rFonts w:asciiTheme="minorHAnsi" w:hAnsiTheme="minorHAnsi"/>
          <w:sz w:val="28"/>
          <w:szCs w:val="28"/>
        </w:rPr>
        <w:t>BMA</w:t>
      </w:r>
      <w:proofErr w:type="spellEnd"/>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66B1502C" w14:textId="2E6B4B4B" w:rsidR="003F29E3" w:rsidRPr="006A6890" w:rsidRDefault="003F29E3" w:rsidP="00D10772">
      <w:pPr>
        <w:rPr>
          <w:rFonts w:asciiTheme="minorHAnsi" w:hAnsiTheme="minorHAnsi"/>
        </w:rPr>
      </w:pPr>
      <w:r w:rsidRPr="006A6890">
        <w:rPr>
          <w:rFonts w:asciiTheme="minorHAnsi" w:hAnsiTheme="minorHAnsi"/>
        </w:rPr>
        <w:t xml:space="preserve">Utolsó felülvizsgálat: </w:t>
      </w:r>
      <w:r w:rsidR="009D3208" w:rsidRPr="006A6890">
        <w:rPr>
          <w:rFonts w:asciiTheme="minorHAnsi" w:hAnsiTheme="minorHAnsi"/>
        </w:rPr>
        <w:t>201</w:t>
      </w:r>
      <w:r w:rsidR="00E7548D" w:rsidRPr="006A6890">
        <w:rPr>
          <w:rFonts w:asciiTheme="minorHAnsi" w:hAnsiTheme="minorHAnsi"/>
        </w:rPr>
        <w:t>9</w:t>
      </w:r>
      <w:r w:rsidR="00520F07" w:rsidRPr="006A6890">
        <w:rPr>
          <w:rFonts w:asciiTheme="minorHAnsi" w:hAnsiTheme="minorHAnsi"/>
        </w:rPr>
        <w:t xml:space="preserve">. </w:t>
      </w:r>
      <w:r w:rsidR="004B5D1A">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Subtitle"/>
        <w:rPr>
          <w:rFonts w:asciiTheme="minorHAnsi" w:hAnsiTheme="minorHAnsi"/>
          <w:b/>
        </w:rPr>
      </w:pPr>
      <w:bookmarkStart w:id="2" w:name="_Toc461095157"/>
      <w:bookmarkStart w:id="3" w:name="_Toc461179190"/>
      <w:bookmarkStart w:id="4" w:name="_Toc461179812"/>
      <w:bookmarkStart w:id="5" w:name="_Toc461197731"/>
      <w:bookmarkStart w:id="6" w:name="_Toc461201255"/>
      <w:bookmarkStart w:id="7" w:name="_Toc461547877"/>
      <w:bookmarkStart w:id="8" w:name="_Toc462401904"/>
      <w:bookmarkStart w:id="9" w:name="_Toc462403025"/>
      <w:bookmarkStart w:id="10" w:name="_Toc462403348"/>
      <w:bookmarkStart w:id="11" w:name="_Toc468180467"/>
      <w:bookmarkStart w:id="12" w:name="_Toc468181000"/>
      <w:bookmarkStart w:id="13" w:name="_Toc468191402"/>
      <w:bookmarkStart w:id="14" w:name="_Toc27138913"/>
      <w:bookmarkStart w:id="15" w:name="_Toc142877731"/>
      <w:r w:rsidRPr="006A6890">
        <w:rPr>
          <w:rFonts w:asciiTheme="minorHAnsi" w:hAnsiTheme="minorHAnsi"/>
          <w:b/>
        </w:rPr>
        <w:lastRenderedPageBreak/>
        <w:t>Tartalomjegyzék</w:t>
      </w:r>
      <w:bookmarkEnd w:id="2"/>
      <w:bookmarkEnd w:id="3"/>
      <w:bookmarkEnd w:id="4"/>
      <w:bookmarkEnd w:id="5"/>
      <w:bookmarkEnd w:id="6"/>
      <w:bookmarkEnd w:id="7"/>
      <w:bookmarkEnd w:id="8"/>
      <w:bookmarkEnd w:id="9"/>
      <w:bookmarkEnd w:id="10"/>
      <w:bookmarkEnd w:id="11"/>
      <w:bookmarkEnd w:id="12"/>
      <w:bookmarkEnd w:id="13"/>
      <w:bookmarkEnd w:id="14"/>
    </w:p>
    <w:p w14:paraId="6856BBE5" w14:textId="4B2AAAAD" w:rsidR="00506A39" w:rsidRDefault="00506A39">
      <w:pPr>
        <w:pStyle w:val="TOC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27138913" w:history="1">
        <w:r w:rsidRPr="00692BF9">
          <w:rPr>
            <w:rStyle w:val="Hyperlink"/>
            <w:b/>
          </w:rPr>
          <w:t>Tartalomjegyzék</w:t>
        </w:r>
        <w:r>
          <w:rPr>
            <w:webHidden/>
          </w:rPr>
          <w:tab/>
        </w:r>
        <w:r>
          <w:rPr>
            <w:webHidden/>
          </w:rPr>
          <w:fldChar w:fldCharType="begin"/>
        </w:r>
        <w:r>
          <w:rPr>
            <w:webHidden/>
          </w:rPr>
          <w:instrText xml:space="preserve"> PAGEREF _Toc27138913 \h </w:instrText>
        </w:r>
        <w:r>
          <w:rPr>
            <w:webHidden/>
          </w:rPr>
        </w:r>
        <w:r>
          <w:rPr>
            <w:webHidden/>
          </w:rPr>
          <w:fldChar w:fldCharType="separate"/>
        </w:r>
        <w:r>
          <w:rPr>
            <w:webHidden/>
          </w:rPr>
          <w:t>2</w:t>
        </w:r>
        <w:r>
          <w:rPr>
            <w:webHidden/>
          </w:rPr>
          <w:fldChar w:fldCharType="end"/>
        </w:r>
      </w:hyperlink>
    </w:p>
    <w:p w14:paraId="62733BD2" w14:textId="16E713FA" w:rsidR="00506A39" w:rsidRDefault="008F6FA6">
      <w:pPr>
        <w:pStyle w:val="TOC1"/>
        <w:tabs>
          <w:tab w:val="left" w:pos="482"/>
        </w:tabs>
        <w:rPr>
          <w:rFonts w:asciiTheme="minorHAnsi" w:eastAsiaTheme="minorEastAsia" w:hAnsiTheme="minorHAnsi" w:cstheme="minorBidi"/>
          <w:b w:val="0"/>
          <w:color w:val="auto"/>
        </w:rPr>
      </w:pPr>
      <w:hyperlink w:anchor="_Toc27138914" w:history="1">
        <w:r w:rsidR="00506A39" w:rsidRPr="00692BF9">
          <w:rPr>
            <w:rStyle w:val="Hyperlink"/>
          </w:rPr>
          <w:t>I.</w:t>
        </w:r>
        <w:r w:rsidR="00506A39">
          <w:rPr>
            <w:rFonts w:asciiTheme="minorHAnsi" w:eastAsiaTheme="minorEastAsia" w:hAnsiTheme="minorHAnsi" w:cstheme="minorBidi"/>
            <w:b w:val="0"/>
            <w:color w:val="auto"/>
          </w:rPr>
          <w:tab/>
        </w:r>
        <w:r w:rsidR="00506A39" w:rsidRPr="00692BF9">
          <w:rPr>
            <w:rStyle w:val="Hyperlink"/>
          </w:rPr>
          <w:t>Bevezetés</w:t>
        </w:r>
        <w:r w:rsidR="00506A39">
          <w:rPr>
            <w:webHidden/>
          </w:rPr>
          <w:tab/>
        </w:r>
        <w:r w:rsidR="00506A39">
          <w:rPr>
            <w:webHidden/>
          </w:rPr>
          <w:fldChar w:fldCharType="begin"/>
        </w:r>
        <w:r w:rsidR="00506A39">
          <w:rPr>
            <w:webHidden/>
          </w:rPr>
          <w:instrText xml:space="preserve"> PAGEREF _Toc27138914 \h </w:instrText>
        </w:r>
        <w:r w:rsidR="00506A39">
          <w:rPr>
            <w:webHidden/>
          </w:rPr>
        </w:r>
        <w:r w:rsidR="00506A39">
          <w:rPr>
            <w:webHidden/>
          </w:rPr>
          <w:fldChar w:fldCharType="separate"/>
        </w:r>
        <w:r w:rsidR="00506A39">
          <w:rPr>
            <w:webHidden/>
          </w:rPr>
          <w:t>9</w:t>
        </w:r>
        <w:r w:rsidR="00506A39">
          <w:rPr>
            <w:webHidden/>
          </w:rPr>
          <w:fldChar w:fldCharType="end"/>
        </w:r>
      </w:hyperlink>
    </w:p>
    <w:p w14:paraId="79CADC40" w14:textId="3432920B" w:rsidR="00506A39" w:rsidRDefault="008F6FA6">
      <w:pPr>
        <w:pStyle w:val="TOC2"/>
        <w:tabs>
          <w:tab w:val="left" w:pos="720"/>
        </w:tabs>
        <w:rPr>
          <w:rFonts w:asciiTheme="minorHAnsi" w:eastAsiaTheme="minorEastAsia" w:hAnsiTheme="minorHAnsi" w:cstheme="minorBidi"/>
          <w:color w:val="auto"/>
        </w:rPr>
      </w:pPr>
      <w:hyperlink w:anchor="_Toc27138915" w:history="1">
        <w:r w:rsidR="00506A39" w:rsidRPr="00692BF9">
          <w:rPr>
            <w:rStyle w:val="Hyperlink"/>
          </w:rPr>
          <w:t>I.1</w:t>
        </w:r>
        <w:r w:rsidR="00506A39">
          <w:rPr>
            <w:rFonts w:asciiTheme="minorHAnsi" w:eastAsiaTheme="minorEastAsia" w:hAnsiTheme="minorHAnsi" w:cstheme="minorBidi"/>
            <w:color w:val="auto"/>
          </w:rPr>
          <w:tab/>
        </w:r>
        <w:r w:rsidR="00506A39" w:rsidRPr="00692BF9">
          <w:rPr>
            <w:rStyle w:val="Hyperlink"/>
          </w:rPr>
          <w:t>Az ICAAP, az ILAAP és a BMA vizsgálat a SREP folyamat tükrében</w:t>
        </w:r>
        <w:r w:rsidR="00506A39">
          <w:rPr>
            <w:webHidden/>
          </w:rPr>
          <w:tab/>
        </w:r>
        <w:r w:rsidR="00506A39">
          <w:rPr>
            <w:webHidden/>
          </w:rPr>
          <w:fldChar w:fldCharType="begin"/>
        </w:r>
        <w:r w:rsidR="00506A39">
          <w:rPr>
            <w:webHidden/>
          </w:rPr>
          <w:instrText xml:space="preserve"> PAGEREF _Toc27138915 \h </w:instrText>
        </w:r>
        <w:r w:rsidR="00506A39">
          <w:rPr>
            <w:webHidden/>
          </w:rPr>
        </w:r>
        <w:r w:rsidR="00506A39">
          <w:rPr>
            <w:webHidden/>
          </w:rPr>
          <w:fldChar w:fldCharType="separate"/>
        </w:r>
        <w:r w:rsidR="00506A39">
          <w:rPr>
            <w:webHidden/>
          </w:rPr>
          <w:t>9</w:t>
        </w:r>
        <w:r w:rsidR="00506A39">
          <w:rPr>
            <w:webHidden/>
          </w:rPr>
          <w:fldChar w:fldCharType="end"/>
        </w:r>
      </w:hyperlink>
    </w:p>
    <w:p w14:paraId="767071D7" w14:textId="5553CDB7" w:rsidR="00506A39" w:rsidRDefault="008F6FA6">
      <w:pPr>
        <w:pStyle w:val="TOC2"/>
        <w:tabs>
          <w:tab w:val="left" w:pos="720"/>
        </w:tabs>
        <w:rPr>
          <w:rFonts w:asciiTheme="minorHAnsi" w:eastAsiaTheme="minorEastAsia" w:hAnsiTheme="minorHAnsi" w:cstheme="minorBidi"/>
          <w:color w:val="auto"/>
        </w:rPr>
      </w:pPr>
      <w:hyperlink w:anchor="_Toc27138916" w:history="1">
        <w:r w:rsidR="00506A39" w:rsidRPr="00692BF9">
          <w:rPr>
            <w:rStyle w:val="Hyperlink"/>
          </w:rPr>
          <w:t>I.2</w:t>
        </w:r>
        <w:r w:rsidR="00506A39">
          <w:rPr>
            <w:rFonts w:asciiTheme="minorHAnsi" w:eastAsiaTheme="minorEastAsia" w:hAnsiTheme="minorHAnsi" w:cstheme="minorBidi"/>
            <w:color w:val="auto"/>
          </w:rPr>
          <w:tab/>
        </w:r>
        <w:r w:rsidR="00506A39" w:rsidRPr="00692BF9">
          <w:rPr>
            <w:rStyle w:val="Hyperlink"/>
          </w:rPr>
          <w:t>A tőkemegfelelés belső értékelési folyamata (ICAAP)</w:t>
        </w:r>
        <w:r w:rsidR="00506A39">
          <w:rPr>
            <w:webHidden/>
          </w:rPr>
          <w:tab/>
        </w:r>
        <w:r w:rsidR="00506A39">
          <w:rPr>
            <w:webHidden/>
          </w:rPr>
          <w:fldChar w:fldCharType="begin"/>
        </w:r>
        <w:r w:rsidR="00506A39">
          <w:rPr>
            <w:webHidden/>
          </w:rPr>
          <w:instrText xml:space="preserve"> PAGEREF _Toc27138916 \h </w:instrText>
        </w:r>
        <w:r w:rsidR="00506A39">
          <w:rPr>
            <w:webHidden/>
          </w:rPr>
        </w:r>
        <w:r w:rsidR="00506A39">
          <w:rPr>
            <w:webHidden/>
          </w:rPr>
          <w:fldChar w:fldCharType="separate"/>
        </w:r>
        <w:r w:rsidR="00506A39">
          <w:rPr>
            <w:webHidden/>
          </w:rPr>
          <w:t>10</w:t>
        </w:r>
        <w:r w:rsidR="00506A39">
          <w:rPr>
            <w:webHidden/>
          </w:rPr>
          <w:fldChar w:fldCharType="end"/>
        </w:r>
      </w:hyperlink>
    </w:p>
    <w:p w14:paraId="52CC4934" w14:textId="45854477" w:rsidR="00506A39" w:rsidRDefault="008F6FA6">
      <w:pPr>
        <w:pStyle w:val="TOC3"/>
        <w:tabs>
          <w:tab w:val="left" w:pos="1100"/>
        </w:tabs>
        <w:rPr>
          <w:rFonts w:asciiTheme="minorHAnsi" w:eastAsiaTheme="minorEastAsia" w:hAnsiTheme="minorHAnsi" w:cstheme="minorBidi"/>
          <w:noProof/>
          <w:color w:val="auto"/>
        </w:rPr>
      </w:pPr>
      <w:hyperlink w:anchor="_Toc27138917" w:history="1">
        <w:r w:rsidR="00506A39" w:rsidRPr="00692BF9">
          <w:rPr>
            <w:rStyle w:val="Hyperlink"/>
            <w:noProof/>
          </w:rPr>
          <w:t>I.2.1</w:t>
        </w:r>
        <w:r w:rsidR="00506A39">
          <w:rPr>
            <w:rFonts w:asciiTheme="minorHAnsi" w:eastAsiaTheme="minorEastAsia" w:hAnsiTheme="minorHAnsi" w:cstheme="minorBidi"/>
            <w:noProof/>
            <w:color w:val="auto"/>
          </w:rPr>
          <w:tab/>
        </w:r>
        <w:r w:rsidR="00506A39" w:rsidRPr="00692BF9">
          <w:rPr>
            <w:rStyle w:val="Hyperlink"/>
            <w:noProof/>
          </w:rPr>
          <w:t>Az ICAAP kialakítására vonatkozó felügyeleti alapelvek</w:t>
        </w:r>
        <w:r w:rsidR="00506A39">
          <w:rPr>
            <w:noProof/>
            <w:webHidden/>
          </w:rPr>
          <w:tab/>
        </w:r>
        <w:r w:rsidR="00506A39">
          <w:rPr>
            <w:noProof/>
            <w:webHidden/>
          </w:rPr>
          <w:fldChar w:fldCharType="begin"/>
        </w:r>
        <w:r w:rsidR="00506A39">
          <w:rPr>
            <w:noProof/>
            <w:webHidden/>
          </w:rPr>
          <w:instrText xml:space="preserve"> PAGEREF _Toc27138917 \h </w:instrText>
        </w:r>
        <w:r w:rsidR="00506A39">
          <w:rPr>
            <w:noProof/>
            <w:webHidden/>
          </w:rPr>
        </w:r>
        <w:r w:rsidR="00506A39">
          <w:rPr>
            <w:noProof/>
            <w:webHidden/>
          </w:rPr>
          <w:fldChar w:fldCharType="separate"/>
        </w:r>
        <w:r w:rsidR="00506A39">
          <w:rPr>
            <w:noProof/>
            <w:webHidden/>
          </w:rPr>
          <w:t>12</w:t>
        </w:r>
        <w:r w:rsidR="00506A39">
          <w:rPr>
            <w:noProof/>
            <w:webHidden/>
          </w:rPr>
          <w:fldChar w:fldCharType="end"/>
        </w:r>
      </w:hyperlink>
    </w:p>
    <w:p w14:paraId="022132BA" w14:textId="3A4D00F5" w:rsidR="00506A39" w:rsidRDefault="008F6FA6">
      <w:pPr>
        <w:pStyle w:val="TOC2"/>
        <w:tabs>
          <w:tab w:val="left" w:pos="720"/>
        </w:tabs>
        <w:rPr>
          <w:rFonts w:asciiTheme="minorHAnsi" w:eastAsiaTheme="minorEastAsia" w:hAnsiTheme="minorHAnsi" w:cstheme="minorBidi"/>
          <w:color w:val="auto"/>
        </w:rPr>
      </w:pPr>
      <w:hyperlink w:anchor="_Toc27138918" w:history="1">
        <w:r w:rsidR="00506A39" w:rsidRPr="00692BF9">
          <w:rPr>
            <w:rStyle w:val="Hyperlink"/>
          </w:rPr>
          <w:t>I.3</w:t>
        </w:r>
        <w:r w:rsidR="00506A39">
          <w:rPr>
            <w:rFonts w:asciiTheme="minorHAnsi" w:eastAsiaTheme="minorEastAsia" w:hAnsiTheme="minorHAnsi" w:cstheme="minorBidi"/>
            <w:color w:val="auto"/>
          </w:rPr>
          <w:tab/>
        </w:r>
        <w:r w:rsidR="00506A39" w:rsidRPr="00692BF9">
          <w:rPr>
            <w:rStyle w:val="Hyperlink"/>
          </w:rPr>
          <w:t>A likviditás megfelelőségének belső értékelési folyamata (ILAAP)</w:t>
        </w:r>
        <w:r w:rsidR="00506A39">
          <w:rPr>
            <w:webHidden/>
          </w:rPr>
          <w:tab/>
        </w:r>
        <w:r w:rsidR="00506A39">
          <w:rPr>
            <w:webHidden/>
          </w:rPr>
          <w:fldChar w:fldCharType="begin"/>
        </w:r>
        <w:r w:rsidR="00506A39">
          <w:rPr>
            <w:webHidden/>
          </w:rPr>
          <w:instrText xml:space="preserve"> PAGEREF _Toc27138918 \h </w:instrText>
        </w:r>
        <w:r w:rsidR="00506A39">
          <w:rPr>
            <w:webHidden/>
          </w:rPr>
        </w:r>
        <w:r w:rsidR="00506A39">
          <w:rPr>
            <w:webHidden/>
          </w:rPr>
          <w:fldChar w:fldCharType="separate"/>
        </w:r>
        <w:r w:rsidR="00506A39">
          <w:rPr>
            <w:webHidden/>
          </w:rPr>
          <w:t>15</w:t>
        </w:r>
        <w:r w:rsidR="00506A39">
          <w:rPr>
            <w:webHidden/>
          </w:rPr>
          <w:fldChar w:fldCharType="end"/>
        </w:r>
      </w:hyperlink>
    </w:p>
    <w:p w14:paraId="4EA3AD16" w14:textId="780ED41C" w:rsidR="00506A39" w:rsidRDefault="008F6FA6">
      <w:pPr>
        <w:pStyle w:val="TOC3"/>
        <w:tabs>
          <w:tab w:val="left" w:pos="1100"/>
        </w:tabs>
        <w:rPr>
          <w:rFonts w:asciiTheme="minorHAnsi" w:eastAsiaTheme="minorEastAsia" w:hAnsiTheme="minorHAnsi" w:cstheme="minorBidi"/>
          <w:noProof/>
          <w:color w:val="auto"/>
        </w:rPr>
      </w:pPr>
      <w:hyperlink w:anchor="_Toc27138919" w:history="1">
        <w:r w:rsidR="00506A39" w:rsidRPr="00692BF9">
          <w:rPr>
            <w:rStyle w:val="Hyperlink"/>
            <w:noProof/>
          </w:rPr>
          <w:t>I.3.1</w:t>
        </w:r>
        <w:r w:rsidR="00506A39">
          <w:rPr>
            <w:rFonts w:asciiTheme="minorHAnsi" w:eastAsiaTheme="minorEastAsia" w:hAnsiTheme="minorHAnsi" w:cstheme="minorBidi"/>
            <w:noProof/>
            <w:color w:val="auto"/>
          </w:rPr>
          <w:tab/>
        </w:r>
        <w:r w:rsidR="00506A39" w:rsidRPr="00692BF9">
          <w:rPr>
            <w:rStyle w:val="Hyperlink"/>
            <w:noProof/>
          </w:rPr>
          <w:t>Az ILAAP kialakítására vonatkozó felügyeleti alapelvek</w:t>
        </w:r>
        <w:r w:rsidR="00506A39">
          <w:rPr>
            <w:noProof/>
            <w:webHidden/>
          </w:rPr>
          <w:tab/>
        </w:r>
        <w:r w:rsidR="00506A39">
          <w:rPr>
            <w:noProof/>
            <w:webHidden/>
          </w:rPr>
          <w:fldChar w:fldCharType="begin"/>
        </w:r>
        <w:r w:rsidR="00506A39">
          <w:rPr>
            <w:noProof/>
            <w:webHidden/>
          </w:rPr>
          <w:instrText xml:space="preserve"> PAGEREF _Toc27138919 \h </w:instrText>
        </w:r>
        <w:r w:rsidR="00506A39">
          <w:rPr>
            <w:noProof/>
            <w:webHidden/>
          </w:rPr>
        </w:r>
        <w:r w:rsidR="00506A39">
          <w:rPr>
            <w:noProof/>
            <w:webHidden/>
          </w:rPr>
          <w:fldChar w:fldCharType="separate"/>
        </w:r>
        <w:r w:rsidR="00506A39">
          <w:rPr>
            <w:noProof/>
            <w:webHidden/>
          </w:rPr>
          <w:t>16</w:t>
        </w:r>
        <w:r w:rsidR="00506A39">
          <w:rPr>
            <w:noProof/>
            <w:webHidden/>
          </w:rPr>
          <w:fldChar w:fldCharType="end"/>
        </w:r>
      </w:hyperlink>
    </w:p>
    <w:p w14:paraId="78340294" w14:textId="5FEBF2D3" w:rsidR="00506A39" w:rsidRDefault="008F6FA6">
      <w:pPr>
        <w:pStyle w:val="TOC2"/>
        <w:tabs>
          <w:tab w:val="left" w:pos="720"/>
        </w:tabs>
        <w:rPr>
          <w:rFonts w:asciiTheme="minorHAnsi" w:eastAsiaTheme="minorEastAsia" w:hAnsiTheme="minorHAnsi" w:cstheme="minorBidi"/>
          <w:color w:val="auto"/>
        </w:rPr>
      </w:pPr>
      <w:hyperlink w:anchor="_Toc27138920" w:history="1">
        <w:r w:rsidR="00506A39" w:rsidRPr="00692BF9">
          <w:rPr>
            <w:rStyle w:val="Hyperlink"/>
          </w:rPr>
          <w:t>I.4</w:t>
        </w:r>
        <w:r w:rsidR="00506A39">
          <w:rPr>
            <w:rFonts w:asciiTheme="minorHAnsi" w:eastAsiaTheme="minorEastAsia" w:hAnsiTheme="minorHAnsi" w:cstheme="minorBidi"/>
            <w:color w:val="auto"/>
          </w:rPr>
          <w:tab/>
        </w:r>
        <w:r w:rsidR="00506A39" w:rsidRPr="00692BF9">
          <w:rPr>
            <w:rStyle w:val="Hyperlink"/>
          </w:rPr>
          <w:t>Üzleti modell elemzés (BMA)</w:t>
        </w:r>
        <w:r w:rsidR="00506A39">
          <w:rPr>
            <w:webHidden/>
          </w:rPr>
          <w:tab/>
        </w:r>
        <w:r w:rsidR="00506A39">
          <w:rPr>
            <w:webHidden/>
          </w:rPr>
          <w:fldChar w:fldCharType="begin"/>
        </w:r>
        <w:r w:rsidR="00506A39">
          <w:rPr>
            <w:webHidden/>
          </w:rPr>
          <w:instrText xml:space="preserve"> PAGEREF _Toc27138920 \h </w:instrText>
        </w:r>
        <w:r w:rsidR="00506A39">
          <w:rPr>
            <w:webHidden/>
          </w:rPr>
        </w:r>
        <w:r w:rsidR="00506A39">
          <w:rPr>
            <w:webHidden/>
          </w:rPr>
          <w:fldChar w:fldCharType="separate"/>
        </w:r>
        <w:r w:rsidR="00506A39">
          <w:rPr>
            <w:webHidden/>
          </w:rPr>
          <w:t>17</w:t>
        </w:r>
        <w:r w:rsidR="00506A39">
          <w:rPr>
            <w:webHidden/>
          </w:rPr>
          <w:fldChar w:fldCharType="end"/>
        </w:r>
      </w:hyperlink>
    </w:p>
    <w:p w14:paraId="7E53D395" w14:textId="26A8AEED" w:rsidR="00506A39" w:rsidRDefault="008F6FA6">
      <w:pPr>
        <w:pStyle w:val="TOC2"/>
        <w:tabs>
          <w:tab w:val="left" w:pos="720"/>
        </w:tabs>
        <w:rPr>
          <w:rFonts w:asciiTheme="minorHAnsi" w:eastAsiaTheme="minorEastAsia" w:hAnsiTheme="minorHAnsi" w:cstheme="minorBidi"/>
          <w:color w:val="auto"/>
        </w:rPr>
      </w:pPr>
      <w:hyperlink w:anchor="_Toc27138921" w:history="1">
        <w:r w:rsidR="00506A39" w:rsidRPr="00692BF9">
          <w:rPr>
            <w:rStyle w:val="Hyperlink"/>
          </w:rPr>
          <w:t>I.5</w:t>
        </w:r>
        <w:r w:rsidR="00506A39">
          <w:rPr>
            <w:rFonts w:asciiTheme="minorHAnsi" w:eastAsiaTheme="minorEastAsia" w:hAnsiTheme="minorHAnsi" w:cstheme="minorBidi"/>
            <w:color w:val="auto"/>
          </w:rPr>
          <w:tab/>
        </w:r>
        <w:r w:rsidR="00506A39" w:rsidRPr="00692BF9">
          <w:rPr>
            <w:rStyle w:val="Hyperlink"/>
          </w:rPr>
          <w:t>Az ICAAP és az ILAAP felülvizsgálatok során érvényesítendő általános alapelvek</w:t>
        </w:r>
        <w:r w:rsidR="00506A39">
          <w:rPr>
            <w:webHidden/>
          </w:rPr>
          <w:tab/>
        </w:r>
        <w:r w:rsidR="00506A39">
          <w:rPr>
            <w:webHidden/>
          </w:rPr>
          <w:fldChar w:fldCharType="begin"/>
        </w:r>
        <w:r w:rsidR="00506A39">
          <w:rPr>
            <w:webHidden/>
          </w:rPr>
          <w:instrText xml:space="preserve"> PAGEREF _Toc27138921 \h </w:instrText>
        </w:r>
        <w:r w:rsidR="00506A39">
          <w:rPr>
            <w:webHidden/>
          </w:rPr>
        </w:r>
        <w:r w:rsidR="00506A39">
          <w:rPr>
            <w:webHidden/>
          </w:rPr>
          <w:fldChar w:fldCharType="separate"/>
        </w:r>
        <w:r w:rsidR="00506A39">
          <w:rPr>
            <w:webHidden/>
          </w:rPr>
          <w:t>17</w:t>
        </w:r>
        <w:r w:rsidR="00506A39">
          <w:rPr>
            <w:webHidden/>
          </w:rPr>
          <w:fldChar w:fldCharType="end"/>
        </w:r>
      </w:hyperlink>
    </w:p>
    <w:p w14:paraId="70E90A04" w14:textId="5C6647A7" w:rsidR="00506A39" w:rsidRDefault="008F6FA6">
      <w:pPr>
        <w:pStyle w:val="TOC3"/>
        <w:tabs>
          <w:tab w:val="left" w:pos="1100"/>
        </w:tabs>
        <w:rPr>
          <w:rFonts w:asciiTheme="minorHAnsi" w:eastAsiaTheme="minorEastAsia" w:hAnsiTheme="minorHAnsi" w:cstheme="minorBidi"/>
          <w:noProof/>
          <w:color w:val="auto"/>
        </w:rPr>
      </w:pPr>
      <w:hyperlink w:anchor="_Toc27138922" w:history="1">
        <w:r w:rsidR="00506A39" w:rsidRPr="00692BF9">
          <w:rPr>
            <w:rStyle w:val="Hyperlink"/>
            <w:noProof/>
          </w:rPr>
          <w:t>I.5.1</w:t>
        </w:r>
        <w:r w:rsidR="00506A39">
          <w:rPr>
            <w:rFonts w:asciiTheme="minorHAnsi" w:eastAsiaTheme="minorEastAsia" w:hAnsiTheme="minorHAnsi" w:cstheme="minorBidi"/>
            <w:noProof/>
            <w:color w:val="auto"/>
          </w:rPr>
          <w:tab/>
        </w:r>
        <w:r w:rsidR="00506A39" w:rsidRPr="00692BF9">
          <w:rPr>
            <w:rStyle w:val="Hyperlink"/>
            <w:noProof/>
          </w:rPr>
          <w:t>Nemzetközileg elfogadott alapelvek</w:t>
        </w:r>
        <w:r w:rsidR="00506A39">
          <w:rPr>
            <w:noProof/>
            <w:webHidden/>
          </w:rPr>
          <w:tab/>
        </w:r>
        <w:r w:rsidR="00506A39">
          <w:rPr>
            <w:noProof/>
            <w:webHidden/>
          </w:rPr>
          <w:fldChar w:fldCharType="begin"/>
        </w:r>
        <w:r w:rsidR="00506A39">
          <w:rPr>
            <w:noProof/>
            <w:webHidden/>
          </w:rPr>
          <w:instrText xml:space="preserve"> PAGEREF _Toc27138922 \h </w:instrText>
        </w:r>
        <w:r w:rsidR="00506A39">
          <w:rPr>
            <w:noProof/>
            <w:webHidden/>
          </w:rPr>
        </w:r>
        <w:r w:rsidR="00506A39">
          <w:rPr>
            <w:noProof/>
            <w:webHidden/>
          </w:rPr>
          <w:fldChar w:fldCharType="separate"/>
        </w:r>
        <w:r w:rsidR="00506A39">
          <w:rPr>
            <w:noProof/>
            <w:webHidden/>
          </w:rPr>
          <w:t>17</w:t>
        </w:r>
        <w:r w:rsidR="00506A39">
          <w:rPr>
            <w:noProof/>
            <w:webHidden/>
          </w:rPr>
          <w:fldChar w:fldCharType="end"/>
        </w:r>
      </w:hyperlink>
    </w:p>
    <w:p w14:paraId="37322447" w14:textId="2330F9FB" w:rsidR="00506A39" w:rsidRDefault="008F6FA6">
      <w:pPr>
        <w:pStyle w:val="TOC3"/>
        <w:tabs>
          <w:tab w:val="left" w:pos="1100"/>
        </w:tabs>
        <w:rPr>
          <w:rFonts w:asciiTheme="minorHAnsi" w:eastAsiaTheme="minorEastAsia" w:hAnsiTheme="minorHAnsi" w:cstheme="minorBidi"/>
          <w:noProof/>
          <w:color w:val="auto"/>
        </w:rPr>
      </w:pPr>
      <w:hyperlink w:anchor="_Toc27138923" w:history="1">
        <w:r w:rsidR="00506A39" w:rsidRPr="00692BF9">
          <w:rPr>
            <w:rStyle w:val="Hyperlink"/>
            <w:noProof/>
          </w:rPr>
          <w:t>I.5.2</w:t>
        </w:r>
        <w:r w:rsidR="00506A39">
          <w:rPr>
            <w:rFonts w:asciiTheme="minorHAnsi" w:eastAsiaTheme="minorEastAsia" w:hAnsiTheme="minorHAnsi" w:cstheme="minorBidi"/>
            <w:noProof/>
            <w:color w:val="auto"/>
          </w:rPr>
          <w:tab/>
        </w:r>
        <w:r w:rsidR="00506A39" w:rsidRPr="00692BF9">
          <w:rPr>
            <w:rStyle w:val="Hyperlink"/>
            <w:noProof/>
          </w:rPr>
          <w:t>Az MNB által lefolytatott felülvizsgálati folyamatok során alkalmazott általános alapelvek</w:t>
        </w:r>
        <w:r w:rsidR="00506A39">
          <w:rPr>
            <w:noProof/>
            <w:webHidden/>
          </w:rPr>
          <w:tab/>
        </w:r>
        <w:r w:rsidR="00506A39">
          <w:rPr>
            <w:noProof/>
            <w:webHidden/>
          </w:rPr>
          <w:fldChar w:fldCharType="begin"/>
        </w:r>
        <w:r w:rsidR="00506A39">
          <w:rPr>
            <w:noProof/>
            <w:webHidden/>
          </w:rPr>
          <w:instrText xml:space="preserve"> PAGEREF _Toc27138923 \h </w:instrText>
        </w:r>
        <w:r w:rsidR="00506A39">
          <w:rPr>
            <w:noProof/>
            <w:webHidden/>
          </w:rPr>
        </w:r>
        <w:r w:rsidR="00506A39">
          <w:rPr>
            <w:noProof/>
            <w:webHidden/>
          </w:rPr>
          <w:fldChar w:fldCharType="separate"/>
        </w:r>
        <w:r w:rsidR="00506A39">
          <w:rPr>
            <w:noProof/>
            <w:webHidden/>
          </w:rPr>
          <w:t>18</w:t>
        </w:r>
        <w:r w:rsidR="00506A39">
          <w:rPr>
            <w:noProof/>
            <w:webHidden/>
          </w:rPr>
          <w:fldChar w:fldCharType="end"/>
        </w:r>
      </w:hyperlink>
    </w:p>
    <w:p w14:paraId="19A69621" w14:textId="07981369" w:rsidR="00506A39" w:rsidRDefault="008F6FA6">
      <w:pPr>
        <w:pStyle w:val="TOC1"/>
        <w:tabs>
          <w:tab w:val="left" w:pos="482"/>
        </w:tabs>
        <w:rPr>
          <w:rFonts w:asciiTheme="minorHAnsi" w:eastAsiaTheme="minorEastAsia" w:hAnsiTheme="minorHAnsi" w:cstheme="minorBidi"/>
          <w:b w:val="0"/>
          <w:color w:val="auto"/>
        </w:rPr>
      </w:pPr>
      <w:hyperlink w:anchor="_Toc27138924" w:history="1">
        <w:r w:rsidR="00506A39" w:rsidRPr="00692BF9">
          <w:rPr>
            <w:rStyle w:val="Hyperlink"/>
          </w:rPr>
          <w:t>II.</w:t>
        </w:r>
        <w:r w:rsidR="00506A39">
          <w:rPr>
            <w:rFonts w:asciiTheme="minorHAnsi" w:eastAsiaTheme="minorEastAsia" w:hAnsiTheme="minorHAnsi" w:cstheme="minorBidi"/>
            <w:b w:val="0"/>
            <w:color w:val="auto"/>
          </w:rPr>
          <w:tab/>
        </w:r>
        <w:r w:rsidR="00506A39" w:rsidRPr="00692BF9">
          <w:rPr>
            <w:rStyle w:val="Hyperlink"/>
          </w:rPr>
          <w:t>Az ICAAP, az ILAAP és felügyeleti felülvizsgálatuk hatálya</w:t>
        </w:r>
        <w:r w:rsidR="00506A39">
          <w:rPr>
            <w:webHidden/>
          </w:rPr>
          <w:tab/>
        </w:r>
        <w:r w:rsidR="00506A39">
          <w:rPr>
            <w:webHidden/>
          </w:rPr>
          <w:fldChar w:fldCharType="begin"/>
        </w:r>
        <w:r w:rsidR="00506A39">
          <w:rPr>
            <w:webHidden/>
          </w:rPr>
          <w:instrText xml:space="preserve"> PAGEREF _Toc27138924 \h </w:instrText>
        </w:r>
        <w:r w:rsidR="00506A39">
          <w:rPr>
            <w:webHidden/>
          </w:rPr>
        </w:r>
        <w:r w:rsidR="00506A39">
          <w:rPr>
            <w:webHidden/>
          </w:rPr>
          <w:fldChar w:fldCharType="separate"/>
        </w:r>
        <w:r w:rsidR="00506A39">
          <w:rPr>
            <w:webHidden/>
          </w:rPr>
          <w:t>20</w:t>
        </w:r>
        <w:r w:rsidR="00506A39">
          <w:rPr>
            <w:webHidden/>
          </w:rPr>
          <w:fldChar w:fldCharType="end"/>
        </w:r>
      </w:hyperlink>
    </w:p>
    <w:p w14:paraId="26DA3DC4" w14:textId="1786163F" w:rsidR="00506A39" w:rsidRDefault="008F6FA6">
      <w:pPr>
        <w:pStyle w:val="TOC2"/>
        <w:tabs>
          <w:tab w:val="left" w:pos="880"/>
        </w:tabs>
        <w:rPr>
          <w:rFonts w:asciiTheme="minorHAnsi" w:eastAsiaTheme="minorEastAsia" w:hAnsiTheme="minorHAnsi" w:cstheme="minorBidi"/>
          <w:color w:val="auto"/>
        </w:rPr>
      </w:pPr>
      <w:hyperlink w:anchor="_Toc27138925" w:history="1">
        <w:r w:rsidR="00506A39" w:rsidRPr="00692BF9">
          <w:rPr>
            <w:rStyle w:val="Hyperlink"/>
          </w:rPr>
          <w:t>II.1</w:t>
        </w:r>
        <w:r w:rsidR="00506A39">
          <w:rPr>
            <w:rFonts w:asciiTheme="minorHAnsi" w:eastAsiaTheme="minorEastAsia" w:hAnsiTheme="minorHAnsi" w:cstheme="minorBidi"/>
            <w:color w:val="auto"/>
          </w:rPr>
          <w:tab/>
        </w:r>
        <w:r w:rsidR="00506A39" w:rsidRPr="00692BF9">
          <w:rPr>
            <w:rStyle w:val="Hyperlink"/>
          </w:rPr>
          <w:t>ICAAP és ILAAP megfelelés és felügyeleti felülvizsgálat egyedi szinten</w:t>
        </w:r>
        <w:r w:rsidR="00506A39">
          <w:rPr>
            <w:webHidden/>
          </w:rPr>
          <w:tab/>
        </w:r>
        <w:r w:rsidR="00506A39">
          <w:rPr>
            <w:webHidden/>
          </w:rPr>
          <w:fldChar w:fldCharType="begin"/>
        </w:r>
        <w:r w:rsidR="00506A39">
          <w:rPr>
            <w:webHidden/>
          </w:rPr>
          <w:instrText xml:space="preserve"> PAGEREF _Toc27138925 \h </w:instrText>
        </w:r>
        <w:r w:rsidR="00506A39">
          <w:rPr>
            <w:webHidden/>
          </w:rPr>
        </w:r>
        <w:r w:rsidR="00506A39">
          <w:rPr>
            <w:webHidden/>
          </w:rPr>
          <w:fldChar w:fldCharType="separate"/>
        </w:r>
        <w:r w:rsidR="00506A39">
          <w:rPr>
            <w:webHidden/>
          </w:rPr>
          <w:t>20</w:t>
        </w:r>
        <w:r w:rsidR="00506A39">
          <w:rPr>
            <w:webHidden/>
          </w:rPr>
          <w:fldChar w:fldCharType="end"/>
        </w:r>
      </w:hyperlink>
    </w:p>
    <w:p w14:paraId="1D805083" w14:textId="1C311964" w:rsidR="00506A39" w:rsidRDefault="008F6FA6">
      <w:pPr>
        <w:pStyle w:val="TOC2"/>
        <w:tabs>
          <w:tab w:val="left" w:pos="880"/>
        </w:tabs>
        <w:rPr>
          <w:rFonts w:asciiTheme="minorHAnsi" w:eastAsiaTheme="minorEastAsia" w:hAnsiTheme="minorHAnsi" w:cstheme="minorBidi"/>
          <w:color w:val="auto"/>
        </w:rPr>
      </w:pPr>
      <w:hyperlink w:anchor="_Toc27138926" w:history="1">
        <w:r w:rsidR="00506A39" w:rsidRPr="00692BF9">
          <w:rPr>
            <w:rStyle w:val="Hyperlink"/>
          </w:rPr>
          <w:t>II.2</w:t>
        </w:r>
        <w:r w:rsidR="00506A39">
          <w:rPr>
            <w:rFonts w:asciiTheme="minorHAnsi" w:eastAsiaTheme="minorEastAsia" w:hAnsiTheme="minorHAnsi" w:cstheme="minorBidi"/>
            <w:color w:val="auto"/>
          </w:rPr>
          <w:tab/>
        </w:r>
        <w:r w:rsidR="00506A39" w:rsidRPr="00692BF9">
          <w:rPr>
            <w:rStyle w:val="Hyperlink"/>
          </w:rPr>
          <w:t>ICAAP és ILAAP megfelelés és felügyeleti felülvizsgálat csoport szinten</w:t>
        </w:r>
        <w:r w:rsidR="00506A39">
          <w:rPr>
            <w:webHidden/>
          </w:rPr>
          <w:tab/>
        </w:r>
        <w:r w:rsidR="00506A39">
          <w:rPr>
            <w:webHidden/>
          </w:rPr>
          <w:fldChar w:fldCharType="begin"/>
        </w:r>
        <w:r w:rsidR="00506A39">
          <w:rPr>
            <w:webHidden/>
          </w:rPr>
          <w:instrText xml:space="preserve"> PAGEREF _Toc27138926 \h </w:instrText>
        </w:r>
        <w:r w:rsidR="00506A39">
          <w:rPr>
            <w:webHidden/>
          </w:rPr>
        </w:r>
        <w:r w:rsidR="00506A39">
          <w:rPr>
            <w:webHidden/>
          </w:rPr>
          <w:fldChar w:fldCharType="separate"/>
        </w:r>
        <w:r w:rsidR="00506A39">
          <w:rPr>
            <w:webHidden/>
          </w:rPr>
          <w:t>21</w:t>
        </w:r>
        <w:r w:rsidR="00506A39">
          <w:rPr>
            <w:webHidden/>
          </w:rPr>
          <w:fldChar w:fldCharType="end"/>
        </w:r>
      </w:hyperlink>
    </w:p>
    <w:p w14:paraId="5E9D6FEE" w14:textId="1AC292AA" w:rsidR="00506A39" w:rsidRDefault="008F6FA6">
      <w:pPr>
        <w:pStyle w:val="TOC1"/>
        <w:tabs>
          <w:tab w:val="left" w:pos="482"/>
        </w:tabs>
        <w:rPr>
          <w:rFonts w:asciiTheme="minorHAnsi" w:eastAsiaTheme="minorEastAsia" w:hAnsiTheme="minorHAnsi" w:cstheme="minorBidi"/>
          <w:b w:val="0"/>
          <w:color w:val="auto"/>
        </w:rPr>
      </w:pPr>
      <w:hyperlink w:anchor="_Toc27138927" w:history="1">
        <w:r w:rsidR="00506A39" w:rsidRPr="00692BF9">
          <w:rPr>
            <w:rStyle w:val="Hyperlink"/>
          </w:rPr>
          <w:t>III.</w:t>
        </w:r>
        <w:r w:rsidR="00506A39">
          <w:rPr>
            <w:rFonts w:asciiTheme="minorHAnsi" w:eastAsiaTheme="minorEastAsia" w:hAnsiTheme="minorHAnsi" w:cstheme="minorBidi"/>
            <w:b w:val="0"/>
            <w:color w:val="auto"/>
          </w:rPr>
          <w:tab/>
        </w:r>
        <w:r w:rsidR="00506A39" w:rsidRPr="00692BF9">
          <w:rPr>
            <w:rStyle w:val="Hyperlink"/>
          </w:rPr>
          <w:t>Az ICAAP vizsgálat fokozatai és a felügyelt intézmények csoportosítása</w:t>
        </w:r>
        <w:r w:rsidR="00506A39">
          <w:rPr>
            <w:webHidden/>
          </w:rPr>
          <w:tab/>
        </w:r>
        <w:r w:rsidR="00506A39">
          <w:rPr>
            <w:webHidden/>
          </w:rPr>
          <w:fldChar w:fldCharType="begin"/>
        </w:r>
        <w:r w:rsidR="00506A39">
          <w:rPr>
            <w:webHidden/>
          </w:rPr>
          <w:instrText xml:space="preserve"> PAGEREF _Toc27138927 \h </w:instrText>
        </w:r>
        <w:r w:rsidR="00506A39">
          <w:rPr>
            <w:webHidden/>
          </w:rPr>
        </w:r>
        <w:r w:rsidR="00506A39">
          <w:rPr>
            <w:webHidden/>
          </w:rPr>
          <w:fldChar w:fldCharType="separate"/>
        </w:r>
        <w:r w:rsidR="00506A39">
          <w:rPr>
            <w:webHidden/>
          </w:rPr>
          <w:t>25</w:t>
        </w:r>
        <w:r w:rsidR="00506A39">
          <w:rPr>
            <w:webHidden/>
          </w:rPr>
          <w:fldChar w:fldCharType="end"/>
        </w:r>
      </w:hyperlink>
    </w:p>
    <w:p w14:paraId="58DBDC18" w14:textId="3A223F9B" w:rsidR="00506A39" w:rsidRDefault="008F6FA6">
      <w:pPr>
        <w:pStyle w:val="TOC1"/>
        <w:tabs>
          <w:tab w:val="left" w:pos="482"/>
        </w:tabs>
        <w:rPr>
          <w:rFonts w:asciiTheme="minorHAnsi" w:eastAsiaTheme="minorEastAsia" w:hAnsiTheme="minorHAnsi" w:cstheme="minorBidi"/>
          <w:b w:val="0"/>
          <w:color w:val="auto"/>
        </w:rPr>
      </w:pPr>
      <w:hyperlink w:anchor="_Toc27138928" w:history="1">
        <w:r w:rsidR="00506A39" w:rsidRPr="00692BF9">
          <w:rPr>
            <w:rStyle w:val="Hyperlink"/>
          </w:rPr>
          <w:t>IV.</w:t>
        </w:r>
        <w:r w:rsidR="00506A39">
          <w:rPr>
            <w:rFonts w:asciiTheme="minorHAnsi" w:eastAsiaTheme="minorEastAsia" w:hAnsiTheme="minorHAnsi" w:cstheme="minorBidi"/>
            <w:b w:val="0"/>
            <w:color w:val="auto"/>
          </w:rPr>
          <w:tab/>
        </w:r>
        <w:r w:rsidR="00506A39" w:rsidRPr="00692BF9">
          <w:rPr>
            <w:rStyle w:val="Hyperlink"/>
          </w:rPr>
          <w:t>Az ICAAP, az ILAAP és a BMA vizsgálat folyamata</w:t>
        </w:r>
        <w:r w:rsidR="00506A39">
          <w:rPr>
            <w:webHidden/>
          </w:rPr>
          <w:tab/>
        </w:r>
        <w:r w:rsidR="00506A39">
          <w:rPr>
            <w:webHidden/>
          </w:rPr>
          <w:fldChar w:fldCharType="begin"/>
        </w:r>
        <w:r w:rsidR="00506A39">
          <w:rPr>
            <w:webHidden/>
          </w:rPr>
          <w:instrText xml:space="preserve"> PAGEREF _Toc27138928 \h </w:instrText>
        </w:r>
        <w:r w:rsidR="00506A39">
          <w:rPr>
            <w:webHidden/>
          </w:rPr>
        </w:r>
        <w:r w:rsidR="00506A39">
          <w:rPr>
            <w:webHidden/>
          </w:rPr>
          <w:fldChar w:fldCharType="separate"/>
        </w:r>
        <w:r w:rsidR="00506A39">
          <w:rPr>
            <w:webHidden/>
          </w:rPr>
          <w:t>26</w:t>
        </w:r>
        <w:r w:rsidR="00506A39">
          <w:rPr>
            <w:webHidden/>
          </w:rPr>
          <w:fldChar w:fldCharType="end"/>
        </w:r>
      </w:hyperlink>
    </w:p>
    <w:p w14:paraId="05976E5F" w14:textId="405880CE" w:rsidR="00506A39" w:rsidRDefault="008F6FA6">
      <w:pPr>
        <w:pStyle w:val="TOC2"/>
        <w:tabs>
          <w:tab w:val="left" w:pos="880"/>
        </w:tabs>
        <w:rPr>
          <w:rFonts w:asciiTheme="minorHAnsi" w:eastAsiaTheme="minorEastAsia" w:hAnsiTheme="minorHAnsi" w:cstheme="minorBidi"/>
          <w:color w:val="auto"/>
        </w:rPr>
      </w:pPr>
      <w:hyperlink w:anchor="_Toc27138929" w:history="1">
        <w:r w:rsidR="00506A39" w:rsidRPr="00692BF9">
          <w:rPr>
            <w:rStyle w:val="Hyperlink"/>
          </w:rPr>
          <w:t>IV.1</w:t>
        </w:r>
        <w:r w:rsidR="00506A39">
          <w:rPr>
            <w:rFonts w:asciiTheme="minorHAnsi" w:eastAsiaTheme="minorEastAsia" w:hAnsiTheme="minorHAnsi" w:cstheme="minorBidi"/>
            <w:color w:val="auto"/>
          </w:rPr>
          <w:tab/>
        </w:r>
        <w:r w:rsidR="00506A39" w:rsidRPr="00692BF9">
          <w:rPr>
            <w:rStyle w:val="Hyperlink"/>
          </w:rPr>
          <w:t>Az ICAAP, az ILAAP és a BMA vizsgálat előkészítése</w:t>
        </w:r>
        <w:r w:rsidR="00506A39">
          <w:rPr>
            <w:webHidden/>
          </w:rPr>
          <w:tab/>
        </w:r>
        <w:r w:rsidR="00506A39">
          <w:rPr>
            <w:webHidden/>
          </w:rPr>
          <w:fldChar w:fldCharType="begin"/>
        </w:r>
        <w:r w:rsidR="00506A39">
          <w:rPr>
            <w:webHidden/>
          </w:rPr>
          <w:instrText xml:space="preserve"> PAGEREF _Toc27138929 \h </w:instrText>
        </w:r>
        <w:r w:rsidR="00506A39">
          <w:rPr>
            <w:webHidden/>
          </w:rPr>
        </w:r>
        <w:r w:rsidR="00506A39">
          <w:rPr>
            <w:webHidden/>
          </w:rPr>
          <w:fldChar w:fldCharType="separate"/>
        </w:r>
        <w:r w:rsidR="00506A39">
          <w:rPr>
            <w:webHidden/>
          </w:rPr>
          <w:t>26</w:t>
        </w:r>
        <w:r w:rsidR="00506A39">
          <w:rPr>
            <w:webHidden/>
          </w:rPr>
          <w:fldChar w:fldCharType="end"/>
        </w:r>
      </w:hyperlink>
    </w:p>
    <w:p w14:paraId="1D71EA56" w14:textId="52E21BB1" w:rsidR="00506A39" w:rsidRDefault="008F6FA6">
      <w:pPr>
        <w:pStyle w:val="TOC2"/>
        <w:tabs>
          <w:tab w:val="left" w:pos="880"/>
        </w:tabs>
        <w:rPr>
          <w:rFonts w:asciiTheme="minorHAnsi" w:eastAsiaTheme="minorEastAsia" w:hAnsiTheme="minorHAnsi" w:cstheme="minorBidi"/>
          <w:color w:val="auto"/>
        </w:rPr>
      </w:pPr>
      <w:hyperlink w:anchor="_Toc27138930" w:history="1">
        <w:r w:rsidR="00506A39" w:rsidRPr="00692BF9">
          <w:rPr>
            <w:rStyle w:val="Hyperlink"/>
          </w:rPr>
          <w:t>IV.2</w:t>
        </w:r>
        <w:r w:rsidR="00506A39">
          <w:rPr>
            <w:rFonts w:asciiTheme="minorHAnsi" w:eastAsiaTheme="minorEastAsia" w:hAnsiTheme="minorHAnsi" w:cstheme="minorBidi"/>
            <w:color w:val="auto"/>
          </w:rPr>
          <w:tab/>
        </w:r>
        <w:r w:rsidR="00506A39" w:rsidRPr="00692BF9">
          <w:rPr>
            <w:rStyle w:val="Hyperlink"/>
          </w:rPr>
          <w:t>Az ICAAP, az ILAAP és a BMA vizsgálatok dokumentációjának bekérése</w:t>
        </w:r>
        <w:r w:rsidR="00506A39">
          <w:rPr>
            <w:webHidden/>
          </w:rPr>
          <w:tab/>
        </w:r>
        <w:r w:rsidR="00506A39">
          <w:rPr>
            <w:webHidden/>
          </w:rPr>
          <w:fldChar w:fldCharType="begin"/>
        </w:r>
        <w:r w:rsidR="00506A39">
          <w:rPr>
            <w:webHidden/>
          </w:rPr>
          <w:instrText xml:space="preserve"> PAGEREF _Toc27138930 \h </w:instrText>
        </w:r>
        <w:r w:rsidR="00506A39">
          <w:rPr>
            <w:webHidden/>
          </w:rPr>
        </w:r>
        <w:r w:rsidR="00506A39">
          <w:rPr>
            <w:webHidden/>
          </w:rPr>
          <w:fldChar w:fldCharType="separate"/>
        </w:r>
        <w:r w:rsidR="00506A39">
          <w:rPr>
            <w:webHidden/>
          </w:rPr>
          <w:t>26</w:t>
        </w:r>
        <w:r w:rsidR="00506A39">
          <w:rPr>
            <w:webHidden/>
          </w:rPr>
          <w:fldChar w:fldCharType="end"/>
        </w:r>
      </w:hyperlink>
    </w:p>
    <w:p w14:paraId="3637A515" w14:textId="78B9F6DE" w:rsidR="00506A39" w:rsidRDefault="008F6FA6">
      <w:pPr>
        <w:pStyle w:val="TOC2"/>
        <w:tabs>
          <w:tab w:val="left" w:pos="880"/>
        </w:tabs>
        <w:rPr>
          <w:rFonts w:asciiTheme="minorHAnsi" w:eastAsiaTheme="minorEastAsia" w:hAnsiTheme="minorHAnsi" w:cstheme="minorBidi"/>
          <w:color w:val="auto"/>
        </w:rPr>
      </w:pPr>
      <w:hyperlink w:anchor="_Toc27138931" w:history="1">
        <w:r w:rsidR="00506A39" w:rsidRPr="00692BF9">
          <w:rPr>
            <w:rStyle w:val="Hyperlink"/>
          </w:rPr>
          <w:t>IV.3</w:t>
        </w:r>
        <w:r w:rsidR="00506A39">
          <w:rPr>
            <w:rFonts w:asciiTheme="minorHAnsi" w:eastAsiaTheme="minorEastAsia" w:hAnsiTheme="minorHAnsi" w:cstheme="minorBidi"/>
            <w:color w:val="auto"/>
          </w:rPr>
          <w:tab/>
        </w:r>
        <w:r w:rsidR="00506A39" w:rsidRPr="00692BF9">
          <w:rPr>
            <w:rStyle w:val="Hyperlink"/>
          </w:rPr>
          <w:t>Az ICAAP, az ILAAP és a BMA vizsgálat felügyeleti értékelése</w:t>
        </w:r>
        <w:r w:rsidR="00506A39">
          <w:rPr>
            <w:webHidden/>
          </w:rPr>
          <w:tab/>
        </w:r>
        <w:r w:rsidR="00506A39">
          <w:rPr>
            <w:webHidden/>
          </w:rPr>
          <w:fldChar w:fldCharType="begin"/>
        </w:r>
        <w:r w:rsidR="00506A39">
          <w:rPr>
            <w:webHidden/>
          </w:rPr>
          <w:instrText xml:space="preserve"> PAGEREF _Toc27138931 \h </w:instrText>
        </w:r>
        <w:r w:rsidR="00506A39">
          <w:rPr>
            <w:webHidden/>
          </w:rPr>
        </w:r>
        <w:r w:rsidR="00506A39">
          <w:rPr>
            <w:webHidden/>
          </w:rPr>
          <w:fldChar w:fldCharType="separate"/>
        </w:r>
        <w:r w:rsidR="00506A39">
          <w:rPr>
            <w:webHidden/>
          </w:rPr>
          <w:t>27</w:t>
        </w:r>
        <w:r w:rsidR="00506A39">
          <w:rPr>
            <w:webHidden/>
          </w:rPr>
          <w:fldChar w:fldCharType="end"/>
        </w:r>
      </w:hyperlink>
    </w:p>
    <w:p w14:paraId="0FC4E72E" w14:textId="73B504FB" w:rsidR="00506A39" w:rsidRDefault="008F6FA6">
      <w:pPr>
        <w:pStyle w:val="TOC2"/>
        <w:tabs>
          <w:tab w:val="left" w:pos="880"/>
        </w:tabs>
        <w:rPr>
          <w:rFonts w:asciiTheme="minorHAnsi" w:eastAsiaTheme="minorEastAsia" w:hAnsiTheme="minorHAnsi" w:cstheme="minorBidi"/>
          <w:color w:val="auto"/>
        </w:rPr>
      </w:pPr>
      <w:hyperlink w:anchor="_Toc27138932" w:history="1">
        <w:r w:rsidR="00506A39" w:rsidRPr="00692BF9">
          <w:rPr>
            <w:rStyle w:val="Hyperlink"/>
          </w:rPr>
          <w:t>IV.4</w:t>
        </w:r>
        <w:r w:rsidR="00506A39">
          <w:rPr>
            <w:rFonts w:asciiTheme="minorHAnsi" w:eastAsiaTheme="minorEastAsia" w:hAnsiTheme="minorHAnsi" w:cstheme="minorBidi"/>
            <w:color w:val="auto"/>
          </w:rPr>
          <w:tab/>
        </w:r>
        <w:r w:rsidR="00506A39" w:rsidRPr="00692BF9">
          <w:rPr>
            <w:rStyle w:val="Hyperlink"/>
          </w:rPr>
          <w:t>A kockázatcsökkentő intézkedések és a gazdasági tőkeszükséglet, valamint a likviditási többlettartalék meghatározása</w:t>
        </w:r>
        <w:r w:rsidR="00506A39">
          <w:rPr>
            <w:webHidden/>
          </w:rPr>
          <w:tab/>
        </w:r>
        <w:r w:rsidR="00506A39">
          <w:rPr>
            <w:webHidden/>
          </w:rPr>
          <w:fldChar w:fldCharType="begin"/>
        </w:r>
        <w:r w:rsidR="00506A39">
          <w:rPr>
            <w:webHidden/>
          </w:rPr>
          <w:instrText xml:space="preserve"> PAGEREF _Toc27138932 \h </w:instrText>
        </w:r>
        <w:r w:rsidR="00506A39">
          <w:rPr>
            <w:webHidden/>
          </w:rPr>
        </w:r>
        <w:r w:rsidR="00506A39">
          <w:rPr>
            <w:webHidden/>
          </w:rPr>
          <w:fldChar w:fldCharType="separate"/>
        </w:r>
        <w:r w:rsidR="00506A39">
          <w:rPr>
            <w:webHidden/>
          </w:rPr>
          <w:t>28</w:t>
        </w:r>
        <w:r w:rsidR="00506A39">
          <w:rPr>
            <w:webHidden/>
          </w:rPr>
          <w:fldChar w:fldCharType="end"/>
        </w:r>
      </w:hyperlink>
    </w:p>
    <w:p w14:paraId="0FE58D4E" w14:textId="757F9BB6" w:rsidR="00506A39" w:rsidRDefault="008F6FA6">
      <w:pPr>
        <w:pStyle w:val="TOC2"/>
        <w:tabs>
          <w:tab w:val="left" w:pos="880"/>
        </w:tabs>
        <w:rPr>
          <w:rFonts w:asciiTheme="minorHAnsi" w:eastAsiaTheme="minorEastAsia" w:hAnsiTheme="minorHAnsi" w:cstheme="minorBidi"/>
          <w:color w:val="auto"/>
        </w:rPr>
      </w:pPr>
      <w:hyperlink w:anchor="_Toc27138933" w:history="1">
        <w:r w:rsidR="00506A39" w:rsidRPr="00692BF9">
          <w:rPr>
            <w:rStyle w:val="Hyperlink"/>
          </w:rPr>
          <w:t>IV.5</w:t>
        </w:r>
        <w:r w:rsidR="00506A39">
          <w:rPr>
            <w:rFonts w:asciiTheme="minorHAnsi" w:eastAsiaTheme="minorEastAsia" w:hAnsiTheme="minorHAnsi" w:cstheme="minorBidi"/>
            <w:color w:val="auto"/>
          </w:rPr>
          <w:tab/>
        </w:r>
        <w:r w:rsidR="00506A39" w:rsidRPr="00692BF9">
          <w:rPr>
            <w:rStyle w:val="Hyperlink"/>
          </w:rPr>
          <w:t>Közös kockázatértékelés és együttdöntési eljárás</w:t>
        </w:r>
        <w:r w:rsidR="00506A39">
          <w:rPr>
            <w:webHidden/>
          </w:rPr>
          <w:tab/>
        </w:r>
        <w:r w:rsidR="00506A39">
          <w:rPr>
            <w:webHidden/>
          </w:rPr>
          <w:fldChar w:fldCharType="begin"/>
        </w:r>
        <w:r w:rsidR="00506A39">
          <w:rPr>
            <w:webHidden/>
          </w:rPr>
          <w:instrText xml:space="preserve"> PAGEREF _Toc27138933 \h </w:instrText>
        </w:r>
        <w:r w:rsidR="00506A39">
          <w:rPr>
            <w:webHidden/>
          </w:rPr>
        </w:r>
        <w:r w:rsidR="00506A39">
          <w:rPr>
            <w:webHidden/>
          </w:rPr>
          <w:fldChar w:fldCharType="separate"/>
        </w:r>
        <w:r w:rsidR="00506A39">
          <w:rPr>
            <w:webHidden/>
          </w:rPr>
          <w:t>28</w:t>
        </w:r>
        <w:r w:rsidR="00506A39">
          <w:rPr>
            <w:webHidden/>
          </w:rPr>
          <w:fldChar w:fldCharType="end"/>
        </w:r>
      </w:hyperlink>
    </w:p>
    <w:p w14:paraId="746AA8A6" w14:textId="0CEF885D" w:rsidR="00506A39" w:rsidRDefault="008F6FA6">
      <w:pPr>
        <w:pStyle w:val="TOC2"/>
        <w:tabs>
          <w:tab w:val="left" w:pos="880"/>
        </w:tabs>
        <w:rPr>
          <w:rFonts w:asciiTheme="minorHAnsi" w:eastAsiaTheme="minorEastAsia" w:hAnsiTheme="minorHAnsi" w:cstheme="minorBidi"/>
          <w:color w:val="auto"/>
        </w:rPr>
      </w:pPr>
      <w:hyperlink w:anchor="_Toc27138934" w:history="1">
        <w:r w:rsidR="00506A39" w:rsidRPr="00692BF9">
          <w:rPr>
            <w:rStyle w:val="Hyperlink"/>
          </w:rPr>
          <w:t>IV.6</w:t>
        </w:r>
        <w:r w:rsidR="00506A39">
          <w:rPr>
            <w:rFonts w:asciiTheme="minorHAnsi" w:eastAsiaTheme="minorEastAsia" w:hAnsiTheme="minorHAnsi" w:cstheme="minorBidi"/>
            <w:color w:val="auto"/>
          </w:rPr>
          <w:tab/>
        </w:r>
        <w:r w:rsidR="00506A39" w:rsidRPr="00692BF9">
          <w:rPr>
            <w:rStyle w:val="Hyperlink"/>
          </w:rPr>
          <w:t>Az ICAAP, az ILAAP és a BMA vizsgálatok lezárása, felügyeleti intézkedések</w:t>
        </w:r>
        <w:r w:rsidR="00506A39">
          <w:rPr>
            <w:webHidden/>
          </w:rPr>
          <w:tab/>
        </w:r>
        <w:r w:rsidR="00506A39">
          <w:rPr>
            <w:webHidden/>
          </w:rPr>
          <w:fldChar w:fldCharType="begin"/>
        </w:r>
        <w:r w:rsidR="00506A39">
          <w:rPr>
            <w:webHidden/>
          </w:rPr>
          <w:instrText xml:space="preserve"> PAGEREF _Toc27138934 \h </w:instrText>
        </w:r>
        <w:r w:rsidR="00506A39">
          <w:rPr>
            <w:webHidden/>
          </w:rPr>
        </w:r>
        <w:r w:rsidR="00506A39">
          <w:rPr>
            <w:webHidden/>
          </w:rPr>
          <w:fldChar w:fldCharType="separate"/>
        </w:r>
        <w:r w:rsidR="00506A39">
          <w:rPr>
            <w:webHidden/>
          </w:rPr>
          <w:t>29</w:t>
        </w:r>
        <w:r w:rsidR="00506A39">
          <w:rPr>
            <w:webHidden/>
          </w:rPr>
          <w:fldChar w:fldCharType="end"/>
        </w:r>
      </w:hyperlink>
    </w:p>
    <w:p w14:paraId="3AD4D4CD" w14:textId="60C02BE1" w:rsidR="00506A39" w:rsidRDefault="008F6FA6">
      <w:pPr>
        <w:pStyle w:val="TOC3"/>
        <w:tabs>
          <w:tab w:val="left" w:pos="1320"/>
        </w:tabs>
        <w:rPr>
          <w:rFonts w:asciiTheme="minorHAnsi" w:eastAsiaTheme="minorEastAsia" w:hAnsiTheme="minorHAnsi" w:cstheme="minorBidi"/>
          <w:noProof/>
          <w:color w:val="auto"/>
        </w:rPr>
      </w:pPr>
      <w:hyperlink w:anchor="_Toc27138935" w:history="1">
        <w:r w:rsidR="00506A39" w:rsidRPr="00692BF9">
          <w:rPr>
            <w:rStyle w:val="Hyperlink"/>
            <w:noProof/>
          </w:rPr>
          <w:t>IV.6.1</w:t>
        </w:r>
        <w:r w:rsidR="00506A39">
          <w:rPr>
            <w:rFonts w:asciiTheme="minorHAnsi" w:eastAsiaTheme="minorEastAsia" w:hAnsiTheme="minorHAnsi" w:cstheme="minorBidi"/>
            <w:noProof/>
            <w:color w:val="auto"/>
          </w:rPr>
          <w:tab/>
        </w:r>
        <w:r w:rsidR="00506A39" w:rsidRPr="00692BF9">
          <w:rPr>
            <w:rStyle w:val="Hyperlink"/>
            <w:noProof/>
          </w:rPr>
          <w:t>A teljes felügyeleti felülvizsgálati folyamathoz (SREP) kapcsolódó intézkedések alkalmazásának esetkörei a hitelintézetekkel szemben</w:t>
        </w:r>
        <w:r w:rsidR="00506A39">
          <w:rPr>
            <w:noProof/>
            <w:webHidden/>
          </w:rPr>
          <w:tab/>
        </w:r>
        <w:r w:rsidR="00506A39">
          <w:rPr>
            <w:noProof/>
            <w:webHidden/>
          </w:rPr>
          <w:fldChar w:fldCharType="begin"/>
        </w:r>
        <w:r w:rsidR="00506A39">
          <w:rPr>
            <w:noProof/>
            <w:webHidden/>
          </w:rPr>
          <w:instrText xml:space="preserve"> PAGEREF _Toc27138935 \h </w:instrText>
        </w:r>
        <w:r w:rsidR="00506A39">
          <w:rPr>
            <w:noProof/>
            <w:webHidden/>
          </w:rPr>
        </w:r>
        <w:r w:rsidR="00506A39">
          <w:rPr>
            <w:noProof/>
            <w:webHidden/>
          </w:rPr>
          <w:fldChar w:fldCharType="separate"/>
        </w:r>
        <w:r w:rsidR="00506A39">
          <w:rPr>
            <w:noProof/>
            <w:webHidden/>
          </w:rPr>
          <w:t>31</w:t>
        </w:r>
        <w:r w:rsidR="00506A39">
          <w:rPr>
            <w:noProof/>
            <w:webHidden/>
          </w:rPr>
          <w:fldChar w:fldCharType="end"/>
        </w:r>
      </w:hyperlink>
    </w:p>
    <w:p w14:paraId="11F496EA" w14:textId="529E73A2" w:rsidR="00506A39" w:rsidRDefault="008F6FA6">
      <w:pPr>
        <w:pStyle w:val="TOC3"/>
        <w:tabs>
          <w:tab w:val="left" w:pos="1320"/>
        </w:tabs>
        <w:rPr>
          <w:rFonts w:asciiTheme="minorHAnsi" w:eastAsiaTheme="minorEastAsia" w:hAnsiTheme="minorHAnsi" w:cstheme="minorBidi"/>
          <w:noProof/>
          <w:color w:val="auto"/>
        </w:rPr>
      </w:pPr>
      <w:hyperlink w:anchor="_Toc27138936" w:history="1">
        <w:r w:rsidR="00506A39" w:rsidRPr="00692BF9">
          <w:rPr>
            <w:rStyle w:val="Hyperlink"/>
            <w:noProof/>
          </w:rPr>
          <w:t>IV.6.2</w:t>
        </w:r>
        <w:r w:rsidR="00506A39">
          <w:rPr>
            <w:rFonts w:asciiTheme="minorHAnsi" w:eastAsiaTheme="minorEastAsia" w:hAnsiTheme="minorHAnsi" w:cstheme="minorBidi"/>
            <w:noProof/>
            <w:color w:val="auto"/>
          </w:rPr>
          <w:tab/>
        </w:r>
        <w:r w:rsidR="00506A39" w:rsidRPr="00692BF9">
          <w:rPr>
            <w:rStyle w:val="Hyperlink"/>
            <w:noProof/>
          </w:rPr>
          <w:t>A teljes felügyeleti felülvizsgálati folyamathoz (SREP) kapcsolódó intézkedések alkalmazásának esetkörei a befektetési vállalkozásokkal szemben</w:t>
        </w:r>
        <w:r w:rsidR="00506A39">
          <w:rPr>
            <w:noProof/>
            <w:webHidden/>
          </w:rPr>
          <w:tab/>
        </w:r>
        <w:r w:rsidR="00506A39">
          <w:rPr>
            <w:noProof/>
            <w:webHidden/>
          </w:rPr>
          <w:fldChar w:fldCharType="begin"/>
        </w:r>
        <w:r w:rsidR="00506A39">
          <w:rPr>
            <w:noProof/>
            <w:webHidden/>
          </w:rPr>
          <w:instrText xml:space="preserve"> PAGEREF _Toc27138936 \h </w:instrText>
        </w:r>
        <w:r w:rsidR="00506A39">
          <w:rPr>
            <w:noProof/>
            <w:webHidden/>
          </w:rPr>
        </w:r>
        <w:r w:rsidR="00506A39">
          <w:rPr>
            <w:noProof/>
            <w:webHidden/>
          </w:rPr>
          <w:fldChar w:fldCharType="separate"/>
        </w:r>
        <w:r w:rsidR="00506A39">
          <w:rPr>
            <w:noProof/>
            <w:webHidden/>
          </w:rPr>
          <w:t>34</w:t>
        </w:r>
        <w:r w:rsidR="00506A39">
          <w:rPr>
            <w:noProof/>
            <w:webHidden/>
          </w:rPr>
          <w:fldChar w:fldCharType="end"/>
        </w:r>
      </w:hyperlink>
    </w:p>
    <w:p w14:paraId="6F4E4BB2" w14:textId="20152A16" w:rsidR="00506A39" w:rsidRDefault="008F6FA6">
      <w:pPr>
        <w:pStyle w:val="TOC2"/>
        <w:tabs>
          <w:tab w:val="left" w:pos="880"/>
        </w:tabs>
        <w:rPr>
          <w:rFonts w:asciiTheme="minorHAnsi" w:eastAsiaTheme="minorEastAsia" w:hAnsiTheme="minorHAnsi" w:cstheme="minorBidi"/>
          <w:color w:val="auto"/>
        </w:rPr>
      </w:pPr>
      <w:hyperlink w:anchor="_Toc27138937" w:history="1">
        <w:r w:rsidR="00506A39" w:rsidRPr="00692BF9">
          <w:rPr>
            <w:rStyle w:val="Hyperlink"/>
          </w:rPr>
          <w:t>IV.7</w:t>
        </w:r>
        <w:r w:rsidR="00506A39">
          <w:rPr>
            <w:rFonts w:asciiTheme="minorHAnsi" w:eastAsiaTheme="minorEastAsia" w:hAnsiTheme="minorHAnsi" w:cstheme="minorBidi"/>
            <w:color w:val="auto"/>
          </w:rPr>
          <w:tab/>
        </w:r>
        <w:r w:rsidR="00506A39" w:rsidRPr="00692BF9">
          <w:rPr>
            <w:rStyle w:val="Hyperlink"/>
          </w:rPr>
          <w:t>Éves értékelés a teljes SREP folyamat tapasztalatairól a intézmények részére</w:t>
        </w:r>
        <w:r w:rsidR="00506A39">
          <w:rPr>
            <w:webHidden/>
          </w:rPr>
          <w:tab/>
        </w:r>
        <w:r w:rsidR="00506A39">
          <w:rPr>
            <w:webHidden/>
          </w:rPr>
          <w:fldChar w:fldCharType="begin"/>
        </w:r>
        <w:r w:rsidR="00506A39">
          <w:rPr>
            <w:webHidden/>
          </w:rPr>
          <w:instrText xml:space="preserve"> PAGEREF _Toc27138937 \h </w:instrText>
        </w:r>
        <w:r w:rsidR="00506A39">
          <w:rPr>
            <w:webHidden/>
          </w:rPr>
        </w:r>
        <w:r w:rsidR="00506A39">
          <w:rPr>
            <w:webHidden/>
          </w:rPr>
          <w:fldChar w:fldCharType="separate"/>
        </w:r>
        <w:r w:rsidR="00506A39">
          <w:rPr>
            <w:webHidden/>
          </w:rPr>
          <w:t>36</w:t>
        </w:r>
        <w:r w:rsidR="00506A39">
          <w:rPr>
            <w:webHidden/>
          </w:rPr>
          <w:fldChar w:fldCharType="end"/>
        </w:r>
      </w:hyperlink>
    </w:p>
    <w:p w14:paraId="29BAF0D0" w14:textId="7B8FCEE7" w:rsidR="00506A39" w:rsidRDefault="008F6FA6">
      <w:pPr>
        <w:pStyle w:val="TOC1"/>
        <w:tabs>
          <w:tab w:val="left" w:pos="482"/>
        </w:tabs>
        <w:rPr>
          <w:rFonts w:asciiTheme="minorHAnsi" w:eastAsiaTheme="minorEastAsia" w:hAnsiTheme="minorHAnsi" w:cstheme="minorBidi"/>
          <w:b w:val="0"/>
          <w:color w:val="auto"/>
        </w:rPr>
      </w:pPr>
      <w:hyperlink w:anchor="_Toc27138938" w:history="1">
        <w:r w:rsidR="00506A39" w:rsidRPr="00692BF9">
          <w:rPr>
            <w:rStyle w:val="Hyperlink"/>
          </w:rPr>
          <w:t>V.</w:t>
        </w:r>
        <w:r w:rsidR="00506A39">
          <w:rPr>
            <w:rFonts w:asciiTheme="minorHAnsi" w:eastAsiaTheme="minorEastAsia" w:hAnsiTheme="minorHAnsi" w:cstheme="minorBidi"/>
            <w:b w:val="0"/>
            <w:color w:val="auto"/>
          </w:rPr>
          <w:tab/>
        </w:r>
        <w:r w:rsidR="00506A39" w:rsidRPr="00692BF9">
          <w:rPr>
            <w:rStyle w:val="Hyperlink"/>
          </w:rPr>
          <w:t>Az ICAAP összetevői és felügyeleti felülvizsgálata</w:t>
        </w:r>
        <w:r w:rsidR="00506A39">
          <w:rPr>
            <w:webHidden/>
          </w:rPr>
          <w:tab/>
        </w:r>
        <w:r w:rsidR="00506A39">
          <w:rPr>
            <w:webHidden/>
          </w:rPr>
          <w:fldChar w:fldCharType="begin"/>
        </w:r>
        <w:r w:rsidR="00506A39">
          <w:rPr>
            <w:webHidden/>
          </w:rPr>
          <w:instrText xml:space="preserve"> PAGEREF _Toc27138938 \h </w:instrText>
        </w:r>
        <w:r w:rsidR="00506A39">
          <w:rPr>
            <w:webHidden/>
          </w:rPr>
        </w:r>
        <w:r w:rsidR="00506A39">
          <w:rPr>
            <w:webHidden/>
          </w:rPr>
          <w:fldChar w:fldCharType="separate"/>
        </w:r>
        <w:r w:rsidR="00506A39">
          <w:rPr>
            <w:webHidden/>
          </w:rPr>
          <w:t>37</w:t>
        </w:r>
        <w:r w:rsidR="00506A39">
          <w:rPr>
            <w:webHidden/>
          </w:rPr>
          <w:fldChar w:fldCharType="end"/>
        </w:r>
      </w:hyperlink>
    </w:p>
    <w:p w14:paraId="03B52CDD" w14:textId="6BFC1003" w:rsidR="00506A39" w:rsidRDefault="008F6FA6">
      <w:pPr>
        <w:pStyle w:val="TOC2"/>
        <w:tabs>
          <w:tab w:val="left" w:pos="880"/>
        </w:tabs>
        <w:rPr>
          <w:rFonts w:asciiTheme="minorHAnsi" w:eastAsiaTheme="minorEastAsia" w:hAnsiTheme="minorHAnsi" w:cstheme="minorBidi"/>
          <w:color w:val="auto"/>
        </w:rPr>
      </w:pPr>
      <w:hyperlink w:anchor="_Toc27138939" w:history="1">
        <w:r w:rsidR="00506A39" w:rsidRPr="00692BF9">
          <w:rPr>
            <w:rStyle w:val="Hyperlink"/>
          </w:rPr>
          <w:t>V.1</w:t>
        </w:r>
        <w:r w:rsidR="00506A39">
          <w:rPr>
            <w:rFonts w:asciiTheme="minorHAnsi" w:eastAsiaTheme="minorEastAsia" w:hAnsiTheme="minorHAnsi" w:cstheme="minorBidi"/>
            <w:color w:val="auto"/>
          </w:rPr>
          <w:tab/>
        </w:r>
        <w:r w:rsidR="00506A39" w:rsidRPr="00692BF9">
          <w:rPr>
            <w:rStyle w:val="Hyperlink"/>
          </w:rPr>
          <w:t>ICAAP irányítás és kontrollrendszerek – kockázatkezelés</w:t>
        </w:r>
        <w:r w:rsidR="00506A39">
          <w:rPr>
            <w:webHidden/>
          </w:rPr>
          <w:tab/>
        </w:r>
        <w:r w:rsidR="00506A39">
          <w:rPr>
            <w:webHidden/>
          </w:rPr>
          <w:fldChar w:fldCharType="begin"/>
        </w:r>
        <w:r w:rsidR="00506A39">
          <w:rPr>
            <w:webHidden/>
          </w:rPr>
          <w:instrText xml:space="preserve"> PAGEREF _Toc27138939 \h </w:instrText>
        </w:r>
        <w:r w:rsidR="00506A39">
          <w:rPr>
            <w:webHidden/>
          </w:rPr>
        </w:r>
        <w:r w:rsidR="00506A39">
          <w:rPr>
            <w:webHidden/>
          </w:rPr>
          <w:fldChar w:fldCharType="separate"/>
        </w:r>
        <w:r w:rsidR="00506A39">
          <w:rPr>
            <w:webHidden/>
          </w:rPr>
          <w:t>37</w:t>
        </w:r>
        <w:r w:rsidR="00506A39">
          <w:rPr>
            <w:webHidden/>
          </w:rPr>
          <w:fldChar w:fldCharType="end"/>
        </w:r>
      </w:hyperlink>
    </w:p>
    <w:p w14:paraId="5886D0D5" w14:textId="3BE2A74E" w:rsidR="00506A39" w:rsidRDefault="008F6FA6">
      <w:pPr>
        <w:pStyle w:val="TOC3"/>
        <w:tabs>
          <w:tab w:val="left" w:pos="1320"/>
        </w:tabs>
        <w:rPr>
          <w:rFonts w:asciiTheme="minorHAnsi" w:eastAsiaTheme="minorEastAsia" w:hAnsiTheme="minorHAnsi" w:cstheme="minorBidi"/>
          <w:noProof/>
          <w:color w:val="auto"/>
        </w:rPr>
      </w:pPr>
      <w:hyperlink w:anchor="_Toc27138940" w:history="1">
        <w:r w:rsidR="00506A39" w:rsidRPr="00692BF9">
          <w:rPr>
            <w:rStyle w:val="Hyperlink"/>
            <w:noProof/>
          </w:rPr>
          <w:t>V.1.1</w:t>
        </w:r>
        <w:r w:rsidR="00506A39">
          <w:rPr>
            <w:rFonts w:asciiTheme="minorHAnsi" w:eastAsiaTheme="minorEastAsia" w:hAnsiTheme="minorHAnsi" w:cstheme="minorBidi"/>
            <w:noProof/>
            <w:color w:val="auto"/>
          </w:rPr>
          <w:tab/>
        </w:r>
        <w:r w:rsidR="00506A39" w:rsidRPr="00692BF9">
          <w:rPr>
            <w:rStyle w:val="Hyperlink"/>
            <w:noProof/>
          </w:rPr>
          <w:t>ICAAP tudatosság</w:t>
        </w:r>
        <w:r w:rsidR="00506A39">
          <w:rPr>
            <w:noProof/>
            <w:webHidden/>
          </w:rPr>
          <w:tab/>
        </w:r>
        <w:r w:rsidR="00506A39">
          <w:rPr>
            <w:noProof/>
            <w:webHidden/>
          </w:rPr>
          <w:fldChar w:fldCharType="begin"/>
        </w:r>
        <w:r w:rsidR="00506A39">
          <w:rPr>
            <w:noProof/>
            <w:webHidden/>
          </w:rPr>
          <w:instrText xml:space="preserve"> PAGEREF _Toc27138940 \h </w:instrText>
        </w:r>
        <w:r w:rsidR="00506A39">
          <w:rPr>
            <w:noProof/>
            <w:webHidden/>
          </w:rPr>
        </w:r>
        <w:r w:rsidR="00506A39">
          <w:rPr>
            <w:noProof/>
            <w:webHidden/>
          </w:rPr>
          <w:fldChar w:fldCharType="separate"/>
        </w:r>
        <w:r w:rsidR="00506A39">
          <w:rPr>
            <w:noProof/>
            <w:webHidden/>
          </w:rPr>
          <w:t>37</w:t>
        </w:r>
        <w:r w:rsidR="00506A39">
          <w:rPr>
            <w:noProof/>
            <w:webHidden/>
          </w:rPr>
          <w:fldChar w:fldCharType="end"/>
        </w:r>
      </w:hyperlink>
    </w:p>
    <w:p w14:paraId="47065E36" w14:textId="0A7D73BD" w:rsidR="00506A39" w:rsidRDefault="008F6FA6">
      <w:pPr>
        <w:pStyle w:val="TOC3"/>
        <w:tabs>
          <w:tab w:val="left" w:pos="1320"/>
        </w:tabs>
        <w:rPr>
          <w:rFonts w:asciiTheme="minorHAnsi" w:eastAsiaTheme="minorEastAsia" w:hAnsiTheme="minorHAnsi" w:cstheme="minorBidi"/>
          <w:noProof/>
          <w:color w:val="auto"/>
        </w:rPr>
      </w:pPr>
      <w:hyperlink w:anchor="_Toc27138941" w:history="1">
        <w:r w:rsidR="00506A39" w:rsidRPr="00692BF9">
          <w:rPr>
            <w:rStyle w:val="Hyperlink"/>
            <w:noProof/>
          </w:rPr>
          <w:t>V.1.2</w:t>
        </w:r>
        <w:r w:rsidR="00506A39">
          <w:rPr>
            <w:rFonts w:asciiTheme="minorHAnsi" w:eastAsiaTheme="minorEastAsia" w:hAnsiTheme="minorHAnsi" w:cstheme="minorBidi"/>
            <w:noProof/>
            <w:color w:val="auto"/>
          </w:rPr>
          <w:tab/>
        </w:r>
        <w:r w:rsidR="00506A39" w:rsidRPr="00692BF9">
          <w:rPr>
            <w:rStyle w:val="Hyperlink"/>
            <w:noProof/>
          </w:rPr>
          <w:t>ICAAP szabályozottság, vállalatirányítás és belső ellenőrzés</w:t>
        </w:r>
        <w:r w:rsidR="00506A39">
          <w:rPr>
            <w:noProof/>
            <w:webHidden/>
          </w:rPr>
          <w:tab/>
        </w:r>
        <w:r w:rsidR="00506A39">
          <w:rPr>
            <w:noProof/>
            <w:webHidden/>
          </w:rPr>
          <w:fldChar w:fldCharType="begin"/>
        </w:r>
        <w:r w:rsidR="00506A39">
          <w:rPr>
            <w:noProof/>
            <w:webHidden/>
          </w:rPr>
          <w:instrText xml:space="preserve"> PAGEREF _Toc27138941 \h </w:instrText>
        </w:r>
        <w:r w:rsidR="00506A39">
          <w:rPr>
            <w:noProof/>
            <w:webHidden/>
          </w:rPr>
        </w:r>
        <w:r w:rsidR="00506A39">
          <w:rPr>
            <w:noProof/>
            <w:webHidden/>
          </w:rPr>
          <w:fldChar w:fldCharType="separate"/>
        </w:r>
        <w:r w:rsidR="00506A39">
          <w:rPr>
            <w:noProof/>
            <w:webHidden/>
          </w:rPr>
          <w:t>38</w:t>
        </w:r>
        <w:r w:rsidR="00506A39">
          <w:rPr>
            <w:noProof/>
            <w:webHidden/>
          </w:rPr>
          <w:fldChar w:fldCharType="end"/>
        </w:r>
      </w:hyperlink>
    </w:p>
    <w:p w14:paraId="5A59077F" w14:textId="38AAE4B9" w:rsidR="00506A39" w:rsidRDefault="008F6FA6">
      <w:pPr>
        <w:pStyle w:val="TOC3"/>
        <w:tabs>
          <w:tab w:val="left" w:pos="1320"/>
        </w:tabs>
        <w:rPr>
          <w:rFonts w:asciiTheme="minorHAnsi" w:eastAsiaTheme="minorEastAsia" w:hAnsiTheme="minorHAnsi" w:cstheme="minorBidi"/>
          <w:noProof/>
          <w:color w:val="auto"/>
        </w:rPr>
      </w:pPr>
      <w:hyperlink w:anchor="_Toc27138942" w:history="1">
        <w:r w:rsidR="00506A39" w:rsidRPr="00692BF9">
          <w:rPr>
            <w:rStyle w:val="Hyperlink"/>
            <w:noProof/>
          </w:rPr>
          <w:t>V.1.3</w:t>
        </w:r>
        <w:r w:rsidR="00506A39">
          <w:rPr>
            <w:rFonts w:asciiTheme="minorHAnsi" w:eastAsiaTheme="minorEastAsia" w:hAnsiTheme="minorHAnsi" w:cstheme="minorBidi"/>
            <w:noProof/>
            <w:color w:val="auto"/>
          </w:rPr>
          <w:tab/>
        </w:r>
        <w:r w:rsidR="00506A39" w:rsidRPr="00692BF9">
          <w:rPr>
            <w:rStyle w:val="Hyperlink"/>
            <w:noProof/>
          </w:rPr>
          <w:t>A tőkemegfelelés belső értékelési eljárására kialakított keretrendszer</w:t>
        </w:r>
        <w:r w:rsidR="00506A39">
          <w:rPr>
            <w:noProof/>
            <w:webHidden/>
          </w:rPr>
          <w:tab/>
        </w:r>
        <w:r w:rsidR="00506A39">
          <w:rPr>
            <w:noProof/>
            <w:webHidden/>
          </w:rPr>
          <w:fldChar w:fldCharType="begin"/>
        </w:r>
        <w:r w:rsidR="00506A39">
          <w:rPr>
            <w:noProof/>
            <w:webHidden/>
          </w:rPr>
          <w:instrText xml:space="preserve"> PAGEREF _Toc27138942 \h </w:instrText>
        </w:r>
        <w:r w:rsidR="00506A39">
          <w:rPr>
            <w:noProof/>
            <w:webHidden/>
          </w:rPr>
        </w:r>
        <w:r w:rsidR="00506A39">
          <w:rPr>
            <w:noProof/>
            <w:webHidden/>
          </w:rPr>
          <w:fldChar w:fldCharType="separate"/>
        </w:r>
        <w:r w:rsidR="00506A39">
          <w:rPr>
            <w:noProof/>
            <w:webHidden/>
          </w:rPr>
          <w:t>38</w:t>
        </w:r>
        <w:r w:rsidR="00506A39">
          <w:rPr>
            <w:noProof/>
            <w:webHidden/>
          </w:rPr>
          <w:fldChar w:fldCharType="end"/>
        </w:r>
      </w:hyperlink>
    </w:p>
    <w:p w14:paraId="248170B9" w14:textId="42CA3CCF" w:rsidR="00506A39" w:rsidRDefault="008F6FA6">
      <w:pPr>
        <w:pStyle w:val="TOC3"/>
        <w:tabs>
          <w:tab w:val="left" w:pos="1320"/>
        </w:tabs>
        <w:rPr>
          <w:rFonts w:asciiTheme="minorHAnsi" w:eastAsiaTheme="minorEastAsia" w:hAnsiTheme="minorHAnsi" w:cstheme="minorBidi"/>
          <w:noProof/>
          <w:color w:val="auto"/>
        </w:rPr>
      </w:pPr>
      <w:hyperlink w:anchor="_Toc27138943" w:history="1">
        <w:r w:rsidR="00506A39" w:rsidRPr="00692BF9">
          <w:rPr>
            <w:rStyle w:val="Hyperlink"/>
            <w:noProof/>
          </w:rPr>
          <w:t>V.1.4</w:t>
        </w:r>
        <w:r w:rsidR="00506A39">
          <w:rPr>
            <w:rFonts w:asciiTheme="minorHAnsi" w:eastAsiaTheme="minorEastAsia" w:hAnsiTheme="minorHAnsi" w:cstheme="minorBidi"/>
            <w:noProof/>
            <w:color w:val="auto"/>
          </w:rPr>
          <w:tab/>
        </w:r>
        <w:r w:rsidR="00506A39" w:rsidRPr="00692BF9">
          <w:rPr>
            <w:rStyle w:val="Hyperlink"/>
            <w:noProof/>
          </w:rPr>
          <w:t>Az ICAAP integráltsága</w:t>
        </w:r>
        <w:r w:rsidR="00506A39">
          <w:rPr>
            <w:noProof/>
            <w:webHidden/>
          </w:rPr>
          <w:tab/>
        </w:r>
        <w:r w:rsidR="00506A39">
          <w:rPr>
            <w:noProof/>
            <w:webHidden/>
          </w:rPr>
          <w:fldChar w:fldCharType="begin"/>
        </w:r>
        <w:r w:rsidR="00506A39">
          <w:rPr>
            <w:noProof/>
            <w:webHidden/>
          </w:rPr>
          <w:instrText xml:space="preserve"> PAGEREF _Toc27138943 \h </w:instrText>
        </w:r>
        <w:r w:rsidR="00506A39">
          <w:rPr>
            <w:noProof/>
            <w:webHidden/>
          </w:rPr>
        </w:r>
        <w:r w:rsidR="00506A39">
          <w:rPr>
            <w:noProof/>
            <w:webHidden/>
          </w:rPr>
          <w:fldChar w:fldCharType="separate"/>
        </w:r>
        <w:r w:rsidR="00506A39">
          <w:rPr>
            <w:noProof/>
            <w:webHidden/>
          </w:rPr>
          <w:t>39</w:t>
        </w:r>
        <w:r w:rsidR="00506A39">
          <w:rPr>
            <w:noProof/>
            <w:webHidden/>
          </w:rPr>
          <w:fldChar w:fldCharType="end"/>
        </w:r>
      </w:hyperlink>
    </w:p>
    <w:p w14:paraId="14CE3E07" w14:textId="008F2BE9" w:rsidR="00506A39" w:rsidRDefault="008F6FA6">
      <w:pPr>
        <w:pStyle w:val="TOC3"/>
        <w:tabs>
          <w:tab w:val="left" w:pos="1320"/>
        </w:tabs>
        <w:rPr>
          <w:rFonts w:asciiTheme="minorHAnsi" w:eastAsiaTheme="minorEastAsia" w:hAnsiTheme="minorHAnsi" w:cstheme="minorBidi"/>
          <w:noProof/>
          <w:color w:val="auto"/>
        </w:rPr>
      </w:pPr>
      <w:hyperlink w:anchor="_Toc27138944" w:history="1">
        <w:r w:rsidR="00506A39" w:rsidRPr="00692BF9">
          <w:rPr>
            <w:rStyle w:val="Hyperlink"/>
            <w:noProof/>
          </w:rPr>
          <w:t>V.1.5</w:t>
        </w:r>
        <w:r w:rsidR="00506A39">
          <w:rPr>
            <w:rFonts w:asciiTheme="minorHAnsi" w:eastAsiaTheme="minorEastAsia" w:hAnsiTheme="minorHAnsi" w:cstheme="minorBidi"/>
            <w:noProof/>
            <w:color w:val="auto"/>
          </w:rPr>
          <w:tab/>
        </w:r>
        <w:r w:rsidR="00506A39" w:rsidRPr="00692BF9">
          <w:rPr>
            <w:rStyle w:val="Hyperlink"/>
            <w:noProof/>
          </w:rPr>
          <w:t>Kockázati stratégia</w:t>
        </w:r>
        <w:r w:rsidR="00506A39">
          <w:rPr>
            <w:noProof/>
            <w:webHidden/>
          </w:rPr>
          <w:tab/>
        </w:r>
        <w:r w:rsidR="00506A39">
          <w:rPr>
            <w:noProof/>
            <w:webHidden/>
          </w:rPr>
          <w:fldChar w:fldCharType="begin"/>
        </w:r>
        <w:r w:rsidR="00506A39">
          <w:rPr>
            <w:noProof/>
            <w:webHidden/>
          </w:rPr>
          <w:instrText xml:space="preserve"> PAGEREF _Toc27138944 \h </w:instrText>
        </w:r>
        <w:r w:rsidR="00506A39">
          <w:rPr>
            <w:noProof/>
            <w:webHidden/>
          </w:rPr>
        </w:r>
        <w:r w:rsidR="00506A39">
          <w:rPr>
            <w:noProof/>
            <w:webHidden/>
          </w:rPr>
          <w:fldChar w:fldCharType="separate"/>
        </w:r>
        <w:r w:rsidR="00506A39">
          <w:rPr>
            <w:noProof/>
            <w:webHidden/>
          </w:rPr>
          <w:t>40</w:t>
        </w:r>
        <w:r w:rsidR="00506A39">
          <w:rPr>
            <w:noProof/>
            <w:webHidden/>
          </w:rPr>
          <w:fldChar w:fldCharType="end"/>
        </w:r>
      </w:hyperlink>
    </w:p>
    <w:p w14:paraId="472E5DB2" w14:textId="46E809B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45" w:history="1">
        <w:r w:rsidR="00506A39" w:rsidRPr="00692BF9">
          <w:rPr>
            <w:rStyle w:val="Hyperlink"/>
            <w:noProof/>
          </w:rPr>
          <w:t>V.1.5.1</w:t>
        </w:r>
        <w:r w:rsidR="00506A39">
          <w:rPr>
            <w:rFonts w:asciiTheme="minorHAnsi" w:eastAsiaTheme="minorEastAsia" w:hAnsiTheme="minorHAnsi" w:cstheme="minorBidi"/>
            <w:noProof/>
            <w:color w:val="auto"/>
          </w:rPr>
          <w:tab/>
        </w:r>
        <w:r w:rsidR="00506A39" w:rsidRPr="00692BF9">
          <w:rPr>
            <w:rStyle w:val="Hyperlink"/>
            <w:noProof/>
          </w:rPr>
          <w:t>Kockázatvállalási politika</w:t>
        </w:r>
        <w:r w:rsidR="00506A39">
          <w:rPr>
            <w:noProof/>
            <w:webHidden/>
          </w:rPr>
          <w:tab/>
        </w:r>
        <w:r w:rsidR="00506A39">
          <w:rPr>
            <w:noProof/>
            <w:webHidden/>
          </w:rPr>
          <w:fldChar w:fldCharType="begin"/>
        </w:r>
        <w:r w:rsidR="00506A39">
          <w:rPr>
            <w:noProof/>
            <w:webHidden/>
          </w:rPr>
          <w:instrText xml:space="preserve"> PAGEREF _Toc27138945 \h </w:instrText>
        </w:r>
        <w:r w:rsidR="00506A39">
          <w:rPr>
            <w:noProof/>
            <w:webHidden/>
          </w:rPr>
        </w:r>
        <w:r w:rsidR="00506A39">
          <w:rPr>
            <w:noProof/>
            <w:webHidden/>
          </w:rPr>
          <w:fldChar w:fldCharType="separate"/>
        </w:r>
        <w:r w:rsidR="00506A39">
          <w:rPr>
            <w:noProof/>
            <w:webHidden/>
          </w:rPr>
          <w:t>40</w:t>
        </w:r>
        <w:r w:rsidR="00506A39">
          <w:rPr>
            <w:noProof/>
            <w:webHidden/>
          </w:rPr>
          <w:fldChar w:fldCharType="end"/>
        </w:r>
      </w:hyperlink>
    </w:p>
    <w:p w14:paraId="58CD569F" w14:textId="015EC446"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46" w:history="1">
        <w:r w:rsidR="00506A39" w:rsidRPr="00692BF9">
          <w:rPr>
            <w:rStyle w:val="Hyperlink"/>
            <w:noProof/>
          </w:rPr>
          <w:t>V.1.5.2</w:t>
        </w:r>
        <w:r w:rsidR="00506A39">
          <w:rPr>
            <w:rFonts w:asciiTheme="minorHAnsi" w:eastAsiaTheme="minorEastAsia" w:hAnsiTheme="minorHAnsi" w:cstheme="minorBidi"/>
            <w:noProof/>
            <w:color w:val="auto"/>
          </w:rPr>
          <w:tab/>
        </w:r>
        <w:r w:rsidR="00506A39" w:rsidRPr="00692BF9">
          <w:rPr>
            <w:rStyle w:val="Hyperlink"/>
            <w:noProof/>
          </w:rPr>
          <w:t>Kockázati étvágy, kockázatvállalási hajlandóság megfogalmazása</w:t>
        </w:r>
        <w:r w:rsidR="00506A39">
          <w:rPr>
            <w:noProof/>
            <w:webHidden/>
          </w:rPr>
          <w:tab/>
        </w:r>
        <w:r w:rsidR="00506A39">
          <w:rPr>
            <w:noProof/>
            <w:webHidden/>
          </w:rPr>
          <w:fldChar w:fldCharType="begin"/>
        </w:r>
        <w:r w:rsidR="00506A39">
          <w:rPr>
            <w:noProof/>
            <w:webHidden/>
          </w:rPr>
          <w:instrText xml:space="preserve"> PAGEREF _Toc27138946 \h </w:instrText>
        </w:r>
        <w:r w:rsidR="00506A39">
          <w:rPr>
            <w:noProof/>
            <w:webHidden/>
          </w:rPr>
        </w:r>
        <w:r w:rsidR="00506A39">
          <w:rPr>
            <w:noProof/>
            <w:webHidden/>
          </w:rPr>
          <w:fldChar w:fldCharType="separate"/>
        </w:r>
        <w:r w:rsidR="00506A39">
          <w:rPr>
            <w:noProof/>
            <w:webHidden/>
          </w:rPr>
          <w:t>41</w:t>
        </w:r>
        <w:r w:rsidR="00506A39">
          <w:rPr>
            <w:noProof/>
            <w:webHidden/>
          </w:rPr>
          <w:fldChar w:fldCharType="end"/>
        </w:r>
      </w:hyperlink>
    </w:p>
    <w:p w14:paraId="5880ED3F" w14:textId="26A78EAF"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47" w:history="1">
        <w:r w:rsidR="00506A39" w:rsidRPr="00692BF9">
          <w:rPr>
            <w:rStyle w:val="Hyperlink"/>
            <w:noProof/>
          </w:rPr>
          <w:t>V.1.5.3</w:t>
        </w:r>
        <w:r w:rsidR="00506A39">
          <w:rPr>
            <w:rFonts w:asciiTheme="minorHAnsi" w:eastAsiaTheme="minorEastAsia" w:hAnsiTheme="minorHAnsi" w:cstheme="minorBidi"/>
            <w:noProof/>
            <w:color w:val="auto"/>
          </w:rPr>
          <w:tab/>
        </w:r>
        <w:r w:rsidR="00506A39" w:rsidRPr="00692BF9">
          <w:rPr>
            <w:rStyle w:val="Hyperlink"/>
            <w:noProof/>
          </w:rPr>
          <w:t>Elérni kívánt kockázati szerkezet</w:t>
        </w:r>
        <w:r w:rsidR="00506A39">
          <w:rPr>
            <w:noProof/>
            <w:webHidden/>
          </w:rPr>
          <w:tab/>
        </w:r>
        <w:r w:rsidR="00506A39">
          <w:rPr>
            <w:noProof/>
            <w:webHidden/>
          </w:rPr>
          <w:fldChar w:fldCharType="begin"/>
        </w:r>
        <w:r w:rsidR="00506A39">
          <w:rPr>
            <w:noProof/>
            <w:webHidden/>
          </w:rPr>
          <w:instrText xml:space="preserve"> PAGEREF _Toc27138947 \h </w:instrText>
        </w:r>
        <w:r w:rsidR="00506A39">
          <w:rPr>
            <w:noProof/>
            <w:webHidden/>
          </w:rPr>
        </w:r>
        <w:r w:rsidR="00506A39">
          <w:rPr>
            <w:noProof/>
            <w:webHidden/>
          </w:rPr>
          <w:fldChar w:fldCharType="separate"/>
        </w:r>
        <w:r w:rsidR="00506A39">
          <w:rPr>
            <w:noProof/>
            <w:webHidden/>
          </w:rPr>
          <w:t>42</w:t>
        </w:r>
        <w:r w:rsidR="00506A39">
          <w:rPr>
            <w:noProof/>
            <w:webHidden/>
          </w:rPr>
          <w:fldChar w:fldCharType="end"/>
        </w:r>
      </w:hyperlink>
    </w:p>
    <w:p w14:paraId="651A81C5" w14:textId="4358B6B2"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48" w:history="1">
        <w:r w:rsidR="00506A39" w:rsidRPr="00692BF9">
          <w:rPr>
            <w:rStyle w:val="Hyperlink"/>
            <w:noProof/>
          </w:rPr>
          <w:t>V.1.5.4</w:t>
        </w:r>
        <w:r w:rsidR="00506A39">
          <w:rPr>
            <w:rFonts w:asciiTheme="minorHAnsi" w:eastAsiaTheme="minorEastAsia" w:hAnsiTheme="minorHAnsi" w:cstheme="minorBidi"/>
            <w:noProof/>
            <w:color w:val="auto"/>
          </w:rPr>
          <w:tab/>
        </w:r>
        <w:r w:rsidR="00506A39" w:rsidRPr="00692BF9">
          <w:rPr>
            <w:rStyle w:val="Hyperlink"/>
            <w:noProof/>
          </w:rPr>
          <w:t>Kockázatkezelési folyamat lépései</w:t>
        </w:r>
        <w:r w:rsidR="00506A39">
          <w:rPr>
            <w:noProof/>
            <w:webHidden/>
          </w:rPr>
          <w:tab/>
        </w:r>
        <w:r w:rsidR="00506A39">
          <w:rPr>
            <w:noProof/>
            <w:webHidden/>
          </w:rPr>
          <w:fldChar w:fldCharType="begin"/>
        </w:r>
        <w:r w:rsidR="00506A39">
          <w:rPr>
            <w:noProof/>
            <w:webHidden/>
          </w:rPr>
          <w:instrText xml:space="preserve"> PAGEREF _Toc27138948 \h </w:instrText>
        </w:r>
        <w:r w:rsidR="00506A39">
          <w:rPr>
            <w:noProof/>
            <w:webHidden/>
          </w:rPr>
        </w:r>
        <w:r w:rsidR="00506A39">
          <w:rPr>
            <w:noProof/>
            <w:webHidden/>
          </w:rPr>
          <w:fldChar w:fldCharType="separate"/>
        </w:r>
        <w:r w:rsidR="00506A39">
          <w:rPr>
            <w:noProof/>
            <w:webHidden/>
          </w:rPr>
          <w:t>42</w:t>
        </w:r>
        <w:r w:rsidR="00506A39">
          <w:rPr>
            <w:noProof/>
            <w:webHidden/>
          </w:rPr>
          <w:fldChar w:fldCharType="end"/>
        </w:r>
      </w:hyperlink>
    </w:p>
    <w:p w14:paraId="44F15462" w14:textId="7DBF9D84" w:rsidR="00506A39" w:rsidRDefault="008F6FA6">
      <w:pPr>
        <w:pStyle w:val="TOC2"/>
        <w:tabs>
          <w:tab w:val="left" w:pos="880"/>
        </w:tabs>
        <w:rPr>
          <w:rFonts w:asciiTheme="minorHAnsi" w:eastAsiaTheme="minorEastAsia" w:hAnsiTheme="minorHAnsi" w:cstheme="minorBidi"/>
          <w:color w:val="auto"/>
        </w:rPr>
      </w:pPr>
      <w:hyperlink w:anchor="_Toc27138949" w:history="1">
        <w:r w:rsidR="00506A39" w:rsidRPr="00692BF9">
          <w:rPr>
            <w:rStyle w:val="Hyperlink"/>
          </w:rPr>
          <w:t>V.2</w:t>
        </w:r>
        <w:r w:rsidR="00506A39">
          <w:rPr>
            <w:rFonts w:asciiTheme="minorHAnsi" w:eastAsiaTheme="minorEastAsia" w:hAnsiTheme="minorHAnsi" w:cstheme="minorBidi"/>
            <w:color w:val="auto"/>
          </w:rPr>
          <w:tab/>
        </w:r>
        <w:r w:rsidR="00506A39" w:rsidRPr="00692BF9">
          <w:rPr>
            <w:rStyle w:val="Hyperlink"/>
          </w:rPr>
          <w:t>Lényeges kockázatok értékelése</w:t>
        </w:r>
        <w:r w:rsidR="00506A39">
          <w:rPr>
            <w:webHidden/>
          </w:rPr>
          <w:tab/>
        </w:r>
        <w:r w:rsidR="00506A39">
          <w:rPr>
            <w:webHidden/>
          </w:rPr>
          <w:fldChar w:fldCharType="begin"/>
        </w:r>
        <w:r w:rsidR="00506A39">
          <w:rPr>
            <w:webHidden/>
          </w:rPr>
          <w:instrText xml:space="preserve"> PAGEREF _Toc27138949 \h </w:instrText>
        </w:r>
        <w:r w:rsidR="00506A39">
          <w:rPr>
            <w:webHidden/>
          </w:rPr>
        </w:r>
        <w:r w:rsidR="00506A39">
          <w:rPr>
            <w:webHidden/>
          </w:rPr>
          <w:fldChar w:fldCharType="separate"/>
        </w:r>
        <w:r w:rsidR="00506A39">
          <w:rPr>
            <w:webHidden/>
          </w:rPr>
          <w:t>44</w:t>
        </w:r>
        <w:r w:rsidR="00506A39">
          <w:rPr>
            <w:webHidden/>
          </w:rPr>
          <w:fldChar w:fldCharType="end"/>
        </w:r>
      </w:hyperlink>
    </w:p>
    <w:p w14:paraId="793F0A11" w14:textId="27F88970" w:rsidR="00506A39" w:rsidRDefault="008F6FA6">
      <w:pPr>
        <w:pStyle w:val="TOC3"/>
        <w:tabs>
          <w:tab w:val="left" w:pos="1320"/>
        </w:tabs>
        <w:rPr>
          <w:rFonts w:asciiTheme="minorHAnsi" w:eastAsiaTheme="minorEastAsia" w:hAnsiTheme="minorHAnsi" w:cstheme="minorBidi"/>
          <w:noProof/>
          <w:color w:val="auto"/>
        </w:rPr>
      </w:pPr>
      <w:hyperlink w:anchor="_Toc27138950" w:history="1">
        <w:r w:rsidR="00506A39" w:rsidRPr="00692BF9">
          <w:rPr>
            <w:rStyle w:val="Hyperlink"/>
            <w:noProof/>
          </w:rPr>
          <w:t>V.2.1</w:t>
        </w:r>
        <w:r w:rsidR="00506A39">
          <w:rPr>
            <w:rFonts w:asciiTheme="minorHAnsi" w:eastAsiaTheme="minorEastAsia" w:hAnsiTheme="minorHAnsi" w:cstheme="minorBidi"/>
            <w:noProof/>
            <w:color w:val="auto"/>
          </w:rPr>
          <w:tab/>
        </w:r>
        <w:r w:rsidR="00506A39" w:rsidRPr="00692BF9">
          <w:rPr>
            <w:rStyle w:val="Hyperlink"/>
            <w:noProof/>
          </w:rPr>
          <w:t>Hitelkockázat</w:t>
        </w:r>
        <w:r w:rsidR="00506A39">
          <w:rPr>
            <w:noProof/>
            <w:webHidden/>
          </w:rPr>
          <w:tab/>
        </w:r>
        <w:r w:rsidR="00506A39">
          <w:rPr>
            <w:noProof/>
            <w:webHidden/>
          </w:rPr>
          <w:fldChar w:fldCharType="begin"/>
        </w:r>
        <w:r w:rsidR="00506A39">
          <w:rPr>
            <w:noProof/>
            <w:webHidden/>
          </w:rPr>
          <w:instrText xml:space="preserve"> PAGEREF _Toc27138950 \h </w:instrText>
        </w:r>
        <w:r w:rsidR="00506A39">
          <w:rPr>
            <w:noProof/>
            <w:webHidden/>
          </w:rPr>
        </w:r>
        <w:r w:rsidR="00506A39">
          <w:rPr>
            <w:noProof/>
            <w:webHidden/>
          </w:rPr>
          <w:fldChar w:fldCharType="separate"/>
        </w:r>
        <w:r w:rsidR="00506A39">
          <w:rPr>
            <w:noProof/>
            <w:webHidden/>
          </w:rPr>
          <w:t>44</w:t>
        </w:r>
        <w:r w:rsidR="00506A39">
          <w:rPr>
            <w:noProof/>
            <w:webHidden/>
          </w:rPr>
          <w:fldChar w:fldCharType="end"/>
        </w:r>
      </w:hyperlink>
    </w:p>
    <w:p w14:paraId="02721F8C" w14:textId="6D038836"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1" w:history="1">
        <w:r w:rsidR="00506A39" w:rsidRPr="00692BF9">
          <w:rPr>
            <w:rStyle w:val="Hyperlink"/>
            <w:noProof/>
          </w:rPr>
          <w:t>V.2.1.1</w:t>
        </w:r>
        <w:r w:rsidR="00506A39">
          <w:rPr>
            <w:rFonts w:asciiTheme="minorHAnsi" w:eastAsiaTheme="minorEastAsia" w:hAnsiTheme="minorHAnsi" w:cstheme="minorBidi"/>
            <w:noProof/>
            <w:color w:val="auto"/>
          </w:rPr>
          <w:tab/>
        </w:r>
        <w:r w:rsidR="00506A39" w:rsidRPr="00692BF9">
          <w:rPr>
            <w:rStyle w:val="Hyperlink"/>
            <w:noProof/>
          </w:rPr>
          <w:t>A hitelkockázati modell feltevései</w:t>
        </w:r>
        <w:r w:rsidR="00506A39">
          <w:rPr>
            <w:noProof/>
            <w:webHidden/>
          </w:rPr>
          <w:tab/>
        </w:r>
        <w:r w:rsidR="00506A39">
          <w:rPr>
            <w:noProof/>
            <w:webHidden/>
          </w:rPr>
          <w:fldChar w:fldCharType="begin"/>
        </w:r>
        <w:r w:rsidR="00506A39">
          <w:rPr>
            <w:noProof/>
            <w:webHidden/>
          </w:rPr>
          <w:instrText xml:space="preserve"> PAGEREF _Toc27138951 \h </w:instrText>
        </w:r>
        <w:r w:rsidR="00506A39">
          <w:rPr>
            <w:noProof/>
            <w:webHidden/>
          </w:rPr>
        </w:r>
        <w:r w:rsidR="00506A39">
          <w:rPr>
            <w:noProof/>
            <w:webHidden/>
          </w:rPr>
          <w:fldChar w:fldCharType="separate"/>
        </w:r>
        <w:r w:rsidR="00506A39">
          <w:rPr>
            <w:noProof/>
            <w:webHidden/>
          </w:rPr>
          <w:t>47</w:t>
        </w:r>
        <w:r w:rsidR="00506A39">
          <w:rPr>
            <w:noProof/>
            <w:webHidden/>
          </w:rPr>
          <w:fldChar w:fldCharType="end"/>
        </w:r>
      </w:hyperlink>
    </w:p>
    <w:p w14:paraId="6F30EA97" w14:textId="3A3D3D5A"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2" w:history="1">
        <w:r w:rsidR="00506A39" w:rsidRPr="00692BF9">
          <w:rPr>
            <w:rStyle w:val="Hyperlink"/>
            <w:noProof/>
          </w:rPr>
          <w:t>V.2.1.2</w:t>
        </w:r>
        <w:r w:rsidR="00506A39">
          <w:rPr>
            <w:rFonts w:asciiTheme="minorHAnsi" w:eastAsiaTheme="minorEastAsia" w:hAnsiTheme="minorHAnsi" w:cstheme="minorBidi"/>
            <w:noProof/>
            <w:color w:val="auto"/>
          </w:rPr>
          <w:tab/>
        </w:r>
        <w:r w:rsidR="00506A39" w:rsidRPr="00692BF9">
          <w:rPr>
            <w:rStyle w:val="Hyperlink"/>
            <w:noProof/>
          </w:rPr>
          <w:t>Modellekkel és minősítő rendszerekkel kapcsolatos alapvető elvárások</w:t>
        </w:r>
        <w:r w:rsidR="00506A39">
          <w:rPr>
            <w:noProof/>
            <w:webHidden/>
          </w:rPr>
          <w:tab/>
        </w:r>
        <w:r w:rsidR="00506A39">
          <w:rPr>
            <w:noProof/>
            <w:webHidden/>
          </w:rPr>
          <w:fldChar w:fldCharType="begin"/>
        </w:r>
        <w:r w:rsidR="00506A39">
          <w:rPr>
            <w:noProof/>
            <w:webHidden/>
          </w:rPr>
          <w:instrText xml:space="preserve"> PAGEREF _Toc27138952 \h </w:instrText>
        </w:r>
        <w:r w:rsidR="00506A39">
          <w:rPr>
            <w:noProof/>
            <w:webHidden/>
          </w:rPr>
        </w:r>
        <w:r w:rsidR="00506A39">
          <w:rPr>
            <w:noProof/>
            <w:webHidden/>
          </w:rPr>
          <w:fldChar w:fldCharType="separate"/>
        </w:r>
        <w:r w:rsidR="00506A39">
          <w:rPr>
            <w:noProof/>
            <w:webHidden/>
          </w:rPr>
          <w:t>48</w:t>
        </w:r>
        <w:r w:rsidR="00506A39">
          <w:rPr>
            <w:noProof/>
            <w:webHidden/>
          </w:rPr>
          <w:fldChar w:fldCharType="end"/>
        </w:r>
      </w:hyperlink>
    </w:p>
    <w:p w14:paraId="42A48D8E" w14:textId="4C3EC2DA"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3" w:history="1">
        <w:r w:rsidR="00506A39" w:rsidRPr="00692BF9">
          <w:rPr>
            <w:rStyle w:val="Hyperlink"/>
            <w:noProof/>
          </w:rPr>
          <w:t>V.2.1.3</w:t>
        </w:r>
        <w:r w:rsidR="00506A39">
          <w:rPr>
            <w:rFonts w:asciiTheme="minorHAnsi" w:eastAsiaTheme="minorEastAsia" w:hAnsiTheme="minorHAnsi" w:cstheme="minorBidi"/>
            <w:noProof/>
            <w:color w:val="auto"/>
          </w:rPr>
          <w:tab/>
        </w:r>
        <w:r w:rsidR="00506A39" w:rsidRPr="00692BF9">
          <w:rPr>
            <w:rStyle w:val="Hyperlink"/>
            <w:noProof/>
          </w:rPr>
          <w:t>Rating modellek</w:t>
        </w:r>
        <w:r w:rsidR="00506A39">
          <w:rPr>
            <w:noProof/>
            <w:webHidden/>
          </w:rPr>
          <w:tab/>
        </w:r>
        <w:r w:rsidR="00506A39">
          <w:rPr>
            <w:noProof/>
            <w:webHidden/>
          </w:rPr>
          <w:fldChar w:fldCharType="begin"/>
        </w:r>
        <w:r w:rsidR="00506A39">
          <w:rPr>
            <w:noProof/>
            <w:webHidden/>
          </w:rPr>
          <w:instrText xml:space="preserve"> PAGEREF _Toc27138953 \h </w:instrText>
        </w:r>
        <w:r w:rsidR="00506A39">
          <w:rPr>
            <w:noProof/>
            <w:webHidden/>
          </w:rPr>
        </w:r>
        <w:r w:rsidR="00506A39">
          <w:rPr>
            <w:noProof/>
            <w:webHidden/>
          </w:rPr>
          <w:fldChar w:fldCharType="separate"/>
        </w:r>
        <w:r w:rsidR="00506A39">
          <w:rPr>
            <w:noProof/>
            <w:webHidden/>
          </w:rPr>
          <w:t>49</w:t>
        </w:r>
        <w:r w:rsidR="00506A39">
          <w:rPr>
            <w:noProof/>
            <w:webHidden/>
          </w:rPr>
          <w:fldChar w:fldCharType="end"/>
        </w:r>
      </w:hyperlink>
    </w:p>
    <w:p w14:paraId="3DD76451" w14:textId="2C37B50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4" w:history="1">
        <w:r w:rsidR="00506A39" w:rsidRPr="00692BF9">
          <w:rPr>
            <w:rStyle w:val="Hyperlink"/>
            <w:noProof/>
          </w:rPr>
          <w:t>V.2.1.4</w:t>
        </w:r>
        <w:r w:rsidR="00506A39">
          <w:rPr>
            <w:rFonts w:asciiTheme="minorHAnsi" w:eastAsiaTheme="minorEastAsia" w:hAnsiTheme="minorHAnsi" w:cstheme="minorBidi"/>
            <w:noProof/>
            <w:color w:val="auto"/>
          </w:rPr>
          <w:tab/>
        </w:r>
        <w:r w:rsidR="00506A39" w:rsidRPr="00692BF9">
          <w:rPr>
            <w:rStyle w:val="Hyperlink"/>
            <w:noProof/>
          </w:rPr>
          <w:t>Nemteljesítési valószínűség becslése</w:t>
        </w:r>
        <w:r w:rsidR="00506A39">
          <w:rPr>
            <w:noProof/>
            <w:webHidden/>
          </w:rPr>
          <w:tab/>
        </w:r>
        <w:r w:rsidR="00506A39">
          <w:rPr>
            <w:noProof/>
            <w:webHidden/>
          </w:rPr>
          <w:fldChar w:fldCharType="begin"/>
        </w:r>
        <w:r w:rsidR="00506A39">
          <w:rPr>
            <w:noProof/>
            <w:webHidden/>
          </w:rPr>
          <w:instrText xml:space="preserve"> PAGEREF _Toc27138954 \h </w:instrText>
        </w:r>
        <w:r w:rsidR="00506A39">
          <w:rPr>
            <w:noProof/>
            <w:webHidden/>
          </w:rPr>
        </w:r>
        <w:r w:rsidR="00506A39">
          <w:rPr>
            <w:noProof/>
            <w:webHidden/>
          </w:rPr>
          <w:fldChar w:fldCharType="separate"/>
        </w:r>
        <w:r w:rsidR="00506A39">
          <w:rPr>
            <w:noProof/>
            <w:webHidden/>
          </w:rPr>
          <w:t>50</w:t>
        </w:r>
        <w:r w:rsidR="00506A39">
          <w:rPr>
            <w:noProof/>
            <w:webHidden/>
          </w:rPr>
          <w:fldChar w:fldCharType="end"/>
        </w:r>
      </w:hyperlink>
    </w:p>
    <w:p w14:paraId="0B304834" w14:textId="0A5003A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5" w:history="1">
        <w:r w:rsidR="00506A39" w:rsidRPr="00692BF9">
          <w:rPr>
            <w:rStyle w:val="Hyperlink"/>
            <w:noProof/>
          </w:rPr>
          <w:t>V.2.1.5</w:t>
        </w:r>
        <w:r w:rsidR="00506A39">
          <w:rPr>
            <w:rFonts w:asciiTheme="minorHAnsi" w:eastAsiaTheme="minorEastAsia" w:hAnsiTheme="minorHAnsi" w:cstheme="minorBidi"/>
            <w:noProof/>
            <w:color w:val="auto"/>
          </w:rPr>
          <w:tab/>
        </w:r>
        <w:r w:rsidR="00506A39" w:rsidRPr="00692BF9">
          <w:rPr>
            <w:rStyle w:val="Hyperlink"/>
            <w:noProof/>
          </w:rPr>
          <w:t>TTC (Through the Cycle) PD</w:t>
        </w:r>
        <w:r w:rsidR="00506A39">
          <w:rPr>
            <w:noProof/>
            <w:webHidden/>
          </w:rPr>
          <w:tab/>
        </w:r>
        <w:r w:rsidR="00506A39">
          <w:rPr>
            <w:noProof/>
            <w:webHidden/>
          </w:rPr>
          <w:fldChar w:fldCharType="begin"/>
        </w:r>
        <w:r w:rsidR="00506A39">
          <w:rPr>
            <w:noProof/>
            <w:webHidden/>
          </w:rPr>
          <w:instrText xml:space="preserve"> PAGEREF _Toc27138955 \h </w:instrText>
        </w:r>
        <w:r w:rsidR="00506A39">
          <w:rPr>
            <w:noProof/>
            <w:webHidden/>
          </w:rPr>
        </w:r>
        <w:r w:rsidR="00506A39">
          <w:rPr>
            <w:noProof/>
            <w:webHidden/>
          </w:rPr>
          <w:fldChar w:fldCharType="separate"/>
        </w:r>
        <w:r w:rsidR="00506A39">
          <w:rPr>
            <w:noProof/>
            <w:webHidden/>
          </w:rPr>
          <w:t>51</w:t>
        </w:r>
        <w:r w:rsidR="00506A39">
          <w:rPr>
            <w:noProof/>
            <w:webHidden/>
          </w:rPr>
          <w:fldChar w:fldCharType="end"/>
        </w:r>
      </w:hyperlink>
    </w:p>
    <w:p w14:paraId="564E9F06" w14:textId="551C2C5A"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6" w:history="1">
        <w:r w:rsidR="00506A39" w:rsidRPr="00692BF9">
          <w:rPr>
            <w:rStyle w:val="Hyperlink"/>
            <w:noProof/>
          </w:rPr>
          <w:t>V.2.1.6</w:t>
        </w:r>
        <w:r w:rsidR="00506A39">
          <w:rPr>
            <w:rFonts w:asciiTheme="minorHAnsi" w:eastAsiaTheme="minorEastAsia" w:hAnsiTheme="minorHAnsi" w:cstheme="minorBidi"/>
            <w:noProof/>
            <w:color w:val="auto"/>
          </w:rPr>
          <w:tab/>
        </w:r>
        <w:r w:rsidR="00506A39" w:rsidRPr="00692BF9">
          <w:rPr>
            <w:rStyle w:val="Hyperlink"/>
            <w:noProof/>
          </w:rPr>
          <w:t>Lakossági TTC PD – felügyeleti benchmark</w:t>
        </w:r>
        <w:r w:rsidR="00506A39">
          <w:rPr>
            <w:noProof/>
            <w:webHidden/>
          </w:rPr>
          <w:tab/>
        </w:r>
        <w:r w:rsidR="00506A39">
          <w:rPr>
            <w:noProof/>
            <w:webHidden/>
          </w:rPr>
          <w:fldChar w:fldCharType="begin"/>
        </w:r>
        <w:r w:rsidR="00506A39">
          <w:rPr>
            <w:noProof/>
            <w:webHidden/>
          </w:rPr>
          <w:instrText xml:space="preserve"> PAGEREF _Toc27138956 \h </w:instrText>
        </w:r>
        <w:r w:rsidR="00506A39">
          <w:rPr>
            <w:noProof/>
            <w:webHidden/>
          </w:rPr>
        </w:r>
        <w:r w:rsidR="00506A39">
          <w:rPr>
            <w:noProof/>
            <w:webHidden/>
          </w:rPr>
          <w:fldChar w:fldCharType="separate"/>
        </w:r>
        <w:r w:rsidR="00506A39">
          <w:rPr>
            <w:noProof/>
            <w:webHidden/>
          </w:rPr>
          <w:t>53</w:t>
        </w:r>
        <w:r w:rsidR="00506A39">
          <w:rPr>
            <w:noProof/>
            <w:webHidden/>
          </w:rPr>
          <w:fldChar w:fldCharType="end"/>
        </w:r>
      </w:hyperlink>
    </w:p>
    <w:p w14:paraId="2137827F" w14:textId="52500993"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7" w:history="1">
        <w:r w:rsidR="00506A39" w:rsidRPr="00692BF9">
          <w:rPr>
            <w:rStyle w:val="Hyperlink"/>
            <w:noProof/>
          </w:rPr>
          <w:t>V.2.1.7</w:t>
        </w:r>
        <w:r w:rsidR="00506A39">
          <w:rPr>
            <w:rFonts w:asciiTheme="minorHAnsi" w:eastAsiaTheme="minorEastAsia" w:hAnsiTheme="minorHAnsi" w:cstheme="minorBidi"/>
            <w:noProof/>
            <w:color w:val="auto"/>
          </w:rPr>
          <w:tab/>
        </w:r>
        <w:r w:rsidR="00506A39" w:rsidRPr="00692BF9">
          <w:rPr>
            <w:rStyle w:val="Hyperlink"/>
            <w:noProof/>
          </w:rPr>
          <w:t>Vállalati PD – felügyeleti benchmark</w:t>
        </w:r>
        <w:r w:rsidR="00506A39">
          <w:rPr>
            <w:noProof/>
            <w:webHidden/>
          </w:rPr>
          <w:tab/>
        </w:r>
        <w:r w:rsidR="00506A39">
          <w:rPr>
            <w:noProof/>
            <w:webHidden/>
          </w:rPr>
          <w:fldChar w:fldCharType="begin"/>
        </w:r>
        <w:r w:rsidR="00506A39">
          <w:rPr>
            <w:noProof/>
            <w:webHidden/>
          </w:rPr>
          <w:instrText xml:space="preserve"> PAGEREF _Toc27138957 \h </w:instrText>
        </w:r>
        <w:r w:rsidR="00506A39">
          <w:rPr>
            <w:noProof/>
            <w:webHidden/>
          </w:rPr>
        </w:r>
        <w:r w:rsidR="00506A39">
          <w:rPr>
            <w:noProof/>
            <w:webHidden/>
          </w:rPr>
          <w:fldChar w:fldCharType="separate"/>
        </w:r>
        <w:r w:rsidR="00506A39">
          <w:rPr>
            <w:noProof/>
            <w:webHidden/>
          </w:rPr>
          <w:t>54</w:t>
        </w:r>
        <w:r w:rsidR="00506A39">
          <w:rPr>
            <w:noProof/>
            <w:webHidden/>
          </w:rPr>
          <w:fldChar w:fldCharType="end"/>
        </w:r>
      </w:hyperlink>
    </w:p>
    <w:p w14:paraId="69960964" w14:textId="158988D5"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8" w:history="1">
        <w:r w:rsidR="00506A39" w:rsidRPr="00692BF9">
          <w:rPr>
            <w:rStyle w:val="Hyperlink"/>
            <w:noProof/>
          </w:rPr>
          <w:t>V.2.1.8</w:t>
        </w:r>
        <w:r w:rsidR="00506A39">
          <w:rPr>
            <w:rFonts w:asciiTheme="minorHAnsi" w:eastAsiaTheme="minorEastAsia" w:hAnsiTheme="minorHAnsi" w:cstheme="minorBidi"/>
            <w:noProof/>
            <w:color w:val="auto"/>
          </w:rPr>
          <w:tab/>
        </w:r>
        <w:r w:rsidR="00506A39" w:rsidRPr="00692BF9">
          <w:rPr>
            <w:rStyle w:val="Hyperlink"/>
            <w:noProof/>
          </w:rPr>
          <w:t>EU benchmark PD-k alkalmazása</w:t>
        </w:r>
        <w:r w:rsidR="00506A39">
          <w:rPr>
            <w:noProof/>
            <w:webHidden/>
          </w:rPr>
          <w:tab/>
        </w:r>
        <w:r w:rsidR="00506A39">
          <w:rPr>
            <w:noProof/>
            <w:webHidden/>
          </w:rPr>
          <w:fldChar w:fldCharType="begin"/>
        </w:r>
        <w:r w:rsidR="00506A39">
          <w:rPr>
            <w:noProof/>
            <w:webHidden/>
          </w:rPr>
          <w:instrText xml:space="preserve"> PAGEREF _Toc27138958 \h </w:instrText>
        </w:r>
        <w:r w:rsidR="00506A39">
          <w:rPr>
            <w:noProof/>
            <w:webHidden/>
          </w:rPr>
        </w:r>
        <w:r w:rsidR="00506A39">
          <w:rPr>
            <w:noProof/>
            <w:webHidden/>
          </w:rPr>
          <w:fldChar w:fldCharType="separate"/>
        </w:r>
        <w:r w:rsidR="00506A39">
          <w:rPr>
            <w:noProof/>
            <w:webHidden/>
          </w:rPr>
          <w:t>54</w:t>
        </w:r>
        <w:r w:rsidR="00506A39">
          <w:rPr>
            <w:noProof/>
            <w:webHidden/>
          </w:rPr>
          <w:fldChar w:fldCharType="end"/>
        </w:r>
      </w:hyperlink>
    </w:p>
    <w:p w14:paraId="3BF33791" w14:textId="05CD3F2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59" w:history="1">
        <w:r w:rsidR="00506A39" w:rsidRPr="00692BF9">
          <w:rPr>
            <w:rStyle w:val="Hyperlink"/>
            <w:noProof/>
          </w:rPr>
          <w:t>V.2.1.9</w:t>
        </w:r>
        <w:r w:rsidR="00506A39">
          <w:rPr>
            <w:rFonts w:asciiTheme="minorHAnsi" w:eastAsiaTheme="minorEastAsia" w:hAnsiTheme="minorHAnsi" w:cstheme="minorBidi"/>
            <w:noProof/>
            <w:color w:val="auto"/>
          </w:rPr>
          <w:tab/>
        </w:r>
        <w:r w:rsidR="00506A39" w:rsidRPr="00692BF9">
          <w:rPr>
            <w:rStyle w:val="Hyperlink"/>
            <w:noProof/>
          </w:rPr>
          <w:t>Szuverén floor alkalmazása</w:t>
        </w:r>
        <w:r w:rsidR="00506A39">
          <w:rPr>
            <w:noProof/>
            <w:webHidden/>
          </w:rPr>
          <w:tab/>
        </w:r>
        <w:r w:rsidR="00506A39">
          <w:rPr>
            <w:noProof/>
            <w:webHidden/>
          </w:rPr>
          <w:fldChar w:fldCharType="begin"/>
        </w:r>
        <w:r w:rsidR="00506A39">
          <w:rPr>
            <w:noProof/>
            <w:webHidden/>
          </w:rPr>
          <w:instrText xml:space="preserve"> PAGEREF _Toc27138959 \h </w:instrText>
        </w:r>
        <w:r w:rsidR="00506A39">
          <w:rPr>
            <w:noProof/>
            <w:webHidden/>
          </w:rPr>
        </w:r>
        <w:r w:rsidR="00506A39">
          <w:rPr>
            <w:noProof/>
            <w:webHidden/>
          </w:rPr>
          <w:fldChar w:fldCharType="separate"/>
        </w:r>
        <w:r w:rsidR="00506A39">
          <w:rPr>
            <w:noProof/>
            <w:webHidden/>
          </w:rPr>
          <w:t>54</w:t>
        </w:r>
        <w:r w:rsidR="00506A39">
          <w:rPr>
            <w:noProof/>
            <w:webHidden/>
          </w:rPr>
          <w:fldChar w:fldCharType="end"/>
        </w:r>
      </w:hyperlink>
    </w:p>
    <w:p w14:paraId="7CA78146" w14:textId="25645244"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0" w:history="1">
        <w:r w:rsidR="00506A39" w:rsidRPr="00692BF9">
          <w:rPr>
            <w:rStyle w:val="Hyperlink"/>
            <w:noProof/>
          </w:rPr>
          <w:t>V.2.1.10</w:t>
        </w:r>
        <w:r w:rsidR="00506A39">
          <w:rPr>
            <w:rFonts w:asciiTheme="minorHAnsi" w:eastAsiaTheme="minorEastAsia" w:hAnsiTheme="minorHAnsi" w:cstheme="minorBidi"/>
            <w:noProof/>
            <w:color w:val="auto"/>
          </w:rPr>
          <w:tab/>
        </w:r>
        <w:r w:rsidR="00506A39" w:rsidRPr="00692BF9">
          <w:rPr>
            <w:rStyle w:val="Hyperlink"/>
            <w:noProof/>
          </w:rPr>
          <w:t>A nemteljesítéskori veszteségráta becslése</w:t>
        </w:r>
        <w:r w:rsidR="00506A39">
          <w:rPr>
            <w:noProof/>
            <w:webHidden/>
          </w:rPr>
          <w:tab/>
        </w:r>
        <w:r w:rsidR="00506A39">
          <w:rPr>
            <w:noProof/>
            <w:webHidden/>
          </w:rPr>
          <w:fldChar w:fldCharType="begin"/>
        </w:r>
        <w:r w:rsidR="00506A39">
          <w:rPr>
            <w:noProof/>
            <w:webHidden/>
          </w:rPr>
          <w:instrText xml:space="preserve"> PAGEREF _Toc27138960 \h </w:instrText>
        </w:r>
        <w:r w:rsidR="00506A39">
          <w:rPr>
            <w:noProof/>
            <w:webHidden/>
          </w:rPr>
        </w:r>
        <w:r w:rsidR="00506A39">
          <w:rPr>
            <w:noProof/>
            <w:webHidden/>
          </w:rPr>
          <w:fldChar w:fldCharType="separate"/>
        </w:r>
        <w:r w:rsidR="00506A39">
          <w:rPr>
            <w:noProof/>
            <w:webHidden/>
          </w:rPr>
          <w:t>54</w:t>
        </w:r>
        <w:r w:rsidR="00506A39">
          <w:rPr>
            <w:noProof/>
            <w:webHidden/>
          </w:rPr>
          <w:fldChar w:fldCharType="end"/>
        </w:r>
      </w:hyperlink>
    </w:p>
    <w:p w14:paraId="41176532" w14:textId="7708B8A6"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1" w:history="1">
        <w:r w:rsidR="00506A39" w:rsidRPr="00692BF9">
          <w:rPr>
            <w:rStyle w:val="Hyperlink"/>
            <w:noProof/>
          </w:rPr>
          <w:t>V.2.1.11</w:t>
        </w:r>
        <w:r w:rsidR="00506A39">
          <w:rPr>
            <w:rFonts w:asciiTheme="minorHAnsi" w:eastAsiaTheme="minorEastAsia" w:hAnsiTheme="minorHAnsi" w:cstheme="minorBidi"/>
            <w:noProof/>
            <w:color w:val="auto"/>
          </w:rPr>
          <w:tab/>
        </w:r>
        <w:r w:rsidR="00506A39" w:rsidRPr="00692BF9">
          <w:rPr>
            <w:rStyle w:val="Hyperlink"/>
            <w:noProof/>
          </w:rPr>
          <w:t>Lakossági jelzálog LGD – felügyeleti benchmark</w:t>
        </w:r>
        <w:r w:rsidR="00506A39">
          <w:rPr>
            <w:noProof/>
            <w:webHidden/>
          </w:rPr>
          <w:tab/>
        </w:r>
        <w:r w:rsidR="00506A39">
          <w:rPr>
            <w:noProof/>
            <w:webHidden/>
          </w:rPr>
          <w:fldChar w:fldCharType="begin"/>
        </w:r>
        <w:r w:rsidR="00506A39">
          <w:rPr>
            <w:noProof/>
            <w:webHidden/>
          </w:rPr>
          <w:instrText xml:space="preserve"> PAGEREF _Toc27138961 \h </w:instrText>
        </w:r>
        <w:r w:rsidR="00506A39">
          <w:rPr>
            <w:noProof/>
            <w:webHidden/>
          </w:rPr>
        </w:r>
        <w:r w:rsidR="00506A39">
          <w:rPr>
            <w:noProof/>
            <w:webHidden/>
          </w:rPr>
          <w:fldChar w:fldCharType="separate"/>
        </w:r>
        <w:r w:rsidR="00506A39">
          <w:rPr>
            <w:noProof/>
            <w:webHidden/>
          </w:rPr>
          <w:t>56</w:t>
        </w:r>
        <w:r w:rsidR="00506A39">
          <w:rPr>
            <w:noProof/>
            <w:webHidden/>
          </w:rPr>
          <w:fldChar w:fldCharType="end"/>
        </w:r>
      </w:hyperlink>
    </w:p>
    <w:p w14:paraId="3992184A" w14:textId="44EFE3A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2" w:history="1">
        <w:r w:rsidR="00506A39" w:rsidRPr="00692BF9">
          <w:rPr>
            <w:rStyle w:val="Hyperlink"/>
            <w:noProof/>
          </w:rPr>
          <w:t>V.2.1.12</w:t>
        </w:r>
        <w:r w:rsidR="00506A39">
          <w:rPr>
            <w:rFonts w:asciiTheme="minorHAnsi" w:eastAsiaTheme="minorEastAsia" w:hAnsiTheme="minorHAnsi" w:cstheme="minorBidi"/>
            <w:noProof/>
            <w:color w:val="auto"/>
          </w:rPr>
          <w:tab/>
        </w:r>
        <w:r w:rsidR="00506A39" w:rsidRPr="00692BF9">
          <w:rPr>
            <w:rStyle w:val="Hyperlink"/>
            <w:noProof/>
          </w:rPr>
          <w:t>Nemteljesítő tételek, várható veszteség és értékvesztés</w:t>
        </w:r>
        <w:r w:rsidR="00506A39">
          <w:rPr>
            <w:noProof/>
            <w:webHidden/>
          </w:rPr>
          <w:tab/>
        </w:r>
        <w:r w:rsidR="00506A39">
          <w:rPr>
            <w:noProof/>
            <w:webHidden/>
          </w:rPr>
          <w:fldChar w:fldCharType="begin"/>
        </w:r>
        <w:r w:rsidR="00506A39">
          <w:rPr>
            <w:noProof/>
            <w:webHidden/>
          </w:rPr>
          <w:instrText xml:space="preserve"> PAGEREF _Toc27138962 \h </w:instrText>
        </w:r>
        <w:r w:rsidR="00506A39">
          <w:rPr>
            <w:noProof/>
            <w:webHidden/>
          </w:rPr>
        </w:r>
        <w:r w:rsidR="00506A39">
          <w:rPr>
            <w:noProof/>
            <w:webHidden/>
          </w:rPr>
          <w:fldChar w:fldCharType="separate"/>
        </w:r>
        <w:r w:rsidR="00506A39">
          <w:rPr>
            <w:noProof/>
            <w:webHidden/>
          </w:rPr>
          <w:t>57</w:t>
        </w:r>
        <w:r w:rsidR="00506A39">
          <w:rPr>
            <w:noProof/>
            <w:webHidden/>
          </w:rPr>
          <w:fldChar w:fldCharType="end"/>
        </w:r>
      </w:hyperlink>
    </w:p>
    <w:p w14:paraId="34BAA2A7" w14:textId="57DDF20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3" w:history="1">
        <w:r w:rsidR="00506A39" w:rsidRPr="00692BF9">
          <w:rPr>
            <w:rStyle w:val="Hyperlink"/>
            <w:noProof/>
          </w:rPr>
          <w:t>V.2.1.13</w:t>
        </w:r>
        <w:r w:rsidR="00506A39">
          <w:rPr>
            <w:rFonts w:asciiTheme="minorHAnsi" w:eastAsiaTheme="minorEastAsia" w:hAnsiTheme="minorHAnsi" w:cstheme="minorBidi"/>
            <w:noProof/>
            <w:color w:val="auto"/>
          </w:rPr>
          <w:tab/>
        </w:r>
        <w:r w:rsidR="00506A39" w:rsidRPr="00692BF9">
          <w:rPr>
            <w:rStyle w:val="Hyperlink"/>
            <w:noProof/>
          </w:rPr>
          <w:t>Részesedések (Részvényjellegű kitettségek)</w:t>
        </w:r>
        <w:r w:rsidR="00506A39">
          <w:rPr>
            <w:noProof/>
            <w:webHidden/>
          </w:rPr>
          <w:tab/>
        </w:r>
        <w:r w:rsidR="00506A39">
          <w:rPr>
            <w:noProof/>
            <w:webHidden/>
          </w:rPr>
          <w:fldChar w:fldCharType="begin"/>
        </w:r>
        <w:r w:rsidR="00506A39">
          <w:rPr>
            <w:noProof/>
            <w:webHidden/>
          </w:rPr>
          <w:instrText xml:space="preserve"> PAGEREF _Toc27138963 \h </w:instrText>
        </w:r>
        <w:r w:rsidR="00506A39">
          <w:rPr>
            <w:noProof/>
            <w:webHidden/>
          </w:rPr>
        </w:r>
        <w:r w:rsidR="00506A39">
          <w:rPr>
            <w:noProof/>
            <w:webHidden/>
          </w:rPr>
          <w:fldChar w:fldCharType="separate"/>
        </w:r>
        <w:r w:rsidR="00506A39">
          <w:rPr>
            <w:noProof/>
            <w:webHidden/>
          </w:rPr>
          <w:t>58</w:t>
        </w:r>
        <w:r w:rsidR="00506A39">
          <w:rPr>
            <w:noProof/>
            <w:webHidden/>
          </w:rPr>
          <w:fldChar w:fldCharType="end"/>
        </w:r>
      </w:hyperlink>
    </w:p>
    <w:p w14:paraId="76FEBD5A" w14:textId="12A1B1CB"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4" w:history="1">
        <w:r w:rsidR="00506A39" w:rsidRPr="00692BF9">
          <w:rPr>
            <w:rStyle w:val="Hyperlink"/>
            <w:noProof/>
          </w:rPr>
          <w:t>V.2.1.14</w:t>
        </w:r>
        <w:r w:rsidR="00506A39">
          <w:rPr>
            <w:rFonts w:asciiTheme="minorHAnsi" w:eastAsiaTheme="minorEastAsia" w:hAnsiTheme="minorHAnsi" w:cstheme="minorBidi"/>
            <w:noProof/>
            <w:color w:val="auto"/>
          </w:rPr>
          <w:tab/>
        </w:r>
        <w:r w:rsidR="00506A39" w:rsidRPr="00692BF9">
          <w:rPr>
            <w:rStyle w:val="Hyperlink"/>
            <w:noProof/>
          </w:rPr>
          <w:t>Speciális hitelezési kitettségek</w:t>
        </w:r>
        <w:r w:rsidR="00506A39">
          <w:rPr>
            <w:noProof/>
            <w:webHidden/>
          </w:rPr>
          <w:tab/>
        </w:r>
        <w:r w:rsidR="00506A39">
          <w:rPr>
            <w:noProof/>
            <w:webHidden/>
          </w:rPr>
          <w:fldChar w:fldCharType="begin"/>
        </w:r>
        <w:r w:rsidR="00506A39">
          <w:rPr>
            <w:noProof/>
            <w:webHidden/>
          </w:rPr>
          <w:instrText xml:space="preserve"> PAGEREF _Toc27138964 \h </w:instrText>
        </w:r>
        <w:r w:rsidR="00506A39">
          <w:rPr>
            <w:noProof/>
            <w:webHidden/>
          </w:rPr>
        </w:r>
        <w:r w:rsidR="00506A39">
          <w:rPr>
            <w:noProof/>
            <w:webHidden/>
          </w:rPr>
          <w:fldChar w:fldCharType="separate"/>
        </w:r>
        <w:r w:rsidR="00506A39">
          <w:rPr>
            <w:noProof/>
            <w:webHidden/>
          </w:rPr>
          <w:t>59</w:t>
        </w:r>
        <w:r w:rsidR="00506A39">
          <w:rPr>
            <w:noProof/>
            <w:webHidden/>
          </w:rPr>
          <w:fldChar w:fldCharType="end"/>
        </w:r>
      </w:hyperlink>
    </w:p>
    <w:p w14:paraId="25B319FC" w14:textId="70C3CF53"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5" w:history="1">
        <w:r w:rsidR="00506A39" w:rsidRPr="00692BF9">
          <w:rPr>
            <w:rStyle w:val="Hyperlink"/>
            <w:noProof/>
          </w:rPr>
          <w:t>V.2.1.15</w:t>
        </w:r>
        <w:r w:rsidR="00506A39">
          <w:rPr>
            <w:rFonts w:asciiTheme="minorHAnsi" w:eastAsiaTheme="minorEastAsia" w:hAnsiTheme="minorHAnsi" w:cstheme="minorBidi"/>
            <w:noProof/>
            <w:color w:val="auto"/>
          </w:rPr>
          <w:tab/>
        </w:r>
        <w:r w:rsidR="00506A39" w:rsidRPr="00692BF9">
          <w:rPr>
            <w:rStyle w:val="Hyperlink"/>
            <w:noProof/>
          </w:rPr>
          <w:t>Ingatlanfinanszírozási projekt tőkekövetelmény és várható veszteség – felügyleti benchmark</w:t>
        </w:r>
        <w:r w:rsidR="00506A39">
          <w:rPr>
            <w:noProof/>
            <w:webHidden/>
          </w:rPr>
          <w:tab/>
        </w:r>
        <w:r w:rsidR="00506A39">
          <w:rPr>
            <w:noProof/>
            <w:webHidden/>
          </w:rPr>
          <w:fldChar w:fldCharType="begin"/>
        </w:r>
        <w:r w:rsidR="00506A39">
          <w:rPr>
            <w:noProof/>
            <w:webHidden/>
          </w:rPr>
          <w:instrText xml:space="preserve"> PAGEREF _Toc27138965 \h </w:instrText>
        </w:r>
        <w:r w:rsidR="00506A39">
          <w:rPr>
            <w:noProof/>
            <w:webHidden/>
          </w:rPr>
        </w:r>
        <w:r w:rsidR="00506A39">
          <w:rPr>
            <w:noProof/>
            <w:webHidden/>
          </w:rPr>
          <w:fldChar w:fldCharType="separate"/>
        </w:r>
        <w:r w:rsidR="00506A39">
          <w:rPr>
            <w:noProof/>
            <w:webHidden/>
          </w:rPr>
          <w:t>62</w:t>
        </w:r>
        <w:r w:rsidR="00506A39">
          <w:rPr>
            <w:noProof/>
            <w:webHidden/>
          </w:rPr>
          <w:fldChar w:fldCharType="end"/>
        </w:r>
      </w:hyperlink>
    </w:p>
    <w:p w14:paraId="62F8AECA" w14:textId="417ACEFB"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6" w:history="1">
        <w:r w:rsidR="00506A39" w:rsidRPr="00692BF9">
          <w:rPr>
            <w:rStyle w:val="Hyperlink"/>
            <w:noProof/>
          </w:rPr>
          <w:t>V.2.1.16</w:t>
        </w:r>
        <w:r w:rsidR="00506A39">
          <w:rPr>
            <w:rFonts w:asciiTheme="minorHAnsi" w:eastAsiaTheme="minorEastAsia" w:hAnsiTheme="minorHAnsi" w:cstheme="minorBidi"/>
            <w:noProof/>
            <w:color w:val="auto"/>
          </w:rPr>
          <w:tab/>
        </w:r>
        <w:r w:rsidR="00506A39" w:rsidRPr="00692BF9">
          <w:rPr>
            <w:rStyle w:val="Hyperlink"/>
            <w:noProof/>
          </w:rPr>
          <w:t>Mérlegen kívüli tételek kezelése</w:t>
        </w:r>
        <w:r w:rsidR="00506A39">
          <w:rPr>
            <w:noProof/>
            <w:webHidden/>
          </w:rPr>
          <w:tab/>
        </w:r>
        <w:r w:rsidR="00506A39">
          <w:rPr>
            <w:noProof/>
            <w:webHidden/>
          </w:rPr>
          <w:fldChar w:fldCharType="begin"/>
        </w:r>
        <w:r w:rsidR="00506A39">
          <w:rPr>
            <w:noProof/>
            <w:webHidden/>
          </w:rPr>
          <w:instrText xml:space="preserve"> PAGEREF _Toc27138966 \h </w:instrText>
        </w:r>
        <w:r w:rsidR="00506A39">
          <w:rPr>
            <w:noProof/>
            <w:webHidden/>
          </w:rPr>
        </w:r>
        <w:r w:rsidR="00506A39">
          <w:rPr>
            <w:noProof/>
            <w:webHidden/>
          </w:rPr>
          <w:fldChar w:fldCharType="separate"/>
        </w:r>
        <w:r w:rsidR="00506A39">
          <w:rPr>
            <w:noProof/>
            <w:webHidden/>
          </w:rPr>
          <w:t>62</w:t>
        </w:r>
        <w:r w:rsidR="00506A39">
          <w:rPr>
            <w:noProof/>
            <w:webHidden/>
          </w:rPr>
          <w:fldChar w:fldCharType="end"/>
        </w:r>
      </w:hyperlink>
    </w:p>
    <w:p w14:paraId="795657D7" w14:textId="41CAB71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7" w:history="1">
        <w:r w:rsidR="00506A39" w:rsidRPr="00692BF9">
          <w:rPr>
            <w:rStyle w:val="Hyperlink"/>
            <w:noProof/>
          </w:rPr>
          <w:t>V.2.1.17</w:t>
        </w:r>
        <w:r w:rsidR="00506A39">
          <w:rPr>
            <w:rFonts w:asciiTheme="minorHAnsi" w:eastAsiaTheme="minorEastAsia" w:hAnsiTheme="minorHAnsi" w:cstheme="minorBidi"/>
            <w:noProof/>
            <w:color w:val="auto"/>
          </w:rPr>
          <w:tab/>
        </w:r>
        <w:r w:rsidR="00506A39" w:rsidRPr="00692BF9">
          <w:rPr>
            <w:rStyle w:val="Hyperlink"/>
            <w:noProof/>
          </w:rPr>
          <w:t>Partnerkockázat</w:t>
        </w:r>
        <w:r w:rsidR="00506A39">
          <w:rPr>
            <w:noProof/>
            <w:webHidden/>
          </w:rPr>
          <w:tab/>
        </w:r>
        <w:r w:rsidR="00506A39">
          <w:rPr>
            <w:noProof/>
            <w:webHidden/>
          </w:rPr>
          <w:fldChar w:fldCharType="begin"/>
        </w:r>
        <w:r w:rsidR="00506A39">
          <w:rPr>
            <w:noProof/>
            <w:webHidden/>
          </w:rPr>
          <w:instrText xml:space="preserve"> PAGEREF _Toc27138967 \h </w:instrText>
        </w:r>
        <w:r w:rsidR="00506A39">
          <w:rPr>
            <w:noProof/>
            <w:webHidden/>
          </w:rPr>
        </w:r>
        <w:r w:rsidR="00506A39">
          <w:rPr>
            <w:noProof/>
            <w:webHidden/>
          </w:rPr>
          <w:fldChar w:fldCharType="separate"/>
        </w:r>
        <w:r w:rsidR="00506A39">
          <w:rPr>
            <w:noProof/>
            <w:webHidden/>
          </w:rPr>
          <w:t>64</w:t>
        </w:r>
        <w:r w:rsidR="00506A39">
          <w:rPr>
            <w:noProof/>
            <w:webHidden/>
          </w:rPr>
          <w:fldChar w:fldCharType="end"/>
        </w:r>
      </w:hyperlink>
    </w:p>
    <w:p w14:paraId="0074D8DB" w14:textId="5B8EC51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8" w:history="1">
        <w:r w:rsidR="00506A39" w:rsidRPr="00692BF9">
          <w:rPr>
            <w:rStyle w:val="Hyperlink"/>
            <w:noProof/>
          </w:rPr>
          <w:t>V.2.1.18</w:t>
        </w:r>
        <w:r w:rsidR="00506A39">
          <w:rPr>
            <w:rFonts w:asciiTheme="minorHAnsi" w:eastAsiaTheme="minorEastAsia" w:hAnsiTheme="minorHAnsi" w:cstheme="minorBidi"/>
            <w:noProof/>
            <w:color w:val="auto"/>
          </w:rPr>
          <w:tab/>
        </w:r>
        <w:r w:rsidR="00506A39" w:rsidRPr="00692BF9">
          <w:rPr>
            <w:rStyle w:val="Hyperlink"/>
            <w:noProof/>
          </w:rPr>
          <w:t>A White Label szerződések partnerkockázata a befektetési vállalkozásoknál</w:t>
        </w:r>
        <w:r w:rsidR="00506A39">
          <w:rPr>
            <w:noProof/>
            <w:webHidden/>
          </w:rPr>
          <w:tab/>
        </w:r>
        <w:r w:rsidR="00506A39">
          <w:rPr>
            <w:noProof/>
            <w:webHidden/>
          </w:rPr>
          <w:fldChar w:fldCharType="begin"/>
        </w:r>
        <w:r w:rsidR="00506A39">
          <w:rPr>
            <w:noProof/>
            <w:webHidden/>
          </w:rPr>
          <w:instrText xml:space="preserve"> PAGEREF _Toc27138968 \h </w:instrText>
        </w:r>
        <w:r w:rsidR="00506A39">
          <w:rPr>
            <w:noProof/>
            <w:webHidden/>
          </w:rPr>
        </w:r>
        <w:r w:rsidR="00506A39">
          <w:rPr>
            <w:noProof/>
            <w:webHidden/>
          </w:rPr>
          <w:fldChar w:fldCharType="separate"/>
        </w:r>
        <w:r w:rsidR="00506A39">
          <w:rPr>
            <w:noProof/>
            <w:webHidden/>
          </w:rPr>
          <w:t>66</w:t>
        </w:r>
        <w:r w:rsidR="00506A39">
          <w:rPr>
            <w:noProof/>
            <w:webHidden/>
          </w:rPr>
          <w:fldChar w:fldCharType="end"/>
        </w:r>
      </w:hyperlink>
    </w:p>
    <w:p w14:paraId="1DB005E1" w14:textId="006CADF2"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69" w:history="1">
        <w:r w:rsidR="00506A39" w:rsidRPr="00692BF9">
          <w:rPr>
            <w:rStyle w:val="Hyperlink"/>
            <w:noProof/>
          </w:rPr>
          <w:t>V.2.1.19</w:t>
        </w:r>
        <w:r w:rsidR="00506A39">
          <w:rPr>
            <w:rFonts w:asciiTheme="minorHAnsi" w:eastAsiaTheme="minorEastAsia" w:hAnsiTheme="minorHAnsi" w:cstheme="minorBidi"/>
            <w:noProof/>
            <w:color w:val="auto"/>
          </w:rPr>
          <w:tab/>
        </w:r>
        <w:r w:rsidR="00506A39" w:rsidRPr="00692BF9">
          <w:rPr>
            <w:rStyle w:val="Hyperlink"/>
            <w:noProof/>
          </w:rPr>
          <w:t>Hitelértékelési korrekciós kockázat (CVA)</w:t>
        </w:r>
        <w:r w:rsidR="00506A39">
          <w:rPr>
            <w:noProof/>
            <w:webHidden/>
          </w:rPr>
          <w:tab/>
        </w:r>
        <w:r w:rsidR="00506A39">
          <w:rPr>
            <w:noProof/>
            <w:webHidden/>
          </w:rPr>
          <w:fldChar w:fldCharType="begin"/>
        </w:r>
        <w:r w:rsidR="00506A39">
          <w:rPr>
            <w:noProof/>
            <w:webHidden/>
          </w:rPr>
          <w:instrText xml:space="preserve"> PAGEREF _Toc27138969 \h </w:instrText>
        </w:r>
        <w:r w:rsidR="00506A39">
          <w:rPr>
            <w:noProof/>
            <w:webHidden/>
          </w:rPr>
        </w:r>
        <w:r w:rsidR="00506A39">
          <w:rPr>
            <w:noProof/>
            <w:webHidden/>
          </w:rPr>
          <w:fldChar w:fldCharType="separate"/>
        </w:r>
        <w:r w:rsidR="00506A39">
          <w:rPr>
            <w:noProof/>
            <w:webHidden/>
          </w:rPr>
          <w:t>67</w:t>
        </w:r>
        <w:r w:rsidR="00506A39">
          <w:rPr>
            <w:noProof/>
            <w:webHidden/>
          </w:rPr>
          <w:fldChar w:fldCharType="end"/>
        </w:r>
      </w:hyperlink>
    </w:p>
    <w:p w14:paraId="04DE44B0" w14:textId="6409C498"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0" w:history="1">
        <w:r w:rsidR="00506A39" w:rsidRPr="00692BF9">
          <w:rPr>
            <w:rStyle w:val="Hyperlink"/>
            <w:noProof/>
          </w:rPr>
          <w:t>V.2.1.20</w:t>
        </w:r>
        <w:r w:rsidR="00506A39">
          <w:rPr>
            <w:rFonts w:asciiTheme="minorHAnsi" w:eastAsiaTheme="minorEastAsia" w:hAnsiTheme="minorHAnsi" w:cstheme="minorBidi"/>
            <w:noProof/>
            <w:color w:val="auto"/>
          </w:rPr>
          <w:tab/>
        </w:r>
        <w:r w:rsidR="00506A39" w:rsidRPr="00692BF9">
          <w:rPr>
            <w:rStyle w:val="Hyperlink"/>
            <w:noProof/>
          </w:rPr>
          <w:t>Devizahitelezés kockázata</w:t>
        </w:r>
        <w:r w:rsidR="00506A39">
          <w:rPr>
            <w:noProof/>
            <w:webHidden/>
          </w:rPr>
          <w:tab/>
        </w:r>
        <w:r w:rsidR="00506A39">
          <w:rPr>
            <w:noProof/>
            <w:webHidden/>
          </w:rPr>
          <w:fldChar w:fldCharType="begin"/>
        </w:r>
        <w:r w:rsidR="00506A39">
          <w:rPr>
            <w:noProof/>
            <w:webHidden/>
          </w:rPr>
          <w:instrText xml:space="preserve"> PAGEREF _Toc27138970 \h </w:instrText>
        </w:r>
        <w:r w:rsidR="00506A39">
          <w:rPr>
            <w:noProof/>
            <w:webHidden/>
          </w:rPr>
        </w:r>
        <w:r w:rsidR="00506A39">
          <w:rPr>
            <w:noProof/>
            <w:webHidden/>
          </w:rPr>
          <w:fldChar w:fldCharType="separate"/>
        </w:r>
        <w:r w:rsidR="00506A39">
          <w:rPr>
            <w:noProof/>
            <w:webHidden/>
          </w:rPr>
          <w:t>67</w:t>
        </w:r>
        <w:r w:rsidR="00506A39">
          <w:rPr>
            <w:noProof/>
            <w:webHidden/>
          </w:rPr>
          <w:fldChar w:fldCharType="end"/>
        </w:r>
      </w:hyperlink>
    </w:p>
    <w:p w14:paraId="5DFDB88A" w14:textId="42AC3F6D"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1" w:history="1">
        <w:r w:rsidR="00506A39" w:rsidRPr="00692BF9">
          <w:rPr>
            <w:rStyle w:val="Hyperlink"/>
            <w:noProof/>
          </w:rPr>
          <w:t>V.2.1.21</w:t>
        </w:r>
        <w:r w:rsidR="00506A39">
          <w:rPr>
            <w:rFonts w:asciiTheme="minorHAnsi" w:eastAsiaTheme="minorEastAsia" w:hAnsiTheme="minorHAnsi" w:cstheme="minorBidi"/>
            <w:noProof/>
            <w:color w:val="auto"/>
          </w:rPr>
          <w:tab/>
        </w:r>
        <w:r w:rsidR="00506A39" w:rsidRPr="00692BF9">
          <w:rPr>
            <w:rStyle w:val="Hyperlink"/>
            <w:noProof/>
          </w:rPr>
          <w:t>Reziduális kockázat</w:t>
        </w:r>
        <w:r w:rsidR="00506A39">
          <w:rPr>
            <w:noProof/>
            <w:webHidden/>
          </w:rPr>
          <w:tab/>
        </w:r>
        <w:r w:rsidR="00506A39">
          <w:rPr>
            <w:noProof/>
            <w:webHidden/>
          </w:rPr>
          <w:fldChar w:fldCharType="begin"/>
        </w:r>
        <w:r w:rsidR="00506A39">
          <w:rPr>
            <w:noProof/>
            <w:webHidden/>
          </w:rPr>
          <w:instrText xml:space="preserve"> PAGEREF _Toc27138971 \h </w:instrText>
        </w:r>
        <w:r w:rsidR="00506A39">
          <w:rPr>
            <w:noProof/>
            <w:webHidden/>
          </w:rPr>
        </w:r>
        <w:r w:rsidR="00506A39">
          <w:rPr>
            <w:noProof/>
            <w:webHidden/>
          </w:rPr>
          <w:fldChar w:fldCharType="separate"/>
        </w:r>
        <w:r w:rsidR="00506A39">
          <w:rPr>
            <w:noProof/>
            <w:webHidden/>
          </w:rPr>
          <w:t>69</w:t>
        </w:r>
        <w:r w:rsidR="00506A39">
          <w:rPr>
            <w:noProof/>
            <w:webHidden/>
          </w:rPr>
          <w:fldChar w:fldCharType="end"/>
        </w:r>
      </w:hyperlink>
    </w:p>
    <w:p w14:paraId="699D68D9" w14:textId="4DBFEC6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2" w:history="1">
        <w:r w:rsidR="00506A39" w:rsidRPr="00692BF9">
          <w:rPr>
            <w:rStyle w:val="Hyperlink"/>
            <w:noProof/>
          </w:rPr>
          <w:t>V.2.1.22</w:t>
        </w:r>
        <w:r w:rsidR="00506A39">
          <w:rPr>
            <w:rFonts w:asciiTheme="minorHAnsi" w:eastAsiaTheme="minorEastAsia" w:hAnsiTheme="minorHAnsi" w:cstheme="minorBidi"/>
            <w:noProof/>
            <w:color w:val="auto"/>
          </w:rPr>
          <w:tab/>
        </w:r>
        <w:r w:rsidR="00506A39" w:rsidRPr="00692BF9">
          <w:rPr>
            <w:rStyle w:val="Hyperlink"/>
            <w:noProof/>
          </w:rPr>
          <w:t>Elszámolási kockázat (settlement risk)</w:t>
        </w:r>
        <w:r w:rsidR="00506A39">
          <w:rPr>
            <w:noProof/>
            <w:webHidden/>
          </w:rPr>
          <w:tab/>
        </w:r>
        <w:r w:rsidR="00506A39">
          <w:rPr>
            <w:noProof/>
            <w:webHidden/>
          </w:rPr>
          <w:fldChar w:fldCharType="begin"/>
        </w:r>
        <w:r w:rsidR="00506A39">
          <w:rPr>
            <w:noProof/>
            <w:webHidden/>
          </w:rPr>
          <w:instrText xml:space="preserve"> PAGEREF _Toc27138972 \h </w:instrText>
        </w:r>
        <w:r w:rsidR="00506A39">
          <w:rPr>
            <w:noProof/>
            <w:webHidden/>
          </w:rPr>
        </w:r>
        <w:r w:rsidR="00506A39">
          <w:rPr>
            <w:noProof/>
            <w:webHidden/>
          </w:rPr>
          <w:fldChar w:fldCharType="separate"/>
        </w:r>
        <w:r w:rsidR="00506A39">
          <w:rPr>
            <w:noProof/>
            <w:webHidden/>
          </w:rPr>
          <w:t>71</w:t>
        </w:r>
        <w:r w:rsidR="00506A39">
          <w:rPr>
            <w:noProof/>
            <w:webHidden/>
          </w:rPr>
          <w:fldChar w:fldCharType="end"/>
        </w:r>
      </w:hyperlink>
    </w:p>
    <w:p w14:paraId="56CC45C4" w14:textId="539BAB37"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3" w:history="1">
        <w:r w:rsidR="00506A39" w:rsidRPr="00692BF9">
          <w:rPr>
            <w:rStyle w:val="Hyperlink"/>
            <w:noProof/>
          </w:rPr>
          <w:t>V.2.1.23</w:t>
        </w:r>
        <w:r w:rsidR="00506A39">
          <w:rPr>
            <w:rFonts w:asciiTheme="minorHAnsi" w:eastAsiaTheme="minorEastAsia" w:hAnsiTheme="minorHAnsi" w:cstheme="minorBidi"/>
            <w:noProof/>
            <w:color w:val="auto"/>
          </w:rPr>
          <w:tab/>
        </w:r>
        <w:r w:rsidR="00506A39" w:rsidRPr="00692BF9">
          <w:rPr>
            <w:rStyle w:val="Hyperlink"/>
            <w:noProof/>
          </w:rPr>
          <w:t>Nyitva szállítás</w:t>
        </w:r>
        <w:r w:rsidR="00506A39">
          <w:rPr>
            <w:noProof/>
            <w:webHidden/>
          </w:rPr>
          <w:tab/>
        </w:r>
        <w:r w:rsidR="00506A39">
          <w:rPr>
            <w:noProof/>
            <w:webHidden/>
          </w:rPr>
          <w:fldChar w:fldCharType="begin"/>
        </w:r>
        <w:r w:rsidR="00506A39">
          <w:rPr>
            <w:noProof/>
            <w:webHidden/>
          </w:rPr>
          <w:instrText xml:space="preserve"> PAGEREF _Toc27138973 \h </w:instrText>
        </w:r>
        <w:r w:rsidR="00506A39">
          <w:rPr>
            <w:noProof/>
            <w:webHidden/>
          </w:rPr>
        </w:r>
        <w:r w:rsidR="00506A39">
          <w:rPr>
            <w:noProof/>
            <w:webHidden/>
          </w:rPr>
          <w:fldChar w:fldCharType="separate"/>
        </w:r>
        <w:r w:rsidR="00506A39">
          <w:rPr>
            <w:noProof/>
            <w:webHidden/>
          </w:rPr>
          <w:t>72</w:t>
        </w:r>
        <w:r w:rsidR="00506A39">
          <w:rPr>
            <w:noProof/>
            <w:webHidden/>
          </w:rPr>
          <w:fldChar w:fldCharType="end"/>
        </w:r>
      </w:hyperlink>
    </w:p>
    <w:p w14:paraId="759D507C" w14:textId="3C95127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4" w:history="1">
        <w:r w:rsidR="00506A39" w:rsidRPr="00692BF9">
          <w:rPr>
            <w:rStyle w:val="Hyperlink"/>
            <w:noProof/>
          </w:rPr>
          <w:t>V.2.1.24</w:t>
        </w:r>
        <w:r w:rsidR="00506A39">
          <w:rPr>
            <w:rFonts w:asciiTheme="minorHAnsi" w:eastAsiaTheme="minorEastAsia" w:hAnsiTheme="minorHAnsi" w:cstheme="minorBidi"/>
            <w:noProof/>
            <w:color w:val="auto"/>
          </w:rPr>
          <w:tab/>
        </w:r>
        <w:r w:rsidR="00506A39" w:rsidRPr="00692BF9">
          <w:rPr>
            <w:rStyle w:val="Hyperlink"/>
            <w:noProof/>
          </w:rPr>
          <w:t>Értékpapírosítás kockázata</w:t>
        </w:r>
        <w:r w:rsidR="00506A39">
          <w:rPr>
            <w:noProof/>
            <w:webHidden/>
          </w:rPr>
          <w:tab/>
        </w:r>
        <w:r w:rsidR="00506A39">
          <w:rPr>
            <w:noProof/>
            <w:webHidden/>
          </w:rPr>
          <w:fldChar w:fldCharType="begin"/>
        </w:r>
        <w:r w:rsidR="00506A39">
          <w:rPr>
            <w:noProof/>
            <w:webHidden/>
          </w:rPr>
          <w:instrText xml:space="preserve"> PAGEREF _Toc27138974 \h </w:instrText>
        </w:r>
        <w:r w:rsidR="00506A39">
          <w:rPr>
            <w:noProof/>
            <w:webHidden/>
          </w:rPr>
        </w:r>
        <w:r w:rsidR="00506A39">
          <w:rPr>
            <w:noProof/>
            <w:webHidden/>
          </w:rPr>
          <w:fldChar w:fldCharType="separate"/>
        </w:r>
        <w:r w:rsidR="00506A39">
          <w:rPr>
            <w:noProof/>
            <w:webHidden/>
          </w:rPr>
          <w:t>73</w:t>
        </w:r>
        <w:r w:rsidR="00506A39">
          <w:rPr>
            <w:noProof/>
            <w:webHidden/>
          </w:rPr>
          <w:fldChar w:fldCharType="end"/>
        </w:r>
      </w:hyperlink>
    </w:p>
    <w:p w14:paraId="2F258E8C" w14:textId="39A85F5D"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5" w:history="1">
        <w:r w:rsidR="00506A39" w:rsidRPr="00692BF9">
          <w:rPr>
            <w:rStyle w:val="Hyperlink"/>
            <w:noProof/>
          </w:rPr>
          <w:t>V.2.1.25</w:t>
        </w:r>
        <w:r w:rsidR="00506A39">
          <w:rPr>
            <w:rFonts w:asciiTheme="minorHAnsi" w:eastAsiaTheme="minorEastAsia" w:hAnsiTheme="minorHAnsi" w:cstheme="minorBidi"/>
            <w:noProof/>
            <w:color w:val="auto"/>
          </w:rPr>
          <w:tab/>
        </w:r>
        <w:r w:rsidR="00506A39" w:rsidRPr="00692BF9">
          <w:rPr>
            <w:rStyle w:val="Hyperlink"/>
            <w:noProof/>
          </w:rPr>
          <w:t>Koncentrációs kockázat</w:t>
        </w:r>
        <w:r w:rsidR="00506A39">
          <w:rPr>
            <w:noProof/>
            <w:webHidden/>
          </w:rPr>
          <w:tab/>
        </w:r>
        <w:r w:rsidR="00506A39">
          <w:rPr>
            <w:noProof/>
            <w:webHidden/>
          </w:rPr>
          <w:fldChar w:fldCharType="begin"/>
        </w:r>
        <w:r w:rsidR="00506A39">
          <w:rPr>
            <w:noProof/>
            <w:webHidden/>
          </w:rPr>
          <w:instrText xml:space="preserve"> PAGEREF _Toc27138975 \h </w:instrText>
        </w:r>
        <w:r w:rsidR="00506A39">
          <w:rPr>
            <w:noProof/>
            <w:webHidden/>
          </w:rPr>
        </w:r>
        <w:r w:rsidR="00506A39">
          <w:rPr>
            <w:noProof/>
            <w:webHidden/>
          </w:rPr>
          <w:fldChar w:fldCharType="separate"/>
        </w:r>
        <w:r w:rsidR="00506A39">
          <w:rPr>
            <w:noProof/>
            <w:webHidden/>
          </w:rPr>
          <w:t>75</w:t>
        </w:r>
        <w:r w:rsidR="00506A39">
          <w:rPr>
            <w:noProof/>
            <w:webHidden/>
          </w:rPr>
          <w:fldChar w:fldCharType="end"/>
        </w:r>
      </w:hyperlink>
    </w:p>
    <w:p w14:paraId="4EDA611B" w14:textId="5E904FE3"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6" w:history="1">
        <w:r w:rsidR="00506A39" w:rsidRPr="00692BF9">
          <w:rPr>
            <w:rStyle w:val="Hyperlink"/>
            <w:noProof/>
          </w:rPr>
          <w:t>V.2.1.26</w:t>
        </w:r>
        <w:r w:rsidR="00506A39">
          <w:rPr>
            <w:rFonts w:asciiTheme="minorHAnsi" w:eastAsiaTheme="minorEastAsia" w:hAnsiTheme="minorHAnsi" w:cstheme="minorBidi"/>
            <w:noProof/>
            <w:color w:val="auto"/>
          </w:rPr>
          <w:tab/>
        </w:r>
        <w:r w:rsidR="00506A39" w:rsidRPr="00692BF9">
          <w:rPr>
            <w:rStyle w:val="Hyperlink"/>
            <w:noProof/>
          </w:rPr>
          <w:t>Országkockázat</w:t>
        </w:r>
        <w:r w:rsidR="00506A39">
          <w:rPr>
            <w:noProof/>
            <w:webHidden/>
          </w:rPr>
          <w:tab/>
        </w:r>
        <w:r w:rsidR="00506A39">
          <w:rPr>
            <w:noProof/>
            <w:webHidden/>
          </w:rPr>
          <w:fldChar w:fldCharType="begin"/>
        </w:r>
        <w:r w:rsidR="00506A39">
          <w:rPr>
            <w:noProof/>
            <w:webHidden/>
          </w:rPr>
          <w:instrText xml:space="preserve"> PAGEREF _Toc27138976 \h </w:instrText>
        </w:r>
        <w:r w:rsidR="00506A39">
          <w:rPr>
            <w:noProof/>
            <w:webHidden/>
          </w:rPr>
        </w:r>
        <w:r w:rsidR="00506A39">
          <w:rPr>
            <w:noProof/>
            <w:webHidden/>
          </w:rPr>
          <w:fldChar w:fldCharType="separate"/>
        </w:r>
        <w:r w:rsidR="00506A39">
          <w:rPr>
            <w:noProof/>
            <w:webHidden/>
          </w:rPr>
          <w:t>79</w:t>
        </w:r>
        <w:r w:rsidR="00506A39">
          <w:rPr>
            <w:noProof/>
            <w:webHidden/>
          </w:rPr>
          <w:fldChar w:fldCharType="end"/>
        </w:r>
      </w:hyperlink>
    </w:p>
    <w:p w14:paraId="2ACC3741" w14:textId="2C5D9BD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7" w:history="1">
        <w:r w:rsidR="00506A39" w:rsidRPr="00692BF9">
          <w:rPr>
            <w:rStyle w:val="Hyperlink"/>
            <w:noProof/>
          </w:rPr>
          <w:t>V.2.1.27</w:t>
        </w:r>
        <w:r w:rsidR="00506A39">
          <w:rPr>
            <w:rFonts w:asciiTheme="minorHAnsi" w:eastAsiaTheme="minorEastAsia" w:hAnsiTheme="minorHAnsi" w:cstheme="minorBidi"/>
            <w:noProof/>
            <w:color w:val="auto"/>
          </w:rPr>
          <w:tab/>
        </w:r>
        <w:r w:rsidR="00506A39" w:rsidRPr="00692BF9">
          <w:rPr>
            <w:rStyle w:val="Hyperlink"/>
            <w:noProof/>
          </w:rPr>
          <w:t>Egyéb eszközök kockázatai</w:t>
        </w:r>
        <w:r w:rsidR="00506A39">
          <w:rPr>
            <w:noProof/>
            <w:webHidden/>
          </w:rPr>
          <w:tab/>
        </w:r>
        <w:r w:rsidR="00506A39">
          <w:rPr>
            <w:noProof/>
            <w:webHidden/>
          </w:rPr>
          <w:fldChar w:fldCharType="begin"/>
        </w:r>
        <w:r w:rsidR="00506A39">
          <w:rPr>
            <w:noProof/>
            <w:webHidden/>
          </w:rPr>
          <w:instrText xml:space="preserve"> PAGEREF _Toc27138977 \h </w:instrText>
        </w:r>
        <w:r w:rsidR="00506A39">
          <w:rPr>
            <w:noProof/>
            <w:webHidden/>
          </w:rPr>
        </w:r>
        <w:r w:rsidR="00506A39">
          <w:rPr>
            <w:noProof/>
            <w:webHidden/>
          </w:rPr>
          <w:fldChar w:fldCharType="separate"/>
        </w:r>
        <w:r w:rsidR="00506A39">
          <w:rPr>
            <w:noProof/>
            <w:webHidden/>
          </w:rPr>
          <w:t>80</w:t>
        </w:r>
        <w:r w:rsidR="00506A39">
          <w:rPr>
            <w:noProof/>
            <w:webHidden/>
          </w:rPr>
          <w:fldChar w:fldCharType="end"/>
        </w:r>
      </w:hyperlink>
    </w:p>
    <w:p w14:paraId="77708869" w14:textId="69C66021"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8" w:history="1">
        <w:r w:rsidR="00506A39" w:rsidRPr="00692BF9">
          <w:rPr>
            <w:rStyle w:val="Hyperlink"/>
            <w:noProof/>
          </w:rPr>
          <w:t>V.2.1.28</w:t>
        </w:r>
        <w:r w:rsidR="00506A39">
          <w:rPr>
            <w:rFonts w:asciiTheme="minorHAnsi" w:eastAsiaTheme="minorEastAsia" w:hAnsiTheme="minorHAnsi" w:cstheme="minorBidi"/>
            <w:noProof/>
            <w:color w:val="auto"/>
          </w:rPr>
          <w:tab/>
        </w:r>
        <w:r w:rsidR="00506A39" w:rsidRPr="00692BF9">
          <w:rPr>
            <w:rStyle w:val="Hyperlink"/>
            <w:noProof/>
          </w:rPr>
          <w:t>Hitelkockázati tőkekövetelmény számítása</w:t>
        </w:r>
        <w:r w:rsidR="00506A39">
          <w:rPr>
            <w:noProof/>
            <w:webHidden/>
          </w:rPr>
          <w:tab/>
        </w:r>
        <w:r w:rsidR="00506A39">
          <w:rPr>
            <w:noProof/>
            <w:webHidden/>
          </w:rPr>
          <w:fldChar w:fldCharType="begin"/>
        </w:r>
        <w:r w:rsidR="00506A39">
          <w:rPr>
            <w:noProof/>
            <w:webHidden/>
          </w:rPr>
          <w:instrText xml:space="preserve"> PAGEREF _Toc27138978 \h </w:instrText>
        </w:r>
        <w:r w:rsidR="00506A39">
          <w:rPr>
            <w:noProof/>
            <w:webHidden/>
          </w:rPr>
        </w:r>
        <w:r w:rsidR="00506A39">
          <w:rPr>
            <w:noProof/>
            <w:webHidden/>
          </w:rPr>
          <w:fldChar w:fldCharType="separate"/>
        </w:r>
        <w:r w:rsidR="00506A39">
          <w:rPr>
            <w:noProof/>
            <w:webHidden/>
          </w:rPr>
          <w:t>81</w:t>
        </w:r>
        <w:r w:rsidR="00506A39">
          <w:rPr>
            <w:noProof/>
            <w:webHidden/>
          </w:rPr>
          <w:fldChar w:fldCharType="end"/>
        </w:r>
      </w:hyperlink>
    </w:p>
    <w:p w14:paraId="332E0F25" w14:textId="3C6B705F"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79" w:history="1">
        <w:r w:rsidR="00506A39" w:rsidRPr="00692BF9">
          <w:rPr>
            <w:rStyle w:val="Hyperlink"/>
            <w:noProof/>
          </w:rPr>
          <w:t>V.2.1.29</w:t>
        </w:r>
        <w:r w:rsidR="00506A39">
          <w:rPr>
            <w:rFonts w:asciiTheme="minorHAnsi" w:eastAsiaTheme="minorEastAsia" w:hAnsiTheme="minorHAnsi" w:cstheme="minorBidi"/>
            <w:noProof/>
            <w:color w:val="auto"/>
          </w:rPr>
          <w:tab/>
        </w:r>
        <w:r w:rsidR="00506A39" w:rsidRPr="00692BF9">
          <w:rPr>
            <w:rStyle w:val="Hyperlink"/>
            <w:noProof/>
          </w:rPr>
          <w:t>Hitelösztönzés keretein belül nyújtott tőkekövetelmény kedvezmény</w:t>
        </w:r>
        <w:r w:rsidR="00506A39">
          <w:rPr>
            <w:noProof/>
            <w:webHidden/>
          </w:rPr>
          <w:tab/>
        </w:r>
        <w:r w:rsidR="00506A39">
          <w:rPr>
            <w:noProof/>
            <w:webHidden/>
          </w:rPr>
          <w:fldChar w:fldCharType="begin"/>
        </w:r>
        <w:r w:rsidR="00506A39">
          <w:rPr>
            <w:noProof/>
            <w:webHidden/>
          </w:rPr>
          <w:instrText xml:space="preserve"> PAGEREF _Toc27138979 \h </w:instrText>
        </w:r>
        <w:r w:rsidR="00506A39">
          <w:rPr>
            <w:noProof/>
            <w:webHidden/>
          </w:rPr>
        </w:r>
        <w:r w:rsidR="00506A39">
          <w:rPr>
            <w:noProof/>
            <w:webHidden/>
          </w:rPr>
          <w:fldChar w:fldCharType="separate"/>
        </w:r>
        <w:r w:rsidR="00506A39">
          <w:rPr>
            <w:noProof/>
            <w:webHidden/>
          </w:rPr>
          <w:t>81</w:t>
        </w:r>
        <w:r w:rsidR="00506A39">
          <w:rPr>
            <w:noProof/>
            <w:webHidden/>
          </w:rPr>
          <w:fldChar w:fldCharType="end"/>
        </w:r>
      </w:hyperlink>
    </w:p>
    <w:p w14:paraId="0907C09B" w14:textId="47E1E32A" w:rsidR="00506A39" w:rsidRDefault="008F6FA6">
      <w:pPr>
        <w:pStyle w:val="TOC3"/>
        <w:tabs>
          <w:tab w:val="left" w:pos="1320"/>
        </w:tabs>
        <w:rPr>
          <w:rFonts w:asciiTheme="minorHAnsi" w:eastAsiaTheme="minorEastAsia" w:hAnsiTheme="minorHAnsi" w:cstheme="minorBidi"/>
          <w:noProof/>
          <w:color w:val="auto"/>
        </w:rPr>
      </w:pPr>
      <w:hyperlink w:anchor="_Toc27138980" w:history="1">
        <w:r w:rsidR="00506A39" w:rsidRPr="00692BF9">
          <w:rPr>
            <w:rStyle w:val="Hyperlink"/>
            <w:noProof/>
          </w:rPr>
          <w:t>V.2.2</w:t>
        </w:r>
        <w:r w:rsidR="00506A39">
          <w:rPr>
            <w:rFonts w:asciiTheme="minorHAnsi" w:eastAsiaTheme="minorEastAsia" w:hAnsiTheme="minorHAnsi" w:cstheme="minorBidi"/>
            <w:noProof/>
            <w:color w:val="auto"/>
          </w:rPr>
          <w:tab/>
        </w:r>
        <w:r w:rsidR="00506A39" w:rsidRPr="00692BF9">
          <w:rPr>
            <w:rStyle w:val="Hyperlink"/>
            <w:noProof/>
          </w:rPr>
          <w:t>Működési jellegű kockázatok</w:t>
        </w:r>
        <w:r w:rsidR="00506A39">
          <w:rPr>
            <w:noProof/>
            <w:webHidden/>
          </w:rPr>
          <w:tab/>
        </w:r>
        <w:r w:rsidR="00506A39">
          <w:rPr>
            <w:noProof/>
            <w:webHidden/>
          </w:rPr>
          <w:fldChar w:fldCharType="begin"/>
        </w:r>
        <w:r w:rsidR="00506A39">
          <w:rPr>
            <w:noProof/>
            <w:webHidden/>
          </w:rPr>
          <w:instrText xml:space="preserve"> PAGEREF _Toc27138980 \h </w:instrText>
        </w:r>
        <w:r w:rsidR="00506A39">
          <w:rPr>
            <w:noProof/>
            <w:webHidden/>
          </w:rPr>
        </w:r>
        <w:r w:rsidR="00506A39">
          <w:rPr>
            <w:noProof/>
            <w:webHidden/>
          </w:rPr>
          <w:fldChar w:fldCharType="separate"/>
        </w:r>
        <w:r w:rsidR="00506A39">
          <w:rPr>
            <w:noProof/>
            <w:webHidden/>
          </w:rPr>
          <w:t>83</w:t>
        </w:r>
        <w:r w:rsidR="00506A39">
          <w:rPr>
            <w:noProof/>
            <w:webHidden/>
          </w:rPr>
          <w:fldChar w:fldCharType="end"/>
        </w:r>
      </w:hyperlink>
    </w:p>
    <w:p w14:paraId="0974BCB3" w14:textId="5BB179FE" w:rsidR="00506A39" w:rsidRDefault="008F6FA6">
      <w:pPr>
        <w:pStyle w:val="TOC3"/>
        <w:rPr>
          <w:rFonts w:asciiTheme="minorHAnsi" w:eastAsiaTheme="minorEastAsia" w:hAnsiTheme="minorHAnsi" w:cstheme="minorBidi"/>
          <w:noProof/>
          <w:color w:val="auto"/>
        </w:rPr>
      </w:pPr>
      <w:hyperlink w:anchor="_Toc27138981" w:history="1">
        <w:r w:rsidR="00506A39" w:rsidRPr="00692BF9">
          <w:rPr>
            <w:rStyle w:val="Hyperlink"/>
            <w:noProof/>
          </w:rPr>
          <w:t xml:space="preserve">V.2.2.1 </w:t>
        </w:r>
        <w:r w:rsidR="00506A39" w:rsidRPr="00692BF9">
          <w:rPr>
            <w:rStyle w:val="Hyperlink"/>
            <w:iCs/>
            <w:noProof/>
          </w:rPr>
          <w:t>Működési kockázat</w:t>
        </w:r>
        <w:r w:rsidR="00506A39">
          <w:rPr>
            <w:noProof/>
            <w:webHidden/>
          </w:rPr>
          <w:tab/>
        </w:r>
        <w:r w:rsidR="00506A39">
          <w:rPr>
            <w:noProof/>
            <w:webHidden/>
          </w:rPr>
          <w:fldChar w:fldCharType="begin"/>
        </w:r>
        <w:r w:rsidR="00506A39">
          <w:rPr>
            <w:noProof/>
            <w:webHidden/>
          </w:rPr>
          <w:instrText xml:space="preserve"> PAGEREF _Toc27138981 \h </w:instrText>
        </w:r>
        <w:r w:rsidR="00506A39">
          <w:rPr>
            <w:noProof/>
            <w:webHidden/>
          </w:rPr>
        </w:r>
        <w:r w:rsidR="00506A39">
          <w:rPr>
            <w:noProof/>
            <w:webHidden/>
          </w:rPr>
          <w:fldChar w:fldCharType="separate"/>
        </w:r>
        <w:r w:rsidR="00506A39">
          <w:rPr>
            <w:noProof/>
            <w:webHidden/>
          </w:rPr>
          <w:t>83</w:t>
        </w:r>
        <w:r w:rsidR="00506A39">
          <w:rPr>
            <w:noProof/>
            <w:webHidden/>
          </w:rPr>
          <w:fldChar w:fldCharType="end"/>
        </w:r>
      </w:hyperlink>
    </w:p>
    <w:p w14:paraId="5E77CFF4" w14:textId="56C28FAA" w:rsidR="00506A39" w:rsidRDefault="008F6FA6">
      <w:pPr>
        <w:pStyle w:val="TOC3"/>
        <w:rPr>
          <w:rFonts w:asciiTheme="minorHAnsi" w:eastAsiaTheme="minorEastAsia" w:hAnsiTheme="minorHAnsi" w:cstheme="minorBidi"/>
          <w:noProof/>
          <w:color w:val="auto"/>
        </w:rPr>
      </w:pPr>
      <w:hyperlink w:anchor="_Toc27138982" w:history="1">
        <w:r w:rsidR="00506A39" w:rsidRPr="00692BF9">
          <w:rPr>
            <w:rStyle w:val="Hyperlink"/>
            <w:noProof/>
          </w:rPr>
          <w:t>V.2.2.1.1 Jogi kockázatok és az üzletvitel kockázata</w:t>
        </w:r>
        <w:r w:rsidR="00506A39">
          <w:rPr>
            <w:noProof/>
            <w:webHidden/>
          </w:rPr>
          <w:tab/>
        </w:r>
        <w:r w:rsidR="00506A39">
          <w:rPr>
            <w:noProof/>
            <w:webHidden/>
          </w:rPr>
          <w:fldChar w:fldCharType="begin"/>
        </w:r>
        <w:r w:rsidR="00506A39">
          <w:rPr>
            <w:noProof/>
            <w:webHidden/>
          </w:rPr>
          <w:instrText xml:space="preserve"> PAGEREF _Toc27138982 \h </w:instrText>
        </w:r>
        <w:r w:rsidR="00506A39">
          <w:rPr>
            <w:noProof/>
            <w:webHidden/>
          </w:rPr>
        </w:r>
        <w:r w:rsidR="00506A39">
          <w:rPr>
            <w:noProof/>
            <w:webHidden/>
          </w:rPr>
          <w:fldChar w:fldCharType="separate"/>
        </w:r>
        <w:r w:rsidR="00506A39">
          <w:rPr>
            <w:noProof/>
            <w:webHidden/>
          </w:rPr>
          <w:t>88</w:t>
        </w:r>
        <w:r w:rsidR="00506A39">
          <w:rPr>
            <w:noProof/>
            <w:webHidden/>
          </w:rPr>
          <w:fldChar w:fldCharType="end"/>
        </w:r>
      </w:hyperlink>
    </w:p>
    <w:p w14:paraId="3571B4EF" w14:textId="1BE24B51" w:rsidR="00506A39" w:rsidRDefault="008F6FA6">
      <w:pPr>
        <w:pStyle w:val="TOC3"/>
        <w:rPr>
          <w:rFonts w:asciiTheme="minorHAnsi" w:eastAsiaTheme="minorEastAsia" w:hAnsiTheme="minorHAnsi" w:cstheme="minorBidi"/>
          <w:noProof/>
          <w:color w:val="auto"/>
        </w:rPr>
      </w:pPr>
      <w:hyperlink w:anchor="_Toc27138983" w:history="1">
        <w:r w:rsidR="00506A39" w:rsidRPr="00692BF9">
          <w:rPr>
            <w:rStyle w:val="Hyperlink"/>
            <w:noProof/>
          </w:rPr>
          <w:t>V.2.2.1.2 Információs és kommunikációs technológiai (IKT) kockázat</w:t>
        </w:r>
        <w:r w:rsidR="00506A39">
          <w:rPr>
            <w:noProof/>
            <w:webHidden/>
          </w:rPr>
          <w:tab/>
        </w:r>
        <w:r w:rsidR="00506A39">
          <w:rPr>
            <w:noProof/>
            <w:webHidden/>
          </w:rPr>
          <w:fldChar w:fldCharType="begin"/>
        </w:r>
        <w:r w:rsidR="00506A39">
          <w:rPr>
            <w:noProof/>
            <w:webHidden/>
          </w:rPr>
          <w:instrText xml:space="preserve"> PAGEREF _Toc27138983 \h </w:instrText>
        </w:r>
        <w:r w:rsidR="00506A39">
          <w:rPr>
            <w:noProof/>
            <w:webHidden/>
          </w:rPr>
        </w:r>
        <w:r w:rsidR="00506A39">
          <w:rPr>
            <w:noProof/>
            <w:webHidden/>
          </w:rPr>
          <w:fldChar w:fldCharType="separate"/>
        </w:r>
        <w:r w:rsidR="00506A39">
          <w:rPr>
            <w:noProof/>
            <w:webHidden/>
          </w:rPr>
          <w:t>92</w:t>
        </w:r>
        <w:r w:rsidR="00506A39">
          <w:rPr>
            <w:noProof/>
            <w:webHidden/>
          </w:rPr>
          <w:fldChar w:fldCharType="end"/>
        </w:r>
      </w:hyperlink>
    </w:p>
    <w:p w14:paraId="663700E0" w14:textId="102FE322" w:rsidR="00506A39" w:rsidRDefault="008F6FA6">
      <w:pPr>
        <w:pStyle w:val="TOC3"/>
        <w:rPr>
          <w:rFonts w:asciiTheme="minorHAnsi" w:eastAsiaTheme="minorEastAsia" w:hAnsiTheme="minorHAnsi" w:cstheme="minorBidi"/>
          <w:noProof/>
          <w:color w:val="auto"/>
        </w:rPr>
      </w:pPr>
      <w:hyperlink w:anchor="_Toc27138984" w:history="1">
        <w:r w:rsidR="00506A39" w:rsidRPr="00692BF9">
          <w:rPr>
            <w:rStyle w:val="Hyperlink"/>
            <w:noProof/>
          </w:rPr>
          <w:t>V.2.2.2 Reputációs kockázat</w:t>
        </w:r>
        <w:r w:rsidR="00506A39">
          <w:rPr>
            <w:noProof/>
            <w:webHidden/>
          </w:rPr>
          <w:tab/>
        </w:r>
        <w:r w:rsidR="00506A39">
          <w:rPr>
            <w:noProof/>
            <w:webHidden/>
          </w:rPr>
          <w:fldChar w:fldCharType="begin"/>
        </w:r>
        <w:r w:rsidR="00506A39">
          <w:rPr>
            <w:noProof/>
            <w:webHidden/>
          </w:rPr>
          <w:instrText xml:space="preserve"> PAGEREF _Toc27138984 \h </w:instrText>
        </w:r>
        <w:r w:rsidR="00506A39">
          <w:rPr>
            <w:noProof/>
            <w:webHidden/>
          </w:rPr>
        </w:r>
        <w:r w:rsidR="00506A39">
          <w:rPr>
            <w:noProof/>
            <w:webHidden/>
          </w:rPr>
          <w:fldChar w:fldCharType="separate"/>
        </w:r>
        <w:r w:rsidR="00506A39">
          <w:rPr>
            <w:noProof/>
            <w:webHidden/>
          </w:rPr>
          <w:t>93</w:t>
        </w:r>
        <w:r w:rsidR="00506A39">
          <w:rPr>
            <w:noProof/>
            <w:webHidden/>
          </w:rPr>
          <w:fldChar w:fldCharType="end"/>
        </w:r>
      </w:hyperlink>
    </w:p>
    <w:p w14:paraId="67297939" w14:textId="05A18667" w:rsidR="00506A39" w:rsidRDefault="008F6FA6">
      <w:pPr>
        <w:pStyle w:val="TOC3"/>
        <w:tabs>
          <w:tab w:val="left" w:pos="1320"/>
        </w:tabs>
        <w:rPr>
          <w:rFonts w:asciiTheme="minorHAnsi" w:eastAsiaTheme="minorEastAsia" w:hAnsiTheme="minorHAnsi" w:cstheme="minorBidi"/>
          <w:noProof/>
          <w:color w:val="auto"/>
        </w:rPr>
      </w:pPr>
      <w:hyperlink w:anchor="_Toc27138985" w:history="1">
        <w:r w:rsidR="00506A39" w:rsidRPr="00692BF9">
          <w:rPr>
            <w:rStyle w:val="Hyperlink"/>
            <w:noProof/>
          </w:rPr>
          <w:t>V.2.3</w:t>
        </w:r>
        <w:r w:rsidR="00506A39">
          <w:rPr>
            <w:rFonts w:asciiTheme="minorHAnsi" w:eastAsiaTheme="minorEastAsia" w:hAnsiTheme="minorHAnsi" w:cstheme="minorBidi"/>
            <w:noProof/>
            <w:color w:val="auto"/>
          </w:rPr>
          <w:tab/>
        </w:r>
        <w:r w:rsidR="00506A39" w:rsidRPr="00692BF9">
          <w:rPr>
            <w:rStyle w:val="Hyperlink"/>
            <w:noProof/>
          </w:rPr>
          <w:t>Piaci kockázat</w:t>
        </w:r>
        <w:r w:rsidR="00506A39">
          <w:rPr>
            <w:noProof/>
            <w:webHidden/>
          </w:rPr>
          <w:tab/>
        </w:r>
        <w:r w:rsidR="00506A39">
          <w:rPr>
            <w:noProof/>
            <w:webHidden/>
          </w:rPr>
          <w:fldChar w:fldCharType="begin"/>
        </w:r>
        <w:r w:rsidR="00506A39">
          <w:rPr>
            <w:noProof/>
            <w:webHidden/>
          </w:rPr>
          <w:instrText xml:space="preserve"> PAGEREF _Toc27138985 \h </w:instrText>
        </w:r>
        <w:r w:rsidR="00506A39">
          <w:rPr>
            <w:noProof/>
            <w:webHidden/>
          </w:rPr>
        </w:r>
        <w:r w:rsidR="00506A39">
          <w:rPr>
            <w:noProof/>
            <w:webHidden/>
          </w:rPr>
          <w:fldChar w:fldCharType="separate"/>
        </w:r>
        <w:r w:rsidR="00506A39">
          <w:rPr>
            <w:noProof/>
            <w:webHidden/>
          </w:rPr>
          <w:t>95</w:t>
        </w:r>
        <w:r w:rsidR="00506A39">
          <w:rPr>
            <w:noProof/>
            <w:webHidden/>
          </w:rPr>
          <w:fldChar w:fldCharType="end"/>
        </w:r>
      </w:hyperlink>
    </w:p>
    <w:p w14:paraId="3D1C7678" w14:textId="46679C0C" w:rsidR="00506A39" w:rsidRDefault="008F6FA6">
      <w:pPr>
        <w:pStyle w:val="TOC3"/>
        <w:tabs>
          <w:tab w:val="left" w:pos="1320"/>
        </w:tabs>
        <w:rPr>
          <w:rFonts w:asciiTheme="minorHAnsi" w:eastAsiaTheme="minorEastAsia" w:hAnsiTheme="minorHAnsi" w:cstheme="minorBidi"/>
          <w:noProof/>
          <w:color w:val="auto"/>
        </w:rPr>
      </w:pPr>
      <w:hyperlink w:anchor="_Toc27138986" w:history="1">
        <w:r w:rsidR="00506A39" w:rsidRPr="00692BF9">
          <w:rPr>
            <w:rStyle w:val="Hyperlink"/>
            <w:iCs/>
            <w:noProof/>
          </w:rPr>
          <w:t>V.2.4</w:t>
        </w:r>
        <w:r w:rsidR="00506A39">
          <w:rPr>
            <w:rFonts w:asciiTheme="minorHAnsi" w:eastAsiaTheme="minorEastAsia" w:hAnsiTheme="minorHAnsi" w:cstheme="minorBidi"/>
            <w:noProof/>
            <w:color w:val="auto"/>
          </w:rPr>
          <w:tab/>
        </w:r>
        <w:r w:rsidR="00506A39" w:rsidRPr="00692BF9">
          <w:rPr>
            <w:rStyle w:val="Hyperlink"/>
            <w:iCs/>
            <w:noProof/>
          </w:rPr>
          <w:t>Banki könyv kamatlábkockázata</w:t>
        </w:r>
        <w:r w:rsidR="00506A39">
          <w:rPr>
            <w:noProof/>
            <w:webHidden/>
          </w:rPr>
          <w:tab/>
        </w:r>
        <w:r w:rsidR="00506A39">
          <w:rPr>
            <w:noProof/>
            <w:webHidden/>
          </w:rPr>
          <w:fldChar w:fldCharType="begin"/>
        </w:r>
        <w:r w:rsidR="00506A39">
          <w:rPr>
            <w:noProof/>
            <w:webHidden/>
          </w:rPr>
          <w:instrText xml:space="preserve"> PAGEREF _Toc27138986 \h </w:instrText>
        </w:r>
        <w:r w:rsidR="00506A39">
          <w:rPr>
            <w:noProof/>
            <w:webHidden/>
          </w:rPr>
        </w:r>
        <w:r w:rsidR="00506A39">
          <w:rPr>
            <w:noProof/>
            <w:webHidden/>
          </w:rPr>
          <w:fldChar w:fldCharType="separate"/>
        </w:r>
        <w:r w:rsidR="00506A39">
          <w:rPr>
            <w:noProof/>
            <w:webHidden/>
          </w:rPr>
          <w:t>100</w:t>
        </w:r>
        <w:r w:rsidR="00506A39">
          <w:rPr>
            <w:noProof/>
            <w:webHidden/>
          </w:rPr>
          <w:fldChar w:fldCharType="end"/>
        </w:r>
      </w:hyperlink>
    </w:p>
    <w:p w14:paraId="07F9AF9D" w14:textId="4359F9AD" w:rsidR="00506A39" w:rsidRDefault="008F6FA6">
      <w:pPr>
        <w:pStyle w:val="TOC3"/>
        <w:tabs>
          <w:tab w:val="left" w:pos="1320"/>
        </w:tabs>
        <w:rPr>
          <w:rFonts w:asciiTheme="minorHAnsi" w:eastAsiaTheme="minorEastAsia" w:hAnsiTheme="minorHAnsi" w:cstheme="minorBidi"/>
          <w:noProof/>
          <w:color w:val="auto"/>
        </w:rPr>
      </w:pPr>
      <w:hyperlink w:anchor="_Toc27138987" w:history="1">
        <w:r w:rsidR="00506A39" w:rsidRPr="00692BF9">
          <w:rPr>
            <w:rStyle w:val="Hyperlink"/>
            <w:noProof/>
          </w:rPr>
          <w:t>V.2.5</w:t>
        </w:r>
        <w:r w:rsidR="00506A39">
          <w:rPr>
            <w:rFonts w:asciiTheme="minorHAnsi" w:eastAsiaTheme="minorEastAsia" w:hAnsiTheme="minorHAnsi" w:cstheme="minorBidi"/>
            <w:noProof/>
            <w:color w:val="auto"/>
          </w:rPr>
          <w:tab/>
        </w:r>
        <w:r w:rsidR="00506A39" w:rsidRPr="00692BF9">
          <w:rPr>
            <w:rStyle w:val="Hyperlink"/>
            <w:noProof/>
          </w:rPr>
          <w:t>Modellkockázat</w:t>
        </w:r>
        <w:r w:rsidR="00506A39">
          <w:rPr>
            <w:noProof/>
            <w:webHidden/>
          </w:rPr>
          <w:tab/>
        </w:r>
        <w:r w:rsidR="00506A39">
          <w:rPr>
            <w:noProof/>
            <w:webHidden/>
          </w:rPr>
          <w:fldChar w:fldCharType="begin"/>
        </w:r>
        <w:r w:rsidR="00506A39">
          <w:rPr>
            <w:noProof/>
            <w:webHidden/>
          </w:rPr>
          <w:instrText xml:space="preserve"> PAGEREF _Toc27138987 \h </w:instrText>
        </w:r>
        <w:r w:rsidR="00506A39">
          <w:rPr>
            <w:noProof/>
            <w:webHidden/>
          </w:rPr>
        </w:r>
        <w:r w:rsidR="00506A39">
          <w:rPr>
            <w:noProof/>
            <w:webHidden/>
          </w:rPr>
          <w:fldChar w:fldCharType="separate"/>
        </w:r>
        <w:r w:rsidR="00506A39">
          <w:rPr>
            <w:noProof/>
            <w:webHidden/>
          </w:rPr>
          <w:t>105</w:t>
        </w:r>
        <w:r w:rsidR="00506A39">
          <w:rPr>
            <w:noProof/>
            <w:webHidden/>
          </w:rPr>
          <w:fldChar w:fldCharType="end"/>
        </w:r>
      </w:hyperlink>
    </w:p>
    <w:p w14:paraId="10D2E198" w14:textId="4FF7F6A7" w:rsidR="00506A39" w:rsidRDefault="008F6FA6">
      <w:pPr>
        <w:pStyle w:val="TOC3"/>
        <w:tabs>
          <w:tab w:val="left" w:pos="1320"/>
        </w:tabs>
        <w:rPr>
          <w:rFonts w:asciiTheme="minorHAnsi" w:eastAsiaTheme="minorEastAsia" w:hAnsiTheme="minorHAnsi" w:cstheme="minorBidi"/>
          <w:noProof/>
          <w:color w:val="auto"/>
        </w:rPr>
      </w:pPr>
      <w:hyperlink w:anchor="_Toc27138988" w:history="1">
        <w:r w:rsidR="00506A39" w:rsidRPr="00692BF9">
          <w:rPr>
            <w:rStyle w:val="Hyperlink"/>
            <w:iCs/>
            <w:noProof/>
          </w:rPr>
          <w:t>V.2.6</w:t>
        </w:r>
        <w:r w:rsidR="00506A39">
          <w:rPr>
            <w:rFonts w:asciiTheme="minorHAnsi" w:eastAsiaTheme="minorEastAsia" w:hAnsiTheme="minorHAnsi" w:cstheme="minorBidi"/>
            <w:noProof/>
            <w:color w:val="auto"/>
          </w:rPr>
          <w:tab/>
        </w:r>
        <w:r w:rsidR="00506A39" w:rsidRPr="00692BF9">
          <w:rPr>
            <w:rStyle w:val="Hyperlink"/>
            <w:iCs/>
            <w:noProof/>
          </w:rPr>
          <w:t>Kockázatos portfóliók</w:t>
        </w:r>
        <w:r w:rsidR="00506A39">
          <w:rPr>
            <w:noProof/>
            <w:webHidden/>
          </w:rPr>
          <w:tab/>
        </w:r>
        <w:r w:rsidR="00506A39">
          <w:rPr>
            <w:noProof/>
            <w:webHidden/>
          </w:rPr>
          <w:fldChar w:fldCharType="begin"/>
        </w:r>
        <w:r w:rsidR="00506A39">
          <w:rPr>
            <w:noProof/>
            <w:webHidden/>
          </w:rPr>
          <w:instrText xml:space="preserve"> PAGEREF _Toc27138988 \h </w:instrText>
        </w:r>
        <w:r w:rsidR="00506A39">
          <w:rPr>
            <w:noProof/>
            <w:webHidden/>
          </w:rPr>
        </w:r>
        <w:r w:rsidR="00506A39">
          <w:rPr>
            <w:noProof/>
            <w:webHidden/>
          </w:rPr>
          <w:fldChar w:fldCharType="separate"/>
        </w:r>
        <w:r w:rsidR="00506A39">
          <w:rPr>
            <w:noProof/>
            <w:webHidden/>
          </w:rPr>
          <w:t>108</w:t>
        </w:r>
        <w:r w:rsidR="00506A39">
          <w:rPr>
            <w:noProof/>
            <w:webHidden/>
          </w:rPr>
          <w:fldChar w:fldCharType="end"/>
        </w:r>
      </w:hyperlink>
    </w:p>
    <w:p w14:paraId="0525499B" w14:textId="79D2E585" w:rsidR="00506A39" w:rsidRDefault="008F6FA6">
      <w:pPr>
        <w:pStyle w:val="TOC3"/>
        <w:tabs>
          <w:tab w:val="left" w:pos="1320"/>
        </w:tabs>
        <w:rPr>
          <w:rFonts w:asciiTheme="minorHAnsi" w:eastAsiaTheme="minorEastAsia" w:hAnsiTheme="minorHAnsi" w:cstheme="minorBidi"/>
          <w:noProof/>
          <w:color w:val="auto"/>
        </w:rPr>
      </w:pPr>
      <w:hyperlink w:anchor="_Toc27138989" w:history="1">
        <w:r w:rsidR="00506A39" w:rsidRPr="00692BF9">
          <w:rPr>
            <w:rStyle w:val="Hyperlink"/>
            <w:iCs/>
            <w:noProof/>
          </w:rPr>
          <w:t>V.2.7</w:t>
        </w:r>
        <w:r w:rsidR="00506A39">
          <w:rPr>
            <w:rFonts w:asciiTheme="minorHAnsi" w:eastAsiaTheme="minorEastAsia" w:hAnsiTheme="minorHAnsi" w:cstheme="minorBidi"/>
            <w:noProof/>
            <w:color w:val="auto"/>
          </w:rPr>
          <w:tab/>
        </w:r>
        <w:r w:rsidR="00506A39" w:rsidRPr="00692BF9">
          <w:rPr>
            <w:rStyle w:val="Hyperlink"/>
            <w:iCs/>
            <w:noProof/>
          </w:rPr>
          <w:t>Egyéb lényeges kockázatok</w:t>
        </w:r>
        <w:r w:rsidR="00506A39">
          <w:rPr>
            <w:noProof/>
            <w:webHidden/>
          </w:rPr>
          <w:tab/>
        </w:r>
        <w:r w:rsidR="00506A39">
          <w:rPr>
            <w:noProof/>
            <w:webHidden/>
          </w:rPr>
          <w:fldChar w:fldCharType="begin"/>
        </w:r>
        <w:r w:rsidR="00506A39">
          <w:rPr>
            <w:noProof/>
            <w:webHidden/>
          </w:rPr>
          <w:instrText xml:space="preserve"> PAGEREF _Toc27138989 \h </w:instrText>
        </w:r>
        <w:r w:rsidR="00506A39">
          <w:rPr>
            <w:noProof/>
            <w:webHidden/>
          </w:rPr>
        </w:r>
        <w:r w:rsidR="00506A39">
          <w:rPr>
            <w:noProof/>
            <w:webHidden/>
          </w:rPr>
          <w:fldChar w:fldCharType="separate"/>
        </w:r>
        <w:r w:rsidR="00506A39">
          <w:rPr>
            <w:noProof/>
            <w:webHidden/>
          </w:rPr>
          <w:t>108</w:t>
        </w:r>
        <w:r w:rsidR="00506A39">
          <w:rPr>
            <w:noProof/>
            <w:webHidden/>
          </w:rPr>
          <w:fldChar w:fldCharType="end"/>
        </w:r>
      </w:hyperlink>
    </w:p>
    <w:p w14:paraId="02857A6E" w14:textId="0AF8A6C3"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8990" w:history="1">
        <w:r w:rsidR="00506A39" w:rsidRPr="00692BF9">
          <w:rPr>
            <w:rStyle w:val="Hyperlink"/>
            <w:noProof/>
          </w:rPr>
          <w:t>V.2.7.1</w:t>
        </w:r>
        <w:r w:rsidR="00506A39">
          <w:rPr>
            <w:rFonts w:asciiTheme="minorHAnsi" w:eastAsiaTheme="minorEastAsia" w:hAnsiTheme="minorHAnsi" w:cstheme="minorBidi"/>
            <w:noProof/>
            <w:color w:val="auto"/>
          </w:rPr>
          <w:tab/>
        </w:r>
        <w:r w:rsidR="00506A39" w:rsidRPr="00692BF9">
          <w:rPr>
            <w:rStyle w:val="Hyperlink"/>
            <w:noProof/>
          </w:rPr>
          <w:t>Szabályozói környezetből adódó kockázat</w:t>
        </w:r>
        <w:r w:rsidR="00506A39">
          <w:rPr>
            <w:noProof/>
            <w:webHidden/>
          </w:rPr>
          <w:tab/>
        </w:r>
        <w:r w:rsidR="00506A39">
          <w:rPr>
            <w:noProof/>
            <w:webHidden/>
          </w:rPr>
          <w:fldChar w:fldCharType="begin"/>
        </w:r>
        <w:r w:rsidR="00506A39">
          <w:rPr>
            <w:noProof/>
            <w:webHidden/>
          </w:rPr>
          <w:instrText xml:space="preserve"> PAGEREF _Toc27138990 \h </w:instrText>
        </w:r>
        <w:r w:rsidR="00506A39">
          <w:rPr>
            <w:noProof/>
            <w:webHidden/>
          </w:rPr>
        </w:r>
        <w:r w:rsidR="00506A39">
          <w:rPr>
            <w:noProof/>
            <w:webHidden/>
          </w:rPr>
          <w:fldChar w:fldCharType="separate"/>
        </w:r>
        <w:r w:rsidR="00506A39">
          <w:rPr>
            <w:noProof/>
            <w:webHidden/>
          </w:rPr>
          <w:t>108</w:t>
        </w:r>
        <w:r w:rsidR="00506A39">
          <w:rPr>
            <w:noProof/>
            <w:webHidden/>
          </w:rPr>
          <w:fldChar w:fldCharType="end"/>
        </w:r>
      </w:hyperlink>
    </w:p>
    <w:p w14:paraId="55B68D80" w14:textId="3B18B320" w:rsidR="00506A39" w:rsidRDefault="008F6FA6">
      <w:pPr>
        <w:pStyle w:val="TOC2"/>
        <w:tabs>
          <w:tab w:val="left" w:pos="880"/>
        </w:tabs>
        <w:rPr>
          <w:rFonts w:asciiTheme="minorHAnsi" w:eastAsiaTheme="minorEastAsia" w:hAnsiTheme="minorHAnsi" w:cstheme="minorBidi"/>
          <w:color w:val="auto"/>
        </w:rPr>
      </w:pPr>
      <w:hyperlink w:anchor="_Toc27138991" w:history="1">
        <w:r w:rsidR="00506A39" w:rsidRPr="00692BF9">
          <w:rPr>
            <w:rStyle w:val="Hyperlink"/>
          </w:rPr>
          <w:t>V.3</w:t>
        </w:r>
        <w:r w:rsidR="00506A39">
          <w:rPr>
            <w:rFonts w:asciiTheme="minorHAnsi" w:eastAsiaTheme="minorEastAsia" w:hAnsiTheme="minorHAnsi" w:cstheme="minorBidi"/>
            <w:color w:val="auto"/>
          </w:rPr>
          <w:tab/>
        </w:r>
        <w:r w:rsidR="00506A39" w:rsidRPr="00692BF9">
          <w:rPr>
            <w:rStyle w:val="Hyperlink"/>
          </w:rPr>
          <w:t>Stressz tesztek</w:t>
        </w:r>
        <w:r w:rsidR="00506A39">
          <w:rPr>
            <w:webHidden/>
          </w:rPr>
          <w:tab/>
        </w:r>
        <w:r w:rsidR="00506A39">
          <w:rPr>
            <w:webHidden/>
          </w:rPr>
          <w:fldChar w:fldCharType="begin"/>
        </w:r>
        <w:r w:rsidR="00506A39">
          <w:rPr>
            <w:webHidden/>
          </w:rPr>
          <w:instrText xml:space="preserve"> PAGEREF _Toc27138991 \h </w:instrText>
        </w:r>
        <w:r w:rsidR="00506A39">
          <w:rPr>
            <w:webHidden/>
          </w:rPr>
        </w:r>
        <w:r w:rsidR="00506A39">
          <w:rPr>
            <w:webHidden/>
          </w:rPr>
          <w:fldChar w:fldCharType="separate"/>
        </w:r>
        <w:r w:rsidR="00506A39">
          <w:rPr>
            <w:webHidden/>
          </w:rPr>
          <w:t>109</w:t>
        </w:r>
        <w:r w:rsidR="00506A39">
          <w:rPr>
            <w:webHidden/>
          </w:rPr>
          <w:fldChar w:fldCharType="end"/>
        </w:r>
      </w:hyperlink>
    </w:p>
    <w:p w14:paraId="575F428A" w14:textId="3E7192B6" w:rsidR="00506A39" w:rsidRDefault="008F6FA6">
      <w:pPr>
        <w:pStyle w:val="TOC3"/>
        <w:tabs>
          <w:tab w:val="left" w:pos="1320"/>
        </w:tabs>
        <w:rPr>
          <w:rFonts w:asciiTheme="minorHAnsi" w:eastAsiaTheme="minorEastAsia" w:hAnsiTheme="minorHAnsi" w:cstheme="minorBidi"/>
          <w:noProof/>
          <w:color w:val="auto"/>
        </w:rPr>
      </w:pPr>
      <w:hyperlink w:anchor="_Toc27138992" w:history="1">
        <w:r w:rsidR="00506A39" w:rsidRPr="00692BF9">
          <w:rPr>
            <w:rStyle w:val="Hyperlink"/>
            <w:noProof/>
          </w:rPr>
          <w:t>V.3.1</w:t>
        </w:r>
        <w:r w:rsidR="00506A39">
          <w:rPr>
            <w:rFonts w:asciiTheme="minorHAnsi" w:eastAsiaTheme="minorEastAsia" w:hAnsiTheme="minorHAnsi" w:cstheme="minorBidi"/>
            <w:noProof/>
            <w:color w:val="auto"/>
          </w:rPr>
          <w:tab/>
        </w:r>
        <w:r w:rsidR="00506A39" w:rsidRPr="00692BF9">
          <w:rPr>
            <w:rStyle w:val="Hyperlink"/>
            <w:noProof/>
          </w:rPr>
          <w:t>Az alkalmazott kockázati modellek megbízhatósága</w:t>
        </w:r>
        <w:r w:rsidR="00506A39">
          <w:rPr>
            <w:noProof/>
            <w:webHidden/>
          </w:rPr>
          <w:tab/>
        </w:r>
        <w:r w:rsidR="00506A39">
          <w:rPr>
            <w:noProof/>
            <w:webHidden/>
          </w:rPr>
          <w:fldChar w:fldCharType="begin"/>
        </w:r>
        <w:r w:rsidR="00506A39">
          <w:rPr>
            <w:noProof/>
            <w:webHidden/>
          </w:rPr>
          <w:instrText xml:space="preserve"> PAGEREF _Toc27138992 \h </w:instrText>
        </w:r>
        <w:r w:rsidR="00506A39">
          <w:rPr>
            <w:noProof/>
            <w:webHidden/>
          </w:rPr>
        </w:r>
        <w:r w:rsidR="00506A39">
          <w:rPr>
            <w:noProof/>
            <w:webHidden/>
          </w:rPr>
          <w:fldChar w:fldCharType="separate"/>
        </w:r>
        <w:r w:rsidR="00506A39">
          <w:rPr>
            <w:noProof/>
            <w:webHidden/>
          </w:rPr>
          <w:t>112</w:t>
        </w:r>
        <w:r w:rsidR="00506A39">
          <w:rPr>
            <w:noProof/>
            <w:webHidden/>
          </w:rPr>
          <w:fldChar w:fldCharType="end"/>
        </w:r>
      </w:hyperlink>
    </w:p>
    <w:p w14:paraId="7C888D35" w14:textId="3B968AB4" w:rsidR="00506A39" w:rsidRDefault="008F6FA6">
      <w:pPr>
        <w:pStyle w:val="TOC3"/>
        <w:tabs>
          <w:tab w:val="left" w:pos="1320"/>
        </w:tabs>
        <w:rPr>
          <w:rFonts w:asciiTheme="minorHAnsi" w:eastAsiaTheme="minorEastAsia" w:hAnsiTheme="minorHAnsi" w:cstheme="minorBidi"/>
          <w:noProof/>
          <w:color w:val="auto"/>
        </w:rPr>
      </w:pPr>
      <w:hyperlink w:anchor="_Toc27138993" w:history="1">
        <w:r w:rsidR="00506A39" w:rsidRPr="00692BF9">
          <w:rPr>
            <w:rStyle w:val="Hyperlink"/>
            <w:noProof/>
          </w:rPr>
          <w:t>V.3.2</w:t>
        </w:r>
        <w:r w:rsidR="00506A39">
          <w:rPr>
            <w:rFonts w:asciiTheme="minorHAnsi" w:eastAsiaTheme="minorEastAsia" w:hAnsiTheme="minorHAnsi" w:cstheme="minorBidi"/>
            <w:noProof/>
            <w:color w:val="auto"/>
          </w:rPr>
          <w:tab/>
        </w:r>
        <w:r w:rsidR="00506A39" w:rsidRPr="00692BF9">
          <w:rPr>
            <w:rStyle w:val="Hyperlink"/>
            <w:noProof/>
          </w:rPr>
          <w:t>Integrált kockázatkezelési szemlélet érvényesítése</w:t>
        </w:r>
        <w:r w:rsidR="00506A39">
          <w:rPr>
            <w:noProof/>
            <w:webHidden/>
          </w:rPr>
          <w:tab/>
        </w:r>
        <w:r w:rsidR="00506A39">
          <w:rPr>
            <w:noProof/>
            <w:webHidden/>
          </w:rPr>
          <w:fldChar w:fldCharType="begin"/>
        </w:r>
        <w:r w:rsidR="00506A39">
          <w:rPr>
            <w:noProof/>
            <w:webHidden/>
          </w:rPr>
          <w:instrText xml:space="preserve"> PAGEREF _Toc27138993 \h </w:instrText>
        </w:r>
        <w:r w:rsidR="00506A39">
          <w:rPr>
            <w:noProof/>
            <w:webHidden/>
          </w:rPr>
        </w:r>
        <w:r w:rsidR="00506A39">
          <w:rPr>
            <w:noProof/>
            <w:webHidden/>
          </w:rPr>
          <w:fldChar w:fldCharType="separate"/>
        </w:r>
        <w:r w:rsidR="00506A39">
          <w:rPr>
            <w:noProof/>
            <w:webHidden/>
          </w:rPr>
          <w:t>112</w:t>
        </w:r>
        <w:r w:rsidR="00506A39">
          <w:rPr>
            <w:noProof/>
            <w:webHidden/>
          </w:rPr>
          <w:fldChar w:fldCharType="end"/>
        </w:r>
      </w:hyperlink>
    </w:p>
    <w:p w14:paraId="1D9E2BBB" w14:textId="422DAA0D" w:rsidR="00506A39" w:rsidRDefault="008F6FA6">
      <w:pPr>
        <w:pStyle w:val="TOC3"/>
        <w:tabs>
          <w:tab w:val="left" w:pos="1320"/>
        </w:tabs>
        <w:rPr>
          <w:rFonts w:asciiTheme="minorHAnsi" w:eastAsiaTheme="minorEastAsia" w:hAnsiTheme="minorHAnsi" w:cstheme="minorBidi"/>
          <w:noProof/>
          <w:color w:val="auto"/>
        </w:rPr>
      </w:pPr>
      <w:hyperlink w:anchor="_Toc27138994" w:history="1">
        <w:r w:rsidR="00506A39" w:rsidRPr="00692BF9">
          <w:rPr>
            <w:rStyle w:val="Hyperlink"/>
            <w:noProof/>
          </w:rPr>
          <w:t>V.3.3</w:t>
        </w:r>
        <w:r w:rsidR="00506A39">
          <w:rPr>
            <w:rFonts w:asciiTheme="minorHAnsi" w:eastAsiaTheme="minorEastAsia" w:hAnsiTheme="minorHAnsi" w:cstheme="minorBidi"/>
            <w:noProof/>
            <w:color w:val="auto"/>
          </w:rPr>
          <w:tab/>
        </w:r>
        <w:r w:rsidR="00506A39" w:rsidRPr="00692BF9">
          <w:rPr>
            <w:rStyle w:val="Hyperlink"/>
            <w:noProof/>
          </w:rPr>
          <w:t>Arányosság elvének gyakorlati megjelenése kis intézmények esetén</w:t>
        </w:r>
        <w:r w:rsidR="00506A39">
          <w:rPr>
            <w:noProof/>
            <w:webHidden/>
          </w:rPr>
          <w:tab/>
        </w:r>
        <w:r w:rsidR="00506A39">
          <w:rPr>
            <w:noProof/>
            <w:webHidden/>
          </w:rPr>
          <w:fldChar w:fldCharType="begin"/>
        </w:r>
        <w:r w:rsidR="00506A39">
          <w:rPr>
            <w:noProof/>
            <w:webHidden/>
          </w:rPr>
          <w:instrText xml:space="preserve"> PAGEREF _Toc27138994 \h </w:instrText>
        </w:r>
        <w:r w:rsidR="00506A39">
          <w:rPr>
            <w:noProof/>
            <w:webHidden/>
          </w:rPr>
        </w:r>
        <w:r w:rsidR="00506A39">
          <w:rPr>
            <w:noProof/>
            <w:webHidden/>
          </w:rPr>
          <w:fldChar w:fldCharType="separate"/>
        </w:r>
        <w:r w:rsidR="00506A39">
          <w:rPr>
            <w:noProof/>
            <w:webHidden/>
          </w:rPr>
          <w:t>114</w:t>
        </w:r>
        <w:r w:rsidR="00506A39">
          <w:rPr>
            <w:noProof/>
            <w:webHidden/>
          </w:rPr>
          <w:fldChar w:fldCharType="end"/>
        </w:r>
      </w:hyperlink>
    </w:p>
    <w:p w14:paraId="580079FA" w14:textId="2166BBAC" w:rsidR="00506A39" w:rsidRDefault="008F6FA6">
      <w:pPr>
        <w:pStyle w:val="TOC2"/>
        <w:tabs>
          <w:tab w:val="left" w:pos="880"/>
        </w:tabs>
        <w:rPr>
          <w:rFonts w:asciiTheme="minorHAnsi" w:eastAsiaTheme="minorEastAsia" w:hAnsiTheme="minorHAnsi" w:cstheme="minorBidi"/>
          <w:color w:val="auto"/>
        </w:rPr>
      </w:pPr>
      <w:hyperlink w:anchor="_Toc27138995" w:history="1">
        <w:r w:rsidR="00506A39" w:rsidRPr="00692BF9">
          <w:rPr>
            <w:rStyle w:val="Hyperlink"/>
          </w:rPr>
          <w:t>V.4</w:t>
        </w:r>
        <w:r w:rsidR="00506A39">
          <w:rPr>
            <w:rFonts w:asciiTheme="minorHAnsi" w:eastAsiaTheme="minorEastAsia" w:hAnsiTheme="minorHAnsi" w:cstheme="minorBidi"/>
            <w:color w:val="auto"/>
          </w:rPr>
          <w:tab/>
        </w:r>
        <w:r w:rsidR="00506A39" w:rsidRPr="00692BF9">
          <w:rPr>
            <w:rStyle w:val="Hyperlink"/>
          </w:rPr>
          <w:t>Capital guidance meghatározásához használt stressz teszt keretrendszer bemutatása</w:t>
        </w:r>
        <w:r w:rsidR="00506A39">
          <w:rPr>
            <w:webHidden/>
          </w:rPr>
          <w:tab/>
        </w:r>
        <w:r w:rsidR="00506A39">
          <w:rPr>
            <w:webHidden/>
          </w:rPr>
          <w:fldChar w:fldCharType="begin"/>
        </w:r>
        <w:r w:rsidR="00506A39">
          <w:rPr>
            <w:webHidden/>
          </w:rPr>
          <w:instrText xml:space="preserve"> PAGEREF _Toc27138995 \h </w:instrText>
        </w:r>
        <w:r w:rsidR="00506A39">
          <w:rPr>
            <w:webHidden/>
          </w:rPr>
        </w:r>
        <w:r w:rsidR="00506A39">
          <w:rPr>
            <w:webHidden/>
          </w:rPr>
          <w:fldChar w:fldCharType="separate"/>
        </w:r>
        <w:r w:rsidR="00506A39">
          <w:rPr>
            <w:webHidden/>
          </w:rPr>
          <w:t>114</w:t>
        </w:r>
        <w:r w:rsidR="00506A39">
          <w:rPr>
            <w:webHidden/>
          </w:rPr>
          <w:fldChar w:fldCharType="end"/>
        </w:r>
      </w:hyperlink>
    </w:p>
    <w:p w14:paraId="25544BE1" w14:textId="469FA29B" w:rsidR="00506A39" w:rsidRDefault="008F6FA6">
      <w:pPr>
        <w:pStyle w:val="TOC2"/>
        <w:tabs>
          <w:tab w:val="left" w:pos="880"/>
        </w:tabs>
        <w:rPr>
          <w:rFonts w:asciiTheme="minorHAnsi" w:eastAsiaTheme="minorEastAsia" w:hAnsiTheme="minorHAnsi" w:cstheme="minorBidi"/>
          <w:color w:val="auto"/>
        </w:rPr>
      </w:pPr>
      <w:hyperlink w:anchor="_Toc27138996" w:history="1">
        <w:r w:rsidR="00506A39" w:rsidRPr="00692BF9">
          <w:rPr>
            <w:rStyle w:val="Hyperlink"/>
          </w:rPr>
          <w:t>V.5</w:t>
        </w:r>
        <w:r w:rsidR="00506A39">
          <w:rPr>
            <w:rFonts w:asciiTheme="minorHAnsi" w:eastAsiaTheme="minorEastAsia" w:hAnsiTheme="minorHAnsi" w:cstheme="minorBidi"/>
            <w:color w:val="auto"/>
          </w:rPr>
          <w:tab/>
        </w:r>
        <w:r w:rsidR="00506A39" w:rsidRPr="00692BF9">
          <w:rPr>
            <w:rStyle w:val="Hyperlink"/>
          </w:rPr>
          <w:t>Tőkekövetelmény meghatározása</w:t>
        </w:r>
        <w:r w:rsidR="00506A39">
          <w:rPr>
            <w:webHidden/>
          </w:rPr>
          <w:tab/>
        </w:r>
        <w:r w:rsidR="00506A39">
          <w:rPr>
            <w:webHidden/>
          </w:rPr>
          <w:fldChar w:fldCharType="begin"/>
        </w:r>
        <w:r w:rsidR="00506A39">
          <w:rPr>
            <w:webHidden/>
          </w:rPr>
          <w:instrText xml:space="preserve"> PAGEREF _Toc27138996 \h </w:instrText>
        </w:r>
        <w:r w:rsidR="00506A39">
          <w:rPr>
            <w:webHidden/>
          </w:rPr>
        </w:r>
        <w:r w:rsidR="00506A39">
          <w:rPr>
            <w:webHidden/>
          </w:rPr>
          <w:fldChar w:fldCharType="separate"/>
        </w:r>
        <w:r w:rsidR="00506A39">
          <w:rPr>
            <w:webHidden/>
          </w:rPr>
          <w:t>119</w:t>
        </w:r>
        <w:r w:rsidR="00506A39">
          <w:rPr>
            <w:webHidden/>
          </w:rPr>
          <w:fldChar w:fldCharType="end"/>
        </w:r>
      </w:hyperlink>
    </w:p>
    <w:p w14:paraId="2DEFCB55" w14:textId="7E2CF870" w:rsidR="00506A39" w:rsidRDefault="008F6FA6">
      <w:pPr>
        <w:pStyle w:val="TOC3"/>
        <w:tabs>
          <w:tab w:val="left" w:pos="1320"/>
        </w:tabs>
        <w:rPr>
          <w:rFonts w:asciiTheme="minorHAnsi" w:eastAsiaTheme="minorEastAsia" w:hAnsiTheme="minorHAnsi" w:cstheme="minorBidi"/>
          <w:noProof/>
          <w:color w:val="auto"/>
        </w:rPr>
      </w:pPr>
      <w:hyperlink w:anchor="_Toc27138997" w:history="1">
        <w:r w:rsidR="00506A39" w:rsidRPr="00692BF9">
          <w:rPr>
            <w:rStyle w:val="Hyperlink"/>
            <w:noProof/>
          </w:rPr>
          <w:t>V.5.1</w:t>
        </w:r>
        <w:r w:rsidR="00506A39">
          <w:rPr>
            <w:rFonts w:asciiTheme="minorHAnsi" w:eastAsiaTheme="minorEastAsia" w:hAnsiTheme="minorHAnsi" w:cstheme="minorBidi"/>
            <w:noProof/>
            <w:color w:val="auto"/>
          </w:rPr>
          <w:tab/>
        </w:r>
        <w:r w:rsidR="00506A39" w:rsidRPr="00692BF9">
          <w:rPr>
            <w:rStyle w:val="Hyperlink"/>
            <w:noProof/>
          </w:rPr>
          <w:t>Különbségek az alkalmazott módszerek kifinomultságában</w:t>
        </w:r>
        <w:r w:rsidR="00506A39">
          <w:rPr>
            <w:noProof/>
            <w:webHidden/>
          </w:rPr>
          <w:tab/>
        </w:r>
        <w:r w:rsidR="00506A39">
          <w:rPr>
            <w:noProof/>
            <w:webHidden/>
          </w:rPr>
          <w:fldChar w:fldCharType="begin"/>
        </w:r>
        <w:r w:rsidR="00506A39">
          <w:rPr>
            <w:noProof/>
            <w:webHidden/>
          </w:rPr>
          <w:instrText xml:space="preserve"> PAGEREF _Toc27138997 \h </w:instrText>
        </w:r>
        <w:r w:rsidR="00506A39">
          <w:rPr>
            <w:noProof/>
            <w:webHidden/>
          </w:rPr>
        </w:r>
        <w:r w:rsidR="00506A39">
          <w:rPr>
            <w:noProof/>
            <w:webHidden/>
          </w:rPr>
          <w:fldChar w:fldCharType="separate"/>
        </w:r>
        <w:r w:rsidR="00506A39">
          <w:rPr>
            <w:noProof/>
            <w:webHidden/>
          </w:rPr>
          <w:t>119</w:t>
        </w:r>
        <w:r w:rsidR="00506A39">
          <w:rPr>
            <w:noProof/>
            <w:webHidden/>
          </w:rPr>
          <w:fldChar w:fldCharType="end"/>
        </w:r>
      </w:hyperlink>
    </w:p>
    <w:p w14:paraId="6358587D" w14:textId="2DDAD3C8" w:rsidR="00506A39" w:rsidRDefault="008F6FA6">
      <w:pPr>
        <w:pStyle w:val="TOC3"/>
        <w:tabs>
          <w:tab w:val="left" w:pos="1320"/>
        </w:tabs>
        <w:rPr>
          <w:rFonts w:asciiTheme="minorHAnsi" w:eastAsiaTheme="minorEastAsia" w:hAnsiTheme="minorHAnsi" w:cstheme="minorBidi"/>
          <w:noProof/>
          <w:color w:val="auto"/>
        </w:rPr>
      </w:pPr>
      <w:hyperlink w:anchor="_Toc27138998" w:history="1">
        <w:r w:rsidR="00506A39" w:rsidRPr="00692BF9">
          <w:rPr>
            <w:rStyle w:val="Hyperlink"/>
            <w:noProof/>
          </w:rPr>
          <w:t>V.5.2</w:t>
        </w:r>
        <w:r w:rsidR="00506A39">
          <w:rPr>
            <w:rFonts w:asciiTheme="minorHAnsi" w:eastAsiaTheme="minorEastAsia" w:hAnsiTheme="minorHAnsi" w:cstheme="minorBidi"/>
            <w:noProof/>
            <w:color w:val="auto"/>
          </w:rPr>
          <w:tab/>
        </w:r>
        <w:r w:rsidR="00506A39" w:rsidRPr="00692BF9">
          <w:rPr>
            <w:rStyle w:val="Hyperlink"/>
            <w:noProof/>
          </w:rPr>
          <w:t>Lehetséges eltérések az 1. és 2. pillér között</w:t>
        </w:r>
        <w:r w:rsidR="00506A39">
          <w:rPr>
            <w:noProof/>
            <w:webHidden/>
          </w:rPr>
          <w:tab/>
        </w:r>
        <w:r w:rsidR="00506A39">
          <w:rPr>
            <w:noProof/>
            <w:webHidden/>
          </w:rPr>
          <w:fldChar w:fldCharType="begin"/>
        </w:r>
        <w:r w:rsidR="00506A39">
          <w:rPr>
            <w:noProof/>
            <w:webHidden/>
          </w:rPr>
          <w:instrText xml:space="preserve"> PAGEREF _Toc27138998 \h </w:instrText>
        </w:r>
        <w:r w:rsidR="00506A39">
          <w:rPr>
            <w:noProof/>
            <w:webHidden/>
          </w:rPr>
        </w:r>
        <w:r w:rsidR="00506A39">
          <w:rPr>
            <w:noProof/>
            <w:webHidden/>
          </w:rPr>
          <w:fldChar w:fldCharType="separate"/>
        </w:r>
        <w:r w:rsidR="00506A39">
          <w:rPr>
            <w:noProof/>
            <w:webHidden/>
          </w:rPr>
          <w:t>119</w:t>
        </w:r>
        <w:r w:rsidR="00506A39">
          <w:rPr>
            <w:noProof/>
            <w:webHidden/>
          </w:rPr>
          <w:fldChar w:fldCharType="end"/>
        </w:r>
      </w:hyperlink>
    </w:p>
    <w:p w14:paraId="4F47A0BB" w14:textId="4FAA77BB" w:rsidR="00506A39" w:rsidRDefault="008F6FA6">
      <w:pPr>
        <w:pStyle w:val="TOC3"/>
        <w:tabs>
          <w:tab w:val="left" w:pos="1320"/>
        </w:tabs>
        <w:rPr>
          <w:rFonts w:asciiTheme="minorHAnsi" w:eastAsiaTheme="minorEastAsia" w:hAnsiTheme="minorHAnsi" w:cstheme="minorBidi"/>
          <w:noProof/>
          <w:color w:val="auto"/>
        </w:rPr>
      </w:pPr>
      <w:hyperlink w:anchor="_Toc27138999" w:history="1">
        <w:r w:rsidR="00506A39" w:rsidRPr="00692BF9">
          <w:rPr>
            <w:rStyle w:val="Hyperlink"/>
            <w:noProof/>
          </w:rPr>
          <w:t>V.5.3</w:t>
        </w:r>
        <w:r w:rsidR="00506A39">
          <w:rPr>
            <w:rFonts w:asciiTheme="minorHAnsi" w:eastAsiaTheme="minorEastAsia" w:hAnsiTheme="minorHAnsi" w:cstheme="minorBidi"/>
            <w:noProof/>
            <w:color w:val="auto"/>
          </w:rPr>
          <w:tab/>
        </w:r>
        <w:r w:rsidR="00506A39" w:rsidRPr="00692BF9">
          <w:rPr>
            <w:rStyle w:val="Hyperlink"/>
            <w:noProof/>
          </w:rPr>
          <w:t>Tőkeallokáció</w:t>
        </w:r>
        <w:r w:rsidR="00506A39">
          <w:rPr>
            <w:noProof/>
            <w:webHidden/>
          </w:rPr>
          <w:tab/>
        </w:r>
        <w:r w:rsidR="00506A39">
          <w:rPr>
            <w:noProof/>
            <w:webHidden/>
          </w:rPr>
          <w:fldChar w:fldCharType="begin"/>
        </w:r>
        <w:r w:rsidR="00506A39">
          <w:rPr>
            <w:noProof/>
            <w:webHidden/>
          </w:rPr>
          <w:instrText xml:space="preserve"> PAGEREF _Toc27138999 \h </w:instrText>
        </w:r>
        <w:r w:rsidR="00506A39">
          <w:rPr>
            <w:noProof/>
            <w:webHidden/>
          </w:rPr>
        </w:r>
        <w:r w:rsidR="00506A39">
          <w:rPr>
            <w:noProof/>
            <w:webHidden/>
          </w:rPr>
          <w:fldChar w:fldCharType="separate"/>
        </w:r>
        <w:r w:rsidR="00506A39">
          <w:rPr>
            <w:noProof/>
            <w:webHidden/>
          </w:rPr>
          <w:t>121</w:t>
        </w:r>
        <w:r w:rsidR="00506A39">
          <w:rPr>
            <w:noProof/>
            <w:webHidden/>
          </w:rPr>
          <w:fldChar w:fldCharType="end"/>
        </w:r>
      </w:hyperlink>
    </w:p>
    <w:p w14:paraId="09EE004D" w14:textId="3C1D3517" w:rsidR="00506A39" w:rsidRDefault="008F6FA6">
      <w:pPr>
        <w:pStyle w:val="TOC3"/>
        <w:tabs>
          <w:tab w:val="left" w:pos="1320"/>
        </w:tabs>
        <w:rPr>
          <w:rFonts w:asciiTheme="minorHAnsi" w:eastAsiaTheme="minorEastAsia" w:hAnsiTheme="minorHAnsi" w:cstheme="minorBidi"/>
          <w:noProof/>
          <w:color w:val="auto"/>
        </w:rPr>
      </w:pPr>
      <w:hyperlink w:anchor="_Toc27139000" w:history="1">
        <w:r w:rsidR="00506A39" w:rsidRPr="00692BF9">
          <w:rPr>
            <w:rStyle w:val="Hyperlink"/>
            <w:noProof/>
          </w:rPr>
          <w:t>V.5.4</w:t>
        </w:r>
        <w:r w:rsidR="00506A39">
          <w:rPr>
            <w:rFonts w:asciiTheme="minorHAnsi" w:eastAsiaTheme="minorEastAsia" w:hAnsiTheme="minorHAnsi" w:cstheme="minorBidi"/>
            <w:noProof/>
            <w:color w:val="auto"/>
          </w:rPr>
          <w:tab/>
        </w:r>
        <w:r w:rsidR="00506A39" w:rsidRPr="00692BF9">
          <w:rPr>
            <w:rStyle w:val="Hyperlink"/>
            <w:noProof/>
          </w:rPr>
          <w:t>A tőkeszükséglet megállapítása a felügyeleti felülvizsgálat után</w:t>
        </w:r>
        <w:r w:rsidR="00506A39">
          <w:rPr>
            <w:noProof/>
            <w:webHidden/>
          </w:rPr>
          <w:tab/>
        </w:r>
        <w:r w:rsidR="00506A39">
          <w:rPr>
            <w:noProof/>
            <w:webHidden/>
          </w:rPr>
          <w:fldChar w:fldCharType="begin"/>
        </w:r>
        <w:r w:rsidR="00506A39">
          <w:rPr>
            <w:noProof/>
            <w:webHidden/>
          </w:rPr>
          <w:instrText xml:space="preserve"> PAGEREF _Toc27139000 \h </w:instrText>
        </w:r>
        <w:r w:rsidR="00506A39">
          <w:rPr>
            <w:noProof/>
            <w:webHidden/>
          </w:rPr>
        </w:r>
        <w:r w:rsidR="00506A39">
          <w:rPr>
            <w:noProof/>
            <w:webHidden/>
          </w:rPr>
          <w:fldChar w:fldCharType="separate"/>
        </w:r>
        <w:r w:rsidR="00506A39">
          <w:rPr>
            <w:noProof/>
            <w:webHidden/>
          </w:rPr>
          <w:t>121</w:t>
        </w:r>
        <w:r w:rsidR="00506A39">
          <w:rPr>
            <w:noProof/>
            <w:webHidden/>
          </w:rPr>
          <w:fldChar w:fldCharType="end"/>
        </w:r>
      </w:hyperlink>
    </w:p>
    <w:p w14:paraId="0A8E3FB3" w14:textId="2926AB09"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1" w:history="1">
        <w:r w:rsidR="00506A39" w:rsidRPr="00692BF9">
          <w:rPr>
            <w:rStyle w:val="Hyperlink"/>
            <w:noProof/>
          </w:rPr>
          <w:t>V.5.4.1</w:t>
        </w:r>
        <w:r w:rsidR="00506A39">
          <w:rPr>
            <w:rFonts w:asciiTheme="minorHAnsi" w:eastAsiaTheme="minorEastAsia" w:hAnsiTheme="minorHAnsi" w:cstheme="minorBidi"/>
            <w:noProof/>
            <w:color w:val="auto"/>
          </w:rPr>
          <w:tab/>
        </w:r>
        <w:r w:rsidR="00506A39" w:rsidRPr="00692BF9">
          <w:rPr>
            <w:rStyle w:val="Hyperlink"/>
            <w:noProof/>
          </w:rPr>
          <w:t>Pótlólagos többlet-tőkekövetelmény meghatározása</w:t>
        </w:r>
        <w:r w:rsidR="00506A39">
          <w:rPr>
            <w:noProof/>
            <w:webHidden/>
          </w:rPr>
          <w:tab/>
        </w:r>
        <w:r w:rsidR="00506A39">
          <w:rPr>
            <w:noProof/>
            <w:webHidden/>
          </w:rPr>
          <w:fldChar w:fldCharType="begin"/>
        </w:r>
        <w:r w:rsidR="00506A39">
          <w:rPr>
            <w:noProof/>
            <w:webHidden/>
          </w:rPr>
          <w:instrText xml:space="preserve"> PAGEREF _Toc27139001 \h </w:instrText>
        </w:r>
        <w:r w:rsidR="00506A39">
          <w:rPr>
            <w:noProof/>
            <w:webHidden/>
          </w:rPr>
        </w:r>
        <w:r w:rsidR="00506A39">
          <w:rPr>
            <w:noProof/>
            <w:webHidden/>
          </w:rPr>
          <w:fldChar w:fldCharType="separate"/>
        </w:r>
        <w:r w:rsidR="00506A39">
          <w:rPr>
            <w:noProof/>
            <w:webHidden/>
          </w:rPr>
          <w:t>121</w:t>
        </w:r>
        <w:r w:rsidR="00506A39">
          <w:rPr>
            <w:noProof/>
            <w:webHidden/>
          </w:rPr>
          <w:fldChar w:fldCharType="end"/>
        </w:r>
      </w:hyperlink>
    </w:p>
    <w:p w14:paraId="0E2E7293" w14:textId="7A55BA20"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2" w:history="1">
        <w:r w:rsidR="00506A39" w:rsidRPr="00692BF9">
          <w:rPr>
            <w:rStyle w:val="Hyperlink"/>
            <w:noProof/>
          </w:rPr>
          <w:t>V.5.4.2</w:t>
        </w:r>
        <w:r w:rsidR="00506A39">
          <w:rPr>
            <w:rFonts w:asciiTheme="minorHAnsi" w:eastAsiaTheme="minorEastAsia" w:hAnsiTheme="minorHAnsi" w:cstheme="minorBidi"/>
            <w:noProof/>
            <w:color w:val="auto"/>
          </w:rPr>
          <w:tab/>
        </w:r>
        <w:r w:rsidR="00506A39" w:rsidRPr="00692BF9">
          <w:rPr>
            <w:rStyle w:val="Hyperlink"/>
            <w:noProof/>
          </w:rPr>
          <w:t>SREP tőkekövetelmény (TSCR)</w:t>
        </w:r>
        <w:r w:rsidR="00506A39">
          <w:rPr>
            <w:noProof/>
            <w:webHidden/>
          </w:rPr>
          <w:tab/>
        </w:r>
        <w:r w:rsidR="00506A39">
          <w:rPr>
            <w:noProof/>
            <w:webHidden/>
          </w:rPr>
          <w:fldChar w:fldCharType="begin"/>
        </w:r>
        <w:r w:rsidR="00506A39">
          <w:rPr>
            <w:noProof/>
            <w:webHidden/>
          </w:rPr>
          <w:instrText xml:space="preserve"> PAGEREF _Toc27139002 \h </w:instrText>
        </w:r>
        <w:r w:rsidR="00506A39">
          <w:rPr>
            <w:noProof/>
            <w:webHidden/>
          </w:rPr>
        </w:r>
        <w:r w:rsidR="00506A39">
          <w:rPr>
            <w:noProof/>
            <w:webHidden/>
          </w:rPr>
          <w:fldChar w:fldCharType="separate"/>
        </w:r>
        <w:r w:rsidR="00506A39">
          <w:rPr>
            <w:noProof/>
            <w:webHidden/>
          </w:rPr>
          <w:t>123</w:t>
        </w:r>
        <w:r w:rsidR="00506A39">
          <w:rPr>
            <w:noProof/>
            <w:webHidden/>
          </w:rPr>
          <w:fldChar w:fldCharType="end"/>
        </w:r>
      </w:hyperlink>
    </w:p>
    <w:p w14:paraId="26EE1BE3" w14:textId="3382F309"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3" w:history="1">
        <w:r w:rsidR="00506A39" w:rsidRPr="00692BF9">
          <w:rPr>
            <w:rStyle w:val="Hyperlink"/>
            <w:noProof/>
          </w:rPr>
          <w:t>V.5.4.3</w:t>
        </w:r>
        <w:r w:rsidR="00506A39">
          <w:rPr>
            <w:rFonts w:asciiTheme="minorHAnsi" w:eastAsiaTheme="minorEastAsia" w:hAnsiTheme="minorHAnsi" w:cstheme="minorBidi"/>
            <w:noProof/>
            <w:color w:val="auto"/>
          </w:rPr>
          <w:tab/>
        </w:r>
        <w:r w:rsidR="00506A39" w:rsidRPr="00692BF9">
          <w:rPr>
            <w:rStyle w:val="Hyperlink"/>
            <w:noProof/>
          </w:rPr>
          <w:t>SREP tőkekövetelmény mutató</w:t>
        </w:r>
        <w:r w:rsidR="00506A39">
          <w:rPr>
            <w:noProof/>
            <w:webHidden/>
          </w:rPr>
          <w:tab/>
        </w:r>
        <w:r w:rsidR="00506A39">
          <w:rPr>
            <w:noProof/>
            <w:webHidden/>
          </w:rPr>
          <w:fldChar w:fldCharType="begin"/>
        </w:r>
        <w:r w:rsidR="00506A39">
          <w:rPr>
            <w:noProof/>
            <w:webHidden/>
          </w:rPr>
          <w:instrText xml:space="preserve"> PAGEREF _Toc27139003 \h </w:instrText>
        </w:r>
        <w:r w:rsidR="00506A39">
          <w:rPr>
            <w:noProof/>
            <w:webHidden/>
          </w:rPr>
        </w:r>
        <w:r w:rsidR="00506A39">
          <w:rPr>
            <w:noProof/>
            <w:webHidden/>
          </w:rPr>
          <w:fldChar w:fldCharType="separate"/>
        </w:r>
        <w:r w:rsidR="00506A39">
          <w:rPr>
            <w:noProof/>
            <w:webHidden/>
          </w:rPr>
          <w:t>123</w:t>
        </w:r>
        <w:r w:rsidR="00506A39">
          <w:rPr>
            <w:noProof/>
            <w:webHidden/>
          </w:rPr>
          <w:fldChar w:fldCharType="end"/>
        </w:r>
      </w:hyperlink>
    </w:p>
    <w:p w14:paraId="17B0ACEF" w14:textId="75628898"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4" w:history="1">
        <w:r w:rsidR="00506A39" w:rsidRPr="00692BF9">
          <w:rPr>
            <w:rStyle w:val="Hyperlink"/>
            <w:noProof/>
          </w:rPr>
          <w:t>V.5.4.4</w:t>
        </w:r>
        <w:r w:rsidR="00506A39">
          <w:rPr>
            <w:rFonts w:asciiTheme="minorHAnsi" w:eastAsiaTheme="minorEastAsia" w:hAnsiTheme="minorHAnsi" w:cstheme="minorBidi"/>
            <w:noProof/>
            <w:color w:val="auto"/>
          </w:rPr>
          <w:tab/>
        </w:r>
        <w:r w:rsidR="00506A39" w:rsidRPr="00692BF9">
          <w:rPr>
            <w:rStyle w:val="Hyperlink"/>
            <w:noProof/>
          </w:rPr>
          <w:t>Kombinált tőkepuffer-követelmény</w:t>
        </w:r>
        <w:r w:rsidR="00506A39">
          <w:rPr>
            <w:noProof/>
            <w:webHidden/>
          </w:rPr>
          <w:tab/>
        </w:r>
        <w:r w:rsidR="00506A39">
          <w:rPr>
            <w:noProof/>
            <w:webHidden/>
          </w:rPr>
          <w:fldChar w:fldCharType="begin"/>
        </w:r>
        <w:r w:rsidR="00506A39">
          <w:rPr>
            <w:noProof/>
            <w:webHidden/>
          </w:rPr>
          <w:instrText xml:space="preserve"> PAGEREF _Toc27139004 \h </w:instrText>
        </w:r>
        <w:r w:rsidR="00506A39">
          <w:rPr>
            <w:noProof/>
            <w:webHidden/>
          </w:rPr>
        </w:r>
        <w:r w:rsidR="00506A39">
          <w:rPr>
            <w:noProof/>
            <w:webHidden/>
          </w:rPr>
          <w:fldChar w:fldCharType="separate"/>
        </w:r>
        <w:r w:rsidR="00506A39">
          <w:rPr>
            <w:noProof/>
            <w:webHidden/>
          </w:rPr>
          <w:t>124</w:t>
        </w:r>
        <w:r w:rsidR="00506A39">
          <w:rPr>
            <w:noProof/>
            <w:webHidden/>
          </w:rPr>
          <w:fldChar w:fldCharType="end"/>
        </w:r>
      </w:hyperlink>
    </w:p>
    <w:p w14:paraId="6FE6FBA7" w14:textId="24EA10BF"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5" w:history="1">
        <w:r w:rsidR="00506A39" w:rsidRPr="00692BF9">
          <w:rPr>
            <w:rStyle w:val="Hyperlink"/>
            <w:noProof/>
          </w:rPr>
          <w:t>V.5.4.5</w:t>
        </w:r>
        <w:r w:rsidR="00506A39">
          <w:rPr>
            <w:rFonts w:asciiTheme="minorHAnsi" w:eastAsiaTheme="minorEastAsia" w:hAnsiTheme="minorHAnsi" w:cstheme="minorBidi"/>
            <w:noProof/>
            <w:color w:val="auto"/>
          </w:rPr>
          <w:tab/>
        </w:r>
        <w:r w:rsidR="00506A39" w:rsidRPr="00692BF9">
          <w:rPr>
            <w:rStyle w:val="Hyperlink"/>
            <w:noProof/>
          </w:rPr>
          <w:t>Teljes tőkekövetelmény (OCR)</w:t>
        </w:r>
        <w:r w:rsidR="00506A39">
          <w:rPr>
            <w:noProof/>
            <w:webHidden/>
          </w:rPr>
          <w:tab/>
        </w:r>
        <w:r w:rsidR="00506A39">
          <w:rPr>
            <w:noProof/>
            <w:webHidden/>
          </w:rPr>
          <w:fldChar w:fldCharType="begin"/>
        </w:r>
        <w:r w:rsidR="00506A39">
          <w:rPr>
            <w:noProof/>
            <w:webHidden/>
          </w:rPr>
          <w:instrText xml:space="preserve"> PAGEREF _Toc27139005 \h </w:instrText>
        </w:r>
        <w:r w:rsidR="00506A39">
          <w:rPr>
            <w:noProof/>
            <w:webHidden/>
          </w:rPr>
        </w:r>
        <w:r w:rsidR="00506A39">
          <w:rPr>
            <w:noProof/>
            <w:webHidden/>
          </w:rPr>
          <w:fldChar w:fldCharType="separate"/>
        </w:r>
        <w:r w:rsidR="00506A39">
          <w:rPr>
            <w:noProof/>
            <w:webHidden/>
          </w:rPr>
          <w:t>125</w:t>
        </w:r>
        <w:r w:rsidR="00506A39">
          <w:rPr>
            <w:noProof/>
            <w:webHidden/>
          </w:rPr>
          <w:fldChar w:fldCharType="end"/>
        </w:r>
      </w:hyperlink>
    </w:p>
    <w:p w14:paraId="0B5123AB" w14:textId="5A5FAB7E" w:rsidR="00506A39" w:rsidRDefault="008F6FA6">
      <w:pPr>
        <w:pStyle w:val="TOC4"/>
        <w:tabs>
          <w:tab w:val="left" w:pos="1760"/>
          <w:tab w:val="right" w:leader="dot" w:pos="9346"/>
        </w:tabs>
        <w:rPr>
          <w:rFonts w:asciiTheme="minorHAnsi" w:eastAsiaTheme="minorEastAsia" w:hAnsiTheme="minorHAnsi" w:cstheme="minorBidi"/>
          <w:noProof/>
          <w:color w:val="auto"/>
        </w:rPr>
      </w:pPr>
      <w:hyperlink w:anchor="_Toc27139006" w:history="1">
        <w:r w:rsidR="00506A39" w:rsidRPr="00692BF9">
          <w:rPr>
            <w:rStyle w:val="Hyperlink"/>
            <w:noProof/>
          </w:rPr>
          <w:t>V.5.4.6</w:t>
        </w:r>
        <w:r w:rsidR="00506A39">
          <w:rPr>
            <w:rFonts w:asciiTheme="minorHAnsi" w:eastAsiaTheme="minorEastAsia" w:hAnsiTheme="minorHAnsi" w:cstheme="minorBidi"/>
            <w:noProof/>
            <w:color w:val="auto"/>
          </w:rPr>
          <w:tab/>
        </w:r>
        <w:r w:rsidR="00506A39" w:rsidRPr="00692BF9">
          <w:rPr>
            <w:rStyle w:val="Hyperlink"/>
            <w:noProof/>
          </w:rPr>
          <w:t>Felügyeleti tőkeajánlás (P2G)</w:t>
        </w:r>
        <w:r w:rsidR="00506A39">
          <w:rPr>
            <w:noProof/>
            <w:webHidden/>
          </w:rPr>
          <w:tab/>
        </w:r>
        <w:r w:rsidR="00506A39">
          <w:rPr>
            <w:noProof/>
            <w:webHidden/>
          </w:rPr>
          <w:fldChar w:fldCharType="begin"/>
        </w:r>
        <w:r w:rsidR="00506A39">
          <w:rPr>
            <w:noProof/>
            <w:webHidden/>
          </w:rPr>
          <w:instrText xml:space="preserve"> PAGEREF _Toc27139006 \h </w:instrText>
        </w:r>
        <w:r w:rsidR="00506A39">
          <w:rPr>
            <w:noProof/>
            <w:webHidden/>
          </w:rPr>
        </w:r>
        <w:r w:rsidR="00506A39">
          <w:rPr>
            <w:noProof/>
            <w:webHidden/>
          </w:rPr>
          <w:fldChar w:fldCharType="separate"/>
        </w:r>
        <w:r w:rsidR="00506A39">
          <w:rPr>
            <w:noProof/>
            <w:webHidden/>
          </w:rPr>
          <w:t>125</w:t>
        </w:r>
        <w:r w:rsidR="00506A39">
          <w:rPr>
            <w:noProof/>
            <w:webHidden/>
          </w:rPr>
          <w:fldChar w:fldCharType="end"/>
        </w:r>
      </w:hyperlink>
    </w:p>
    <w:p w14:paraId="42D1FD1C" w14:textId="5761E3DA" w:rsidR="00506A39" w:rsidRDefault="008F6FA6">
      <w:pPr>
        <w:pStyle w:val="TOC1"/>
        <w:tabs>
          <w:tab w:val="left" w:pos="482"/>
        </w:tabs>
        <w:rPr>
          <w:rFonts w:asciiTheme="minorHAnsi" w:eastAsiaTheme="minorEastAsia" w:hAnsiTheme="minorHAnsi" w:cstheme="minorBidi"/>
          <w:b w:val="0"/>
          <w:color w:val="auto"/>
        </w:rPr>
      </w:pPr>
      <w:hyperlink w:anchor="_Toc27139007" w:history="1">
        <w:r w:rsidR="00506A39" w:rsidRPr="00692BF9">
          <w:rPr>
            <w:rStyle w:val="Hyperlink"/>
          </w:rPr>
          <w:t>VI.</w:t>
        </w:r>
        <w:r w:rsidR="00506A39">
          <w:rPr>
            <w:rFonts w:asciiTheme="minorHAnsi" w:eastAsiaTheme="minorEastAsia" w:hAnsiTheme="minorHAnsi" w:cstheme="minorBidi"/>
            <w:b w:val="0"/>
            <w:color w:val="auto"/>
          </w:rPr>
          <w:tab/>
        </w:r>
        <w:r w:rsidR="00506A39" w:rsidRPr="00692BF9">
          <w:rPr>
            <w:rStyle w:val="Hyperlink"/>
          </w:rPr>
          <w:t>Az ILAAP összetevői és felügyeleti felülvizsgálata</w:t>
        </w:r>
        <w:r w:rsidR="00506A39">
          <w:rPr>
            <w:webHidden/>
          </w:rPr>
          <w:tab/>
        </w:r>
        <w:r w:rsidR="00506A39">
          <w:rPr>
            <w:webHidden/>
          </w:rPr>
          <w:fldChar w:fldCharType="begin"/>
        </w:r>
        <w:r w:rsidR="00506A39">
          <w:rPr>
            <w:webHidden/>
          </w:rPr>
          <w:instrText xml:space="preserve"> PAGEREF _Toc27139007 \h </w:instrText>
        </w:r>
        <w:r w:rsidR="00506A39">
          <w:rPr>
            <w:webHidden/>
          </w:rPr>
        </w:r>
        <w:r w:rsidR="00506A39">
          <w:rPr>
            <w:webHidden/>
          </w:rPr>
          <w:fldChar w:fldCharType="separate"/>
        </w:r>
        <w:r w:rsidR="00506A39">
          <w:rPr>
            <w:webHidden/>
          </w:rPr>
          <w:t>126</w:t>
        </w:r>
        <w:r w:rsidR="00506A39">
          <w:rPr>
            <w:webHidden/>
          </w:rPr>
          <w:fldChar w:fldCharType="end"/>
        </w:r>
      </w:hyperlink>
    </w:p>
    <w:p w14:paraId="0CE7F889" w14:textId="7B79C369" w:rsidR="00506A39" w:rsidRDefault="008F6FA6">
      <w:pPr>
        <w:pStyle w:val="TOC2"/>
        <w:tabs>
          <w:tab w:val="left" w:pos="880"/>
        </w:tabs>
        <w:rPr>
          <w:rFonts w:asciiTheme="minorHAnsi" w:eastAsiaTheme="minorEastAsia" w:hAnsiTheme="minorHAnsi" w:cstheme="minorBidi"/>
          <w:color w:val="auto"/>
        </w:rPr>
      </w:pPr>
      <w:hyperlink w:anchor="_Toc27139008" w:history="1">
        <w:r w:rsidR="00506A39" w:rsidRPr="00692BF9">
          <w:rPr>
            <w:rStyle w:val="Hyperlink"/>
          </w:rPr>
          <w:t>VI.1</w:t>
        </w:r>
        <w:r w:rsidR="00506A39">
          <w:rPr>
            <w:rFonts w:asciiTheme="minorHAnsi" w:eastAsiaTheme="minorEastAsia" w:hAnsiTheme="minorHAnsi" w:cstheme="minorBidi"/>
            <w:color w:val="auto"/>
          </w:rPr>
          <w:tab/>
        </w:r>
        <w:r w:rsidR="00506A39" w:rsidRPr="00692BF9">
          <w:rPr>
            <w:rStyle w:val="Hyperlink"/>
          </w:rPr>
          <w:t>A likviditási és finanszírozási kockázat belső, intézmény általi értékelése</w:t>
        </w:r>
        <w:r w:rsidR="00506A39">
          <w:rPr>
            <w:webHidden/>
          </w:rPr>
          <w:tab/>
        </w:r>
        <w:r w:rsidR="00506A39">
          <w:rPr>
            <w:webHidden/>
          </w:rPr>
          <w:fldChar w:fldCharType="begin"/>
        </w:r>
        <w:r w:rsidR="00506A39">
          <w:rPr>
            <w:webHidden/>
          </w:rPr>
          <w:instrText xml:space="preserve"> PAGEREF _Toc27139008 \h </w:instrText>
        </w:r>
        <w:r w:rsidR="00506A39">
          <w:rPr>
            <w:webHidden/>
          </w:rPr>
        </w:r>
        <w:r w:rsidR="00506A39">
          <w:rPr>
            <w:webHidden/>
          </w:rPr>
          <w:fldChar w:fldCharType="separate"/>
        </w:r>
        <w:r w:rsidR="00506A39">
          <w:rPr>
            <w:webHidden/>
          </w:rPr>
          <w:t>126</w:t>
        </w:r>
        <w:r w:rsidR="00506A39">
          <w:rPr>
            <w:webHidden/>
          </w:rPr>
          <w:fldChar w:fldCharType="end"/>
        </w:r>
      </w:hyperlink>
    </w:p>
    <w:p w14:paraId="3A365FAF" w14:textId="0BAD7E66" w:rsidR="00506A39" w:rsidRDefault="008F6FA6">
      <w:pPr>
        <w:pStyle w:val="TOC2"/>
        <w:tabs>
          <w:tab w:val="left" w:pos="880"/>
        </w:tabs>
        <w:rPr>
          <w:rFonts w:asciiTheme="minorHAnsi" w:eastAsiaTheme="minorEastAsia" w:hAnsiTheme="minorHAnsi" w:cstheme="minorBidi"/>
          <w:color w:val="auto"/>
        </w:rPr>
      </w:pPr>
      <w:hyperlink w:anchor="_Toc27139009" w:history="1">
        <w:r w:rsidR="00506A39" w:rsidRPr="00692BF9">
          <w:rPr>
            <w:rStyle w:val="Hyperlink"/>
          </w:rPr>
          <w:t>VI.2</w:t>
        </w:r>
        <w:r w:rsidR="00506A39">
          <w:rPr>
            <w:rFonts w:asciiTheme="minorHAnsi" w:eastAsiaTheme="minorEastAsia" w:hAnsiTheme="minorHAnsi" w:cstheme="minorBidi"/>
            <w:color w:val="auto"/>
          </w:rPr>
          <w:tab/>
        </w:r>
        <w:r w:rsidR="00506A39" w:rsidRPr="00692BF9">
          <w:rPr>
            <w:rStyle w:val="Hyperlink"/>
          </w:rPr>
          <w:t>A likviditás megfelelőségének felügyeleti felülvizsgálati folyamata</w:t>
        </w:r>
        <w:r w:rsidR="00506A39">
          <w:rPr>
            <w:webHidden/>
          </w:rPr>
          <w:tab/>
        </w:r>
        <w:r w:rsidR="00506A39">
          <w:rPr>
            <w:webHidden/>
          </w:rPr>
          <w:fldChar w:fldCharType="begin"/>
        </w:r>
        <w:r w:rsidR="00506A39">
          <w:rPr>
            <w:webHidden/>
          </w:rPr>
          <w:instrText xml:space="preserve"> PAGEREF _Toc27139009 \h </w:instrText>
        </w:r>
        <w:r w:rsidR="00506A39">
          <w:rPr>
            <w:webHidden/>
          </w:rPr>
        </w:r>
        <w:r w:rsidR="00506A39">
          <w:rPr>
            <w:webHidden/>
          </w:rPr>
          <w:fldChar w:fldCharType="separate"/>
        </w:r>
        <w:r w:rsidR="00506A39">
          <w:rPr>
            <w:webHidden/>
          </w:rPr>
          <w:t>129</w:t>
        </w:r>
        <w:r w:rsidR="00506A39">
          <w:rPr>
            <w:webHidden/>
          </w:rPr>
          <w:fldChar w:fldCharType="end"/>
        </w:r>
      </w:hyperlink>
    </w:p>
    <w:p w14:paraId="53019417" w14:textId="5DA15C35" w:rsidR="00506A39" w:rsidRDefault="008F6FA6">
      <w:pPr>
        <w:pStyle w:val="TOC3"/>
        <w:tabs>
          <w:tab w:val="left" w:pos="1320"/>
        </w:tabs>
        <w:rPr>
          <w:rFonts w:asciiTheme="minorHAnsi" w:eastAsiaTheme="minorEastAsia" w:hAnsiTheme="minorHAnsi" w:cstheme="minorBidi"/>
          <w:noProof/>
          <w:color w:val="auto"/>
        </w:rPr>
      </w:pPr>
      <w:hyperlink w:anchor="_Toc27139010" w:history="1">
        <w:r w:rsidR="00506A39" w:rsidRPr="00692BF9">
          <w:rPr>
            <w:rStyle w:val="Hyperlink"/>
            <w:noProof/>
          </w:rPr>
          <w:t>VI.2.1</w:t>
        </w:r>
        <w:r w:rsidR="00506A39">
          <w:rPr>
            <w:rFonts w:asciiTheme="minorHAnsi" w:eastAsiaTheme="minorEastAsia" w:hAnsiTheme="minorHAnsi" w:cstheme="minorBidi"/>
            <w:noProof/>
            <w:color w:val="auto"/>
          </w:rPr>
          <w:tab/>
        </w:r>
        <w:r w:rsidR="00506A39" w:rsidRPr="00692BF9">
          <w:rPr>
            <w:rStyle w:val="Hyperlink"/>
            <w:noProof/>
          </w:rPr>
          <w:t>A likviditási és finanszírozási kockázatok átfogó értékelése</w:t>
        </w:r>
        <w:r w:rsidR="00506A39">
          <w:rPr>
            <w:noProof/>
            <w:webHidden/>
          </w:rPr>
          <w:tab/>
        </w:r>
        <w:r w:rsidR="00506A39">
          <w:rPr>
            <w:noProof/>
            <w:webHidden/>
          </w:rPr>
          <w:fldChar w:fldCharType="begin"/>
        </w:r>
        <w:r w:rsidR="00506A39">
          <w:rPr>
            <w:noProof/>
            <w:webHidden/>
          </w:rPr>
          <w:instrText xml:space="preserve"> PAGEREF _Toc27139010 \h </w:instrText>
        </w:r>
        <w:r w:rsidR="00506A39">
          <w:rPr>
            <w:noProof/>
            <w:webHidden/>
          </w:rPr>
        </w:r>
        <w:r w:rsidR="00506A39">
          <w:rPr>
            <w:noProof/>
            <w:webHidden/>
          </w:rPr>
          <w:fldChar w:fldCharType="separate"/>
        </w:r>
        <w:r w:rsidR="00506A39">
          <w:rPr>
            <w:noProof/>
            <w:webHidden/>
          </w:rPr>
          <w:t>129</w:t>
        </w:r>
        <w:r w:rsidR="00506A39">
          <w:rPr>
            <w:noProof/>
            <w:webHidden/>
          </w:rPr>
          <w:fldChar w:fldCharType="end"/>
        </w:r>
      </w:hyperlink>
    </w:p>
    <w:p w14:paraId="7E9B162F" w14:textId="5390A088" w:rsidR="00506A39" w:rsidRDefault="008F6FA6">
      <w:pPr>
        <w:pStyle w:val="TOC3"/>
        <w:tabs>
          <w:tab w:val="left" w:pos="1320"/>
        </w:tabs>
        <w:rPr>
          <w:rFonts w:asciiTheme="minorHAnsi" w:eastAsiaTheme="minorEastAsia" w:hAnsiTheme="minorHAnsi" w:cstheme="minorBidi"/>
          <w:noProof/>
          <w:color w:val="auto"/>
        </w:rPr>
      </w:pPr>
      <w:hyperlink w:anchor="_Toc27139011" w:history="1">
        <w:r w:rsidR="00506A39" w:rsidRPr="00692BF9">
          <w:rPr>
            <w:rStyle w:val="Hyperlink"/>
            <w:noProof/>
          </w:rPr>
          <w:t>VI.2.2</w:t>
        </w:r>
        <w:r w:rsidR="00506A39">
          <w:rPr>
            <w:rFonts w:asciiTheme="minorHAnsi" w:eastAsiaTheme="minorEastAsia" w:hAnsiTheme="minorHAnsi" w:cstheme="minorBidi"/>
            <w:noProof/>
            <w:color w:val="auto"/>
          </w:rPr>
          <w:tab/>
        </w:r>
        <w:r w:rsidR="00506A39" w:rsidRPr="00692BF9">
          <w:rPr>
            <w:rStyle w:val="Hyperlink"/>
            <w:noProof/>
          </w:rPr>
          <w:t>Kockázatkezelési hiányosságok miatti többlet-követelmények</w:t>
        </w:r>
        <w:r w:rsidR="00506A39">
          <w:rPr>
            <w:noProof/>
            <w:webHidden/>
          </w:rPr>
          <w:tab/>
        </w:r>
        <w:r w:rsidR="00506A39">
          <w:rPr>
            <w:noProof/>
            <w:webHidden/>
          </w:rPr>
          <w:fldChar w:fldCharType="begin"/>
        </w:r>
        <w:r w:rsidR="00506A39">
          <w:rPr>
            <w:noProof/>
            <w:webHidden/>
          </w:rPr>
          <w:instrText xml:space="preserve"> PAGEREF _Toc27139011 \h </w:instrText>
        </w:r>
        <w:r w:rsidR="00506A39">
          <w:rPr>
            <w:noProof/>
            <w:webHidden/>
          </w:rPr>
        </w:r>
        <w:r w:rsidR="00506A39">
          <w:rPr>
            <w:noProof/>
            <w:webHidden/>
          </w:rPr>
          <w:fldChar w:fldCharType="separate"/>
        </w:r>
        <w:r w:rsidR="00506A39">
          <w:rPr>
            <w:noProof/>
            <w:webHidden/>
          </w:rPr>
          <w:t>130</w:t>
        </w:r>
        <w:r w:rsidR="00506A39">
          <w:rPr>
            <w:noProof/>
            <w:webHidden/>
          </w:rPr>
          <w:fldChar w:fldCharType="end"/>
        </w:r>
      </w:hyperlink>
    </w:p>
    <w:p w14:paraId="1EAF157E" w14:textId="29BD58DC" w:rsidR="00506A39" w:rsidRDefault="008F6FA6">
      <w:pPr>
        <w:pStyle w:val="TOC3"/>
        <w:tabs>
          <w:tab w:val="left" w:pos="1320"/>
        </w:tabs>
        <w:rPr>
          <w:rFonts w:asciiTheme="minorHAnsi" w:eastAsiaTheme="minorEastAsia" w:hAnsiTheme="minorHAnsi" w:cstheme="minorBidi"/>
          <w:noProof/>
          <w:color w:val="auto"/>
        </w:rPr>
      </w:pPr>
      <w:hyperlink w:anchor="_Toc27139012" w:history="1">
        <w:r w:rsidR="00506A39" w:rsidRPr="00692BF9">
          <w:rPr>
            <w:rStyle w:val="Hyperlink"/>
            <w:noProof/>
          </w:rPr>
          <w:t>VI.2.3</w:t>
        </w:r>
        <w:r w:rsidR="00506A39">
          <w:rPr>
            <w:rFonts w:asciiTheme="minorHAnsi" w:eastAsiaTheme="minorEastAsia" w:hAnsiTheme="minorHAnsi" w:cstheme="minorBidi"/>
            <w:noProof/>
            <w:color w:val="auto"/>
          </w:rPr>
          <w:tab/>
        </w:r>
        <w:r w:rsidR="00506A39" w:rsidRPr="00692BF9">
          <w:rPr>
            <w:rStyle w:val="Hyperlink"/>
            <w:noProof/>
          </w:rPr>
          <w:t>Az I. pilléres követelmény számításának kiemelt részei</w:t>
        </w:r>
        <w:r w:rsidR="00506A39">
          <w:rPr>
            <w:noProof/>
            <w:webHidden/>
          </w:rPr>
          <w:tab/>
        </w:r>
        <w:r w:rsidR="00506A39">
          <w:rPr>
            <w:noProof/>
            <w:webHidden/>
          </w:rPr>
          <w:fldChar w:fldCharType="begin"/>
        </w:r>
        <w:r w:rsidR="00506A39">
          <w:rPr>
            <w:noProof/>
            <w:webHidden/>
          </w:rPr>
          <w:instrText xml:space="preserve"> PAGEREF _Toc27139012 \h </w:instrText>
        </w:r>
        <w:r w:rsidR="00506A39">
          <w:rPr>
            <w:noProof/>
            <w:webHidden/>
          </w:rPr>
        </w:r>
        <w:r w:rsidR="00506A39">
          <w:rPr>
            <w:noProof/>
            <w:webHidden/>
          </w:rPr>
          <w:fldChar w:fldCharType="separate"/>
        </w:r>
        <w:r w:rsidR="00506A39">
          <w:rPr>
            <w:noProof/>
            <w:webHidden/>
          </w:rPr>
          <w:t>131</w:t>
        </w:r>
        <w:r w:rsidR="00506A39">
          <w:rPr>
            <w:noProof/>
            <w:webHidden/>
          </w:rPr>
          <w:fldChar w:fldCharType="end"/>
        </w:r>
      </w:hyperlink>
    </w:p>
    <w:p w14:paraId="3DD84589" w14:textId="7C6EF26D" w:rsidR="00506A39" w:rsidRDefault="008F6FA6">
      <w:pPr>
        <w:pStyle w:val="TOC3"/>
        <w:tabs>
          <w:tab w:val="left" w:pos="1320"/>
        </w:tabs>
        <w:rPr>
          <w:rFonts w:asciiTheme="minorHAnsi" w:eastAsiaTheme="minorEastAsia" w:hAnsiTheme="minorHAnsi" w:cstheme="minorBidi"/>
          <w:noProof/>
          <w:color w:val="auto"/>
        </w:rPr>
      </w:pPr>
      <w:hyperlink w:anchor="_Toc27139013" w:history="1">
        <w:r w:rsidR="00506A39" w:rsidRPr="00692BF9">
          <w:rPr>
            <w:rStyle w:val="Hyperlink"/>
            <w:noProof/>
          </w:rPr>
          <w:t>VI.2.4</w:t>
        </w:r>
        <w:r w:rsidR="00506A39">
          <w:rPr>
            <w:rFonts w:asciiTheme="minorHAnsi" w:eastAsiaTheme="minorEastAsia" w:hAnsiTheme="minorHAnsi" w:cstheme="minorBidi"/>
            <w:noProof/>
            <w:color w:val="auto"/>
          </w:rPr>
          <w:tab/>
        </w:r>
        <w:r w:rsidR="00506A39" w:rsidRPr="00692BF9">
          <w:rPr>
            <w:rStyle w:val="Hyperlink"/>
            <w:noProof/>
          </w:rPr>
          <w:t>Likviditási szempontból kockázatos portfóliók</w:t>
        </w:r>
        <w:r w:rsidR="00506A39">
          <w:rPr>
            <w:noProof/>
            <w:webHidden/>
          </w:rPr>
          <w:tab/>
        </w:r>
        <w:r w:rsidR="00506A39">
          <w:rPr>
            <w:noProof/>
            <w:webHidden/>
          </w:rPr>
          <w:fldChar w:fldCharType="begin"/>
        </w:r>
        <w:r w:rsidR="00506A39">
          <w:rPr>
            <w:noProof/>
            <w:webHidden/>
          </w:rPr>
          <w:instrText xml:space="preserve"> PAGEREF _Toc27139013 \h </w:instrText>
        </w:r>
        <w:r w:rsidR="00506A39">
          <w:rPr>
            <w:noProof/>
            <w:webHidden/>
          </w:rPr>
        </w:r>
        <w:r w:rsidR="00506A39">
          <w:rPr>
            <w:noProof/>
            <w:webHidden/>
          </w:rPr>
          <w:fldChar w:fldCharType="separate"/>
        </w:r>
        <w:r w:rsidR="00506A39">
          <w:rPr>
            <w:noProof/>
            <w:webHidden/>
          </w:rPr>
          <w:t>131</w:t>
        </w:r>
        <w:r w:rsidR="00506A39">
          <w:rPr>
            <w:noProof/>
            <w:webHidden/>
          </w:rPr>
          <w:fldChar w:fldCharType="end"/>
        </w:r>
      </w:hyperlink>
    </w:p>
    <w:p w14:paraId="2CF06C8A" w14:textId="792BEDBC" w:rsidR="00506A39" w:rsidRDefault="008F6FA6">
      <w:pPr>
        <w:pStyle w:val="TOC3"/>
        <w:tabs>
          <w:tab w:val="left" w:pos="1320"/>
        </w:tabs>
        <w:rPr>
          <w:rFonts w:asciiTheme="minorHAnsi" w:eastAsiaTheme="minorEastAsia" w:hAnsiTheme="minorHAnsi" w:cstheme="minorBidi"/>
          <w:noProof/>
          <w:color w:val="auto"/>
        </w:rPr>
      </w:pPr>
      <w:hyperlink w:anchor="_Toc27139014" w:history="1">
        <w:r w:rsidR="00506A39" w:rsidRPr="00692BF9">
          <w:rPr>
            <w:rStyle w:val="Hyperlink"/>
            <w:noProof/>
          </w:rPr>
          <w:t>VI.2.5</w:t>
        </w:r>
        <w:r w:rsidR="00506A39">
          <w:rPr>
            <w:rFonts w:asciiTheme="minorHAnsi" w:eastAsiaTheme="minorEastAsia" w:hAnsiTheme="minorHAnsi" w:cstheme="minorBidi"/>
            <w:noProof/>
            <w:color w:val="auto"/>
          </w:rPr>
          <w:tab/>
        </w:r>
        <w:r w:rsidR="00506A39" w:rsidRPr="00692BF9">
          <w:rPr>
            <w:rStyle w:val="Hyperlink"/>
            <w:noProof/>
          </w:rPr>
          <w:t>A II. pilléres likviditási követelmény számítása és teljesítése</w:t>
        </w:r>
        <w:r w:rsidR="00506A39">
          <w:rPr>
            <w:noProof/>
            <w:webHidden/>
          </w:rPr>
          <w:tab/>
        </w:r>
        <w:r w:rsidR="00506A39">
          <w:rPr>
            <w:noProof/>
            <w:webHidden/>
          </w:rPr>
          <w:fldChar w:fldCharType="begin"/>
        </w:r>
        <w:r w:rsidR="00506A39">
          <w:rPr>
            <w:noProof/>
            <w:webHidden/>
          </w:rPr>
          <w:instrText xml:space="preserve"> PAGEREF _Toc27139014 \h </w:instrText>
        </w:r>
        <w:r w:rsidR="00506A39">
          <w:rPr>
            <w:noProof/>
            <w:webHidden/>
          </w:rPr>
        </w:r>
        <w:r w:rsidR="00506A39">
          <w:rPr>
            <w:noProof/>
            <w:webHidden/>
          </w:rPr>
          <w:fldChar w:fldCharType="separate"/>
        </w:r>
        <w:r w:rsidR="00506A39">
          <w:rPr>
            <w:noProof/>
            <w:webHidden/>
          </w:rPr>
          <w:t>132</w:t>
        </w:r>
        <w:r w:rsidR="00506A39">
          <w:rPr>
            <w:noProof/>
            <w:webHidden/>
          </w:rPr>
          <w:fldChar w:fldCharType="end"/>
        </w:r>
      </w:hyperlink>
    </w:p>
    <w:p w14:paraId="1E80C6D2" w14:textId="77C5CBD5" w:rsidR="00506A39" w:rsidRDefault="008F6FA6">
      <w:pPr>
        <w:pStyle w:val="TOC1"/>
        <w:tabs>
          <w:tab w:val="left" w:pos="720"/>
        </w:tabs>
        <w:rPr>
          <w:rFonts w:asciiTheme="minorHAnsi" w:eastAsiaTheme="minorEastAsia" w:hAnsiTheme="minorHAnsi" w:cstheme="minorBidi"/>
          <w:b w:val="0"/>
          <w:color w:val="auto"/>
        </w:rPr>
      </w:pPr>
      <w:hyperlink w:anchor="_Toc27139015" w:history="1">
        <w:r w:rsidR="00506A39" w:rsidRPr="00692BF9">
          <w:rPr>
            <w:rStyle w:val="Hyperlink"/>
          </w:rPr>
          <w:t>VII.</w:t>
        </w:r>
        <w:r w:rsidR="00506A39">
          <w:rPr>
            <w:rFonts w:asciiTheme="minorHAnsi" w:eastAsiaTheme="minorEastAsia" w:hAnsiTheme="minorHAnsi" w:cstheme="minorBidi"/>
            <w:b w:val="0"/>
            <w:color w:val="auto"/>
          </w:rPr>
          <w:tab/>
        </w:r>
        <w:r w:rsidR="00506A39" w:rsidRPr="00692BF9">
          <w:rPr>
            <w:rStyle w:val="Hyperlink"/>
          </w:rPr>
          <w:t>Az üzleti modell elemzés</w:t>
        </w:r>
        <w:r w:rsidR="00506A39">
          <w:rPr>
            <w:webHidden/>
          </w:rPr>
          <w:tab/>
        </w:r>
        <w:r w:rsidR="00506A39">
          <w:rPr>
            <w:webHidden/>
          </w:rPr>
          <w:fldChar w:fldCharType="begin"/>
        </w:r>
        <w:r w:rsidR="00506A39">
          <w:rPr>
            <w:webHidden/>
          </w:rPr>
          <w:instrText xml:space="preserve"> PAGEREF _Toc27139015 \h </w:instrText>
        </w:r>
        <w:r w:rsidR="00506A39">
          <w:rPr>
            <w:webHidden/>
          </w:rPr>
        </w:r>
        <w:r w:rsidR="00506A39">
          <w:rPr>
            <w:webHidden/>
          </w:rPr>
          <w:fldChar w:fldCharType="separate"/>
        </w:r>
        <w:r w:rsidR="00506A39">
          <w:rPr>
            <w:webHidden/>
          </w:rPr>
          <w:t>132</w:t>
        </w:r>
        <w:r w:rsidR="00506A39">
          <w:rPr>
            <w:webHidden/>
          </w:rPr>
          <w:fldChar w:fldCharType="end"/>
        </w:r>
      </w:hyperlink>
    </w:p>
    <w:p w14:paraId="4D583437" w14:textId="27E73177" w:rsidR="00506A39" w:rsidRDefault="008F6FA6">
      <w:pPr>
        <w:pStyle w:val="TOC1"/>
        <w:tabs>
          <w:tab w:val="left" w:pos="482"/>
        </w:tabs>
        <w:rPr>
          <w:rFonts w:asciiTheme="minorHAnsi" w:eastAsiaTheme="minorEastAsia" w:hAnsiTheme="minorHAnsi" w:cstheme="minorBidi"/>
          <w:b w:val="0"/>
          <w:color w:val="auto"/>
        </w:rPr>
      </w:pPr>
      <w:hyperlink w:anchor="_Toc27139016" w:history="1">
        <w:r w:rsidR="00506A39" w:rsidRPr="00692BF9">
          <w:rPr>
            <w:rStyle w:val="Hyperlink"/>
          </w:rPr>
          <w:t>I.</w:t>
        </w:r>
        <w:r w:rsidR="00506A39">
          <w:rPr>
            <w:rFonts w:asciiTheme="minorHAnsi" w:eastAsiaTheme="minorEastAsia" w:hAnsiTheme="minorHAnsi" w:cstheme="minorBidi"/>
            <w:b w:val="0"/>
            <w:color w:val="auto"/>
          </w:rPr>
          <w:tab/>
        </w:r>
        <w:r w:rsidR="00506A39" w:rsidRPr="00692BF9">
          <w:rPr>
            <w:rStyle w:val="Hyperlink"/>
          </w:rPr>
          <w:t>Az üzleti modell elemzés</w:t>
        </w:r>
        <w:r w:rsidR="00506A39">
          <w:rPr>
            <w:webHidden/>
          </w:rPr>
          <w:tab/>
        </w:r>
        <w:r w:rsidR="00506A39">
          <w:rPr>
            <w:webHidden/>
          </w:rPr>
          <w:fldChar w:fldCharType="begin"/>
        </w:r>
        <w:r w:rsidR="00506A39">
          <w:rPr>
            <w:webHidden/>
          </w:rPr>
          <w:instrText xml:space="preserve"> PAGEREF _Toc27139016 \h </w:instrText>
        </w:r>
        <w:r w:rsidR="00506A39">
          <w:rPr>
            <w:webHidden/>
          </w:rPr>
        </w:r>
        <w:r w:rsidR="00506A39">
          <w:rPr>
            <w:webHidden/>
          </w:rPr>
          <w:fldChar w:fldCharType="separate"/>
        </w:r>
        <w:r w:rsidR="00506A39">
          <w:rPr>
            <w:webHidden/>
          </w:rPr>
          <w:t>132</w:t>
        </w:r>
        <w:r w:rsidR="00506A39">
          <w:rPr>
            <w:webHidden/>
          </w:rPr>
          <w:fldChar w:fldCharType="end"/>
        </w:r>
      </w:hyperlink>
    </w:p>
    <w:p w14:paraId="4BD7F839" w14:textId="14F01B14" w:rsidR="00506A39" w:rsidRDefault="008F6FA6">
      <w:pPr>
        <w:pStyle w:val="TOC1"/>
        <w:tabs>
          <w:tab w:val="left" w:pos="482"/>
        </w:tabs>
        <w:rPr>
          <w:rFonts w:asciiTheme="minorHAnsi" w:eastAsiaTheme="minorEastAsia" w:hAnsiTheme="minorHAnsi" w:cstheme="minorBidi"/>
          <w:b w:val="0"/>
          <w:color w:val="auto"/>
        </w:rPr>
      </w:pPr>
      <w:hyperlink w:anchor="_Toc27139017" w:history="1">
        <w:r w:rsidR="00506A39" w:rsidRPr="00692BF9">
          <w:rPr>
            <w:rStyle w:val="Hyperlink"/>
          </w:rPr>
          <w:t>II.</w:t>
        </w:r>
        <w:r w:rsidR="00506A39">
          <w:rPr>
            <w:rFonts w:asciiTheme="minorHAnsi" w:eastAsiaTheme="minorEastAsia" w:hAnsiTheme="minorHAnsi" w:cstheme="minorBidi"/>
            <w:b w:val="0"/>
            <w:color w:val="auto"/>
          </w:rPr>
          <w:tab/>
        </w:r>
        <w:r w:rsidR="00506A39" w:rsidRPr="00692BF9">
          <w:rPr>
            <w:rStyle w:val="Hyperlink"/>
          </w:rPr>
          <w:t>A kis intézmények belső tőkeszükséglet-számítására, likviditás megfelelőségére vonatkozó felügyeleti elvárások és a vonatkozó felügyeleti felülvizsgálati folyamat</w:t>
        </w:r>
        <w:r w:rsidR="00506A39">
          <w:rPr>
            <w:webHidden/>
          </w:rPr>
          <w:tab/>
        </w:r>
        <w:r w:rsidR="00506A39">
          <w:rPr>
            <w:webHidden/>
          </w:rPr>
          <w:fldChar w:fldCharType="begin"/>
        </w:r>
        <w:r w:rsidR="00506A39">
          <w:rPr>
            <w:webHidden/>
          </w:rPr>
          <w:instrText xml:space="preserve"> PAGEREF _Toc27139017 \h </w:instrText>
        </w:r>
        <w:r w:rsidR="00506A39">
          <w:rPr>
            <w:webHidden/>
          </w:rPr>
        </w:r>
        <w:r w:rsidR="00506A39">
          <w:rPr>
            <w:webHidden/>
          </w:rPr>
          <w:fldChar w:fldCharType="separate"/>
        </w:r>
        <w:r w:rsidR="00506A39">
          <w:rPr>
            <w:webHidden/>
          </w:rPr>
          <w:t>135</w:t>
        </w:r>
        <w:r w:rsidR="00506A39">
          <w:rPr>
            <w:webHidden/>
          </w:rPr>
          <w:fldChar w:fldCharType="end"/>
        </w:r>
      </w:hyperlink>
    </w:p>
    <w:p w14:paraId="375A7F2B" w14:textId="1DD426AA" w:rsidR="00506A39" w:rsidRDefault="008F6FA6">
      <w:pPr>
        <w:pStyle w:val="TOC2"/>
        <w:tabs>
          <w:tab w:val="left" w:pos="880"/>
        </w:tabs>
        <w:rPr>
          <w:rFonts w:asciiTheme="minorHAnsi" w:eastAsiaTheme="minorEastAsia" w:hAnsiTheme="minorHAnsi" w:cstheme="minorBidi"/>
          <w:color w:val="auto"/>
        </w:rPr>
      </w:pPr>
      <w:hyperlink w:anchor="_Toc27139018" w:history="1">
        <w:r w:rsidR="00506A39" w:rsidRPr="00692BF9">
          <w:rPr>
            <w:rStyle w:val="Hyperlink"/>
          </w:rPr>
          <w:t>II.1</w:t>
        </w:r>
        <w:r w:rsidR="00506A39">
          <w:rPr>
            <w:rFonts w:asciiTheme="minorHAnsi" w:eastAsiaTheme="minorEastAsia" w:hAnsiTheme="minorHAnsi" w:cstheme="minorBidi"/>
            <w:color w:val="auto"/>
          </w:rPr>
          <w:tab/>
        </w:r>
        <w:r w:rsidR="00506A39" w:rsidRPr="00692BF9">
          <w:rPr>
            <w:rStyle w:val="Hyperlink"/>
          </w:rPr>
          <w:t>Arányosság elvének alkalmazása</w:t>
        </w:r>
        <w:r w:rsidR="00506A39">
          <w:rPr>
            <w:webHidden/>
          </w:rPr>
          <w:tab/>
        </w:r>
        <w:r w:rsidR="00506A39">
          <w:rPr>
            <w:webHidden/>
          </w:rPr>
          <w:fldChar w:fldCharType="begin"/>
        </w:r>
        <w:r w:rsidR="00506A39">
          <w:rPr>
            <w:webHidden/>
          </w:rPr>
          <w:instrText xml:space="preserve"> PAGEREF _Toc27139018 \h </w:instrText>
        </w:r>
        <w:r w:rsidR="00506A39">
          <w:rPr>
            <w:webHidden/>
          </w:rPr>
        </w:r>
        <w:r w:rsidR="00506A39">
          <w:rPr>
            <w:webHidden/>
          </w:rPr>
          <w:fldChar w:fldCharType="separate"/>
        </w:r>
        <w:r w:rsidR="00506A39">
          <w:rPr>
            <w:webHidden/>
          </w:rPr>
          <w:t>135</w:t>
        </w:r>
        <w:r w:rsidR="00506A39">
          <w:rPr>
            <w:webHidden/>
          </w:rPr>
          <w:fldChar w:fldCharType="end"/>
        </w:r>
      </w:hyperlink>
    </w:p>
    <w:p w14:paraId="25CD7402" w14:textId="08FFB5F0" w:rsidR="00506A39" w:rsidRDefault="008F6FA6">
      <w:pPr>
        <w:pStyle w:val="TOC2"/>
        <w:tabs>
          <w:tab w:val="left" w:pos="880"/>
        </w:tabs>
        <w:rPr>
          <w:rFonts w:asciiTheme="minorHAnsi" w:eastAsiaTheme="minorEastAsia" w:hAnsiTheme="minorHAnsi" w:cstheme="minorBidi"/>
          <w:color w:val="auto"/>
        </w:rPr>
      </w:pPr>
      <w:hyperlink w:anchor="_Toc27139019" w:history="1">
        <w:r w:rsidR="00506A39" w:rsidRPr="00692BF9">
          <w:rPr>
            <w:rStyle w:val="Hyperlink"/>
          </w:rPr>
          <w:t>II.2</w:t>
        </w:r>
        <w:r w:rsidR="00506A39">
          <w:rPr>
            <w:rFonts w:asciiTheme="minorHAnsi" w:eastAsiaTheme="minorEastAsia" w:hAnsiTheme="minorHAnsi" w:cstheme="minorBidi"/>
            <w:color w:val="auto"/>
          </w:rPr>
          <w:tab/>
        </w:r>
        <w:r w:rsidR="00506A39" w:rsidRPr="00692BF9">
          <w:rPr>
            <w:rStyle w:val="Hyperlink"/>
          </w:rPr>
          <w:t>A kis intézmény meghatározása</w:t>
        </w:r>
        <w:r w:rsidR="00506A39">
          <w:rPr>
            <w:webHidden/>
          </w:rPr>
          <w:tab/>
        </w:r>
        <w:r w:rsidR="00506A39">
          <w:rPr>
            <w:webHidden/>
          </w:rPr>
          <w:fldChar w:fldCharType="begin"/>
        </w:r>
        <w:r w:rsidR="00506A39">
          <w:rPr>
            <w:webHidden/>
          </w:rPr>
          <w:instrText xml:space="preserve"> PAGEREF _Toc27139019 \h </w:instrText>
        </w:r>
        <w:r w:rsidR="00506A39">
          <w:rPr>
            <w:webHidden/>
          </w:rPr>
        </w:r>
        <w:r w:rsidR="00506A39">
          <w:rPr>
            <w:webHidden/>
          </w:rPr>
          <w:fldChar w:fldCharType="separate"/>
        </w:r>
        <w:r w:rsidR="00506A39">
          <w:rPr>
            <w:webHidden/>
          </w:rPr>
          <w:t>135</w:t>
        </w:r>
        <w:r w:rsidR="00506A39">
          <w:rPr>
            <w:webHidden/>
          </w:rPr>
          <w:fldChar w:fldCharType="end"/>
        </w:r>
      </w:hyperlink>
    </w:p>
    <w:p w14:paraId="55E82CF8" w14:textId="18E0B128" w:rsidR="00506A39" w:rsidRDefault="008F6FA6">
      <w:pPr>
        <w:pStyle w:val="TOC2"/>
        <w:tabs>
          <w:tab w:val="left" w:pos="880"/>
        </w:tabs>
        <w:rPr>
          <w:rFonts w:asciiTheme="minorHAnsi" w:eastAsiaTheme="minorEastAsia" w:hAnsiTheme="minorHAnsi" w:cstheme="minorBidi"/>
          <w:color w:val="auto"/>
        </w:rPr>
      </w:pPr>
      <w:hyperlink w:anchor="_Toc27139020" w:history="1">
        <w:r w:rsidR="00506A39" w:rsidRPr="00692BF9">
          <w:rPr>
            <w:rStyle w:val="Hyperlink"/>
          </w:rPr>
          <w:t>II.3</w:t>
        </w:r>
        <w:r w:rsidR="00506A39">
          <w:rPr>
            <w:rFonts w:asciiTheme="minorHAnsi" w:eastAsiaTheme="minorEastAsia" w:hAnsiTheme="minorHAnsi" w:cstheme="minorBidi"/>
            <w:color w:val="auto"/>
          </w:rPr>
          <w:tab/>
        </w:r>
        <w:r w:rsidR="00506A39" w:rsidRPr="00692BF9">
          <w:rPr>
            <w:rStyle w:val="Hyperlink"/>
          </w:rPr>
          <w:t>Kis intézmények belső tőkeszükséglet-számítására vonatkozó felügyeleti elvárások</w:t>
        </w:r>
        <w:r w:rsidR="00506A39">
          <w:rPr>
            <w:webHidden/>
          </w:rPr>
          <w:tab/>
        </w:r>
        <w:r w:rsidR="00506A39">
          <w:rPr>
            <w:webHidden/>
          </w:rPr>
          <w:fldChar w:fldCharType="begin"/>
        </w:r>
        <w:r w:rsidR="00506A39">
          <w:rPr>
            <w:webHidden/>
          </w:rPr>
          <w:instrText xml:space="preserve"> PAGEREF _Toc27139020 \h </w:instrText>
        </w:r>
        <w:r w:rsidR="00506A39">
          <w:rPr>
            <w:webHidden/>
          </w:rPr>
        </w:r>
        <w:r w:rsidR="00506A39">
          <w:rPr>
            <w:webHidden/>
          </w:rPr>
          <w:fldChar w:fldCharType="separate"/>
        </w:r>
        <w:r w:rsidR="00506A39">
          <w:rPr>
            <w:webHidden/>
          </w:rPr>
          <w:t>135</w:t>
        </w:r>
        <w:r w:rsidR="00506A39">
          <w:rPr>
            <w:webHidden/>
          </w:rPr>
          <w:fldChar w:fldCharType="end"/>
        </w:r>
      </w:hyperlink>
    </w:p>
    <w:p w14:paraId="4712016E" w14:textId="34A8DB61" w:rsidR="00506A39" w:rsidRDefault="008F6FA6">
      <w:pPr>
        <w:pStyle w:val="TOC2"/>
        <w:tabs>
          <w:tab w:val="left" w:pos="880"/>
        </w:tabs>
        <w:rPr>
          <w:rFonts w:asciiTheme="minorHAnsi" w:eastAsiaTheme="minorEastAsia" w:hAnsiTheme="minorHAnsi" w:cstheme="minorBidi"/>
          <w:color w:val="auto"/>
        </w:rPr>
      </w:pPr>
      <w:hyperlink w:anchor="_Toc27139021" w:history="1">
        <w:r w:rsidR="00506A39" w:rsidRPr="00692BF9">
          <w:rPr>
            <w:rStyle w:val="Hyperlink"/>
          </w:rPr>
          <w:t>II.4</w:t>
        </w:r>
        <w:r w:rsidR="00506A39">
          <w:rPr>
            <w:rFonts w:asciiTheme="minorHAnsi" w:eastAsiaTheme="minorEastAsia" w:hAnsiTheme="minorHAnsi" w:cstheme="minorBidi"/>
            <w:color w:val="auto"/>
          </w:rPr>
          <w:tab/>
        </w:r>
        <w:r w:rsidR="00506A39" w:rsidRPr="00692BF9">
          <w:rPr>
            <w:rStyle w:val="Hyperlink"/>
          </w:rPr>
          <w:t>Egyszerűsített ICAAP felülvizsgálat alá tartozó intézmények által alkalmazott módszertanok</w:t>
        </w:r>
        <w:r w:rsidR="00506A39">
          <w:rPr>
            <w:webHidden/>
          </w:rPr>
          <w:tab/>
        </w:r>
        <w:r w:rsidR="00506A39">
          <w:rPr>
            <w:webHidden/>
          </w:rPr>
          <w:fldChar w:fldCharType="begin"/>
        </w:r>
        <w:r w:rsidR="00506A39">
          <w:rPr>
            <w:webHidden/>
          </w:rPr>
          <w:instrText xml:space="preserve"> PAGEREF _Toc27139021 \h </w:instrText>
        </w:r>
        <w:r w:rsidR="00506A39">
          <w:rPr>
            <w:webHidden/>
          </w:rPr>
        </w:r>
        <w:r w:rsidR="00506A39">
          <w:rPr>
            <w:webHidden/>
          </w:rPr>
          <w:fldChar w:fldCharType="separate"/>
        </w:r>
        <w:r w:rsidR="00506A39">
          <w:rPr>
            <w:webHidden/>
          </w:rPr>
          <w:t>136</w:t>
        </w:r>
        <w:r w:rsidR="00506A39">
          <w:rPr>
            <w:webHidden/>
          </w:rPr>
          <w:fldChar w:fldCharType="end"/>
        </w:r>
      </w:hyperlink>
    </w:p>
    <w:p w14:paraId="18CDC2EA" w14:textId="688DE240" w:rsidR="00506A39" w:rsidRDefault="008F6FA6">
      <w:pPr>
        <w:pStyle w:val="TOC2"/>
        <w:tabs>
          <w:tab w:val="left" w:pos="880"/>
        </w:tabs>
        <w:rPr>
          <w:rFonts w:asciiTheme="minorHAnsi" w:eastAsiaTheme="minorEastAsia" w:hAnsiTheme="minorHAnsi" w:cstheme="minorBidi"/>
          <w:color w:val="auto"/>
        </w:rPr>
      </w:pPr>
      <w:hyperlink w:anchor="_Toc27139022" w:history="1">
        <w:r w:rsidR="00506A39" w:rsidRPr="00692BF9">
          <w:rPr>
            <w:rStyle w:val="Hyperlink"/>
          </w:rPr>
          <w:t>II.5</w:t>
        </w:r>
        <w:r w:rsidR="00506A39">
          <w:rPr>
            <w:rFonts w:asciiTheme="minorHAnsi" w:eastAsiaTheme="minorEastAsia" w:hAnsiTheme="minorHAnsi" w:cstheme="minorBidi"/>
            <w:color w:val="auto"/>
          </w:rPr>
          <w:tab/>
        </w:r>
        <w:r w:rsidR="00506A39" w:rsidRPr="00692BF9">
          <w:rPr>
            <w:rStyle w:val="Hyperlink"/>
          </w:rPr>
          <w:t>A belső tőkeszükséglet-számítás lépései</w:t>
        </w:r>
        <w:r w:rsidR="00506A39">
          <w:rPr>
            <w:webHidden/>
          </w:rPr>
          <w:tab/>
        </w:r>
        <w:r w:rsidR="00506A39">
          <w:rPr>
            <w:webHidden/>
          </w:rPr>
          <w:fldChar w:fldCharType="begin"/>
        </w:r>
        <w:r w:rsidR="00506A39">
          <w:rPr>
            <w:webHidden/>
          </w:rPr>
          <w:instrText xml:space="preserve"> PAGEREF _Toc27139022 \h </w:instrText>
        </w:r>
        <w:r w:rsidR="00506A39">
          <w:rPr>
            <w:webHidden/>
          </w:rPr>
        </w:r>
        <w:r w:rsidR="00506A39">
          <w:rPr>
            <w:webHidden/>
          </w:rPr>
          <w:fldChar w:fldCharType="separate"/>
        </w:r>
        <w:r w:rsidR="00506A39">
          <w:rPr>
            <w:webHidden/>
          </w:rPr>
          <w:t>136</w:t>
        </w:r>
        <w:r w:rsidR="00506A39">
          <w:rPr>
            <w:webHidden/>
          </w:rPr>
          <w:fldChar w:fldCharType="end"/>
        </w:r>
      </w:hyperlink>
    </w:p>
    <w:p w14:paraId="28BB3857" w14:textId="3FF2585A" w:rsidR="00506A39" w:rsidRDefault="008F6FA6">
      <w:pPr>
        <w:pStyle w:val="TOC2"/>
        <w:tabs>
          <w:tab w:val="left" w:pos="880"/>
        </w:tabs>
        <w:rPr>
          <w:rFonts w:asciiTheme="minorHAnsi" w:eastAsiaTheme="minorEastAsia" w:hAnsiTheme="minorHAnsi" w:cstheme="minorBidi"/>
          <w:color w:val="auto"/>
        </w:rPr>
      </w:pPr>
      <w:hyperlink w:anchor="_Toc27139023" w:history="1">
        <w:r w:rsidR="00506A39" w:rsidRPr="00692BF9">
          <w:rPr>
            <w:rStyle w:val="Hyperlink"/>
          </w:rPr>
          <w:t>II.6</w:t>
        </w:r>
        <w:r w:rsidR="00506A39">
          <w:rPr>
            <w:rFonts w:asciiTheme="minorHAnsi" w:eastAsiaTheme="minorEastAsia" w:hAnsiTheme="minorHAnsi" w:cstheme="minorBidi"/>
            <w:color w:val="auto"/>
          </w:rPr>
          <w:tab/>
        </w:r>
        <w:r w:rsidR="00506A39" w:rsidRPr="00692BF9">
          <w:rPr>
            <w:rStyle w:val="Hyperlink"/>
          </w:rPr>
          <w:t>Kis hitelintézetek tipikus kockázatai</w:t>
        </w:r>
        <w:r w:rsidR="00506A39">
          <w:rPr>
            <w:webHidden/>
          </w:rPr>
          <w:tab/>
        </w:r>
        <w:r w:rsidR="00506A39">
          <w:rPr>
            <w:webHidden/>
          </w:rPr>
          <w:fldChar w:fldCharType="begin"/>
        </w:r>
        <w:r w:rsidR="00506A39">
          <w:rPr>
            <w:webHidden/>
          </w:rPr>
          <w:instrText xml:space="preserve"> PAGEREF _Toc27139023 \h </w:instrText>
        </w:r>
        <w:r w:rsidR="00506A39">
          <w:rPr>
            <w:webHidden/>
          </w:rPr>
        </w:r>
        <w:r w:rsidR="00506A39">
          <w:rPr>
            <w:webHidden/>
          </w:rPr>
          <w:fldChar w:fldCharType="separate"/>
        </w:r>
        <w:r w:rsidR="00506A39">
          <w:rPr>
            <w:webHidden/>
          </w:rPr>
          <w:t>137</w:t>
        </w:r>
        <w:r w:rsidR="00506A39">
          <w:rPr>
            <w:webHidden/>
          </w:rPr>
          <w:fldChar w:fldCharType="end"/>
        </w:r>
      </w:hyperlink>
    </w:p>
    <w:p w14:paraId="316D3753" w14:textId="220F4DF7" w:rsidR="00506A39" w:rsidRDefault="008F6FA6">
      <w:pPr>
        <w:pStyle w:val="TOC2"/>
        <w:tabs>
          <w:tab w:val="left" w:pos="880"/>
        </w:tabs>
        <w:rPr>
          <w:rFonts w:asciiTheme="minorHAnsi" w:eastAsiaTheme="minorEastAsia" w:hAnsiTheme="minorHAnsi" w:cstheme="minorBidi"/>
          <w:color w:val="auto"/>
        </w:rPr>
      </w:pPr>
      <w:hyperlink w:anchor="_Toc27139024" w:history="1">
        <w:r w:rsidR="00506A39" w:rsidRPr="00692BF9">
          <w:rPr>
            <w:rStyle w:val="Hyperlink"/>
          </w:rPr>
          <w:t>II.7</w:t>
        </w:r>
        <w:r w:rsidR="00506A39">
          <w:rPr>
            <w:rFonts w:asciiTheme="minorHAnsi" w:eastAsiaTheme="minorEastAsia" w:hAnsiTheme="minorHAnsi" w:cstheme="minorBidi"/>
            <w:color w:val="auto"/>
          </w:rPr>
          <w:tab/>
        </w:r>
        <w:r w:rsidR="00506A39" w:rsidRPr="00692BF9">
          <w:rPr>
            <w:rStyle w:val="Hyperlink"/>
          </w:rPr>
          <w:t>A befektetési vállalkozások esetében a szokásostól eltérő többlet kockázatot generáló tevékenységek</w:t>
        </w:r>
        <w:r w:rsidR="00506A39">
          <w:rPr>
            <w:webHidden/>
          </w:rPr>
          <w:tab/>
        </w:r>
        <w:r w:rsidR="00506A39">
          <w:rPr>
            <w:webHidden/>
          </w:rPr>
          <w:fldChar w:fldCharType="begin"/>
        </w:r>
        <w:r w:rsidR="00506A39">
          <w:rPr>
            <w:webHidden/>
          </w:rPr>
          <w:instrText xml:space="preserve"> PAGEREF _Toc27139024 \h </w:instrText>
        </w:r>
        <w:r w:rsidR="00506A39">
          <w:rPr>
            <w:webHidden/>
          </w:rPr>
        </w:r>
        <w:r w:rsidR="00506A39">
          <w:rPr>
            <w:webHidden/>
          </w:rPr>
          <w:fldChar w:fldCharType="separate"/>
        </w:r>
        <w:r w:rsidR="00506A39">
          <w:rPr>
            <w:webHidden/>
          </w:rPr>
          <w:t>137</w:t>
        </w:r>
        <w:r w:rsidR="00506A39">
          <w:rPr>
            <w:webHidden/>
          </w:rPr>
          <w:fldChar w:fldCharType="end"/>
        </w:r>
      </w:hyperlink>
    </w:p>
    <w:p w14:paraId="45F03D33" w14:textId="5C1EDC6C" w:rsidR="00506A39" w:rsidRDefault="008F6FA6">
      <w:pPr>
        <w:pStyle w:val="TOC2"/>
        <w:tabs>
          <w:tab w:val="left" w:pos="880"/>
        </w:tabs>
        <w:rPr>
          <w:rFonts w:asciiTheme="minorHAnsi" w:eastAsiaTheme="minorEastAsia" w:hAnsiTheme="minorHAnsi" w:cstheme="minorBidi"/>
          <w:color w:val="auto"/>
        </w:rPr>
      </w:pPr>
      <w:hyperlink w:anchor="_Toc27139025" w:history="1">
        <w:r w:rsidR="00506A39" w:rsidRPr="00692BF9">
          <w:rPr>
            <w:rStyle w:val="Hyperlink"/>
          </w:rPr>
          <w:t>II.8</w:t>
        </w:r>
        <w:r w:rsidR="00506A39">
          <w:rPr>
            <w:rFonts w:asciiTheme="minorHAnsi" w:eastAsiaTheme="minorEastAsia" w:hAnsiTheme="minorHAnsi" w:cstheme="minorBidi"/>
            <w:color w:val="auto"/>
          </w:rPr>
          <w:tab/>
        </w:r>
        <w:r w:rsidR="00506A39" w:rsidRPr="00692BF9">
          <w:rPr>
            <w:rStyle w:val="Hyperlink"/>
          </w:rPr>
          <w:t>Felügyeleti felülvizsgálatok a kis intézményeknél</w:t>
        </w:r>
        <w:r w:rsidR="00506A39">
          <w:rPr>
            <w:webHidden/>
          </w:rPr>
          <w:tab/>
        </w:r>
        <w:r w:rsidR="00506A39">
          <w:rPr>
            <w:webHidden/>
          </w:rPr>
          <w:fldChar w:fldCharType="begin"/>
        </w:r>
        <w:r w:rsidR="00506A39">
          <w:rPr>
            <w:webHidden/>
          </w:rPr>
          <w:instrText xml:space="preserve"> PAGEREF _Toc27139025 \h </w:instrText>
        </w:r>
        <w:r w:rsidR="00506A39">
          <w:rPr>
            <w:webHidden/>
          </w:rPr>
        </w:r>
        <w:r w:rsidR="00506A39">
          <w:rPr>
            <w:webHidden/>
          </w:rPr>
          <w:fldChar w:fldCharType="separate"/>
        </w:r>
        <w:r w:rsidR="00506A39">
          <w:rPr>
            <w:webHidden/>
          </w:rPr>
          <w:t>137</w:t>
        </w:r>
        <w:r w:rsidR="00506A39">
          <w:rPr>
            <w:webHidden/>
          </w:rPr>
          <w:fldChar w:fldCharType="end"/>
        </w:r>
      </w:hyperlink>
    </w:p>
    <w:p w14:paraId="2C68A366" w14:textId="064D97EC" w:rsidR="00506A39" w:rsidRDefault="008F6FA6">
      <w:pPr>
        <w:pStyle w:val="TOC2"/>
        <w:tabs>
          <w:tab w:val="left" w:pos="880"/>
        </w:tabs>
        <w:rPr>
          <w:rFonts w:asciiTheme="minorHAnsi" w:eastAsiaTheme="minorEastAsia" w:hAnsiTheme="minorHAnsi" w:cstheme="minorBidi"/>
          <w:color w:val="auto"/>
        </w:rPr>
      </w:pPr>
      <w:hyperlink w:anchor="_Toc27139026" w:history="1">
        <w:r w:rsidR="00506A39" w:rsidRPr="00692BF9">
          <w:rPr>
            <w:rStyle w:val="Hyperlink"/>
          </w:rPr>
          <w:t>II.9</w:t>
        </w:r>
        <w:r w:rsidR="00506A39">
          <w:rPr>
            <w:rFonts w:asciiTheme="minorHAnsi" w:eastAsiaTheme="minorEastAsia" w:hAnsiTheme="minorHAnsi" w:cstheme="minorBidi"/>
            <w:color w:val="auto"/>
          </w:rPr>
          <w:tab/>
        </w:r>
        <w:r w:rsidR="00506A39" w:rsidRPr="00692BF9">
          <w:rPr>
            <w:rStyle w:val="Hyperlink"/>
          </w:rPr>
          <w:t>A befektetési vállalkozások esetében a legjellemzőbb többlet-tőkekövetelmény előírások</w:t>
        </w:r>
        <w:r w:rsidR="00506A39">
          <w:rPr>
            <w:webHidden/>
          </w:rPr>
          <w:tab/>
        </w:r>
        <w:r w:rsidR="00506A39">
          <w:rPr>
            <w:webHidden/>
          </w:rPr>
          <w:fldChar w:fldCharType="begin"/>
        </w:r>
        <w:r w:rsidR="00506A39">
          <w:rPr>
            <w:webHidden/>
          </w:rPr>
          <w:instrText xml:space="preserve"> PAGEREF _Toc27139026 \h </w:instrText>
        </w:r>
        <w:r w:rsidR="00506A39">
          <w:rPr>
            <w:webHidden/>
          </w:rPr>
        </w:r>
        <w:r w:rsidR="00506A39">
          <w:rPr>
            <w:webHidden/>
          </w:rPr>
          <w:fldChar w:fldCharType="separate"/>
        </w:r>
        <w:r w:rsidR="00506A39">
          <w:rPr>
            <w:webHidden/>
          </w:rPr>
          <w:t>138</w:t>
        </w:r>
        <w:r w:rsidR="00506A39">
          <w:rPr>
            <w:webHidden/>
          </w:rPr>
          <w:fldChar w:fldCharType="end"/>
        </w:r>
      </w:hyperlink>
    </w:p>
    <w:p w14:paraId="455139AD" w14:textId="00837BCC" w:rsidR="00506A39" w:rsidRDefault="008F6FA6">
      <w:pPr>
        <w:pStyle w:val="TOC2"/>
        <w:tabs>
          <w:tab w:val="left" w:pos="880"/>
        </w:tabs>
        <w:rPr>
          <w:rFonts w:asciiTheme="minorHAnsi" w:eastAsiaTheme="minorEastAsia" w:hAnsiTheme="minorHAnsi" w:cstheme="minorBidi"/>
          <w:color w:val="auto"/>
        </w:rPr>
      </w:pPr>
      <w:hyperlink w:anchor="_Toc27139027" w:history="1">
        <w:r w:rsidR="00506A39" w:rsidRPr="00692BF9">
          <w:rPr>
            <w:rStyle w:val="Hyperlink"/>
          </w:rPr>
          <w:t>II.10</w:t>
        </w:r>
        <w:r w:rsidR="00506A39">
          <w:rPr>
            <w:rFonts w:asciiTheme="minorHAnsi" w:eastAsiaTheme="minorEastAsia" w:hAnsiTheme="minorHAnsi" w:cstheme="minorBidi"/>
            <w:color w:val="auto"/>
          </w:rPr>
          <w:tab/>
        </w:r>
        <w:r w:rsidR="00506A39" w:rsidRPr="00692BF9">
          <w:rPr>
            <w:rStyle w:val="Hyperlink"/>
          </w:rPr>
          <w:t>Felügyeleti intézkedések a kis intézményekkel szemben</w:t>
        </w:r>
        <w:r w:rsidR="00506A39">
          <w:rPr>
            <w:webHidden/>
          </w:rPr>
          <w:tab/>
        </w:r>
        <w:r w:rsidR="00506A39">
          <w:rPr>
            <w:webHidden/>
          </w:rPr>
          <w:fldChar w:fldCharType="begin"/>
        </w:r>
        <w:r w:rsidR="00506A39">
          <w:rPr>
            <w:webHidden/>
          </w:rPr>
          <w:instrText xml:space="preserve"> PAGEREF _Toc27139027 \h </w:instrText>
        </w:r>
        <w:r w:rsidR="00506A39">
          <w:rPr>
            <w:webHidden/>
          </w:rPr>
        </w:r>
        <w:r w:rsidR="00506A39">
          <w:rPr>
            <w:webHidden/>
          </w:rPr>
          <w:fldChar w:fldCharType="separate"/>
        </w:r>
        <w:r w:rsidR="00506A39">
          <w:rPr>
            <w:webHidden/>
          </w:rPr>
          <w:t>138</w:t>
        </w:r>
        <w:r w:rsidR="00506A39">
          <w:rPr>
            <w:webHidden/>
          </w:rPr>
          <w:fldChar w:fldCharType="end"/>
        </w:r>
      </w:hyperlink>
    </w:p>
    <w:p w14:paraId="581E6F79" w14:textId="224C8560" w:rsidR="00506A39" w:rsidRDefault="008F6FA6">
      <w:pPr>
        <w:pStyle w:val="TOC3"/>
        <w:tabs>
          <w:tab w:val="left" w:pos="1320"/>
        </w:tabs>
        <w:rPr>
          <w:rFonts w:asciiTheme="minorHAnsi" w:eastAsiaTheme="minorEastAsia" w:hAnsiTheme="minorHAnsi" w:cstheme="minorBidi"/>
          <w:noProof/>
          <w:color w:val="auto"/>
        </w:rPr>
      </w:pPr>
      <w:hyperlink w:anchor="_Toc27139028" w:history="1">
        <w:r w:rsidR="00506A39" w:rsidRPr="00692BF9">
          <w:rPr>
            <w:rStyle w:val="Hyperlink"/>
            <w:noProof/>
          </w:rPr>
          <w:t>II.10.1</w:t>
        </w:r>
        <w:r w:rsidR="00506A39">
          <w:rPr>
            <w:rFonts w:asciiTheme="minorHAnsi" w:eastAsiaTheme="minorEastAsia" w:hAnsiTheme="minorHAnsi" w:cstheme="minorBidi"/>
            <w:noProof/>
            <w:color w:val="auto"/>
          </w:rPr>
          <w:tab/>
        </w:r>
        <w:r w:rsidR="00506A39" w:rsidRPr="00692BF9">
          <w:rPr>
            <w:rStyle w:val="Hyperlink"/>
            <w:noProof/>
          </w:rPr>
          <w:t>Felügyeleti intézkedések kis hitelintézeteknél</w:t>
        </w:r>
        <w:r w:rsidR="00506A39">
          <w:rPr>
            <w:noProof/>
            <w:webHidden/>
          </w:rPr>
          <w:tab/>
        </w:r>
        <w:r w:rsidR="00506A39">
          <w:rPr>
            <w:noProof/>
            <w:webHidden/>
          </w:rPr>
          <w:fldChar w:fldCharType="begin"/>
        </w:r>
        <w:r w:rsidR="00506A39">
          <w:rPr>
            <w:noProof/>
            <w:webHidden/>
          </w:rPr>
          <w:instrText xml:space="preserve"> PAGEREF _Toc27139028 \h </w:instrText>
        </w:r>
        <w:r w:rsidR="00506A39">
          <w:rPr>
            <w:noProof/>
            <w:webHidden/>
          </w:rPr>
        </w:r>
        <w:r w:rsidR="00506A39">
          <w:rPr>
            <w:noProof/>
            <w:webHidden/>
          </w:rPr>
          <w:fldChar w:fldCharType="separate"/>
        </w:r>
        <w:r w:rsidR="00506A39">
          <w:rPr>
            <w:noProof/>
            <w:webHidden/>
          </w:rPr>
          <w:t>139</w:t>
        </w:r>
        <w:r w:rsidR="00506A39">
          <w:rPr>
            <w:noProof/>
            <w:webHidden/>
          </w:rPr>
          <w:fldChar w:fldCharType="end"/>
        </w:r>
      </w:hyperlink>
    </w:p>
    <w:p w14:paraId="22A755B1" w14:textId="25AD9D7E" w:rsidR="00506A39" w:rsidRDefault="008F6FA6">
      <w:pPr>
        <w:pStyle w:val="TOC3"/>
        <w:tabs>
          <w:tab w:val="left" w:pos="1320"/>
        </w:tabs>
        <w:rPr>
          <w:rFonts w:asciiTheme="minorHAnsi" w:eastAsiaTheme="minorEastAsia" w:hAnsiTheme="minorHAnsi" w:cstheme="minorBidi"/>
          <w:noProof/>
          <w:color w:val="auto"/>
        </w:rPr>
      </w:pPr>
      <w:hyperlink w:anchor="_Toc27139029" w:history="1">
        <w:r w:rsidR="00506A39" w:rsidRPr="00692BF9">
          <w:rPr>
            <w:rStyle w:val="Hyperlink"/>
            <w:noProof/>
          </w:rPr>
          <w:t>II.10.2</w:t>
        </w:r>
        <w:r w:rsidR="00506A39">
          <w:rPr>
            <w:rFonts w:asciiTheme="minorHAnsi" w:eastAsiaTheme="minorEastAsia" w:hAnsiTheme="minorHAnsi" w:cstheme="minorBidi"/>
            <w:noProof/>
            <w:color w:val="auto"/>
          </w:rPr>
          <w:tab/>
        </w:r>
        <w:r w:rsidR="00506A39" w:rsidRPr="00692BF9">
          <w:rPr>
            <w:rStyle w:val="Hyperlink"/>
            <w:noProof/>
          </w:rPr>
          <w:t>Felügyeleti intézkedések befektetési vállalkozásoknál</w:t>
        </w:r>
        <w:r w:rsidR="00506A39">
          <w:rPr>
            <w:noProof/>
            <w:webHidden/>
          </w:rPr>
          <w:tab/>
        </w:r>
        <w:r w:rsidR="00506A39">
          <w:rPr>
            <w:noProof/>
            <w:webHidden/>
          </w:rPr>
          <w:fldChar w:fldCharType="begin"/>
        </w:r>
        <w:r w:rsidR="00506A39">
          <w:rPr>
            <w:noProof/>
            <w:webHidden/>
          </w:rPr>
          <w:instrText xml:space="preserve"> PAGEREF _Toc27139029 \h </w:instrText>
        </w:r>
        <w:r w:rsidR="00506A39">
          <w:rPr>
            <w:noProof/>
            <w:webHidden/>
          </w:rPr>
        </w:r>
        <w:r w:rsidR="00506A39">
          <w:rPr>
            <w:noProof/>
            <w:webHidden/>
          </w:rPr>
          <w:fldChar w:fldCharType="separate"/>
        </w:r>
        <w:r w:rsidR="00506A39">
          <w:rPr>
            <w:noProof/>
            <w:webHidden/>
          </w:rPr>
          <w:t>140</w:t>
        </w:r>
        <w:r w:rsidR="00506A39">
          <w:rPr>
            <w:noProof/>
            <w:webHidden/>
          </w:rPr>
          <w:fldChar w:fldCharType="end"/>
        </w:r>
      </w:hyperlink>
    </w:p>
    <w:p w14:paraId="088F2DE3" w14:textId="0C5C7E1D" w:rsidR="00506A39" w:rsidRDefault="008F6FA6">
      <w:pPr>
        <w:pStyle w:val="TOC2"/>
        <w:tabs>
          <w:tab w:val="left" w:pos="880"/>
        </w:tabs>
        <w:rPr>
          <w:rFonts w:asciiTheme="minorHAnsi" w:eastAsiaTheme="minorEastAsia" w:hAnsiTheme="minorHAnsi" w:cstheme="minorBidi"/>
          <w:color w:val="auto"/>
        </w:rPr>
      </w:pPr>
      <w:hyperlink w:anchor="_Toc27139030" w:history="1">
        <w:r w:rsidR="00506A39" w:rsidRPr="00692BF9">
          <w:rPr>
            <w:rStyle w:val="Hyperlink"/>
          </w:rPr>
          <w:t>II.11</w:t>
        </w:r>
        <w:r w:rsidR="00506A39">
          <w:rPr>
            <w:rFonts w:asciiTheme="minorHAnsi" w:eastAsiaTheme="minorEastAsia" w:hAnsiTheme="minorHAnsi" w:cstheme="minorBidi"/>
            <w:color w:val="auto"/>
          </w:rPr>
          <w:tab/>
        </w:r>
        <w:r w:rsidR="00506A39" w:rsidRPr="00692BF9">
          <w:rPr>
            <w:rStyle w:val="Hyperlink"/>
          </w:rPr>
          <w:t>A felügyeleti felülvizsgálat lezárása</w:t>
        </w:r>
        <w:r w:rsidR="00506A39">
          <w:rPr>
            <w:webHidden/>
          </w:rPr>
          <w:tab/>
        </w:r>
        <w:r w:rsidR="00506A39">
          <w:rPr>
            <w:webHidden/>
          </w:rPr>
          <w:fldChar w:fldCharType="begin"/>
        </w:r>
        <w:r w:rsidR="00506A39">
          <w:rPr>
            <w:webHidden/>
          </w:rPr>
          <w:instrText xml:space="preserve"> PAGEREF _Toc27139030 \h </w:instrText>
        </w:r>
        <w:r w:rsidR="00506A39">
          <w:rPr>
            <w:webHidden/>
          </w:rPr>
        </w:r>
        <w:r w:rsidR="00506A39">
          <w:rPr>
            <w:webHidden/>
          </w:rPr>
          <w:fldChar w:fldCharType="separate"/>
        </w:r>
        <w:r w:rsidR="00506A39">
          <w:rPr>
            <w:webHidden/>
          </w:rPr>
          <w:t>141</w:t>
        </w:r>
        <w:r w:rsidR="00506A39">
          <w:rPr>
            <w:webHidden/>
          </w:rPr>
          <w:fldChar w:fldCharType="end"/>
        </w:r>
      </w:hyperlink>
    </w:p>
    <w:p w14:paraId="77E014FC" w14:textId="77CE0D35" w:rsidR="00506A39" w:rsidRDefault="008F6FA6">
      <w:pPr>
        <w:pStyle w:val="TOC1"/>
        <w:rPr>
          <w:rFonts w:asciiTheme="minorHAnsi" w:eastAsiaTheme="minorEastAsia" w:hAnsiTheme="minorHAnsi" w:cstheme="minorBidi"/>
          <w:b w:val="0"/>
          <w:color w:val="auto"/>
        </w:rPr>
      </w:pPr>
      <w:hyperlink w:anchor="_Toc27139031" w:history="1">
        <w:r w:rsidR="00506A39" w:rsidRPr="00692BF9">
          <w:rPr>
            <w:rStyle w:val="Hyperlink"/>
          </w:rPr>
          <w:t>Dokumentum-lista</w:t>
        </w:r>
        <w:r w:rsidR="00506A39">
          <w:rPr>
            <w:webHidden/>
          </w:rPr>
          <w:tab/>
        </w:r>
        <w:r w:rsidR="00506A39">
          <w:rPr>
            <w:webHidden/>
          </w:rPr>
          <w:fldChar w:fldCharType="begin"/>
        </w:r>
        <w:r w:rsidR="00506A39">
          <w:rPr>
            <w:webHidden/>
          </w:rPr>
          <w:instrText xml:space="preserve"> PAGEREF _Toc27139031 \h </w:instrText>
        </w:r>
        <w:r w:rsidR="00506A39">
          <w:rPr>
            <w:webHidden/>
          </w:rPr>
        </w:r>
        <w:r w:rsidR="00506A39">
          <w:rPr>
            <w:webHidden/>
          </w:rPr>
          <w:fldChar w:fldCharType="separate"/>
        </w:r>
        <w:r w:rsidR="00506A39">
          <w:rPr>
            <w:webHidden/>
          </w:rPr>
          <w:t>142</w:t>
        </w:r>
        <w:r w:rsidR="00506A39">
          <w:rPr>
            <w:webHidden/>
          </w:rPr>
          <w:fldChar w:fldCharType="end"/>
        </w:r>
      </w:hyperlink>
    </w:p>
    <w:p w14:paraId="6A91F83D" w14:textId="6F26702A" w:rsidR="00506A39" w:rsidRDefault="008F6FA6">
      <w:pPr>
        <w:pStyle w:val="TOC2"/>
        <w:tabs>
          <w:tab w:val="left" w:pos="880"/>
        </w:tabs>
        <w:rPr>
          <w:rFonts w:asciiTheme="minorHAnsi" w:eastAsiaTheme="minorEastAsia" w:hAnsiTheme="minorHAnsi" w:cstheme="minorBidi"/>
          <w:color w:val="auto"/>
        </w:rPr>
      </w:pPr>
      <w:hyperlink w:anchor="_Toc27139032" w:history="1">
        <w:r w:rsidR="00506A39" w:rsidRPr="00692BF9">
          <w:rPr>
            <w:rStyle w:val="Hyperlink"/>
          </w:rPr>
          <w:t>II.12</w:t>
        </w:r>
        <w:r w:rsidR="00506A39">
          <w:rPr>
            <w:rFonts w:asciiTheme="minorHAnsi" w:eastAsiaTheme="minorEastAsia" w:hAnsiTheme="minorHAnsi" w:cstheme="minorBidi"/>
            <w:color w:val="auto"/>
          </w:rPr>
          <w:tab/>
        </w:r>
        <w:r w:rsidR="00506A39" w:rsidRPr="00692BF9">
          <w:rPr>
            <w:rStyle w:val="Hyperlink"/>
          </w:rPr>
          <w:t>Összefoglaló</w:t>
        </w:r>
        <w:r w:rsidR="00506A39">
          <w:rPr>
            <w:webHidden/>
          </w:rPr>
          <w:tab/>
        </w:r>
        <w:r w:rsidR="00506A39">
          <w:rPr>
            <w:webHidden/>
          </w:rPr>
          <w:fldChar w:fldCharType="begin"/>
        </w:r>
        <w:r w:rsidR="00506A39">
          <w:rPr>
            <w:webHidden/>
          </w:rPr>
          <w:instrText xml:space="preserve"> PAGEREF _Toc27139032 \h </w:instrText>
        </w:r>
        <w:r w:rsidR="00506A39">
          <w:rPr>
            <w:webHidden/>
          </w:rPr>
        </w:r>
        <w:r w:rsidR="00506A39">
          <w:rPr>
            <w:webHidden/>
          </w:rPr>
          <w:fldChar w:fldCharType="separate"/>
        </w:r>
        <w:r w:rsidR="00506A39">
          <w:rPr>
            <w:webHidden/>
          </w:rPr>
          <w:t>142</w:t>
        </w:r>
        <w:r w:rsidR="00506A39">
          <w:rPr>
            <w:webHidden/>
          </w:rPr>
          <w:fldChar w:fldCharType="end"/>
        </w:r>
      </w:hyperlink>
    </w:p>
    <w:p w14:paraId="7CED1D30" w14:textId="027A228E" w:rsidR="00506A39" w:rsidRDefault="008F6FA6">
      <w:pPr>
        <w:pStyle w:val="TOC2"/>
        <w:tabs>
          <w:tab w:val="left" w:pos="880"/>
        </w:tabs>
        <w:rPr>
          <w:rFonts w:asciiTheme="minorHAnsi" w:eastAsiaTheme="minorEastAsia" w:hAnsiTheme="minorHAnsi" w:cstheme="minorBidi"/>
          <w:color w:val="auto"/>
        </w:rPr>
      </w:pPr>
      <w:hyperlink w:anchor="_Toc27139033" w:history="1">
        <w:r w:rsidR="00506A39" w:rsidRPr="00692BF9">
          <w:rPr>
            <w:rStyle w:val="Hyperlink"/>
          </w:rPr>
          <w:t>II.13</w:t>
        </w:r>
        <w:r w:rsidR="00506A39">
          <w:rPr>
            <w:rFonts w:asciiTheme="minorHAnsi" w:eastAsiaTheme="minorEastAsia" w:hAnsiTheme="minorHAnsi" w:cstheme="minorBidi"/>
            <w:color w:val="auto"/>
          </w:rPr>
          <w:tab/>
        </w:r>
        <w:r w:rsidR="00506A39" w:rsidRPr="00692BF9">
          <w:rPr>
            <w:rStyle w:val="Hyperlink"/>
          </w:rPr>
          <w:t>A jelenlegi és a tervezett tőkehelyzet bemutatása</w:t>
        </w:r>
        <w:r w:rsidR="00506A39">
          <w:rPr>
            <w:webHidden/>
          </w:rPr>
          <w:tab/>
        </w:r>
        <w:r w:rsidR="00506A39">
          <w:rPr>
            <w:webHidden/>
          </w:rPr>
          <w:fldChar w:fldCharType="begin"/>
        </w:r>
        <w:r w:rsidR="00506A39">
          <w:rPr>
            <w:webHidden/>
          </w:rPr>
          <w:instrText xml:space="preserve"> PAGEREF _Toc27139033 \h </w:instrText>
        </w:r>
        <w:r w:rsidR="00506A39">
          <w:rPr>
            <w:webHidden/>
          </w:rPr>
        </w:r>
        <w:r w:rsidR="00506A39">
          <w:rPr>
            <w:webHidden/>
          </w:rPr>
          <w:fldChar w:fldCharType="separate"/>
        </w:r>
        <w:r w:rsidR="00506A39">
          <w:rPr>
            <w:webHidden/>
          </w:rPr>
          <w:t>142</w:t>
        </w:r>
        <w:r w:rsidR="00506A39">
          <w:rPr>
            <w:webHidden/>
          </w:rPr>
          <w:fldChar w:fldCharType="end"/>
        </w:r>
      </w:hyperlink>
    </w:p>
    <w:p w14:paraId="2F85C342" w14:textId="7B634719" w:rsidR="00506A39" w:rsidRDefault="008F6FA6">
      <w:pPr>
        <w:pStyle w:val="TOC2"/>
        <w:tabs>
          <w:tab w:val="left" w:pos="880"/>
        </w:tabs>
        <w:rPr>
          <w:rFonts w:asciiTheme="minorHAnsi" w:eastAsiaTheme="minorEastAsia" w:hAnsiTheme="minorHAnsi" w:cstheme="minorBidi"/>
          <w:color w:val="auto"/>
        </w:rPr>
      </w:pPr>
      <w:hyperlink w:anchor="_Toc27139034" w:history="1">
        <w:r w:rsidR="00506A39" w:rsidRPr="00692BF9">
          <w:rPr>
            <w:rStyle w:val="Hyperlink"/>
          </w:rPr>
          <w:t>II.14</w:t>
        </w:r>
        <w:r w:rsidR="00506A39">
          <w:rPr>
            <w:rFonts w:asciiTheme="minorHAnsi" w:eastAsiaTheme="minorEastAsia" w:hAnsiTheme="minorHAnsi" w:cstheme="minorBidi"/>
            <w:color w:val="auto"/>
          </w:rPr>
          <w:tab/>
        </w:r>
        <w:r w:rsidR="00506A39" w:rsidRPr="00692BF9">
          <w:rPr>
            <w:rStyle w:val="Hyperlink"/>
          </w:rPr>
          <w:t>Tőkemegfelelési számítás részletes ismertetése</w:t>
        </w:r>
        <w:r w:rsidR="00506A39">
          <w:rPr>
            <w:webHidden/>
          </w:rPr>
          <w:tab/>
        </w:r>
        <w:r w:rsidR="00506A39">
          <w:rPr>
            <w:webHidden/>
          </w:rPr>
          <w:fldChar w:fldCharType="begin"/>
        </w:r>
        <w:r w:rsidR="00506A39">
          <w:rPr>
            <w:webHidden/>
          </w:rPr>
          <w:instrText xml:space="preserve"> PAGEREF _Toc27139034 \h </w:instrText>
        </w:r>
        <w:r w:rsidR="00506A39">
          <w:rPr>
            <w:webHidden/>
          </w:rPr>
        </w:r>
        <w:r w:rsidR="00506A39">
          <w:rPr>
            <w:webHidden/>
          </w:rPr>
          <w:fldChar w:fldCharType="separate"/>
        </w:r>
        <w:r w:rsidR="00506A39">
          <w:rPr>
            <w:webHidden/>
          </w:rPr>
          <w:t>143</w:t>
        </w:r>
        <w:r w:rsidR="00506A39">
          <w:rPr>
            <w:webHidden/>
          </w:rPr>
          <w:fldChar w:fldCharType="end"/>
        </w:r>
      </w:hyperlink>
    </w:p>
    <w:p w14:paraId="39A08887" w14:textId="10527660" w:rsidR="00506A39" w:rsidRDefault="008F6FA6">
      <w:pPr>
        <w:pStyle w:val="TOC2"/>
        <w:tabs>
          <w:tab w:val="left" w:pos="880"/>
        </w:tabs>
        <w:rPr>
          <w:rFonts w:asciiTheme="minorHAnsi" w:eastAsiaTheme="minorEastAsia" w:hAnsiTheme="minorHAnsi" w:cstheme="minorBidi"/>
          <w:color w:val="auto"/>
        </w:rPr>
      </w:pPr>
      <w:hyperlink w:anchor="_Toc27139035" w:history="1">
        <w:r w:rsidR="00506A39" w:rsidRPr="00692BF9">
          <w:rPr>
            <w:rStyle w:val="Hyperlink"/>
          </w:rPr>
          <w:t>II.15</w:t>
        </w:r>
        <w:r w:rsidR="00506A39">
          <w:rPr>
            <w:rFonts w:asciiTheme="minorHAnsi" w:eastAsiaTheme="minorEastAsia" w:hAnsiTheme="minorHAnsi" w:cstheme="minorBidi"/>
            <w:color w:val="auto"/>
          </w:rPr>
          <w:tab/>
        </w:r>
        <w:r w:rsidR="00506A39" w:rsidRPr="00692BF9">
          <w:rPr>
            <w:rStyle w:val="Hyperlink"/>
          </w:rPr>
          <w:t>A belső tőkeszükséglet-számítási módszertan beépülése a folyamatokba</w:t>
        </w:r>
        <w:r w:rsidR="00506A39">
          <w:rPr>
            <w:webHidden/>
          </w:rPr>
          <w:tab/>
        </w:r>
        <w:r w:rsidR="00506A39">
          <w:rPr>
            <w:webHidden/>
          </w:rPr>
          <w:fldChar w:fldCharType="begin"/>
        </w:r>
        <w:r w:rsidR="00506A39">
          <w:rPr>
            <w:webHidden/>
          </w:rPr>
          <w:instrText xml:space="preserve"> PAGEREF _Toc27139035 \h </w:instrText>
        </w:r>
        <w:r w:rsidR="00506A39">
          <w:rPr>
            <w:webHidden/>
          </w:rPr>
        </w:r>
        <w:r w:rsidR="00506A39">
          <w:rPr>
            <w:webHidden/>
          </w:rPr>
          <w:fldChar w:fldCharType="separate"/>
        </w:r>
        <w:r w:rsidR="00506A39">
          <w:rPr>
            <w:webHidden/>
          </w:rPr>
          <w:t>143</w:t>
        </w:r>
        <w:r w:rsidR="00506A39">
          <w:rPr>
            <w:webHidden/>
          </w:rPr>
          <w:fldChar w:fldCharType="end"/>
        </w:r>
      </w:hyperlink>
    </w:p>
    <w:p w14:paraId="5EA27CCE" w14:textId="36458488" w:rsidR="00506A39" w:rsidRDefault="008F6FA6">
      <w:pPr>
        <w:pStyle w:val="TOC2"/>
        <w:tabs>
          <w:tab w:val="left" w:pos="880"/>
        </w:tabs>
        <w:rPr>
          <w:rFonts w:asciiTheme="minorHAnsi" w:eastAsiaTheme="minorEastAsia" w:hAnsiTheme="minorHAnsi" w:cstheme="minorBidi"/>
          <w:color w:val="auto"/>
        </w:rPr>
      </w:pPr>
      <w:hyperlink w:anchor="_Toc27139036" w:history="1">
        <w:r w:rsidR="00506A39" w:rsidRPr="00692BF9">
          <w:rPr>
            <w:rStyle w:val="Hyperlink"/>
          </w:rPr>
          <w:t>II.16</w:t>
        </w:r>
        <w:r w:rsidR="00506A39">
          <w:rPr>
            <w:rFonts w:asciiTheme="minorHAnsi" w:eastAsiaTheme="minorEastAsia" w:hAnsiTheme="minorHAnsi" w:cstheme="minorBidi"/>
            <w:color w:val="auto"/>
          </w:rPr>
          <w:tab/>
        </w:r>
        <w:r w:rsidR="00506A39" w:rsidRPr="00692BF9">
          <w:rPr>
            <w:rStyle w:val="Hyperlink"/>
          </w:rPr>
          <w:t>A likviditás megfelelőségének belső értékelési folyamatának ismertetése</w:t>
        </w:r>
        <w:r w:rsidR="00506A39">
          <w:rPr>
            <w:webHidden/>
          </w:rPr>
          <w:tab/>
        </w:r>
        <w:r w:rsidR="00506A39">
          <w:rPr>
            <w:webHidden/>
          </w:rPr>
          <w:fldChar w:fldCharType="begin"/>
        </w:r>
        <w:r w:rsidR="00506A39">
          <w:rPr>
            <w:webHidden/>
          </w:rPr>
          <w:instrText xml:space="preserve"> PAGEREF _Toc27139036 \h </w:instrText>
        </w:r>
        <w:r w:rsidR="00506A39">
          <w:rPr>
            <w:webHidden/>
          </w:rPr>
        </w:r>
        <w:r w:rsidR="00506A39">
          <w:rPr>
            <w:webHidden/>
          </w:rPr>
          <w:fldChar w:fldCharType="separate"/>
        </w:r>
        <w:r w:rsidR="00506A39">
          <w:rPr>
            <w:webHidden/>
          </w:rPr>
          <w:t>143</w:t>
        </w:r>
        <w:r w:rsidR="00506A39">
          <w:rPr>
            <w:webHidden/>
          </w:rPr>
          <w:fldChar w:fldCharType="end"/>
        </w:r>
      </w:hyperlink>
    </w:p>
    <w:p w14:paraId="1A9ADBE8" w14:textId="4D0AD70E" w:rsidR="00506A39" w:rsidRDefault="008F6FA6">
      <w:pPr>
        <w:pStyle w:val="TOC1"/>
        <w:tabs>
          <w:tab w:val="left" w:pos="482"/>
        </w:tabs>
        <w:rPr>
          <w:rFonts w:asciiTheme="minorHAnsi" w:eastAsiaTheme="minorEastAsia" w:hAnsiTheme="minorHAnsi" w:cstheme="minorBidi"/>
          <w:b w:val="0"/>
          <w:color w:val="auto"/>
        </w:rPr>
      </w:pPr>
      <w:hyperlink w:anchor="_Toc27139037" w:history="1">
        <w:r w:rsidR="00506A39" w:rsidRPr="00692BF9">
          <w:rPr>
            <w:rStyle w:val="Hyperlink"/>
          </w:rPr>
          <w:t>III.</w:t>
        </w:r>
        <w:r w:rsidR="00506A39">
          <w:rPr>
            <w:rFonts w:asciiTheme="minorHAnsi" w:eastAsiaTheme="minorEastAsia" w:hAnsiTheme="minorHAnsi" w:cstheme="minorBidi"/>
            <w:b w:val="0"/>
            <w:color w:val="auto"/>
          </w:rPr>
          <w:tab/>
        </w:r>
        <w:r w:rsidR="00506A39" w:rsidRPr="00692BF9">
          <w:rPr>
            <w:rStyle w:val="Hyperlink"/>
          </w:rPr>
          <w:t>Mellékletek</w:t>
        </w:r>
        <w:r w:rsidR="00506A39">
          <w:rPr>
            <w:webHidden/>
          </w:rPr>
          <w:tab/>
        </w:r>
        <w:r w:rsidR="00506A39">
          <w:rPr>
            <w:webHidden/>
          </w:rPr>
          <w:fldChar w:fldCharType="begin"/>
        </w:r>
        <w:r w:rsidR="00506A39">
          <w:rPr>
            <w:webHidden/>
          </w:rPr>
          <w:instrText xml:space="preserve"> PAGEREF _Toc27139037 \h </w:instrText>
        </w:r>
        <w:r w:rsidR="00506A39">
          <w:rPr>
            <w:webHidden/>
          </w:rPr>
        </w:r>
        <w:r w:rsidR="00506A39">
          <w:rPr>
            <w:webHidden/>
          </w:rPr>
          <w:fldChar w:fldCharType="separate"/>
        </w:r>
        <w:r w:rsidR="00506A39">
          <w:rPr>
            <w:webHidden/>
          </w:rPr>
          <w:t>145</w:t>
        </w:r>
        <w:r w:rsidR="00506A39">
          <w:rPr>
            <w:webHidden/>
          </w:rPr>
          <w:fldChar w:fldCharType="end"/>
        </w:r>
      </w:hyperlink>
    </w:p>
    <w:p w14:paraId="66B150A0" w14:textId="43180D43"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AIRB</w:t>
            </w:r>
            <w:proofErr w:type="spellEnd"/>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 xml:space="preserve">PD, </w:t>
            </w:r>
            <w:proofErr w:type="spellStart"/>
            <w:r w:rsidRPr="006A6890">
              <w:rPr>
                <w:rFonts w:asciiTheme="minorHAnsi" w:hAnsiTheme="minorHAnsi"/>
                <w:sz w:val="20"/>
                <w:szCs w:val="20"/>
              </w:rPr>
              <w:t>LGD</w:t>
            </w:r>
            <w:proofErr w:type="spellEnd"/>
            <w:r w:rsidRPr="006A6890">
              <w:rPr>
                <w:rFonts w:asciiTheme="minorHAnsi" w:hAnsiTheme="minorHAnsi"/>
                <w:sz w:val="20"/>
                <w:szCs w:val="20"/>
              </w:rPr>
              <w:t>, CCF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Measurement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ALCO</w:t>
            </w:r>
            <w:proofErr w:type="spellEnd"/>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Asset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Liability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Alternative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AVA</w:t>
            </w:r>
            <w:proofErr w:type="spellEnd"/>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Additional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Adjustments</w:t>
            </w:r>
            <w:proofErr w:type="spellEnd"/>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BCM</w:t>
            </w:r>
            <w:proofErr w:type="spellEnd"/>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Continuity</w:t>
            </w:r>
            <w:proofErr w:type="spellEnd"/>
            <w:r w:rsidRPr="006A6890">
              <w:rPr>
                <w:rFonts w:asciiTheme="minorHAnsi" w:hAnsiTheme="minorHAnsi"/>
                <w:sz w:val="20"/>
                <w:szCs w:val="20"/>
              </w:rPr>
              <w:t xml:space="preserve">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BIA</w:t>
            </w:r>
            <w:proofErr w:type="spellEnd"/>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Basic </w:t>
            </w:r>
            <w:proofErr w:type="spellStart"/>
            <w:r w:rsidRPr="006A6890">
              <w:rPr>
                <w:rFonts w:asciiTheme="minorHAnsi" w:hAnsiTheme="minorHAnsi"/>
                <w:sz w:val="20"/>
                <w:szCs w:val="20"/>
              </w:rPr>
              <w:t>Indicator</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proofErr w:type="spellStart"/>
            <w:r w:rsidRPr="006A6890">
              <w:rPr>
                <w:rFonts w:asciiTheme="minorHAnsi" w:hAnsiTheme="minorHAnsi"/>
                <w:sz w:val="20"/>
                <w:szCs w:val="20"/>
              </w:rPr>
              <w:t>BMA</w:t>
            </w:r>
            <w:proofErr w:type="spellEnd"/>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Model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Ana</w:t>
            </w:r>
            <w:r w:rsidR="0057698F" w:rsidRPr="006A6890">
              <w:rPr>
                <w:rFonts w:asciiTheme="minorHAnsi" w:hAnsiTheme="minorHAnsi"/>
                <w:sz w:val="20"/>
                <w:szCs w:val="20"/>
              </w:rPr>
              <w:t>lysis</w:t>
            </w:r>
            <w:proofErr w:type="spellEnd"/>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BSZT</w:t>
            </w:r>
            <w:proofErr w:type="spellEnd"/>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Credit Conversion </w:t>
            </w:r>
            <w:proofErr w:type="spellStart"/>
            <w:r w:rsidRPr="006A6890">
              <w:rPr>
                <w:rFonts w:asciiTheme="minorHAnsi" w:hAnsiTheme="minorHAnsi"/>
                <w:sz w:val="20"/>
                <w:szCs w:val="20"/>
              </w:rPr>
              <w:t>Factor</w:t>
            </w:r>
            <w:proofErr w:type="spellEnd"/>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CEBS</w:t>
            </w:r>
            <w:proofErr w:type="spellEnd"/>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of European Banking </w:t>
            </w:r>
            <w:proofErr w:type="spellStart"/>
            <w:r w:rsidRPr="006A6890">
              <w:rPr>
                <w:rFonts w:asciiTheme="minorHAnsi" w:hAnsiTheme="minorHAnsi"/>
                <w:sz w:val="20"/>
                <w:szCs w:val="20"/>
              </w:rPr>
              <w:t>Supervisors</w:t>
            </w:r>
            <w:proofErr w:type="spellEnd"/>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Common</w:t>
            </w:r>
            <w:proofErr w:type="spellEnd"/>
            <w:r w:rsidRPr="006A6890">
              <w:rPr>
                <w:rFonts w:asciiTheme="minorHAnsi" w:hAnsiTheme="minorHAnsi"/>
                <w:sz w:val="20"/>
                <w:szCs w:val="20"/>
              </w:rPr>
              <w:t xml:space="preserve"> Equity </w:t>
            </w: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elsődleges 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CCP</w:t>
            </w:r>
            <w:proofErr w:type="spellEnd"/>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Central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Counterpar</w:t>
            </w:r>
            <w:r w:rsidR="008648C0" w:rsidRPr="006A6890">
              <w:rPr>
                <w:rFonts w:asciiTheme="minorHAnsi" w:hAnsiTheme="minorHAnsi"/>
                <w:sz w:val="20"/>
                <w:szCs w:val="20"/>
              </w:rPr>
              <w:t>t</w:t>
            </w:r>
            <w:r w:rsidRPr="006A6890">
              <w:rPr>
                <w:rFonts w:asciiTheme="minorHAnsi" w:hAnsiTheme="minorHAnsi"/>
                <w:sz w:val="20"/>
                <w:szCs w:val="20"/>
              </w:rPr>
              <w:t>y</w:t>
            </w:r>
            <w:proofErr w:type="spellEnd"/>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4B7E48" w:rsidRPr="006A6890" w14:paraId="66B150D4" w14:textId="77777777" w:rsidTr="00175385">
        <w:trPr>
          <w:trHeight w:val="360"/>
        </w:trPr>
        <w:tc>
          <w:tcPr>
            <w:tcW w:w="993" w:type="dxa"/>
            <w:tcBorders>
              <w:top w:val="nil"/>
              <w:left w:val="nil"/>
              <w:bottom w:val="nil"/>
              <w:right w:val="nil"/>
            </w:tcBorders>
            <w:vAlign w:val="center"/>
          </w:tcPr>
          <w:p w14:paraId="66B150D1" w14:textId="6BFF9C97"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D2" w14:textId="48274DE2"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D3" w14:textId="26E3A8B3" w:rsidR="004B7E48" w:rsidRPr="006A6890" w:rsidRDefault="004B7E48" w:rsidP="00D10772">
            <w:pPr>
              <w:rPr>
                <w:rFonts w:asciiTheme="minorHAnsi" w:hAnsiTheme="minorHAnsi"/>
                <w:sz w:val="20"/>
                <w:szCs w:val="20"/>
              </w:rPr>
            </w:pP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Directives</w:t>
            </w:r>
            <w:proofErr w:type="spellEnd"/>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w:t>
            </w:r>
            <w:proofErr w:type="spellStart"/>
            <w:r w:rsidRPr="006A6890">
              <w:rPr>
                <w:rFonts w:asciiTheme="minorHAnsi" w:hAnsiTheme="minorHAnsi"/>
                <w:sz w:val="20"/>
                <w:szCs w:val="20"/>
              </w:rPr>
              <w:t>EC</w:t>
            </w:r>
            <w:proofErr w:type="spellEnd"/>
            <w:r w:rsidRPr="006A6890">
              <w:rPr>
                <w:rFonts w:asciiTheme="minorHAnsi" w:hAnsiTheme="minorHAnsi"/>
                <w:sz w:val="20"/>
                <w:szCs w:val="20"/>
              </w:rPr>
              <w:t xml:space="preserve"> (módosított 2000/12) és 2006/49/</w:t>
            </w:r>
            <w:proofErr w:type="spellStart"/>
            <w:r w:rsidRPr="006A6890">
              <w:rPr>
                <w:rFonts w:asciiTheme="minorHAnsi" w:hAnsiTheme="minorHAnsi"/>
                <w:sz w:val="20"/>
                <w:szCs w:val="20"/>
              </w:rPr>
              <w:t>EC</w:t>
            </w:r>
            <w:proofErr w:type="spellEnd"/>
            <w:r w:rsidRPr="006A6890">
              <w:rPr>
                <w:rFonts w:asciiTheme="minorHAnsi" w:hAnsiTheme="minorHAnsi"/>
                <w:sz w:val="20"/>
                <w:szCs w:val="20"/>
              </w:rPr>
              <w:t xml:space="preserve">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r w:rsidRPr="006A6890">
              <w:rPr>
                <w:rFonts w:asciiTheme="minorHAnsi" w:hAnsiTheme="minorHAnsi"/>
                <w:sz w:val="20"/>
                <w:szCs w:val="20"/>
              </w:rPr>
              <w:t xml:space="preserve">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w:t>
            </w:r>
            <w:proofErr w:type="spellEnd"/>
            <w:r w:rsidRPr="006A6890">
              <w:rPr>
                <w:rFonts w:asciiTheme="minorHAnsi" w:hAnsiTheme="minorHAnsi"/>
                <w:sz w:val="20"/>
                <w:szCs w:val="20"/>
              </w:rPr>
              <w:t xml:space="preser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2013/36/EU irányelve a hitelintézetek tevékenységéhez való hozzáférésről és a hitelintézetek és befektetési vállalkozások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felügyeletéről, a 2002/87/EK irányelv módosításáról, a 2006/48/EK és a 2006/49/EK irányelv hatályon kívül helyezéséről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575/2013/EU rendelete a hitelintézetekre és befektetési vállalkozásokra vonatkozó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követelményekről és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CVA</w:t>
            </w:r>
            <w:proofErr w:type="spellEnd"/>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 xml:space="preserve">Credit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w:t>
            </w:r>
            <w:proofErr w:type="spellEnd"/>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proofErr w:type="spellStart"/>
            <w:r w:rsidRPr="006A6890">
              <w:rPr>
                <w:rFonts w:asciiTheme="minorHAnsi" w:hAnsiTheme="minorHAnsi"/>
                <w:sz w:val="20"/>
                <w:szCs w:val="20"/>
              </w:rPr>
              <w:t>Delegated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Act</w:t>
            </w:r>
            <w:proofErr w:type="spellEnd"/>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DMM</w:t>
            </w:r>
            <w:proofErr w:type="spellEnd"/>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DVP</w:t>
            </w:r>
            <w:proofErr w:type="spellEnd"/>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Delivery</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V</w:t>
            </w:r>
            <w:r w:rsidRPr="006A6890">
              <w:rPr>
                <w:rFonts w:asciiTheme="minorHAnsi" w:hAnsiTheme="minorHAnsi"/>
                <w:sz w:val="20"/>
                <w:szCs w:val="20"/>
              </w:rPr>
              <w:t>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A</w:t>
            </w:r>
            <w:r w:rsidRPr="006A6890">
              <w:rPr>
                <w:rFonts w:asciiTheme="minorHAnsi" w:hAnsiTheme="minorHAnsi"/>
                <w:sz w:val="20"/>
                <w:szCs w:val="20"/>
              </w:rPr>
              <w:t>t</w:t>
            </w:r>
            <w:proofErr w:type="spellEnd"/>
            <w:r w:rsidRPr="006A6890">
              <w:rPr>
                <w:rFonts w:asciiTheme="minorHAnsi" w:hAnsiTheme="minorHAnsi"/>
                <w:sz w:val="20"/>
                <w:szCs w:val="20"/>
              </w:rPr>
              <w:t xml:space="preserve"> Default</w:t>
            </w:r>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lastRenderedPageBreak/>
              <w:t>EBA</w:t>
            </w:r>
            <w:proofErr w:type="spellEnd"/>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European Banking </w:t>
            </w:r>
            <w:proofErr w:type="spellStart"/>
            <w:r w:rsidRPr="006A6890">
              <w:rPr>
                <w:rFonts w:asciiTheme="minorHAnsi" w:hAnsiTheme="minorHAnsi"/>
                <w:sz w:val="20"/>
                <w:szCs w:val="20"/>
              </w:rPr>
              <w:t>Authority</w:t>
            </w:r>
            <w:proofErr w:type="spellEnd"/>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proofErr w:type="spellStart"/>
            <w:r w:rsidRPr="006A6890">
              <w:rPr>
                <w:rFonts w:asciiTheme="minorHAnsi" w:hAnsiTheme="minorHAnsi"/>
                <w:sz w:val="20"/>
                <w:szCs w:val="20"/>
              </w:rPr>
              <w:t>EGT</w:t>
            </w:r>
            <w:proofErr w:type="spellEnd"/>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FIRB</w:t>
            </w:r>
            <w:proofErr w:type="spellEnd"/>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Foundation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HPT</w:t>
            </w:r>
            <w:proofErr w:type="spellEnd"/>
          </w:p>
        </w:tc>
        <w:tc>
          <w:tcPr>
            <w:tcW w:w="4138" w:type="dxa"/>
            <w:tcBorders>
              <w:top w:val="nil"/>
              <w:left w:val="nil"/>
              <w:bottom w:val="nil"/>
              <w:right w:val="nil"/>
            </w:tcBorders>
            <w:vAlign w:val="center"/>
          </w:tcPr>
          <w:p w14:paraId="66B15106" w14:textId="77777777" w:rsidR="004B7E48" w:rsidRPr="006A6890" w:rsidRDefault="004B7E48" w:rsidP="00181DC0">
            <w:pPr>
              <w:pStyle w:val="Norma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IG</w:t>
            </w:r>
            <w:proofErr w:type="spellEnd"/>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ILAAP</w:t>
            </w:r>
            <w:proofErr w:type="spellEnd"/>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proofErr w:type="spellStart"/>
            <w:r w:rsidRPr="006A6890">
              <w:rPr>
                <w:rFonts w:asciiTheme="minorHAnsi" w:hAnsiTheme="minorHAnsi"/>
                <w:sz w:val="20"/>
                <w:szCs w:val="20"/>
              </w:rPr>
              <w:t>IRRBB</w:t>
            </w:r>
            <w:proofErr w:type="spellEnd"/>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 xml:space="preserve">Interest </w:t>
            </w:r>
            <w:proofErr w:type="spellStart"/>
            <w:r w:rsidRPr="006A6890">
              <w:rPr>
                <w:rFonts w:asciiTheme="minorHAnsi" w:hAnsiTheme="minorHAnsi"/>
                <w:sz w:val="20"/>
                <w:szCs w:val="20"/>
              </w:rPr>
              <w:t>Rate</w:t>
            </w:r>
            <w:proofErr w:type="spellEnd"/>
            <w:r w:rsidRPr="006A6890">
              <w:rPr>
                <w:rFonts w:asciiTheme="minorHAnsi" w:hAnsiTheme="minorHAnsi"/>
                <w:sz w:val="20"/>
                <w:szCs w:val="20"/>
              </w:rPr>
              <w:t xml:space="preserve"> In The Banking </w:t>
            </w:r>
            <w:proofErr w:type="spellStart"/>
            <w:r w:rsidRPr="006A6890">
              <w:rPr>
                <w:rFonts w:asciiTheme="minorHAnsi" w:hAnsiTheme="minorHAnsi"/>
                <w:sz w:val="20"/>
                <w:szCs w:val="20"/>
              </w:rPr>
              <w:t>Book</w:t>
            </w:r>
            <w:proofErr w:type="spellEnd"/>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JRAD</w:t>
            </w:r>
            <w:proofErr w:type="spellEnd"/>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proofErr w:type="spellStart"/>
            <w:r w:rsidRPr="006A6890">
              <w:rPr>
                <w:rFonts w:asciiTheme="minorHAnsi" w:hAnsiTheme="minorHAnsi"/>
                <w:sz w:val="20"/>
                <w:szCs w:val="20"/>
              </w:rPr>
              <w:t>Joint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KRI</w:t>
            </w:r>
            <w:proofErr w:type="spellEnd"/>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Key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Indicator</w:t>
            </w:r>
            <w:proofErr w:type="spellEnd"/>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LCP</w:t>
            </w:r>
            <w:proofErr w:type="spellEnd"/>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C</w:t>
            </w:r>
            <w:r w:rsidRPr="006A6890">
              <w:rPr>
                <w:rFonts w:asciiTheme="minorHAnsi" w:hAnsiTheme="minorHAnsi"/>
                <w:sz w:val="20"/>
                <w:szCs w:val="20"/>
              </w:rPr>
              <w:t>ontingency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P</w:t>
            </w:r>
            <w:r w:rsidRPr="006A6890">
              <w:rPr>
                <w:rFonts w:asciiTheme="minorHAnsi" w:hAnsiTheme="minorHAnsi"/>
                <w:sz w:val="20"/>
                <w:szCs w:val="20"/>
              </w:rPr>
              <w:t>lan</w:t>
            </w:r>
            <w:proofErr w:type="spellEnd"/>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LCR</w:t>
            </w:r>
            <w:proofErr w:type="spellEnd"/>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C</w:t>
            </w:r>
            <w:r w:rsidRPr="006A6890">
              <w:rPr>
                <w:rFonts w:asciiTheme="minorHAnsi" w:hAnsiTheme="minorHAnsi"/>
                <w:sz w:val="20"/>
                <w:szCs w:val="20"/>
              </w:rPr>
              <w:t>overage</w:t>
            </w:r>
            <w:proofErr w:type="spellEnd"/>
            <w:r w:rsidRPr="006A6890">
              <w:rPr>
                <w:rFonts w:asciiTheme="minorHAnsi" w:hAnsiTheme="minorHAnsi"/>
                <w:sz w:val="20"/>
                <w:szCs w:val="20"/>
              </w:rPr>
              <w:t xml:space="preserv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LGD</w:t>
            </w:r>
            <w:proofErr w:type="spellEnd"/>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Loss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Given</w:t>
            </w:r>
            <w:proofErr w:type="spellEnd"/>
            <w:r w:rsidRPr="006A6890">
              <w:rPr>
                <w:rFonts w:asciiTheme="minorHAnsi" w:hAnsiTheme="minorHAnsi"/>
                <w:sz w:val="20"/>
                <w:szCs w:val="20"/>
              </w:rPr>
              <w:t xml:space="preserve"> Default</w:t>
            </w:r>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LTV</w:t>
            </w:r>
            <w:proofErr w:type="spellEnd"/>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 xml:space="preserve">Loan </w:t>
            </w:r>
            <w:proofErr w:type="spellStart"/>
            <w:r w:rsidRPr="006A6890">
              <w:rPr>
                <w:rFonts w:asciiTheme="minorHAnsi" w:hAnsiTheme="minorHAnsi"/>
                <w:sz w:val="20"/>
                <w:szCs w:val="20"/>
              </w:rPr>
              <w:t>To</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Value</w:t>
            </w:r>
            <w:proofErr w:type="spellEnd"/>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NFSR</w:t>
            </w:r>
            <w:proofErr w:type="spellEnd"/>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proofErr w:type="spellStart"/>
            <w:r w:rsidR="00163159" w:rsidRPr="006A6890">
              <w:rPr>
                <w:rFonts w:asciiTheme="minorHAnsi" w:hAnsiTheme="minorHAnsi"/>
                <w:sz w:val="20"/>
                <w:szCs w:val="20"/>
              </w:rPr>
              <w:t>F</w:t>
            </w:r>
            <w:r w:rsidRPr="006A6890">
              <w:rPr>
                <w:rFonts w:asciiTheme="minorHAnsi" w:hAnsiTheme="minorHAnsi"/>
                <w:sz w:val="20"/>
                <w:szCs w:val="20"/>
              </w:rPr>
              <w:t>unding</w:t>
            </w:r>
            <w:proofErr w:type="spellEnd"/>
            <w:r w:rsidRPr="006A6890">
              <w:rPr>
                <w:rFonts w:asciiTheme="minorHAnsi" w:hAnsiTheme="minorHAnsi"/>
                <w:sz w:val="20"/>
                <w:szCs w:val="20"/>
              </w:rPr>
              <w:t xml:space="preserve">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Overall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OTC</w:t>
            </w:r>
            <w:proofErr w:type="spellEnd"/>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proofErr w:type="spellStart"/>
            <w:r w:rsidRPr="006A6890">
              <w:rPr>
                <w:rFonts w:asciiTheme="minorHAnsi" w:hAnsiTheme="minorHAnsi"/>
                <w:sz w:val="20"/>
                <w:szCs w:val="20"/>
              </w:rPr>
              <w:t>Counter</w:t>
            </w:r>
            <w:proofErr w:type="spellEnd"/>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Probability</w:t>
            </w:r>
            <w:proofErr w:type="spellEnd"/>
            <w:r w:rsidRPr="006A6890">
              <w:rPr>
                <w:rFonts w:asciiTheme="minorHAnsi" w:hAnsiTheme="minorHAnsi"/>
                <w:sz w:val="20"/>
                <w:szCs w:val="20"/>
              </w:rPr>
              <w:t xml:space="preserve"> of Default</w:t>
            </w:r>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Point</w:t>
            </w:r>
            <w:proofErr w:type="spellEnd"/>
            <w:r w:rsidRPr="006A6890">
              <w:rPr>
                <w:rFonts w:asciiTheme="minorHAnsi" w:hAnsiTheme="minorHAnsi"/>
                <w:sz w:val="20"/>
                <w:szCs w:val="20"/>
              </w:rPr>
              <w: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SD</w:t>
            </w:r>
            <w:proofErr w:type="spellEnd"/>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proofErr w:type="spellStart"/>
            <w:r w:rsidRPr="006A6890">
              <w:rPr>
                <w:rFonts w:asciiTheme="minorHAnsi" w:hAnsiTheme="minorHAnsi"/>
                <w:sz w:val="20"/>
                <w:szCs w:val="20"/>
              </w:rPr>
              <w:t>Settlement</w:t>
            </w:r>
            <w:proofErr w:type="spellEnd"/>
            <w:r w:rsidRPr="006A6890">
              <w:rPr>
                <w:rFonts w:asciiTheme="minorHAnsi" w:hAnsiTheme="minorHAnsi"/>
                <w:sz w:val="20"/>
                <w:szCs w:val="20"/>
              </w:rPr>
              <w:t xml:space="preserve">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SL</w:t>
            </w:r>
            <w:proofErr w:type="spellEnd"/>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Specialized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Lending</w:t>
            </w:r>
            <w:proofErr w:type="spellEnd"/>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Supervisory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Review</w:t>
            </w:r>
            <w:proofErr w:type="spellEnd"/>
            <w:r w:rsidRPr="006A6890">
              <w:rPr>
                <w:rFonts w:asciiTheme="minorHAnsi" w:hAnsiTheme="minorHAnsi"/>
                <w:sz w:val="20"/>
                <w:szCs w:val="20"/>
              </w:rPr>
              <w:t xml:space="preserve"> and </w:t>
            </w:r>
            <w:proofErr w:type="spellStart"/>
            <w:r w:rsidRPr="006A6890">
              <w:rPr>
                <w:rFonts w:asciiTheme="minorHAnsi" w:hAnsiTheme="minorHAnsi"/>
                <w:sz w:val="20"/>
                <w:szCs w:val="20"/>
              </w:rPr>
              <w:t>Evaluation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RVP</w:t>
            </w:r>
            <w:proofErr w:type="spellEnd"/>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Receive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járulékos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TSA</w:t>
            </w:r>
            <w:proofErr w:type="spellEnd"/>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TREA</w:t>
            </w:r>
            <w:proofErr w:type="spellEnd"/>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Amount</w:t>
            </w:r>
            <w:proofErr w:type="spellEnd"/>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r w:rsidRPr="006A6890">
              <w:rPr>
                <w:rFonts w:asciiTheme="minorHAnsi" w:hAnsiTheme="minorHAnsi"/>
                <w:sz w:val="20"/>
                <w:szCs w:val="20"/>
              </w:rPr>
              <w:t xml:space="preserve">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lastRenderedPageBreak/>
              <w:t>TTC</w:t>
            </w:r>
            <w:proofErr w:type="spellEnd"/>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Through</w:t>
            </w:r>
            <w:proofErr w:type="spellEnd"/>
            <w:r w:rsidRPr="006A6890">
              <w:rPr>
                <w:rFonts w:asciiTheme="minorHAnsi" w:hAnsiTheme="minorHAnsi"/>
                <w:sz w:val="20"/>
                <w:szCs w:val="20"/>
              </w:rPr>
              <w:t>-The-</w:t>
            </w:r>
            <w:proofErr w:type="spellStart"/>
            <w:r w:rsidRPr="006A6890">
              <w:rPr>
                <w:rFonts w:asciiTheme="minorHAnsi" w:hAnsiTheme="minorHAnsi"/>
                <w:sz w:val="20"/>
                <w:szCs w:val="20"/>
              </w:rPr>
              <w:t>Cycle</w:t>
            </w:r>
            <w:proofErr w:type="spellEnd"/>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Unexpected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Value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VIR</w:t>
            </w:r>
            <w:proofErr w:type="spellEnd"/>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Heading1"/>
        <w:rPr>
          <w:rFonts w:asciiTheme="minorHAnsi" w:hAnsiTheme="minorHAnsi"/>
        </w:rPr>
      </w:pPr>
      <w:r w:rsidRPr="006A6890">
        <w:rPr>
          <w:rFonts w:asciiTheme="minorHAnsi" w:hAnsiTheme="minorHAnsi"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27138914"/>
      <w:bookmarkEnd w:id="17"/>
      <w:r w:rsidRPr="006A6890">
        <w:rPr>
          <w:rFonts w:asciiTheme="minorHAnsi" w:hAnsiTheme="minorHAnsi"/>
        </w:rPr>
        <w:lastRenderedPageBreak/>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42D8978" w14:textId="220D8ACC"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w:t>
      </w:r>
      <w:proofErr w:type="spellStart"/>
      <w:r w:rsidRPr="004B5D1A">
        <w:rPr>
          <w:rFonts w:asciiTheme="minorHAnsi" w:hAnsiTheme="minorHAnsi"/>
        </w:rPr>
        <w:t>CRD</w:t>
      </w:r>
      <w:proofErr w:type="spellEnd"/>
      <w:r w:rsidRPr="004B5D1A">
        <w:rPr>
          <w:rFonts w:asciiTheme="minorHAnsi" w:hAnsiTheme="minorHAnsi"/>
        </w:rPr>
        <w:t xml:space="preserve">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w:t>
      </w:r>
      <w:proofErr w:type="spellStart"/>
      <w:r w:rsidRPr="004B5D1A">
        <w:rPr>
          <w:rFonts w:asciiTheme="minorHAnsi" w:hAnsiTheme="minorHAnsi"/>
        </w:rPr>
        <w:t>SREP</w:t>
      </w:r>
      <w:proofErr w:type="spellEnd"/>
      <w:r w:rsidRPr="004B5D1A">
        <w:rPr>
          <w:rFonts w:asciiTheme="minorHAnsi" w:hAnsiTheme="minorHAnsi"/>
        </w:rPr>
        <w:t xml:space="preserve">) foglalkozó módszertani útmutatókat, amelyeket a jogszabályi változások és a gyakorlati tapasztalatok alapján rendszeresen felülvizsgált. Az útmutatók alapjául szolgáló európai szintű szabályozás a </w:t>
      </w:r>
      <w:proofErr w:type="spellStart"/>
      <w:r w:rsidRPr="004B5D1A">
        <w:rPr>
          <w:rFonts w:asciiTheme="minorHAnsi" w:hAnsiTheme="minorHAnsi"/>
        </w:rPr>
        <w:t>CRD</w:t>
      </w:r>
      <w:proofErr w:type="spellEnd"/>
      <w:r w:rsidRPr="004B5D1A">
        <w:rPr>
          <w:rFonts w:asciiTheme="minorHAnsi" w:hAnsiTheme="minorHAnsi"/>
        </w:rPr>
        <w:t xml:space="preserve"> IV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proofErr w:type="spellStart"/>
      <w:r w:rsidRPr="004B5D1A">
        <w:rPr>
          <w:rFonts w:asciiTheme="minorHAnsi" w:hAnsiTheme="minorHAnsi"/>
        </w:rPr>
        <w:t>ILAAP</w:t>
      </w:r>
      <w:proofErr w:type="spellEnd"/>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 xml:space="preserve">z </w:t>
      </w:r>
      <w:proofErr w:type="spellStart"/>
      <w:r w:rsidR="00120DA0" w:rsidRPr="004B5D1A">
        <w:rPr>
          <w:rFonts w:asciiTheme="minorHAnsi" w:hAnsiTheme="minorHAnsi"/>
        </w:rPr>
        <w:t>EBA</w:t>
      </w:r>
      <w:proofErr w:type="spellEnd"/>
      <w:r w:rsidR="00120DA0" w:rsidRPr="004B5D1A">
        <w:rPr>
          <w:rFonts w:asciiTheme="minorHAnsi" w:hAnsiTheme="minorHAnsi"/>
        </w:rPr>
        <w:t xml:space="preserve"> a</w:t>
      </w:r>
      <w:r w:rsidR="002478DD" w:rsidRPr="004B5D1A">
        <w:rPr>
          <w:rFonts w:asciiTheme="minorHAnsi" w:hAnsiTheme="minorHAnsi"/>
        </w:rPr>
        <w:t xml:space="preserve"> </w:t>
      </w:r>
      <w:proofErr w:type="spellStart"/>
      <w:r w:rsidR="002478DD" w:rsidRPr="004B5D1A">
        <w:rPr>
          <w:rFonts w:asciiTheme="minorHAnsi" w:hAnsiTheme="minorHAnsi"/>
        </w:rPr>
        <w:t>SREP</w:t>
      </w:r>
      <w:proofErr w:type="spellEnd"/>
      <w:r w:rsidR="002478DD" w:rsidRPr="004B5D1A">
        <w:rPr>
          <w:rFonts w:asciiTheme="minorHAnsi" w:hAnsiTheme="minorHAnsi"/>
        </w:rPr>
        <w:t xml:space="preserve">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FootnoteReference"/>
          <w:rFonts w:asciiTheme="minorHAnsi" w:hAnsiTheme="minorHAnsi"/>
        </w:rPr>
        <w:footnoteReference w:id="2"/>
      </w:r>
      <w:r w:rsidR="00745F2B" w:rsidRPr="004B5D1A">
        <w:rPr>
          <w:rFonts w:asciiTheme="minorHAnsi" w:hAnsiTheme="minorHAnsi"/>
        </w:rPr>
        <w:t xml:space="preserve"> (</w:t>
      </w:r>
      <w:proofErr w:type="spellStart"/>
      <w:r w:rsidR="00745F2B" w:rsidRPr="004B5D1A">
        <w:rPr>
          <w:rFonts w:asciiTheme="minorHAnsi" w:hAnsiTheme="minorHAnsi"/>
        </w:rPr>
        <w:t>EBA</w:t>
      </w:r>
      <w:proofErr w:type="spellEnd"/>
      <w:r w:rsidR="00745F2B" w:rsidRPr="004B5D1A">
        <w:rPr>
          <w:rFonts w:asciiTheme="minorHAnsi" w:hAnsiTheme="minorHAnsi"/>
        </w:rPr>
        <w:t xml:space="preserve"> </w:t>
      </w:r>
      <w:proofErr w:type="spellStart"/>
      <w:r w:rsidR="00745F2B" w:rsidRPr="004B5D1A">
        <w:rPr>
          <w:rFonts w:asciiTheme="minorHAnsi" w:hAnsiTheme="minorHAnsi"/>
        </w:rPr>
        <w:t>SREP</w:t>
      </w:r>
      <w:proofErr w:type="spellEnd"/>
      <w:r w:rsidR="00745F2B" w:rsidRPr="004B5D1A">
        <w:rPr>
          <w:rFonts w:asciiTheme="minorHAnsi" w:hAnsiTheme="minorHAnsi"/>
        </w:rPr>
        <w:t xml:space="preserve">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w:t>
      </w:r>
      <w:proofErr w:type="spellStart"/>
      <w:r w:rsidR="00A26947" w:rsidRPr="004B5D1A">
        <w:rPr>
          <w:rFonts w:asciiTheme="minorHAnsi" w:hAnsiTheme="minorHAnsi"/>
        </w:rPr>
        <w:t>BMA</w:t>
      </w:r>
      <w:proofErr w:type="spellEnd"/>
      <w:r w:rsidR="00A26947" w:rsidRPr="004B5D1A">
        <w:rPr>
          <w:rFonts w:asciiTheme="minorHAnsi" w:hAnsiTheme="minorHAnsi"/>
        </w:rPr>
        <w:t>) foglalkozó fejezettel</w:t>
      </w:r>
      <w:r w:rsidR="00137D76" w:rsidRPr="004B5D1A">
        <w:rPr>
          <w:rFonts w:asciiTheme="minorHAnsi" w:hAnsiTheme="minorHAnsi"/>
        </w:rPr>
        <w:t xml:space="preserve">.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w:t>
      </w:r>
      <w:proofErr w:type="spellStart"/>
      <w:r w:rsidR="00A26947" w:rsidRPr="004B5D1A">
        <w:rPr>
          <w:rFonts w:asciiTheme="minorHAnsi" w:hAnsiTheme="minorHAnsi"/>
        </w:rPr>
        <w:t>EBA</w:t>
      </w:r>
      <w:proofErr w:type="spellEnd"/>
      <w:r w:rsidR="00A26947" w:rsidRPr="004B5D1A">
        <w:rPr>
          <w:rFonts w:asciiTheme="minorHAnsi" w:hAnsiTheme="minorHAnsi"/>
        </w:rPr>
        <w:t xml:space="preserve">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Ajánlás szerinti </w:t>
      </w:r>
      <w:r w:rsidR="00137D76" w:rsidRPr="004B5D1A">
        <w:rPr>
          <w:rFonts w:asciiTheme="minorHAnsi" w:hAnsiTheme="minorHAnsi"/>
        </w:rPr>
        <w:t xml:space="preserve">teljes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w:t>
      </w:r>
      <w:proofErr w:type="spellStart"/>
      <w:r w:rsidR="00120DA0" w:rsidRPr="004B5D1A">
        <w:rPr>
          <w:rFonts w:asciiTheme="minorHAnsi" w:hAnsiTheme="minorHAnsi"/>
        </w:rPr>
        <w:t>ILAAP</w:t>
      </w:r>
      <w:proofErr w:type="spellEnd"/>
      <w:r w:rsidR="00120DA0" w:rsidRPr="004B5D1A">
        <w:rPr>
          <w:rFonts w:asciiTheme="minorHAnsi" w:hAnsiTheme="minorHAnsi"/>
        </w:rPr>
        <w:t>-</w:t>
      </w:r>
      <w:proofErr w:type="spellStart"/>
      <w:r w:rsidR="00120DA0" w:rsidRPr="004B5D1A">
        <w:rPr>
          <w:rFonts w:asciiTheme="minorHAnsi" w:hAnsiTheme="minorHAnsi"/>
        </w:rPr>
        <w:t>BMA</w:t>
      </w:r>
      <w:proofErr w:type="spellEnd"/>
      <w:r w:rsidR="00120DA0" w:rsidRPr="004B5D1A">
        <w:rPr>
          <w:rFonts w:asciiTheme="minorHAnsi" w:hAnsiTheme="minorHAnsi"/>
        </w:rPr>
        <w:t xml:space="preserve">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w:t>
      </w:r>
      <w:proofErr w:type="spellStart"/>
      <w:r w:rsidR="00A26947" w:rsidRPr="004B5D1A">
        <w:rPr>
          <w:rFonts w:asciiTheme="minorHAnsi" w:hAnsiTheme="minorHAnsi"/>
        </w:rPr>
        <w:t>EBA</w:t>
      </w:r>
      <w:proofErr w:type="spellEnd"/>
      <w:r w:rsidR="00A26947" w:rsidRPr="004B5D1A">
        <w:rPr>
          <w:rFonts w:asciiTheme="minorHAnsi" w:hAnsiTheme="minorHAnsi"/>
        </w:rPr>
        <w:t xml:space="preserve">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w:t>
      </w:r>
      <w:proofErr w:type="spellStart"/>
      <w:r w:rsidR="00957A0E" w:rsidRPr="004B5D1A">
        <w:rPr>
          <w:rFonts w:asciiTheme="minorHAnsi" w:hAnsiTheme="minorHAnsi"/>
        </w:rPr>
        <w:t>transzparensebbek</w:t>
      </w:r>
      <w:proofErr w:type="spellEnd"/>
      <w:r w:rsidR="00957A0E" w:rsidRPr="004B5D1A">
        <w:rPr>
          <w:rFonts w:asciiTheme="minorHAnsi" w:hAnsiTheme="minorHAnsi"/>
        </w:rPr>
        <w:t xml:space="preserve">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FootnoteReference"/>
          <w:rFonts w:asciiTheme="minorHAnsi" w:hAnsiTheme="minorHAnsi"/>
        </w:rPr>
        <w:footnoteReference w:id="3"/>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w:t>
      </w:r>
      <w:proofErr w:type="spellStart"/>
      <w:r w:rsidRPr="004B5D1A">
        <w:rPr>
          <w:rFonts w:asciiTheme="minorHAnsi" w:hAnsiTheme="minorHAnsi"/>
        </w:rPr>
        <w:t>eltérőek</w:t>
      </w:r>
      <w:proofErr w:type="spellEnd"/>
      <w:r w:rsidRPr="004B5D1A">
        <w:rPr>
          <w:rFonts w:asciiTheme="minorHAnsi" w:hAnsiTheme="minorHAnsi"/>
        </w:rPr>
        <w:t xml:space="preserve">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6A6890" w:rsidRDefault="00E430B8" w:rsidP="008F2D8B">
      <w:pPr>
        <w:pStyle w:val="Heading2"/>
        <w:rPr>
          <w:rFonts w:asciiTheme="minorHAnsi" w:hAnsiTheme="minorHAnsi"/>
        </w:rPr>
      </w:pPr>
      <w:bookmarkStart w:id="33" w:name="_A_tőkemegfelelés_belső"/>
      <w:bookmarkStart w:id="34" w:name="_Toc462401906"/>
      <w:bookmarkStart w:id="35" w:name="_Toc462403027"/>
      <w:bookmarkStart w:id="36" w:name="_Toc462403350"/>
      <w:bookmarkStart w:id="37" w:name="_Toc468180469"/>
      <w:bookmarkStart w:id="38" w:name="_Toc468181002"/>
      <w:bookmarkStart w:id="39" w:name="_Toc468191404"/>
      <w:bookmarkStart w:id="40" w:name="_Toc27138915"/>
      <w:bookmarkStart w:id="41" w:name="_Toc378256220"/>
      <w:bookmarkStart w:id="42" w:name="_Toc378592028"/>
      <w:bookmarkStart w:id="43" w:name="_Toc461095159"/>
      <w:bookmarkStart w:id="44" w:name="_Toc461179192"/>
      <w:bookmarkStart w:id="45" w:name="_Toc461179814"/>
      <w:bookmarkStart w:id="46" w:name="_Toc461197733"/>
      <w:bookmarkStart w:id="47" w:name="_Toc461201257"/>
      <w:bookmarkStart w:id="48" w:name="_Toc461547879"/>
      <w:bookmarkEnd w:id="33"/>
      <w:r w:rsidRPr="006A6890">
        <w:rPr>
          <w:rFonts w:asciiTheme="minorHAnsi" w:hAnsiTheme="minorHAnsi"/>
          <w:lang w:val="hu-HU"/>
        </w:rPr>
        <w:t xml:space="preserve">Az </w:t>
      </w:r>
      <w:r w:rsidR="000D05C1" w:rsidRPr="006A6890">
        <w:rPr>
          <w:rFonts w:asciiTheme="minorHAnsi" w:hAnsiTheme="minorHAnsi"/>
        </w:rPr>
        <w:t>ICAAP</w:t>
      </w:r>
      <w:r w:rsidRPr="006A6890">
        <w:rPr>
          <w:rFonts w:asciiTheme="minorHAnsi" w:hAnsiTheme="minorHAnsi"/>
          <w:lang w:val="hu-HU"/>
        </w:rPr>
        <w:t xml:space="preserve">, az </w:t>
      </w:r>
      <w:proofErr w:type="spellStart"/>
      <w:r w:rsidR="000D05C1" w:rsidRPr="006A6890">
        <w:rPr>
          <w:rFonts w:asciiTheme="minorHAnsi" w:hAnsiTheme="minorHAnsi"/>
        </w:rPr>
        <w:t>ILAAP</w:t>
      </w:r>
      <w:proofErr w:type="spellEnd"/>
      <w:r w:rsidRPr="006A6890">
        <w:rPr>
          <w:rFonts w:asciiTheme="minorHAnsi" w:hAnsiTheme="minorHAnsi"/>
          <w:lang w:val="hu-HU"/>
        </w:rPr>
        <w:t xml:space="preserve"> és a </w:t>
      </w:r>
      <w:proofErr w:type="spellStart"/>
      <w:r w:rsidR="000D05C1" w:rsidRPr="006A6890">
        <w:rPr>
          <w:rFonts w:asciiTheme="minorHAnsi" w:hAnsiTheme="minorHAnsi"/>
        </w:rPr>
        <w:t>BMA</w:t>
      </w:r>
      <w:proofErr w:type="spellEnd"/>
      <w:r w:rsidR="000D05C1" w:rsidRPr="006A6890">
        <w:rPr>
          <w:rFonts w:asciiTheme="minorHAnsi" w:hAnsiTheme="minorHAnsi"/>
        </w:rPr>
        <w:t xml:space="preserve"> vizsgálat a </w:t>
      </w:r>
      <w:proofErr w:type="spellStart"/>
      <w:r w:rsidR="000D05C1" w:rsidRPr="006A6890">
        <w:rPr>
          <w:rFonts w:asciiTheme="minorHAnsi" w:hAnsiTheme="minorHAnsi"/>
        </w:rPr>
        <w:t>SREP</w:t>
      </w:r>
      <w:proofErr w:type="spellEnd"/>
      <w:r w:rsidR="000D05C1" w:rsidRPr="006A6890">
        <w:rPr>
          <w:rFonts w:asciiTheme="minorHAnsi" w:hAnsiTheme="minorHAnsi"/>
        </w:rPr>
        <w:t xml:space="preserve"> folyamat tükrében</w:t>
      </w:r>
      <w:bookmarkEnd w:id="34"/>
      <w:bookmarkEnd w:id="35"/>
      <w:bookmarkEnd w:id="36"/>
      <w:bookmarkEnd w:id="37"/>
      <w:bookmarkEnd w:id="38"/>
      <w:bookmarkEnd w:id="39"/>
      <w:r w:rsidR="0087172A" w:rsidRPr="006A6890">
        <w:rPr>
          <w:rStyle w:val="FootnoteReference"/>
          <w:rFonts w:asciiTheme="minorHAnsi" w:hAnsiTheme="minorHAnsi"/>
        </w:rPr>
        <w:footnoteReference w:id="4"/>
      </w:r>
      <w:bookmarkEnd w:id="40"/>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 alapján a tágan értelmezett felügyeleti felülvizsgálati folyamat (</w:t>
      </w:r>
      <w:proofErr w:type="spellStart"/>
      <w:r w:rsidRPr="004B5D1A">
        <w:rPr>
          <w:rFonts w:asciiTheme="minorHAnsi" w:hAnsiTheme="minorHAnsi"/>
        </w:rPr>
        <w:t>SREP</w:t>
      </w:r>
      <w:proofErr w:type="spellEnd"/>
      <w:r w:rsidRPr="004B5D1A">
        <w:rPr>
          <w:rFonts w:asciiTheme="minorHAnsi" w:hAnsiTheme="minorHAnsi"/>
        </w:rPr>
        <w:t xml:space="preserve">)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4B5D1A">
        <w:rPr>
          <w:rFonts w:asciiTheme="minorHAnsi" w:hAnsiTheme="minorHAnsi"/>
        </w:rPr>
        <w:t xml:space="preserve">Az MNB a teljes </w:t>
      </w:r>
      <w:proofErr w:type="spellStart"/>
      <w:r w:rsidR="00000089" w:rsidRPr="004B5D1A">
        <w:rPr>
          <w:rFonts w:asciiTheme="minorHAnsi" w:hAnsiTheme="minorHAnsi"/>
        </w:rPr>
        <w:t>SREP</w:t>
      </w:r>
      <w:proofErr w:type="spellEnd"/>
      <w:r w:rsidR="00000089" w:rsidRPr="004B5D1A">
        <w:rPr>
          <w:rFonts w:asciiTheme="minorHAnsi" w:hAnsiTheme="minorHAnsi"/>
        </w:rPr>
        <w:t xml:space="preserve"> folyamatot az ICAAP-</w:t>
      </w:r>
      <w:proofErr w:type="spellStart"/>
      <w:r w:rsidR="00000089" w:rsidRPr="004B5D1A">
        <w:rPr>
          <w:rFonts w:asciiTheme="minorHAnsi" w:hAnsiTheme="minorHAnsi"/>
        </w:rPr>
        <w:t>ILAAP</w:t>
      </w:r>
      <w:proofErr w:type="spellEnd"/>
      <w:r w:rsidR="00000089" w:rsidRPr="004B5D1A">
        <w:rPr>
          <w:rFonts w:asciiTheme="minorHAnsi" w:hAnsiTheme="minorHAnsi"/>
        </w:rPr>
        <w:t>-</w:t>
      </w:r>
      <w:proofErr w:type="spellStart"/>
      <w:r w:rsidR="00000089" w:rsidRPr="004B5D1A">
        <w:rPr>
          <w:rFonts w:asciiTheme="minorHAnsi" w:hAnsiTheme="minorHAnsi"/>
        </w:rPr>
        <w:t>BMA</w:t>
      </w:r>
      <w:proofErr w:type="spellEnd"/>
      <w:r w:rsidR="00000089" w:rsidRPr="004B5D1A">
        <w:rPr>
          <w:rFonts w:asciiTheme="minorHAnsi" w:hAnsiTheme="minorHAnsi"/>
        </w:rPr>
        <w:t xml:space="preserve"> vizsgálaton kívül a folyamatos felügyelés, valamint a helyszíni téma- és célvizsgálatok keretében fedi le.</w:t>
      </w:r>
    </w:p>
    <w:p w14:paraId="2E3A74C9" w14:textId="77777777" w:rsidR="00E334C4" w:rsidRPr="004B5D1A" w:rsidRDefault="00E334C4" w:rsidP="004B5D1A">
      <w:pPr>
        <w:rPr>
          <w:rFonts w:asciiTheme="minorHAnsi" w:hAnsiTheme="minorHAnsi"/>
        </w:rPr>
      </w:pPr>
      <w:r w:rsidRPr="004B5D1A">
        <w:rPr>
          <w:rFonts w:asciiTheme="minorHAnsi" w:hAnsiTheme="minorHAnsi"/>
        </w:rPr>
        <w:t xml:space="preserve">A </w:t>
      </w:r>
      <w:proofErr w:type="spellStart"/>
      <w:r w:rsidRPr="004B5D1A">
        <w:rPr>
          <w:rFonts w:asciiTheme="minorHAnsi" w:hAnsiTheme="minorHAnsi"/>
        </w:rPr>
        <w:t>CRD</w:t>
      </w:r>
      <w:proofErr w:type="spellEnd"/>
      <w:r w:rsidRPr="004B5D1A">
        <w:rPr>
          <w:rFonts w:asciiTheme="minorHAnsi" w:hAnsiTheme="minorHAnsi"/>
        </w:rPr>
        <w:t xml:space="preserve"> IV rendelkezéseket tartalmaz a felügyeleti felülvizsgálati folyamatra</w:t>
      </w:r>
      <w:r w:rsidRPr="004B5D1A">
        <w:rPr>
          <w:rFonts w:asciiTheme="minorHAnsi" w:hAnsiTheme="minorHAnsi"/>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4B5D1A">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proofErr w:type="spellStart"/>
      <w:r w:rsidR="00E334C4" w:rsidRPr="004B5D1A">
        <w:rPr>
          <w:rFonts w:asciiTheme="minorHAnsi" w:hAnsiTheme="minorHAnsi"/>
        </w:rPr>
        <w:t>ILAAP</w:t>
      </w:r>
      <w:proofErr w:type="spellEnd"/>
      <w:r w:rsidR="00CC1EA3" w:rsidRPr="004B5D1A">
        <w:rPr>
          <w:rFonts w:asciiTheme="minorHAnsi" w:hAnsiTheme="minorHAnsi"/>
        </w:rPr>
        <w:t>-</w:t>
      </w:r>
      <w:proofErr w:type="spellStart"/>
      <w:r w:rsidR="00CC1EA3" w:rsidRPr="004B5D1A">
        <w:rPr>
          <w:rFonts w:asciiTheme="minorHAnsi" w:hAnsiTheme="minorHAnsi"/>
        </w:rPr>
        <w:t>BMA</w:t>
      </w:r>
      <w:proofErr w:type="spellEnd"/>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w:t>
      </w:r>
      <w:proofErr w:type="spellStart"/>
      <w:r w:rsidR="00E334C4" w:rsidRPr="004B5D1A">
        <w:rPr>
          <w:rFonts w:asciiTheme="minorHAnsi" w:hAnsiTheme="minorHAnsi"/>
        </w:rPr>
        <w:t>EBA</w:t>
      </w:r>
      <w:proofErr w:type="spellEnd"/>
      <w:r w:rsidR="00E334C4" w:rsidRPr="004B5D1A">
        <w:rPr>
          <w:rFonts w:asciiTheme="minorHAnsi" w:hAnsiTheme="minorHAnsi"/>
        </w:rPr>
        <w:t xml:space="preserve"> </w:t>
      </w:r>
      <w:proofErr w:type="spellStart"/>
      <w:r w:rsidR="00E334C4" w:rsidRPr="004B5D1A">
        <w:rPr>
          <w:rFonts w:asciiTheme="minorHAnsi" w:hAnsiTheme="minorHAnsi"/>
        </w:rPr>
        <w:t>SREP</w:t>
      </w:r>
      <w:proofErr w:type="spellEnd"/>
      <w:r w:rsidR="00E334C4" w:rsidRPr="004B5D1A">
        <w:rPr>
          <w:rFonts w:asciiTheme="minorHAnsi" w:hAnsiTheme="minorHAnsi"/>
        </w:rPr>
        <w:t xml:space="preserve"> Ajánlásban kialakított </w:t>
      </w:r>
      <w:r w:rsidRPr="004B5D1A">
        <w:rPr>
          <w:rFonts w:asciiTheme="minorHAnsi" w:hAnsiTheme="minorHAnsi"/>
        </w:rPr>
        <w:t xml:space="preserve">teljes </w:t>
      </w:r>
      <w:proofErr w:type="spellStart"/>
      <w:r w:rsidRPr="004B5D1A">
        <w:rPr>
          <w:rFonts w:asciiTheme="minorHAnsi" w:hAnsiTheme="minorHAnsi"/>
        </w:rPr>
        <w:t>SREP</w:t>
      </w:r>
      <w:proofErr w:type="spellEnd"/>
      <w:r w:rsidRPr="004B5D1A">
        <w:rPr>
          <w:rFonts w:asciiTheme="minorHAnsi" w:hAnsiTheme="minorHAnsi"/>
        </w:rPr>
        <w:t xml:space="preserve">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28F6"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B0C0"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4"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8F6FA6" w:rsidRPr="00B51F44" w:rsidRDefault="008F6FA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8F6FA6" w:rsidRPr="00B51F44" w:rsidRDefault="008F6FA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3016B"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ICAAP-</w:t>
      </w:r>
      <w:proofErr w:type="spellStart"/>
      <w:r w:rsidR="00000089" w:rsidRPr="004B5D1A">
        <w:rPr>
          <w:rFonts w:asciiTheme="minorHAnsi" w:hAnsiTheme="minorHAnsi"/>
        </w:rPr>
        <w:t>ILAAP</w:t>
      </w:r>
      <w:proofErr w:type="spellEnd"/>
      <w:r w:rsidR="00000089" w:rsidRPr="004B5D1A">
        <w:rPr>
          <w:rFonts w:asciiTheme="minorHAnsi" w:hAnsiTheme="minorHAnsi"/>
        </w:rPr>
        <w:t>-</w:t>
      </w:r>
      <w:proofErr w:type="spellStart"/>
      <w:r w:rsidR="00000089" w:rsidRPr="004B5D1A">
        <w:rPr>
          <w:rFonts w:asciiTheme="minorHAnsi" w:hAnsiTheme="minorHAnsi"/>
        </w:rPr>
        <w:t>BMA</w:t>
      </w:r>
      <w:proofErr w:type="spellEnd"/>
      <w:r w:rsidR="00000089" w:rsidRPr="004B5D1A">
        <w:rPr>
          <w:rFonts w:asciiTheme="minorHAnsi" w:hAnsiTheme="minorHAnsi"/>
        </w:rPr>
        <w:t xml:space="preserve">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6A6890" w:rsidRDefault="003F29E3" w:rsidP="008F2D8B">
      <w:pPr>
        <w:pStyle w:val="Heading2"/>
        <w:rPr>
          <w:rFonts w:asciiTheme="minorHAnsi" w:hAnsiTheme="minorHAnsi"/>
        </w:rPr>
      </w:pPr>
      <w:bookmarkStart w:id="49" w:name="_Toc462401907"/>
      <w:bookmarkStart w:id="50" w:name="_Toc462403028"/>
      <w:bookmarkStart w:id="51" w:name="_Toc462403351"/>
      <w:bookmarkStart w:id="52" w:name="_Toc468180470"/>
      <w:bookmarkStart w:id="53" w:name="_Toc468181003"/>
      <w:bookmarkStart w:id="54" w:name="_Toc468191405"/>
      <w:bookmarkStart w:id="55" w:name="_Toc27138916"/>
      <w:r w:rsidRPr="006A6890">
        <w:rPr>
          <w:rFonts w:asciiTheme="minorHAnsi" w:hAnsiTheme="minorHAnsi"/>
        </w:rPr>
        <w:t>A tőkemegfelelés belső értékelési folyamata (ICAAP)</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80DC0" w:rsidRPr="006A6890">
        <w:rPr>
          <w:rFonts w:asciiTheme="minorHAnsi" w:hAnsiTheme="minorHAnsi"/>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 xml:space="preserve">számára kötelezővé teszi egy olyan belső tőkeszükséglet-számítási eljárás kifejlesztését, amelynek célja annak felmérése, hogy az </w:t>
      </w:r>
      <w:r w:rsidRPr="004B5D1A">
        <w:rPr>
          <w:rFonts w:asciiTheme="minorHAnsi" w:hAnsiTheme="minorHAnsi"/>
        </w:rPr>
        <w:lastRenderedPageBreak/>
        <w:t>intézmény saját számításai alapján mekkora összegű tőkekövetelményt tart szükségesnek az általa vállalt és felmerülő kockázatokból fakadó esetleges veszteségek fedezésére.</w:t>
      </w:r>
      <w:r w:rsidRPr="006A6890">
        <w:rPr>
          <w:rStyle w:val="FootnoteReference"/>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kellően szofisztikált kockázatkezelési rendszert működtessen, amely megfelelően azonosítja, méri, összesíti és </w:t>
      </w:r>
      <w:proofErr w:type="spellStart"/>
      <w:r w:rsidRPr="006A6890">
        <w:rPr>
          <w:rFonts w:asciiTheme="minorHAnsi" w:hAnsiTheme="minorHAnsi"/>
        </w:rPr>
        <w:t>monitorozza</w:t>
      </w:r>
      <w:proofErr w:type="spellEnd"/>
      <w:r w:rsidRPr="006A6890">
        <w:rPr>
          <w:rFonts w:asciiTheme="minorHAnsi" w:hAnsiTheme="minorHAnsi"/>
        </w:rPr>
        <w:t xml:space="preserve">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183880DB" w:rsidR="00880DC0" w:rsidRPr="004B5D1A" w:rsidRDefault="003F29E3" w:rsidP="004B5D1A">
      <w:pPr>
        <w:rPr>
          <w:rFonts w:asciiTheme="minorHAnsi" w:hAnsiTheme="minorHAnsi"/>
        </w:rPr>
      </w:pPr>
      <w:r w:rsidRPr="004B5D1A">
        <w:rPr>
          <w:rFonts w:asciiTheme="minorHAnsi" w:hAnsiTheme="minorHAnsi"/>
        </w:rPr>
        <w:t xml:space="preserve">A belső tőkeszámítási eljárás a </w:t>
      </w:r>
      <w:proofErr w:type="spellStart"/>
      <w:r w:rsidRPr="004B5D1A">
        <w:rPr>
          <w:rFonts w:asciiTheme="minorHAnsi" w:hAnsiTheme="minorHAnsi"/>
        </w:rPr>
        <w:t>CRD</w:t>
      </w:r>
      <w:proofErr w:type="spellEnd"/>
      <w:r w:rsidR="00A82A54" w:rsidRPr="004B5D1A">
        <w:rPr>
          <w:rFonts w:asciiTheme="minorHAnsi" w:hAnsiTheme="minorHAnsi"/>
        </w:rPr>
        <w:t xml:space="preserve"> IV</w:t>
      </w:r>
      <w:r w:rsidRPr="004B5D1A">
        <w:rPr>
          <w:rFonts w:asciiTheme="minorHAnsi" w:hAnsiTheme="minorHAnsi"/>
        </w:rPr>
        <w:t xml:space="preserve"> 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FootnoteReference"/>
          <w:rFonts w:asciiTheme="minorHAnsi" w:hAnsiTheme="minorHAnsi"/>
        </w:rPr>
        <w:footnoteReference w:id="7"/>
      </w:r>
      <w:r w:rsidR="003F29E3" w:rsidRPr="004B5D1A">
        <w:rPr>
          <w:rFonts w:asciiTheme="minorHAnsi" w:hAnsiTheme="minorHAnsi"/>
        </w:rPr>
        <w:t>, amely mintegy állandó biztosítékként lehetővé teszi az intézmény prudens működését minden szokványosnak tekinthető üzleti és gazdasági helyzetben</w:t>
      </w:r>
      <w:r w:rsidR="003F29E3" w:rsidRPr="006A6890">
        <w:rPr>
          <w:rStyle w:val="FootnoteReference"/>
          <w:rFonts w:asciiTheme="minorHAnsi" w:hAnsiTheme="minorHAnsi"/>
        </w:rPr>
        <w:footnoteReference w:id="8"/>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w:t>
      </w:r>
      <w:proofErr w:type="spellStart"/>
      <w:r w:rsidRPr="004B5D1A">
        <w:rPr>
          <w:rFonts w:asciiTheme="minorHAnsi" w:hAnsiTheme="minorHAnsi"/>
        </w:rPr>
        <w:t>SREP</w:t>
      </w:r>
      <w:proofErr w:type="spellEnd"/>
      <w:r w:rsidRPr="004B5D1A">
        <w:rPr>
          <w:rFonts w:asciiTheme="minorHAnsi" w:hAnsiTheme="minorHAnsi"/>
        </w:rPr>
        <w:t xml:space="preserve">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proofErr w:type="spellStart"/>
      <w:r w:rsidR="00461900" w:rsidRPr="004B5D1A">
        <w:rPr>
          <w:rFonts w:asciiTheme="minorHAnsi" w:hAnsiTheme="minorHAnsi"/>
        </w:rPr>
        <w:t>EBA</w:t>
      </w:r>
      <w:proofErr w:type="spellEnd"/>
      <w:r w:rsidR="00461900" w:rsidRPr="004B5D1A">
        <w:rPr>
          <w:rFonts w:asciiTheme="minorHAnsi" w:hAnsiTheme="minorHAnsi"/>
        </w:rPr>
        <w:t xml:space="preserve"> </w:t>
      </w:r>
      <w:proofErr w:type="spellStart"/>
      <w:r w:rsidR="00461900" w:rsidRPr="004B5D1A">
        <w:rPr>
          <w:rFonts w:asciiTheme="minorHAnsi" w:hAnsiTheme="minorHAnsi"/>
        </w:rPr>
        <w:t>SREP</w:t>
      </w:r>
      <w:proofErr w:type="spellEnd"/>
      <w:r w:rsidR="00461900" w:rsidRPr="004B5D1A">
        <w:rPr>
          <w:rFonts w:asciiTheme="minorHAnsi" w:hAnsiTheme="minorHAnsi"/>
        </w:rPr>
        <w:t xml:space="preserve">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w:t>
      </w:r>
      <w:r w:rsidRPr="004B5D1A">
        <w:rPr>
          <w:rFonts w:asciiTheme="minorHAnsi" w:hAnsiTheme="minorHAnsi"/>
        </w:rPr>
        <w:lastRenderedPageBreak/>
        <w:t xml:space="preserve">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w:t>
      </w:r>
      <w:proofErr w:type="spellStart"/>
      <w:r w:rsidR="004E44B0" w:rsidRPr="004B5D1A">
        <w:rPr>
          <w:rFonts w:asciiTheme="minorHAnsi" w:hAnsiTheme="minorHAnsi"/>
        </w:rPr>
        <w:t>kockázatonként</w:t>
      </w:r>
      <w:proofErr w:type="spellEnd"/>
      <w:r w:rsidR="004E44B0" w:rsidRPr="004B5D1A">
        <w:rPr>
          <w:rFonts w:asciiTheme="minorHAnsi" w:hAnsiTheme="minorHAnsi"/>
        </w:rPr>
        <w:t xml:space="preserve">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w:t>
      </w:r>
      <w:proofErr w:type="spellStart"/>
      <w:r w:rsidRPr="004B5D1A">
        <w:rPr>
          <w:rFonts w:asciiTheme="minorHAnsi" w:hAnsiTheme="minorHAnsi"/>
        </w:rPr>
        <w:t>kockázatonként</w:t>
      </w:r>
      <w:proofErr w:type="spellEnd"/>
      <w:r w:rsidRPr="004B5D1A">
        <w:rPr>
          <w:rFonts w:asciiTheme="minorHAnsi" w:hAnsiTheme="minorHAnsi"/>
        </w:rPr>
        <w:t xml:space="preserve">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proofErr w:type="spellStart"/>
      <w:r w:rsidR="00644305" w:rsidRPr="004B5D1A">
        <w:rPr>
          <w:rFonts w:asciiTheme="minorHAnsi" w:hAnsiTheme="minorHAnsi"/>
        </w:rPr>
        <w:t>kockázatonkénti</w:t>
      </w:r>
      <w:proofErr w:type="spellEnd"/>
      <w:r w:rsidR="00644305" w:rsidRPr="004B5D1A">
        <w:rPr>
          <w:rFonts w:asciiTheme="minorHAnsi" w:hAnsiTheme="minorHAnsi"/>
        </w:rPr>
        <w:t xml:space="preserve">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proofErr w:type="spellStart"/>
      <w:r w:rsidRPr="004B5D1A">
        <w:rPr>
          <w:rFonts w:asciiTheme="minorHAnsi" w:hAnsiTheme="minorHAnsi"/>
        </w:rPr>
        <w:t>kockázatonként</w:t>
      </w:r>
      <w:proofErr w:type="spellEnd"/>
      <w:r w:rsidRPr="004B5D1A">
        <w:rPr>
          <w:rFonts w:asciiTheme="minorHAnsi" w:hAnsiTheme="minorHAnsi"/>
        </w:rPr>
        <w:t xml:space="preserve">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 xml:space="preserve">A belső tőkemegfelelési eljárás így az intézmény mindennapos folyamataiba </w:t>
      </w:r>
      <w:proofErr w:type="spellStart"/>
      <w:r w:rsidRPr="004B5D1A">
        <w:rPr>
          <w:rFonts w:asciiTheme="minorHAnsi" w:hAnsiTheme="minorHAnsi"/>
        </w:rPr>
        <w:t>ágyazódva</w:t>
      </w:r>
      <w:proofErr w:type="spellEnd"/>
      <w:r w:rsidRPr="004B5D1A">
        <w:rPr>
          <w:rFonts w:asciiTheme="minorHAnsi" w:hAnsiTheme="minorHAnsi"/>
        </w:rPr>
        <w:t xml:space="preserve"> nagyban elősegítheti annak prudens működését.</w:t>
      </w:r>
    </w:p>
    <w:p w14:paraId="66B1519D" w14:textId="6CDC7933" w:rsidR="003F29E3" w:rsidRPr="006A6890" w:rsidRDefault="003F29E3" w:rsidP="00181755">
      <w:pPr>
        <w:pStyle w:val="Heading3"/>
        <w:rPr>
          <w:rFonts w:asciiTheme="minorHAnsi" w:hAnsiTheme="minorHAnsi"/>
        </w:rPr>
      </w:pPr>
      <w:bookmarkStart w:id="56" w:name="_Toc462401908"/>
      <w:bookmarkStart w:id="57" w:name="_Toc462403029"/>
      <w:bookmarkStart w:id="58" w:name="_Toc462403352"/>
      <w:bookmarkStart w:id="59" w:name="_Toc462403781"/>
      <w:bookmarkStart w:id="60" w:name="_Toc462645649"/>
      <w:bookmarkStart w:id="61" w:name="_Toc468180471"/>
      <w:bookmarkStart w:id="62" w:name="_Toc468181004"/>
      <w:bookmarkStart w:id="63" w:name="_Toc468181005"/>
      <w:bookmarkStart w:id="64" w:name="_Toc461095160"/>
      <w:bookmarkStart w:id="65" w:name="_Toc461179193"/>
      <w:bookmarkStart w:id="66" w:name="_Toc461179815"/>
      <w:bookmarkStart w:id="67" w:name="_Toc461197734"/>
      <w:bookmarkStart w:id="68" w:name="_Toc461201258"/>
      <w:bookmarkStart w:id="69" w:name="_Toc461547880"/>
      <w:bookmarkStart w:id="70" w:name="_Toc462401909"/>
      <w:bookmarkStart w:id="71" w:name="_Toc462403030"/>
      <w:bookmarkStart w:id="72" w:name="_Toc462403353"/>
      <w:bookmarkStart w:id="73" w:name="_Toc468180472"/>
      <w:bookmarkStart w:id="74" w:name="_Toc378256223"/>
      <w:bookmarkStart w:id="75" w:name="_Toc378592031"/>
      <w:bookmarkStart w:id="76" w:name="_Toc468191406"/>
      <w:bookmarkStart w:id="77" w:name="_Toc27138917"/>
      <w:bookmarkEnd w:id="56"/>
      <w:bookmarkEnd w:id="57"/>
      <w:bookmarkEnd w:id="58"/>
      <w:bookmarkEnd w:id="59"/>
      <w:bookmarkEnd w:id="60"/>
      <w:bookmarkEnd w:id="61"/>
      <w:bookmarkEnd w:id="62"/>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78" w:name="_Toc46818100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8"/>
      <w:bookmarkEnd w:id="77"/>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w:t>
      </w:r>
      <w:proofErr w:type="spellStart"/>
      <w:r w:rsidRPr="004B5D1A">
        <w:rPr>
          <w:rFonts w:asciiTheme="minorHAnsi" w:hAnsiTheme="minorHAnsi"/>
        </w:rPr>
        <w:t>útmutatóul</w:t>
      </w:r>
      <w:proofErr w:type="spellEnd"/>
      <w:r w:rsidRPr="004B5D1A">
        <w:rPr>
          <w:rFonts w:asciiTheme="minorHAnsi" w:hAnsiTheme="minorHAnsi"/>
        </w:rPr>
        <w:t xml:space="preserve">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w:t>
      </w:r>
      <w:proofErr w:type="spellStart"/>
      <w:r w:rsidRPr="004B5D1A">
        <w:rPr>
          <w:rFonts w:asciiTheme="minorHAnsi" w:hAnsiTheme="minorHAnsi"/>
        </w:rPr>
        <w:t>et</w:t>
      </w:r>
      <w:proofErr w:type="spellEnd"/>
      <w:r w:rsidRPr="004B5D1A">
        <w:rPr>
          <w:rFonts w:asciiTheme="minorHAnsi" w:hAnsiTheme="minorHAnsi"/>
        </w:rPr>
        <w:t xml:space="preserve">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is. Az ICAAP-ért való felelősség ugyanakkor a kiszervezett tevékenységekre való tekintet nélkül to</w:t>
      </w:r>
      <w:r w:rsidR="00B16C16" w:rsidRPr="004B5D1A">
        <w:rPr>
          <w:rFonts w:asciiTheme="minorHAnsi" w:hAnsiTheme="minorHAnsi"/>
        </w:rPr>
        <w:t>vábbra is az intézményt terheli.</w:t>
      </w:r>
      <w:r w:rsidRPr="004B5D1A">
        <w:rPr>
          <w:rFonts w:asciiTheme="minorHAnsi" w:hAnsiTheme="minorHAnsi"/>
        </w:rPr>
        <w:footnoteReference w:id="9"/>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w:t>
      </w:r>
      <w:proofErr w:type="spellStart"/>
      <w:r w:rsidRPr="004B5D1A">
        <w:rPr>
          <w:rFonts w:asciiTheme="minorHAnsi" w:hAnsiTheme="minorHAnsi"/>
        </w:rPr>
        <w:t>teljeskörűen</w:t>
      </w:r>
      <w:proofErr w:type="spellEnd"/>
      <w:r w:rsidRPr="004B5D1A">
        <w:rPr>
          <w:rFonts w:asciiTheme="minorHAnsi" w:hAnsiTheme="minorHAnsi"/>
        </w:rPr>
        <w:t xml:space="preserve"> </w:t>
      </w:r>
      <w:r w:rsidRPr="004B5D1A">
        <w:rPr>
          <w:rFonts w:asciiTheme="minorHAnsi" w:hAnsiTheme="minorHAnsi"/>
        </w:rPr>
        <w:lastRenderedPageBreak/>
        <w:t>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w:t>
      </w:r>
      <w:proofErr w:type="spellStart"/>
      <w:r w:rsidRPr="004B5D1A">
        <w:rPr>
          <w:rFonts w:asciiTheme="minorHAnsi" w:hAnsiTheme="minorHAnsi"/>
        </w:rPr>
        <w:t>nak</w:t>
      </w:r>
      <w:proofErr w:type="spellEnd"/>
      <w:r w:rsidRPr="004B5D1A">
        <w:rPr>
          <w:rFonts w:asciiTheme="minorHAnsi" w:hAnsiTheme="minorHAnsi"/>
        </w:rPr>
        <w:t xml:space="preserve">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w:t>
      </w:r>
      <w:proofErr w:type="spellStart"/>
      <w:r w:rsidRPr="004B5D1A">
        <w:rPr>
          <w:rFonts w:asciiTheme="minorHAnsi" w:hAnsiTheme="minorHAnsi"/>
        </w:rPr>
        <w:t>ba</w:t>
      </w:r>
      <w:proofErr w:type="spellEnd"/>
      <w:r w:rsidRPr="004B5D1A">
        <w:rPr>
          <w:rFonts w:asciiTheme="minorHAnsi" w:hAnsiTheme="minorHAnsi"/>
        </w:rPr>
        <w:t>.</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 belső tőkeszükséglet-számítási folyamat, illetve a kapcsolódó főbb irányító és ellenőrző funkciók akkor is az adott intézmény tényleges kockázataira kell, hogy épüljenek, ha az intézmény az 1. </w:t>
      </w:r>
      <w:proofErr w:type="spellStart"/>
      <w:r w:rsidRPr="004B5D1A">
        <w:rPr>
          <w:rFonts w:asciiTheme="minorHAnsi" w:hAnsiTheme="minorHAnsi"/>
        </w:rPr>
        <w:t>pillérbeli</w:t>
      </w:r>
      <w:proofErr w:type="spellEnd"/>
      <w:r w:rsidRPr="004B5D1A">
        <w:rPr>
          <w:rFonts w:asciiTheme="minorHAnsi" w:hAnsiTheme="minorHAnsi"/>
        </w:rPr>
        <w:t xml:space="preserve">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w:t>
      </w:r>
      <w:proofErr w:type="spellStart"/>
      <w:r w:rsidRPr="006A6890">
        <w:rPr>
          <w:rFonts w:asciiTheme="minorHAnsi" w:hAnsiTheme="minorHAnsi"/>
          <w:b/>
        </w:rPr>
        <w:t>nak</w:t>
      </w:r>
      <w:proofErr w:type="spellEnd"/>
      <w:r w:rsidRPr="006A6890">
        <w:rPr>
          <w:rFonts w:asciiTheme="minorHAnsi" w:hAnsiTheme="minorHAnsi"/>
          <w:b/>
        </w:rPr>
        <w:t xml:space="preserve">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 xml:space="preserve">tokat (pl. </w:t>
      </w:r>
      <w:proofErr w:type="spellStart"/>
      <w:r w:rsidR="00992893" w:rsidRPr="006A6890">
        <w:rPr>
          <w:rFonts w:asciiTheme="minorHAnsi" w:hAnsiTheme="minorHAnsi"/>
        </w:rPr>
        <w:t>reziduális</w:t>
      </w:r>
      <w:proofErr w:type="spellEnd"/>
      <w:r w:rsidR="00992893" w:rsidRPr="006A6890">
        <w:rPr>
          <w:rFonts w:asciiTheme="minorHAnsi" w:hAnsiTheme="minorHAnsi"/>
        </w:rPr>
        <w:t xml:space="preserve">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 xml:space="preserve">ICAAP 8: Az ICAAP </w:t>
      </w:r>
      <w:proofErr w:type="spellStart"/>
      <w:r w:rsidRPr="006A6890">
        <w:rPr>
          <w:rFonts w:asciiTheme="minorHAnsi" w:hAnsiTheme="minorHAnsi"/>
          <w:b/>
        </w:rPr>
        <w:t>előretekintő</w:t>
      </w:r>
      <w:proofErr w:type="spellEnd"/>
      <w:r w:rsidRPr="006A6890">
        <w:rPr>
          <w:rFonts w:asciiTheme="minorHAnsi" w:hAnsiTheme="minorHAnsi"/>
          <w:b/>
        </w:rPr>
        <w:t xml:space="preserve">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w:t>
      </w:r>
      <w:proofErr w:type="spellStart"/>
      <w:r w:rsidRPr="004B5D1A">
        <w:rPr>
          <w:rFonts w:asciiTheme="minorHAnsi" w:hAnsiTheme="minorHAnsi"/>
        </w:rPr>
        <w:t>nek</w:t>
      </w:r>
      <w:proofErr w:type="spellEnd"/>
      <w:r w:rsidRPr="004B5D1A">
        <w:rPr>
          <w:rFonts w:asciiTheme="minorHAnsi" w:hAnsiTheme="minorHAnsi"/>
        </w:rPr>
        <w:t xml:space="preserve">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1BA908C2" w:rsidR="003F29E3" w:rsidRPr="006A6890" w:rsidRDefault="003F29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8C5E97" w:rsidRPr="006A6890">
        <w:rPr>
          <w:rFonts w:asciiTheme="minorHAnsi" w:hAnsiTheme="minorHAnsi"/>
        </w:rPr>
        <w:t xml:space="preserve"> cikk</w:t>
      </w:r>
      <w:r w:rsidRPr="006A6890">
        <w:rPr>
          <w:rFonts w:asciiTheme="minorHAnsi" w:hAnsiTheme="minorHAnsi"/>
        </w:rPr>
        <w:t xml:space="preserve"> (3) bekezdése alapján és a </w:t>
      </w:r>
      <w:proofErr w:type="spellStart"/>
      <w:r w:rsidRPr="006A6890">
        <w:rPr>
          <w:rFonts w:asciiTheme="minorHAnsi" w:hAnsiTheme="minorHAnsi"/>
        </w:rPr>
        <w:t>CRD</w:t>
      </w:r>
      <w:proofErr w:type="spellEnd"/>
      <w:r w:rsidRPr="006A6890">
        <w:rPr>
          <w:rFonts w:asciiTheme="minorHAnsi" w:hAnsiTheme="minorHAnsi"/>
        </w:rPr>
        <w:t xml:space="preserve">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lastRenderedPageBreak/>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06CDBBA1" w:rsidR="003F29E3" w:rsidRPr="006A6890" w:rsidRDefault="00884ACE" w:rsidP="004B5D1A">
      <w:pPr>
        <w:rPr>
          <w:rFonts w:asciiTheme="minorHAnsi" w:hAnsiTheme="minorHAnsi"/>
        </w:rPr>
      </w:pPr>
      <w:r w:rsidRPr="006A6890">
        <w:rPr>
          <w:rFonts w:asciiTheme="minorHAnsi" w:hAnsiTheme="minorHAnsi"/>
        </w:rPr>
        <w:t xml:space="preserve">Amennyiben adott kockázatok kapcsán az intézmény nem rendelkezik megfelelő méréssel, az MNB az ICAAP során konzervatív megközelítés alkalmazását várja </w:t>
      </w:r>
      <w:proofErr w:type="spellStart"/>
      <w:r w:rsidRPr="006A6890">
        <w:rPr>
          <w:rFonts w:asciiTheme="minorHAnsi" w:hAnsiTheme="minorHAnsi"/>
        </w:rPr>
        <w:t>el.</w:t>
      </w:r>
      <w:r w:rsidR="003F29E3" w:rsidRPr="006A6890">
        <w:rPr>
          <w:rFonts w:asciiTheme="minorHAnsi" w:hAnsiTheme="minorHAnsi"/>
        </w:rPr>
        <w:t>Fontos</w:t>
      </w:r>
      <w:proofErr w:type="spellEnd"/>
      <w:r w:rsidR="003F29E3" w:rsidRPr="006A6890">
        <w:rPr>
          <w:rFonts w:asciiTheme="minorHAnsi" w:hAnsiTheme="minorHAnsi"/>
        </w:rPr>
        <w:t xml:space="preserve">,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6A6890" w:rsidRDefault="003F29E3" w:rsidP="008F2D8B">
      <w:pPr>
        <w:pStyle w:val="Heading2"/>
        <w:rPr>
          <w:rFonts w:asciiTheme="minorHAnsi" w:hAnsiTheme="minorHAnsi"/>
        </w:rPr>
      </w:pPr>
      <w:bookmarkStart w:id="79" w:name="_A_felügyeleti_felülvizsgálati"/>
      <w:bookmarkStart w:id="80" w:name="_Toc461095162"/>
      <w:bookmarkStart w:id="81" w:name="_Toc461179194"/>
      <w:bookmarkStart w:id="82" w:name="_Toc461179817"/>
      <w:bookmarkStart w:id="83" w:name="_Toc461197735"/>
      <w:bookmarkStart w:id="84" w:name="_Toc461201260"/>
      <w:bookmarkStart w:id="85" w:name="_Toc461547882"/>
      <w:bookmarkStart w:id="86" w:name="_Toc462401910"/>
      <w:bookmarkStart w:id="87" w:name="_Toc462403031"/>
      <w:bookmarkStart w:id="88" w:name="_Toc462403355"/>
      <w:bookmarkStart w:id="89" w:name="_Toc468180474"/>
      <w:bookmarkStart w:id="90" w:name="_Toc468181007"/>
      <w:bookmarkStart w:id="91" w:name="_Toc468191407"/>
      <w:bookmarkStart w:id="92" w:name="_Toc27138918"/>
      <w:bookmarkStart w:id="93" w:name="_Toc378256221"/>
      <w:bookmarkStart w:id="94" w:name="_Toc378592029"/>
      <w:bookmarkEnd w:id="79"/>
      <w:r w:rsidRPr="006A6890">
        <w:rPr>
          <w:rFonts w:asciiTheme="minorHAnsi" w:hAnsiTheme="minorHAnsi"/>
        </w:rPr>
        <w:t xml:space="preserve">A </w:t>
      </w:r>
      <w:r w:rsidRPr="006A6890">
        <w:rPr>
          <w:rFonts w:asciiTheme="minorHAnsi" w:hAnsiTheme="minorHAnsi"/>
          <w:lang w:val="hu-HU"/>
        </w:rPr>
        <w:t>l</w:t>
      </w:r>
      <w:proofErr w:type="spellStart"/>
      <w:r w:rsidRPr="006A6890">
        <w:rPr>
          <w:rFonts w:asciiTheme="minorHAnsi" w:hAnsiTheme="minorHAnsi"/>
        </w:rPr>
        <w:t>ikviditás</w:t>
      </w:r>
      <w:proofErr w:type="spellEnd"/>
      <w:r w:rsidRPr="006A6890">
        <w:rPr>
          <w:rFonts w:asciiTheme="minorHAnsi" w:hAnsiTheme="minorHAnsi"/>
        </w:rPr>
        <w:t xml:space="preserve"> megfelelőségének belső értékelési folyamata (</w:t>
      </w:r>
      <w:proofErr w:type="spellStart"/>
      <w:r w:rsidRPr="006A6890">
        <w:rPr>
          <w:rFonts w:asciiTheme="minorHAnsi" w:hAnsiTheme="minorHAnsi"/>
        </w:rPr>
        <w:t>ILAAP</w:t>
      </w:r>
      <w:proofErr w:type="spellEnd"/>
      <w:r w:rsidRPr="006A6890">
        <w:rPr>
          <w:rFonts w:asciiTheme="minorHAnsi" w:hAnsiTheme="minorHAnsi"/>
        </w:rPr>
        <w:t>)</w:t>
      </w:r>
      <w:bookmarkEnd w:id="80"/>
      <w:bookmarkEnd w:id="81"/>
      <w:bookmarkEnd w:id="82"/>
      <w:bookmarkEnd w:id="83"/>
      <w:bookmarkEnd w:id="84"/>
      <w:bookmarkEnd w:id="85"/>
      <w:bookmarkEnd w:id="86"/>
      <w:bookmarkEnd w:id="87"/>
      <w:bookmarkEnd w:id="88"/>
      <w:bookmarkEnd w:id="89"/>
      <w:bookmarkEnd w:id="90"/>
      <w:bookmarkEnd w:id="91"/>
      <w:bookmarkEnd w:id="92"/>
      <w:r w:rsidRPr="006A6890">
        <w:rPr>
          <w:rFonts w:asciiTheme="minorHAnsi" w:hAnsiTheme="minorHAnsi"/>
        </w:rPr>
        <w:t xml:space="preserve"> </w:t>
      </w:r>
    </w:p>
    <w:p w14:paraId="66B151C4" w14:textId="170168AE" w:rsidR="009968CF" w:rsidRPr="006A6890" w:rsidRDefault="003F29E3" w:rsidP="004B5D1A">
      <w:pPr>
        <w:rPr>
          <w:rFonts w:asciiTheme="minorHAnsi" w:hAnsiTheme="minorHAnsi"/>
        </w:rPr>
      </w:pPr>
      <w:r w:rsidRPr="006A6890">
        <w:rPr>
          <w:rFonts w:asciiTheme="minorHAnsi" w:hAnsiTheme="minorHAnsi"/>
        </w:rPr>
        <w:t xml:space="preserve">A likviditási kockázat kezelésére vonatkozóan mind a </w:t>
      </w:r>
      <w:proofErr w:type="spellStart"/>
      <w:r w:rsidRPr="006A6890">
        <w:rPr>
          <w:rFonts w:asciiTheme="minorHAnsi" w:hAnsiTheme="minorHAnsi"/>
        </w:rPr>
        <w:t>CRD</w:t>
      </w:r>
      <w:proofErr w:type="spellEnd"/>
      <w:r w:rsidR="009968CF" w:rsidRPr="006A6890">
        <w:rPr>
          <w:rFonts w:asciiTheme="minorHAnsi" w:hAnsiTheme="minorHAnsi"/>
        </w:rPr>
        <w:t xml:space="preserve"> IV</w:t>
      </w:r>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 xml:space="preserve">valamint az azt kiegészítő </w:t>
      </w:r>
      <w:proofErr w:type="spellStart"/>
      <w:r w:rsidR="0059569A" w:rsidRPr="006A6890">
        <w:rPr>
          <w:rFonts w:asciiTheme="minorHAnsi" w:hAnsiTheme="minorHAnsi"/>
        </w:rPr>
        <w:t>Delegated</w:t>
      </w:r>
      <w:proofErr w:type="spellEnd"/>
      <w:r w:rsidR="0059569A" w:rsidRPr="006A6890">
        <w:rPr>
          <w:rFonts w:asciiTheme="minorHAnsi" w:hAnsiTheme="minorHAnsi"/>
        </w:rPr>
        <w:t xml:space="preserve"> </w:t>
      </w:r>
      <w:proofErr w:type="spellStart"/>
      <w:r w:rsidR="0059569A" w:rsidRPr="006A6890">
        <w:rPr>
          <w:rFonts w:asciiTheme="minorHAnsi" w:hAnsiTheme="minorHAnsi"/>
        </w:rPr>
        <w:t>Act</w:t>
      </w:r>
      <w:proofErr w:type="spellEnd"/>
      <w:r w:rsidR="00B3770C" w:rsidRPr="006A6890">
        <w:rPr>
          <w:rFonts w:asciiTheme="minorHAnsi" w:hAnsiTheme="minorHAnsi"/>
        </w:rPr>
        <w:t xml:space="preserve"> (DA)</w:t>
      </w:r>
      <w:r w:rsidR="0059569A" w:rsidRPr="006A6890">
        <w:rPr>
          <w:rStyle w:val="FootnoteReference"/>
          <w:rFonts w:asciiTheme="minorHAnsi" w:hAnsiTheme="minorHAnsi"/>
        </w:rPr>
        <w:footnoteReference w:id="10"/>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 xml:space="preserve">és </w:t>
      </w:r>
      <w:proofErr w:type="spellStart"/>
      <w:r w:rsidR="0059569A" w:rsidRPr="006A6890">
        <w:rPr>
          <w:rFonts w:asciiTheme="minorHAnsi" w:hAnsiTheme="minorHAnsi"/>
        </w:rPr>
        <w:t>Bszt</w:t>
      </w:r>
      <w:proofErr w:type="spellEnd"/>
      <w:r w:rsidR="0059569A" w:rsidRPr="006A6890">
        <w:rPr>
          <w:rFonts w:asciiTheme="minorHAnsi" w:hAnsiTheme="minorHAnsi"/>
        </w:rPr>
        <w: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 xml:space="preserve">és a </w:t>
      </w:r>
      <w:proofErr w:type="spellStart"/>
      <w:r w:rsidR="00C10FF9" w:rsidRPr="006A6890">
        <w:rPr>
          <w:rFonts w:asciiTheme="minorHAnsi" w:hAnsiTheme="minorHAnsi"/>
        </w:rPr>
        <w:t>Bszt</w:t>
      </w:r>
      <w:proofErr w:type="spellEnd"/>
      <w:r w:rsidR="00C10FF9" w:rsidRPr="006A6890">
        <w:rPr>
          <w:rFonts w:asciiTheme="minorHAnsi" w:hAnsiTheme="minorHAnsi"/>
        </w:rPr>
        <w: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 xml:space="preserve">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w:t>
      </w:r>
      <w:proofErr w:type="spellStart"/>
      <w:r w:rsidRPr="006A6890">
        <w:rPr>
          <w:rFonts w:asciiTheme="minorHAnsi" w:hAnsiTheme="minorHAnsi"/>
        </w:rPr>
        <w:t>EGT</w:t>
      </w:r>
      <w:proofErr w:type="spellEnd"/>
      <w:r w:rsidRPr="006A6890">
        <w:rPr>
          <w:rFonts w:asciiTheme="minorHAnsi" w:hAnsiTheme="minorHAnsi"/>
        </w:rPr>
        <w:t>-államban létrehozott fióktelepére is vonatkozó) tervekkel, amelyeket az alternatív forgatókönyvek kimenetele alapján legalább évente tesztelni és frissíteni kell.</w:t>
      </w:r>
    </w:p>
    <w:p w14:paraId="66B151C9" w14:textId="77777777" w:rsidR="003F29E3" w:rsidRPr="006A6890" w:rsidRDefault="003F29E3" w:rsidP="004B5D1A">
      <w:pPr>
        <w:rPr>
          <w:rFonts w:asciiTheme="minorHAnsi" w:hAnsiTheme="minorHAnsi"/>
        </w:rPr>
      </w:pPr>
      <w:bookmarkStart w:id="95" w:name="_Hlk22306650"/>
      <w:r w:rsidRPr="006A6890">
        <w:rPr>
          <w:rFonts w:asciiTheme="minorHAnsi" w:hAnsiTheme="minorHAnsi"/>
        </w:rPr>
        <w:t xml:space="preserve">A Hpt. előírás természetesen minden érintett intézményre vonatkozik, azonban az MNB az arányosság elvét követve a rendszerszinten jelentős intézményekkel szemben elvárja </w:t>
      </w:r>
      <w:proofErr w:type="spellStart"/>
      <w:r w:rsidRPr="006A6890">
        <w:rPr>
          <w:rFonts w:asciiTheme="minorHAnsi" w:hAnsiTheme="minorHAnsi"/>
        </w:rPr>
        <w:t>ILAAP</w:t>
      </w:r>
      <w:proofErr w:type="spellEnd"/>
      <w:r w:rsidRPr="006A6890">
        <w:rPr>
          <w:rFonts w:asciiTheme="minorHAnsi" w:hAnsiTheme="minorHAnsi"/>
        </w:rPr>
        <w:t xml:space="preserve"> folyamat kialakítását. A </w:t>
      </w:r>
      <w:proofErr w:type="spellStart"/>
      <w:r w:rsidRPr="006A6890">
        <w:rPr>
          <w:rFonts w:asciiTheme="minorHAnsi" w:hAnsiTheme="minorHAnsi"/>
        </w:rPr>
        <w:t>CRD</w:t>
      </w:r>
      <w:proofErr w:type="spellEnd"/>
      <w:r w:rsidRPr="006A6890">
        <w:rPr>
          <w:rFonts w:asciiTheme="minorHAnsi" w:hAnsiTheme="minorHAnsi"/>
        </w:rPr>
        <w:t xml:space="preserve"> IV</w:t>
      </w:r>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95"/>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Heading3"/>
        <w:rPr>
          <w:rFonts w:asciiTheme="minorHAnsi" w:hAnsiTheme="minorHAnsi"/>
        </w:rPr>
      </w:pPr>
      <w:bookmarkStart w:id="96" w:name="_Toc461195750"/>
      <w:bookmarkStart w:id="97" w:name="_Toc461524833"/>
      <w:bookmarkStart w:id="98" w:name="_Toc461547883"/>
      <w:bookmarkStart w:id="99" w:name="_Toc461550177"/>
      <w:bookmarkStart w:id="100" w:name="_Toc462401911"/>
      <w:bookmarkStart w:id="101" w:name="_Toc462403032"/>
      <w:bookmarkStart w:id="102" w:name="_Toc462403356"/>
      <w:bookmarkStart w:id="103" w:name="_Toc462403785"/>
      <w:bookmarkStart w:id="104" w:name="_Toc462645653"/>
      <w:bookmarkStart w:id="105" w:name="_Toc468180475"/>
      <w:bookmarkStart w:id="106" w:name="_Toc468181008"/>
      <w:bookmarkStart w:id="107" w:name="_Toc461095163"/>
      <w:bookmarkStart w:id="108" w:name="_Toc461179195"/>
      <w:bookmarkStart w:id="109" w:name="_Toc461179818"/>
      <w:bookmarkStart w:id="110" w:name="_Toc461547884"/>
      <w:bookmarkStart w:id="111" w:name="_Toc462401912"/>
      <w:bookmarkStart w:id="112" w:name="_Toc462403033"/>
      <w:bookmarkStart w:id="113" w:name="_Toc462403357"/>
      <w:bookmarkStart w:id="114" w:name="_Toc468180476"/>
      <w:bookmarkStart w:id="115" w:name="_Toc468181009"/>
      <w:bookmarkStart w:id="116" w:name="_Toc468191408"/>
      <w:bookmarkStart w:id="117" w:name="_Toc27138919"/>
      <w:bookmarkEnd w:id="96"/>
      <w:bookmarkEnd w:id="97"/>
      <w:bookmarkEnd w:id="98"/>
      <w:bookmarkEnd w:id="99"/>
      <w:bookmarkEnd w:id="100"/>
      <w:bookmarkEnd w:id="101"/>
      <w:bookmarkEnd w:id="102"/>
      <w:bookmarkEnd w:id="103"/>
      <w:bookmarkEnd w:id="104"/>
      <w:bookmarkEnd w:id="105"/>
      <w:bookmarkEnd w:id="106"/>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kialakítására vonatkozó felügyeleti </w:t>
      </w:r>
      <w:bookmarkEnd w:id="107"/>
      <w:bookmarkEnd w:id="108"/>
      <w:bookmarkEnd w:id="109"/>
      <w:bookmarkEnd w:id="110"/>
      <w:r w:rsidR="00A97DF5" w:rsidRPr="006A6890">
        <w:rPr>
          <w:rFonts w:asciiTheme="minorHAnsi" w:hAnsiTheme="minorHAnsi"/>
          <w:lang w:val="hu-HU"/>
        </w:rPr>
        <w:t>alapelvek</w:t>
      </w:r>
      <w:bookmarkEnd w:id="111"/>
      <w:bookmarkEnd w:id="112"/>
      <w:bookmarkEnd w:id="113"/>
      <w:bookmarkEnd w:id="114"/>
      <w:bookmarkEnd w:id="115"/>
      <w:bookmarkEnd w:id="116"/>
      <w:bookmarkEnd w:id="117"/>
    </w:p>
    <w:p w14:paraId="66B151D4" w14:textId="6C5DE5E2"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lefolytatására kötelezett intézményeknél az </w:t>
      </w:r>
      <w:proofErr w:type="spellStart"/>
      <w:r w:rsidRPr="006A6890">
        <w:rPr>
          <w:rFonts w:asciiTheme="minorHAnsi" w:hAnsiTheme="minorHAnsi"/>
        </w:rPr>
        <w:t>ILAAP</w:t>
      </w:r>
      <w:proofErr w:type="spellEnd"/>
      <w:r w:rsidRPr="006A6890">
        <w:rPr>
          <w:rFonts w:asciiTheme="minorHAnsi" w:hAnsiTheme="minorHAnsi"/>
        </w:rPr>
        <w:t xml:space="preserve"> kialakítása során az alábbi alapelveket kell figyelembe venni. Ezen alapelvek </w:t>
      </w:r>
      <w:proofErr w:type="spellStart"/>
      <w:r w:rsidRPr="006A6890">
        <w:rPr>
          <w:rFonts w:asciiTheme="minorHAnsi" w:hAnsiTheme="minorHAnsi"/>
        </w:rPr>
        <w:t>tartalmilag</w:t>
      </w:r>
      <w:proofErr w:type="spellEnd"/>
      <w:r w:rsidRPr="006A6890">
        <w:rPr>
          <w:rFonts w:asciiTheme="minorHAnsi" w:hAnsiTheme="minorHAnsi"/>
        </w:rPr>
        <w:t xml:space="preserve">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1:</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3: </w:t>
      </w:r>
      <w:r w:rsidRPr="006A6890">
        <w:rPr>
          <w:rFonts w:asciiTheme="minorHAnsi" w:hAnsiTheme="minorHAnsi"/>
          <w:sz w:val="22"/>
          <w:szCs w:val="22"/>
        </w:rPr>
        <w:t xml:space="preserve">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4:</w:t>
      </w:r>
      <w:r w:rsidRPr="006A6890">
        <w:rPr>
          <w:rFonts w:asciiTheme="minorHAnsi" w:hAnsiTheme="minorHAnsi"/>
          <w:sz w:val="22"/>
          <w:szCs w:val="22"/>
        </w:rPr>
        <w:t xml:space="preserve"> Mivel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5:</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6:</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ILAAP-nak</w:t>
      </w:r>
      <w:proofErr w:type="spellEnd"/>
      <w:r w:rsidRPr="006A6890">
        <w:rPr>
          <w:rFonts w:asciiTheme="minorHAnsi" w:hAnsiTheme="minorHAnsi"/>
          <w:sz w:val="22"/>
          <w:szCs w:val="22"/>
        </w:rPr>
        <w:t xml:space="preserve">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7:</w:t>
      </w:r>
      <w:r w:rsidRPr="006A6890">
        <w:rPr>
          <w:rFonts w:asciiTheme="minorHAnsi" w:hAnsiTheme="minorHAnsi"/>
          <w:sz w:val="22"/>
          <w:szCs w:val="22"/>
        </w:rPr>
        <w:t xml:space="preserve"> Az </w:t>
      </w:r>
      <w:proofErr w:type="spellStart"/>
      <w:r w:rsidRPr="006A6890">
        <w:rPr>
          <w:rFonts w:asciiTheme="minorHAnsi" w:hAnsiTheme="minorHAnsi"/>
          <w:sz w:val="22"/>
          <w:szCs w:val="22"/>
        </w:rPr>
        <w:t>I</w:t>
      </w:r>
      <w:r w:rsidR="001A7470" w:rsidRPr="006A6890">
        <w:rPr>
          <w:rFonts w:asciiTheme="minorHAnsi" w:hAnsiTheme="minorHAnsi"/>
          <w:sz w:val="22"/>
          <w:szCs w:val="22"/>
        </w:rPr>
        <w:t>L</w:t>
      </w:r>
      <w:r w:rsidRPr="006A6890">
        <w:rPr>
          <w:rFonts w:asciiTheme="minorHAnsi" w:hAnsiTheme="minorHAnsi"/>
          <w:sz w:val="22"/>
          <w:szCs w:val="22"/>
        </w:rPr>
        <w:t>AAP</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előretekintő</w:t>
      </w:r>
      <w:proofErr w:type="spellEnd"/>
      <w:r w:rsidRPr="006A6890">
        <w:rPr>
          <w:rFonts w:asciiTheme="minorHAnsi" w:hAnsiTheme="minorHAnsi"/>
          <w:sz w:val="22"/>
          <w:szCs w:val="22"/>
        </w:rPr>
        <w:t xml:space="preserve">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8:</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9:</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6A6890" w:rsidRDefault="0053314E" w:rsidP="008F2D8B">
      <w:pPr>
        <w:pStyle w:val="Heading2"/>
        <w:rPr>
          <w:rFonts w:asciiTheme="minorHAnsi" w:hAnsiTheme="minorHAnsi"/>
        </w:rPr>
      </w:pPr>
      <w:bookmarkStart w:id="118" w:name="_Toc461195752"/>
      <w:bookmarkStart w:id="119" w:name="_Toc461524835"/>
      <w:bookmarkStart w:id="120" w:name="_Toc461547886"/>
      <w:bookmarkStart w:id="121" w:name="_Toc461550179"/>
      <w:bookmarkStart w:id="122" w:name="_Toc462401913"/>
      <w:bookmarkStart w:id="123" w:name="_Toc462403034"/>
      <w:bookmarkStart w:id="124" w:name="_Toc462403358"/>
      <w:bookmarkStart w:id="125" w:name="_Toc462403787"/>
      <w:bookmarkStart w:id="126" w:name="_Toc462645655"/>
      <w:bookmarkStart w:id="127" w:name="_Toc468180477"/>
      <w:bookmarkStart w:id="128" w:name="_Toc468181010"/>
      <w:bookmarkStart w:id="129" w:name="_Toc461179196"/>
      <w:bookmarkStart w:id="130" w:name="_Toc461179820"/>
      <w:bookmarkStart w:id="131" w:name="_Toc461547887"/>
      <w:bookmarkStart w:id="132" w:name="_Toc462401914"/>
      <w:bookmarkStart w:id="133" w:name="_Toc462403035"/>
      <w:bookmarkStart w:id="134" w:name="_Toc462403359"/>
      <w:bookmarkStart w:id="135" w:name="_Toc468180478"/>
      <w:bookmarkStart w:id="136" w:name="_Toc468181011"/>
      <w:bookmarkStart w:id="137" w:name="_Toc468191409"/>
      <w:bookmarkStart w:id="138" w:name="_Toc27138920"/>
      <w:bookmarkStart w:id="139" w:name="_Toc461095165"/>
      <w:bookmarkEnd w:id="118"/>
      <w:bookmarkEnd w:id="119"/>
      <w:bookmarkEnd w:id="120"/>
      <w:bookmarkEnd w:id="121"/>
      <w:bookmarkEnd w:id="122"/>
      <w:bookmarkEnd w:id="123"/>
      <w:bookmarkEnd w:id="124"/>
      <w:bookmarkEnd w:id="125"/>
      <w:bookmarkEnd w:id="126"/>
      <w:bookmarkEnd w:id="127"/>
      <w:bookmarkEnd w:id="128"/>
      <w:r w:rsidRPr="006A6890">
        <w:rPr>
          <w:rFonts w:asciiTheme="minorHAnsi" w:hAnsiTheme="minorHAnsi"/>
        </w:rPr>
        <w:lastRenderedPageBreak/>
        <w:t>Üzleti m</w:t>
      </w:r>
      <w:r w:rsidR="008A27E8" w:rsidRPr="006A6890">
        <w:rPr>
          <w:rFonts w:asciiTheme="minorHAnsi" w:hAnsiTheme="minorHAnsi"/>
        </w:rPr>
        <w:t>odell elemzés</w:t>
      </w:r>
      <w:r w:rsidR="00F6344D" w:rsidRPr="006A6890">
        <w:rPr>
          <w:rFonts w:asciiTheme="minorHAnsi" w:hAnsiTheme="minorHAnsi"/>
        </w:rPr>
        <w:t xml:space="preserve"> (</w:t>
      </w:r>
      <w:proofErr w:type="spellStart"/>
      <w:r w:rsidR="00F6344D" w:rsidRPr="006A6890">
        <w:rPr>
          <w:rFonts w:asciiTheme="minorHAnsi" w:hAnsiTheme="minorHAnsi"/>
        </w:rPr>
        <w:t>BMA</w:t>
      </w:r>
      <w:proofErr w:type="spellEnd"/>
      <w:r w:rsidR="00F6344D" w:rsidRPr="006A6890">
        <w:rPr>
          <w:rFonts w:asciiTheme="minorHAnsi" w:hAnsiTheme="minorHAnsi"/>
        </w:rPr>
        <w:t>)</w:t>
      </w:r>
      <w:bookmarkEnd w:id="129"/>
      <w:bookmarkEnd w:id="130"/>
      <w:bookmarkEnd w:id="131"/>
      <w:bookmarkEnd w:id="132"/>
      <w:bookmarkEnd w:id="133"/>
      <w:bookmarkEnd w:id="134"/>
      <w:bookmarkEnd w:id="135"/>
      <w:bookmarkEnd w:id="136"/>
      <w:bookmarkEnd w:id="137"/>
      <w:bookmarkEnd w:id="138"/>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Paragraph"/>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Paragraph"/>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Paragraph"/>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 xml:space="preserve">a feltárt és azonosított kockázatokat az ICAAP / </w:t>
      </w:r>
      <w:proofErr w:type="spellStart"/>
      <w:r w:rsidRPr="006A6890">
        <w:rPr>
          <w:rFonts w:asciiTheme="minorHAnsi" w:hAnsiTheme="minorHAnsi"/>
          <w:color w:val="000000"/>
          <w:sz w:val="22"/>
          <w:szCs w:val="22"/>
          <w:lang w:val="hu-HU" w:eastAsia="hu-HU"/>
        </w:rPr>
        <w:t>ILAAP</w:t>
      </w:r>
      <w:proofErr w:type="spellEnd"/>
      <w:r w:rsidRPr="006A6890">
        <w:rPr>
          <w:rFonts w:asciiTheme="minorHAnsi" w:hAnsiTheme="minorHAnsi"/>
          <w:color w:val="000000"/>
          <w:sz w:val="22"/>
          <w:szCs w:val="22"/>
          <w:lang w:val="hu-HU" w:eastAsia="hu-HU"/>
        </w:rPr>
        <w:t xml:space="preserve">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69040124"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93"/>
      <w:bookmarkEnd w:id="94"/>
      <w:bookmarkEnd w:id="139"/>
    </w:p>
    <w:p w14:paraId="3BBCDDFC" w14:textId="1C64A301" w:rsidR="00832314" w:rsidRPr="006A6890" w:rsidRDefault="003F29E3" w:rsidP="008F2D8B">
      <w:pPr>
        <w:pStyle w:val="Heading2"/>
        <w:rPr>
          <w:rFonts w:asciiTheme="minorHAnsi" w:hAnsiTheme="minorHAnsi"/>
        </w:rPr>
      </w:pPr>
      <w:bookmarkStart w:id="140" w:name="_Toc462401916"/>
      <w:bookmarkStart w:id="141" w:name="_Toc462403037"/>
      <w:bookmarkStart w:id="142" w:name="_Toc462403361"/>
      <w:bookmarkStart w:id="143" w:name="_Toc468180480"/>
      <w:bookmarkStart w:id="144" w:name="_Toc468181012"/>
      <w:bookmarkStart w:id="145" w:name="_Toc468191410"/>
      <w:bookmarkStart w:id="146" w:name="_Toc27138921"/>
      <w:bookmarkStart w:id="147" w:name="_Toc461095166"/>
      <w:bookmarkStart w:id="148" w:name="_Toc461179198"/>
      <w:bookmarkStart w:id="149" w:name="_Toc461179822"/>
      <w:bookmarkStart w:id="150" w:name="_Toc461197739"/>
      <w:bookmarkStart w:id="151" w:name="_Toc461201265"/>
      <w:bookmarkStart w:id="152" w:name="_Toc461547889"/>
      <w:r w:rsidRPr="006A6890">
        <w:rPr>
          <w:rFonts w:asciiTheme="minorHAnsi" w:hAnsiTheme="minorHAnsi"/>
        </w:rPr>
        <w:t>A</w:t>
      </w:r>
      <w:r w:rsidR="00BC2327" w:rsidRPr="006A6890">
        <w:rPr>
          <w:rFonts w:asciiTheme="minorHAnsi" w:hAnsiTheme="minorHAnsi"/>
        </w:rPr>
        <w:t>z ICAA</w:t>
      </w:r>
      <w:r w:rsidR="007A5B66" w:rsidRPr="006A6890">
        <w:rPr>
          <w:rFonts w:asciiTheme="minorHAnsi" w:hAnsiTheme="minorHAnsi"/>
        </w:rPr>
        <w:t xml:space="preserve">P és az </w:t>
      </w:r>
      <w:proofErr w:type="spellStart"/>
      <w:r w:rsidR="00BC2327" w:rsidRPr="006A6890">
        <w:rPr>
          <w:rFonts w:asciiTheme="minorHAnsi" w:hAnsiTheme="minorHAnsi"/>
        </w:rPr>
        <w:t>ILAAP</w:t>
      </w:r>
      <w:proofErr w:type="spellEnd"/>
      <w:r w:rsidRPr="006A6890">
        <w:rPr>
          <w:rFonts w:asciiTheme="minorHAnsi" w:hAnsiTheme="minorHAnsi"/>
        </w:rPr>
        <w:t xml:space="preserve"> felülvizsgálat</w:t>
      </w:r>
      <w:r w:rsidR="00BC2327" w:rsidRPr="006A6890">
        <w:rPr>
          <w:rFonts w:asciiTheme="minorHAnsi" w:hAnsiTheme="minorHAnsi"/>
        </w:rPr>
        <w:t>ok</w:t>
      </w:r>
      <w:r w:rsidRPr="006A6890">
        <w:rPr>
          <w:rFonts w:asciiTheme="minorHAnsi" w:hAnsiTheme="minorHAnsi"/>
        </w:rPr>
        <w:t xml:space="preserve"> során érvényesítendő</w:t>
      </w:r>
      <w:r w:rsidR="004E21EE" w:rsidRPr="006A6890">
        <w:rPr>
          <w:rFonts w:asciiTheme="minorHAnsi" w:hAnsiTheme="minorHAnsi"/>
        </w:rPr>
        <w:t xml:space="preserve"> általános alapelvek</w:t>
      </w:r>
      <w:bookmarkEnd w:id="140"/>
      <w:bookmarkEnd w:id="141"/>
      <w:bookmarkEnd w:id="142"/>
      <w:bookmarkEnd w:id="143"/>
      <w:bookmarkEnd w:id="144"/>
      <w:bookmarkEnd w:id="145"/>
      <w:bookmarkEnd w:id="146"/>
    </w:p>
    <w:p w14:paraId="66B151E7" w14:textId="0D9C406F" w:rsidR="003F29E3" w:rsidRPr="006A6890" w:rsidRDefault="004E21EE" w:rsidP="00181755">
      <w:pPr>
        <w:pStyle w:val="Heading3"/>
        <w:rPr>
          <w:rFonts w:asciiTheme="minorHAnsi" w:hAnsiTheme="minorHAnsi"/>
        </w:rPr>
      </w:pPr>
      <w:bookmarkStart w:id="153" w:name="_Toc462401917"/>
      <w:bookmarkStart w:id="154" w:name="_Toc462403038"/>
      <w:bookmarkStart w:id="155" w:name="_Toc462403362"/>
      <w:bookmarkStart w:id="156" w:name="_Toc468180481"/>
      <w:bookmarkStart w:id="157" w:name="_Toc468181013"/>
      <w:bookmarkStart w:id="158" w:name="_Toc468191411"/>
      <w:bookmarkStart w:id="159" w:name="_Toc27138922"/>
      <w:r w:rsidRPr="006A6890">
        <w:rPr>
          <w:rFonts w:asciiTheme="minorHAnsi" w:hAnsiTheme="minorHAnsi"/>
          <w:lang w:val="hu-HU"/>
        </w:rPr>
        <w:t>N</w:t>
      </w:r>
      <w:proofErr w:type="spellStart"/>
      <w:r w:rsidR="003F29E3" w:rsidRPr="006A6890">
        <w:rPr>
          <w:rFonts w:asciiTheme="minorHAnsi" w:hAnsiTheme="minorHAnsi"/>
        </w:rPr>
        <w:t>emzetközileg</w:t>
      </w:r>
      <w:proofErr w:type="spellEnd"/>
      <w:r w:rsidR="003F29E3" w:rsidRPr="006A6890">
        <w:rPr>
          <w:rFonts w:asciiTheme="minorHAnsi" w:hAnsiTheme="minorHAnsi"/>
        </w:rPr>
        <w:t xml:space="preserve"> elfogadott alapelvek</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prudens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lastRenderedPageBreak/>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 xml:space="preserve">a felügyelési tapasztalatokra. Az MNB az ICAAP és </w:t>
      </w:r>
      <w:proofErr w:type="spellStart"/>
      <w:r w:rsidRPr="006A6890">
        <w:rPr>
          <w:rFonts w:asciiTheme="minorHAnsi" w:hAnsiTheme="minorHAnsi"/>
        </w:rPr>
        <w:t>ILAAP</w:t>
      </w:r>
      <w:proofErr w:type="spellEnd"/>
      <w:r w:rsidRPr="006A6890">
        <w:rPr>
          <w:rFonts w:asciiTheme="minorHAnsi" w:hAnsiTheme="minorHAnsi"/>
        </w:rPr>
        <w:t xml:space="preserve"> értékelése során holisztikus szemléletet érvényesít, szem előtt tartva, hogy a kockázatok kezeléséhez szükséges kontrollok, valamint a kockázatok fedezéséhez elegendő tőke minden intézménynél biztosított legyen.</w:t>
      </w:r>
      <w:bookmarkStart w:id="160" w:name="_ICAAP-SREP_dialógus"/>
      <w:bookmarkStart w:id="161" w:name="_Toc378590292"/>
      <w:bookmarkStart w:id="162" w:name="_Toc378592134"/>
      <w:bookmarkEnd w:id="160"/>
    </w:p>
    <w:p w14:paraId="66B151EF" w14:textId="7F7621F9" w:rsidR="003F29E3" w:rsidRPr="006A6890" w:rsidRDefault="003F29E3" w:rsidP="00181755">
      <w:pPr>
        <w:pStyle w:val="Heading3"/>
        <w:rPr>
          <w:rFonts w:asciiTheme="minorHAnsi" w:hAnsiTheme="minorHAnsi"/>
        </w:rPr>
      </w:pPr>
      <w:bookmarkStart w:id="163" w:name="_Toc378590299"/>
      <w:bookmarkStart w:id="164" w:name="_Toc378592141"/>
      <w:bookmarkStart w:id="165" w:name="_Toc461095167"/>
      <w:bookmarkStart w:id="166" w:name="_Toc461179199"/>
      <w:bookmarkStart w:id="167" w:name="_Toc461179823"/>
      <w:bookmarkStart w:id="168" w:name="_Toc461197740"/>
      <w:bookmarkStart w:id="169" w:name="_Toc461201266"/>
      <w:bookmarkStart w:id="170" w:name="_Toc461547890"/>
      <w:bookmarkStart w:id="171" w:name="_Toc462401918"/>
      <w:bookmarkStart w:id="172" w:name="_Toc462403039"/>
      <w:bookmarkStart w:id="173" w:name="_Toc462403363"/>
      <w:bookmarkStart w:id="174" w:name="_Toc468180482"/>
      <w:bookmarkStart w:id="175" w:name="_Toc468181014"/>
      <w:bookmarkStart w:id="176" w:name="_Toc468191412"/>
      <w:bookmarkStart w:id="177" w:name="_Toc27138923"/>
      <w:r w:rsidRPr="006A6890">
        <w:rPr>
          <w:rFonts w:asciiTheme="minorHAnsi" w:hAnsiTheme="minorHAnsi"/>
        </w:rPr>
        <w:t>Az MNB által lefolytatott felülvizsgálati foly</w:t>
      </w:r>
      <w:bookmarkEnd w:id="163"/>
      <w:bookmarkEnd w:id="164"/>
      <w:r w:rsidRPr="006A6890">
        <w:rPr>
          <w:rFonts w:asciiTheme="minorHAnsi" w:hAnsiTheme="minorHAnsi"/>
        </w:rPr>
        <w:t>amatok során alkalmazott általános alapelvek</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77777777" w:rsidR="003F29E3" w:rsidRPr="006A6890" w:rsidRDefault="003F29E3" w:rsidP="00AA57CA">
      <w:pPr>
        <w:rPr>
          <w:rFonts w:asciiTheme="minorHAnsi" w:hAnsiTheme="minorHAnsi"/>
        </w:rPr>
      </w:pPr>
      <w:bookmarkStart w:id="178" w:name="_Az_arányosság_elve"/>
      <w:bookmarkEnd w:id="178"/>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w:t>
      </w:r>
      <w:proofErr w:type="spellStart"/>
      <w:r w:rsidRPr="006A6890">
        <w:rPr>
          <w:rFonts w:asciiTheme="minorHAnsi" w:hAnsiTheme="minorHAnsi"/>
        </w:rPr>
        <w:t>intézményenként</w:t>
      </w:r>
      <w:proofErr w:type="spellEnd"/>
      <w:r w:rsidRPr="006A6890">
        <w:rPr>
          <w:rFonts w:asciiTheme="minorHAnsi" w:hAnsiTheme="minorHAnsi"/>
        </w:rPr>
        <w:t xml:space="preserve"> nagyon különböző lehet. </w:t>
      </w:r>
    </w:p>
    <w:p w14:paraId="66B151F7" w14:textId="70A82267" w:rsidR="003F29E3" w:rsidRPr="00662FFE" w:rsidRDefault="003F29E3" w:rsidP="00AA57CA">
      <w:pPr>
        <w:rPr>
          <w:rFonts w:asciiTheme="minorHAnsi" w:hAnsiTheme="minorHAnsi"/>
          <w:b/>
          <w:bCs/>
        </w:rPr>
      </w:pPr>
      <w:bookmarkStart w:id="179" w:name="_Toc378590301"/>
      <w:bookmarkStart w:id="180" w:name="_Toc378592143"/>
      <w:r w:rsidRPr="00662FFE">
        <w:rPr>
          <w:rFonts w:asciiTheme="minorHAnsi" w:hAnsiTheme="minorHAnsi"/>
          <w:b/>
          <w:bCs/>
        </w:rPr>
        <w:t>A kockázatkezelés elsődleges a tőkeképzéssel, likviditási pufferképzéssel szemben</w:t>
      </w:r>
      <w:bookmarkEnd w:id="179"/>
      <w:bookmarkEnd w:id="180"/>
    </w:p>
    <w:p w14:paraId="66B151F8" w14:textId="77777777" w:rsidR="003F29E3" w:rsidRPr="006A6890" w:rsidRDefault="003F29E3" w:rsidP="00AA57CA">
      <w:pPr>
        <w:rPr>
          <w:rFonts w:asciiTheme="minorHAnsi" w:hAnsiTheme="minorHAnsi"/>
        </w:rPr>
      </w:pPr>
      <w:bookmarkStart w:id="181" w:name="_A_kockázatkezelés_elsődlegessége"/>
      <w:bookmarkEnd w:id="181"/>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w:t>
      </w:r>
      <w:proofErr w:type="spellStart"/>
      <w:r w:rsidRPr="006A6890">
        <w:rPr>
          <w:rFonts w:asciiTheme="minorHAnsi" w:hAnsiTheme="minorHAnsi"/>
        </w:rPr>
        <w:t>záloga</w:t>
      </w:r>
      <w:proofErr w:type="spellEnd"/>
      <w:r w:rsidRPr="006A6890">
        <w:rPr>
          <w:rFonts w:asciiTheme="minorHAnsi" w:hAnsiTheme="minorHAnsi"/>
        </w:rPr>
        <w:t xml:space="preserve">. </w:t>
      </w:r>
    </w:p>
    <w:p w14:paraId="66B151F9" w14:textId="567D29EA" w:rsidR="003F29E3" w:rsidRPr="006A6890"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6DEE16CB" w:rsidR="003F29E3" w:rsidRPr="00662FFE" w:rsidRDefault="003F29E3" w:rsidP="00AA57CA">
      <w:pPr>
        <w:rPr>
          <w:rFonts w:asciiTheme="minorHAnsi" w:hAnsiTheme="minorHAnsi"/>
          <w:b/>
          <w:bCs/>
        </w:rPr>
      </w:pPr>
      <w:bookmarkStart w:id="182" w:name="_Toc378590302"/>
      <w:bookmarkStart w:id="183" w:name="_Toc378592144"/>
      <w:r w:rsidRPr="00662FFE">
        <w:rPr>
          <w:rFonts w:asciiTheme="minorHAnsi" w:hAnsiTheme="minorHAnsi"/>
          <w:b/>
          <w:bCs/>
        </w:rPr>
        <w:lastRenderedPageBreak/>
        <w:t>A kockázati módszerek és elvárások folyamatos fejlődés</w:t>
      </w:r>
      <w:bookmarkEnd w:id="182"/>
      <w:bookmarkEnd w:id="183"/>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184" w:name="_A_kockázati_módszerek"/>
      <w:bookmarkEnd w:id="184"/>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w:t>
      </w:r>
      <w:proofErr w:type="spellStart"/>
      <w:r w:rsidRPr="006A6890">
        <w:rPr>
          <w:rFonts w:asciiTheme="minorHAnsi" w:hAnsiTheme="minorHAnsi"/>
        </w:rPr>
        <w:t>újragondolniuk</w:t>
      </w:r>
      <w:proofErr w:type="spellEnd"/>
      <w:r w:rsidRPr="006A6890">
        <w:rPr>
          <w:rFonts w:asciiTheme="minorHAnsi" w:hAnsiTheme="minorHAnsi"/>
        </w:rPr>
        <w:t xml:space="preserve">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185" w:name="_Toc378590303"/>
      <w:bookmarkStart w:id="186" w:name="_Toc378592145"/>
      <w:r w:rsidRPr="00662FFE">
        <w:rPr>
          <w:rFonts w:asciiTheme="minorHAnsi" w:hAnsiTheme="minorHAnsi"/>
          <w:b/>
          <w:bCs/>
        </w:rPr>
        <w:t>A felülvizsgálat két pillérének egyenrangúsága és egymást kiegészítő jellege</w:t>
      </w:r>
      <w:bookmarkEnd w:id="185"/>
      <w:bookmarkEnd w:id="186"/>
    </w:p>
    <w:p w14:paraId="66B15200" w14:textId="77777777" w:rsidR="003F29E3" w:rsidRPr="006A6890" w:rsidRDefault="003F29E3" w:rsidP="00AA57CA">
      <w:pPr>
        <w:rPr>
          <w:rFonts w:asciiTheme="minorHAnsi" w:hAnsiTheme="minorHAnsi"/>
        </w:rPr>
      </w:pPr>
      <w:bookmarkStart w:id="187" w:name="_A_felülvizsgálat_két"/>
      <w:bookmarkEnd w:id="187"/>
      <w:r w:rsidRPr="006A6890">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6A6890">
        <w:rPr>
          <w:rFonts w:asciiTheme="minorHAnsi" w:hAnsiTheme="minorHAnsi"/>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w:t>
      </w:r>
      <w:proofErr w:type="spellStart"/>
      <w:r w:rsidRPr="006A6890">
        <w:rPr>
          <w:rFonts w:asciiTheme="minorHAnsi" w:hAnsiTheme="minorHAnsi"/>
        </w:rPr>
        <w:t>körülhatárolt</w:t>
      </w:r>
      <w:proofErr w:type="spellEnd"/>
      <w:r w:rsidRPr="006A6890">
        <w:rPr>
          <w:rFonts w:asciiTheme="minorHAnsi" w:hAnsiTheme="minorHAnsi"/>
        </w:rPr>
        <w:t xml:space="preserve">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xml:space="preserve">, illetve </w:t>
      </w:r>
      <w:proofErr w:type="spellStart"/>
      <w:r w:rsidR="00542A9C" w:rsidRPr="006A6890">
        <w:rPr>
          <w:rFonts w:asciiTheme="minorHAnsi" w:hAnsiTheme="minorHAnsi"/>
        </w:rPr>
        <w:t>továbbfejleszthetőek</w:t>
      </w:r>
      <w:proofErr w:type="spellEnd"/>
      <w:r w:rsidRPr="006A6890">
        <w:rPr>
          <w:rFonts w:asciiTheme="minorHAnsi" w:hAnsiTheme="minorHAnsi"/>
        </w:rPr>
        <w:t xml:space="preserve"> a másik pillérben is. </w:t>
      </w:r>
    </w:p>
    <w:p w14:paraId="66B15204" w14:textId="0351BCEA" w:rsidR="003F29E3" w:rsidRPr="006A6890" w:rsidRDefault="003F29E3" w:rsidP="00181755">
      <w:pPr>
        <w:pStyle w:val="Heading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188" w:name="_Toc461095168"/>
      <w:bookmarkStart w:id="189" w:name="_Toc461179200"/>
      <w:bookmarkStart w:id="190" w:name="_Toc461179824"/>
      <w:bookmarkStart w:id="191" w:name="_Toc461197741"/>
      <w:bookmarkStart w:id="192" w:name="_Toc461201267"/>
      <w:bookmarkStart w:id="193" w:name="_Toc461547891"/>
      <w:bookmarkStart w:id="194" w:name="_Toc462401919"/>
      <w:bookmarkStart w:id="195" w:name="_Toc462403040"/>
      <w:bookmarkStart w:id="196" w:name="_Toc462403364"/>
      <w:bookmarkStart w:id="197" w:name="_Toc468180483"/>
      <w:bookmarkStart w:id="198" w:name="_Toc468181015"/>
      <w:bookmarkStart w:id="199" w:name="_Toc468191413"/>
      <w:bookmarkStart w:id="200" w:name="_Toc27138924"/>
      <w:r w:rsidRPr="006A6890">
        <w:rPr>
          <w:rFonts w:asciiTheme="minorHAnsi" w:hAnsiTheme="minorHAnsi"/>
        </w:rPr>
        <w:t xml:space="preserve">Az ICAAP, az </w:t>
      </w:r>
      <w:proofErr w:type="spellStart"/>
      <w:r w:rsidRPr="006A6890">
        <w:rPr>
          <w:rFonts w:asciiTheme="minorHAnsi" w:hAnsiTheme="minorHAnsi"/>
        </w:rPr>
        <w:t>ILAAP</w:t>
      </w:r>
      <w:proofErr w:type="spellEnd"/>
      <w:r w:rsidRPr="006A6890">
        <w:rPr>
          <w:rFonts w:asciiTheme="minorHAnsi" w:hAnsiTheme="minorHAnsi"/>
        </w:rPr>
        <w:t xml:space="preserve"> és felügyeleti felülvizsgálatuk hatálya</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66B15206" w14:textId="1D4B0CC4" w:rsidR="003F29E3" w:rsidRPr="006A6890" w:rsidRDefault="003F29E3" w:rsidP="00AA57CA">
      <w:pPr>
        <w:rPr>
          <w:rFonts w:asciiTheme="minorHAnsi" w:hAnsiTheme="minorHAnsi"/>
        </w:rPr>
      </w:pPr>
      <w:r w:rsidRPr="006A6890">
        <w:rPr>
          <w:rFonts w:asciiTheme="minorHAnsi" w:hAnsiTheme="minorHAnsi"/>
        </w:rPr>
        <w:t xml:space="preserve">A tőkével és a likviditással összefüggő előírásoknak való megfelelés alkalmazási szintjeit a CRR 6-17. cikkei rögzítik. A tőkemegfelelés belső értékelési eljárásának alkalmazási követelményeit 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108-109. </w:t>
      </w:r>
      <w:r w:rsidR="00EE2C0E" w:rsidRPr="006A6890">
        <w:rPr>
          <w:rFonts w:asciiTheme="minorHAnsi" w:hAnsiTheme="minorHAnsi"/>
        </w:rPr>
        <w:t>cikkei</w:t>
      </w:r>
      <w:r w:rsidRPr="006A6890">
        <w:rPr>
          <w:rFonts w:asciiTheme="minorHAnsi" w:hAnsiTheme="minorHAnsi"/>
        </w:rPr>
        <w:t xml:space="preserve"> határozzák meg. A Hpt. és a </w:t>
      </w:r>
      <w:proofErr w:type="spellStart"/>
      <w:r w:rsidRPr="006A6890">
        <w:rPr>
          <w:rFonts w:asciiTheme="minorHAnsi" w:hAnsiTheme="minorHAnsi"/>
        </w:rPr>
        <w:t>Bszt</w:t>
      </w:r>
      <w:proofErr w:type="spellEnd"/>
      <w:r w:rsidRPr="006A6890">
        <w:rPr>
          <w:rFonts w:asciiTheme="minorHAnsi" w:hAnsiTheme="minorHAnsi"/>
        </w:rPr>
        <w: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w:t>
      </w:r>
      <w:proofErr w:type="spellStart"/>
      <w:r w:rsidRPr="006A6890">
        <w:rPr>
          <w:rFonts w:asciiTheme="minorHAnsi" w:hAnsiTheme="minorHAnsi"/>
        </w:rPr>
        <w:t>prudenciális</w:t>
      </w:r>
      <w:proofErr w:type="spellEnd"/>
      <w:r w:rsidRPr="006A6890">
        <w:rPr>
          <w:rFonts w:asciiTheme="minorHAnsi" w:hAnsiTheme="minorHAnsi"/>
        </w:rPr>
        <w:t xml:space="preserve">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 xml:space="preserve">a </w:t>
      </w:r>
      <w:proofErr w:type="spellStart"/>
      <w:r w:rsidR="00E04E7A" w:rsidRPr="006A6890">
        <w:rPr>
          <w:rFonts w:asciiTheme="minorHAnsi" w:hAnsiTheme="minorHAnsi"/>
        </w:rPr>
        <w:t>SREP</w:t>
      </w:r>
      <w:proofErr w:type="spellEnd"/>
      <w:r w:rsidR="00E04E7A" w:rsidRPr="006A6890">
        <w:rPr>
          <w:rFonts w:asciiTheme="minorHAnsi" w:hAnsiTheme="minorHAnsi"/>
        </w:rPr>
        <w:t xml:space="preserve"> értékelési folyamat részeként</w:t>
      </w:r>
      <w:r w:rsidRPr="006A6890">
        <w:rPr>
          <w:rFonts w:asciiTheme="minorHAnsi" w:hAnsiTheme="minorHAnsi"/>
        </w:rPr>
        <w:t xml:space="preserve"> történhet egyedi intézményi szinten, illetve csoport-szinten konszolidáltan vagy </w:t>
      </w:r>
      <w:proofErr w:type="spellStart"/>
      <w:r w:rsidRPr="006A6890">
        <w:rPr>
          <w:rFonts w:asciiTheme="minorHAnsi" w:hAnsiTheme="minorHAnsi"/>
        </w:rPr>
        <w:t>szubkonszolidáltan</w:t>
      </w:r>
      <w:proofErr w:type="spellEnd"/>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A nemzetközi bankcsoportok belső tőkemegfelelés-értékelésének felülvizsgálati folyamata ún. közös kockázatértékelés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w:t>
      </w:r>
      <w:proofErr w:type="spellStart"/>
      <w:r w:rsidR="004F403F" w:rsidRPr="006A6890">
        <w:rPr>
          <w:rFonts w:asciiTheme="minorHAnsi" w:hAnsiTheme="minorHAnsi"/>
        </w:rPr>
        <w:t>host</w:t>
      </w:r>
      <w:proofErr w:type="spellEnd"/>
      <w:r w:rsidR="004F403F" w:rsidRPr="006A6890">
        <w:rPr>
          <w:rFonts w:asciiTheme="minorHAnsi" w:hAnsiTheme="minorHAnsi"/>
        </w:rPr>
        <w:t xml:space="preserve">) </w:t>
      </w:r>
      <w:r w:rsidRPr="006A6890">
        <w:rPr>
          <w:rFonts w:asciiTheme="minorHAnsi" w:hAnsiTheme="minorHAnsi"/>
        </w:rPr>
        <w:t xml:space="preserve">illetékes hatóságok – a konszolidáló </w:t>
      </w:r>
      <w:r w:rsidR="004F403F" w:rsidRPr="006A6890">
        <w:rPr>
          <w:rFonts w:asciiTheme="minorHAnsi" w:hAnsiTheme="minorHAnsi"/>
        </w:rPr>
        <w:t>(</w:t>
      </w:r>
      <w:proofErr w:type="spellStart"/>
      <w:r w:rsidR="004F403F" w:rsidRPr="006A6890">
        <w:rPr>
          <w:rFonts w:asciiTheme="minorHAnsi" w:hAnsiTheme="minorHAnsi"/>
        </w:rPr>
        <w:t>home</w:t>
      </w:r>
      <w:proofErr w:type="spellEnd"/>
      <w:r w:rsidR="004F403F" w:rsidRPr="006A6890">
        <w:rPr>
          <w:rFonts w:asciiTheme="minorHAnsi" w:hAnsiTheme="minorHAnsi"/>
        </w:rPr>
        <w:t xml:space="preserve">) </w:t>
      </w:r>
      <w:r w:rsidRPr="006A6890">
        <w:rPr>
          <w:rFonts w:asciiTheme="minorHAnsi" w:hAnsiTheme="minorHAnsi"/>
        </w:rPr>
        <w:t>felügyelet vezetésével – közösen értékelik a csoporttagok kockázati kitettségét és kontrollját. A közös értékelés ún. közös döntéssel (</w:t>
      </w:r>
      <w:proofErr w:type="spellStart"/>
      <w:r w:rsidRPr="006A6890">
        <w:rPr>
          <w:rFonts w:asciiTheme="minorHAnsi" w:hAnsiTheme="minorHAnsi"/>
        </w:rPr>
        <w:t>joint</w:t>
      </w:r>
      <w:proofErr w:type="spellEnd"/>
      <w:r w:rsidRPr="006A6890">
        <w:rPr>
          <w:rFonts w:asciiTheme="minorHAnsi" w:hAnsiTheme="minorHAnsi"/>
        </w:rPr>
        <w:t xml:space="preserve">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xml:space="preserve">, </w:t>
      </w:r>
      <w:proofErr w:type="spellStart"/>
      <w:r w:rsidR="00E169B0" w:rsidRPr="006A6890">
        <w:rPr>
          <w:rFonts w:asciiTheme="minorHAnsi" w:hAnsiTheme="minorHAnsi"/>
        </w:rPr>
        <w:t>szubkonszolidált</w:t>
      </w:r>
      <w:proofErr w:type="spellEnd"/>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 xml:space="preserve">teljes </w:t>
      </w:r>
      <w:proofErr w:type="spellStart"/>
      <w:r w:rsidR="00E169B0" w:rsidRPr="006A6890">
        <w:rPr>
          <w:rFonts w:asciiTheme="minorHAnsi" w:hAnsiTheme="minorHAnsi"/>
        </w:rPr>
        <w:t>SREP</w:t>
      </w:r>
      <w:proofErr w:type="spellEnd"/>
      <w:r w:rsidR="00E169B0" w:rsidRPr="006A6890">
        <w:rPr>
          <w:rFonts w:asciiTheme="minorHAnsi" w:hAnsiTheme="minorHAnsi"/>
        </w:rPr>
        <w:t xml:space="preserve"> tőkekövetelmény rátát</w:t>
      </w:r>
      <w:r w:rsidR="00DA43B7" w:rsidRPr="006A6890">
        <w:rPr>
          <w:rFonts w:asciiTheme="minorHAnsi" w:hAnsiTheme="minorHAnsi"/>
        </w:rPr>
        <w:t xml:space="preserve"> (</w:t>
      </w:r>
      <w:proofErr w:type="spellStart"/>
      <w:r w:rsidR="00DA43B7" w:rsidRPr="006A6890">
        <w:rPr>
          <w:rFonts w:asciiTheme="minorHAnsi" w:hAnsiTheme="minorHAnsi"/>
        </w:rPr>
        <w:t>TSCR</w:t>
      </w:r>
      <w:proofErr w:type="spellEnd"/>
      <w:r w:rsidR="00DA43B7" w:rsidRPr="006A6890">
        <w:rPr>
          <w:rFonts w:asciiTheme="minorHAnsi" w:hAnsiTheme="minorHAnsi"/>
        </w:rPr>
        <w:t>).</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w:t>
      </w:r>
      <w:proofErr w:type="spellStart"/>
      <w:r w:rsidRPr="006A6890">
        <w:rPr>
          <w:rFonts w:asciiTheme="minorHAnsi" w:hAnsiTheme="minorHAnsi"/>
        </w:rPr>
        <w:t>Bszt</w:t>
      </w:r>
      <w:proofErr w:type="spellEnd"/>
      <w:r w:rsidRPr="006A6890">
        <w:rPr>
          <w:rFonts w:asciiTheme="minorHAnsi" w:hAnsiTheme="minorHAnsi"/>
        </w:rPr>
        <w:t xml:space="preserve">.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6A6890" w:rsidRDefault="003F29E3" w:rsidP="008F2D8B">
      <w:pPr>
        <w:pStyle w:val="Heading2"/>
        <w:rPr>
          <w:rFonts w:asciiTheme="minorHAnsi" w:hAnsiTheme="minorHAnsi"/>
        </w:rPr>
      </w:pPr>
      <w:bookmarkStart w:id="201" w:name="_Toc461095169"/>
      <w:bookmarkStart w:id="202" w:name="_Toc461179201"/>
      <w:bookmarkStart w:id="203" w:name="_Toc461179825"/>
      <w:bookmarkStart w:id="204" w:name="_Toc461197742"/>
      <w:bookmarkStart w:id="205" w:name="_Toc461201268"/>
      <w:bookmarkStart w:id="206" w:name="_Toc461547892"/>
      <w:bookmarkStart w:id="207" w:name="_Toc462401920"/>
      <w:bookmarkStart w:id="208" w:name="_Toc462403041"/>
      <w:bookmarkStart w:id="209" w:name="_Toc462403365"/>
      <w:bookmarkStart w:id="210" w:name="_Toc468180484"/>
      <w:bookmarkStart w:id="211" w:name="_Toc468181016"/>
      <w:bookmarkStart w:id="212" w:name="_Toc468191414"/>
      <w:bookmarkStart w:id="213" w:name="_Toc27138925"/>
      <w:r w:rsidRPr="006A6890">
        <w:rPr>
          <w:rFonts w:asciiTheme="minorHAnsi" w:hAnsiTheme="minorHAnsi"/>
        </w:rPr>
        <w:t>ICAAP</w:t>
      </w:r>
      <w:r w:rsidRPr="006A6890">
        <w:rPr>
          <w:rFonts w:asciiTheme="minorHAnsi" w:hAnsiTheme="minorHAnsi"/>
          <w:lang w:val="hu-HU"/>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megfelelés és felügyeleti felülvizsgálat egyedi szinten</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2484B144"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108. cikk (1) bekezdése alapján az ICAAP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333C943B" w:rsidR="003F29E3" w:rsidRPr="006A6890" w:rsidRDefault="003F29E3" w:rsidP="00AA57CA">
      <w:pPr>
        <w:rPr>
          <w:rFonts w:asciiTheme="minorHAnsi" w:hAnsiTheme="minorHAnsi"/>
        </w:rPr>
      </w:pPr>
      <w:r w:rsidRPr="006A6890">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6A6890" w:rsidRDefault="003F29E3" w:rsidP="008F2D8B">
      <w:pPr>
        <w:pStyle w:val="Heading2"/>
        <w:rPr>
          <w:rFonts w:asciiTheme="minorHAnsi" w:hAnsiTheme="minorHAnsi"/>
        </w:rPr>
      </w:pPr>
      <w:bookmarkStart w:id="214" w:name="_Toc461095170"/>
      <w:bookmarkStart w:id="215" w:name="_Toc461179202"/>
      <w:bookmarkStart w:id="216" w:name="_Toc461179826"/>
      <w:bookmarkStart w:id="217" w:name="_Toc461197743"/>
      <w:bookmarkStart w:id="218" w:name="_Toc461201269"/>
      <w:bookmarkStart w:id="219" w:name="_Toc461547893"/>
      <w:bookmarkStart w:id="220" w:name="_Toc462401921"/>
      <w:bookmarkStart w:id="221" w:name="_Toc462403042"/>
      <w:bookmarkStart w:id="222" w:name="_Toc462403366"/>
      <w:bookmarkStart w:id="223" w:name="_Toc468180485"/>
      <w:bookmarkStart w:id="224" w:name="_Toc468181017"/>
      <w:bookmarkStart w:id="225" w:name="_Toc468191415"/>
      <w:bookmarkStart w:id="226" w:name="_Toc27138926"/>
      <w:r w:rsidRPr="006A6890">
        <w:rPr>
          <w:rFonts w:asciiTheme="minorHAnsi" w:hAnsiTheme="minorHAnsi"/>
        </w:rPr>
        <w:t>ICAAP</w:t>
      </w:r>
      <w:r w:rsidRPr="006A6890">
        <w:rPr>
          <w:rFonts w:asciiTheme="minorHAnsi" w:hAnsiTheme="minorHAnsi"/>
          <w:lang w:val="hu-HU"/>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megfelelés és felügyeleti felülvizsgálat csoport szinten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 xml:space="preserve">(egyéb </w:t>
      </w:r>
      <w:proofErr w:type="spellStart"/>
      <w:r w:rsidRPr="006A6890">
        <w:rPr>
          <w:rFonts w:asciiTheme="minorHAnsi" w:hAnsiTheme="minorHAnsi"/>
        </w:rPr>
        <w:t>szubkonszolidált</w:t>
      </w:r>
      <w:proofErr w:type="spellEnd"/>
      <w:r w:rsidRPr="006A6890">
        <w:rPr>
          <w:rFonts w:asciiTheme="minorHAnsi" w:hAnsiTheme="minorHAnsi"/>
        </w:rPr>
        <w:t xml:space="preserve">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7AC83227" w:rsidR="00D2061B"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w:t>
      </w:r>
      <w:r w:rsidR="00A82A54" w:rsidRPr="006A6890">
        <w:rPr>
          <w:rFonts w:asciiTheme="minorHAnsi" w:hAnsiTheme="minorHAnsi"/>
        </w:rPr>
        <w:t xml:space="preserve">IV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w:t>
      </w:r>
      <w:proofErr w:type="spellStart"/>
      <w:r w:rsidRPr="006A6890">
        <w:rPr>
          <w:rFonts w:asciiTheme="minorHAnsi" w:hAnsiTheme="minorHAnsi"/>
        </w:rPr>
        <w:t>et</w:t>
      </w:r>
      <w:proofErr w:type="spellEnd"/>
      <w:r w:rsidRPr="006A6890">
        <w:rPr>
          <w:rFonts w:asciiTheme="minorHAnsi" w:hAnsiTheme="minorHAnsi"/>
        </w:rPr>
        <w:t xml:space="preserve"> </w:t>
      </w:r>
      <w:proofErr w:type="spellStart"/>
      <w:r w:rsidRPr="006A6890">
        <w:rPr>
          <w:rFonts w:asciiTheme="minorHAnsi" w:hAnsiTheme="minorHAnsi"/>
        </w:rPr>
        <w:t>szubkonszolidált</w:t>
      </w:r>
      <w:proofErr w:type="spellEnd"/>
      <w:r w:rsidRPr="006A6890">
        <w:rPr>
          <w:rFonts w:asciiTheme="minorHAnsi" w:hAnsiTheme="minorHAnsi"/>
        </w:rPr>
        <w:t xml:space="preserve"> és EU-szintű konszolidáció szintjén is kell folytatni.</w:t>
      </w:r>
      <w:r w:rsidR="008E4106" w:rsidRPr="006A6890">
        <w:rPr>
          <w:rFonts w:asciiTheme="minorHAnsi" w:hAnsiTheme="minorHAnsi"/>
        </w:rPr>
        <w:t xml:space="preserve"> </w:t>
      </w:r>
    </w:p>
    <w:p w14:paraId="3BC29096" w14:textId="77777777"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2"/>
      </w:r>
    </w:p>
    <w:p w14:paraId="66B15228" w14:textId="360F72E0" w:rsidR="003F29E3" w:rsidRPr="006A6890" w:rsidRDefault="003F29E3" w:rsidP="00AA57CA">
      <w:pPr>
        <w:rPr>
          <w:rFonts w:asciiTheme="minorHAnsi" w:hAnsiTheme="minorHAnsi"/>
        </w:rPr>
      </w:pPr>
      <w:r w:rsidRPr="006A6890">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w:t>
      </w:r>
      <w:proofErr w:type="spellStart"/>
      <w:r w:rsidRPr="006A6890">
        <w:rPr>
          <w:rFonts w:asciiTheme="minorHAnsi" w:hAnsiTheme="minorHAnsi"/>
        </w:rPr>
        <w:t>CRD</w:t>
      </w:r>
      <w:proofErr w:type="spellEnd"/>
      <w:r w:rsidRPr="006A6890">
        <w:rPr>
          <w:rFonts w:asciiTheme="minorHAnsi" w:hAnsiTheme="minorHAnsi"/>
        </w:rPr>
        <w:t xml:space="preserve"> </w:t>
      </w:r>
      <w:r w:rsidR="00A82A54" w:rsidRPr="006A6890">
        <w:rPr>
          <w:rFonts w:asciiTheme="minorHAnsi" w:hAnsiTheme="minorHAnsi"/>
        </w:rPr>
        <w:t xml:space="preserve">IV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w:t>
      </w:r>
      <w:r w:rsidRPr="006A6890">
        <w:rPr>
          <w:rFonts w:asciiTheme="minorHAnsi" w:hAnsiTheme="minorHAnsi"/>
        </w:rPr>
        <w:lastRenderedPageBreak/>
        <w:t>összevont alapon is végezzen ICAAP-</w:t>
      </w:r>
      <w:proofErr w:type="spellStart"/>
      <w:r w:rsidRPr="006A6890">
        <w:rPr>
          <w:rFonts w:asciiTheme="minorHAnsi" w:hAnsiTheme="minorHAnsi"/>
        </w:rPr>
        <w:t>et</w:t>
      </w:r>
      <w:proofErr w:type="spellEnd"/>
      <w:r w:rsidRPr="006A6890">
        <w:rPr>
          <w:rFonts w:asciiTheme="minorHAnsi" w:hAnsiTheme="minorHAnsi"/>
        </w:rPr>
        <w: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w:t>
      </w:r>
      <w:proofErr w:type="spellStart"/>
      <w:r w:rsidRPr="006A6890">
        <w:rPr>
          <w:rFonts w:asciiTheme="minorHAnsi" w:hAnsiTheme="minorHAnsi"/>
        </w:rPr>
        <w:t>host</w:t>
      </w:r>
      <w:proofErr w:type="spellEnd"/>
      <w:r w:rsidRPr="006A6890">
        <w:rPr>
          <w:rFonts w:asciiTheme="minorHAnsi" w:hAnsiTheme="minorHAnsi"/>
        </w:rPr>
        <w:t xml:space="preserve">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w:t>
      </w:r>
      <w:proofErr w:type="spellStart"/>
      <w:r w:rsidRPr="006A6890">
        <w:rPr>
          <w:rFonts w:asciiTheme="minorHAnsi" w:hAnsiTheme="minorHAnsi"/>
        </w:rPr>
        <w:t>szubkonszolidált</w:t>
      </w:r>
      <w:proofErr w:type="spellEnd"/>
      <w:r w:rsidRPr="006A6890">
        <w:rPr>
          <w:rFonts w:asciiTheme="minorHAnsi" w:hAnsiTheme="minorHAnsi"/>
        </w:rPr>
        <w:t xml:space="preserve">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 xml:space="preserve">Egyéb </w:t>
      </w:r>
      <w:proofErr w:type="spellStart"/>
      <w:r w:rsidRPr="006A6890">
        <w:rPr>
          <w:rFonts w:asciiTheme="minorHAnsi" w:hAnsiTheme="minorHAnsi"/>
          <w:b/>
        </w:rPr>
        <w:t>szubkonszolidált</w:t>
      </w:r>
      <w:proofErr w:type="spellEnd"/>
      <w:r w:rsidRPr="006A6890">
        <w:rPr>
          <w:rFonts w:asciiTheme="minorHAnsi" w:hAnsiTheme="minorHAnsi"/>
          <w:b/>
        </w:rPr>
        <w:t xml:space="preserve">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w:t>
      </w:r>
      <w:proofErr w:type="spellStart"/>
      <w:r w:rsidRPr="006A6890">
        <w:rPr>
          <w:rFonts w:asciiTheme="minorHAnsi" w:hAnsiTheme="minorHAnsi"/>
        </w:rPr>
        <w:t>szubkonszolidált</w:t>
      </w:r>
      <w:proofErr w:type="spellEnd"/>
      <w:r w:rsidRPr="006A6890">
        <w:rPr>
          <w:rFonts w:asciiTheme="minorHAnsi" w:hAnsiTheme="minorHAnsi"/>
        </w:rPr>
        <w:t xml:space="preserve">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6B15230" w14:textId="3D67DBEB"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lastRenderedPageBreak/>
        <w:t>A központi szervhez tartósan kapcsolt hitelintézet</w:t>
      </w:r>
    </w:p>
    <w:p w14:paraId="66B15232" w14:textId="14A53FC9" w:rsidR="003F29E3" w:rsidRPr="006A6890" w:rsidRDefault="003F29E3" w:rsidP="00AA57CA">
      <w:pPr>
        <w:rPr>
          <w:rFonts w:asciiTheme="minorHAnsi" w:hAnsiTheme="minorHAnsi"/>
        </w:rPr>
      </w:pPr>
      <w:r w:rsidRPr="006A6890">
        <w:rPr>
          <w:rFonts w:asciiTheme="minorHAnsi" w:hAnsiTheme="minorHAnsi"/>
        </w:rPr>
        <w:t xml:space="preserve">A CRR tőkére vonatkozó követelményeit a központi szerv a kapcsolt intézményeivel együtt csoport szinten teljesíti, vagy az intézményeknek egyedileg kell megfelelniük. 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w:t>
      </w:r>
      <w:proofErr w:type="spellStart"/>
      <w:r w:rsidRPr="006A6890">
        <w:rPr>
          <w:rFonts w:asciiTheme="minorHAnsi" w:hAnsiTheme="minorHAnsi"/>
        </w:rPr>
        <w:t>előzőek</w:t>
      </w:r>
      <w:proofErr w:type="spellEnd"/>
      <w:r w:rsidRPr="006A6890">
        <w:rPr>
          <w:rFonts w:asciiTheme="minorHAnsi" w:hAnsiTheme="minorHAnsi"/>
        </w:rPr>
        <w:t xml:space="preserve">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w:t>
      </w:r>
      <w:proofErr w:type="spellStart"/>
      <w:r w:rsidRPr="006A6890">
        <w:rPr>
          <w:rFonts w:asciiTheme="minorHAnsi" w:hAnsiTheme="minorHAnsi"/>
        </w:rPr>
        <w:t>szubkonszolidált</w:t>
      </w:r>
      <w:proofErr w:type="spellEnd"/>
      <w:r w:rsidRPr="006A6890">
        <w:rPr>
          <w:rFonts w:asciiTheme="minorHAnsi" w:hAnsiTheme="minorHAnsi"/>
        </w:rPr>
        <w:t xml:space="preserve">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A19C0D7" w:rsidR="003F29E3" w:rsidRPr="006A6890" w:rsidRDefault="003F29E3" w:rsidP="00AA57CA">
      <w:pPr>
        <w:rPr>
          <w:rFonts w:asciiTheme="minorHAnsi" w:hAnsiTheme="minorHAnsi"/>
        </w:rPr>
      </w:pPr>
      <w:r w:rsidRPr="006A6890">
        <w:rPr>
          <w:rFonts w:asciiTheme="minorHAnsi" w:hAnsiTheme="minorHAnsi"/>
        </w:rPr>
        <w:t xml:space="preserve">Felügyeleti hatóságként az MNB a csoport szintű </w:t>
      </w:r>
      <w:proofErr w:type="spellStart"/>
      <w:r w:rsidRPr="006A6890">
        <w:rPr>
          <w:rFonts w:asciiTheme="minorHAnsi" w:hAnsiTheme="minorHAnsi"/>
        </w:rPr>
        <w:t>ILAAP</w:t>
      </w:r>
      <w:proofErr w:type="spellEnd"/>
      <w:r w:rsidRPr="006A6890">
        <w:rPr>
          <w:rFonts w:asciiTheme="minorHAnsi" w:hAnsiTheme="minorHAnsi"/>
        </w:rPr>
        <w:t xml:space="preserve"> elvégzését a </w:t>
      </w:r>
      <w:proofErr w:type="spellStart"/>
      <w:r w:rsidRPr="006A6890">
        <w:rPr>
          <w:rFonts w:asciiTheme="minorHAnsi" w:hAnsiTheme="minorHAnsi"/>
        </w:rPr>
        <w:t>SREP</w:t>
      </w:r>
      <w:proofErr w:type="spellEnd"/>
      <w:r w:rsidRPr="006A6890">
        <w:rPr>
          <w:rFonts w:asciiTheme="minorHAnsi" w:hAnsiTheme="minorHAnsi"/>
        </w:rPr>
        <w:t xml:space="preserve"> hatálya alá tartozó intézményekre </w:t>
      </w:r>
      <w:proofErr w:type="spellStart"/>
      <w:r w:rsidRPr="006A6890">
        <w:rPr>
          <w:rFonts w:asciiTheme="minorHAnsi" w:hAnsiTheme="minorHAnsi"/>
        </w:rPr>
        <w:t>szubkonszolidált</w:t>
      </w:r>
      <w:proofErr w:type="spellEnd"/>
      <w:r w:rsidRPr="006A6890">
        <w:rPr>
          <w:rFonts w:asciiTheme="minorHAnsi" w:hAnsiTheme="minorHAnsi"/>
        </w:rPr>
        <w:t xml:space="preserve">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szabad áramlását korlátozó operatív és jogi korlátok vizsgálata, 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 xml:space="preserve">z MNB Home </w:t>
      </w:r>
      <w:r w:rsidR="00343170" w:rsidRPr="006A6890">
        <w:rPr>
          <w:rFonts w:asciiTheme="minorHAnsi" w:hAnsiTheme="minorHAnsi"/>
        </w:rPr>
        <w:lastRenderedPageBreak/>
        <w:t>hatóságként figyelembe veszi a leánybankok</w:t>
      </w:r>
      <w:r w:rsidRPr="006A6890">
        <w:rPr>
          <w:rFonts w:asciiTheme="minorHAnsi" w:hAnsiTheme="minorHAnsi"/>
        </w:rPr>
        <w:t xml:space="preserve"> felügyeleti </w:t>
      </w:r>
      <w:r w:rsidR="00343170" w:rsidRPr="006A6890">
        <w:rPr>
          <w:rFonts w:asciiTheme="minorHAnsi" w:hAnsiTheme="minorHAnsi"/>
        </w:rPr>
        <w:t xml:space="preserve">hatóságainak értékelését, </w:t>
      </w:r>
      <w:proofErr w:type="spellStart"/>
      <w:r w:rsidR="00343170" w:rsidRPr="006A6890">
        <w:rPr>
          <w:rFonts w:asciiTheme="minorHAnsi" w:hAnsiTheme="minorHAnsi"/>
        </w:rPr>
        <w:t>Host</w:t>
      </w:r>
      <w:proofErr w:type="spellEnd"/>
      <w:r w:rsidR="00343170" w:rsidRPr="006A6890">
        <w:rPr>
          <w:rFonts w:asciiTheme="minorHAnsi" w:hAnsiTheme="minorHAnsi"/>
        </w:rPr>
        <w:t xml:space="preserve"> hatóságként megjeleníti az egyedi kockázatokat a </w:t>
      </w:r>
      <w:proofErr w:type="spellStart"/>
      <w:r w:rsidR="00343170" w:rsidRPr="006A6890">
        <w:rPr>
          <w:rFonts w:asciiTheme="minorHAnsi" w:hAnsiTheme="minorHAnsi"/>
        </w:rPr>
        <w:t>home</w:t>
      </w:r>
      <w:proofErr w:type="spellEnd"/>
      <w:r w:rsidR="00343170" w:rsidRPr="006A6890">
        <w:rPr>
          <w:rFonts w:asciiTheme="minorHAnsi" w:hAnsiTheme="minorHAnsi"/>
        </w:rPr>
        <w:t xml:space="preserve"> felügyelet felé.</w:t>
      </w:r>
    </w:p>
    <w:p w14:paraId="66B15237" w14:textId="14F45F8D" w:rsidR="003F29E3" w:rsidRPr="006A6890" w:rsidRDefault="003F29E3" w:rsidP="00181755">
      <w:pPr>
        <w:pStyle w:val="Heading1"/>
        <w:rPr>
          <w:rFonts w:asciiTheme="minorHAnsi" w:hAnsiTheme="minorHAnsi"/>
        </w:rPr>
      </w:pPr>
      <w:bookmarkStart w:id="227" w:name="_VI.1._Egyedi_szintű"/>
      <w:bookmarkStart w:id="228" w:name="_VI.2._Konszolidált_szintű"/>
      <w:bookmarkStart w:id="229" w:name="_VI.2.1_A_csoport"/>
      <w:bookmarkStart w:id="230" w:name="_VI.2.2_A_csoport"/>
      <w:bookmarkStart w:id="231" w:name="_Az_EU_szintű"/>
      <w:bookmarkStart w:id="232" w:name="_VI.3._Szubkonszolidált_szintű"/>
      <w:bookmarkStart w:id="233" w:name="_Együttműködés_más_felügyeleti"/>
      <w:bookmarkStart w:id="234" w:name="_A_felügyeleti_felülvizsgálati_1"/>
      <w:bookmarkStart w:id="235" w:name="_Toc378590304"/>
      <w:bookmarkStart w:id="236" w:name="_Toc378592146"/>
      <w:bookmarkEnd w:id="161"/>
      <w:bookmarkEnd w:id="162"/>
      <w:bookmarkEnd w:id="227"/>
      <w:bookmarkEnd w:id="228"/>
      <w:bookmarkEnd w:id="229"/>
      <w:bookmarkEnd w:id="230"/>
      <w:bookmarkEnd w:id="231"/>
      <w:bookmarkEnd w:id="232"/>
      <w:bookmarkEnd w:id="233"/>
      <w:bookmarkEnd w:id="234"/>
      <w:r w:rsidRPr="006A6890">
        <w:rPr>
          <w:rFonts w:asciiTheme="minorHAnsi" w:hAnsiTheme="minorHAnsi"/>
        </w:rPr>
        <w:br w:type="page"/>
      </w:r>
      <w:bookmarkStart w:id="237" w:name="_Toc461095171"/>
      <w:bookmarkStart w:id="238" w:name="_Toc461179203"/>
      <w:bookmarkStart w:id="239" w:name="_Toc461179827"/>
      <w:bookmarkStart w:id="240" w:name="_Toc461197744"/>
      <w:bookmarkStart w:id="241" w:name="_Toc461201270"/>
      <w:bookmarkStart w:id="242" w:name="_Toc461547894"/>
      <w:bookmarkStart w:id="243" w:name="_Toc462401922"/>
      <w:bookmarkStart w:id="244" w:name="_Toc462403043"/>
      <w:bookmarkStart w:id="245" w:name="_Toc462403367"/>
      <w:bookmarkStart w:id="246" w:name="_Toc468180486"/>
      <w:bookmarkStart w:id="247" w:name="_Toc468181018"/>
      <w:bookmarkStart w:id="248" w:name="_Toc468191416"/>
      <w:bookmarkStart w:id="249" w:name="_Toc27138927"/>
      <w:r w:rsidRPr="006A6890">
        <w:rPr>
          <w:rFonts w:asciiTheme="minorHAnsi" w:hAnsiTheme="minorHAnsi"/>
        </w:rPr>
        <w:lastRenderedPageBreak/>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6B15239" w14:textId="24E0350B"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Pr="006A6890">
        <w:rPr>
          <w:rFonts w:asciiTheme="minorHAnsi" w:hAnsiTheme="minorHAnsi"/>
        </w:rPr>
        <w:t>fokozata különíthető el:</w:t>
      </w:r>
    </w:p>
    <w:p w14:paraId="66B1523A" w14:textId="3245F070" w:rsidR="003F29E3" w:rsidRPr="006A6890" w:rsidRDefault="00134B85" w:rsidP="00181755">
      <w:pPr>
        <w:pStyle w:val="felsorolsos"/>
        <w:rPr>
          <w:rFonts w:asciiTheme="minorHAnsi" w:hAnsiTheme="minorHAnsi"/>
        </w:rPr>
      </w:pPr>
      <w:r w:rsidRPr="006A6890">
        <w:rPr>
          <w:rFonts w:asciiTheme="minorHAnsi" w:hAnsiTheme="minorHAnsi"/>
          <w:lang w:val="hu-HU"/>
        </w:rPr>
        <w:t>teljeskörű</w:t>
      </w:r>
      <w:r w:rsidRPr="006A6890">
        <w:rPr>
          <w:rFonts w:asciiTheme="minorHAnsi" w:hAnsiTheme="minorHAnsi"/>
        </w:rPr>
        <w:t xml:space="preserve"> </w:t>
      </w:r>
      <w:r w:rsidR="003F29E3" w:rsidRPr="006A6890">
        <w:rPr>
          <w:rFonts w:asciiTheme="minorHAnsi" w:hAnsiTheme="minorHAnsi"/>
        </w:rPr>
        <w:t>ICAAP</w:t>
      </w:r>
      <w:r w:rsidR="002B5C92" w:rsidRPr="006A6890">
        <w:rPr>
          <w:rFonts w:asciiTheme="minorHAnsi" w:hAnsiTheme="minorHAnsi"/>
          <w:lang w:val="hu-HU"/>
        </w:rPr>
        <w:t xml:space="preserve"> felülvizsgálat, mely</w:t>
      </w:r>
      <w:r w:rsidR="0065745F" w:rsidRPr="006A6890">
        <w:rPr>
          <w:rFonts w:asciiTheme="minorHAnsi" w:hAnsiTheme="minorHAnsi"/>
          <w:lang w:val="hu-HU"/>
        </w:rPr>
        <w:t xml:space="preserve"> minden esetben</w:t>
      </w:r>
      <w:r w:rsidR="002B5C92" w:rsidRPr="006A6890">
        <w:rPr>
          <w:rFonts w:asciiTheme="minorHAnsi" w:hAnsiTheme="minorHAnsi"/>
          <w:lang w:val="hu-HU"/>
        </w:rPr>
        <w:t xml:space="preserve"> tartalmaz helyszíni vizsgálatot is</w:t>
      </w:r>
      <w:r w:rsidR="006636DD" w:rsidRPr="006A6890">
        <w:rPr>
          <w:rFonts w:asciiTheme="minorHAnsi" w:hAnsiTheme="minorHAnsi"/>
          <w:lang w:val="hu-HU"/>
        </w:rPr>
        <w:t>,</w:t>
      </w:r>
    </w:p>
    <w:p w14:paraId="06B7C6A2" w14:textId="051EA153" w:rsidR="003F29E3" w:rsidRPr="006A6890" w:rsidRDefault="002B5C92" w:rsidP="00181755">
      <w:pPr>
        <w:pStyle w:val="felsorolsos"/>
        <w:rPr>
          <w:rFonts w:asciiTheme="minorHAnsi" w:hAnsiTheme="minorHAnsi"/>
        </w:rPr>
      </w:pPr>
      <w:r w:rsidRPr="006A6890">
        <w:rPr>
          <w:rFonts w:asciiTheme="minorHAnsi" w:hAnsiTheme="minorHAnsi"/>
          <w:lang w:val="hu-HU"/>
        </w:rPr>
        <w:t>fókuszált</w:t>
      </w:r>
      <w:r w:rsidRPr="006A6890">
        <w:rPr>
          <w:rFonts w:asciiTheme="minorHAnsi" w:hAnsiTheme="minorHAnsi"/>
        </w:rPr>
        <w:t xml:space="preserve"> </w:t>
      </w:r>
      <w:r w:rsidR="003F29E3" w:rsidRPr="006A6890">
        <w:rPr>
          <w:rFonts w:asciiTheme="minorHAnsi" w:hAnsiTheme="minorHAnsi"/>
          <w:lang w:val="hu-HU"/>
        </w:rPr>
        <w:t>ICAAP felülvizsgálat</w:t>
      </w:r>
      <w:r w:rsidRPr="006A6890">
        <w:rPr>
          <w:rFonts w:asciiTheme="minorHAnsi" w:hAnsiTheme="minorHAnsi"/>
          <w:lang w:val="hu-HU"/>
        </w:rPr>
        <w:t>, mely</w:t>
      </w:r>
      <w:r w:rsidR="0065745F" w:rsidRPr="006A6890">
        <w:rPr>
          <w:rFonts w:asciiTheme="minorHAnsi" w:hAnsiTheme="minorHAnsi"/>
          <w:lang w:val="hu-HU"/>
        </w:rPr>
        <w:t xml:space="preserve"> során</w:t>
      </w:r>
      <w:r w:rsidRPr="006A6890">
        <w:rPr>
          <w:rFonts w:asciiTheme="minorHAnsi" w:hAnsiTheme="minorHAnsi"/>
          <w:lang w:val="hu-HU"/>
        </w:rPr>
        <w:t xml:space="preserve"> az ICAAP keretrendszer egyes részei</w:t>
      </w:r>
      <w:r w:rsidR="0065745F" w:rsidRPr="006A6890">
        <w:rPr>
          <w:rFonts w:asciiTheme="minorHAnsi" w:hAnsiTheme="minorHAnsi"/>
          <w:lang w:val="hu-HU"/>
        </w:rPr>
        <w:t>nek vizsgálata kiemelt hangsúlyt kap</w:t>
      </w:r>
      <w:r w:rsidRPr="006A6890">
        <w:rPr>
          <w:rFonts w:asciiTheme="minorHAnsi" w:hAnsiTheme="minorHAnsi"/>
          <w:lang w:val="hu-HU"/>
        </w:rPr>
        <w:t xml:space="preserve"> </w:t>
      </w:r>
      <w:r w:rsidR="0065745F" w:rsidRPr="006A6890">
        <w:rPr>
          <w:rFonts w:asciiTheme="minorHAnsi" w:hAnsiTheme="minorHAnsi"/>
          <w:lang w:val="hu-HU"/>
        </w:rPr>
        <w:t>és ehhez kapcsolódhat</w:t>
      </w:r>
      <w:r w:rsidR="00F057BD" w:rsidRPr="006A6890">
        <w:rPr>
          <w:rFonts w:asciiTheme="minorHAnsi" w:hAnsiTheme="minorHAnsi"/>
          <w:lang w:val="hu-HU"/>
        </w:rPr>
        <w:t xml:space="preserve"> helyszíni vizsgálat is</w:t>
      </w:r>
      <w:r w:rsidR="006636DD" w:rsidRPr="006A6890">
        <w:rPr>
          <w:rFonts w:asciiTheme="minorHAnsi" w:hAnsiTheme="minorHAnsi"/>
          <w:lang w:val="hu-HU"/>
        </w:rPr>
        <w:t>,</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7BC7776D" w:rsidR="003F29E3" w:rsidRPr="006A6890"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bookmarkStart w:id="250" w:name="_Egyszerűsített_SREP_a"/>
      <w:bookmarkStart w:id="251" w:name="_Sztenderd_SREP_a"/>
      <w:bookmarkStart w:id="252" w:name="_Komplex_SREP_a"/>
      <w:bookmarkStart w:id="253" w:name="_Toc461195763"/>
      <w:bookmarkStart w:id="254" w:name="_Toc461524846"/>
      <w:bookmarkStart w:id="255" w:name="_Toc461547897"/>
      <w:bookmarkStart w:id="256" w:name="_Toc461550190"/>
      <w:bookmarkStart w:id="257" w:name="_Toc462401925"/>
      <w:bookmarkStart w:id="258" w:name="_Toc462403046"/>
      <w:bookmarkStart w:id="259" w:name="_Toc462403370"/>
      <w:bookmarkStart w:id="260" w:name="_Toc462403799"/>
      <w:bookmarkStart w:id="261" w:name="_Toc462645667"/>
      <w:bookmarkStart w:id="262" w:name="_Toc468180489"/>
      <w:bookmarkStart w:id="263" w:name="_Toc46818102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B1524B" w14:textId="5CDF7982"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264" w:name="_II._Általános_elvárások"/>
      <w:bookmarkStart w:id="265" w:name="_Toc378590308"/>
      <w:bookmarkStart w:id="266" w:name="_Toc378592150"/>
      <w:bookmarkStart w:id="267" w:name="_Toc461095175"/>
      <w:bookmarkStart w:id="268" w:name="_Toc461179207"/>
      <w:bookmarkStart w:id="269" w:name="_Toc461179831"/>
      <w:bookmarkStart w:id="270" w:name="_Toc461197748"/>
      <w:bookmarkStart w:id="271" w:name="_Toc461201274"/>
      <w:bookmarkStart w:id="272" w:name="_Toc461547899"/>
      <w:bookmarkStart w:id="273" w:name="_Toc462401927"/>
      <w:bookmarkStart w:id="274" w:name="_Toc462403048"/>
      <w:bookmarkStart w:id="275" w:name="_Toc462403372"/>
      <w:bookmarkStart w:id="276" w:name="_Toc468180491"/>
      <w:bookmarkStart w:id="277" w:name="_Toc468181023"/>
      <w:bookmarkStart w:id="278" w:name="_Toc468191420"/>
      <w:bookmarkStart w:id="279" w:name="_Toc27138928"/>
      <w:bookmarkEnd w:id="264"/>
      <w:r w:rsidRPr="006A6890">
        <w:rPr>
          <w:rFonts w:asciiTheme="minorHAnsi" w:hAnsiTheme="minorHAnsi"/>
        </w:rPr>
        <w:lastRenderedPageBreak/>
        <w:t>Az ICAAP</w:t>
      </w:r>
      <w:r w:rsidR="00F743A5" w:rsidRPr="006A6890">
        <w:rPr>
          <w:rFonts w:asciiTheme="minorHAnsi" w:hAnsiTheme="minorHAnsi"/>
        </w:rPr>
        <w:t xml:space="preserve">, az </w:t>
      </w:r>
      <w:proofErr w:type="spellStart"/>
      <w:r w:rsidR="00F743A5" w:rsidRPr="006A6890">
        <w:rPr>
          <w:rFonts w:asciiTheme="minorHAnsi" w:hAnsiTheme="minorHAnsi"/>
        </w:rPr>
        <w:t>I</w:t>
      </w:r>
      <w:r w:rsidR="005236D0" w:rsidRPr="006A6890">
        <w:rPr>
          <w:rFonts w:asciiTheme="minorHAnsi" w:hAnsiTheme="minorHAnsi"/>
        </w:rPr>
        <w:t>LAAP</w:t>
      </w:r>
      <w:proofErr w:type="spellEnd"/>
      <w:r w:rsidR="00F743A5" w:rsidRPr="006A6890">
        <w:rPr>
          <w:rFonts w:asciiTheme="minorHAnsi" w:hAnsiTheme="minorHAnsi"/>
        </w:rPr>
        <w:t xml:space="preserve"> és a </w:t>
      </w:r>
      <w:proofErr w:type="spellStart"/>
      <w:r w:rsidR="00C651A1" w:rsidRPr="006A6890">
        <w:rPr>
          <w:rFonts w:asciiTheme="minorHAnsi" w:hAnsiTheme="minorHAnsi"/>
        </w:rPr>
        <w:t>BMA</w:t>
      </w:r>
      <w:proofErr w:type="spellEnd"/>
      <w:r w:rsidRPr="006A6890">
        <w:rPr>
          <w:rFonts w:asciiTheme="minorHAnsi" w:hAnsiTheme="minorHAnsi"/>
        </w:rPr>
        <w:t xml:space="preserve"> vizsgálat folyamata</w:t>
      </w:r>
      <w:bookmarkEnd w:id="265"/>
      <w:bookmarkEnd w:id="266"/>
      <w:bookmarkEnd w:id="267"/>
      <w:bookmarkEnd w:id="268"/>
      <w:bookmarkEnd w:id="269"/>
      <w:bookmarkEnd w:id="270"/>
      <w:bookmarkEnd w:id="271"/>
      <w:bookmarkEnd w:id="272"/>
      <w:r w:rsidR="005236D0" w:rsidRPr="006A6890">
        <w:rPr>
          <w:rStyle w:val="FootnoteReference"/>
          <w:rFonts w:asciiTheme="minorHAnsi" w:hAnsiTheme="minorHAnsi"/>
        </w:rPr>
        <w:footnoteReference w:id="13"/>
      </w:r>
      <w:bookmarkEnd w:id="273"/>
      <w:bookmarkEnd w:id="274"/>
      <w:bookmarkEnd w:id="275"/>
      <w:bookmarkEnd w:id="276"/>
      <w:bookmarkEnd w:id="277"/>
      <w:bookmarkEnd w:id="278"/>
      <w:bookmarkEnd w:id="279"/>
    </w:p>
    <w:p w14:paraId="2407E780" w14:textId="700A8250" w:rsidR="00034DF6" w:rsidRPr="006A6890" w:rsidRDefault="00B7657B" w:rsidP="00AA57CA">
      <w:pPr>
        <w:rPr>
          <w:rFonts w:asciiTheme="minorHAnsi" w:hAnsiTheme="minorHAnsi"/>
        </w:rPr>
      </w:pPr>
      <w:r w:rsidRPr="006A6890">
        <w:rPr>
          <w:rFonts w:asciiTheme="minorHAnsi" w:hAnsiTheme="minorHAnsi"/>
        </w:rPr>
        <w:t xml:space="preserve">Főszabályként az ICAAP, az </w:t>
      </w:r>
      <w:proofErr w:type="spellStart"/>
      <w:r w:rsidRPr="006A6890">
        <w:rPr>
          <w:rFonts w:asciiTheme="minorHAnsi" w:hAnsiTheme="minorHAnsi"/>
        </w:rPr>
        <w:t>ILAAP</w:t>
      </w:r>
      <w:proofErr w:type="spellEnd"/>
      <w:r w:rsidRPr="006A6890">
        <w:rPr>
          <w:rFonts w:asciiTheme="minorHAnsi" w:hAnsiTheme="minorHAnsi"/>
        </w:rPr>
        <w:t xml:space="preserve"> </w:t>
      </w:r>
      <w:r w:rsidRPr="006A6890" w:rsidDel="0065745F">
        <w:rPr>
          <w:rFonts w:asciiTheme="minorHAnsi" w:hAnsiTheme="minorHAnsi"/>
        </w:rPr>
        <w:t xml:space="preserve">valamint a </w:t>
      </w:r>
      <w:proofErr w:type="spellStart"/>
      <w:r w:rsidRPr="006A6890" w:rsidDel="0065745F">
        <w:rPr>
          <w:rFonts w:asciiTheme="minorHAnsi" w:hAnsiTheme="minorHAnsi"/>
        </w:rPr>
        <w:t>BMA</w:t>
      </w:r>
      <w:proofErr w:type="spellEnd"/>
      <w:r w:rsidRPr="006A6890" w:rsidDel="0065745F">
        <w:rPr>
          <w:rFonts w:asciiTheme="minorHAnsi" w:hAnsiTheme="minorHAnsi"/>
        </w:rPr>
        <w:t xml:space="preserve"> </w:t>
      </w:r>
      <w:r w:rsidRPr="006A6890">
        <w:rPr>
          <w:rFonts w:asciiTheme="minorHAnsi" w:hAnsiTheme="minorHAnsi"/>
        </w:rPr>
        <w:t xml:space="preserve">vizsgálatokra évente kerül sor. </w:t>
      </w:r>
      <w:r w:rsidR="00034DF6" w:rsidRPr="006A6890">
        <w:rPr>
          <w:rFonts w:asciiTheme="minorHAnsi" w:hAnsiTheme="minorHAnsi"/>
        </w:rPr>
        <w:t xml:space="preserve">Az MNB minden év végén vizsgálati tervet </w:t>
      </w:r>
      <w:proofErr w:type="spellStart"/>
      <w:r w:rsidR="00034DF6" w:rsidRPr="006A6890">
        <w:rPr>
          <w:rFonts w:asciiTheme="minorHAnsi" w:hAnsiTheme="minorHAnsi"/>
        </w:rPr>
        <w:t>dolgoz</w:t>
      </w:r>
      <w:proofErr w:type="spellEnd"/>
      <w:r w:rsidR="00034DF6" w:rsidRPr="006A6890">
        <w:rPr>
          <w:rFonts w:asciiTheme="minorHAnsi" w:hAnsiTheme="minorHAnsi"/>
        </w:rPr>
        <w:t xml:space="preserve">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w:t>
      </w:r>
      <w:proofErr w:type="spellStart"/>
      <w:r w:rsidR="00C651A1" w:rsidRPr="006A6890">
        <w:rPr>
          <w:rFonts w:asciiTheme="minorHAnsi" w:hAnsiTheme="minorHAnsi"/>
        </w:rPr>
        <w:t>ILAAP</w:t>
      </w:r>
      <w:proofErr w:type="spellEnd"/>
      <w:r w:rsidR="00C651A1" w:rsidRPr="006A6890">
        <w:rPr>
          <w:rFonts w:asciiTheme="minorHAnsi" w:hAnsiTheme="minorHAnsi"/>
        </w:rPr>
        <w:t xml:space="preserve"> </w:t>
      </w:r>
      <w:r w:rsidRPr="006A6890">
        <w:rPr>
          <w:rFonts w:asciiTheme="minorHAnsi" w:hAnsiTheme="minorHAnsi"/>
        </w:rPr>
        <w:t xml:space="preserve">vizsgálat között is). </w:t>
      </w:r>
    </w:p>
    <w:p w14:paraId="66B1524E" w14:textId="77777777" w:rsidR="003F29E3" w:rsidRPr="006A6890"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6A6890" w:rsidRDefault="000D0BEE" w:rsidP="008F2D8B">
      <w:pPr>
        <w:pStyle w:val="Heading2"/>
        <w:rPr>
          <w:rFonts w:asciiTheme="minorHAnsi" w:hAnsiTheme="minorHAnsi"/>
        </w:rPr>
      </w:pPr>
      <w:bookmarkStart w:id="280" w:name="_Toc468181024"/>
      <w:bookmarkStart w:id="281" w:name="_Toc461195766"/>
      <w:bookmarkStart w:id="282" w:name="_Toc461524849"/>
      <w:bookmarkStart w:id="283" w:name="_Toc461547900"/>
      <w:bookmarkStart w:id="284" w:name="_Toc461550193"/>
      <w:bookmarkStart w:id="285" w:name="_Toc462401928"/>
      <w:bookmarkStart w:id="286" w:name="_Toc462403049"/>
      <w:bookmarkStart w:id="287" w:name="_Toc462403374"/>
      <w:bookmarkStart w:id="288" w:name="_Toc462403803"/>
      <w:bookmarkStart w:id="289" w:name="_Toc462645671"/>
      <w:bookmarkStart w:id="290" w:name="_Toc468180493"/>
      <w:bookmarkStart w:id="291" w:name="_Toc468181025"/>
      <w:bookmarkStart w:id="292" w:name="_A_SREP_előkészítése"/>
      <w:bookmarkStart w:id="293" w:name="_Toc378590309"/>
      <w:bookmarkStart w:id="294" w:name="_Toc378592151"/>
      <w:bookmarkStart w:id="295" w:name="_Toc461095176"/>
      <w:bookmarkStart w:id="296" w:name="_Toc461179208"/>
      <w:bookmarkStart w:id="297" w:name="_Toc461179832"/>
      <w:bookmarkStart w:id="298" w:name="_Toc461547901"/>
      <w:bookmarkStart w:id="299" w:name="_Toc462401929"/>
      <w:bookmarkStart w:id="300" w:name="_Toc462403050"/>
      <w:bookmarkStart w:id="301" w:name="_Toc462403375"/>
      <w:bookmarkStart w:id="302" w:name="_Toc468180494"/>
      <w:bookmarkStart w:id="303" w:name="_Toc468181026"/>
      <w:bookmarkStart w:id="304" w:name="_Toc468191421"/>
      <w:bookmarkStart w:id="305" w:name="_Toc27138929"/>
      <w:bookmarkEnd w:id="280"/>
      <w:bookmarkEnd w:id="281"/>
      <w:bookmarkEnd w:id="282"/>
      <w:bookmarkEnd w:id="283"/>
      <w:bookmarkEnd w:id="284"/>
      <w:bookmarkEnd w:id="285"/>
      <w:bookmarkEnd w:id="286"/>
      <w:bookmarkEnd w:id="287"/>
      <w:bookmarkEnd w:id="288"/>
      <w:bookmarkEnd w:id="289"/>
      <w:bookmarkEnd w:id="290"/>
      <w:bookmarkEnd w:id="291"/>
      <w:bookmarkEnd w:id="292"/>
      <w:r w:rsidRPr="006A6890">
        <w:rPr>
          <w:rFonts w:asciiTheme="minorHAnsi" w:hAnsiTheme="minorHAnsi"/>
        </w:rPr>
        <w:t xml:space="preserve">Az </w:t>
      </w:r>
      <w:r w:rsidR="00396B01" w:rsidRPr="006A6890">
        <w:rPr>
          <w:rFonts w:asciiTheme="minorHAnsi" w:hAnsiTheme="minorHAnsi"/>
        </w:rPr>
        <w:t>ICAAP</w:t>
      </w:r>
      <w:r w:rsidRPr="006A6890">
        <w:rPr>
          <w:rFonts w:asciiTheme="minorHAnsi" w:hAnsiTheme="minorHAnsi"/>
        </w:rPr>
        <w:t xml:space="preserve">, az </w:t>
      </w:r>
      <w:proofErr w:type="spellStart"/>
      <w:r w:rsidR="00396B01" w:rsidRPr="006A6890">
        <w:rPr>
          <w:rFonts w:asciiTheme="minorHAnsi" w:hAnsiTheme="minorHAnsi"/>
        </w:rPr>
        <w:t>ILAAP</w:t>
      </w:r>
      <w:proofErr w:type="spellEnd"/>
      <w:r w:rsidRPr="006A6890">
        <w:rPr>
          <w:rFonts w:asciiTheme="minorHAnsi" w:hAnsiTheme="minorHAnsi"/>
        </w:rPr>
        <w:t xml:space="preserve"> és a </w:t>
      </w:r>
      <w:proofErr w:type="spellStart"/>
      <w:r w:rsidR="00396B01" w:rsidRPr="006A6890">
        <w:rPr>
          <w:rFonts w:asciiTheme="minorHAnsi" w:hAnsiTheme="minorHAnsi"/>
        </w:rPr>
        <w:t>BMA</w:t>
      </w:r>
      <w:proofErr w:type="spellEnd"/>
      <w:r w:rsidR="00396B01" w:rsidRPr="006A6890">
        <w:rPr>
          <w:rFonts w:asciiTheme="minorHAnsi" w:hAnsiTheme="minorHAnsi"/>
        </w:rPr>
        <w:t xml:space="preserve"> vizsgálat</w:t>
      </w:r>
      <w:r w:rsidR="003F29E3" w:rsidRPr="006A6890">
        <w:rPr>
          <w:rFonts w:asciiTheme="minorHAnsi" w:hAnsiTheme="minorHAnsi"/>
        </w:rPr>
        <w:t xml:space="preserve"> előkészítése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 xml:space="preserve">z ICAAP és </w:t>
      </w:r>
      <w:proofErr w:type="spellStart"/>
      <w:r w:rsidR="00823E80" w:rsidRPr="006A6890">
        <w:rPr>
          <w:rFonts w:asciiTheme="minorHAnsi" w:hAnsiTheme="minorHAnsi"/>
        </w:rPr>
        <w:t>ILAAP</w:t>
      </w:r>
      <w:proofErr w:type="spellEnd"/>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BFE6134" w:rsidR="00624A9B" w:rsidRPr="006A6890"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6A6890" w:rsidRDefault="003F29E3" w:rsidP="008F2D8B">
      <w:pPr>
        <w:pStyle w:val="Heading2"/>
        <w:rPr>
          <w:rFonts w:asciiTheme="minorHAnsi" w:hAnsiTheme="minorHAnsi"/>
        </w:rPr>
      </w:pPr>
      <w:bookmarkStart w:id="306" w:name="_Toc461195768"/>
      <w:bookmarkStart w:id="307" w:name="_Toc461197750"/>
      <w:bookmarkStart w:id="308" w:name="_Toc461201276"/>
      <w:bookmarkStart w:id="309" w:name="_Toc461547902"/>
      <w:bookmarkStart w:id="310" w:name="_Toc462401930"/>
      <w:bookmarkStart w:id="311" w:name="_Toc462403051"/>
      <w:bookmarkStart w:id="312" w:name="_Toc462403376"/>
      <w:bookmarkStart w:id="313" w:name="_Toc468180495"/>
      <w:bookmarkStart w:id="314" w:name="_Toc468181027"/>
      <w:bookmarkStart w:id="315" w:name="_Toc468191422"/>
      <w:bookmarkStart w:id="316" w:name="_Toc27138930"/>
      <w:bookmarkEnd w:id="306"/>
      <w:r w:rsidRPr="006A6890">
        <w:rPr>
          <w:rFonts w:asciiTheme="minorHAnsi" w:hAnsiTheme="minorHAnsi"/>
        </w:rPr>
        <w:t>Az ICAAP</w:t>
      </w:r>
      <w:r w:rsidR="00306E67" w:rsidRPr="006A6890">
        <w:rPr>
          <w:rFonts w:asciiTheme="minorHAnsi" w:hAnsiTheme="minorHAnsi"/>
        </w:rPr>
        <w:t xml:space="preserve">, az </w:t>
      </w:r>
      <w:proofErr w:type="spellStart"/>
      <w:r w:rsidRPr="006A6890">
        <w:rPr>
          <w:rFonts w:asciiTheme="minorHAnsi" w:hAnsiTheme="minorHAnsi"/>
        </w:rPr>
        <w:t>ILAAP</w:t>
      </w:r>
      <w:proofErr w:type="spellEnd"/>
      <w:r w:rsidR="00306E67" w:rsidRPr="006A6890">
        <w:rPr>
          <w:rFonts w:asciiTheme="minorHAnsi" w:hAnsiTheme="minorHAnsi"/>
        </w:rPr>
        <w:t xml:space="preserve"> és a </w:t>
      </w:r>
      <w:proofErr w:type="spellStart"/>
      <w:r w:rsidR="00624A9B" w:rsidRPr="006A6890">
        <w:rPr>
          <w:rFonts w:asciiTheme="minorHAnsi" w:hAnsiTheme="minorHAnsi"/>
        </w:rPr>
        <w:t>BMA</w:t>
      </w:r>
      <w:proofErr w:type="spellEnd"/>
      <w:r w:rsidR="00624A9B" w:rsidRPr="006A6890">
        <w:rPr>
          <w:rFonts w:asciiTheme="minorHAnsi" w:hAnsiTheme="minorHAnsi"/>
        </w:rPr>
        <w:t xml:space="preserve"> vizsgálat</w:t>
      </w:r>
      <w:r w:rsidR="00306E67" w:rsidRPr="006A6890">
        <w:rPr>
          <w:rFonts w:asciiTheme="minorHAnsi" w:hAnsiTheme="minorHAnsi"/>
        </w:rPr>
        <w:t>ok</w:t>
      </w:r>
      <w:r w:rsidRPr="006A6890">
        <w:rPr>
          <w:rFonts w:asciiTheme="minorHAnsi" w:hAnsiTheme="minorHAnsi"/>
        </w:rPr>
        <w:t xml:space="preserve"> dokumentáció</w:t>
      </w:r>
      <w:r w:rsidR="00624A9B" w:rsidRPr="006A6890">
        <w:rPr>
          <w:rFonts w:asciiTheme="minorHAnsi" w:hAnsiTheme="minorHAnsi"/>
        </w:rPr>
        <w:t>jának</w:t>
      </w:r>
      <w:r w:rsidRPr="006A6890">
        <w:rPr>
          <w:rFonts w:asciiTheme="minorHAnsi" w:hAnsiTheme="minorHAnsi"/>
        </w:rPr>
        <w:t xml:space="preserve"> bekérése</w:t>
      </w:r>
      <w:bookmarkStart w:id="317" w:name="_Az_ICAAP-dokumentáció_bekérése"/>
      <w:bookmarkStart w:id="318" w:name="_Toc468181028"/>
      <w:bookmarkStart w:id="319" w:name="_Toc461179209"/>
      <w:bookmarkStart w:id="320" w:name="_Toc461179833"/>
      <w:bookmarkEnd w:id="307"/>
      <w:bookmarkEnd w:id="308"/>
      <w:bookmarkEnd w:id="309"/>
      <w:bookmarkEnd w:id="310"/>
      <w:bookmarkEnd w:id="311"/>
      <w:bookmarkEnd w:id="312"/>
      <w:bookmarkEnd w:id="313"/>
      <w:bookmarkEnd w:id="314"/>
      <w:bookmarkEnd w:id="315"/>
      <w:bookmarkEnd w:id="317"/>
      <w:bookmarkEnd w:id="318"/>
      <w:bookmarkEnd w:id="316"/>
    </w:p>
    <w:bookmarkEnd w:id="319"/>
    <w:bookmarkEnd w:id="320"/>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 xml:space="preserve">és </w:t>
      </w:r>
      <w:proofErr w:type="spellStart"/>
      <w:r w:rsidRPr="006A6890">
        <w:rPr>
          <w:rFonts w:asciiTheme="minorHAnsi" w:hAnsiTheme="minorHAnsi"/>
        </w:rPr>
        <w:t>ILAAP</w:t>
      </w:r>
      <w:proofErr w:type="spellEnd"/>
      <w:r w:rsidRPr="006A6890">
        <w:rPr>
          <w:rFonts w:asciiTheme="minorHAnsi" w:hAnsiTheme="minorHAnsi"/>
        </w:rPr>
        <w:t xml:space="preserve"> dokumentációt</w:t>
      </w:r>
      <w:r w:rsidR="0075653C" w:rsidRPr="006A6890">
        <w:rPr>
          <w:rFonts w:asciiTheme="minorHAnsi" w:hAnsiTheme="minorHAnsi"/>
        </w:rPr>
        <w:t>,</w:t>
      </w:r>
      <w:r w:rsidRPr="006A6890">
        <w:rPr>
          <w:rStyle w:val="FootnoteReference"/>
          <w:rFonts w:asciiTheme="minorHAnsi" w:hAnsiTheme="minorHAnsi"/>
        </w:rPr>
        <w:footnoteReference w:id="14"/>
      </w:r>
      <w:r w:rsidR="0075653C" w:rsidRPr="006A6890">
        <w:rPr>
          <w:rFonts w:asciiTheme="minorHAnsi" w:hAnsiTheme="minorHAnsi"/>
        </w:rPr>
        <w:t xml:space="preserve"> valamint </w:t>
      </w:r>
      <w:r w:rsidR="00906962" w:rsidRPr="006A6890">
        <w:rPr>
          <w:rFonts w:asciiTheme="minorHAnsi" w:hAnsiTheme="minorHAnsi"/>
        </w:rPr>
        <w:t xml:space="preserve">a </w:t>
      </w:r>
      <w:proofErr w:type="spellStart"/>
      <w:r w:rsidR="00906962" w:rsidRPr="006A6890">
        <w:rPr>
          <w:rFonts w:asciiTheme="minorHAnsi" w:hAnsiTheme="minorHAnsi"/>
        </w:rPr>
        <w:t>BMA</w:t>
      </w:r>
      <w:proofErr w:type="spellEnd"/>
      <w:r w:rsidR="00906962" w:rsidRPr="006A6890">
        <w:rPr>
          <w:rFonts w:asciiTheme="minorHAnsi" w:hAnsiTheme="minorHAnsi"/>
        </w:rPr>
        <w:t xml:space="preserve">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proofErr w:type="spellStart"/>
      <w:r w:rsidR="00DA7581" w:rsidRPr="006A6890">
        <w:rPr>
          <w:rFonts w:asciiTheme="minorHAnsi" w:hAnsiTheme="minorHAnsi"/>
        </w:rPr>
        <w:t>EBA</w:t>
      </w:r>
      <w:proofErr w:type="spellEnd"/>
      <w:r w:rsidR="00DA7581" w:rsidRPr="006A6890">
        <w:rPr>
          <w:rFonts w:asciiTheme="minorHAnsi" w:hAnsiTheme="minorHAnsi"/>
        </w:rPr>
        <w:t xml:space="preserve"> ajánlás</w:t>
      </w:r>
      <w:r w:rsidR="00DA7581" w:rsidRPr="006A6890">
        <w:rPr>
          <w:rStyle w:val="FootnoteReference"/>
          <w:rFonts w:asciiTheme="minorHAnsi" w:hAnsiTheme="minorHAnsi"/>
        </w:rPr>
        <w:footnoteReference w:id="15"/>
      </w:r>
      <w:r w:rsidR="00DA7581" w:rsidRPr="006A6890">
        <w:rPr>
          <w:rFonts w:asciiTheme="minorHAnsi" w:hAnsiTheme="minorHAnsi"/>
        </w:rPr>
        <w:t xml:space="preserve"> alapján évente felülvizsgált</w:t>
      </w:r>
      <w:r w:rsidRPr="006A6890">
        <w:rPr>
          <w:rFonts w:asciiTheme="minorHAnsi" w:hAnsiTheme="minorHAnsi"/>
        </w:rPr>
        <w:t xml:space="preserve"> ICAAP és </w:t>
      </w:r>
      <w:proofErr w:type="spellStart"/>
      <w:r w:rsidRPr="006A6890">
        <w:rPr>
          <w:rFonts w:asciiTheme="minorHAnsi" w:hAnsiTheme="minorHAnsi"/>
        </w:rPr>
        <w:t>ILAAP</w:t>
      </w:r>
      <w:proofErr w:type="spellEnd"/>
      <w:r w:rsidRPr="006A6890">
        <w:rPr>
          <w:rFonts w:asciiTheme="minorHAnsi" w:hAnsiTheme="minorHAnsi"/>
        </w:rPr>
        <w:t xml:space="preserve">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w:t>
      </w:r>
      <w:proofErr w:type="spellStart"/>
      <w:r w:rsidRPr="006A6890">
        <w:rPr>
          <w:rFonts w:asciiTheme="minorHAnsi" w:hAnsiTheme="minorHAnsi"/>
        </w:rPr>
        <w:t>ILAAP</w:t>
      </w:r>
      <w:proofErr w:type="spellEnd"/>
      <w:r w:rsidRPr="006A6890">
        <w:rPr>
          <w:rFonts w:asciiTheme="minorHAnsi" w:hAnsiTheme="minorHAnsi"/>
        </w:rPr>
        <w:t xml:space="preserve"> módszertani útmutatóját, amely részletesen bemutatja </w:t>
      </w:r>
      <w:proofErr w:type="spellStart"/>
      <w:r w:rsidR="004335F3" w:rsidRPr="006A6890">
        <w:rPr>
          <w:rFonts w:asciiTheme="minorHAnsi" w:hAnsiTheme="minorHAnsi"/>
          <w:lang w:val="hu-HU"/>
        </w:rPr>
        <w:t>kockázattípusonként</w:t>
      </w:r>
      <w:proofErr w:type="spellEnd"/>
      <w:r w:rsidR="004335F3" w:rsidRPr="006A6890">
        <w:rPr>
          <w:rFonts w:asciiTheme="minorHAnsi" w:hAnsiTheme="minorHAnsi"/>
          <w:lang w:val="hu-HU"/>
        </w:rPr>
        <w:t xml:space="preserve">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w:t>
      </w:r>
      <w:proofErr w:type="spellStart"/>
      <w:r w:rsidRPr="006A6890">
        <w:rPr>
          <w:rFonts w:asciiTheme="minorHAnsi" w:hAnsiTheme="minorHAnsi"/>
        </w:rPr>
        <w:t>IL</w:t>
      </w:r>
      <w:r w:rsidR="006636DD" w:rsidRPr="006A6890">
        <w:rPr>
          <w:rFonts w:asciiTheme="minorHAnsi" w:hAnsiTheme="minorHAnsi"/>
        </w:rPr>
        <w:t>AAP</w:t>
      </w:r>
      <w:proofErr w:type="spellEnd"/>
      <w:r w:rsidR="006636DD" w:rsidRPr="006A6890">
        <w:rPr>
          <w:rFonts w:asciiTheme="minorHAnsi" w:hAnsiTheme="minorHAnsi"/>
        </w:rPr>
        <w:t xml:space="preserve">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lastRenderedPageBreak/>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ICAAP dokumentációnak tartalmaznia kell a tőkeszámítás eredményét </w:t>
      </w:r>
      <w:proofErr w:type="spellStart"/>
      <w:r w:rsidRPr="006A6890">
        <w:rPr>
          <w:rFonts w:asciiTheme="minorHAnsi" w:hAnsiTheme="minorHAnsi"/>
        </w:rPr>
        <w:t>kockázattípusonként</w:t>
      </w:r>
      <w:proofErr w:type="spellEnd"/>
      <w:r w:rsidRPr="006A6890">
        <w:rPr>
          <w:rFonts w:asciiTheme="minorHAnsi" w:hAnsiTheme="minorHAnsi"/>
        </w:rPr>
        <w:t xml:space="preserve"> bem</w:t>
      </w:r>
      <w:r w:rsidR="006636DD" w:rsidRPr="006A6890">
        <w:rPr>
          <w:rFonts w:asciiTheme="minorHAnsi" w:hAnsiTheme="minorHAnsi"/>
        </w:rPr>
        <w:t xml:space="preserve">utató ún. </w:t>
      </w:r>
      <w:proofErr w:type="spellStart"/>
      <w:r w:rsidR="006636DD" w:rsidRPr="006A6890">
        <w:rPr>
          <w:rFonts w:asciiTheme="minorHAnsi" w:hAnsiTheme="minorHAnsi"/>
        </w:rPr>
        <w:t>SREP</w:t>
      </w:r>
      <w:proofErr w:type="spellEnd"/>
      <w:r w:rsidR="006636DD" w:rsidRPr="006A6890">
        <w:rPr>
          <w:rFonts w:asciiTheme="minorHAnsi" w:hAnsiTheme="minorHAnsi"/>
        </w:rPr>
        <w:t xml:space="preserve">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 xml:space="preserve">CAAP, illetve az </w:t>
      </w:r>
      <w:proofErr w:type="spellStart"/>
      <w:r w:rsidR="006636DD" w:rsidRPr="006A6890">
        <w:rPr>
          <w:rFonts w:asciiTheme="minorHAnsi" w:hAnsiTheme="minorHAnsi"/>
        </w:rPr>
        <w:t>ILAAP</w:t>
      </w:r>
      <w:proofErr w:type="spellEnd"/>
      <w:r w:rsidR="006636DD" w:rsidRPr="006A6890">
        <w:rPr>
          <w:rFonts w:asciiTheme="minorHAnsi" w:hAnsiTheme="minorHAnsi"/>
        </w:rPr>
        <w:t xml:space="preserve">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proofErr w:type="spellStart"/>
      <w:r w:rsidR="00624A9B" w:rsidRPr="001B0FD9">
        <w:rPr>
          <w:rFonts w:asciiTheme="minorHAnsi" w:hAnsiTheme="minorHAnsi"/>
        </w:rPr>
        <w:t>BMA</w:t>
      </w:r>
      <w:proofErr w:type="spellEnd"/>
      <w:r w:rsidR="00624A9B" w:rsidRPr="001B0FD9">
        <w:rPr>
          <w:rFonts w:asciiTheme="minorHAnsi" w:hAnsiTheme="minorHAnsi"/>
        </w:rPr>
        <w:t xml:space="preserve">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proofErr w:type="spellStart"/>
      <w:r w:rsidRPr="006A6890">
        <w:rPr>
          <w:rFonts w:asciiTheme="minorHAnsi" w:hAnsiTheme="minorHAnsi"/>
          <w:lang w:val="hu-HU"/>
        </w:rPr>
        <w:t>makrokörnyezet</w:t>
      </w:r>
      <w:proofErr w:type="spellEnd"/>
      <w:r w:rsidRPr="006A6890">
        <w:rPr>
          <w:rFonts w:asciiTheme="minorHAnsi" w:hAnsiTheme="minorHAnsi"/>
          <w:lang w:val="hu-HU"/>
        </w:rPr>
        <w:t xml:space="preserve">,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képezze részét a főbb mérleg és eredménykimutatás tételekre vonatkozó minimum 3 éves időhorizontra </w:t>
      </w:r>
      <w:proofErr w:type="spellStart"/>
      <w:r w:rsidR="00F24903" w:rsidRPr="006A6890">
        <w:rPr>
          <w:rFonts w:asciiTheme="minorHAnsi" w:hAnsiTheme="minorHAnsi"/>
          <w:lang w:val="hu-HU"/>
        </w:rPr>
        <w:t>előretekintő</w:t>
      </w:r>
      <w:proofErr w:type="spellEnd"/>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az alkalmazott adatok, feltevések, módszerek jól </w:t>
      </w:r>
      <w:proofErr w:type="spellStart"/>
      <w:r w:rsidRPr="006A6890">
        <w:rPr>
          <w:rFonts w:asciiTheme="minorHAnsi" w:hAnsiTheme="minorHAnsi"/>
          <w:lang w:val="hu-HU"/>
        </w:rPr>
        <w:t>kidolgozottak</w:t>
      </w:r>
      <w:proofErr w:type="spellEnd"/>
      <w:r w:rsidRPr="006A6890">
        <w:rPr>
          <w:rFonts w:asciiTheme="minorHAnsi" w:hAnsiTheme="minorHAnsi"/>
          <w:lang w:val="hu-HU"/>
        </w:rPr>
        <w:t xml:space="preserve">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Az MNB az ICAAP-</w:t>
      </w:r>
      <w:proofErr w:type="spellStart"/>
      <w:r w:rsidRPr="006A6890">
        <w:rPr>
          <w:rFonts w:asciiTheme="minorHAnsi" w:hAnsiTheme="minorHAnsi"/>
        </w:rPr>
        <w:t>ILAAP</w:t>
      </w:r>
      <w:proofErr w:type="spellEnd"/>
      <w:r w:rsidRPr="006A6890">
        <w:rPr>
          <w:rFonts w:asciiTheme="minorHAnsi" w:hAnsiTheme="minorHAnsi"/>
        </w:rPr>
        <w:t>-</w:t>
      </w:r>
      <w:proofErr w:type="spellStart"/>
      <w:r w:rsidRPr="006A6890">
        <w:rPr>
          <w:rFonts w:asciiTheme="minorHAnsi" w:hAnsiTheme="minorHAnsi"/>
        </w:rPr>
        <w:t>BMA</w:t>
      </w:r>
      <w:proofErr w:type="spellEnd"/>
      <w:r w:rsidRPr="006A6890">
        <w:rPr>
          <w:rFonts w:asciiTheme="minorHAnsi" w:hAnsiTheme="minorHAnsi"/>
        </w:rPr>
        <w:t xml:space="preserve">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w:t>
      </w:r>
      <w:proofErr w:type="spellStart"/>
      <w:r w:rsidR="00306E67" w:rsidRPr="006A6890">
        <w:rPr>
          <w:rFonts w:asciiTheme="minorHAnsi" w:hAnsiTheme="minorHAnsi"/>
        </w:rPr>
        <w:t>szubkonszolidált</w:t>
      </w:r>
      <w:proofErr w:type="spellEnd"/>
      <w:r w:rsidR="00306E67" w:rsidRPr="006A6890">
        <w:rPr>
          <w:rFonts w:asciiTheme="minorHAnsi" w:hAnsiTheme="minorHAnsi"/>
        </w:rPr>
        <w:t xml:space="preserve">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w:t>
      </w:r>
      <w:proofErr w:type="spellStart"/>
      <w:r w:rsidR="00B7657B" w:rsidRPr="006A6890">
        <w:rPr>
          <w:rFonts w:asciiTheme="minorHAnsi" w:hAnsiTheme="minorHAnsi"/>
        </w:rPr>
        <w:t>esetenként</w:t>
      </w:r>
      <w:proofErr w:type="spellEnd"/>
      <w:r w:rsidR="00B7657B" w:rsidRPr="006A6890">
        <w:rPr>
          <w:rFonts w:asciiTheme="minorHAnsi" w:hAnsiTheme="minorHAnsi"/>
        </w:rPr>
        <w:t xml:space="preserve"> konkrét </w:t>
      </w:r>
      <w:proofErr w:type="spellStart"/>
      <w:r w:rsidR="00B7657B" w:rsidRPr="006A6890">
        <w:rPr>
          <w:rFonts w:asciiTheme="minorHAnsi" w:hAnsiTheme="minorHAnsi"/>
        </w:rPr>
        <w:t>excel</w:t>
      </w:r>
      <w:proofErr w:type="spellEnd"/>
      <w:r w:rsidR="00B7657B" w:rsidRPr="006A6890">
        <w:rPr>
          <w:rFonts w:asciiTheme="minorHAnsi" w:hAnsiTheme="minorHAnsi"/>
        </w:rPr>
        <w:t xml:space="preserve"> sablon alapján), illetve milyen referencia időpontra vonatkozóan kéri.</w:t>
      </w:r>
    </w:p>
    <w:p w14:paraId="66B1525B" w14:textId="7DD021D1" w:rsidR="003F29E3" w:rsidRPr="006A6890" w:rsidRDefault="001C7769" w:rsidP="00AA57CA">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p>
    <w:p w14:paraId="778EE3F6" w14:textId="5C895384" w:rsidR="003F29E3" w:rsidRPr="006A6890" w:rsidRDefault="003F29E3" w:rsidP="008F2D8B">
      <w:pPr>
        <w:pStyle w:val="Heading2"/>
        <w:rPr>
          <w:rFonts w:asciiTheme="minorHAnsi" w:hAnsiTheme="minorHAnsi"/>
        </w:rPr>
      </w:pPr>
      <w:bookmarkStart w:id="321" w:name="_Toc461195770"/>
      <w:bookmarkStart w:id="322" w:name="_Toc461524853"/>
      <w:bookmarkStart w:id="323" w:name="_Toc461547904"/>
      <w:bookmarkStart w:id="324" w:name="_Toc461550197"/>
      <w:bookmarkStart w:id="325" w:name="_Toc462401932"/>
      <w:bookmarkStart w:id="326" w:name="_Toc462403053"/>
      <w:bookmarkStart w:id="327" w:name="_Toc462403378"/>
      <w:bookmarkStart w:id="328" w:name="_Toc462403807"/>
      <w:bookmarkStart w:id="329" w:name="_Toc462645675"/>
      <w:bookmarkStart w:id="330" w:name="_Toc468180497"/>
      <w:bookmarkStart w:id="331" w:name="_Toc468181029"/>
      <w:bookmarkStart w:id="332" w:name="_A_belső_tőkemegfelelés"/>
      <w:bookmarkStart w:id="333" w:name="_Toc378590311"/>
      <w:bookmarkStart w:id="334" w:name="_Toc378592153"/>
      <w:bookmarkStart w:id="335" w:name="_Toc461095178"/>
      <w:bookmarkStart w:id="336" w:name="_Toc461179210"/>
      <w:bookmarkStart w:id="337" w:name="_Toc461179834"/>
      <w:bookmarkStart w:id="338" w:name="_Toc461547905"/>
      <w:bookmarkStart w:id="339" w:name="_Toc462401933"/>
      <w:bookmarkStart w:id="340" w:name="_Toc462403054"/>
      <w:bookmarkStart w:id="341" w:name="_Toc462403379"/>
      <w:bookmarkStart w:id="342" w:name="_Toc468180498"/>
      <w:bookmarkStart w:id="343" w:name="_Toc468181030"/>
      <w:bookmarkStart w:id="344" w:name="_Toc468191423"/>
      <w:bookmarkStart w:id="345" w:name="_Toc27138931"/>
      <w:bookmarkEnd w:id="321"/>
      <w:bookmarkEnd w:id="322"/>
      <w:bookmarkEnd w:id="323"/>
      <w:bookmarkEnd w:id="324"/>
      <w:bookmarkEnd w:id="325"/>
      <w:bookmarkEnd w:id="326"/>
      <w:bookmarkEnd w:id="327"/>
      <w:bookmarkEnd w:id="328"/>
      <w:bookmarkEnd w:id="329"/>
      <w:bookmarkEnd w:id="330"/>
      <w:bookmarkEnd w:id="331"/>
      <w:bookmarkEnd w:id="332"/>
      <w:r w:rsidRPr="006A6890">
        <w:rPr>
          <w:rFonts w:asciiTheme="minorHAnsi" w:hAnsiTheme="minorHAnsi"/>
        </w:rPr>
        <w:t>A</w:t>
      </w:r>
      <w:r w:rsidR="000D0BEE" w:rsidRPr="006A6890">
        <w:rPr>
          <w:rFonts w:asciiTheme="minorHAnsi" w:hAnsiTheme="minorHAnsi"/>
        </w:rPr>
        <w:t xml:space="preserve">z ICAAP, az </w:t>
      </w:r>
      <w:proofErr w:type="spellStart"/>
      <w:r w:rsidR="000D0BEE" w:rsidRPr="006A6890">
        <w:rPr>
          <w:rFonts w:asciiTheme="minorHAnsi" w:hAnsiTheme="minorHAnsi"/>
        </w:rPr>
        <w:t>ILAAP</w:t>
      </w:r>
      <w:proofErr w:type="spellEnd"/>
      <w:r w:rsidR="000D0BEE" w:rsidRPr="006A6890">
        <w:rPr>
          <w:rFonts w:asciiTheme="minorHAnsi" w:hAnsiTheme="minorHAnsi"/>
        </w:rPr>
        <w:t xml:space="preserve"> és a </w:t>
      </w:r>
      <w:proofErr w:type="spellStart"/>
      <w:r w:rsidR="000D0BEE" w:rsidRPr="006A6890">
        <w:rPr>
          <w:rFonts w:asciiTheme="minorHAnsi" w:hAnsiTheme="minorHAnsi"/>
        </w:rPr>
        <w:t>BMA</w:t>
      </w:r>
      <w:proofErr w:type="spellEnd"/>
      <w:r w:rsidR="000D0BEE" w:rsidRPr="006A6890">
        <w:rPr>
          <w:rFonts w:asciiTheme="minorHAnsi" w:hAnsiTheme="minorHAnsi"/>
        </w:rPr>
        <w:t xml:space="preserve"> vizsgálat</w:t>
      </w:r>
      <w:r w:rsidR="00EE2C0E" w:rsidRPr="006A6890">
        <w:rPr>
          <w:rFonts w:asciiTheme="minorHAnsi" w:hAnsiTheme="minorHAnsi"/>
          <w:lang w:val="hu-HU"/>
        </w:rPr>
        <w:t xml:space="preserve"> </w:t>
      </w:r>
      <w:r w:rsidRPr="006A6890">
        <w:rPr>
          <w:rFonts w:asciiTheme="minorHAnsi" w:hAnsiTheme="minorHAnsi"/>
        </w:rPr>
        <w:t>felügyeleti értékelése</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w:t>
      </w:r>
      <w:r w:rsidR="000A019D" w:rsidRPr="006A6890">
        <w:rPr>
          <w:rFonts w:asciiTheme="minorHAnsi" w:hAnsiTheme="minorHAnsi"/>
        </w:rPr>
        <w:lastRenderedPageBreak/>
        <w:t xml:space="preserve">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w:t>
      </w:r>
      <w:proofErr w:type="spellStart"/>
      <w:r w:rsidR="009C59AC" w:rsidRPr="006A6890">
        <w:rPr>
          <w:rFonts w:asciiTheme="minorHAnsi" w:hAnsiTheme="minorHAnsi"/>
        </w:rPr>
        <w:t>esetenként</w:t>
      </w:r>
      <w:proofErr w:type="spellEnd"/>
      <w:r w:rsidR="009C59AC" w:rsidRPr="006A6890">
        <w:rPr>
          <w:rFonts w:asciiTheme="minorHAnsi" w:hAnsiTheme="minorHAnsi"/>
        </w:rPr>
        <w:t xml:space="preserve">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6A6890" w:rsidRDefault="003F29E3" w:rsidP="008F2D8B">
      <w:pPr>
        <w:pStyle w:val="Heading2"/>
        <w:rPr>
          <w:rFonts w:asciiTheme="minorHAnsi" w:hAnsiTheme="minorHAnsi"/>
        </w:rPr>
      </w:pPr>
      <w:bookmarkStart w:id="346" w:name="_A_kockázatcsökkentő_intézkedések"/>
      <w:bookmarkStart w:id="347" w:name="_Toc378590312"/>
      <w:bookmarkStart w:id="348" w:name="_Toc378592154"/>
      <w:bookmarkStart w:id="349" w:name="_Toc461095179"/>
      <w:bookmarkStart w:id="350" w:name="_Toc461197752"/>
      <w:bookmarkStart w:id="351" w:name="_Toc461201278"/>
      <w:bookmarkStart w:id="352" w:name="_Toc461547906"/>
      <w:bookmarkStart w:id="353" w:name="_Toc462401934"/>
      <w:bookmarkStart w:id="354" w:name="_Toc462403055"/>
      <w:bookmarkStart w:id="355" w:name="_Toc462403380"/>
      <w:bookmarkStart w:id="356" w:name="_Toc468180499"/>
      <w:bookmarkStart w:id="357" w:name="_Toc468181031"/>
      <w:bookmarkStart w:id="358" w:name="_Toc468191424"/>
      <w:bookmarkStart w:id="359" w:name="_Toc27138932"/>
      <w:bookmarkStart w:id="360" w:name="_Toc461179211"/>
      <w:bookmarkStart w:id="361" w:name="_Toc461179835"/>
      <w:bookmarkEnd w:id="346"/>
      <w:r w:rsidRPr="006A6890">
        <w:rPr>
          <w:rFonts w:asciiTheme="minorHAnsi" w:hAnsiTheme="minorHAnsi"/>
        </w:rPr>
        <w:t>A kockázatcsökkentő intézkedések és a gazdasági tőkeszükséglet</w:t>
      </w:r>
      <w:r w:rsidRPr="006A6890">
        <w:rPr>
          <w:rFonts w:asciiTheme="minorHAnsi" w:hAnsiTheme="minorHAnsi"/>
          <w:lang w:val="hu-HU"/>
        </w:rPr>
        <w:t>, valamint a likviditási többlettartalék</w:t>
      </w:r>
      <w:r w:rsidRPr="006A6890">
        <w:rPr>
          <w:rFonts w:asciiTheme="minorHAnsi" w:hAnsiTheme="minorHAnsi"/>
        </w:rPr>
        <w:t xml:space="preserve"> meghatározása</w:t>
      </w:r>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14:paraId="059BBE05" w14:textId="678A9911"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 xml:space="preserve">vonatkozó felügyeleti megállapításokat, előírt kockázatcsökkentő intézkedéseket, továbbá az MNB által indokoltnak tartott </w:t>
      </w:r>
      <w:proofErr w:type="spellStart"/>
      <w:r w:rsidRPr="006A6890">
        <w:rPr>
          <w:rFonts w:asciiTheme="minorHAnsi" w:hAnsiTheme="minorHAnsi"/>
        </w:rPr>
        <w:t>SREP</w:t>
      </w:r>
      <w:proofErr w:type="spellEnd"/>
      <w:r w:rsidRPr="006A6890">
        <w:rPr>
          <w:rFonts w:asciiTheme="minorHAnsi" w:hAnsiTheme="minorHAnsi"/>
        </w:rPr>
        <w:t xml:space="preserve"> tőkeszükségletet.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 xml:space="preserve">vagy a </w:t>
      </w:r>
      <w:proofErr w:type="spellStart"/>
      <w:r w:rsidR="00920F30" w:rsidRPr="006A6890">
        <w:rPr>
          <w:rFonts w:asciiTheme="minorHAnsi" w:hAnsiTheme="minorHAnsi"/>
        </w:rPr>
        <w:t>BMA</w:t>
      </w:r>
      <w:proofErr w:type="spellEnd"/>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6A6890" w:rsidRDefault="003F29E3" w:rsidP="008F2D8B">
      <w:pPr>
        <w:pStyle w:val="Heading2"/>
        <w:rPr>
          <w:rFonts w:asciiTheme="minorHAnsi" w:hAnsiTheme="minorHAnsi"/>
        </w:rPr>
      </w:pPr>
      <w:bookmarkStart w:id="362" w:name="_Toc461195773"/>
      <w:bookmarkStart w:id="363" w:name="_Toc461524856"/>
      <w:bookmarkStart w:id="364" w:name="_Toc461547907"/>
      <w:bookmarkStart w:id="365" w:name="_Toc461550200"/>
      <w:bookmarkStart w:id="366" w:name="_Toc462401935"/>
      <w:bookmarkStart w:id="367" w:name="_Toc462403056"/>
      <w:bookmarkStart w:id="368" w:name="_Toc462403381"/>
      <w:bookmarkStart w:id="369" w:name="_Toc462403810"/>
      <w:bookmarkStart w:id="370" w:name="_Toc462645678"/>
      <w:bookmarkStart w:id="371" w:name="_Toc468180500"/>
      <w:bookmarkStart w:id="372" w:name="_Toc468181032"/>
      <w:bookmarkStart w:id="373" w:name="_Közös_kockázatértékelés_és"/>
      <w:bookmarkStart w:id="374" w:name="_Toc378592155"/>
      <w:bookmarkStart w:id="375" w:name="_Toc461095180"/>
      <w:bookmarkStart w:id="376" w:name="_Toc461179212"/>
      <w:bookmarkStart w:id="377" w:name="_Toc461179836"/>
      <w:bookmarkStart w:id="378" w:name="_Toc461547908"/>
      <w:bookmarkStart w:id="379" w:name="_Toc462401936"/>
      <w:bookmarkStart w:id="380" w:name="_Toc462403057"/>
      <w:bookmarkStart w:id="381" w:name="_Toc462403382"/>
      <w:bookmarkStart w:id="382" w:name="_Toc468180501"/>
      <w:bookmarkStart w:id="383" w:name="_Toc468181033"/>
      <w:bookmarkStart w:id="384" w:name="_Toc468191425"/>
      <w:bookmarkStart w:id="385" w:name="_Toc27138933"/>
      <w:bookmarkEnd w:id="362"/>
      <w:bookmarkEnd w:id="363"/>
      <w:bookmarkEnd w:id="364"/>
      <w:bookmarkEnd w:id="365"/>
      <w:bookmarkEnd w:id="366"/>
      <w:bookmarkEnd w:id="367"/>
      <w:bookmarkEnd w:id="368"/>
      <w:bookmarkEnd w:id="369"/>
      <w:bookmarkEnd w:id="370"/>
      <w:bookmarkEnd w:id="371"/>
      <w:bookmarkEnd w:id="372"/>
      <w:bookmarkEnd w:id="373"/>
      <w:r w:rsidRPr="006A6890">
        <w:rPr>
          <w:rFonts w:asciiTheme="minorHAnsi" w:hAnsiTheme="minorHAnsi"/>
        </w:rPr>
        <w:t xml:space="preserve">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w:t>
      </w:r>
      <w:bookmarkEnd w:id="374"/>
      <w:bookmarkEnd w:id="375"/>
      <w:bookmarkEnd w:id="376"/>
      <w:bookmarkEnd w:id="377"/>
      <w:bookmarkEnd w:id="378"/>
      <w:bookmarkEnd w:id="379"/>
      <w:bookmarkEnd w:id="380"/>
      <w:bookmarkEnd w:id="381"/>
      <w:bookmarkEnd w:id="382"/>
      <w:bookmarkEnd w:id="383"/>
      <w:bookmarkEnd w:id="384"/>
      <w:bookmarkEnd w:id="385"/>
    </w:p>
    <w:p w14:paraId="66B15267" w14:textId="147A5C7B"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proofErr w:type="spellStart"/>
      <w:r w:rsidRPr="006A6890">
        <w:rPr>
          <w:rFonts w:asciiTheme="minorHAnsi" w:hAnsiTheme="minorHAnsi"/>
        </w:rPr>
        <w:t>CRD</w:t>
      </w:r>
      <w:proofErr w:type="spellEnd"/>
      <w:r w:rsidR="005C65E5" w:rsidRPr="006A6890">
        <w:rPr>
          <w:rFonts w:asciiTheme="minorHAnsi" w:hAnsiTheme="minorHAnsi"/>
        </w:rPr>
        <w:t xml:space="preserve"> IV.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 cikk</w:t>
      </w:r>
      <w:r w:rsidR="008C22D5" w:rsidRPr="006A6890">
        <w:rPr>
          <w:rFonts w:asciiTheme="minorHAnsi" w:hAnsiTheme="minorHAnsi"/>
        </w:rPr>
        <w:t xml:space="preserve"> és </w:t>
      </w:r>
      <w:proofErr w:type="spellStart"/>
      <w:r w:rsidR="008C22D5" w:rsidRPr="006A6890">
        <w:rPr>
          <w:rFonts w:asciiTheme="minorHAnsi" w:hAnsiTheme="minorHAnsi"/>
        </w:rPr>
        <w:t>Bszt</w:t>
      </w:r>
      <w:proofErr w:type="spellEnd"/>
      <w:r w:rsidR="008C22D5" w:rsidRPr="006A6890">
        <w:rPr>
          <w:rFonts w:asciiTheme="minorHAnsi" w:hAnsiTheme="minorHAnsi"/>
        </w:rPr>
        <w:t>. 162</w:t>
      </w:r>
      <w:r w:rsidR="008C5E97" w:rsidRPr="006A6890">
        <w:rPr>
          <w:rFonts w:asciiTheme="minorHAnsi" w:hAnsiTheme="minorHAnsi"/>
        </w:rPr>
        <w:t>. cikk</w:t>
      </w:r>
      <w:r w:rsidR="008C22D5" w:rsidRPr="006A6890">
        <w:rPr>
          <w:rFonts w:asciiTheme="minorHAnsi" w:hAnsiTheme="minorHAnsi"/>
        </w:rPr>
        <w:t xml:space="preserve"> (5) d pontban került implementálásra)</w:t>
      </w:r>
      <w:r w:rsidRPr="006A6890">
        <w:rPr>
          <w:rFonts w:asciiTheme="minorHAnsi" w:hAnsiTheme="minorHAnsi"/>
        </w:rPr>
        <w:t xml:space="preserve">, a felügyeleti kollégiumok operatív működését, illetve a közös kockázatértékelési és </w:t>
      </w:r>
      <w:proofErr w:type="spellStart"/>
      <w:r w:rsidRPr="006A6890">
        <w:rPr>
          <w:rFonts w:asciiTheme="minorHAnsi" w:hAnsiTheme="minorHAnsi"/>
        </w:rPr>
        <w:t>együttdöntési</w:t>
      </w:r>
      <w:proofErr w:type="spellEnd"/>
      <w:r w:rsidRPr="006A6890">
        <w:rPr>
          <w:rFonts w:asciiTheme="minorHAnsi" w:hAnsiTheme="minorHAnsi"/>
        </w:rPr>
        <w:t xml:space="preserve">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6A6890">
        <w:rPr>
          <w:rFonts w:asciiTheme="minorHAnsi" w:hAnsiTheme="minorHAnsi"/>
        </w:rPr>
        <w:footnoteReference w:id="16"/>
      </w:r>
      <w:r w:rsidRPr="006A6890">
        <w:rPr>
          <w:rFonts w:asciiTheme="minorHAnsi" w:hAnsiTheme="minorHAnsi"/>
        </w:rPr>
        <w:t xml:space="preserve">. </w:t>
      </w:r>
    </w:p>
    <w:p w14:paraId="66B15268" w14:textId="6F587328" w:rsidR="003F29E3" w:rsidRPr="006A6890" w:rsidRDefault="003F29E3" w:rsidP="00AA57CA">
      <w:pPr>
        <w:rPr>
          <w:rFonts w:asciiTheme="minorHAnsi" w:hAnsiTheme="minorHAnsi"/>
        </w:rPr>
      </w:pPr>
      <w:r w:rsidRPr="006A6890">
        <w:rPr>
          <w:rFonts w:asciiTheme="minorHAnsi" w:hAnsiTheme="minorHAnsi"/>
        </w:rPr>
        <w:t xml:space="preserve">A 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and decision, </w:t>
      </w:r>
      <w:proofErr w:type="spellStart"/>
      <w:r w:rsidRPr="006A6890">
        <w:rPr>
          <w:rFonts w:asciiTheme="minorHAnsi" w:hAnsiTheme="minorHAnsi"/>
        </w:rPr>
        <w:t>JRAD</w:t>
      </w:r>
      <w:proofErr w:type="spellEnd"/>
      <w:r w:rsidRPr="006A6890">
        <w:rPr>
          <w:rFonts w:asciiTheme="minorHAnsi" w:hAnsiTheme="minorHAnsi"/>
        </w:rPr>
        <w:t xml:space="preserve">) első lépése, hogy az illetékes nemzeti felügyeletek az ICAAP és </w:t>
      </w:r>
      <w:proofErr w:type="spellStart"/>
      <w:r w:rsidRPr="006A6890">
        <w:rPr>
          <w:rFonts w:asciiTheme="minorHAnsi" w:hAnsiTheme="minorHAnsi"/>
        </w:rPr>
        <w:t>ILAAP</w:t>
      </w:r>
      <w:proofErr w:type="spellEnd"/>
      <w:r w:rsidRPr="006A6890">
        <w:rPr>
          <w:rFonts w:asciiTheme="minorHAnsi" w:hAnsiTheme="minorHAnsi"/>
        </w:rPr>
        <w:t xml:space="preserve">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w:t>
      </w:r>
      <w:r w:rsidRPr="006A6890">
        <w:rPr>
          <w:rFonts w:asciiTheme="minorHAnsi" w:hAnsiTheme="minorHAnsi"/>
        </w:rPr>
        <w:lastRenderedPageBreak/>
        <w:t xml:space="preserve">felülvizsgálatok </w:t>
      </w:r>
      <w:r w:rsidR="00CE1BEB" w:rsidRPr="006A6890">
        <w:rPr>
          <w:rFonts w:asciiTheme="minorHAnsi" w:hAnsiTheme="minorHAnsi"/>
        </w:rPr>
        <w:t xml:space="preserve">alapján megállapított </w:t>
      </w:r>
      <w:r w:rsidRPr="006A6890">
        <w:rPr>
          <w:rFonts w:asciiTheme="minorHAnsi" w:hAnsiTheme="minorHAnsi"/>
        </w:rPr>
        <w:t xml:space="preserve">következtetéseit, továbbá 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 xml:space="preserve">és </w:t>
      </w:r>
      <w:proofErr w:type="spellStart"/>
      <w:r w:rsidR="00BE6A34" w:rsidRPr="006A6890">
        <w:rPr>
          <w:rFonts w:asciiTheme="minorHAnsi" w:hAnsiTheme="minorHAnsi"/>
        </w:rPr>
        <w:t>ILAAP</w:t>
      </w:r>
      <w:proofErr w:type="spellEnd"/>
      <w:r w:rsidRPr="006A6890">
        <w:rPr>
          <w:rFonts w:asciiTheme="minorHAnsi" w:hAnsiTheme="minorHAnsi"/>
        </w:rPr>
        <w:t xml:space="preserve"> részfolyamatai alapvetően egy négyfokozatú skálán, a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előírásainak való megfelelés pedig leíró jelleggel kerül értékelésre. </w:t>
      </w:r>
    </w:p>
    <w:p w14:paraId="66B15269" w14:textId="353A9B3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w:t>
      </w:r>
      <w:proofErr w:type="spellStart"/>
      <w:r w:rsidRPr="006A6890">
        <w:rPr>
          <w:rFonts w:asciiTheme="minorHAnsi" w:hAnsiTheme="minorHAnsi"/>
        </w:rPr>
        <w:t>ILAAP</w:t>
      </w:r>
      <w:proofErr w:type="spellEnd"/>
      <w:r w:rsidRPr="006A6890">
        <w:rPr>
          <w:rFonts w:asciiTheme="minorHAnsi" w:hAnsiTheme="minorHAnsi"/>
        </w:rPr>
        <w:t xml:space="preserve"> módszertanok és a </w:t>
      </w:r>
      <w:proofErr w:type="spellStart"/>
      <w:r w:rsidRPr="006A6890">
        <w:rPr>
          <w:rFonts w:asciiTheme="minorHAnsi" w:hAnsiTheme="minorHAnsi"/>
        </w:rPr>
        <w:t>CRD</w:t>
      </w:r>
      <w:proofErr w:type="spellEnd"/>
      <w:r w:rsidRPr="006A6890">
        <w:rPr>
          <w:rFonts w:asciiTheme="minorHAnsi" w:hAnsiTheme="minorHAnsi"/>
        </w:rPr>
        <w:t xml:space="preserve"> </w:t>
      </w:r>
      <w:r w:rsidR="00A82A54" w:rsidRPr="006A6890">
        <w:rPr>
          <w:rFonts w:asciiTheme="minorHAnsi" w:hAnsiTheme="minorHAnsi"/>
        </w:rPr>
        <w:t xml:space="preserve">IV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proofErr w:type="spellStart"/>
      <w:r w:rsidRPr="006A6890">
        <w:rPr>
          <w:rFonts w:asciiTheme="minorHAnsi" w:hAnsiTheme="minorHAnsi"/>
        </w:rPr>
        <w:t>joint</w:t>
      </w:r>
      <w:proofErr w:type="spellEnd"/>
      <w:r w:rsidRPr="006A6890">
        <w:rPr>
          <w:rFonts w:asciiTheme="minorHAnsi" w:hAnsiTheme="minorHAnsi"/>
        </w:rPr>
        <w:t xml:space="preserve"> decision) is. Az elkészült jelentéseket a konszolidáló felügyelet az összes érintett 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w:t>
      </w:r>
      <w:proofErr w:type="spellStart"/>
      <w:r w:rsidR="00CE1BEB" w:rsidRPr="006A6890">
        <w:rPr>
          <w:rFonts w:asciiTheme="minorHAnsi" w:hAnsiTheme="minorHAnsi"/>
        </w:rPr>
        <w:t>SREP</w:t>
      </w:r>
      <w:proofErr w:type="spellEnd"/>
      <w:r w:rsidR="00CE1BEB" w:rsidRPr="006A6890">
        <w:rPr>
          <w:rFonts w:asciiTheme="minorHAnsi" w:hAnsiTheme="minorHAnsi"/>
        </w:rPr>
        <w:t xml:space="preserve">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t xml:space="preserve">Ha a hatóságok az eljárás során a tőkekövetelmények esetében a közös kockázatértékelés rendelkezésre állását követő négy hónapon, a likviditási tartalékkövetelmények esetében egy hónapon belül nem hozzák meg, akkor </w:t>
      </w:r>
      <w:proofErr w:type="spellStart"/>
      <w:r w:rsidRPr="006A6890">
        <w:rPr>
          <w:rFonts w:asciiTheme="minorHAnsi" w:hAnsiTheme="minorHAnsi"/>
        </w:rPr>
        <w:t>EBA</w:t>
      </w:r>
      <w:proofErr w:type="spellEnd"/>
      <w:r w:rsidRPr="006A6890">
        <w:rPr>
          <w:rFonts w:asciiTheme="minorHAnsi" w:hAnsiTheme="minorHAnsi"/>
        </w:rPr>
        <w:t xml:space="preserve">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w:t>
      </w:r>
      <w:proofErr w:type="spellStart"/>
      <w:r w:rsidRPr="006A6890">
        <w:rPr>
          <w:rFonts w:asciiTheme="minorHAnsi" w:hAnsiTheme="minorHAnsi"/>
        </w:rPr>
        <w:t>host</w:t>
      </w:r>
      <w:proofErr w:type="spellEnd"/>
      <w:r w:rsidRPr="006A6890">
        <w:rPr>
          <w:rFonts w:asciiTheme="minorHAnsi" w:hAnsiTheme="minorHAnsi"/>
        </w:rPr>
        <w:t xml:space="preserve"> felügyeletek döntenek.</w:t>
      </w:r>
    </w:p>
    <w:p w14:paraId="3FE48DA0" w14:textId="73C55B28" w:rsidR="003F29E3" w:rsidRPr="006A6890" w:rsidRDefault="003F29E3" w:rsidP="008F2D8B">
      <w:pPr>
        <w:pStyle w:val="Heading2"/>
        <w:rPr>
          <w:rFonts w:asciiTheme="minorHAnsi" w:hAnsiTheme="minorHAnsi"/>
        </w:rPr>
      </w:pPr>
      <w:bookmarkStart w:id="386" w:name="_Toc461195775"/>
      <w:bookmarkStart w:id="387" w:name="_Toc461524858"/>
      <w:bookmarkStart w:id="388" w:name="_Toc461547909"/>
      <w:bookmarkStart w:id="389" w:name="_Toc461550202"/>
      <w:bookmarkStart w:id="390" w:name="_Toc462401937"/>
      <w:bookmarkStart w:id="391" w:name="_Toc462403058"/>
      <w:bookmarkStart w:id="392" w:name="_Toc462403383"/>
      <w:bookmarkStart w:id="393" w:name="_Toc462403812"/>
      <w:bookmarkStart w:id="394" w:name="_Toc462645680"/>
      <w:bookmarkStart w:id="395" w:name="_Toc468180502"/>
      <w:bookmarkStart w:id="396" w:name="_Toc468181034"/>
      <w:bookmarkStart w:id="397" w:name="_A_SREP_lezárása"/>
      <w:bookmarkStart w:id="398" w:name="_Toc378590313"/>
      <w:bookmarkStart w:id="399" w:name="_Toc378592156"/>
      <w:bookmarkStart w:id="400" w:name="_Toc461095181"/>
      <w:bookmarkStart w:id="401" w:name="_Toc461547910"/>
      <w:bookmarkStart w:id="402" w:name="_Toc462401938"/>
      <w:bookmarkStart w:id="403" w:name="_Toc462403059"/>
      <w:bookmarkStart w:id="404" w:name="_Toc462403384"/>
      <w:bookmarkStart w:id="405" w:name="_Toc468180503"/>
      <w:bookmarkStart w:id="406" w:name="_Toc468181035"/>
      <w:bookmarkStart w:id="407" w:name="_Toc468191426"/>
      <w:bookmarkStart w:id="408" w:name="_Toc27138934"/>
      <w:bookmarkStart w:id="409" w:name="_Toc461179213"/>
      <w:bookmarkStart w:id="410" w:name="_Toc461179837"/>
      <w:bookmarkEnd w:id="386"/>
      <w:bookmarkEnd w:id="387"/>
      <w:bookmarkEnd w:id="388"/>
      <w:bookmarkEnd w:id="389"/>
      <w:bookmarkEnd w:id="390"/>
      <w:bookmarkEnd w:id="391"/>
      <w:bookmarkEnd w:id="392"/>
      <w:bookmarkEnd w:id="393"/>
      <w:bookmarkEnd w:id="394"/>
      <w:bookmarkEnd w:id="395"/>
      <w:bookmarkEnd w:id="396"/>
      <w:bookmarkEnd w:id="397"/>
      <w:r w:rsidRPr="006A6890">
        <w:rPr>
          <w:rFonts w:asciiTheme="minorHAnsi" w:hAnsiTheme="minorHAnsi"/>
        </w:rPr>
        <w:t>Az ICAAP</w:t>
      </w:r>
      <w:r w:rsidR="00A44BB9" w:rsidRPr="006A6890">
        <w:rPr>
          <w:rFonts w:asciiTheme="minorHAnsi" w:hAnsiTheme="minorHAnsi"/>
          <w:lang w:val="hu-HU"/>
        </w:rPr>
        <w:t>, az</w:t>
      </w:r>
      <w:r w:rsidRPr="006A6890">
        <w:rPr>
          <w:rFonts w:asciiTheme="minorHAnsi" w:hAnsiTheme="minorHAnsi"/>
        </w:rPr>
        <w:t xml:space="preserve"> </w:t>
      </w:r>
      <w:proofErr w:type="spellStart"/>
      <w:r w:rsidRPr="006A6890">
        <w:rPr>
          <w:rFonts w:asciiTheme="minorHAnsi" w:hAnsiTheme="minorHAnsi"/>
        </w:rPr>
        <w:t>ILAAP</w:t>
      </w:r>
      <w:proofErr w:type="spellEnd"/>
      <w:r w:rsidRPr="006A6890">
        <w:rPr>
          <w:rFonts w:asciiTheme="minorHAnsi" w:hAnsiTheme="minorHAnsi"/>
        </w:rPr>
        <w:t xml:space="preserve"> </w:t>
      </w:r>
      <w:r w:rsidR="00A44BB9" w:rsidRPr="006A6890">
        <w:rPr>
          <w:rFonts w:asciiTheme="minorHAnsi" w:hAnsiTheme="minorHAnsi"/>
          <w:lang w:val="hu-HU"/>
        </w:rPr>
        <w:t xml:space="preserve">és a </w:t>
      </w:r>
      <w:proofErr w:type="spellStart"/>
      <w:r w:rsidR="00A44BB9" w:rsidRPr="006A6890">
        <w:rPr>
          <w:rFonts w:asciiTheme="minorHAnsi" w:hAnsiTheme="minorHAnsi"/>
          <w:lang w:val="hu-HU"/>
        </w:rPr>
        <w:t>BMA</w:t>
      </w:r>
      <w:proofErr w:type="spellEnd"/>
      <w:r w:rsidR="00A44BB9" w:rsidRPr="006A6890">
        <w:rPr>
          <w:rFonts w:asciiTheme="minorHAnsi" w:hAnsiTheme="minorHAnsi"/>
          <w:lang w:val="hu-HU"/>
        </w:rPr>
        <w:t xml:space="preserve"> vizsgálatok</w:t>
      </w:r>
      <w:r w:rsidRPr="006A6890">
        <w:rPr>
          <w:rFonts w:asciiTheme="minorHAnsi" w:hAnsiTheme="minorHAnsi"/>
        </w:rPr>
        <w:t xml:space="preserve"> lezárása</w:t>
      </w:r>
      <w:bookmarkEnd w:id="398"/>
      <w:bookmarkEnd w:id="399"/>
      <w:r w:rsidRPr="006A6890">
        <w:rPr>
          <w:rFonts w:asciiTheme="minorHAnsi" w:hAnsiTheme="minorHAnsi"/>
        </w:rPr>
        <w:t>, felügyeleti intézkedések</w:t>
      </w:r>
      <w:bookmarkEnd w:id="400"/>
      <w:bookmarkEnd w:id="401"/>
      <w:bookmarkEnd w:id="402"/>
      <w:bookmarkEnd w:id="403"/>
      <w:bookmarkEnd w:id="404"/>
      <w:bookmarkEnd w:id="405"/>
      <w:bookmarkEnd w:id="406"/>
      <w:bookmarkEnd w:id="407"/>
      <w:bookmarkEnd w:id="408"/>
    </w:p>
    <w:p w14:paraId="66B1526E" w14:textId="51708496" w:rsidR="003F29E3" w:rsidRPr="006A6890" w:rsidRDefault="003F29E3" w:rsidP="00AA57CA">
      <w:pPr>
        <w:rPr>
          <w:rFonts w:asciiTheme="minorHAnsi" w:hAnsiTheme="minorHAnsi"/>
        </w:rPr>
      </w:pPr>
      <w:bookmarkStart w:id="411" w:name="_Toc325030412"/>
      <w:bookmarkEnd w:id="409"/>
      <w:bookmarkEnd w:id="410"/>
      <w:bookmarkEnd w:id="411"/>
      <w:r w:rsidRPr="006A6890">
        <w:rPr>
          <w:rFonts w:asciiTheme="minorHAnsi" w:hAnsiTheme="minorHAnsi"/>
        </w:rPr>
        <w:t xml:space="preserve">A 2. pilléres felülvizsgálati folyamatot főszabály szerint az intézmény részére készített felülvizsgálati jelentés, </w:t>
      </w:r>
      <w:proofErr w:type="spellStart"/>
      <w:r w:rsidRPr="006A6890">
        <w:rPr>
          <w:rFonts w:asciiTheme="minorHAnsi" w:hAnsiTheme="minorHAnsi"/>
        </w:rPr>
        <w:t>SREP</w:t>
      </w:r>
      <w:proofErr w:type="spellEnd"/>
      <w:r w:rsidRPr="006A6890">
        <w:rPr>
          <w:rFonts w:asciiTheme="minorHAnsi" w:hAnsiTheme="minorHAnsi"/>
        </w:rPr>
        <w:t xml:space="preserve"> áttekintő lap, illetve (a résztvevő felek egyetértése vagy megállapodása esetén) az ún. </w:t>
      </w:r>
      <w:proofErr w:type="spellStart"/>
      <w:r w:rsidRPr="006A6890">
        <w:rPr>
          <w:rFonts w:asciiTheme="minorHAnsi" w:hAnsiTheme="minorHAnsi"/>
        </w:rPr>
        <w:t>prudenciális</w:t>
      </w:r>
      <w:proofErr w:type="spellEnd"/>
      <w:r w:rsidRPr="006A6890">
        <w:rPr>
          <w:rFonts w:asciiTheme="minorHAnsi" w:hAnsiTheme="minorHAnsi"/>
        </w:rPr>
        <w:t xml:space="preserve"> levél megküldése zárja le</w:t>
      </w:r>
      <w:r w:rsidR="004B7E48" w:rsidRPr="006A6890">
        <w:rPr>
          <w:rFonts w:asciiTheme="minorHAnsi" w:hAnsiTheme="minorHAnsi"/>
        </w:rPr>
        <w:t>.</w:t>
      </w:r>
      <w:r w:rsidRPr="006A6890">
        <w:rPr>
          <w:rFonts w:asciiTheme="minorHAnsi" w:hAnsiTheme="minorHAnsi"/>
        </w:rPr>
        <w:footnoteReference w:id="17"/>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26C581DB"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 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00A44BB9" w:rsidRPr="006A6890">
        <w:rPr>
          <w:rFonts w:asciiTheme="minorHAnsi" w:hAnsiTheme="minorHAnsi"/>
        </w:rPr>
        <w:t>prudenciális</w:t>
      </w:r>
      <w:proofErr w:type="spellEnd"/>
      <w:r w:rsidR="00A44BB9" w:rsidRPr="006A6890">
        <w:rPr>
          <w:rFonts w:asciiTheme="minorHAnsi" w:hAnsiTheme="minorHAnsi"/>
        </w:rPr>
        <w:t xml:space="preserve"> levélben </w:t>
      </w:r>
      <w:r w:rsidRPr="006A6890">
        <w:rPr>
          <w:rFonts w:asciiTheme="minorHAnsi" w:hAnsiTheme="minorHAnsi"/>
        </w:rPr>
        <w:t xml:space="preserve">az MNB megállapítja az intézmény számára előírt teljes </w:t>
      </w:r>
      <w:proofErr w:type="spellStart"/>
      <w:r w:rsidRPr="006A6890">
        <w:rPr>
          <w:rFonts w:asciiTheme="minorHAnsi" w:hAnsiTheme="minorHAnsi"/>
        </w:rPr>
        <w:t>SREP</w:t>
      </w:r>
      <w:proofErr w:type="spellEnd"/>
      <w:r w:rsidRPr="006A6890">
        <w:rPr>
          <w:rFonts w:asciiTheme="minorHAnsi" w:hAnsiTheme="minorHAnsi"/>
        </w:rPr>
        <w:t xml:space="preserve"> mutatót </w:t>
      </w:r>
      <w:r w:rsidR="00E3405D" w:rsidRPr="006A6890">
        <w:rPr>
          <w:rFonts w:asciiTheme="minorHAnsi" w:hAnsiTheme="minorHAnsi"/>
        </w:rPr>
        <w:t>(</w:t>
      </w:r>
      <w:proofErr w:type="spellStart"/>
      <w:r w:rsidR="00E3405D" w:rsidRPr="006A6890">
        <w:rPr>
          <w:rFonts w:asciiTheme="minorHAnsi" w:hAnsiTheme="minorHAnsi"/>
        </w:rPr>
        <w:t>TSCR</w:t>
      </w:r>
      <w:proofErr w:type="spellEnd"/>
      <w:r w:rsidR="00E3405D" w:rsidRPr="006A6890">
        <w:rPr>
          <w:rFonts w:asciiTheme="minorHAnsi" w:hAnsiTheme="minorHAnsi"/>
        </w:rPr>
        <w:t xml:space="preserve">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lastRenderedPageBreak/>
        <w:t xml:space="preserve">Amennyiben az ICAAP, </w:t>
      </w:r>
      <w:proofErr w:type="spellStart"/>
      <w:r w:rsidRPr="006A6890">
        <w:rPr>
          <w:rFonts w:asciiTheme="minorHAnsi" w:hAnsiTheme="minorHAnsi"/>
        </w:rPr>
        <w:t>ILAAP</w:t>
      </w:r>
      <w:proofErr w:type="spellEnd"/>
      <w:r w:rsidRPr="006A6890">
        <w:rPr>
          <w:rFonts w:asciiTheme="minorHAnsi" w:hAnsiTheme="minorHAnsi"/>
        </w:rPr>
        <w:t xml:space="preserve"> vagy </w:t>
      </w:r>
      <w:proofErr w:type="spellStart"/>
      <w:r w:rsidRPr="006A6890">
        <w:rPr>
          <w:rFonts w:asciiTheme="minorHAnsi" w:hAnsiTheme="minorHAnsi"/>
        </w:rPr>
        <w:t>BMA</w:t>
      </w:r>
      <w:proofErr w:type="spellEnd"/>
      <w:r w:rsidRPr="006A6890">
        <w:rPr>
          <w:rFonts w:asciiTheme="minorHAnsi" w:hAnsiTheme="minorHAnsi"/>
        </w:rPr>
        <w:t xml:space="preserve"> felülvizsgálatok nem egyidőben kerülnek lefolytatásra, úgy a </w:t>
      </w:r>
      <w:proofErr w:type="spellStart"/>
      <w:r w:rsidRPr="006A6890">
        <w:rPr>
          <w:rFonts w:asciiTheme="minorHAnsi" w:hAnsiTheme="minorHAnsi"/>
        </w:rPr>
        <w:t>prudenciális</w:t>
      </w:r>
      <w:proofErr w:type="spellEnd"/>
      <w:r w:rsidRPr="006A6890">
        <w:rPr>
          <w:rFonts w:asciiTheme="minorHAnsi" w:hAnsiTheme="minorHAnsi"/>
        </w:rPr>
        <w:t xml:space="preserve">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proofErr w:type="spellStart"/>
      <w:r w:rsidR="004252EA" w:rsidRPr="006A6890">
        <w:rPr>
          <w:rFonts w:asciiTheme="minorHAnsi" w:hAnsiTheme="minorHAnsi"/>
          <w:lang w:val="hu-HU"/>
        </w:rPr>
        <w:t>SREP</w:t>
      </w:r>
      <w:proofErr w:type="spellEnd"/>
      <w:r w:rsidR="004252EA" w:rsidRPr="006A6890">
        <w:rPr>
          <w:rFonts w:asciiTheme="minorHAnsi" w:hAnsiTheme="minorHAnsi"/>
          <w:lang w:val="hu-HU"/>
        </w:rPr>
        <w:t xml:space="preserve">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belső modell alkalmazásakor fennáll annak veszélye, hogy az intézmény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vizsgálatot lezáró</w:t>
      </w:r>
      <w:r w:rsidR="00BE6A34" w:rsidRPr="006A6890">
        <w:rPr>
          <w:rFonts w:asciiTheme="minorHAnsi" w:hAnsiTheme="minorHAnsi"/>
        </w:rPr>
        <w:t xml:space="preserve"> </w:t>
      </w:r>
      <w:proofErr w:type="spellStart"/>
      <w:r w:rsidR="00BE6A34" w:rsidRPr="006A6890">
        <w:rPr>
          <w:rFonts w:asciiTheme="minorHAnsi" w:hAnsiTheme="minorHAnsi"/>
        </w:rPr>
        <w:t>prudenciális</w:t>
      </w:r>
      <w:proofErr w:type="spellEnd"/>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FootnoteReference"/>
          <w:rFonts w:asciiTheme="minorHAnsi" w:hAnsiTheme="minorHAnsi"/>
          <w:lang w:val="hu-HU"/>
        </w:rPr>
        <w:footnoteReference w:id="18"/>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1DD1C4F2" w14:textId="137D4192" w:rsidR="000A567A" w:rsidRDefault="000A567A" w:rsidP="000A567A">
      <w:pPr>
        <w:pStyle w:val="felsorolsos"/>
        <w:numPr>
          <w:ilvl w:val="0"/>
          <w:numId w:val="0"/>
        </w:numPr>
        <w:ind w:left="1068" w:hanging="360"/>
        <w:rPr>
          <w:rFonts w:asciiTheme="minorHAnsi" w:hAnsiTheme="minorHAnsi"/>
          <w:lang w:val="hu-HU"/>
        </w:rPr>
      </w:pPr>
    </w:p>
    <w:p w14:paraId="474946B8" w14:textId="77777777" w:rsidR="000A567A" w:rsidRPr="006A6890" w:rsidRDefault="000A567A" w:rsidP="000A567A">
      <w:pPr>
        <w:pStyle w:val="felsorolsos"/>
        <w:numPr>
          <w:ilvl w:val="0"/>
          <w:numId w:val="0"/>
        </w:numPr>
        <w:ind w:left="1068" w:hanging="360"/>
        <w:rPr>
          <w:rFonts w:asciiTheme="minorHAnsi" w:hAnsiTheme="minorHAnsi"/>
          <w:lang w:val="hu-HU"/>
        </w:rPr>
      </w:pPr>
    </w:p>
    <w:p w14:paraId="0A37BC34" w14:textId="68240375" w:rsidR="003F29E3" w:rsidRPr="006A6890" w:rsidRDefault="003F29E3" w:rsidP="00181755">
      <w:pPr>
        <w:pStyle w:val="Heading3"/>
        <w:ind w:left="0" w:firstLine="0"/>
        <w:rPr>
          <w:rFonts w:asciiTheme="minorHAnsi" w:hAnsiTheme="minorHAnsi"/>
        </w:rPr>
      </w:pPr>
      <w:bookmarkStart w:id="412" w:name="_Toc461547911"/>
      <w:bookmarkStart w:id="413" w:name="_Toc462401939"/>
      <w:bookmarkStart w:id="414" w:name="_Toc462403060"/>
      <w:bookmarkStart w:id="415" w:name="_Toc462403385"/>
      <w:bookmarkStart w:id="416" w:name="_Toc462403814"/>
      <w:bookmarkStart w:id="417" w:name="_Toc462645682"/>
      <w:bookmarkStart w:id="418" w:name="_Toc468180504"/>
      <w:bookmarkStart w:id="419" w:name="_Toc468181036"/>
      <w:bookmarkStart w:id="420" w:name="_Toc461095182"/>
      <w:bookmarkStart w:id="421" w:name="_Toc461179838"/>
      <w:bookmarkStart w:id="422" w:name="_Toc461547912"/>
      <w:bookmarkStart w:id="423" w:name="_Toc462401940"/>
      <w:bookmarkStart w:id="424" w:name="_Toc462403061"/>
      <w:bookmarkStart w:id="425" w:name="_Toc462403386"/>
      <w:bookmarkStart w:id="426" w:name="_Toc468180505"/>
      <w:bookmarkStart w:id="427" w:name="_Toc468181037"/>
      <w:bookmarkStart w:id="428" w:name="_Toc468191427"/>
      <w:bookmarkStart w:id="429" w:name="_Toc27138935"/>
      <w:bookmarkEnd w:id="412"/>
      <w:bookmarkEnd w:id="413"/>
      <w:bookmarkEnd w:id="414"/>
      <w:bookmarkEnd w:id="415"/>
      <w:bookmarkEnd w:id="416"/>
      <w:bookmarkEnd w:id="417"/>
      <w:bookmarkEnd w:id="418"/>
      <w:bookmarkEnd w:id="419"/>
      <w:r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w:t>
      </w:r>
      <w:proofErr w:type="spellStart"/>
      <w:r w:rsidR="0094566C" w:rsidRPr="006A6890">
        <w:rPr>
          <w:rFonts w:asciiTheme="minorHAnsi" w:hAnsiTheme="minorHAnsi"/>
          <w:lang w:val="hu-HU"/>
        </w:rPr>
        <w:t>SREP</w:t>
      </w:r>
      <w:proofErr w:type="spellEnd"/>
      <w:r w:rsidR="0094566C" w:rsidRPr="006A6890">
        <w:rPr>
          <w:rFonts w:asciiTheme="minorHAnsi" w:hAnsiTheme="minorHAnsi"/>
          <w:lang w:val="hu-HU"/>
        </w:rPr>
        <w:t xml:space="preserve">)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20"/>
      <w:bookmarkEnd w:id="421"/>
      <w:bookmarkEnd w:id="422"/>
      <w:bookmarkEnd w:id="423"/>
      <w:bookmarkEnd w:id="424"/>
      <w:bookmarkEnd w:id="425"/>
      <w:bookmarkEnd w:id="426"/>
      <w:bookmarkEnd w:id="427"/>
      <w:bookmarkEnd w:id="428"/>
      <w:bookmarkEnd w:id="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w:t>
            </w:r>
            <w:proofErr w:type="spellStart"/>
            <w:r w:rsidRPr="006A6890">
              <w:rPr>
                <w:rFonts w:asciiTheme="minorHAnsi" w:hAnsiTheme="minorHAnsi"/>
              </w:rPr>
              <w:t>Hpt</w:t>
            </w:r>
            <w:proofErr w:type="spellEnd"/>
            <w:r w:rsidRPr="006A6890">
              <w:rPr>
                <w:rFonts w:asciiTheme="minorHAnsi" w:hAnsiTheme="minorHAnsi"/>
              </w:rPr>
              <w:t xml:space="preserve">,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xml:space="preserve">- a hitelintézet valószínűsíthetően </w:t>
            </w:r>
            <w:proofErr w:type="spellStart"/>
            <w:r w:rsidRPr="006A6890">
              <w:rPr>
                <w:rFonts w:asciiTheme="minorHAnsi" w:hAnsiTheme="minorHAnsi"/>
              </w:rPr>
              <w:t>alulbecsli</w:t>
            </w:r>
            <w:proofErr w:type="spellEnd"/>
            <w:r w:rsidRPr="006A6890">
              <w:rPr>
                <w:rFonts w:asciiTheme="minorHAnsi" w:hAnsiTheme="minorHAnsi"/>
              </w:rPr>
              <w:t xml:space="preserve">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8" w14:textId="15E798B8" w:rsidR="00F21C76" w:rsidRPr="006A6890" w:rsidRDefault="00F21C76" w:rsidP="00181755">
            <w:pPr>
              <w:rPr>
                <w:rFonts w:asciiTheme="minorHAnsi" w:hAnsiTheme="minorHAnsi"/>
              </w:rPr>
            </w:pPr>
            <w:r w:rsidRPr="006A6890">
              <w:rPr>
                <w:rFonts w:asciiTheme="minorHAnsi" w:hAnsiTheme="minorHAnsi"/>
              </w:rPr>
              <w:t>A hitelintézet számára előírt többlet</w:t>
            </w:r>
            <w:r w:rsidR="008D7D57" w:rsidRPr="006A6890">
              <w:rPr>
                <w:rFonts w:asciiTheme="minorHAnsi" w:hAnsiTheme="minorHAnsi"/>
              </w:rPr>
              <w:t>-</w:t>
            </w:r>
            <w:r w:rsidRPr="006A6890">
              <w:rPr>
                <w:rFonts w:asciiTheme="minorHAnsi" w:hAnsiTheme="minorHAnsi"/>
              </w:rPr>
              <w:t xml:space="preserve">tőkekövetelmény nem lehet magasabb, mint a 79. § (2) bekezdés </w:t>
            </w:r>
            <w:r w:rsidRPr="006A6890">
              <w:rPr>
                <w:rFonts w:asciiTheme="minorHAnsi" w:hAnsiTheme="minorHAnsi"/>
                <w:i/>
                <w:iCs/>
              </w:rPr>
              <w:t xml:space="preserve">a) </w:t>
            </w:r>
            <w:r w:rsidRPr="006A6890">
              <w:rPr>
                <w:rFonts w:asciiTheme="minorHAnsi" w:hAnsiTheme="minorHAnsi"/>
              </w:rPr>
              <w:t>pontja szerinti tőkekövetelmény másfélszerese.</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lastRenderedPageBreak/>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19"/>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0"/>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xml:space="preserve">.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Heading3"/>
        <w:ind w:left="0" w:firstLine="0"/>
        <w:rPr>
          <w:rFonts w:asciiTheme="minorHAnsi" w:hAnsiTheme="minorHAnsi"/>
        </w:rPr>
      </w:pPr>
      <w:r w:rsidRPr="006A6890">
        <w:rPr>
          <w:rFonts w:asciiTheme="minorHAnsi" w:hAnsiTheme="minorHAnsi"/>
        </w:rPr>
        <w:br w:type="page"/>
      </w:r>
      <w:bookmarkStart w:id="430" w:name="_Toc461095183"/>
      <w:bookmarkStart w:id="431" w:name="_Toc461179839"/>
      <w:bookmarkStart w:id="432" w:name="_Toc461201282"/>
      <w:bookmarkStart w:id="433" w:name="_Toc461547913"/>
      <w:bookmarkStart w:id="434" w:name="_Toc462401941"/>
      <w:bookmarkStart w:id="435" w:name="_Toc462403062"/>
      <w:bookmarkStart w:id="436" w:name="_Toc462403387"/>
      <w:bookmarkStart w:id="437" w:name="_Toc468180506"/>
      <w:bookmarkStart w:id="438" w:name="_Toc468181038"/>
      <w:bookmarkStart w:id="439" w:name="_Toc468191428"/>
      <w:bookmarkStart w:id="440" w:name="_Toc27138936"/>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w:t>
      </w:r>
      <w:proofErr w:type="spellStart"/>
      <w:r w:rsidR="0094566C" w:rsidRPr="006A6890">
        <w:rPr>
          <w:rFonts w:asciiTheme="minorHAnsi" w:hAnsiTheme="minorHAnsi"/>
          <w:lang w:val="hu-HU"/>
        </w:rPr>
        <w:t>SREP</w:t>
      </w:r>
      <w:proofErr w:type="spellEnd"/>
      <w:r w:rsidR="0094566C" w:rsidRPr="006A6890">
        <w:rPr>
          <w:rFonts w:asciiTheme="minorHAnsi" w:hAnsiTheme="minorHAnsi"/>
          <w:lang w:val="hu-HU"/>
        </w:rPr>
        <w:t xml:space="preserve">)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30"/>
      <w:bookmarkEnd w:id="431"/>
      <w:bookmarkEnd w:id="432"/>
      <w:bookmarkEnd w:id="433"/>
      <w:bookmarkEnd w:id="434"/>
      <w:bookmarkEnd w:id="435"/>
      <w:bookmarkEnd w:id="436"/>
      <w:bookmarkEnd w:id="437"/>
      <w:bookmarkEnd w:id="438"/>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77777777" w:rsidR="003F29E3" w:rsidRPr="006A6890" w:rsidRDefault="003F29E3" w:rsidP="00181755">
            <w:pPr>
              <w:rPr>
                <w:rFonts w:asciiTheme="minorHAnsi" w:hAnsiTheme="minorHAnsi"/>
                <w:b/>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w:t>
            </w:r>
            <w:proofErr w:type="spellStart"/>
            <w:r w:rsidRPr="006A6890">
              <w:rPr>
                <w:rFonts w:asciiTheme="minorHAnsi" w:hAnsiTheme="minorHAnsi"/>
              </w:rPr>
              <w:t>Bszt</w:t>
            </w:r>
            <w:proofErr w:type="spellEnd"/>
            <w:r w:rsidRPr="006A6890">
              <w:rPr>
                <w:rFonts w:asciiTheme="minorHAnsi" w:hAnsiTheme="minorHAnsi"/>
              </w:rPr>
              <w: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w:t>
            </w:r>
            <w:proofErr w:type="spellStart"/>
            <w:r w:rsidRPr="006A6890">
              <w:rPr>
                <w:rFonts w:asciiTheme="minorHAnsi" w:hAnsiTheme="minorHAnsi"/>
                <w:i/>
              </w:rPr>
              <w:t>Bszt</w:t>
            </w:r>
            <w:proofErr w:type="spellEnd"/>
            <w:r w:rsidRPr="006A6890">
              <w:rPr>
                <w:rFonts w:asciiTheme="minorHAnsi" w:hAnsiTheme="minorHAnsi"/>
                <w:i/>
              </w:rPr>
              <w: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 (</w:t>
            </w:r>
            <w:proofErr w:type="spellStart"/>
            <w:r w:rsidRPr="006A6890">
              <w:rPr>
                <w:rFonts w:asciiTheme="minorHAnsi" w:hAnsiTheme="minorHAnsi"/>
              </w:rPr>
              <w:t>Bszt</w:t>
            </w:r>
            <w:proofErr w:type="spellEnd"/>
            <w:r w:rsidRPr="006A6890">
              <w:rPr>
                <w:rFonts w:asciiTheme="minorHAnsi" w:hAnsiTheme="minorHAnsi"/>
              </w:rPr>
              <w: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proofErr w:type="spellStart"/>
            <w:r w:rsidRPr="006A6890">
              <w:rPr>
                <w:rFonts w:asciiTheme="minorHAnsi" w:hAnsiTheme="minorHAnsi"/>
              </w:rPr>
              <w:t>Bszt</w:t>
            </w:r>
            <w:proofErr w:type="spellEnd"/>
            <w:r w:rsidRPr="006A6890">
              <w:rPr>
                <w:rFonts w:asciiTheme="minorHAnsi" w:hAnsiTheme="minorHAnsi"/>
              </w:rPr>
              <w: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1"/>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befektetési vállalkozás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1BB6E84E"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w:t>
      </w:r>
      <w:proofErr w:type="spellStart"/>
      <w:r w:rsidR="004B7E48" w:rsidRPr="006A6890">
        <w:rPr>
          <w:rFonts w:asciiTheme="minorHAnsi" w:hAnsiTheme="minorHAnsi"/>
        </w:rPr>
        <w:t>együttdöntési</w:t>
      </w:r>
      <w:proofErr w:type="spellEnd"/>
      <w:r w:rsidR="004B7E48" w:rsidRPr="006A6890">
        <w:rPr>
          <w:rFonts w:asciiTheme="minorHAnsi" w:hAnsiTheme="minorHAnsi"/>
        </w:rPr>
        <w:t xml:space="preserve"> eljárás </w:t>
      </w:r>
      <w:r w:rsidRPr="006A6890">
        <w:rPr>
          <w:rFonts w:asciiTheme="minorHAnsi" w:hAnsiTheme="minorHAnsi"/>
        </w:rPr>
        <w:t>esetén a</w:t>
      </w:r>
      <w:r w:rsidR="00FE477C" w:rsidRPr="006A6890">
        <w:rPr>
          <w:rFonts w:asciiTheme="minorHAnsi" w:hAnsiTheme="minorHAnsi"/>
        </w:rPr>
        <w:t xml:space="preserve"> </w:t>
      </w:r>
      <w:proofErr w:type="spellStart"/>
      <w:r w:rsidR="00FE477C" w:rsidRPr="006A6890">
        <w:rPr>
          <w:rFonts w:asciiTheme="minorHAnsi" w:hAnsiTheme="minorHAnsi"/>
        </w:rPr>
        <w:t>SREP</w:t>
      </w:r>
      <w:proofErr w:type="spellEnd"/>
      <w:r w:rsidR="00FE477C" w:rsidRPr="006A6890">
        <w:rPr>
          <w:rFonts w:asciiTheme="minorHAnsi" w:hAnsiTheme="minorHAnsi"/>
        </w:rPr>
        <w:t xml:space="preserve"> értékelési folyamat (melynek részét képezik a</w:t>
      </w:r>
      <w:r w:rsidRPr="006A6890">
        <w:rPr>
          <w:rFonts w:asciiTheme="minorHAnsi" w:hAnsiTheme="minorHAnsi"/>
        </w:rPr>
        <w:t xml:space="preserve">z ICAAP és </w:t>
      </w:r>
      <w:proofErr w:type="spellStart"/>
      <w:r w:rsidRPr="006A6890">
        <w:rPr>
          <w:rFonts w:asciiTheme="minorHAnsi" w:hAnsiTheme="minorHAnsi"/>
        </w:rPr>
        <w:t>ILAAP</w:t>
      </w:r>
      <w:proofErr w:type="spellEnd"/>
      <w:r w:rsidRPr="006A6890">
        <w:rPr>
          <w:rFonts w:asciiTheme="minorHAnsi" w:hAnsiTheme="minorHAnsi"/>
        </w:rPr>
        <w:t xml:space="preserve">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w:t>
      </w:r>
      <w:proofErr w:type="spellStart"/>
      <w:r w:rsidRPr="006A6890">
        <w:rPr>
          <w:rFonts w:asciiTheme="minorHAnsi" w:hAnsiTheme="minorHAnsi"/>
        </w:rPr>
        <w:t>home</w:t>
      </w:r>
      <w:proofErr w:type="spellEnd"/>
      <w:r w:rsidRPr="006A6890">
        <w:rPr>
          <w:rFonts w:asciiTheme="minorHAnsi" w:hAnsiTheme="minorHAnsi"/>
        </w:rPr>
        <w:t xml:space="preserve">” felügyeleti ország jogrendjében elfogadott formában az érintett nemzeti felügyeletek joghatósága alatt közvetlen módon </w:t>
      </w:r>
      <w:proofErr w:type="spellStart"/>
      <w:r w:rsidRPr="006A6890">
        <w:rPr>
          <w:rFonts w:asciiTheme="minorHAnsi" w:hAnsiTheme="minorHAnsi"/>
        </w:rPr>
        <w:t>hatályosul</w:t>
      </w:r>
      <w:proofErr w:type="spellEnd"/>
      <w:r w:rsidR="004B7E48" w:rsidRPr="006A6890">
        <w:rPr>
          <w:rFonts w:asciiTheme="minorHAnsi" w:hAnsiTheme="minorHAnsi"/>
        </w:rPr>
        <w:t>.</w:t>
      </w:r>
      <w:r w:rsidRPr="006A6890">
        <w:rPr>
          <w:rFonts w:asciiTheme="minorHAnsi" w:hAnsiTheme="minorHAnsi"/>
        </w:rPr>
        <w:footnoteReference w:id="22"/>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 xml:space="preserve">csoport legfelső vezetését, az érintett társfelügyeletek pedig az illetékességi körükbe tartozó leányvállalatokat mindazonáltal </w:t>
      </w:r>
      <w:proofErr w:type="spellStart"/>
      <w:r w:rsidRPr="006A6890">
        <w:rPr>
          <w:rFonts w:asciiTheme="minorHAnsi" w:hAnsiTheme="minorHAnsi"/>
        </w:rPr>
        <w:t>prudenciális</w:t>
      </w:r>
      <w:proofErr w:type="spellEnd"/>
      <w:r w:rsidRPr="006A6890">
        <w:rPr>
          <w:rFonts w:asciiTheme="minorHAnsi" w:hAnsiTheme="minorHAnsi"/>
        </w:rPr>
        <w:t xml:space="preserve"> levélben is tájékoztatják a közös kockázatértékelés eredményéről, a </w:t>
      </w:r>
      <w:r w:rsidR="00E6018B" w:rsidRPr="006A6890">
        <w:rPr>
          <w:rFonts w:asciiTheme="minorHAnsi" w:hAnsiTheme="minorHAnsi"/>
        </w:rPr>
        <w:t xml:space="preserve">teljes </w:t>
      </w:r>
      <w:proofErr w:type="spellStart"/>
      <w:r w:rsidR="00E6018B" w:rsidRPr="006A6890">
        <w:rPr>
          <w:rFonts w:asciiTheme="minorHAnsi" w:hAnsiTheme="minorHAnsi"/>
        </w:rPr>
        <w:t>SREP</w:t>
      </w:r>
      <w:proofErr w:type="spellEnd"/>
      <w:r w:rsidR="00E6018B" w:rsidRPr="006A6890">
        <w:rPr>
          <w:rFonts w:asciiTheme="minorHAnsi" w:hAnsiTheme="minorHAnsi"/>
        </w:rPr>
        <w:t xml:space="preserve"> tőkemutató</w:t>
      </w:r>
      <w:r w:rsidRPr="006A6890">
        <w:rPr>
          <w:rFonts w:asciiTheme="minorHAnsi" w:hAnsiTheme="minorHAnsi"/>
        </w:rPr>
        <w:t xml:space="preserve"> minimálisan előírt szintjéről, továbbá a releváns kockázatcsökkentő intézkedésekről.</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illetve </w:t>
      </w:r>
      <w:proofErr w:type="spellStart"/>
      <w:r w:rsidRPr="006A6890">
        <w:rPr>
          <w:rFonts w:asciiTheme="minorHAnsi" w:hAnsiTheme="minorHAnsi"/>
        </w:rPr>
        <w:t>ILAAP</w:t>
      </w:r>
      <w:proofErr w:type="spellEnd"/>
      <w:r w:rsidRPr="006A6890">
        <w:rPr>
          <w:rFonts w:asciiTheme="minorHAnsi" w:hAnsiTheme="minorHAnsi"/>
        </w:rPr>
        <w:t xml:space="preserve"> felügyeleti felülvizsgálati jelentés jellemzően számos olyan kockázatkezelési és módszertani elvárást megfogalmazhat, melyek teljesítésének határideje megelőzi a következő felülvizsgálat kezdetét. </w:t>
      </w:r>
      <w:r w:rsidRPr="006A6890">
        <w:rPr>
          <w:rFonts w:asciiTheme="minorHAnsi" w:hAnsiTheme="minorHAnsi"/>
        </w:rPr>
        <w:lastRenderedPageBreak/>
        <w:t>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proofErr w:type="spellStart"/>
      <w:r w:rsidR="0071509E" w:rsidRPr="006A6890">
        <w:rPr>
          <w:rFonts w:asciiTheme="minorHAnsi" w:hAnsiTheme="minorHAnsi"/>
        </w:rPr>
        <w:t>TSCR</w:t>
      </w:r>
      <w:proofErr w:type="spellEnd"/>
      <w:r w:rsidR="0071509E" w:rsidRPr="006A6890">
        <w:rPr>
          <w:rFonts w:asciiTheme="minorHAnsi" w:hAnsiTheme="minorHAnsi"/>
        </w:rPr>
        <w:t xml:space="preserve"> ráta</w:t>
      </w:r>
      <w:r w:rsidR="00E6018B" w:rsidRPr="006A6890">
        <w:rPr>
          <w:rFonts w:asciiTheme="minorHAnsi" w:hAnsiTheme="minorHAnsi"/>
        </w:rPr>
        <w:t xml:space="preserve"> időközi felülvizsgálata kapcsán mérlegeli a körülmények változásának tőkekövetelményre gyakorolt hatásának </w:t>
      </w:r>
      <w:proofErr w:type="spellStart"/>
      <w:r w:rsidR="00E6018B" w:rsidRPr="006A6890">
        <w:rPr>
          <w:rFonts w:asciiTheme="minorHAnsi" w:hAnsiTheme="minorHAnsi"/>
        </w:rPr>
        <w:t>materialitását</w:t>
      </w:r>
      <w:proofErr w:type="spellEnd"/>
      <w:r w:rsidR="00E6018B" w:rsidRPr="006A6890">
        <w:rPr>
          <w:rFonts w:asciiTheme="minorHAnsi" w:hAnsiTheme="minorHAnsi"/>
        </w:rPr>
        <w:t xml:space="preserve">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41" w:name="_Toc286929918"/>
      <w:bookmarkStart w:id="442" w:name="_Toc325034474"/>
      <w:bookmarkStart w:id="443"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proofErr w:type="spellStart"/>
      <w:r w:rsidR="00FA4EA5" w:rsidRPr="006A6890">
        <w:rPr>
          <w:rFonts w:asciiTheme="minorHAnsi" w:hAnsiTheme="minorHAnsi"/>
        </w:rPr>
        <w:t>BMA</w:t>
      </w:r>
      <w:proofErr w:type="spellEnd"/>
      <w:r w:rsidR="00FA4EA5" w:rsidRPr="006A6890">
        <w:rPr>
          <w:rFonts w:asciiTheme="minorHAnsi" w:hAnsiTheme="minorHAnsi"/>
        </w:rPr>
        <w:t>,</w:t>
      </w:r>
      <w:r w:rsidRPr="006A6890">
        <w:rPr>
          <w:rFonts w:asciiTheme="minorHAnsi" w:hAnsiTheme="minorHAnsi"/>
        </w:rPr>
        <w:t xml:space="preserve"> illetve </w:t>
      </w:r>
      <w:proofErr w:type="spellStart"/>
      <w:r w:rsidRPr="006A6890">
        <w:rPr>
          <w:rFonts w:asciiTheme="minorHAnsi" w:hAnsiTheme="minorHAnsi"/>
        </w:rPr>
        <w:t>ILAAP</w:t>
      </w:r>
      <w:proofErr w:type="spellEnd"/>
      <w:r w:rsidRPr="006A6890">
        <w:rPr>
          <w:rFonts w:asciiTheme="minorHAnsi" w:hAnsiTheme="minorHAnsi"/>
        </w:rPr>
        <w:t xml:space="preserve"> felülvizsgálat keretében, vagy a lezárás során meghatározott konkrét időpontot követően kerül sor</w:t>
      </w:r>
      <w:bookmarkEnd w:id="441"/>
      <w:r w:rsidRPr="006A6890">
        <w:rPr>
          <w:rFonts w:asciiTheme="minorHAnsi" w:hAnsiTheme="minorHAnsi"/>
        </w:rPr>
        <w:t>.</w:t>
      </w:r>
      <w:bookmarkEnd w:id="442"/>
      <w:bookmarkEnd w:id="443"/>
    </w:p>
    <w:p w14:paraId="339BA100" w14:textId="2B2F3C79" w:rsidR="003F29E3" w:rsidRPr="006A6890" w:rsidRDefault="00AB47CB" w:rsidP="008F2D8B">
      <w:pPr>
        <w:pStyle w:val="Heading2"/>
        <w:rPr>
          <w:rFonts w:asciiTheme="minorHAnsi" w:hAnsiTheme="minorHAnsi"/>
        </w:rPr>
      </w:pPr>
      <w:bookmarkStart w:id="444" w:name="_Toc461195777"/>
      <w:bookmarkStart w:id="445" w:name="_Toc461524860"/>
      <w:bookmarkStart w:id="446" w:name="_Toc461547914"/>
      <w:bookmarkStart w:id="447" w:name="_Toc461550204"/>
      <w:bookmarkStart w:id="448" w:name="_Toc462401942"/>
      <w:bookmarkStart w:id="449" w:name="_Toc462403063"/>
      <w:bookmarkStart w:id="450" w:name="_Toc462403388"/>
      <w:bookmarkStart w:id="451" w:name="_Toc462403817"/>
      <w:bookmarkStart w:id="452" w:name="_Toc462645685"/>
      <w:bookmarkStart w:id="453" w:name="_Toc468180507"/>
      <w:bookmarkStart w:id="454" w:name="_Toc468181039"/>
      <w:bookmarkStart w:id="455" w:name="_Toc461095184"/>
      <w:bookmarkStart w:id="456" w:name="_Toc461547915"/>
      <w:bookmarkStart w:id="457" w:name="_Toc462401943"/>
      <w:bookmarkStart w:id="458" w:name="_Toc462403064"/>
      <w:bookmarkStart w:id="459" w:name="_Toc462403389"/>
      <w:bookmarkStart w:id="460" w:name="_Toc468180508"/>
      <w:bookmarkStart w:id="461" w:name="_Toc468181040"/>
      <w:bookmarkStart w:id="462" w:name="_Toc468191429"/>
      <w:bookmarkStart w:id="463" w:name="_Toc27138937"/>
      <w:bookmarkStart w:id="464" w:name="_Toc461179214"/>
      <w:bookmarkStart w:id="465" w:name="_Toc461179840"/>
      <w:bookmarkEnd w:id="444"/>
      <w:bookmarkEnd w:id="445"/>
      <w:bookmarkEnd w:id="446"/>
      <w:bookmarkEnd w:id="447"/>
      <w:bookmarkEnd w:id="448"/>
      <w:bookmarkEnd w:id="449"/>
      <w:bookmarkEnd w:id="450"/>
      <w:bookmarkEnd w:id="451"/>
      <w:bookmarkEnd w:id="452"/>
      <w:bookmarkEnd w:id="453"/>
      <w:bookmarkEnd w:id="454"/>
      <w:r w:rsidRPr="006A6890">
        <w:rPr>
          <w:rFonts w:asciiTheme="minorHAnsi" w:hAnsiTheme="minorHAnsi"/>
        </w:rPr>
        <w:t xml:space="preserve">Éves értékelés a </w:t>
      </w:r>
      <w:r w:rsidR="003C4C89" w:rsidRPr="006A6890">
        <w:rPr>
          <w:rFonts w:asciiTheme="minorHAnsi" w:hAnsiTheme="minorHAnsi"/>
        </w:rPr>
        <w:t xml:space="preserve">teljes </w:t>
      </w:r>
      <w:proofErr w:type="spellStart"/>
      <w:r w:rsidR="003C4C89" w:rsidRPr="006A6890">
        <w:rPr>
          <w:rFonts w:asciiTheme="minorHAnsi" w:hAnsiTheme="minorHAnsi"/>
        </w:rPr>
        <w:t>SREP</w:t>
      </w:r>
      <w:proofErr w:type="spellEnd"/>
      <w:r w:rsidR="003C4C89" w:rsidRPr="006A6890">
        <w:rPr>
          <w:rFonts w:asciiTheme="minorHAnsi" w:hAnsiTheme="minorHAnsi"/>
        </w:rPr>
        <w:t xml:space="preserve"> folyamat tapasztalatairól a intézmények </w:t>
      </w:r>
      <w:bookmarkEnd w:id="455"/>
      <w:bookmarkEnd w:id="456"/>
      <w:bookmarkEnd w:id="457"/>
      <w:bookmarkEnd w:id="458"/>
      <w:bookmarkEnd w:id="459"/>
      <w:bookmarkEnd w:id="460"/>
      <w:bookmarkEnd w:id="461"/>
      <w:bookmarkEnd w:id="462"/>
      <w:r w:rsidR="00C63206" w:rsidRPr="006A6890">
        <w:rPr>
          <w:rFonts w:asciiTheme="minorHAnsi" w:hAnsiTheme="minorHAnsi"/>
          <w:lang w:val="hu-HU"/>
        </w:rPr>
        <w:t>részére</w:t>
      </w:r>
      <w:bookmarkEnd w:id="463"/>
    </w:p>
    <w:bookmarkEnd w:id="464"/>
    <w:bookmarkEnd w:id="465"/>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w:t>
      </w:r>
      <w:proofErr w:type="spellStart"/>
      <w:r w:rsidRPr="006A6890">
        <w:rPr>
          <w:rFonts w:asciiTheme="minorHAnsi" w:hAnsiTheme="minorHAnsi"/>
        </w:rPr>
        <w:t>intézményenként</w:t>
      </w:r>
      <w:proofErr w:type="spellEnd"/>
      <w:r w:rsidRPr="006A6890">
        <w:rPr>
          <w:rFonts w:asciiTheme="minorHAnsi" w:hAnsiTheme="minorHAnsi"/>
        </w:rPr>
        <w:t xml:space="preserve"> tájékoztatja a felsővezetőket a teljes </w:t>
      </w:r>
      <w:proofErr w:type="spellStart"/>
      <w:r w:rsidRPr="006A6890">
        <w:rPr>
          <w:rFonts w:asciiTheme="minorHAnsi" w:hAnsiTheme="minorHAnsi"/>
        </w:rPr>
        <w:t>SREP</w:t>
      </w:r>
      <w:proofErr w:type="spellEnd"/>
      <w:r w:rsidRPr="006A6890">
        <w:rPr>
          <w:rFonts w:asciiTheme="minorHAnsi" w:hAnsiTheme="minorHAnsi"/>
        </w:rPr>
        <w:t xml:space="preserve"> folyamat eredményeiről, a vizsgálatok fő megállapításairól, valamint a folyamatos felügyelés során azonosított tapasztalatokról. </w:t>
      </w:r>
    </w:p>
    <w:p w14:paraId="66B152F7" w14:textId="02F022C3"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466" w:name="_III._Az_ICAAP"/>
      <w:bookmarkStart w:id="467" w:name="_Toc156101215"/>
      <w:bookmarkStart w:id="468" w:name="_Toc378256224"/>
      <w:bookmarkStart w:id="469" w:name="_Toc378592032"/>
      <w:bookmarkStart w:id="470" w:name="_Toc461095185"/>
      <w:bookmarkStart w:id="471" w:name="_Toc461179215"/>
      <w:bookmarkStart w:id="472" w:name="_Toc461179841"/>
      <w:bookmarkStart w:id="473" w:name="_Toc461197756"/>
      <w:bookmarkStart w:id="474" w:name="_Toc461201284"/>
      <w:bookmarkStart w:id="475" w:name="_Toc461547916"/>
      <w:bookmarkStart w:id="476" w:name="_Toc462401944"/>
      <w:bookmarkStart w:id="477" w:name="_Toc462403065"/>
      <w:bookmarkStart w:id="478" w:name="_Toc462403390"/>
      <w:bookmarkStart w:id="479" w:name="_Toc468180509"/>
      <w:bookmarkStart w:id="480" w:name="_Toc468181041"/>
      <w:bookmarkStart w:id="481" w:name="_Toc468191430"/>
      <w:bookmarkStart w:id="482" w:name="_Toc27138938"/>
      <w:bookmarkEnd w:id="466"/>
      <w:r w:rsidRPr="006A6890">
        <w:rPr>
          <w:rFonts w:asciiTheme="minorHAnsi" w:hAnsiTheme="minorHAnsi"/>
        </w:rPr>
        <w:lastRenderedPageBreak/>
        <w:t>Az ICAAP összetevői</w:t>
      </w:r>
      <w:bookmarkEnd w:id="467"/>
      <w:bookmarkEnd w:id="468"/>
      <w:bookmarkEnd w:id="469"/>
      <w:r w:rsidRPr="006A6890">
        <w:rPr>
          <w:rFonts w:asciiTheme="minorHAnsi" w:hAnsiTheme="minorHAnsi"/>
        </w:rPr>
        <w:t xml:space="preserve"> és felügyeleti felülvizsgálat</w:t>
      </w:r>
      <w:r w:rsidR="00543F79" w:rsidRPr="006A6890">
        <w:rPr>
          <w:rFonts w:asciiTheme="minorHAnsi" w:hAnsiTheme="minorHAnsi"/>
        </w:rPr>
        <w:t>a</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28F22359" w14:textId="77777777" w:rsidR="00073510" w:rsidRPr="006A6890" w:rsidRDefault="00073510" w:rsidP="008F2D8B">
      <w:pPr>
        <w:pStyle w:val="Heading2"/>
        <w:rPr>
          <w:rFonts w:asciiTheme="minorHAnsi" w:hAnsiTheme="minorHAnsi"/>
        </w:rPr>
      </w:pPr>
      <w:bookmarkStart w:id="483" w:name="_Toc461195780"/>
      <w:bookmarkStart w:id="484" w:name="_Toc461524863"/>
      <w:bookmarkStart w:id="485" w:name="_Toc461547917"/>
      <w:bookmarkStart w:id="486" w:name="_Toc461550207"/>
      <w:bookmarkStart w:id="487" w:name="_Toc462401945"/>
      <w:bookmarkStart w:id="488" w:name="_Toc462403066"/>
      <w:bookmarkStart w:id="489" w:name="_Toc462403391"/>
      <w:bookmarkStart w:id="490" w:name="_Toc462403820"/>
      <w:bookmarkStart w:id="491" w:name="_Toc462645688"/>
      <w:bookmarkStart w:id="492" w:name="_Toc468180510"/>
      <w:bookmarkStart w:id="493" w:name="_Toc468181042"/>
      <w:bookmarkStart w:id="494" w:name="_Toc462401946"/>
      <w:bookmarkStart w:id="495" w:name="_Toc462403067"/>
      <w:bookmarkStart w:id="496" w:name="_Toc462403392"/>
      <w:bookmarkStart w:id="497" w:name="_Toc468180511"/>
      <w:bookmarkStart w:id="498" w:name="_Toc468181043"/>
      <w:bookmarkStart w:id="499" w:name="_Toc468191431"/>
      <w:bookmarkStart w:id="500" w:name="_Toc27138939"/>
      <w:bookmarkStart w:id="501" w:name="_Toc461095186"/>
      <w:bookmarkStart w:id="502" w:name="_Toc461547918"/>
      <w:bookmarkStart w:id="503" w:name="_Toc461179216"/>
      <w:bookmarkStart w:id="504" w:name="_Toc461179842"/>
      <w:bookmarkEnd w:id="483"/>
      <w:bookmarkEnd w:id="484"/>
      <w:bookmarkEnd w:id="485"/>
      <w:bookmarkEnd w:id="486"/>
      <w:bookmarkEnd w:id="487"/>
      <w:bookmarkEnd w:id="488"/>
      <w:bookmarkEnd w:id="489"/>
      <w:bookmarkEnd w:id="490"/>
      <w:bookmarkEnd w:id="491"/>
      <w:bookmarkEnd w:id="492"/>
      <w:bookmarkEnd w:id="493"/>
      <w:r w:rsidRPr="006A6890">
        <w:rPr>
          <w:rFonts w:asciiTheme="minorHAnsi" w:hAnsiTheme="minorHAnsi"/>
          <w:lang w:val="hu-HU"/>
        </w:rPr>
        <w:t>ICAAP</w:t>
      </w:r>
      <w:r w:rsidRPr="006A6890">
        <w:rPr>
          <w:rFonts w:asciiTheme="minorHAnsi" w:hAnsiTheme="minorHAnsi"/>
        </w:rPr>
        <w:t xml:space="preserve"> irányítás és kontrollrendszerek – kockázatkezelés</w:t>
      </w:r>
      <w:bookmarkEnd w:id="494"/>
      <w:bookmarkEnd w:id="495"/>
      <w:bookmarkEnd w:id="496"/>
      <w:bookmarkEnd w:id="497"/>
      <w:bookmarkEnd w:id="498"/>
      <w:bookmarkEnd w:id="499"/>
      <w:bookmarkEnd w:id="500"/>
    </w:p>
    <w:p w14:paraId="6C42CB38" w14:textId="3346248F" w:rsidR="00073510" w:rsidRPr="006A6890" w:rsidRDefault="00073510" w:rsidP="00AA57CA">
      <w:pPr>
        <w:rPr>
          <w:rFonts w:asciiTheme="minorHAnsi" w:hAnsiTheme="minorHAnsi"/>
        </w:rPr>
      </w:pPr>
      <w:r w:rsidRPr="006A6890">
        <w:rPr>
          <w:rFonts w:asciiTheme="minorHAnsi" w:hAnsiTheme="minorHAnsi"/>
        </w:rPr>
        <w:t xml:space="preserve">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w:t>
      </w:r>
      <w:proofErr w:type="spellStart"/>
      <w:r w:rsidRPr="006A6890">
        <w:rPr>
          <w:rFonts w:asciiTheme="minorHAnsi" w:hAnsiTheme="minorHAnsi"/>
        </w:rPr>
        <w:t>Bszt</w:t>
      </w:r>
      <w:proofErr w:type="spellEnd"/>
      <w:r w:rsidRPr="006A6890">
        <w:rPr>
          <w:rFonts w:asciiTheme="minorHAnsi" w:hAnsiTheme="minorHAnsi"/>
        </w:rPr>
        <w:t xml:space="preserve">. és a belső védelmi vonalak kialakításáról és működtetéséről, a pénzügyi szervezetek irányítási és kontroll funkcióiról szóló MNB ajánlás tartalmaz. Jelen kézikönyvben a </w:t>
      </w:r>
      <w:proofErr w:type="spellStart"/>
      <w:r w:rsidRPr="006A6890">
        <w:rPr>
          <w:rFonts w:asciiTheme="minorHAnsi" w:hAnsiTheme="minorHAnsi"/>
        </w:rPr>
        <w:t>SREP</w:t>
      </w:r>
      <w:proofErr w:type="spellEnd"/>
      <w:r w:rsidRPr="006A6890">
        <w:rPr>
          <w:rFonts w:asciiTheme="minorHAnsi" w:hAnsiTheme="minorHAnsi"/>
        </w:rPr>
        <w:t xml:space="preserve"> folyamat ICAAP felülvizsgálat keretében elvégzett ICAAP vállalatirányítási elvárások összefoglalása található.</w:t>
      </w:r>
    </w:p>
    <w:p w14:paraId="032C23B4" w14:textId="77777777" w:rsidR="00073510" w:rsidRPr="006A6890" w:rsidRDefault="00073510" w:rsidP="00181755">
      <w:pPr>
        <w:pStyle w:val="Heading3"/>
        <w:rPr>
          <w:rFonts w:asciiTheme="minorHAnsi" w:hAnsiTheme="minorHAnsi"/>
        </w:rPr>
      </w:pPr>
      <w:bookmarkStart w:id="505" w:name="_Toc462401947"/>
      <w:bookmarkStart w:id="506" w:name="_Toc462403068"/>
      <w:bookmarkStart w:id="507" w:name="_Toc462403393"/>
      <w:bookmarkStart w:id="508" w:name="_Toc468180512"/>
      <w:bookmarkStart w:id="509" w:name="_Toc468181044"/>
      <w:bookmarkStart w:id="510" w:name="_Toc468191432"/>
      <w:bookmarkStart w:id="511" w:name="_Toc27138940"/>
      <w:r w:rsidRPr="006A6890">
        <w:rPr>
          <w:rFonts w:asciiTheme="minorHAnsi" w:hAnsiTheme="minorHAnsi"/>
          <w:lang w:val="hu-HU"/>
        </w:rPr>
        <w:t>ICAAP tudatosság</w:t>
      </w:r>
      <w:bookmarkEnd w:id="505"/>
      <w:bookmarkEnd w:id="506"/>
      <w:bookmarkEnd w:id="507"/>
      <w:bookmarkEnd w:id="508"/>
      <w:bookmarkEnd w:id="509"/>
      <w:bookmarkEnd w:id="510"/>
      <w:bookmarkEnd w:id="511"/>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 xml:space="preserve">alulról felfelé és </w:t>
      </w:r>
      <w:proofErr w:type="spellStart"/>
      <w:r w:rsidRPr="006A6890">
        <w:rPr>
          <w:rFonts w:asciiTheme="minorHAnsi" w:hAnsiTheme="minorHAnsi"/>
        </w:rPr>
        <w:t>felülről</w:t>
      </w:r>
      <w:proofErr w:type="spellEnd"/>
      <w:r w:rsidRPr="006A6890">
        <w:rPr>
          <w:rFonts w:asciiTheme="minorHAnsi" w:hAnsiTheme="minorHAnsi"/>
        </w:rPr>
        <w:t xml:space="preserve">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w:t>
      </w:r>
      <w:proofErr w:type="spellStart"/>
      <w:r w:rsidR="00F661F6" w:rsidRPr="006A6890">
        <w:rPr>
          <w:rFonts w:asciiTheme="minorHAnsi" w:hAnsiTheme="minorHAnsi"/>
        </w:rPr>
        <w:t>TREA</w:t>
      </w:r>
      <w:proofErr w:type="spellEnd"/>
      <w:r w:rsidR="00F661F6" w:rsidRPr="006A6890">
        <w:rPr>
          <w:rFonts w:asciiTheme="minorHAnsi" w:hAnsiTheme="minorHAnsi"/>
        </w:rPr>
        <w:t xml:space="preserve">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Heading3"/>
        <w:rPr>
          <w:rFonts w:asciiTheme="minorHAnsi" w:hAnsiTheme="minorHAnsi"/>
        </w:rPr>
      </w:pPr>
      <w:bookmarkStart w:id="512" w:name="_Toc462401948"/>
      <w:bookmarkStart w:id="513" w:name="_Toc462403069"/>
      <w:bookmarkStart w:id="514" w:name="_Toc462403394"/>
      <w:bookmarkStart w:id="515" w:name="_Toc468180513"/>
      <w:bookmarkStart w:id="516" w:name="_Toc468181045"/>
      <w:bookmarkStart w:id="517" w:name="_Toc468191433"/>
      <w:bookmarkStart w:id="518" w:name="_Toc27138941"/>
      <w:r w:rsidRPr="006A6890">
        <w:rPr>
          <w:rFonts w:asciiTheme="minorHAnsi" w:hAnsiTheme="minorHAnsi"/>
          <w:lang w:val="hu-HU"/>
        </w:rPr>
        <w:t>ICAAP szabályozottság, vállalatirányítás és belső ellenőrzés</w:t>
      </w:r>
      <w:bookmarkEnd w:id="512"/>
      <w:bookmarkEnd w:id="513"/>
      <w:bookmarkEnd w:id="514"/>
      <w:bookmarkEnd w:id="515"/>
      <w:bookmarkEnd w:id="516"/>
      <w:bookmarkEnd w:id="517"/>
      <w:bookmarkEnd w:id="518"/>
    </w:p>
    <w:p w14:paraId="7E2728D9" w14:textId="10E54611" w:rsidR="00073510" w:rsidRPr="006A6890" w:rsidRDefault="00073510" w:rsidP="00AA57CA">
      <w:pPr>
        <w:rPr>
          <w:rFonts w:asciiTheme="minorHAnsi" w:hAnsiTheme="minorHAnsi"/>
        </w:rPr>
      </w:pPr>
      <w:bookmarkStart w:id="519" w:name="_Toc462401949"/>
      <w:bookmarkStart w:id="520"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 jóvá kell hagynia az intézmény Igazgatóságának és Felügyelő Bizottságának</w:t>
      </w:r>
      <w:r w:rsidR="00455C12" w:rsidRPr="006A6890">
        <w:rPr>
          <w:rFonts w:asciiTheme="minorHAnsi" w:hAnsiTheme="minorHAnsi"/>
        </w:rPr>
        <w:t xml:space="preserve"> (a </w:t>
      </w:r>
      <w:proofErr w:type="spellStart"/>
      <w:r w:rsidR="00455C12" w:rsidRPr="006A6890">
        <w:rPr>
          <w:rFonts w:asciiTheme="minorHAnsi" w:hAnsiTheme="minorHAnsi"/>
        </w:rPr>
        <w:t>fentebbiek</w:t>
      </w:r>
      <w:proofErr w:type="spellEnd"/>
      <w:r w:rsidR="00455C12" w:rsidRPr="006A6890">
        <w:rPr>
          <w:rFonts w:asciiTheme="minorHAnsi" w:hAnsiTheme="minorHAnsi"/>
        </w:rPr>
        <w:t xml:space="preserve"> szerint, legalább éves gyakorisággal, azaz a megelőző jóváhagyást követő 12 hónapon belül)</w:t>
      </w:r>
      <w:r w:rsidRPr="006A6890">
        <w:rPr>
          <w:rFonts w:asciiTheme="minorHAnsi" w:hAnsiTheme="minorHAnsi"/>
        </w:rPr>
        <w:t>.</w:t>
      </w:r>
      <w:bookmarkEnd w:id="519"/>
      <w:bookmarkEnd w:id="520"/>
    </w:p>
    <w:p w14:paraId="3F570218" w14:textId="485FAFAD" w:rsidR="00073510" w:rsidRPr="006A6890" w:rsidRDefault="00073510" w:rsidP="00AA57CA">
      <w:pPr>
        <w:rPr>
          <w:rFonts w:asciiTheme="minorHAnsi" w:hAnsiTheme="minorHAnsi"/>
        </w:rPr>
      </w:pPr>
      <w:r w:rsidRPr="006A6890">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legalább egyszer </w:t>
      </w:r>
      <w:proofErr w:type="spellStart"/>
      <w:r w:rsidRPr="006A6890">
        <w:rPr>
          <w:rFonts w:asciiTheme="minorHAnsi" w:hAnsiTheme="minorHAnsi"/>
        </w:rPr>
        <w:t>teljeskörűen</w:t>
      </w:r>
      <w:proofErr w:type="spellEnd"/>
      <w:r w:rsidRPr="006A6890">
        <w:rPr>
          <w:rFonts w:asciiTheme="minorHAnsi" w:hAnsiTheme="minorHAnsi"/>
        </w:rPr>
        <w:t xml:space="preserve"> le kell vizsgálnia csoport- (azaz, összevont konszolidált) és egyedi (azaz, az egyes csoporttagok) szinten az ICAAP keretrendszer megfelelő működését, szervezeti beágyazottságát az alábbiak szerint:</w:t>
      </w:r>
    </w:p>
    <w:p w14:paraId="07F836E7" w14:textId="7FFD2ECB" w:rsidR="00073510" w:rsidRPr="006A6890" w:rsidRDefault="00073510" w:rsidP="00780492">
      <w:pPr>
        <w:pStyle w:val="ListParagraph"/>
        <w:numPr>
          <w:ilvl w:val="0"/>
          <w:numId w:val="8"/>
        </w:numPr>
        <w:contextualSpacing w:val="0"/>
        <w:rPr>
          <w:rFonts w:asciiTheme="minorHAnsi" w:hAnsiTheme="minorHAnsi"/>
        </w:rPr>
      </w:pPr>
      <w:r w:rsidRPr="006A6890">
        <w:rPr>
          <w:rFonts w:asciiTheme="minorHAnsi" w:hAnsiTheme="minorHAnsi"/>
          <w:sz w:val="22"/>
          <w:szCs w:val="22"/>
          <w:lang w:val="hu-HU"/>
        </w:rPr>
        <w:t>rendelkezzen megfelelő éves ICAAP ellenőrzési tervvel, annak</w:t>
      </w:r>
      <w:r w:rsidR="00737B3F" w:rsidRPr="006A6890">
        <w:rPr>
          <w:rFonts w:asciiTheme="minorHAnsi" w:hAnsiTheme="minorHAnsi"/>
          <w:sz w:val="22"/>
          <w:szCs w:val="22"/>
          <w:lang w:val="hu-HU"/>
        </w:rPr>
        <w:t>,</w:t>
      </w:r>
      <w:r w:rsidRPr="006A6890">
        <w:rPr>
          <w:rFonts w:asciiTheme="minorHAnsi" w:hAnsiTheme="minorHAnsi"/>
          <w:sz w:val="22"/>
          <w:szCs w:val="22"/>
          <w:lang w:val="hu-HU"/>
        </w:rPr>
        <w:t xml:space="preserve"> </w:t>
      </w:r>
      <w:r w:rsidR="00737B3F" w:rsidRPr="006A6890">
        <w:rPr>
          <w:rFonts w:asciiTheme="minorHAnsi" w:hAnsiTheme="minorHAnsi"/>
          <w:sz w:val="22"/>
          <w:szCs w:val="22"/>
          <w:lang w:val="hu-HU"/>
        </w:rPr>
        <w:t xml:space="preserve">valamint a korábbi auditok keretében feltárt hiányosságok megszüntetésének </w:t>
      </w:r>
      <w:r w:rsidR="000937F9" w:rsidRPr="006A6890">
        <w:rPr>
          <w:rFonts w:asciiTheme="minorHAnsi" w:hAnsiTheme="minorHAnsi"/>
          <w:sz w:val="22"/>
          <w:szCs w:val="22"/>
          <w:lang w:val="hu-HU"/>
        </w:rPr>
        <w:t>(azaz, annak bemutatását, h</w:t>
      </w:r>
      <w:r w:rsidR="00EC1477" w:rsidRPr="006A6890">
        <w:rPr>
          <w:rFonts w:asciiTheme="minorHAnsi" w:hAnsiTheme="minorHAnsi"/>
          <w:sz w:val="22"/>
          <w:szCs w:val="22"/>
          <w:lang w:val="hu-HU"/>
        </w:rPr>
        <w:t xml:space="preserve">ogy a belső ellenőrzés által </w:t>
      </w:r>
      <w:r w:rsidR="000937F9" w:rsidRPr="006A6890">
        <w:rPr>
          <w:rFonts w:asciiTheme="minorHAnsi" w:hAnsiTheme="minorHAnsi"/>
          <w:sz w:val="22"/>
          <w:szCs w:val="22"/>
          <w:lang w:val="hu-HU"/>
        </w:rPr>
        <w:t xml:space="preserve">ICAAP témakörökben tett megállapításait a felelős terület határidőben végrehajtotta) </w:t>
      </w:r>
      <w:r w:rsidRPr="006A6890">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6A6890" w:rsidRDefault="00073510" w:rsidP="00780492">
      <w:pPr>
        <w:pStyle w:val="ListParagraph"/>
        <w:numPr>
          <w:ilvl w:val="0"/>
          <w:numId w:val="8"/>
        </w:numPr>
        <w:ind w:left="714" w:hanging="357"/>
        <w:contextualSpacing w:val="0"/>
        <w:rPr>
          <w:rFonts w:asciiTheme="minorHAnsi" w:hAnsiTheme="minorHAnsi"/>
          <w:sz w:val="22"/>
        </w:rPr>
      </w:pPr>
      <w:r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 xml:space="preserve">azzal a kiegészítéssel, hogy harmadik országban működő, illetőleg a vizsgálat vonatkozási időpontjában 500 </w:t>
      </w:r>
      <w:proofErr w:type="spellStart"/>
      <w:r w:rsidR="00247390" w:rsidRPr="006A6890">
        <w:rPr>
          <w:rFonts w:asciiTheme="minorHAnsi" w:hAnsiTheme="minorHAnsi"/>
          <w:color w:val="000000" w:themeColor="text1"/>
          <w:sz w:val="22"/>
        </w:rPr>
        <w:t>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rd</w:t>
      </w:r>
      <w:proofErr w:type="spellEnd"/>
      <w:r w:rsidR="00247390" w:rsidRPr="006A6890">
        <w:rPr>
          <w:rFonts w:asciiTheme="minorHAnsi" w:hAnsiTheme="minorHAnsi"/>
          <w:color w:val="000000" w:themeColor="text1"/>
          <w:sz w:val="22"/>
        </w:rPr>
        <w:t xml:space="preserve">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w:t>
      </w:r>
      <w:proofErr w:type="spellStart"/>
      <w:r w:rsidR="00247390" w:rsidRPr="006A6890">
        <w:rPr>
          <w:rFonts w:asciiTheme="minorHAnsi" w:hAnsiTheme="minorHAnsi"/>
          <w:color w:val="000000" w:themeColor="text1"/>
          <w:sz w:val="22"/>
        </w:rPr>
        <w:t>szubkonszolidált</w:t>
      </w:r>
      <w:proofErr w:type="spellEnd"/>
      <w:r w:rsidR="00247390" w:rsidRPr="006A6890">
        <w:rPr>
          <w:rFonts w:asciiTheme="minorHAnsi" w:hAnsiTheme="minorHAnsi"/>
          <w:color w:val="000000" w:themeColor="text1"/>
          <w:sz w:val="22"/>
        </w:rPr>
        <w:t xml:space="preserve"> mérlegfőösszeggel rendelkező leányvállalat esetén egyszerűsített ICAAP keretrendszer is elfogadható</w:t>
      </w:r>
      <w:r w:rsidR="00247390" w:rsidRPr="006A6890">
        <w:rPr>
          <w:rFonts w:asciiTheme="minorHAnsi" w:hAnsiTheme="minorHAnsi"/>
          <w:color w:val="000000" w:themeColor="text1"/>
          <w:sz w:val="22"/>
          <w:lang w:val="hu-HU"/>
        </w:rPr>
        <w:t>,</w:t>
      </w:r>
    </w:p>
    <w:p w14:paraId="4C3B3110"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az ICAAP keretrendszert folyamatszemléletben tekintse át,</w:t>
      </w:r>
    </w:p>
    <w:p w14:paraId="15D60E61"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előzőek</w:t>
      </w:r>
      <w:proofErr w:type="spellEnd"/>
      <w:r w:rsidRPr="006A6890">
        <w:rPr>
          <w:rFonts w:asciiTheme="minorHAnsi" w:hAnsiTheme="minorHAnsi"/>
        </w:rPr>
        <w:t xml:space="preserve">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Heading3"/>
        <w:rPr>
          <w:rFonts w:asciiTheme="minorHAnsi" w:hAnsiTheme="minorHAnsi"/>
        </w:rPr>
      </w:pPr>
      <w:bookmarkStart w:id="521" w:name="_Toc462401950"/>
      <w:bookmarkStart w:id="522" w:name="_Toc462403071"/>
      <w:bookmarkStart w:id="523" w:name="_Toc462403395"/>
      <w:bookmarkStart w:id="524" w:name="_Toc468180514"/>
      <w:bookmarkStart w:id="525" w:name="_Toc468181046"/>
      <w:bookmarkStart w:id="526" w:name="_Toc468191434"/>
      <w:bookmarkStart w:id="527" w:name="_Toc27138942"/>
      <w:r w:rsidRPr="006A6890">
        <w:rPr>
          <w:rFonts w:asciiTheme="minorHAnsi" w:hAnsiTheme="minorHAnsi"/>
        </w:rPr>
        <w:t>A tőkemegfelelés belső értékelési eljárására kialakított keretrendszer</w:t>
      </w:r>
      <w:bookmarkEnd w:id="521"/>
      <w:bookmarkEnd w:id="522"/>
      <w:bookmarkEnd w:id="523"/>
      <w:bookmarkEnd w:id="524"/>
      <w:bookmarkEnd w:id="525"/>
      <w:bookmarkEnd w:id="526"/>
      <w:bookmarkEnd w:id="527"/>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proofErr w:type="spellStart"/>
      <w:r w:rsidRPr="006A6890">
        <w:rPr>
          <w:rFonts w:asciiTheme="minorHAnsi" w:eastAsia="Calibri" w:hAnsiTheme="minorHAnsi" w:cs="Calibri"/>
          <w:sz w:val="22"/>
          <w:szCs w:val="22"/>
          <w:lang w:val="hu-HU"/>
        </w:rPr>
        <w:t>állóak</w:t>
      </w:r>
      <w:proofErr w:type="spellEnd"/>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minden kockázatra vonatkozóan, megbízható, empirikus </w:t>
      </w:r>
      <w:proofErr w:type="spellStart"/>
      <w:r w:rsidRPr="006A6890">
        <w:rPr>
          <w:rFonts w:asciiTheme="minorHAnsi" w:eastAsia="Calibri" w:hAnsiTheme="minorHAnsi" w:cs="Calibri"/>
          <w:sz w:val="22"/>
          <w:szCs w:val="22"/>
        </w:rPr>
        <w:t>bemen</w:t>
      </w:r>
      <w:r w:rsidR="002610E5" w:rsidRPr="006A6890">
        <w:rPr>
          <w:rFonts w:asciiTheme="minorHAnsi" w:eastAsia="Calibri" w:hAnsiTheme="minorHAnsi" w:cs="Calibri"/>
          <w:sz w:val="22"/>
          <w:szCs w:val="22"/>
          <w:lang w:val="hu-HU"/>
        </w:rPr>
        <w:t>e</w:t>
      </w:r>
      <w:proofErr w:type="spellEnd"/>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lastRenderedPageBreak/>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Paragraph"/>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Paragraph"/>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Heading3"/>
        <w:rPr>
          <w:rFonts w:asciiTheme="minorHAnsi" w:hAnsiTheme="minorHAnsi"/>
        </w:rPr>
      </w:pPr>
      <w:bookmarkStart w:id="528" w:name="_Toc462401951"/>
      <w:bookmarkStart w:id="529" w:name="_Toc462403072"/>
      <w:bookmarkStart w:id="530" w:name="_Toc462403396"/>
      <w:bookmarkStart w:id="531" w:name="_Toc468180515"/>
      <w:bookmarkStart w:id="532" w:name="_Toc468181047"/>
      <w:bookmarkStart w:id="533" w:name="_Toc468191435"/>
      <w:bookmarkStart w:id="534" w:name="_Toc27138943"/>
      <w:r w:rsidRPr="006A6890">
        <w:rPr>
          <w:rFonts w:asciiTheme="minorHAnsi" w:hAnsiTheme="minorHAnsi"/>
        </w:rPr>
        <w:t>Az ICAAP integráltsága</w:t>
      </w:r>
      <w:bookmarkEnd w:id="528"/>
      <w:bookmarkEnd w:id="529"/>
      <w:bookmarkEnd w:id="530"/>
      <w:bookmarkEnd w:id="531"/>
      <w:bookmarkEnd w:id="532"/>
      <w:bookmarkEnd w:id="533"/>
      <w:bookmarkEnd w:id="534"/>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lastRenderedPageBreak/>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 xml:space="preserve">back </w:t>
      </w:r>
      <w:proofErr w:type="spellStart"/>
      <w:r w:rsidRPr="006A6890">
        <w:rPr>
          <w:rFonts w:asciiTheme="minorHAnsi" w:hAnsiTheme="minorHAnsi"/>
        </w:rPr>
        <w:t>office</w:t>
      </w:r>
      <w:proofErr w:type="spellEnd"/>
      <w:r w:rsidRPr="006A6890">
        <w:rPr>
          <w:rFonts w:asciiTheme="minorHAnsi" w:hAnsiTheme="minorHAnsi"/>
        </w:rPr>
        <w:t xml:space="preserv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 xml:space="preserve">a belső ellenőrzés és kontroll, </w:t>
      </w:r>
      <w:proofErr w:type="spellStart"/>
      <w:r w:rsidRPr="006A6890">
        <w:rPr>
          <w:rFonts w:asciiTheme="minorHAnsi" w:hAnsiTheme="minorHAnsi"/>
        </w:rPr>
        <w:t>compliance</w:t>
      </w:r>
      <w:proofErr w:type="spellEnd"/>
      <w:r w:rsidRPr="006A6890">
        <w:rPr>
          <w:rFonts w:asciiTheme="minorHAnsi" w:hAnsiTheme="minorHAnsi"/>
        </w:rPr>
        <w:t xml:space="preserv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VIR</w:t>
      </w:r>
      <w:proofErr w:type="spellEnd"/>
      <w:r w:rsidRPr="006A6890">
        <w:rPr>
          <w:rFonts w:asciiTheme="minorHAnsi" w:hAnsiTheme="minorHAnsi"/>
        </w:rPr>
        <w:t xml:space="preserve">, </w:t>
      </w:r>
      <w:proofErr w:type="spellStart"/>
      <w:r w:rsidRPr="006A6890">
        <w:rPr>
          <w:rFonts w:asciiTheme="minorHAnsi" w:hAnsiTheme="minorHAnsi"/>
        </w:rPr>
        <w:t>controlling</w:t>
      </w:r>
      <w:proofErr w:type="spellEnd"/>
      <w:r w:rsidRPr="006A6890">
        <w:rPr>
          <w:rFonts w:asciiTheme="minorHAnsi" w:hAnsiTheme="minorHAnsi"/>
        </w:rPr>
        <w:t>,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riportálás</w:t>
      </w:r>
      <w:proofErr w:type="spellEnd"/>
      <w:r w:rsidRPr="006A6890">
        <w:rPr>
          <w:rFonts w:asciiTheme="minorHAnsi" w:hAnsiTheme="minorHAnsi"/>
        </w:rPr>
        <w:t xml:space="preserve">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Heading3"/>
        <w:rPr>
          <w:rFonts w:asciiTheme="minorHAnsi" w:hAnsiTheme="minorHAnsi"/>
        </w:rPr>
      </w:pPr>
      <w:bookmarkStart w:id="535" w:name="_Toc462401952"/>
      <w:bookmarkStart w:id="536" w:name="_Toc462403073"/>
      <w:bookmarkStart w:id="537" w:name="_Toc462403397"/>
      <w:bookmarkStart w:id="538" w:name="_Toc468180516"/>
      <w:bookmarkStart w:id="539" w:name="_Toc468181048"/>
      <w:bookmarkStart w:id="540" w:name="_Toc468191436"/>
      <w:bookmarkStart w:id="541" w:name="_Toc27138944"/>
      <w:r w:rsidRPr="006A6890">
        <w:rPr>
          <w:rFonts w:asciiTheme="minorHAnsi" w:hAnsiTheme="minorHAnsi"/>
        </w:rPr>
        <w:t>Kockázati stratégi</w:t>
      </w:r>
      <w:r w:rsidRPr="006A6890">
        <w:rPr>
          <w:rFonts w:asciiTheme="minorHAnsi" w:hAnsiTheme="minorHAnsi"/>
          <w:lang w:val="hu-HU"/>
        </w:rPr>
        <w:t>a</w:t>
      </w:r>
      <w:bookmarkEnd w:id="535"/>
      <w:bookmarkEnd w:id="536"/>
      <w:bookmarkEnd w:id="537"/>
      <w:bookmarkEnd w:id="538"/>
      <w:bookmarkEnd w:id="539"/>
      <w:bookmarkEnd w:id="540"/>
      <w:bookmarkEnd w:id="541"/>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6A6890">
        <w:rPr>
          <w:rFonts w:asciiTheme="minorHAnsi" w:hAnsiTheme="minorHAnsi"/>
        </w:rPr>
        <w:footnoteReference w:id="23"/>
      </w:r>
    </w:p>
    <w:p w14:paraId="7BD57A20" w14:textId="77777777" w:rsidR="00073510" w:rsidRPr="006A6890" w:rsidRDefault="00073510" w:rsidP="00AA57CA">
      <w:pPr>
        <w:rPr>
          <w:rFonts w:asciiTheme="minorHAnsi" w:hAnsiTheme="minorHAnsi"/>
        </w:rPr>
      </w:pPr>
      <w:r w:rsidRPr="006A6890">
        <w:rPr>
          <w:rFonts w:asciiTheme="minorHAnsi" w:hAnsiTheme="minorHAnsi"/>
        </w:rPr>
        <w:t>A kockázati stratégiának tartalmaznia kell az anyaintézmény ICAAP-</w:t>
      </w:r>
      <w:proofErr w:type="spellStart"/>
      <w:r w:rsidRPr="006A6890">
        <w:rPr>
          <w:rFonts w:asciiTheme="minorHAnsi" w:hAnsiTheme="minorHAnsi"/>
        </w:rPr>
        <w:t>pel</w:t>
      </w:r>
      <w:proofErr w:type="spellEnd"/>
      <w:r w:rsidRPr="006A6890">
        <w:rPr>
          <w:rFonts w:asciiTheme="minorHAnsi" w:hAnsiTheme="minorHAnsi"/>
        </w:rPr>
        <w:t xml:space="preserve">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t>A kockázati stratégia elkészítésének lépései</w:t>
      </w:r>
    </w:p>
    <w:p w14:paraId="1047E6C1" w14:textId="77777777" w:rsidR="00073510" w:rsidRPr="006A6890" w:rsidRDefault="00073510" w:rsidP="00181755">
      <w:pPr>
        <w:pStyle w:val="Heading4"/>
        <w:rPr>
          <w:rFonts w:asciiTheme="minorHAnsi" w:hAnsiTheme="minorHAnsi"/>
        </w:rPr>
      </w:pPr>
      <w:bookmarkStart w:id="542" w:name="_Toc462401953"/>
      <w:bookmarkStart w:id="543" w:name="_Toc462403074"/>
      <w:bookmarkStart w:id="544" w:name="_Toc462403398"/>
      <w:bookmarkStart w:id="545" w:name="_Toc468180517"/>
      <w:bookmarkStart w:id="546" w:name="_Toc468181049"/>
      <w:bookmarkStart w:id="547" w:name="_Toc468191437"/>
      <w:bookmarkStart w:id="548" w:name="_Toc27138945"/>
      <w:r w:rsidRPr="006A6890">
        <w:rPr>
          <w:rFonts w:asciiTheme="minorHAnsi" w:hAnsiTheme="minorHAnsi"/>
        </w:rPr>
        <w:t>Kockázatvállalási politika</w:t>
      </w:r>
      <w:bookmarkEnd w:id="542"/>
      <w:bookmarkEnd w:id="543"/>
      <w:bookmarkEnd w:id="544"/>
      <w:bookmarkEnd w:id="545"/>
      <w:bookmarkEnd w:id="546"/>
      <w:bookmarkEnd w:id="547"/>
      <w:bookmarkEnd w:id="548"/>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prudens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w:t>
      </w:r>
      <w:r w:rsidRPr="006A6890">
        <w:rPr>
          <w:rFonts w:asciiTheme="minorHAnsi" w:hAnsiTheme="minorHAnsi"/>
        </w:rPr>
        <w:lastRenderedPageBreak/>
        <w:t>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Heading4"/>
        <w:rPr>
          <w:rFonts w:asciiTheme="minorHAnsi" w:hAnsiTheme="minorHAnsi"/>
        </w:rPr>
      </w:pPr>
      <w:bookmarkStart w:id="549" w:name="_Toc462401954"/>
      <w:bookmarkStart w:id="550" w:name="_Toc462403075"/>
      <w:bookmarkStart w:id="551" w:name="_Toc462403399"/>
      <w:bookmarkStart w:id="552" w:name="_Toc468180518"/>
      <w:bookmarkStart w:id="553" w:name="_Toc468181050"/>
      <w:bookmarkStart w:id="554" w:name="_Toc468191438"/>
      <w:bookmarkStart w:id="555" w:name="_Toc27138946"/>
      <w:r w:rsidRPr="006A6890">
        <w:rPr>
          <w:rFonts w:asciiTheme="minorHAnsi" w:hAnsiTheme="minorHAnsi"/>
        </w:rPr>
        <w:t>Kockázati étvágy, kockázatvállalási hajlandóság megfogalmazása</w:t>
      </w:r>
      <w:bookmarkEnd w:id="549"/>
      <w:bookmarkEnd w:id="550"/>
      <w:bookmarkEnd w:id="551"/>
      <w:bookmarkEnd w:id="552"/>
      <w:bookmarkEnd w:id="553"/>
      <w:bookmarkEnd w:id="554"/>
      <w:bookmarkEnd w:id="555"/>
    </w:p>
    <w:p w14:paraId="1D4C85D0" w14:textId="77777777" w:rsidR="00073510" w:rsidRPr="006A6890" w:rsidRDefault="00073510" w:rsidP="00AA57CA">
      <w:pPr>
        <w:rPr>
          <w:rFonts w:asciiTheme="minorHAnsi" w:hAnsiTheme="minorHAnsi"/>
        </w:rPr>
      </w:pPr>
      <w:r w:rsidRPr="006A6890">
        <w:rPr>
          <w:rFonts w:asciiTheme="minorHAnsi" w:hAnsiTheme="minorHAnsi"/>
        </w:rPr>
        <w:t xml:space="preserve">A kockázati étvágy az a kockázatmennyiség, amit egy szervezet kész felvállalni, képes tolerálni. A kockázati étvágy </w:t>
      </w:r>
      <w:proofErr w:type="spellStart"/>
      <w:r w:rsidRPr="006A6890">
        <w:rPr>
          <w:rFonts w:asciiTheme="minorHAnsi" w:hAnsiTheme="minorHAnsi"/>
        </w:rPr>
        <w:t>csoporttagonként</w:t>
      </w:r>
      <w:proofErr w:type="spellEnd"/>
      <w:r w:rsidRPr="006A6890">
        <w:rPr>
          <w:rFonts w:asciiTheme="minorHAnsi" w:hAnsiTheme="minorHAnsi"/>
        </w:rPr>
        <w:t xml:space="preserve">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proofErr w:type="spellStart"/>
      <w:r w:rsidR="00EB1BE0" w:rsidRPr="006A6890">
        <w:rPr>
          <w:rFonts w:asciiTheme="minorHAnsi" w:hAnsiTheme="minorHAnsi"/>
        </w:rPr>
        <w:t>kézikönyben</w:t>
      </w:r>
      <w:proofErr w:type="spellEnd"/>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6A6890" w:rsidRDefault="00073510" w:rsidP="00AA57CA">
      <w:pPr>
        <w:rPr>
          <w:rFonts w:asciiTheme="minorHAnsi" w:hAnsiTheme="minorHAnsi"/>
        </w:rPr>
      </w:pPr>
      <w:r w:rsidRPr="006A6890">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 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w:t>
      </w:r>
      <w:proofErr w:type="spellStart"/>
      <w:r w:rsidRPr="006A6890">
        <w:rPr>
          <w:rFonts w:asciiTheme="minorHAnsi" w:hAnsiTheme="minorHAnsi"/>
        </w:rPr>
        <w:t>KRI</w:t>
      </w:r>
      <w:proofErr w:type="spellEnd"/>
      <w:r w:rsidRPr="006A6890">
        <w:rPr>
          <w:rFonts w:asciiTheme="minorHAnsi" w:hAnsiTheme="minorHAnsi"/>
        </w:rPr>
        <w:t>,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w:t>
      </w:r>
      <w:r w:rsidRPr="006A6890">
        <w:rPr>
          <w:rFonts w:asciiTheme="minorHAnsi" w:hAnsiTheme="minorHAnsi"/>
        </w:rPr>
        <w:lastRenderedPageBreak/>
        <w:t xml:space="preserve">során, hogy a kockázatok fedezésére szolgáló tőke hány százalékát és miként allokálja az egyes portfóliók között. </w:t>
      </w:r>
    </w:p>
    <w:p w14:paraId="697C7CBF" w14:textId="77777777" w:rsidR="00073510" w:rsidRPr="006A6890" w:rsidRDefault="00073510" w:rsidP="00181755">
      <w:pPr>
        <w:pStyle w:val="Heading4"/>
        <w:rPr>
          <w:rFonts w:asciiTheme="minorHAnsi" w:hAnsiTheme="minorHAnsi"/>
        </w:rPr>
      </w:pPr>
      <w:bookmarkStart w:id="556" w:name="_Toc462401955"/>
      <w:bookmarkStart w:id="557" w:name="_Toc462403076"/>
      <w:bookmarkStart w:id="558" w:name="_Toc462403400"/>
      <w:bookmarkStart w:id="559" w:name="_Toc468180519"/>
      <w:bookmarkStart w:id="560" w:name="_Toc468181051"/>
      <w:bookmarkStart w:id="561" w:name="_Toc468191439"/>
      <w:bookmarkStart w:id="562" w:name="_Toc27138947"/>
      <w:r w:rsidRPr="006A6890">
        <w:rPr>
          <w:rFonts w:asciiTheme="minorHAnsi" w:hAnsiTheme="minorHAnsi"/>
        </w:rPr>
        <w:t>Elérni kívánt kockázati szerkezet</w:t>
      </w:r>
      <w:bookmarkEnd w:id="556"/>
      <w:bookmarkEnd w:id="557"/>
      <w:bookmarkEnd w:id="558"/>
      <w:bookmarkEnd w:id="559"/>
      <w:bookmarkEnd w:id="560"/>
      <w:bookmarkEnd w:id="561"/>
      <w:bookmarkEnd w:id="562"/>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w:t>
      </w:r>
      <w:proofErr w:type="spellStart"/>
      <w:r w:rsidRPr="006A6890">
        <w:rPr>
          <w:rFonts w:asciiTheme="minorHAnsi" w:hAnsiTheme="minorHAnsi"/>
        </w:rPr>
        <w:t>off</w:t>
      </w:r>
      <w:proofErr w:type="spellEnd"/>
      <w:r w:rsidRPr="006A6890">
        <w:rPr>
          <w:rFonts w:asciiTheme="minorHAnsi" w:hAnsiTheme="minorHAnsi"/>
        </w:rPr>
        <w:t xml:space="preserve">) érvényesülését ellenőrizni kell. </w:t>
      </w:r>
      <w:proofErr w:type="spellStart"/>
      <w:r w:rsidRPr="006A6890">
        <w:rPr>
          <w:rFonts w:asciiTheme="minorHAnsi" w:hAnsiTheme="minorHAnsi"/>
        </w:rPr>
        <w:t>Mindehhez</w:t>
      </w:r>
      <w:proofErr w:type="spellEnd"/>
      <w:r w:rsidRPr="006A6890">
        <w:rPr>
          <w:rFonts w:asciiTheme="minorHAnsi" w:hAnsiTheme="minorHAnsi"/>
        </w:rPr>
        <w:t xml:space="preserve"> </w:t>
      </w:r>
      <w:proofErr w:type="spellStart"/>
      <w:r w:rsidRPr="006A6890">
        <w:rPr>
          <w:rFonts w:asciiTheme="minorHAnsi" w:hAnsiTheme="minorHAnsi"/>
        </w:rPr>
        <w:t>eszközül</w:t>
      </w:r>
      <w:proofErr w:type="spellEnd"/>
      <w:r w:rsidRPr="006A6890">
        <w:rPr>
          <w:rFonts w:asciiTheme="minorHAnsi" w:hAnsiTheme="minorHAnsi"/>
        </w:rPr>
        <w:t xml:space="preserve">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w:t>
      </w:r>
      <w:proofErr w:type="spellStart"/>
      <w:r w:rsidRPr="006A6890">
        <w:rPr>
          <w:rFonts w:asciiTheme="minorHAnsi" w:hAnsiTheme="minorHAnsi"/>
        </w:rPr>
        <w:t>KRI</w:t>
      </w:r>
      <w:proofErr w:type="spellEnd"/>
      <w:r w:rsidRPr="006A6890">
        <w:rPr>
          <w:rFonts w:asciiTheme="minorHAnsi" w:hAnsiTheme="minorHAnsi"/>
        </w:rPr>
        <w:t xml:space="preserve">-k, </w:t>
      </w:r>
      <w:proofErr w:type="spellStart"/>
      <w:r w:rsidRPr="006A6890">
        <w:rPr>
          <w:rFonts w:asciiTheme="minorHAnsi" w:hAnsiTheme="minorHAnsi"/>
        </w:rPr>
        <w:t>triggerek</w:t>
      </w:r>
      <w:proofErr w:type="spellEnd"/>
      <w:r w:rsidRPr="006A6890">
        <w:rPr>
          <w:rFonts w:asciiTheme="minorHAnsi" w:hAnsiTheme="minorHAnsi"/>
        </w:rPr>
        <w:t xml:space="preserve"> beépítése), hogyan követik nyomon (monitoring).</w:t>
      </w:r>
    </w:p>
    <w:p w14:paraId="66B15364" w14:textId="0B6FFEF3"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63" w:name="_Toc461547919"/>
      <w:bookmarkStart w:id="564" w:name="_Toc462401957"/>
      <w:bookmarkStart w:id="565" w:name="_Toc462403078"/>
      <w:bookmarkStart w:id="566" w:name="_Toc462403402"/>
      <w:bookmarkStart w:id="567" w:name="_Toc462403831"/>
      <w:bookmarkStart w:id="568" w:name="_Toc462645699"/>
      <w:bookmarkStart w:id="569" w:name="_Toc468180521"/>
      <w:bookmarkStart w:id="570" w:name="_Toc461547924"/>
      <w:bookmarkStart w:id="571" w:name="_Toc462401962"/>
      <w:bookmarkStart w:id="572" w:name="_Toc462403083"/>
      <w:bookmarkStart w:id="573" w:name="_Toc462403407"/>
      <w:bookmarkStart w:id="574" w:name="_Toc462403836"/>
      <w:bookmarkStart w:id="575" w:name="_Toc462645704"/>
      <w:bookmarkStart w:id="576" w:name="_Toc468180526"/>
      <w:bookmarkStart w:id="577" w:name="_Toc461547931"/>
      <w:bookmarkStart w:id="578" w:name="_Toc462401969"/>
      <w:bookmarkStart w:id="579" w:name="_Toc462403090"/>
      <w:bookmarkStart w:id="580" w:name="_Toc462403414"/>
      <w:bookmarkStart w:id="581" w:name="_Toc462403843"/>
      <w:bookmarkStart w:id="582" w:name="_Toc462645711"/>
      <w:bookmarkStart w:id="583" w:name="_Toc468180533"/>
      <w:bookmarkStart w:id="584" w:name="_A_kockázati_stratégia"/>
      <w:bookmarkStart w:id="585" w:name="_III.1.1._Kockázatvállalási_politika"/>
      <w:bookmarkStart w:id="586" w:name="_III.1.2._Kockázati_étvágy,"/>
      <w:bookmarkStart w:id="587" w:name="_III.1.3._Elérni_kívánt"/>
      <w:bookmarkStart w:id="588" w:name="_III.1.5._Kockázatkezelési_szervezet"/>
      <w:bookmarkStart w:id="589" w:name="_Javadalmazási_politika"/>
      <w:bookmarkStart w:id="590" w:name="_III.1_A_belső"/>
      <w:bookmarkStart w:id="591" w:name="_III.1.4._Kockázati_kultúra"/>
      <w:bookmarkStart w:id="592" w:name="_Kockázatkezelési_rendszer"/>
      <w:bookmarkEnd w:id="501"/>
      <w:bookmarkEnd w:id="502"/>
      <w:bookmarkEnd w:id="503"/>
      <w:bookmarkEnd w:id="50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6B15365" w14:textId="77777777" w:rsidR="003F29E3" w:rsidRPr="006A6890" w:rsidRDefault="003F29E3" w:rsidP="00181755">
      <w:pPr>
        <w:pStyle w:val="Heading4"/>
        <w:rPr>
          <w:rFonts w:asciiTheme="minorHAnsi" w:hAnsiTheme="minorHAnsi"/>
        </w:rPr>
      </w:pPr>
      <w:bookmarkStart w:id="593" w:name="_Kockázatkezelési_folyamat_lépései"/>
      <w:bookmarkStart w:id="594" w:name="_Toc378592086"/>
      <w:bookmarkStart w:id="595" w:name="_Toc461095198"/>
      <w:bookmarkStart w:id="596" w:name="_Toc461179854"/>
      <w:bookmarkStart w:id="597" w:name="_Toc461201297"/>
      <w:bookmarkStart w:id="598" w:name="_Toc461547940"/>
      <w:bookmarkStart w:id="599" w:name="_Toc462401978"/>
      <w:bookmarkStart w:id="600" w:name="_Toc462403099"/>
      <w:bookmarkStart w:id="601" w:name="_Toc462403423"/>
      <w:bookmarkStart w:id="602" w:name="_Toc468180542"/>
      <w:bookmarkStart w:id="603" w:name="_Toc468181052"/>
      <w:bookmarkStart w:id="604" w:name="_Toc468191440"/>
      <w:bookmarkStart w:id="605" w:name="_Toc27138948"/>
      <w:bookmarkEnd w:id="593"/>
      <w:r w:rsidRPr="006A6890">
        <w:rPr>
          <w:rFonts w:asciiTheme="minorHAnsi" w:hAnsiTheme="minorHAnsi"/>
        </w:rPr>
        <w:t>Kockázatkezelési folyamat lépései</w:t>
      </w:r>
      <w:bookmarkEnd w:id="594"/>
      <w:bookmarkEnd w:id="595"/>
      <w:bookmarkEnd w:id="596"/>
      <w:bookmarkEnd w:id="597"/>
      <w:bookmarkEnd w:id="598"/>
      <w:bookmarkEnd w:id="599"/>
      <w:bookmarkEnd w:id="600"/>
      <w:bookmarkEnd w:id="601"/>
      <w:bookmarkEnd w:id="602"/>
      <w:bookmarkEnd w:id="603"/>
      <w:bookmarkEnd w:id="604"/>
      <w:bookmarkEnd w:id="605"/>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 xml:space="preserve">A kockázatok számszerűsítése mellett és ezzel összefüggésben az intézménynek számszerűsítenie kell a kockázatok </w:t>
      </w:r>
      <w:proofErr w:type="spellStart"/>
      <w:r w:rsidRPr="006A6890">
        <w:rPr>
          <w:rFonts w:asciiTheme="minorHAnsi" w:hAnsiTheme="minorHAnsi"/>
        </w:rPr>
        <w:t>fedezetéül</w:t>
      </w:r>
      <w:proofErr w:type="spellEnd"/>
      <w:r w:rsidRPr="006A6890">
        <w:rPr>
          <w:rFonts w:asciiTheme="minorHAnsi" w:hAnsiTheme="minorHAnsi"/>
        </w:rPr>
        <w:t xml:space="preserve">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w:t>
      </w:r>
      <w:proofErr w:type="spellStart"/>
      <w:r w:rsidRPr="006A6890">
        <w:rPr>
          <w:rFonts w:asciiTheme="minorHAnsi" w:hAnsiTheme="minorHAnsi"/>
        </w:rPr>
        <w:t>előretekintő</w:t>
      </w:r>
      <w:proofErr w:type="spellEnd"/>
      <w:r w:rsidRPr="006A6890">
        <w:rPr>
          <w:rFonts w:asciiTheme="minorHAnsi" w:hAnsiTheme="minorHAnsi"/>
        </w:rPr>
        <w:t xml:space="preserve"> eszközökkel </w:t>
      </w:r>
      <w:proofErr w:type="spellStart"/>
      <w:r w:rsidRPr="006A6890">
        <w:rPr>
          <w:rFonts w:asciiTheme="minorHAnsi" w:hAnsiTheme="minorHAnsi"/>
        </w:rPr>
        <w:t>azonosíthatóak</w:t>
      </w:r>
      <w:proofErr w:type="spellEnd"/>
      <w:r w:rsidRPr="006A6890">
        <w:rPr>
          <w:rFonts w:asciiTheme="minorHAnsi" w:hAnsiTheme="minorHAnsi"/>
        </w:rPr>
        <w:t xml:space="preserve"> a válsághelyzetek esetén felmerülő kockázatok; a </w:t>
      </w:r>
      <w:r w:rsidRPr="006A6890">
        <w:rPr>
          <w:rFonts w:asciiTheme="minorHAnsi" w:hAnsiTheme="minorHAnsi"/>
        </w:rPr>
        <w:lastRenderedPageBreak/>
        <w:t xml:space="preserve">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w:t>
      </w:r>
      <w:proofErr w:type="spellStart"/>
      <w:r w:rsidRPr="006A6890">
        <w:rPr>
          <w:rFonts w:asciiTheme="minorHAnsi" w:hAnsiTheme="minorHAnsi"/>
        </w:rPr>
        <w:t>korlátai</w:t>
      </w:r>
      <w:proofErr w:type="spellEnd"/>
      <w:r w:rsidRPr="006A6890">
        <w:rPr>
          <w:rFonts w:asciiTheme="minorHAnsi" w:hAnsiTheme="minorHAnsi"/>
        </w:rPr>
        <w:t xml:space="preserve">).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AA57CA">
        <w:rPr>
          <w:rFonts w:asciiTheme="minorHAnsi" w:hAnsiTheme="minorHAnsi"/>
        </w:rPr>
        <w:footnoteReference w:id="24"/>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t xml:space="preserve">A nem számszerűsíthető kockázatok esetében a folyamathoz kötődő elvárások vagy minőségi követelmények </w:t>
      </w:r>
      <w:proofErr w:type="spellStart"/>
      <w:r w:rsidRPr="006A6890">
        <w:rPr>
          <w:rFonts w:asciiTheme="minorHAnsi" w:hAnsiTheme="minorHAnsi"/>
        </w:rPr>
        <w:t>monitoringja</w:t>
      </w:r>
      <w:proofErr w:type="spellEnd"/>
      <w:r w:rsidRPr="006A6890">
        <w:rPr>
          <w:rFonts w:asciiTheme="minorHAnsi" w:hAnsiTheme="minorHAnsi"/>
        </w:rPr>
        <w:t xml:space="preserve">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 xml:space="preserve">A belső jelentések fontos alapját képezik az utólagos ellenőrzések során megtett intézkedéseknek. Az utólagos ellenőrzés célja, hogy a ténylegesen felmerült kockázatok figyelembevételével aktív befolyást </w:t>
      </w:r>
      <w:r w:rsidRPr="006A6890">
        <w:rPr>
          <w:rFonts w:asciiTheme="minorHAnsi" w:hAnsiTheme="minorHAnsi"/>
        </w:rPr>
        <w:lastRenderedPageBreak/>
        <w:t>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 xml:space="preserve">Az ICAAP felülvizsgálata során az MNB értékeli az intézmény kockázatkezelési rendszerét, valamint megítéli, hogy milyen minőségű a felsővezetés ICAAP-re vonatkozó tájékoztatása, hogyan jelenik meg az ICAAP a </w:t>
      </w:r>
      <w:proofErr w:type="spellStart"/>
      <w:r w:rsidRPr="006A6890">
        <w:rPr>
          <w:rFonts w:asciiTheme="minorHAnsi" w:hAnsiTheme="minorHAnsi"/>
        </w:rPr>
        <w:t>VIR</w:t>
      </w:r>
      <w:proofErr w:type="spellEnd"/>
      <w:r w:rsidRPr="006A6890">
        <w:rPr>
          <w:rFonts w:asciiTheme="minorHAnsi" w:hAnsiTheme="minorHAnsi"/>
        </w:rPr>
        <w:t xml:space="preserve">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6A6890" w:rsidRDefault="003F29E3" w:rsidP="008F2D8B">
      <w:pPr>
        <w:pStyle w:val="Heading2"/>
        <w:rPr>
          <w:rFonts w:asciiTheme="minorHAnsi" w:hAnsiTheme="minorHAnsi"/>
        </w:rPr>
      </w:pPr>
      <w:bookmarkStart w:id="606" w:name="_III._2._Lényeges"/>
      <w:bookmarkStart w:id="607" w:name="_Toc156101217"/>
      <w:bookmarkStart w:id="608" w:name="_Toc378256232"/>
      <w:bookmarkStart w:id="609" w:name="_Toc378592040"/>
      <w:bookmarkStart w:id="610" w:name="_Toc461095201"/>
      <w:bookmarkStart w:id="611" w:name="_Toc461179217"/>
      <w:bookmarkStart w:id="612" w:name="_Toc461179857"/>
      <w:bookmarkStart w:id="613" w:name="_Toc461197758"/>
      <w:bookmarkStart w:id="614" w:name="_Toc461201300"/>
      <w:bookmarkStart w:id="615" w:name="_Toc461547943"/>
      <w:bookmarkStart w:id="616" w:name="_Toc462401981"/>
      <w:bookmarkStart w:id="617" w:name="_Toc462403102"/>
      <w:bookmarkStart w:id="618" w:name="_Toc462403426"/>
      <w:bookmarkStart w:id="619" w:name="_Toc468180545"/>
      <w:bookmarkStart w:id="620" w:name="_Toc468181053"/>
      <w:bookmarkStart w:id="621" w:name="_Toc468191441"/>
      <w:bookmarkStart w:id="622" w:name="_Toc27138949"/>
      <w:bookmarkEnd w:id="606"/>
      <w:r w:rsidRPr="006A6890">
        <w:rPr>
          <w:rFonts w:asciiTheme="minorHAnsi" w:hAnsiTheme="minorHAnsi"/>
        </w:rPr>
        <w:t>Lényeges kockázatok értékelése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w:t>
      </w:r>
      <w:proofErr w:type="spellStart"/>
      <w:r w:rsidRPr="006A6890">
        <w:rPr>
          <w:rFonts w:asciiTheme="minorHAnsi" w:hAnsiTheme="minorHAnsi"/>
        </w:rPr>
        <w:t>szétválaszthatóak</w:t>
      </w:r>
      <w:proofErr w:type="spellEnd"/>
      <w:r w:rsidRPr="006A6890">
        <w:rPr>
          <w:rFonts w:asciiTheme="minorHAnsi" w:hAnsiTheme="minorHAnsi"/>
        </w:rPr>
        <w:t xml:space="preserve">,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kockázattá 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7811CDE7" w:rsidR="003F29E3" w:rsidRPr="006A6890"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Heading3"/>
        <w:rPr>
          <w:rFonts w:asciiTheme="minorHAnsi" w:hAnsiTheme="minorHAnsi"/>
        </w:rPr>
      </w:pPr>
      <w:bookmarkStart w:id="623" w:name="_III.2.1._Az_1."/>
      <w:bookmarkStart w:id="624" w:name="_Toc417311945"/>
      <w:bookmarkStart w:id="625" w:name="_III._2.1.1_Hitelkockázat"/>
      <w:bookmarkStart w:id="626" w:name="_Toc378256234"/>
      <w:bookmarkStart w:id="627" w:name="_Toc378592042"/>
      <w:bookmarkStart w:id="628" w:name="_Toc461095202"/>
      <w:bookmarkStart w:id="629" w:name="_Toc461179858"/>
      <w:bookmarkStart w:id="630" w:name="_Toc461201301"/>
      <w:bookmarkStart w:id="631" w:name="_Toc461547944"/>
      <w:bookmarkStart w:id="632" w:name="_Toc462401982"/>
      <w:bookmarkStart w:id="633" w:name="_Toc462403103"/>
      <w:bookmarkStart w:id="634" w:name="_Toc462403427"/>
      <w:bookmarkStart w:id="635" w:name="_Toc468180546"/>
      <w:bookmarkStart w:id="636" w:name="_Toc468181054"/>
      <w:bookmarkStart w:id="637" w:name="_Toc468191442"/>
      <w:bookmarkStart w:id="638" w:name="_Toc27138950"/>
      <w:bookmarkEnd w:id="623"/>
      <w:bookmarkEnd w:id="624"/>
      <w:bookmarkEnd w:id="625"/>
      <w:r w:rsidRPr="006A6890">
        <w:rPr>
          <w:rFonts w:asciiTheme="minorHAnsi" w:hAnsiTheme="minorHAnsi"/>
        </w:rPr>
        <w:t>Hitelkockázat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w:t>
      </w:r>
      <w:r w:rsidRPr="006A6890">
        <w:rPr>
          <w:rFonts w:asciiTheme="minorHAnsi" w:hAnsiTheme="minorHAnsi"/>
        </w:rPr>
        <w:lastRenderedPageBreak/>
        <w:t xml:space="preserve">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proofErr w:type="spellStart"/>
      <w:r w:rsidRPr="006A6890">
        <w:rPr>
          <w:rFonts w:asciiTheme="minorHAnsi" w:hAnsiTheme="minorHAnsi"/>
        </w:rPr>
        <w:t>reziduális</w:t>
      </w:r>
      <w:proofErr w:type="spellEnd"/>
      <w:r w:rsidRPr="006A6890">
        <w:rPr>
          <w:rFonts w:asciiTheme="minorHAnsi" w:hAnsiTheme="minorHAnsi"/>
        </w:rPr>
        <w:t xml:space="preserve"> kockázat,</w:t>
      </w:r>
    </w:p>
    <w:p w14:paraId="37526C8F" w14:textId="12E1E6EA" w:rsidR="0065241E" w:rsidRPr="006A6890" w:rsidRDefault="0065241E" w:rsidP="00181755">
      <w:pPr>
        <w:pStyle w:val="felsorolsos"/>
        <w:rPr>
          <w:rFonts w:asciiTheme="minorHAnsi" w:hAnsiTheme="minorHAnsi"/>
        </w:rPr>
      </w:pPr>
      <w:proofErr w:type="spellStart"/>
      <w:r w:rsidRPr="006A6890">
        <w:rPr>
          <w:rFonts w:asciiTheme="minorHAnsi" w:hAnsiTheme="minorHAnsi"/>
        </w:rPr>
        <w:t>értékpapírosítási</w:t>
      </w:r>
      <w:proofErr w:type="spellEnd"/>
      <w:r w:rsidRPr="006A6890">
        <w:rPr>
          <w:rFonts w:asciiTheme="minorHAnsi" w:hAnsiTheme="minorHAnsi"/>
        </w:rPr>
        <w:t xml:space="preserve">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 xml:space="preserve">számítási eljárását, a kockázatok (inherens és kontroll oldali) felmérésére, </w:t>
      </w:r>
      <w:proofErr w:type="spellStart"/>
      <w:r w:rsidRPr="006A6890">
        <w:rPr>
          <w:rFonts w:asciiTheme="minorHAnsi" w:hAnsiTheme="minorHAnsi"/>
        </w:rPr>
        <w:t>monitoringjára</w:t>
      </w:r>
      <w:proofErr w:type="spellEnd"/>
      <w:r w:rsidRPr="006A6890">
        <w:rPr>
          <w:rFonts w:asciiTheme="minorHAnsi" w:hAnsiTheme="minorHAnsi"/>
        </w:rPr>
        <w:t xml:space="preserve">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(PD); a</w:t>
      </w:r>
      <w:r w:rsidR="00F957F8" w:rsidRPr="006A6890">
        <w:rPr>
          <w:rFonts w:asciiTheme="minorHAnsi" w:hAnsiTheme="minorHAnsi"/>
        </w:rPr>
        <w:t xml:space="preserve"> </w:t>
      </w:r>
      <w:r w:rsidRPr="006A6890">
        <w:rPr>
          <w:rFonts w:asciiTheme="minorHAnsi" w:hAnsiTheme="minorHAnsi"/>
        </w:rPr>
        <w:t xml:space="preserve">hitelkockázati kitettségek mértékét (EAD); valamint a </w:t>
      </w:r>
      <w:r w:rsidR="00CE6414" w:rsidRPr="006A6890">
        <w:rPr>
          <w:rFonts w:asciiTheme="minorHAnsi" w:hAnsiTheme="minorHAnsi"/>
        </w:rPr>
        <w:t xml:space="preserve">hitelfelvevők nemteljesítése esetén </w:t>
      </w:r>
      <w:r w:rsidRPr="006A6890">
        <w:rPr>
          <w:rFonts w:asciiTheme="minorHAnsi" w:hAnsiTheme="minorHAnsi"/>
        </w:rPr>
        <w:t>a hitelkitettségek megtérülési rátáját (</w:t>
      </w:r>
      <w:proofErr w:type="spellStart"/>
      <w:r w:rsidRPr="006A6890">
        <w:rPr>
          <w:rFonts w:asciiTheme="minorHAnsi" w:hAnsiTheme="minorHAnsi"/>
        </w:rPr>
        <w:t>LGD</w:t>
      </w:r>
      <w:proofErr w:type="spellEnd"/>
      <w:r w:rsidRPr="006A6890">
        <w:rPr>
          <w:rFonts w:asciiTheme="minorHAnsi" w:hAnsiTheme="minorHAnsi"/>
        </w:rPr>
        <w:t>). Az intézményeknek 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046B781A"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w:t>
      </w:r>
      <w:r w:rsidR="00CE29ED" w:rsidRPr="006A6890">
        <w:rPr>
          <w:rFonts w:asciiTheme="minorHAnsi" w:hAnsiTheme="minorHAnsi"/>
        </w:rPr>
        <w:t>-</w:t>
      </w:r>
      <w:r w:rsidR="00F957F8" w:rsidRPr="006A6890">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12134A27" w:rsidR="00D3418F" w:rsidRPr="006A6890" w:rsidRDefault="00851F37" w:rsidP="00181755">
      <w:pPr>
        <w:pStyle w:val="felsorolsos"/>
        <w:rPr>
          <w:rFonts w:asciiTheme="minorHAnsi" w:hAnsiTheme="minorHAnsi"/>
        </w:rPr>
      </w:pPr>
      <w:r w:rsidRPr="006A6890">
        <w:rPr>
          <w:rFonts w:asciiTheme="minorHAnsi" w:hAnsiTheme="minorHAnsi"/>
          <w:lang w:val="hu-HU"/>
        </w:rPr>
        <w:t xml:space="preserve">ésszerű,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lastRenderedPageBreak/>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xml:space="preserve">, </w:t>
      </w:r>
      <w:proofErr w:type="spellStart"/>
      <w:r w:rsidR="00971B9D" w:rsidRPr="006A6890">
        <w:rPr>
          <w:rFonts w:asciiTheme="minorHAnsi" w:hAnsiTheme="minorHAnsi"/>
          <w:lang w:val="hu-HU"/>
        </w:rPr>
        <w:t>monitoringozására</w:t>
      </w:r>
      <w:proofErr w:type="spellEnd"/>
      <w:r w:rsidR="00971B9D" w:rsidRPr="006A6890">
        <w:rPr>
          <w:rFonts w:asciiTheme="minorHAnsi" w:hAnsiTheme="minorHAnsi"/>
          <w:lang w:val="hu-HU"/>
        </w:rPr>
        <w:t xml:space="preserve"> és </w:t>
      </w:r>
      <w:proofErr w:type="spellStart"/>
      <w:r w:rsidR="00971B9D" w:rsidRPr="006A6890">
        <w:rPr>
          <w:rFonts w:asciiTheme="minorHAnsi" w:hAnsiTheme="minorHAnsi"/>
          <w:lang w:val="hu-HU"/>
        </w:rPr>
        <w:t>riportálására</w:t>
      </w:r>
      <w:proofErr w:type="spellEnd"/>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0DB7B53C"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ratings</w:t>
      </w:r>
      <w:proofErr w:type="spellEnd"/>
      <w:r w:rsidRPr="006A6890">
        <w:rPr>
          <w:rFonts w:asciiTheme="minorHAnsi" w:hAnsiTheme="minorHAnsi"/>
        </w:rPr>
        <w:t xml:space="preserve"> </w:t>
      </w:r>
      <w:proofErr w:type="spellStart"/>
      <w:r w:rsidRPr="006A6890">
        <w:rPr>
          <w:rFonts w:asciiTheme="minorHAnsi" w:hAnsiTheme="minorHAnsi"/>
        </w:rPr>
        <w:t>based</w:t>
      </w:r>
      <w:proofErr w:type="spellEnd"/>
      <w:r w:rsidRPr="006A6890">
        <w:rPr>
          <w:rFonts w:asciiTheme="minorHAnsi" w:hAnsiTheme="minorHAnsi"/>
        </w:rPr>
        <w:t xml:space="preserve"> </w:t>
      </w:r>
      <w:proofErr w:type="spellStart"/>
      <w:r w:rsidRPr="006A6890">
        <w:rPr>
          <w:rFonts w:asciiTheme="minorHAnsi" w:hAnsiTheme="minorHAnsi"/>
        </w:rPr>
        <w:t>approaches</w:t>
      </w:r>
      <w:proofErr w:type="spellEnd"/>
      <w:r w:rsidR="00C1121F" w:rsidRPr="006A6890">
        <w:rPr>
          <w:rFonts w:asciiTheme="minorHAnsi" w:hAnsiTheme="minorHAnsi"/>
        </w:rPr>
        <w:t>, IRB</w:t>
      </w:r>
      <w:r w:rsidRPr="006A6890">
        <w:rPr>
          <w:rFonts w:asciiTheme="minorHAnsi" w:hAnsiTheme="minorHAnsi"/>
        </w:rPr>
        <w:t xml:space="preserve">) – melynek két változata az alap- és fejlett módszer </w:t>
      </w:r>
      <w:r w:rsidR="00C1121F" w:rsidRPr="006A6890">
        <w:rPr>
          <w:rFonts w:asciiTheme="minorHAnsi" w:hAnsiTheme="minorHAnsi"/>
        </w:rPr>
        <w:t>(</w:t>
      </w:r>
      <w:proofErr w:type="spellStart"/>
      <w:r w:rsidR="00C1121F" w:rsidRPr="006A6890">
        <w:rPr>
          <w:rFonts w:asciiTheme="minorHAnsi" w:hAnsiTheme="minorHAnsi"/>
        </w:rPr>
        <w:t>FIRB</w:t>
      </w:r>
      <w:proofErr w:type="spellEnd"/>
      <w:r w:rsidR="00C1121F" w:rsidRPr="006A6890">
        <w:rPr>
          <w:rFonts w:asciiTheme="minorHAnsi" w:hAnsiTheme="minorHAnsi"/>
        </w:rPr>
        <w:t xml:space="preserve"> és </w:t>
      </w:r>
      <w:proofErr w:type="spellStart"/>
      <w:r w:rsidR="00C1121F" w:rsidRPr="006A6890">
        <w:rPr>
          <w:rFonts w:asciiTheme="minorHAnsi" w:hAnsiTheme="minorHAnsi"/>
        </w:rPr>
        <w:t>AIRB</w:t>
      </w:r>
      <w:proofErr w:type="spellEnd"/>
      <w:r w:rsidR="00C1121F" w:rsidRPr="006A6890">
        <w:rPr>
          <w:rFonts w:asciiTheme="minorHAnsi" w:hAnsiTheme="minorHAnsi"/>
        </w:rPr>
        <w:t xml:space="preserve">)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w:t>
      </w:r>
      <w:proofErr w:type="spellStart"/>
      <w:r w:rsidRPr="006A6890">
        <w:rPr>
          <w:rFonts w:asciiTheme="minorHAnsi" w:hAnsiTheme="minorHAnsi"/>
        </w:rPr>
        <w:t>standardised</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 xml:space="preserve">szabályzatban stb.), valamint az egyéb termékjellemzők meghatározása (sztenderd termékek). A szabályzatnak ki kell terjednie a </w:t>
      </w:r>
      <w:proofErr w:type="spellStart"/>
      <w:r w:rsidRPr="006A6890">
        <w:rPr>
          <w:rFonts w:asciiTheme="minorHAnsi" w:hAnsiTheme="minorHAnsi"/>
        </w:rPr>
        <w:t>granularitás</w:t>
      </w:r>
      <w:proofErr w:type="spellEnd"/>
      <w:r w:rsidRPr="006A6890">
        <w:rPr>
          <w:rFonts w:asciiTheme="minorHAnsi" w:hAnsiTheme="minorHAnsi"/>
        </w:rPr>
        <w:footnoteReference w:id="25"/>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 xml:space="preserve">A tőkekövetelmény számítása során a </w:t>
      </w:r>
      <w:proofErr w:type="spellStart"/>
      <w:r w:rsidRPr="006A6890">
        <w:rPr>
          <w:rFonts w:asciiTheme="minorHAnsi" w:hAnsiTheme="minorHAnsi"/>
        </w:rPr>
        <w:t>granularitás</w:t>
      </w:r>
      <w:proofErr w:type="spellEnd"/>
      <w:r w:rsidRPr="006A6890">
        <w:rPr>
          <w:rFonts w:asciiTheme="minorHAnsi" w:hAnsiTheme="minorHAnsi"/>
        </w:rPr>
        <w:t xml:space="preserve">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w:t>
      </w:r>
      <w:proofErr w:type="spellStart"/>
      <w:r w:rsidRPr="006A6890">
        <w:rPr>
          <w:rFonts w:asciiTheme="minorHAnsi" w:hAnsiTheme="minorHAnsi"/>
        </w:rPr>
        <w:t>pool</w:t>
      </w:r>
      <w:proofErr w:type="spellEnd"/>
      <w:r w:rsidR="006204E5" w:rsidRPr="006A6890">
        <w:rPr>
          <w:rFonts w:asciiTheme="minorHAnsi" w:hAnsiTheme="minorHAnsi"/>
          <w:lang w:val="hu-HU"/>
        </w:rPr>
        <w:t>”-</w:t>
      </w:r>
      <w:r w:rsidRPr="006A6890">
        <w:rPr>
          <w:rFonts w:asciiTheme="minorHAnsi" w:hAnsiTheme="minorHAnsi"/>
        </w:rPr>
        <w:t xml:space="preserve">okba sorolása, azaz az azonosan „viselkedő” termékek (azonos, sztenderd kondíciók, limitált összeghatár, stb.) azonosítása. Érdemes meghatározni egy minimális ügyletszámot az egyes </w:t>
      </w:r>
      <w:proofErr w:type="spellStart"/>
      <w:r w:rsidRPr="006A6890">
        <w:rPr>
          <w:rFonts w:asciiTheme="minorHAnsi" w:hAnsiTheme="minorHAnsi"/>
        </w:rPr>
        <w:t>pool</w:t>
      </w:r>
      <w:proofErr w:type="spellEnd"/>
      <w:r w:rsidR="006204E5" w:rsidRPr="006A6890">
        <w:rPr>
          <w:rFonts w:asciiTheme="minorHAnsi" w:hAnsiTheme="minorHAnsi"/>
          <w:lang w:val="hu-HU"/>
        </w:rPr>
        <w:t>-</w:t>
      </w:r>
      <w:r w:rsidRPr="006A6890">
        <w:rPr>
          <w:rFonts w:asciiTheme="minorHAnsi" w:hAnsiTheme="minorHAnsi"/>
        </w:rPr>
        <w:t xml:space="preserve">okra a </w:t>
      </w:r>
      <w:proofErr w:type="spellStart"/>
      <w:r w:rsidRPr="006A6890">
        <w:rPr>
          <w:rFonts w:asciiTheme="minorHAnsi" w:hAnsiTheme="minorHAnsi"/>
        </w:rPr>
        <w:t>granularitás</w:t>
      </w:r>
      <w:proofErr w:type="spellEnd"/>
      <w:r w:rsidRPr="006A6890">
        <w:rPr>
          <w:rFonts w:asciiTheme="minorHAnsi" w:hAnsiTheme="minorHAnsi"/>
        </w:rPr>
        <w:t xml:space="preserve">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w:t>
      </w:r>
      <w:proofErr w:type="spellStart"/>
      <w:r w:rsidRPr="006A6890">
        <w:rPr>
          <w:rFonts w:asciiTheme="minorHAnsi" w:hAnsiTheme="minorHAnsi"/>
        </w:rPr>
        <w:t>AIRB</w:t>
      </w:r>
      <w:proofErr w:type="spellEnd"/>
      <w:r w:rsidRPr="006A6890">
        <w:rPr>
          <w:rFonts w:asciiTheme="minorHAnsi" w:hAnsiTheme="minorHAnsi"/>
        </w:rPr>
        <w:t xml:space="preserve"> esetén sem engedi meg „valódi” (portfólióhatásokat is tükröző) hitelkockázati modellek alkalmazását, melyekre a 2. pillér esetében lehetőség nyílik. Több ilyen modell elérhető a piacon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xml:space="preserve">+), amelyek </w:t>
      </w:r>
      <w:r w:rsidR="00B66344" w:rsidRPr="006A6890">
        <w:rPr>
          <w:rFonts w:asciiTheme="minorHAnsi" w:hAnsiTheme="minorHAnsi"/>
        </w:rPr>
        <w:t xml:space="preserve">azonban </w:t>
      </w:r>
      <w:r w:rsidR="00BA5B0A" w:rsidRPr="006A6890">
        <w:rPr>
          <w:rFonts w:asciiTheme="minorHAnsi" w:hAnsiTheme="minorHAnsi"/>
        </w:rPr>
        <w:t xml:space="preserve">a kalibrációs nehézségek </w:t>
      </w:r>
      <w:r w:rsidR="00B66344" w:rsidRPr="006A6890">
        <w:rPr>
          <w:rFonts w:asciiTheme="minorHAnsi" w:hAnsiTheme="minorHAnsi"/>
        </w:rPr>
        <w:t>miatt jelentős modellkockázatot hordozhatnak magukban.</w:t>
      </w:r>
      <w:r w:rsidRPr="006A6890">
        <w:rPr>
          <w:rStyle w:val="FootnoteReference"/>
          <w:rFonts w:asciiTheme="minorHAnsi" w:hAnsiTheme="minorHAnsi"/>
        </w:rPr>
        <w:footnoteReference w:id="26"/>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proofErr w:type="spellStart"/>
      <w:r w:rsidRPr="006A6890">
        <w:rPr>
          <w:rFonts w:asciiTheme="minorHAnsi" w:hAnsiTheme="minorHAnsi"/>
        </w:rPr>
        <w:t>benchmark</w:t>
      </w:r>
      <w:r w:rsidR="00432197" w:rsidRPr="006A6890">
        <w:rPr>
          <w:rFonts w:asciiTheme="minorHAnsi" w:hAnsiTheme="minorHAnsi"/>
        </w:rPr>
        <w:t>olás</w:t>
      </w:r>
      <w:proofErr w:type="spellEnd"/>
      <w:r w:rsidR="001064F6" w:rsidRPr="006A6890">
        <w:rPr>
          <w:rFonts w:asciiTheme="minorHAnsi" w:hAnsiTheme="minorHAnsi"/>
        </w:rPr>
        <w:t xml:space="preserve"> is</w:t>
      </w:r>
      <w:r w:rsidR="00432197" w:rsidRPr="006A6890">
        <w:rPr>
          <w:rFonts w:asciiTheme="minorHAnsi" w:hAnsiTheme="minorHAnsi"/>
        </w:rPr>
        <w:t>, melynek során az MNB az IRB modell (nem kellően granuláris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7E60F28E" w:rsidR="003F29E3" w:rsidRPr="006A6890" w:rsidRDefault="003F29E3" w:rsidP="00AA57CA">
      <w:pPr>
        <w:rPr>
          <w:rFonts w:asciiTheme="minorHAnsi" w:hAnsiTheme="minorHAnsi"/>
        </w:rPr>
      </w:pPr>
      <w:r w:rsidRPr="006A6890">
        <w:rPr>
          <w:rFonts w:asciiTheme="minorHAnsi" w:hAnsiTheme="minorHAnsi"/>
        </w:rPr>
        <w:t xml:space="preserve">A hitelezési kockázatok a </w:t>
      </w:r>
      <w:proofErr w:type="spellStart"/>
      <w:r w:rsidRPr="006A6890">
        <w:rPr>
          <w:rFonts w:asciiTheme="minorHAnsi" w:hAnsiTheme="minorHAnsi"/>
        </w:rPr>
        <w:t>CRD</w:t>
      </w:r>
      <w:proofErr w:type="spellEnd"/>
      <w:r w:rsidRPr="006A6890">
        <w:rPr>
          <w:rFonts w:asciiTheme="minorHAnsi" w:hAnsiTheme="minorHAnsi"/>
        </w:rPr>
        <w:t xml:space="preserve"> </w:t>
      </w:r>
      <w:r w:rsidR="00A82A54" w:rsidRPr="006A6890">
        <w:rPr>
          <w:rFonts w:asciiTheme="minorHAnsi" w:hAnsiTheme="minorHAnsi"/>
        </w:rPr>
        <w:t xml:space="preserve">IV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lastRenderedPageBreak/>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w:t>
      </w:r>
      <w:proofErr w:type="spellStart"/>
      <w:r w:rsidRPr="006A6890">
        <w:rPr>
          <w:rFonts w:asciiTheme="minorHAnsi" w:hAnsiTheme="minorHAnsi"/>
        </w:rPr>
        <w:t>szofisztikáltságú</w:t>
      </w:r>
      <w:proofErr w:type="spellEnd"/>
      <w:r w:rsidRPr="006A6890">
        <w:rPr>
          <w:rFonts w:asciiTheme="minorHAnsi" w:hAnsiTheme="minorHAnsi"/>
        </w:rPr>
        <w:t xml:space="preserve"> felméréséből fakadó potenciális kockázat(ok).</w:t>
      </w:r>
      <w:r w:rsidR="009A4C7E" w:rsidRPr="006A6890">
        <w:rPr>
          <w:rFonts w:asciiTheme="minorHAnsi" w:hAnsiTheme="minorHAnsi"/>
        </w:rPr>
        <w:t xml:space="preserve"> Az MNB általános vizsgálati tapasztalata alapján a sztenderd módszertan </w:t>
      </w:r>
      <w:proofErr w:type="spellStart"/>
      <w:r w:rsidR="009A4C7E" w:rsidRPr="006A6890">
        <w:rPr>
          <w:rFonts w:asciiTheme="minorHAnsi" w:hAnsiTheme="minorHAnsi"/>
        </w:rPr>
        <w:t>alulbecsli</w:t>
      </w:r>
      <w:proofErr w:type="spellEnd"/>
      <w:r w:rsidR="009A4C7E" w:rsidRPr="006A6890">
        <w:rPr>
          <w:rFonts w:asciiTheme="minorHAnsi" w:hAnsiTheme="minorHAnsi"/>
        </w:rPr>
        <w:t xml:space="preserve">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5DD6063D"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proofErr w:type="spellStart"/>
      <w:r w:rsidR="00880BE8" w:rsidRPr="006A6890">
        <w:rPr>
          <w:rFonts w:asciiTheme="minorHAnsi" w:hAnsiTheme="minorHAnsi"/>
        </w:rPr>
        <w:t>peer</w:t>
      </w:r>
      <w:proofErr w:type="spellEnd"/>
      <w:r w:rsidR="00880BE8" w:rsidRPr="006A6890">
        <w:rPr>
          <w:rFonts w:asciiTheme="minorHAnsi" w:hAnsiTheme="minorHAnsi"/>
        </w:rPr>
        <w:t xml:space="preserve"> </w:t>
      </w:r>
      <w:proofErr w:type="spellStart"/>
      <w:r w:rsidR="00880BE8" w:rsidRPr="006A6890">
        <w:rPr>
          <w:rFonts w:asciiTheme="minorHAnsi" w:hAnsiTheme="minorHAnsi"/>
        </w:rPr>
        <w:t>group</w:t>
      </w:r>
      <w:proofErr w:type="spellEnd"/>
      <w:r w:rsidR="00880BE8" w:rsidRPr="006A6890">
        <w:rPr>
          <w:rFonts w:asciiTheme="minorHAnsi" w:hAnsiTheme="minorHAnsi"/>
        </w:rPr>
        <w:t xml:space="preserve">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Heading4"/>
        <w:rPr>
          <w:rFonts w:asciiTheme="minorHAnsi" w:hAnsiTheme="minorHAnsi"/>
        </w:rPr>
      </w:pPr>
      <w:bookmarkStart w:id="639" w:name="_A_hitelkockázati_modell"/>
      <w:bookmarkStart w:id="640" w:name="_Toc378592166"/>
      <w:bookmarkStart w:id="641" w:name="_Toc461095203"/>
      <w:bookmarkStart w:id="642" w:name="_Toc461179859"/>
      <w:bookmarkStart w:id="643" w:name="_Toc461201302"/>
      <w:bookmarkStart w:id="644" w:name="_Toc461547945"/>
      <w:bookmarkStart w:id="645" w:name="_Toc462401983"/>
      <w:bookmarkStart w:id="646" w:name="_Toc462403104"/>
      <w:bookmarkStart w:id="647" w:name="_Toc462403428"/>
      <w:bookmarkStart w:id="648" w:name="_Toc468180547"/>
      <w:bookmarkStart w:id="649" w:name="_Toc468181055"/>
      <w:bookmarkStart w:id="650" w:name="_Toc468191443"/>
      <w:bookmarkStart w:id="651" w:name="_Toc27138951"/>
      <w:bookmarkEnd w:id="639"/>
      <w:r w:rsidRPr="006A6890">
        <w:rPr>
          <w:rFonts w:asciiTheme="minorHAnsi" w:hAnsiTheme="minorHAnsi"/>
        </w:rPr>
        <w:t>A hitelkockázati modell feltevései</w:t>
      </w:r>
      <w:bookmarkEnd w:id="640"/>
      <w:bookmarkEnd w:id="641"/>
      <w:bookmarkEnd w:id="642"/>
      <w:bookmarkEnd w:id="643"/>
      <w:bookmarkEnd w:id="644"/>
      <w:bookmarkEnd w:id="645"/>
      <w:bookmarkEnd w:id="646"/>
      <w:bookmarkEnd w:id="647"/>
      <w:bookmarkEnd w:id="648"/>
      <w:bookmarkEnd w:id="649"/>
      <w:bookmarkEnd w:id="650"/>
      <w:bookmarkEnd w:id="651"/>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w:t>
      </w:r>
      <w:proofErr w:type="spellStart"/>
      <w:r w:rsidRPr="006A6890">
        <w:rPr>
          <w:rFonts w:asciiTheme="minorHAnsi" w:hAnsiTheme="minorHAnsi"/>
        </w:rPr>
        <w:t>együttmozgásának</w:t>
      </w:r>
      <w:proofErr w:type="spellEnd"/>
      <w:r w:rsidRPr="006A6890">
        <w:rPr>
          <w:rFonts w:asciiTheme="minorHAnsi" w:hAnsiTheme="minorHAnsi"/>
        </w:rPr>
        <w:t xml:space="preserve"> meghatározására, illetve hitelminőségre gyakorolt hatásuk jellegének és erősségének megválasztására. A </w:t>
      </w:r>
      <w:proofErr w:type="spellStart"/>
      <w:r w:rsidRPr="006A6890">
        <w:rPr>
          <w:rFonts w:asciiTheme="minorHAnsi" w:hAnsiTheme="minorHAnsi"/>
        </w:rPr>
        <w:t>Creditrisk</w:t>
      </w:r>
      <w:proofErr w:type="spellEnd"/>
      <w:r w:rsidRPr="006A6890">
        <w:rPr>
          <w:rFonts w:asciiTheme="minorHAnsi" w:hAnsiTheme="minorHAnsi"/>
        </w:rPr>
        <w:t>+ modellben például a nemteljesítési valószínűségek (</w:t>
      </w:r>
      <w:proofErr w:type="spellStart"/>
      <w:r w:rsidRPr="006A6890">
        <w:rPr>
          <w:rFonts w:asciiTheme="minorHAnsi" w:hAnsiTheme="minorHAnsi"/>
        </w:rPr>
        <w:t>probability</w:t>
      </w:r>
      <w:proofErr w:type="spellEnd"/>
      <w:r w:rsidRPr="006A6890">
        <w:rPr>
          <w:rFonts w:asciiTheme="minorHAnsi" w:hAnsiTheme="minorHAnsi"/>
        </w:rPr>
        <w:t xml:space="preserve"> of default, PD) szórása jeleníti meg a mögöttes faktor(ok)</w:t>
      </w:r>
      <w:proofErr w:type="spellStart"/>
      <w:r w:rsidRPr="006A6890">
        <w:rPr>
          <w:rFonts w:asciiTheme="minorHAnsi" w:hAnsiTheme="minorHAnsi"/>
        </w:rPr>
        <w:t>ra</w:t>
      </w:r>
      <w:proofErr w:type="spellEnd"/>
      <w:r w:rsidRPr="006A6890">
        <w:rPr>
          <w:rFonts w:asciiTheme="minorHAnsi" w:hAnsiTheme="minorHAnsi"/>
        </w:rPr>
        <w:t xml:space="preserve"> való érzékenységet, míg a többfaktoros </w:t>
      </w:r>
      <w:proofErr w:type="spellStart"/>
      <w:r w:rsidRPr="006A6890">
        <w:rPr>
          <w:rFonts w:asciiTheme="minorHAnsi" w:hAnsiTheme="minorHAnsi"/>
        </w:rPr>
        <w:t>Merton</w:t>
      </w:r>
      <w:proofErr w:type="spellEnd"/>
      <w:r w:rsidRPr="006A6890">
        <w:rPr>
          <w:rFonts w:asciiTheme="minorHAnsi" w:hAnsiTheme="minorHAnsi"/>
        </w:rPr>
        <w:t xml:space="preserve">-modell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IRB-modellt használó intézményektől az MNB általánosságban a CRR </w:t>
      </w:r>
      <w:proofErr w:type="spellStart"/>
      <w:r w:rsidRPr="006A6890">
        <w:rPr>
          <w:rFonts w:asciiTheme="minorHAnsi" w:hAnsiTheme="minorHAnsi"/>
        </w:rPr>
        <w:t>validált</w:t>
      </w:r>
      <w:proofErr w:type="spellEnd"/>
      <w:r w:rsidRPr="006A6890">
        <w:rPr>
          <w:rFonts w:asciiTheme="minorHAnsi" w:hAnsiTheme="minorHAnsi"/>
        </w:rPr>
        <w:t xml:space="preserve">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w:t>
      </w:r>
      <w:proofErr w:type="spellStart"/>
      <w:r w:rsidRPr="006A6890">
        <w:rPr>
          <w:rFonts w:asciiTheme="minorHAnsi" w:hAnsiTheme="minorHAnsi"/>
        </w:rPr>
        <w:t>együttmozgást</w:t>
      </w:r>
      <w:proofErr w:type="spellEnd"/>
      <w:r w:rsidRPr="006A6890">
        <w:rPr>
          <w:rFonts w:asciiTheme="minorHAnsi" w:hAnsiTheme="minorHAnsi"/>
        </w:rPr>
        <w:t xml:space="preserve">. A nemteljesítési folyamatoktól nagyrészt független faktorok választása esetén ugyanis magasabb eszközkorrelációk alkalmazásával sem lehet elkerülni a kockázati kitettség </w:t>
      </w:r>
      <w:proofErr w:type="spellStart"/>
      <w:r w:rsidRPr="006A6890">
        <w:rPr>
          <w:rFonts w:asciiTheme="minorHAnsi" w:hAnsiTheme="minorHAnsi"/>
        </w:rPr>
        <w:t>alulbecslését</w:t>
      </w:r>
      <w:proofErr w:type="spellEnd"/>
      <w:r w:rsidRPr="006A6890">
        <w:rPr>
          <w:rFonts w:asciiTheme="minorHAnsi" w:hAnsiTheme="minorHAnsi"/>
        </w:rPr>
        <w:t xml:space="preserve">.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w:t>
      </w:r>
      <w:proofErr w:type="spellStart"/>
      <w:r w:rsidRPr="006A6890">
        <w:rPr>
          <w:rFonts w:asciiTheme="minorHAnsi" w:hAnsiTheme="minorHAnsi"/>
        </w:rPr>
        <w:t>Creditrisk</w:t>
      </w:r>
      <w:proofErr w:type="spellEnd"/>
      <w:r w:rsidRPr="006A6890">
        <w:rPr>
          <w:rFonts w:asciiTheme="minorHAnsi" w:hAnsiTheme="minorHAnsi"/>
        </w:rPr>
        <w:t xml:space="preserve">+ modellben, az eszközkorreláció a </w:t>
      </w:r>
      <w:proofErr w:type="spellStart"/>
      <w:r w:rsidRPr="006A6890">
        <w:rPr>
          <w:rFonts w:asciiTheme="minorHAnsi" w:hAnsiTheme="minorHAnsi"/>
        </w:rPr>
        <w:t>Merton</w:t>
      </w:r>
      <w:proofErr w:type="spellEnd"/>
      <w:r w:rsidRPr="006A6890">
        <w:rPr>
          <w:rFonts w:asciiTheme="minorHAnsi" w:hAnsiTheme="minorHAnsi"/>
        </w:rPr>
        <w:t>-féle portfóliómodellben – az egyszektoros megközelítések esetében viszonylag egyszerű</w:t>
      </w:r>
      <w:r w:rsidR="006015F3" w:rsidRPr="006A6890">
        <w:rPr>
          <w:rFonts w:asciiTheme="minorHAnsi" w:hAnsiTheme="minorHAnsi"/>
        </w:rPr>
        <w:t>en megfeleltethető az IRB-model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FootnoteReference"/>
          <w:rFonts w:asciiTheme="minorHAnsi" w:hAnsiTheme="minorHAnsi"/>
          <w:szCs w:val="22"/>
        </w:rPr>
        <w:t xml:space="preserve"> </w:t>
      </w:r>
      <w:r w:rsidRPr="006A6890">
        <w:rPr>
          <w:rStyle w:val="FootnoteReference"/>
          <w:rFonts w:asciiTheme="minorHAnsi" w:hAnsiTheme="minorHAnsi"/>
          <w:szCs w:val="22"/>
        </w:rPr>
        <w:footnoteReference w:id="27"/>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w:t>
      </w:r>
      <w:proofErr w:type="spellStart"/>
      <w:r w:rsidRPr="006A6890">
        <w:rPr>
          <w:rFonts w:asciiTheme="minorHAnsi" w:hAnsiTheme="minorHAnsi"/>
        </w:rPr>
        <w:t>dekompozíció</w:t>
      </w:r>
      <w:proofErr w:type="spellEnd"/>
      <w:r w:rsidRPr="006A6890">
        <w:rPr>
          <w:rFonts w:asciiTheme="minorHAnsi" w:hAnsiTheme="minorHAnsi"/>
        </w:rPr>
        <w:t xml:space="preserve">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w:t>
      </w:r>
      <w:proofErr w:type="spellStart"/>
      <w:r w:rsidRPr="006A6890">
        <w:rPr>
          <w:rFonts w:asciiTheme="minorHAnsi" w:hAnsiTheme="minorHAnsi"/>
        </w:rPr>
        <w:t>együttmozgása</w:t>
      </w:r>
      <w:proofErr w:type="spellEnd"/>
      <w:r w:rsidRPr="006A6890">
        <w:rPr>
          <w:rFonts w:asciiTheme="minorHAnsi" w:hAnsiTheme="minorHAnsi"/>
        </w:rPr>
        <w:t xml:space="preserve">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intézményeknek demonstrálniuk kell a 2. pilléres modell által lefedett kitettségek teljeskörűségét, részletesen kitérve a szabályozói pillértől való eltérésekre és azok indokára. Az MNB ezen kívül az 1. pillérben </w:t>
      </w:r>
      <w:proofErr w:type="spellStart"/>
      <w:r w:rsidRPr="006A6890">
        <w:rPr>
          <w:rFonts w:asciiTheme="minorHAnsi" w:hAnsiTheme="minorHAnsi"/>
        </w:rPr>
        <w:t>validált</w:t>
      </w:r>
      <w:proofErr w:type="spellEnd"/>
      <w:r w:rsidRPr="006A6890">
        <w:rPr>
          <w:rFonts w:asciiTheme="minorHAnsi" w:hAnsiTheme="minorHAnsi"/>
        </w:rPr>
        <w:t xml:space="preserve"> IRB-módszert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r w:rsidR="00AC3BA7" w:rsidRPr="006A6890">
        <w:rPr>
          <w:rFonts w:asciiTheme="minorHAnsi" w:hAnsiTheme="minorHAnsi"/>
          <w:lang w:val="hu-HU"/>
        </w:rPr>
        <w:t>PD</w:t>
      </w:r>
      <w:r w:rsidRPr="006A6890">
        <w:rPr>
          <w:rFonts w:asciiTheme="minorHAnsi" w:hAnsiTheme="minorHAnsi"/>
        </w:rPr>
        <w:t>), nemteljesítéskori veszteségráta (</w:t>
      </w:r>
      <w:proofErr w:type="spellStart"/>
      <w:r w:rsidRPr="006A6890">
        <w:rPr>
          <w:rFonts w:asciiTheme="minorHAnsi" w:hAnsiTheme="minorHAnsi"/>
        </w:rPr>
        <w:t>LGD</w:t>
      </w:r>
      <w:proofErr w:type="spellEnd"/>
      <w:r w:rsidRPr="006A6890">
        <w:rPr>
          <w:rFonts w:asciiTheme="minorHAnsi" w:hAnsiTheme="minorHAnsi"/>
        </w:rPr>
        <w:t xml:space="preserve">) és hitelegyenértékesítési faktor (CCF)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r w:rsidR="00AC3BA7" w:rsidRPr="006A6890">
        <w:rPr>
          <w:rFonts w:asciiTheme="minorHAnsi" w:hAnsiTheme="minorHAnsi"/>
          <w:lang w:val="hu-HU"/>
        </w:rPr>
        <w:t>CCF</w:t>
      </w:r>
      <w:r w:rsidRPr="006A6890">
        <w:rPr>
          <w:rFonts w:asciiTheme="minorHAnsi" w:hAnsiTheme="minorHAnsi"/>
        </w:rPr>
        <w:t xml:space="preserve">, PD, </w:t>
      </w:r>
      <w:proofErr w:type="spellStart"/>
      <w:r w:rsidRPr="006A6890">
        <w:rPr>
          <w:rFonts w:asciiTheme="minorHAnsi" w:hAnsiTheme="minorHAnsi"/>
        </w:rPr>
        <w:t>LGD</w:t>
      </w:r>
      <w:proofErr w:type="spellEnd"/>
      <w:r w:rsidRPr="006A6890">
        <w:rPr>
          <w:rFonts w:asciiTheme="minorHAnsi" w:hAnsiTheme="minorHAnsi"/>
        </w:rPr>
        <w:t>,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Heading4"/>
        <w:rPr>
          <w:rFonts w:asciiTheme="minorHAnsi" w:hAnsiTheme="minorHAnsi"/>
        </w:rPr>
      </w:pPr>
      <w:bookmarkStart w:id="652" w:name="_Toc461095204"/>
      <w:bookmarkStart w:id="653" w:name="_Toc461179860"/>
      <w:bookmarkStart w:id="654" w:name="_Toc461201303"/>
      <w:bookmarkStart w:id="655" w:name="_Toc461547946"/>
      <w:bookmarkStart w:id="656" w:name="_Toc462401984"/>
      <w:bookmarkStart w:id="657" w:name="_Toc462403105"/>
      <w:bookmarkStart w:id="658" w:name="_Toc462403429"/>
      <w:bookmarkStart w:id="659" w:name="_Toc468180548"/>
      <w:bookmarkStart w:id="660" w:name="_Toc468181056"/>
      <w:bookmarkStart w:id="661" w:name="_Toc468191444"/>
      <w:bookmarkStart w:id="662" w:name="_Toc27138952"/>
      <w:r w:rsidRPr="006A6890">
        <w:rPr>
          <w:rFonts w:asciiTheme="minorHAnsi" w:hAnsiTheme="minorHAnsi"/>
          <w:lang w:val="hu-HU"/>
        </w:rPr>
        <w:t>M</w:t>
      </w:r>
      <w:proofErr w:type="spellStart"/>
      <w:r w:rsidRPr="006A6890">
        <w:rPr>
          <w:rFonts w:asciiTheme="minorHAnsi" w:hAnsiTheme="minorHAnsi"/>
        </w:rPr>
        <w:t>odellekkel</w:t>
      </w:r>
      <w:proofErr w:type="spellEnd"/>
      <w:r w:rsidRPr="006A6890">
        <w:rPr>
          <w:rFonts w:asciiTheme="minorHAnsi" w:hAnsiTheme="minorHAnsi"/>
        </w:rPr>
        <w:t xml:space="preserve">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652"/>
      <w:bookmarkEnd w:id="653"/>
      <w:bookmarkEnd w:id="654"/>
      <w:bookmarkEnd w:id="655"/>
      <w:bookmarkEnd w:id="656"/>
      <w:bookmarkEnd w:id="657"/>
      <w:bookmarkEnd w:id="658"/>
      <w:bookmarkEnd w:id="659"/>
      <w:bookmarkEnd w:id="660"/>
      <w:bookmarkEnd w:id="661"/>
      <w:bookmarkEnd w:id="662"/>
    </w:p>
    <w:p w14:paraId="4D0AC1A1" w14:textId="2C0FFC5B" w:rsidR="004D6790" w:rsidRPr="006A6890" w:rsidRDefault="00924F40" w:rsidP="009D65E3">
      <w:pPr>
        <w:rPr>
          <w:rFonts w:asciiTheme="minorHAnsi" w:hAnsiTheme="minorHAnsi"/>
        </w:rPr>
      </w:pPr>
      <w:bookmarkStart w:id="663" w:name="_A_nemteljesítési_valószínűség"/>
      <w:bookmarkStart w:id="664" w:name="_Toc378592167"/>
      <w:bookmarkEnd w:id="663"/>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FootnoteReference"/>
          <w:rFonts w:asciiTheme="minorHAnsi" w:hAnsiTheme="minorHAnsi"/>
        </w:rPr>
        <w:footnoteReference w:id="28"/>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proofErr w:type="spellStart"/>
      <w:r w:rsidR="00EB21BA" w:rsidRPr="006A6890">
        <w:rPr>
          <w:rFonts w:asciiTheme="minorHAnsi" w:hAnsiTheme="minorHAnsi"/>
        </w:rPr>
        <w:t>eljeskörű</w:t>
      </w:r>
      <w:proofErr w:type="spellEnd"/>
      <w:r w:rsidR="00EB21BA" w:rsidRPr="006A6890">
        <w:rPr>
          <w:rFonts w:asciiTheme="minorHAnsi" w:hAnsiTheme="minorHAnsi"/>
        </w:rPr>
        <w:t>,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lastRenderedPageBreak/>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 xml:space="preserve">rendszeres </w:t>
      </w:r>
      <w:proofErr w:type="spellStart"/>
      <w:r w:rsidR="00EB21BA" w:rsidRPr="006A6890">
        <w:rPr>
          <w:rFonts w:asciiTheme="minorHAnsi" w:hAnsiTheme="minorHAnsi"/>
        </w:rPr>
        <w:t>monitoring</w:t>
      </w:r>
      <w:r w:rsidRPr="006A6890">
        <w:rPr>
          <w:rFonts w:asciiTheme="minorHAnsi" w:hAnsiTheme="minorHAnsi"/>
        </w:rPr>
        <w:t>ozása</w:t>
      </w:r>
      <w:proofErr w:type="spellEnd"/>
      <w:r w:rsidRPr="006A6890">
        <w:rPr>
          <w:rFonts w:asciiTheme="minorHAnsi" w:hAnsiTheme="minorHAnsi"/>
        </w:rPr>
        <w:t xml:space="preserve">, </w:t>
      </w:r>
      <w:proofErr w:type="spellStart"/>
      <w:r w:rsidRPr="006A6890">
        <w:rPr>
          <w:rFonts w:asciiTheme="minorHAnsi" w:hAnsiTheme="minorHAnsi"/>
        </w:rPr>
        <w:t>riportálása</w:t>
      </w:r>
      <w:proofErr w:type="spellEnd"/>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 xml:space="preserve">modellek rendszeres </w:t>
      </w:r>
      <w:proofErr w:type="spellStart"/>
      <w:r w:rsidRPr="006A6890">
        <w:rPr>
          <w:rFonts w:asciiTheme="minorHAnsi" w:hAnsiTheme="minorHAnsi"/>
        </w:rPr>
        <w:t>újrafejlesztése</w:t>
      </w:r>
      <w:proofErr w:type="spellEnd"/>
      <w:r w:rsidRPr="006A6890">
        <w:rPr>
          <w:rFonts w:asciiTheme="minorHAnsi" w:hAnsiTheme="minorHAnsi"/>
        </w:rPr>
        <w:t>,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w:t>
      </w:r>
      <w:proofErr w:type="spellStart"/>
      <w:r w:rsidRPr="006A6890">
        <w:rPr>
          <w:rFonts w:asciiTheme="minorHAnsi" w:hAnsiTheme="minorHAnsi"/>
          <w:lang w:val="hu-HU"/>
        </w:rPr>
        <w:t>trigger</w:t>
      </w:r>
      <w:proofErr w:type="spellEnd"/>
      <w:r w:rsidRPr="006A6890">
        <w:rPr>
          <w:rFonts w:asciiTheme="minorHAnsi" w:hAnsiTheme="minorHAnsi"/>
          <w:lang w:val="hu-HU"/>
        </w:rPr>
        <w:t xml:space="preserve">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proofErr w:type="spellStart"/>
      <w:r w:rsidRPr="006A6890">
        <w:rPr>
          <w:rFonts w:asciiTheme="minorHAnsi" w:hAnsiTheme="minorHAnsi"/>
          <w:lang w:val="hu-HU"/>
        </w:rPr>
        <w:t>use</w:t>
      </w:r>
      <w:proofErr w:type="spellEnd"/>
      <w:r w:rsidRPr="006A6890">
        <w:rPr>
          <w:rFonts w:asciiTheme="minorHAnsi" w:hAnsiTheme="minorHAnsi"/>
          <w:lang w:val="hu-HU"/>
        </w:rPr>
        <w:t xml:space="preserv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4AD6A766"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IRB</w:t>
      </w:r>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FootnoteReference"/>
          <w:rFonts w:asciiTheme="minorHAnsi" w:hAnsiTheme="minorHAnsi"/>
        </w:rPr>
        <w:footnoteReference w:id="29"/>
      </w:r>
      <w:r w:rsidRPr="006A6890">
        <w:rPr>
          <w:rFonts w:asciiTheme="minorHAnsi" w:hAnsiTheme="minorHAnsi"/>
        </w:rPr>
        <w:t xml:space="preserve">, és az </w:t>
      </w:r>
      <w:proofErr w:type="spellStart"/>
      <w:r w:rsidRPr="006A6890">
        <w:rPr>
          <w:rFonts w:asciiTheme="minorHAnsi" w:hAnsiTheme="minorHAnsi"/>
        </w:rPr>
        <w:t>EKB</w:t>
      </w:r>
      <w:proofErr w:type="spellEnd"/>
      <w:r w:rsidRPr="006A6890">
        <w:rPr>
          <w:rFonts w:asciiTheme="minorHAnsi" w:hAnsiTheme="minorHAnsi"/>
        </w:rPr>
        <w:t>-s rendelkezéseket</w:t>
      </w:r>
      <w:r w:rsidRPr="006A6890">
        <w:rPr>
          <w:rStyle w:val="FootnoteReference"/>
          <w:rFonts w:asciiTheme="minorHAnsi" w:hAnsiTheme="minorHAnsi"/>
        </w:rPr>
        <w:footnoteReference w:id="30"/>
      </w:r>
      <w:r w:rsidRPr="006A6890">
        <w:rPr>
          <w:rFonts w:asciiTheme="minorHAnsi" w:hAnsiTheme="minorHAnsi"/>
        </w:rPr>
        <w:t xml:space="preserve">. </w:t>
      </w:r>
    </w:p>
    <w:p w14:paraId="53F86B32" w14:textId="27E0CFFE" w:rsidR="00FB6B5A" w:rsidRPr="006A6890" w:rsidRDefault="00F71CE6" w:rsidP="00540601">
      <w:pPr>
        <w:pStyle w:val="Heading4"/>
        <w:spacing w:before="240"/>
        <w:ind w:left="862" w:hanging="862"/>
        <w:rPr>
          <w:rFonts w:asciiTheme="minorHAnsi" w:hAnsiTheme="minorHAnsi"/>
          <w:lang w:val="hu-HU"/>
        </w:rPr>
      </w:pPr>
      <w:bookmarkStart w:id="665" w:name="_Toc27138953"/>
      <w:proofErr w:type="spellStart"/>
      <w:r w:rsidRPr="006A6890">
        <w:rPr>
          <w:rFonts w:asciiTheme="minorHAnsi" w:hAnsiTheme="minorHAnsi"/>
          <w:lang w:val="hu-HU"/>
        </w:rPr>
        <w:t>Rating</w:t>
      </w:r>
      <w:proofErr w:type="spellEnd"/>
      <w:r w:rsidRPr="006A6890">
        <w:rPr>
          <w:rFonts w:asciiTheme="minorHAnsi" w:hAnsiTheme="minorHAnsi"/>
          <w:lang w:val="hu-HU"/>
        </w:rPr>
        <w:t xml:space="preserve"> modellek</w:t>
      </w:r>
      <w:bookmarkEnd w:id="665"/>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w:t>
      </w:r>
      <w:proofErr w:type="spellStart"/>
      <w:r w:rsidRPr="006A6890">
        <w:rPr>
          <w:rFonts w:asciiTheme="minorHAnsi" w:hAnsiTheme="minorHAnsi"/>
        </w:rPr>
        <w:t>scoring</w:t>
      </w:r>
      <w:proofErr w:type="spellEnd"/>
      <w:r w:rsidRPr="006A6890">
        <w:rPr>
          <w:rFonts w:asciiTheme="minorHAnsi" w:hAnsiTheme="minorHAnsi"/>
        </w:rPr>
        <w:t xml:space="preserve"> modellek) segítségével végzik.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modellben </w:t>
      </w:r>
      <w:r w:rsidRPr="006A6890">
        <w:rPr>
          <w:rFonts w:asciiTheme="minorHAnsi" w:hAnsiTheme="minorHAnsi"/>
        </w:rPr>
        <w:t xml:space="preserve">az intézmények meghatározott kvalitatív, illetve kvantitatív változók mentén értékelik az ügyfél/ügylet kockázatosságát, azokhoz </w:t>
      </w:r>
      <w:proofErr w:type="spellStart"/>
      <w:r w:rsidRPr="006A6890">
        <w:rPr>
          <w:rFonts w:asciiTheme="minorHAnsi" w:hAnsiTheme="minorHAnsi"/>
        </w:rPr>
        <w:t>score-okat</w:t>
      </w:r>
      <w:proofErr w:type="spellEnd"/>
      <w:r w:rsidRPr="006A6890">
        <w:rPr>
          <w:rFonts w:asciiTheme="minorHAnsi" w:hAnsiTheme="minorHAnsi"/>
        </w:rPr>
        <w:t xml:space="preserve"> rendelnek, majd a végső </w:t>
      </w:r>
      <w:proofErr w:type="spellStart"/>
      <w:r w:rsidRPr="006A6890">
        <w:rPr>
          <w:rFonts w:asciiTheme="minorHAnsi" w:hAnsiTheme="minorHAnsi"/>
        </w:rPr>
        <w:t>scoring</w:t>
      </w:r>
      <w:proofErr w:type="spellEnd"/>
      <w:r w:rsidRPr="006A6890">
        <w:rPr>
          <w:rFonts w:asciiTheme="minorHAnsi" w:hAnsiTheme="minorHAnsi"/>
        </w:rPr>
        <w:t xml:space="preserve">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(PD)</w:t>
      </w:r>
      <w:r w:rsidRPr="006A6890">
        <w:rPr>
          <w:rFonts w:asciiTheme="minorHAnsi" w:hAnsiTheme="minorHAnsi"/>
        </w:rPr>
        <w:t xml:space="preserve">. </w:t>
      </w:r>
      <w:r w:rsidR="0058704E" w:rsidRPr="006A6890">
        <w:rPr>
          <w:rFonts w:asciiTheme="minorHAnsi" w:hAnsiTheme="minorHAnsi"/>
        </w:rPr>
        <w:t xml:space="preserve">Függetlenül a garancia vagy kezességvállalás meglététől, melyet az intézmény a tőkekövetelmény-számítás során vesz figyelembe, az intézménynek továbbra is el kell végeznie az alapul szolgáló kitettségnek 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6A6890">
        <w:rPr>
          <w:rFonts w:asciiTheme="minorHAnsi" w:hAnsiTheme="minorHAnsi"/>
        </w:rPr>
        <w:footnoteReference w:id="31"/>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666" w:name="_Toc468181058"/>
      <w:r w:rsidRPr="006A6890">
        <w:rPr>
          <w:rFonts w:asciiTheme="minorHAnsi" w:hAnsiTheme="minorHAnsi"/>
        </w:rPr>
        <w:lastRenderedPageBreak/>
        <w:t xml:space="preserve">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proofErr w:type="spellStart"/>
      <w:r w:rsidRPr="006A6890">
        <w:rPr>
          <w:rFonts w:asciiTheme="minorHAnsi" w:hAnsiTheme="minorHAnsi"/>
        </w:rPr>
        <w:t>rating</w:t>
      </w:r>
      <w:proofErr w:type="spellEnd"/>
      <w:r w:rsidRPr="006A6890">
        <w:rPr>
          <w:rFonts w:asciiTheme="minorHAnsi" w:hAnsiTheme="minorHAnsi"/>
        </w:rPr>
        <w:t xml:space="preserve">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proofErr w:type="spellStart"/>
      <w:r w:rsidRPr="006A6890">
        <w:rPr>
          <w:rFonts w:asciiTheme="minorHAnsi" w:hAnsiTheme="minorHAnsi"/>
        </w:rPr>
        <w:t>rating</w:t>
      </w:r>
      <w:proofErr w:type="spellEnd"/>
      <w:r w:rsidRPr="006A6890">
        <w:rPr>
          <w:rFonts w:asciiTheme="minorHAnsi" w:hAnsiTheme="minorHAnsi"/>
        </w:rPr>
        <w:t xml:space="preserve">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 xml:space="preserve">fel kell mérniük a </w:t>
      </w:r>
      <w:proofErr w:type="spellStart"/>
      <w:r w:rsidRPr="006A6890">
        <w:rPr>
          <w:rFonts w:asciiTheme="minorHAnsi" w:hAnsiTheme="minorHAnsi"/>
        </w:rPr>
        <w:t>rating</w:t>
      </w:r>
      <w:proofErr w:type="spellEnd"/>
      <w:r w:rsidRPr="006A6890">
        <w:rPr>
          <w:rFonts w:asciiTheme="minorHAnsi" w:hAnsiTheme="minorHAnsi"/>
        </w:rPr>
        <w:t xml:space="preserve">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w:t>
      </w:r>
      <w:proofErr w:type="spellStart"/>
      <w:r w:rsidR="00E20EC8" w:rsidRPr="006A6890">
        <w:rPr>
          <w:rFonts w:asciiTheme="minorHAnsi" w:hAnsiTheme="minorHAnsi"/>
        </w:rPr>
        <w:t>TTC</w:t>
      </w:r>
      <w:proofErr w:type="spellEnd"/>
      <w:r w:rsidR="00E20EC8" w:rsidRPr="006A6890">
        <w:rPr>
          <w:rFonts w:asciiTheme="minorHAnsi" w:hAnsiTheme="minorHAnsi"/>
        </w:rPr>
        <w:t xml:space="preserve"> </w:t>
      </w:r>
      <w:r w:rsidR="00AA523C" w:rsidRPr="006A6890">
        <w:rPr>
          <w:rFonts w:asciiTheme="minorHAnsi" w:hAnsiTheme="minorHAnsi"/>
        </w:rPr>
        <w:t>PD</w:t>
      </w:r>
      <w:r w:rsidR="00E20EC8" w:rsidRPr="006A6890">
        <w:rPr>
          <w:rFonts w:asciiTheme="minorHAnsi" w:hAnsiTheme="minorHAnsi"/>
        </w:rPr>
        <w:t xml:space="preserve"> fejezet).</w:t>
      </w:r>
    </w:p>
    <w:p w14:paraId="66B153FB" w14:textId="11058D71" w:rsidR="003F29E3" w:rsidRPr="006A6890" w:rsidRDefault="00AA523C" w:rsidP="00185637">
      <w:pPr>
        <w:pStyle w:val="Heading4"/>
        <w:rPr>
          <w:rFonts w:asciiTheme="minorHAnsi" w:hAnsiTheme="minorHAnsi"/>
        </w:rPr>
      </w:pPr>
      <w:bookmarkStart w:id="667" w:name="_Toc27138954"/>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664"/>
      <w:bookmarkEnd w:id="666"/>
      <w:bookmarkEnd w:id="667"/>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w:t>
      </w:r>
      <w:proofErr w:type="spellStart"/>
      <w:r w:rsidRPr="006A6890">
        <w:rPr>
          <w:rFonts w:asciiTheme="minorHAnsi" w:hAnsiTheme="minorHAnsi"/>
        </w:rPr>
        <w:t>kittettségi</w:t>
      </w:r>
      <w:proofErr w:type="spellEnd"/>
      <w:r w:rsidRPr="006A6890">
        <w:rPr>
          <w:rFonts w:asciiTheme="minorHAnsi" w:hAnsiTheme="minorHAnsi"/>
        </w:rPr>
        <w:t xml:space="preserve"> kategóriákhoz tartozó </w:t>
      </w:r>
      <w:r w:rsidR="00016FE9" w:rsidRPr="006A6890">
        <w:rPr>
          <w:rFonts w:asciiTheme="minorHAnsi" w:hAnsiTheme="minorHAnsi"/>
        </w:rPr>
        <w:t>nemteljesítési valószínűség (</w:t>
      </w:r>
      <w:r w:rsidRPr="006A6890">
        <w:rPr>
          <w:rFonts w:asciiTheme="minorHAnsi" w:hAnsiTheme="minorHAnsi"/>
        </w:rPr>
        <w:t>PD</w:t>
      </w:r>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333E83CD"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 xml:space="preserve">A szabályozásban leírt fogalom helyes implementációját az </w:t>
      </w:r>
      <w:proofErr w:type="spellStart"/>
      <w:r w:rsidR="00231D67" w:rsidRPr="006A6890">
        <w:rPr>
          <w:rFonts w:asciiTheme="minorHAnsi" w:hAnsiTheme="minorHAnsi"/>
        </w:rPr>
        <w:t>EBA</w:t>
      </w:r>
      <w:proofErr w:type="spellEnd"/>
      <w:r w:rsidR="00231D67" w:rsidRPr="006A6890">
        <w:rPr>
          <w:rFonts w:asciiTheme="minorHAnsi" w:hAnsiTheme="minorHAnsi"/>
        </w:rPr>
        <w:t xml:space="preserve"> ajánlással segíti</w:t>
      </w:r>
      <w:r w:rsidR="00636B53" w:rsidRPr="006A6890">
        <w:rPr>
          <w:rFonts w:asciiTheme="minorHAnsi" w:hAnsiTheme="minorHAnsi"/>
        </w:rPr>
        <w:footnoteReference w:id="32"/>
      </w:r>
      <w:r w:rsidR="00636B53" w:rsidRPr="006A6890">
        <w:rPr>
          <w:rFonts w:asciiTheme="minorHAnsi" w:hAnsiTheme="minorHAnsi"/>
        </w:rPr>
        <w:t xml:space="preserve">. </w:t>
      </w:r>
    </w:p>
    <w:p w14:paraId="0053269E" w14:textId="0B75257F" w:rsidR="00EF0F0F" w:rsidRPr="006A6890" w:rsidRDefault="00080965"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ajánlás, és egyéb szabályozások elérhetősége mellett is az intézményi default fogalmak között lényeges különbségek maradhatnak,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w:t>
      </w:r>
      <w:proofErr w:type="spellStart"/>
      <w:r w:rsidRPr="006A6890">
        <w:rPr>
          <w:rFonts w:asciiTheme="minorHAnsi" w:hAnsiTheme="minorHAnsi"/>
        </w:rPr>
        <w:t>összehasonlíthatóak</w:t>
      </w:r>
      <w:proofErr w:type="spellEnd"/>
      <w:r w:rsidRPr="006A6890">
        <w:rPr>
          <w:rFonts w:asciiTheme="minorHAnsi" w:hAnsiTheme="minorHAnsi"/>
        </w:rPr>
        <w:t xml:space="preserve"> legyenek, és a különbségek tisztán 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PD-k használata, az </w:t>
      </w:r>
      <w:r w:rsidR="00231D67" w:rsidRPr="006A6890">
        <w:rPr>
          <w:rFonts w:asciiTheme="minorHAnsi" w:hAnsiTheme="minorHAnsi"/>
        </w:rPr>
        <w:t xml:space="preserve">IRB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az ügyletek hosszú távú, gazdasági cikluson átívelő, átlagos PD</w:t>
      </w:r>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a PD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FootnoteReference"/>
          <w:rFonts w:asciiTheme="minorHAnsi" w:hAnsiTheme="minorHAnsi"/>
        </w:rPr>
        <w:footnoteReference w:id="33"/>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nem tartalmaz olyan reprezentatív időszakot, mely képes megragadni a default ráta szórásának lehetséges tartományát</w:t>
      </w:r>
      <w:r w:rsidR="00544B6E" w:rsidRPr="006A6890">
        <w:rPr>
          <w:rStyle w:val="FootnoteReference"/>
          <w:rFonts w:asciiTheme="minorHAnsi" w:hAnsiTheme="minorHAnsi"/>
          <w:lang w:val="hu-HU"/>
        </w:rPr>
        <w:footnoteReference w:id="34"/>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bizonyítják a választott PD-becslési technika megfelelőségét</w:t>
      </w:r>
      <w:r w:rsidR="004E0090" w:rsidRPr="006A6890">
        <w:rPr>
          <w:rFonts w:asciiTheme="minorHAnsi" w:hAnsiTheme="minorHAnsi"/>
          <w:lang w:val="hu-HU"/>
        </w:rPr>
        <w:t>,</w:t>
      </w:r>
    </w:p>
    <w:p w14:paraId="52D30265" w14:textId="26E7945F" w:rsidR="00316DA6" w:rsidRPr="006A6890" w:rsidRDefault="00AA1DF3" w:rsidP="00181755">
      <w:pPr>
        <w:pStyle w:val="felsorolsos"/>
        <w:rPr>
          <w:rFonts w:asciiTheme="minorHAnsi" w:hAnsiTheme="minorHAnsi"/>
        </w:rPr>
      </w:pPr>
      <w:r w:rsidRPr="006A6890">
        <w:rPr>
          <w:rFonts w:asciiTheme="minorHAnsi" w:hAnsiTheme="minorHAnsi"/>
          <w:lang w:val="hu-HU"/>
        </w:rPr>
        <w:lastRenderedPageBreak/>
        <w:t xml:space="preserve">Habár a szezonalitás (azaz az ügyletek élettartamának figyelembe vétele a csődvalószínűség becslésben) a legjobb gyakorlat szerint elvárt, az MNB tapasztalatai szerint e változó hatásának pontos kimérése nehézségekbe ütközik, így azt benchmark </w:t>
      </w:r>
      <w:proofErr w:type="spellStart"/>
      <w:r w:rsidRPr="006A6890">
        <w:rPr>
          <w:rFonts w:asciiTheme="minorHAnsi" w:hAnsiTheme="minorHAnsi"/>
          <w:lang w:val="hu-HU"/>
        </w:rPr>
        <w:t>modelleiben</w:t>
      </w:r>
      <w:proofErr w:type="spellEnd"/>
      <w:r w:rsidRPr="006A6890">
        <w:rPr>
          <w:rFonts w:asciiTheme="minorHAnsi" w:hAnsiTheme="minorHAnsi"/>
          <w:lang w:val="hu-HU"/>
        </w:rPr>
        <w:t xml:space="preserve">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proofErr w:type="spellStart"/>
      <w:r w:rsidR="003F29E3" w:rsidRPr="006A6890">
        <w:rPr>
          <w:rFonts w:asciiTheme="minorHAnsi" w:hAnsiTheme="minorHAnsi"/>
        </w:rPr>
        <w:t>előretekintő</w:t>
      </w:r>
      <w:proofErr w:type="spellEnd"/>
      <w:r w:rsidR="003F29E3" w:rsidRPr="006A6890">
        <w:rPr>
          <w:rFonts w:asciiTheme="minorHAnsi" w:hAnsiTheme="minorHAnsi"/>
        </w:rPr>
        <w:t xml:space="preserve">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 xml:space="preserve">z egyes </w:t>
      </w:r>
      <w:proofErr w:type="spellStart"/>
      <w:r w:rsidR="00DB4DEB" w:rsidRPr="006A6890">
        <w:rPr>
          <w:rFonts w:asciiTheme="minorHAnsi" w:hAnsiTheme="minorHAnsi"/>
          <w:lang w:val="hu-HU"/>
        </w:rPr>
        <w:t>rating</w:t>
      </w:r>
      <w:proofErr w:type="spellEnd"/>
      <w:r w:rsidR="00DB4DEB" w:rsidRPr="006A6890">
        <w:rPr>
          <w:rFonts w:asciiTheme="minorHAnsi" w:hAnsiTheme="minorHAnsi"/>
          <w:lang w:val="hu-HU"/>
        </w:rPr>
        <w:t xml:space="preserve"> kategóriák esetében a</w:t>
      </w:r>
      <w:r w:rsidR="00DB4DEB" w:rsidRPr="006A6890">
        <w:rPr>
          <w:rFonts w:asciiTheme="minorHAnsi" w:hAnsiTheme="minorHAnsi"/>
        </w:rPr>
        <w:t xml:space="preserve"> kalibrált PD-k és </w:t>
      </w:r>
      <w:r w:rsidR="00DB4DEB" w:rsidRPr="006A6890">
        <w:rPr>
          <w:rFonts w:asciiTheme="minorHAnsi" w:hAnsiTheme="minorHAnsi"/>
          <w:lang w:val="hu-HU"/>
        </w:rPr>
        <w:t>az</w:t>
      </w:r>
      <w:r w:rsidR="00DB4DEB" w:rsidRPr="006A6890">
        <w:rPr>
          <w:rFonts w:asciiTheme="minorHAnsi" w:hAnsiTheme="minorHAnsi"/>
        </w:rPr>
        <w:t xml:space="preserve"> átlagos default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Az MNB elvárja továbbá, hogy a PD-becslés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PD-fogalom követelményeinek (pl. </w:t>
      </w:r>
      <w:proofErr w:type="spellStart"/>
      <w:r w:rsidRPr="006A6890">
        <w:rPr>
          <w:rFonts w:asciiTheme="minorHAnsi" w:hAnsiTheme="minorHAnsi"/>
        </w:rPr>
        <w:t>NPL</w:t>
      </w:r>
      <w:proofErr w:type="spellEnd"/>
      <w:r w:rsidRPr="006A6890">
        <w:rPr>
          <w:rFonts w:asciiTheme="minorHAnsi" w:hAnsiTheme="minorHAnsi"/>
        </w:rPr>
        <w:t xml:space="preserve">-arányok használata), úgy részletesen alá kell támasztani a becslés során alkalmazott feltevéseket. </w:t>
      </w:r>
    </w:p>
    <w:p w14:paraId="17C2B030" w14:textId="1838ED54" w:rsidR="003A53B9" w:rsidRPr="006A6890" w:rsidRDefault="00D605DD" w:rsidP="00181755">
      <w:pPr>
        <w:pStyle w:val="Heading4"/>
        <w:rPr>
          <w:rFonts w:asciiTheme="minorHAnsi" w:hAnsiTheme="minorHAnsi"/>
          <w:lang w:val="hu-HU"/>
        </w:rPr>
      </w:pPr>
      <w:bookmarkStart w:id="668" w:name="_A_veszteségráta_becslése"/>
      <w:bookmarkStart w:id="669" w:name="_Toc27138955"/>
      <w:bookmarkStart w:id="670" w:name="_Toc378592168"/>
      <w:bookmarkStart w:id="671" w:name="_Toc461095207"/>
      <w:bookmarkStart w:id="672" w:name="_Toc461179863"/>
      <w:bookmarkStart w:id="673" w:name="_Toc461201306"/>
      <w:bookmarkStart w:id="674" w:name="_Toc461547949"/>
      <w:bookmarkStart w:id="675" w:name="_Toc462401987"/>
      <w:bookmarkStart w:id="676" w:name="_Toc462403108"/>
      <w:bookmarkStart w:id="677" w:name="_Toc462403432"/>
      <w:bookmarkStart w:id="678" w:name="_Toc468180551"/>
      <w:bookmarkStart w:id="679" w:name="_Toc468181060"/>
      <w:bookmarkEnd w:id="668"/>
      <w:proofErr w:type="spellStart"/>
      <w:r w:rsidRPr="006A6890">
        <w:rPr>
          <w:rFonts w:asciiTheme="minorHAnsi" w:hAnsiTheme="minorHAnsi"/>
          <w:lang w:val="hu-HU"/>
        </w:rPr>
        <w:t>TTC</w:t>
      </w:r>
      <w:proofErr w:type="spellEnd"/>
      <w:r w:rsidRPr="006A6890">
        <w:rPr>
          <w:rFonts w:asciiTheme="minorHAnsi" w:hAnsiTheme="minorHAnsi"/>
          <w:lang w:val="hu-HU"/>
        </w:rPr>
        <w:t xml:space="preserve"> (</w:t>
      </w:r>
      <w:proofErr w:type="spellStart"/>
      <w:r w:rsidR="003A53B9" w:rsidRPr="006A6890">
        <w:rPr>
          <w:rFonts w:asciiTheme="minorHAnsi" w:hAnsiTheme="minorHAnsi"/>
          <w:lang w:val="hu-HU"/>
        </w:rPr>
        <w:t>Through</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the</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Cycle</w:t>
      </w:r>
      <w:proofErr w:type="spellEnd"/>
      <w:r w:rsidRPr="006A6890">
        <w:rPr>
          <w:rFonts w:asciiTheme="minorHAnsi" w:hAnsiTheme="minorHAnsi"/>
          <w:lang w:val="hu-HU"/>
        </w:rPr>
        <w:t>)</w:t>
      </w:r>
      <w:r w:rsidR="003A53B9" w:rsidRPr="006A6890">
        <w:rPr>
          <w:rFonts w:asciiTheme="minorHAnsi" w:hAnsiTheme="minorHAnsi"/>
          <w:lang w:val="hu-HU"/>
        </w:rPr>
        <w:t xml:space="preserve"> PD</w:t>
      </w:r>
      <w:bookmarkEnd w:id="669"/>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(PD)</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default valószínűséget gyakran </w:t>
      </w:r>
      <w:proofErr w:type="spellStart"/>
      <w:r w:rsidR="00B21C9F" w:rsidRPr="006A6890">
        <w:rPr>
          <w:rFonts w:asciiTheme="minorHAnsi" w:hAnsiTheme="minorHAnsi"/>
        </w:rPr>
        <w:t>Point</w:t>
      </w:r>
      <w:proofErr w:type="spellEnd"/>
      <w:r w:rsidR="00B21C9F" w:rsidRPr="006A6890">
        <w:rPr>
          <w:rFonts w:asciiTheme="minorHAnsi" w:hAnsiTheme="minorHAnsi"/>
        </w:rPr>
        <w:t xml:space="preserve"> in Time (P</w:t>
      </w:r>
      <w:r w:rsidR="00BE0AD9" w:rsidRPr="006A6890">
        <w:rPr>
          <w:rFonts w:asciiTheme="minorHAnsi" w:hAnsiTheme="minorHAnsi"/>
        </w:rPr>
        <w:t>I</w:t>
      </w:r>
      <w:r w:rsidR="00B21C9F" w:rsidRPr="006A6890">
        <w:rPr>
          <w:rFonts w:asciiTheme="minorHAnsi" w:hAnsiTheme="minorHAnsi"/>
        </w:rPr>
        <w:t>T) PD-</w:t>
      </w:r>
      <w:proofErr w:type="spellStart"/>
      <w:r w:rsidR="00B21C9F" w:rsidRPr="006A6890">
        <w:rPr>
          <w:rFonts w:asciiTheme="minorHAnsi" w:hAnsiTheme="minorHAnsi"/>
        </w:rPr>
        <w:t>nek</w:t>
      </w:r>
      <w:proofErr w:type="spellEnd"/>
      <w:r w:rsidR="00B21C9F" w:rsidRPr="006A6890">
        <w:rPr>
          <w:rFonts w:asciiTheme="minorHAnsi" w:hAnsiTheme="minorHAnsi"/>
        </w:rPr>
        <w:t xml:space="preserve">, míg az attól független, egy gazdasági ciklus egészére jellemző nemteljesítési valószínűséget </w:t>
      </w:r>
      <w:proofErr w:type="spellStart"/>
      <w:r w:rsidR="00B21C9F" w:rsidRPr="006A6890">
        <w:rPr>
          <w:rFonts w:asciiTheme="minorHAnsi" w:hAnsiTheme="minorHAnsi"/>
        </w:rPr>
        <w:t>Through</w:t>
      </w:r>
      <w:proofErr w:type="spellEnd"/>
      <w:r w:rsidR="00B21C9F" w:rsidRPr="006A6890">
        <w:rPr>
          <w:rFonts w:asciiTheme="minorHAnsi" w:hAnsiTheme="minorHAnsi"/>
        </w:rPr>
        <w:t xml:space="preserve"> </w:t>
      </w:r>
      <w:proofErr w:type="spellStart"/>
      <w:r w:rsidR="00B21C9F" w:rsidRPr="006A6890">
        <w:rPr>
          <w:rFonts w:asciiTheme="minorHAnsi" w:hAnsiTheme="minorHAnsi"/>
        </w:rPr>
        <w:t>the</w:t>
      </w:r>
      <w:proofErr w:type="spellEnd"/>
      <w:r w:rsidR="00B21C9F" w:rsidRPr="006A6890">
        <w:rPr>
          <w:rFonts w:asciiTheme="minorHAnsi" w:hAnsiTheme="minorHAnsi"/>
        </w:rPr>
        <w:t xml:space="preserve"> </w:t>
      </w:r>
      <w:proofErr w:type="spellStart"/>
      <w:r w:rsidR="00B21C9F" w:rsidRPr="006A6890">
        <w:rPr>
          <w:rFonts w:asciiTheme="minorHAnsi" w:hAnsiTheme="minorHAnsi"/>
        </w:rPr>
        <w:t>Cycle</w:t>
      </w:r>
      <w:proofErr w:type="spellEnd"/>
      <w:r w:rsidR="00B21C9F" w:rsidRPr="006A6890">
        <w:rPr>
          <w:rFonts w:asciiTheme="minorHAnsi" w:hAnsiTheme="minorHAnsi"/>
        </w:rPr>
        <w:t xml:space="preserve"> (</w:t>
      </w:r>
      <w:proofErr w:type="spellStart"/>
      <w:r w:rsidR="00B21C9F" w:rsidRPr="006A6890">
        <w:rPr>
          <w:rFonts w:asciiTheme="minorHAnsi" w:hAnsiTheme="minorHAnsi"/>
        </w:rPr>
        <w:t>TTC</w:t>
      </w:r>
      <w:proofErr w:type="spellEnd"/>
      <w:r w:rsidR="00B21C9F" w:rsidRPr="006A6890">
        <w:rPr>
          <w:rFonts w:asciiTheme="minorHAnsi" w:hAnsiTheme="minorHAnsi"/>
        </w:rPr>
        <w:t>) PD-</w:t>
      </w:r>
      <w:proofErr w:type="spellStart"/>
      <w:r w:rsidR="00B21C9F" w:rsidRPr="006A6890">
        <w:rPr>
          <w:rFonts w:asciiTheme="minorHAnsi" w:hAnsiTheme="minorHAnsi"/>
        </w:rPr>
        <w:t>nek</w:t>
      </w:r>
      <w:proofErr w:type="spellEnd"/>
      <w:r w:rsidR="00B21C9F" w:rsidRPr="006A6890">
        <w:rPr>
          <w:rFonts w:asciiTheme="minorHAnsi" w:hAnsiTheme="minorHAnsi"/>
        </w:rPr>
        <w:t xml:space="preserve"> nevezzük.</w:t>
      </w:r>
    </w:p>
    <w:p w14:paraId="3604BF39" w14:textId="2B7B62A3" w:rsidR="00B21C9F" w:rsidRPr="006A6890" w:rsidRDefault="003A53B9" w:rsidP="009D65E3">
      <w:pPr>
        <w:rPr>
          <w:rFonts w:asciiTheme="minorHAnsi" w:hAnsiTheme="minorHAnsi"/>
        </w:rPr>
      </w:pPr>
      <w:r w:rsidRPr="006A6890">
        <w:rPr>
          <w:rFonts w:asciiTheme="minorHAnsi" w:hAnsiTheme="minorHAnsi"/>
        </w:rPr>
        <w:t>Az IRB tőkekövetelmény 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r w:rsidRPr="006A6890">
        <w:rPr>
          <w:rFonts w:asciiTheme="minorHAnsi" w:hAnsiTheme="minorHAnsi"/>
        </w:rPr>
        <w:t xml:space="preserve">PD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 xml:space="preserve">Az </w:t>
      </w:r>
      <w:proofErr w:type="spellStart"/>
      <w:r w:rsidR="00B21C9F" w:rsidRPr="006A6890">
        <w:rPr>
          <w:rFonts w:asciiTheme="minorHAnsi" w:hAnsiTheme="minorHAnsi"/>
        </w:rPr>
        <w:t>EBA</w:t>
      </w:r>
      <w:proofErr w:type="spellEnd"/>
      <w:r w:rsidR="00B21C9F" w:rsidRPr="006A6890">
        <w:rPr>
          <w:rFonts w:asciiTheme="minorHAnsi" w:hAnsiTheme="minorHAnsi"/>
        </w:rPr>
        <w:t xml:space="preserve"> paraméterbecslési ajánlása, valamint az Európai Központi Bank belső modellek értékeléséhez kapcsolódóan közzétett útmutatása (</w:t>
      </w:r>
      <w:proofErr w:type="spellStart"/>
      <w:r w:rsidR="00B21C9F" w:rsidRPr="006A6890">
        <w:rPr>
          <w:rFonts w:asciiTheme="minorHAnsi" w:hAnsiTheme="minorHAnsi"/>
        </w:rPr>
        <w:t>TRIM</w:t>
      </w:r>
      <w:proofErr w:type="spellEnd"/>
      <w:r w:rsidR="00B21C9F" w:rsidRPr="006A6890">
        <w:rPr>
          <w:rFonts w:asciiTheme="minorHAnsi" w:hAnsiTheme="minorHAnsi"/>
        </w:rPr>
        <w:t xml:space="preserve">) alapján a PD kalibrációnak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jellegűnek kell lennie, azaz a becslések a rövidtávú átlagos default rátákhoz nem </w:t>
      </w:r>
      <w:proofErr w:type="spellStart"/>
      <w:r w:rsidR="00B21C9F" w:rsidRPr="006A6890">
        <w:rPr>
          <w:rFonts w:asciiTheme="minorHAnsi" w:hAnsiTheme="minorHAnsi"/>
        </w:rPr>
        <w:t>kalibrálhatóak</w:t>
      </w:r>
      <w:proofErr w:type="spellEnd"/>
      <w:r w:rsidR="00B21C9F" w:rsidRPr="006A6890">
        <w:rPr>
          <w:rFonts w:asciiTheme="minorHAnsi" w:hAnsiTheme="minorHAnsi"/>
        </w:rPr>
        <w:t xml:space="preserve">, hanem az éves nemteljesítési valószínűségek hosszú távú átlagából kell kiindulniuk. </w:t>
      </w:r>
      <w:r w:rsidR="00023F48" w:rsidRPr="006A6890">
        <w:rPr>
          <w:rFonts w:asciiTheme="minorHAnsi" w:hAnsiTheme="minorHAnsi"/>
        </w:rPr>
        <w:t>E feltétel teljesülését az MNB úgy ellenőrzi, hogy a vizsgált referencia dátumra vizsgálja azt, hogy adott szegmens / termék hosszú távú átlagos default rátájából számított default várakozás (</w:t>
      </w:r>
      <w:proofErr w:type="spellStart"/>
      <w:r w:rsidR="00023F48" w:rsidRPr="006A6890">
        <w:rPr>
          <w:rFonts w:asciiTheme="minorHAnsi" w:hAnsiTheme="minorHAnsi"/>
        </w:rPr>
        <w:t>central</w:t>
      </w:r>
      <w:proofErr w:type="spellEnd"/>
      <w:r w:rsidR="00023F48" w:rsidRPr="006A6890">
        <w:rPr>
          <w:rFonts w:asciiTheme="minorHAnsi" w:hAnsiTheme="minorHAnsi"/>
        </w:rPr>
        <w:t xml:space="preserve"> </w:t>
      </w:r>
      <w:proofErr w:type="spellStart"/>
      <w:r w:rsidR="00023F48" w:rsidRPr="006A6890">
        <w:rPr>
          <w:rFonts w:asciiTheme="minorHAnsi" w:hAnsiTheme="minorHAnsi"/>
        </w:rPr>
        <w:t>tendency</w:t>
      </w:r>
      <w:proofErr w:type="spellEnd"/>
      <w:r w:rsidR="00023F48" w:rsidRPr="006A6890">
        <w:rPr>
          <w:rFonts w:asciiTheme="minorHAnsi" w:hAnsiTheme="minorHAnsi"/>
        </w:rPr>
        <w:t>) egyezik-e az adott szegmens / termék becsült átlagos PD értékével</w:t>
      </w:r>
      <w:r w:rsidR="00023F48" w:rsidRPr="006A6890">
        <w:rPr>
          <w:rFonts w:asciiTheme="minorHAnsi" w:hAnsiTheme="minorHAnsi"/>
        </w:rPr>
        <w:footnoteReference w:id="35"/>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w:t>
      </w:r>
      <w:proofErr w:type="spellStart"/>
      <w:r w:rsidR="00B21C9F" w:rsidRPr="006A6890">
        <w:rPr>
          <w:rFonts w:asciiTheme="minorHAnsi" w:hAnsiTheme="minorHAnsi"/>
        </w:rPr>
        <w:t>migráltatják</w:t>
      </w:r>
      <w:proofErr w:type="spellEnd"/>
      <w:r w:rsidR="00B21C9F" w:rsidRPr="006A6890">
        <w:rPr>
          <w:rFonts w:asciiTheme="minorHAnsi" w:hAnsiTheme="minorHAnsi"/>
        </w:rPr>
        <w:t xml:space="preserve"> az ügyleteket az egyes minősítési </w:t>
      </w:r>
      <w:proofErr w:type="spellStart"/>
      <w:r w:rsidR="00B21C9F" w:rsidRPr="006A6890">
        <w:rPr>
          <w:rFonts w:asciiTheme="minorHAnsi" w:hAnsiTheme="minorHAnsi"/>
        </w:rPr>
        <w:t>kategóiák</w:t>
      </w:r>
      <w:proofErr w:type="spellEnd"/>
      <w:r w:rsidR="00B21C9F" w:rsidRPr="006A6890">
        <w:rPr>
          <w:rFonts w:asciiTheme="minorHAnsi" w:hAnsiTheme="minorHAnsi"/>
        </w:rPr>
        <w:t xml:space="preserve">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w:t>
      </w:r>
      <w:proofErr w:type="spellStart"/>
      <w:r w:rsidR="00B21C9F" w:rsidRPr="006A6890">
        <w:rPr>
          <w:rFonts w:asciiTheme="minorHAnsi" w:hAnsiTheme="minorHAnsi"/>
        </w:rPr>
        <w:t>migrálják</w:t>
      </w:r>
      <w:proofErr w:type="spellEnd"/>
      <w:r w:rsidR="00B21C9F" w:rsidRPr="006A6890">
        <w:rPr>
          <w:rFonts w:asciiTheme="minorHAnsi" w:hAnsiTheme="minorHAnsi"/>
        </w:rPr>
        <w:t xml:space="preserve"> az adósokat. A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 minősítési modellekben a migráció kisebb, itt adott minősítési kategória default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w:t>
      </w:r>
      <w:proofErr w:type="spellStart"/>
      <w:r w:rsidRPr="006A6890">
        <w:rPr>
          <w:rFonts w:asciiTheme="minorHAnsi" w:hAnsiTheme="minorHAnsi"/>
        </w:rPr>
        <w:t>TTC</w:t>
      </w:r>
      <w:proofErr w:type="spellEnd"/>
      <w:r w:rsidRPr="006A6890">
        <w:rPr>
          <w:rFonts w:asciiTheme="minorHAnsi" w:hAnsiTheme="minorHAnsi"/>
        </w:rPr>
        <w:t xml:space="preserve"> kalibráció mellett is vezethet a számított tőkekövetelmény ciklikusságához, és ezzel hozzájárulhat a pénzügyi szektor </w:t>
      </w:r>
      <w:proofErr w:type="spellStart"/>
      <w:r w:rsidRPr="006A6890">
        <w:rPr>
          <w:rFonts w:asciiTheme="minorHAnsi" w:hAnsiTheme="minorHAnsi"/>
        </w:rPr>
        <w:t>prociklikus</w:t>
      </w:r>
      <w:proofErr w:type="spellEnd"/>
      <w:r w:rsidRPr="006A6890">
        <w:rPr>
          <w:rFonts w:asciiTheme="minorHAnsi" w:hAnsiTheme="minorHAnsi"/>
        </w:rPr>
        <w:t xml:space="preserve">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w:t>
      </w:r>
      <w:proofErr w:type="spellStart"/>
      <w:r w:rsidR="003A53B9" w:rsidRPr="006A6890">
        <w:rPr>
          <w:rFonts w:asciiTheme="minorHAnsi" w:hAnsiTheme="minorHAnsi"/>
        </w:rPr>
        <w:t>prociklikusságot</w:t>
      </w:r>
      <w:proofErr w:type="spellEnd"/>
      <w:r w:rsidR="003A53B9" w:rsidRPr="006A6890">
        <w:rPr>
          <w:rFonts w:asciiTheme="minorHAnsi" w:hAnsiTheme="minorHAnsi"/>
        </w:rPr>
        <w:t xml:space="preserve"> is szükséges csökkenteni</w:t>
      </w:r>
      <w:r w:rsidRPr="006A6890">
        <w:rPr>
          <w:rFonts w:asciiTheme="minorHAnsi" w:hAnsiTheme="minorHAnsi"/>
        </w:rPr>
        <w:t>. Továbbá már a Bázel II-</w:t>
      </w:r>
      <w:proofErr w:type="spellStart"/>
      <w:r w:rsidRPr="006A6890">
        <w:rPr>
          <w:rFonts w:asciiTheme="minorHAnsi" w:hAnsiTheme="minorHAnsi"/>
        </w:rPr>
        <w:t>nek</w:t>
      </w:r>
      <w:proofErr w:type="spellEnd"/>
      <w:r w:rsidRPr="006A6890">
        <w:rPr>
          <w:rFonts w:asciiTheme="minorHAnsi" w:hAnsiTheme="minorHAnsi"/>
        </w:rPr>
        <w:t xml:space="preserve"> is szándéka volt a </w:t>
      </w:r>
      <w:proofErr w:type="spellStart"/>
      <w:r w:rsidRPr="006A6890">
        <w:rPr>
          <w:rFonts w:asciiTheme="minorHAnsi" w:hAnsiTheme="minorHAnsi"/>
        </w:rPr>
        <w:t>prociklikusság</w:t>
      </w:r>
      <w:proofErr w:type="spellEnd"/>
      <w:r w:rsidRPr="006A6890">
        <w:rPr>
          <w:rFonts w:asciiTheme="minorHAnsi" w:hAnsiTheme="minorHAnsi"/>
        </w:rPr>
        <w:t xml:space="preserve"> </w:t>
      </w:r>
      <w:r w:rsidRPr="006A6890">
        <w:rPr>
          <w:rFonts w:asciiTheme="minorHAnsi" w:hAnsiTheme="minorHAnsi"/>
        </w:rPr>
        <w:lastRenderedPageBreak/>
        <w:t>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xml:space="preserve">, hogy a kockázatérzékenység és a </w:t>
      </w:r>
      <w:proofErr w:type="spellStart"/>
      <w:r w:rsidR="003A53B9" w:rsidRPr="006A6890">
        <w:rPr>
          <w:rFonts w:asciiTheme="minorHAnsi" w:hAnsiTheme="minorHAnsi"/>
        </w:rPr>
        <w:t>prociklikusság</w:t>
      </w:r>
      <w:proofErr w:type="spellEnd"/>
      <w:r w:rsidR="003A53B9" w:rsidRPr="006A6890">
        <w:rPr>
          <w:rFonts w:asciiTheme="minorHAnsi" w:hAnsiTheme="minorHAnsi"/>
        </w:rPr>
        <w:t xml:space="preserve">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xml:space="preserve">, hitelkockázati modellek alkalmazhatóságához kapcsolódó konzultációs </w:t>
      </w:r>
      <w:proofErr w:type="spellStart"/>
      <w:r w:rsidRPr="006A6890">
        <w:rPr>
          <w:rFonts w:asciiTheme="minorHAnsi" w:hAnsiTheme="minorHAnsi"/>
        </w:rPr>
        <w:t>anyagában</w:t>
      </w:r>
      <w:proofErr w:type="spellEnd"/>
      <w:r w:rsidR="00C47431" w:rsidRPr="006A6890">
        <w:rPr>
          <w:rFonts w:asciiTheme="minorHAnsi" w:hAnsiTheme="minorHAnsi"/>
        </w:rPr>
        <w:footnoteReference w:id="36"/>
      </w:r>
      <w:r w:rsidRPr="006A6890">
        <w:rPr>
          <w:rFonts w:asciiTheme="minorHAnsi" w:hAnsiTheme="minorHAnsi"/>
        </w:rPr>
        <w:t xml:space="preserve"> megfogalmazza, hogy </w:t>
      </w:r>
      <w:r w:rsidR="00F639BF" w:rsidRPr="006A6890">
        <w:rPr>
          <w:rFonts w:asciiTheme="minorHAnsi" w:hAnsiTheme="minorHAnsi"/>
        </w:rPr>
        <w:t xml:space="preserve">nem csak a PD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proofErr w:type="spellStart"/>
      <w:r w:rsidRPr="006A6890">
        <w:rPr>
          <w:rFonts w:asciiTheme="minorHAnsi" w:hAnsiTheme="minorHAnsi"/>
        </w:rPr>
        <w:t>TTC</w:t>
      </w:r>
      <w:proofErr w:type="spellEnd"/>
      <w:r w:rsidRPr="006A6890">
        <w:rPr>
          <w:rFonts w:asciiTheme="minorHAnsi" w:hAnsiTheme="minorHAnsi"/>
        </w:rPr>
        <w:t xml:space="preserve"> jellegűnek kell lennie, azaz úgy kell </w:t>
      </w:r>
      <w:r w:rsidR="00F639BF" w:rsidRPr="006A6890">
        <w:rPr>
          <w:rFonts w:asciiTheme="minorHAnsi" w:hAnsiTheme="minorHAnsi"/>
        </w:rPr>
        <w:t xml:space="preserve">azokat </w:t>
      </w:r>
      <w:r w:rsidRPr="006A6890">
        <w:rPr>
          <w:rFonts w:asciiTheme="minorHAnsi" w:hAnsiTheme="minorHAnsi"/>
        </w:rPr>
        <w:t xml:space="preserve">kialakítani, hogy a minősítési kategóriák időben és gazdasági cikluson keresztül </w:t>
      </w:r>
      <w:proofErr w:type="spellStart"/>
      <w:r w:rsidRPr="006A6890">
        <w:rPr>
          <w:rFonts w:asciiTheme="minorHAnsi" w:hAnsiTheme="minorHAnsi"/>
        </w:rPr>
        <w:t>stabilak</w:t>
      </w:r>
      <w:proofErr w:type="spellEnd"/>
      <w:r w:rsidRPr="006A6890">
        <w:rPr>
          <w:rFonts w:asciiTheme="minorHAnsi" w:hAnsiTheme="minorHAnsi"/>
        </w:rPr>
        <w:t xml:space="preserve"> legyenek, és az egyes kategóriák közötti migráció kizárólag az egyedi (</w:t>
      </w:r>
      <w:proofErr w:type="spellStart"/>
      <w:r w:rsidRPr="006A6890">
        <w:rPr>
          <w:rFonts w:asciiTheme="minorHAnsi" w:hAnsiTheme="minorHAnsi"/>
        </w:rPr>
        <w:t>idioszinkratikus</w:t>
      </w:r>
      <w:proofErr w:type="spellEnd"/>
      <w:r w:rsidRPr="006A6890">
        <w:rPr>
          <w:rFonts w:asciiTheme="minorHAnsi" w:hAnsiTheme="minorHAnsi"/>
        </w:rPr>
        <w:t>), vagy az iparág specifikus változások esetén következhessen be.</w:t>
      </w:r>
      <w:r w:rsidR="00A70964" w:rsidRPr="006A6890">
        <w:rPr>
          <w:rFonts w:asciiTheme="minorHAnsi" w:hAnsiTheme="minorHAnsi"/>
        </w:rPr>
        <w:t xml:space="preserve"> A 2017-es végleges bázeli reformcsomagban</w:t>
      </w:r>
      <w:r w:rsidR="00A70964" w:rsidRPr="006A6890">
        <w:rPr>
          <w:rFonts w:asciiTheme="minorHAnsi" w:hAnsiTheme="minorHAnsi"/>
        </w:rPr>
        <w:footnoteReference w:id="37"/>
      </w:r>
      <w:r w:rsidR="00A70964" w:rsidRPr="006A6890">
        <w:rPr>
          <w:rFonts w:asciiTheme="minorHAnsi" w:hAnsiTheme="minorHAnsi"/>
        </w:rPr>
        <w:t xml:space="preserve"> ugyanez az elvárás </w:t>
      </w:r>
      <w:proofErr w:type="spellStart"/>
      <w:r w:rsidR="00A70964" w:rsidRPr="006A6890">
        <w:rPr>
          <w:rFonts w:asciiTheme="minorHAnsi" w:hAnsiTheme="minorHAnsi"/>
        </w:rPr>
        <w:t>fogalmazódik</w:t>
      </w:r>
      <w:proofErr w:type="spellEnd"/>
      <w:r w:rsidR="00A70964" w:rsidRPr="006A6890">
        <w:rPr>
          <w:rFonts w:asciiTheme="minorHAnsi" w:hAnsiTheme="minorHAnsi"/>
        </w:rPr>
        <w:t xml:space="preserve"> meg némileg árnyaltabban: az ügyfél </w:t>
      </w:r>
      <w:proofErr w:type="spellStart"/>
      <w:r w:rsidR="00A70964" w:rsidRPr="006A6890">
        <w:rPr>
          <w:rFonts w:asciiTheme="minorHAnsi" w:hAnsiTheme="minorHAnsi"/>
        </w:rPr>
        <w:t>ratingjének</w:t>
      </w:r>
      <w:proofErr w:type="spellEnd"/>
      <w:r w:rsidR="00A70964" w:rsidRPr="006A6890">
        <w:rPr>
          <w:rFonts w:asciiTheme="minorHAnsi" w:hAnsiTheme="minorHAnsi"/>
        </w:rPr>
        <w:t xml:space="preserve">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w:t>
      </w:r>
      <w:proofErr w:type="spellStart"/>
      <w:r w:rsidR="00A70964" w:rsidRPr="006A6890">
        <w:rPr>
          <w:rFonts w:asciiTheme="minorHAnsi" w:hAnsiTheme="minorHAnsi"/>
        </w:rPr>
        <w:t>idioszinkratikus</w:t>
      </w:r>
      <w:proofErr w:type="spellEnd"/>
      <w:r w:rsidR="00A70964" w:rsidRPr="006A6890">
        <w:rPr>
          <w:rFonts w:asciiTheme="minorHAnsi" w:hAnsiTheme="minorHAnsi"/>
        </w:rPr>
        <w:t xml:space="preserve">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5D9D031D"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w:t>
      </w:r>
      <w:proofErr w:type="spellStart"/>
      <w:r w:rsidRPr="006A6890">
        <w:rPr>
          <w:rFonts w:asciiTheme="minorHAnsi" w:hAnsiTheme="minorHAnsi"/>
        </w:rPr>
        <w:t>TTC</w:t>
      </w:r>
      <w:proofErr w:type="spellEnd"/>
      <w:r w:rsidRPr="006A6890">
        <w:rPr>
          <w:rFonts w:asciiTheme="minorHAnsi" w:hAnsiTheme="minorHAnsi"/>
        </w:rPr>
        <w:t xml:space="preserve">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PD-k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PD-</w:t>
      </w:r>
      <w:r w:rsidRPr="006A6890">
        <w:rPr>
          <w:rFonts w:asciiTheme="minorHAnsi" w:hAnsiTheme="minorHAnsi"/>
        </w:rPr>
        <w:t>k átlaga</w:t>
      </w:r>
      <w:r w:rsidR="003A53B9" w:rsidRPr="006A6890">
        <w:rPr>
          <w:rFonts w:asciiTheme="minorHAnsi" w:hAnsiTheme="minorHAnsi"/>
        </w:rPr>
        <w:t xml:space="preserve"> ugyan meg fog egyezni a default ráták hosszú távú átlagával, ugyanakkor az egyes évekre jellemző PD-k a ciklussal együtt mozogva az átlag körül fognak ingadozni</w:t>
      </w:r>
      <w:r w:rsidRPr="006A6890">
        <w:rPr>
          <w:rFonts w:asciiTheme="minorHAnsi" w:hAnsiTheme="minorHAnsi"/>
        </w:rPr>
        <w:t>, és különösen a vizsgált, utolsó időpont teljesítő portfólióján mért átlag PD akár lényegesen eltér a kalibrációs céltól</w:t>
      </w:r>
      <w:r w:rsidR="003A53B9" w:rsidRPr="006A6890">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435CA4F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PD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MNB </w:t>
      </w:r>
      <w:r w:rsidR="00A70964" w:rsidRPr="006A6890">
        <w:rPr>
          <w:rFonts w:asciiTheme="minorHAnsi" w:hAnsiTheme="minorHAnsi"/>
        </w:rPr>
        <w:t xml:space="preserve">rövidtávon </w:t>
      </w:r>
      <w:r w:rsidR="00E53975" w:rsidRPr="006A6890">
        <w:rPr>
          <w:rFonts w:asciiTheme="minorHAnsi" w:hAnsiTheme="minorHAnsi"/>
        </w:rPr>
        <w:t xml:space="preserve">jelenleg nem várja el a PIT minősítő rendszerek lecserélését, azonban elvárja azt, hogy azzal párhuzamosan fejlesszen 2. pillér alatt </w:t>
      </w:r>
      <w:proofErr w:type="spellStart"/>
      <w:r w:rsidR="00E53975" w:rsidRPr="006A6890">
        <w:rPr>
          <w:rFonts w:asciiTheme="minorHAnsi" w:hAnsiTheme="minorHAnsi"/>
        </w:rPr>
        <w:t>TTC</w:t>
      </w:r>
      <w:proofErr w:type="spellEnd"/>
      <w:r w:rsidR="00E53975" w:rsidRPr="006A6890">
        <w:rPr>
          <w:rFonts w:asciiTheme="minorHAnsi" w:hAnsiTheme="minorHAnsi"/>
        </w:rPr>
        <w:t xml:space="preserve"> jellegű minősítő rendszert és PD-t, azzal is számítsa ki a tőkekövetelményt, és amennyiben szükséges, képezze azt meg a 2. pillér alatt. Az</w:t>
      </w:r>
      <w:r w:rsidRPr="006A6890">
        <w:rPr>
          <w:rFonts w:asciiTheme="minorHAnsi" w:hAnsiTheme="minorHAnsi"/>
        </w:rPr>
        <w:t xml:space="preserve"> ügyfelek </w:t>
      </w:r>
      <w:proofErr w:type="spellStart"/>
      <w:r w:rsidRPr="006A6890">
        <w:rPr>
          <w:rFonts w:asciiTheme="minorHAnsi" w:hAnsiTheme="minorHAnsi"/>
        </w:rPr>
        <w:t>TTC</w:t>
      </w:r>
      <w:proofErr w:type="spellEnd"/>
      <w:r w:rsidRPr="006A6890">
        <w:rPr>
          <w:rFonts w:asciiTheme="minorHAnsi" w:hAnsiTheme="minorHAnsi"/>
        </w:rPr>
        <w:t xml:space="preserve"> besorolása biztosítja azt, hogy az ügyfelek csak az egyedi kockázatuk változása esetén </w:t>
      </w:r>
      <w:proofErr w:type="spellStart"/>
      <w:r w:rsidRPr="006A6890">
        <w:rPr>
          <w:rFonts w:asciiTheme="minorHAnsi" w:hAnsiTheme="minorHAnsi"/>
        </w:rPr>
        <w:t>migrálhatnak</w:t>
      </w:r>
      <w:proofErr w:type="spellEnd"/>
      <w:r w:rsidRPr="006A6890">
        <w:rPr>
          <w:rFonts w:asciiTheme="minorHAnsi" w:hAnsiTheme="minorHAnsi"/>
        </w:rPr>
        <w:t xml:space="preserve">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w:t>
      </w:r>
      <w:proofErr w:type="spellStart"/>
      <w:r w:rsidRPr="006A6890">
        <w:rPr>
          <w:rFonts w:asciiTheme="minorHAnsi" w:hAnsiTheme="minorHAnsi"/>
        </w:rPr>
        <w:t>szocio</w:t>
      </w:r>
      <w:proofErr w:type="spellEnd"/>
      <w:r w:rsidRPr="006A6890">
        <w:rPr>
          <w:rFonts w:asciiTheme="minorHAnsi" w:hAnsiTheme="minorHAnsi"/>
        </w:rPr>
        <w:t xml:space="preserve">-demográfiai változók, </w:t>
      </w:r>
      <w:r w:rsidR="009044DF" w:rsidRPr="006A6890">
        <w:rPr>
          <w:rFonts w:asciiTheme="minorHAnsi" w:hAnsiTheme="minorHAnsi"/>
        </w:rPr>
        <w:t xml:space="preserve">folyósításkori </w:t>
      </w:r>
      <w:proofErr w:type="spellStart"/>
      <w:r w:rsidRPr="006A6890">
        <w:rPr>
          <w:rFonts w:asciiTheme="minorHAnsi" w:hAnsiTheme="minorHAnsi"/>
        </w:rPr>
        <w:t>PTI</w:t>
      </w:r>
      <w:proofErr w:type="spellEnd"/>
      <w:r w:rsidRPr="006A6890">
        <w:rPr>
          <w:rFonts w:asciiTheme="minorHAnsi" w:hAnsiTheme="minorHAnsi"/>
        </w:rPr>
        <w:t>)</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 xml:space="preserve">Vállalati szegmensben az MNB elsősorban annak vizsgálatát várja el, hogy a </w:t>
      </w:r>
      <w:proofErr w:type="spellStart"/>
      <w:r w:rsidR="00792176" w:rsidRPr="006A6890">
        <w:rPr>
          <w:rFonts w:asciiTheme="minorHAnsi" w:hAnsiTheme="minorHAnsi"/>
        </w:rPr>
        <w:t>ciklikusságot</w:t>
      </w:r>
      <w:proofErr w:type="spellEnd"/>
      <w:r w:rsidR="00792176" w:rsidRPr="006A6890">
        <w:rPr>
          <w:rFonts w:asciiTheme="minorHAnsi" w:hAnsiTheme="minorHAnsi"/>
        </w:rPr>
        <w:t xml:space="preserve"> elsősorban okozó magyarázó változók (például késedelem, negatív monitoring információ) modellekből történő elhagyásával hogyan változik a PD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TTC</w:t>
      </w:r>
      <w:proofErr w:type="spellEnd"/>
      <w:r w:rsidRPr="006A6890">
        <w:rPr>
          <w:rFonts w:asciiTheme="minorHAnsi" w:hAnsiTheme="minorHAnsi"/>
        </w:rPr>
        <w:t xml:space="preserve">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Heading4"/>
        <w:rPr>
          <w:rFonts w:asciiTheme="minorHAnsi" w:hAnsiTheme="minorHAnsi"/>
          <w:lang w:val="hu-HU"/>
        </w:rPr>
      </w:pPr>
      <w:bookmarkStart w:id="680" w:name="_Toc27138956"/>
      <w:r w:rsidRPr="006A6890">
        <w:rPr>
          <w:rFonts w:asciiTheme="minorHAnsi" w:hAnsiTheme="minorHAnsi"/>
          <w:lang w:val="hu-HU"/>
        </w:rPr>
        <w:lastRenderedPageBreak/>
        <w:t xml:space="preserve">Lakossági </w:t>
      </w:r>
      <w:proofErr w:type="spellStart"/>
      <w:r w:rsidR="002F7560" w:rsidRPr="006A6890">
        <w:rPr>
          <w:rFonts w:asciiTheme="minorHAnsi" w:hAnsiTheme="minorHAnsi"/>
          <w:lang w:val="hu-HU"/>
        </w:rPr>
        <w:t>TTC</w:t>
      </w:r>
      <w:proofErr w:type="spellEnd"/>
      <w:r w:rsidRPr="006A6890">
        <w:rPr>
          <w:rFonts w:asciiTheme="minorHAnsi" w:hAnsiTheme="minorHAnsi"/>
          <w:lang w:val="hu-HU"/>
        </w:rPr>
        <w:t xml:space="preserve"> PD – felügyeleti benchmark</w:t>
      </w:r>
      <w:bookmarkEnd w:id="680"/>
    </w:p>
    <w:p w14:paraId="12241B45" w14:textId="451DD302"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74630" w:rsidRPr="006A6890">
        <w:rPr>
          <w:rFonts w:asciiTheme="minorHAnsi" w:hAnsiTheme="minorHAnsi"/>
        </w:rPr>
        <w:t xml:space="preserve">jelenleg még </w:t>
      </w:r>
      <w:r w:rsidRPr="006A6890">
        <w:rPr>
          <w:rFonts w:asciiTheme="minorHAnsi" w:hAnsiTheme="minorHAnsi"/>
        </w:rPr>
        <w:t xml:space="preserve">széles teret adnak az intézményeknek a saját default </w:t>
      </w:r>
      <w:r w:rsidR="00496710" w:rsidRPr="006A6890">
        <w:rPr>
          <w:rFonts w:asciiTheme="minorHAnsi" w:hAnsiTheme="minorHAnsi"/>
        </w:rPr>
        <w:t>indikátoraik</w:t>
      </w:r>
      <w:r w:rsidRPr="006A6890">
        <w:rPr>
          <w:rFonts w:asciiTheme="minorHAnsi" w:hAnsiTheme="minorHAnsi"/>
        </w:rPr>
        <w:t xml:space="preserve"> definiálására és a 90 napos késettség materialitási küszöbének meghatározására</w:t>
      </w:r>
      <w:r w:rsidR="00F74630" w:rsidRPr="006A6890">
        <w:rPr>
          <w:rStyle w:val="FootnoteReference"/>
          <w:rFonts w:asciiTheme="minorHAnsi" w:hAnsiTheme="minorHAnsi"/>
        </w:rPr>
        <w:footnoteReference w:id="38"/>
      </w:r>
      <w:r w:rsidRPr="006A6890">
        <w:rPr>
          <w:rFonts w:asciiTheme="minorHAnsi" w:hAnsiTheme="minorHAnsi"/>
        </w:rPr>
        <w:t xml:space="preserve">, így a default definícióval szembeni összes elvárás teljesítése mellett is jelentős eltérések lehetnek az egyes bankok között abban, hogy bizonyos ügyleteket </w:t>
      </w:r>
      <w:proofErr w:type="spellStart"/>
      <w:r w:rsidRPr="006A6890">
        <w:rPr>
          <w:rFonts w:asciiTheme="minorHAnsi" w:hAnsiTheme="minorHAnsi"/>
        </w:rPr>
        <w:t>defaultosnak</w:t>
      </w:r>
      <w:proofErr w:type="spellEnd"/>
      <w:r w:rsidRPr="006A6890">
        <w:rPr>
          <w:rFonts w:asciiTheme="minorHAnsi" w:hAnsiTheme="minorHAnsi"/>
        </w:rPr>
        <w:t xml:space="preserve"> minősítenek-e, illetve a default státuszt mikor állítják be.</w:t>
      </w:r>
      <w:r w:rsidR="00496710" w:rsidRPr="006A6890">
        <w:rPr>
          <w:rFonts w:asciiTheme="minorHAnsi" w:hAnsiTheme="minorHAnsi"/>
        </w:rPr>
        <w:t xml:space="preserve"> A defaultok eltérő azonosítása áttételesen végül a tőkekövetelmény kalkulációban is megjelenik:</w:t>
      </w:r>
    </w:p>
    <w:p w14:paraId="159B75B7" w14:textId="46189623" w:rsidR="002F756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PD modellek kalibrációján keresztül (szigorúbb default definíció mellett sok, később gyógyulással végződő default esemény azonosítása – magasabb megfigyelt default ráta)</w:t>
      </w:r>
    </w:p>
    <w:p w14:paraId="55E0C075" w14:textId="202DBEE1"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 xml:space="preserve">az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 xml:space="preserve"> modelleken keresztül (a sok meggyógyuló defaultos megfigyelés csökkenti a megfigyelt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-t)</w:t>
      </w:r>
    </w:p>
    <w:p w14:paraId="386DCD30" w14:textId="64ED55B8"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defaultok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ból eredő, de eltérő időpontban azonosított default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r w:rsidR="00646FE7" w:rsidRPr="006A6890">
        <w:rPr>
          <w:rFonts w:asciiTheme="minorHAnsi" w:hAnsiTheme="minorHAnsi"/>
          <w:sz w:val="22"/>
          <w:szCs w:val="22"/>
          <w:lang w:val="hu-HU"/>
        </w:rPr>
        <w:t>default ráták</w:t>
      </w:r>
      <w:r w:rsidRPr="006A6890">
        <w:rPr>
          <w:rFonts w:asciiTheme="minorHAnsi" w:hAnsiTheme="minorHAnsi"/>
          <w:sz w:val="22"/>
          <w:szCs w:val="22"/>
          <w:lang w:val="hu-HU"/>
        </w:rPr>
        <w:t xml:space="preserve"> között megfigyelt kapcsolatot)</w:t>
      </w:r>
    </w:p>
    <w:p w14:paraId="1C92F971" w14:textId="778A8B64" w:rsidR="00DA5B76" w:rsidRPr="006A6890" w:rsidRDefault="00DA5B76" w:rsidP="009D65E3">
      <w:pPr>
        <w:rPr>
          <w:rFonts w:asciiTheme="minorHAnsi" w:hAnsiTheme="minorHAnsi"/>
        </w:rPr>
      </w:pPr>
      <w:r w:rsidRPr="006A6890">
        <w:rPr>
          <w:rFonts w:asciiTheme="minorHAnsi" w:hAnsiTheme="minorHAnsi"/>
        </w:rPr>
        <w:t>A lakossági portfóliókra az MNB benchmark modellje minden intézményre egységesen alkalmazott</w:t>
      </w:r>
      <w:r w:rsidR="006323BB" w:rsidRPr="006A6890">
        <w:rPr>
          <w:rFonts w:asciiTheme="minorHAnsi" w:hAnsiTheme="minorHAnsi"/>
        </w:rPr>
        <w:t>,</w:t>
      </w:r>
      <w:r w:rsidRPr="006A6890">
        <w:rPr>
          <w:rFonts w:asciiTheme="minorHAnsi" w:hAnsiTheme="minorHAnsi"/>
        </w:rPr>
        <w:t xml:space="preserve"> módosított default definícióval becsüli</w:t>
      </w:r>
      <w:r w:rsidR="006323BB" w:rsidRPr="006A6890">
        <w:rPr>
          <w:rFonts w:asciiTheme="minorHAnsi" w:hAnsiTheme="minorHAnsi"/>
        </w:rPr>
        <w:t xml:space="preserve"> a </w:t>
      </w:r>
      <w:proofErr w:type="spellStart"/>
      <w:r w:rsidR="006323BB" w:rsidRPr="006A6890">
        <w:rPr>
          <w:rFonts w:asciiTheme="minorHAnsi" w:hAnsiTheme="minorHAnsi"/>
        </w:rPr>
        <w:t>TTC</w:t>
      </w:r>
      <w:proofErr w:type="spellEnd"/>
      <w:r w:rsidR="006323BB" w:rsidRPr="006A6890">
        <w:rPr>
          <w:rFonts w:asciiTheme="minorHAnsi" w:hAnsiTheme="minorHAnsi"/>
        </w:rPr>
        <w:t xml:space="preserve"> PD-t. </w:t>
      </w:r>
      <w:r w:rsidRPr="006A6890">
        <w:rPr>
          <w:rFonts w:asciiTheme="minorHAnsi" w:hAnsiTheme="minorHAnsi"/>
        </w:rPr>
        <w:t>A</w:t>
      </w:r>
      <w:r w:rsidR="006323BB" w:rsidRPr="006A6890">
        <w:rPr>
          <w:rFonts w:asciiTheme="minorHAnsi" w:hAnsiTheme="minorHAnsi"/>
        </w:rPr>
        <w:t xml:space="preserve"> modell </w:t>
      </w:r>
      <w:r w:rsidRPr="006A6890">
        <w:rPr>
          <w:rFonts w:asciiTheme="minorHAnsi" w:hAnsiTheme="minorHAnsi"/>
        </w:rPr>
        <w:t xml:space="preserve">alapjául szolgáló default definíció csak a tartós késedelmet tekinti </w:t>
      </w:r>
      <w:proofErr w:type="spellStart"/>
      <w:r w:rsidRPr="006A6890">
        <w:rPr>
          <w:rFonts w:asciiTheme="minorHAnsi" w:hAnsiTheme="minorHAnsi"/>
        </w:rPr>
        <w:t>defaultnak</w:t>
      </w:r>
      <w:proofErr w:type="spellEnd"/>
      <w:r w:rsidR="00745563">
        <w:rPr>
          <w:rFonts w:asciiTheme="minorHAnsi" w:hAnsiTheme="minorHAnsi"/>
        </w:rPr>
        <w:t xml:space="preserve"> (</w:t>
      </w:r>
      <w:r w:rsidR="005315EA" w:rsidRPr="005315EA">
        <w:rPr>
          <w:rFonts w:asciiTheme="minorHAnsi" w:hAnsiTheme="minorHAnsi"/>
        </w:rPr>
        <w:t>jelzálog hitelek esetén legalább 360 napos, személyi kölcsönökön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 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90 nap alatti késedelemben tartózkodás szükséges. Az MNB a késedelem mellett nem vesz figyelembe egyéb default-indikátorokat</w:t>
      </w:r>
      <w:r w:rsidR="00745563">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w:t>
      </w:r>
      <w:proofErr w:type="spellStart"/>
      <w:r w:rsidRPr="006A6890">
        <w:rPr>
          <w:rFonts w:asciiTheme="minorHAnsi" w:hAnsiTheme="minorHAnsi"/>
        </w:rPr>
        <w:t>soft</w:t>
      </w:r>
      <w:proofErr w:type="spellEnd"/>
      <w:r w:rsidRPr="006A6890">
        <w:rPr>
          <w:rFonts w:asciiTheme="minorHAnsi" w:hAnsiTheme="minorHAnsi"/>
        </w:rPr>
        <w:t xml:space="preserve">” defaultos ügyletek alacsony kockázati paraméterei (alacsony CCF, alacsony </w:t>
      </w:r>
      <w:proofErr w:type="spellStart"/>
      <w:r w:rsidRPr="006A6890">
        <w:rPr>
          <w:rFonts w:asciiTheme="minorHAnsi" w:hAnsiTheme="minorHAnsi"/>
        </w:rPr>
        <w:t>LGD</w:t>
      </w:r>
      <w:proofErr w:type="spellEnd"/>
      <w:r w:rsidRPr="006A6890">
        <w:rPr>
          <w:rFonts w:asciiTheme="minorHAnsi" w:hAnsiTheme="minorHAnsi"/>
        </w:rPr>
        <w:t>) mutatják.</w:t>
      </w:r>
    </w:p>
    <w:p w14:paraId="000A584F" w14:textId="60194829" w:rsidR="006323BB" w:rsidRPr="006A6890" w:rsidRDefault="006323BB" w:rsidP="009D65E3">
      <w:pPr>
        <w:rPr>
          <w:rFonts w:asciiTheme="minorHAnsi" w:hAnsiTheme="minorHAnsi"/>
        </w:rPr>
      </w:pPr>
      <w:r w:rsidRPr="006A6890">
        <w:rPr>
          <w:rFonts w:asciiTheme="minorHAnsi" w:hAnsiTheme="minorHAnsi"/>
        </w:rPr>
        <w:t xml:space="preserve">A megváltoztatott default definíción alapuló idősorokra az MNB a Bank által átadandó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becsüli a PD-t.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előnye, hogy figyelembe veszi a portfolió minőségének általános alakulását (jellemzően javulását), de megtartja a megbecsült PD-k feltétel nélküli (</w:t>
      </w:r>
      <w:proofErr w:type="spellStart"/>
      <w:r w:rsidR="00646FE7" w:rsidRPr="006A6890">
        <w:rPr>
          <w:rFonts w:asciiTheme="minorHAnsi" w:hAnsiTheme="minorHAnsi"/>
        </w:rPr>
        <w:t>TTC</w:t>
      </w:r>
      <w:proofErr w:type="spellEnd"/>
      <w:r w:rsidR="00646FE7" w:rsidRPr="006A6890">
        <w:rPr>
          <w:rFonts w:asciiTheme="minorHAnsi" w:hAnsiTheme="minorHAnsi"/>
        </w:rPr>
        <w:t>) jellegét.</w:t>
      </w:r>
    </w:p>
    <w:p w14:paraId="176ACED7" w14:textId="663B55EC" w:rsidR="00EE5968"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default definíció vagy modellezési metodológia, úgy a </w:t>
      </w:r>
      <w:proofErr w:type="spellStart"/>
      <w:r w:rsidR="00DA5B76" w:rsidRPr="006A6890">
        <w:rPr>
          <w:rFonts w:asciiTheme="minorHAnsi" w:hAnsiTheme="minorHAnsi"/>
        </w:rPr>
        <w:t>SREP</w:t>
      </w:r>
      <w:proofErr w:type="spellEnd"/>
      <w:r w:rsidR="00DA5B76" w:rsidRPr="006A6890">
        <w:rPr>
          <w:rFonts w:asciiTheme="minorHAnsi" w:hAnsiTheme="minorHAnsi"/>
        </w:rPr>
        <w:t xml:space="preserve"> tőkekövetelményt az MNB a </w:t>
      </w:r>
      <w:r w:rsidR="00744C91" w:rsidRPr="006A6890">
        <w:rPr>
          <w:rFonts w:asciiTheme="minorHAnsi" w:hAnsiTheme="minorHAnsi"/>
        </w:rPr>
        <w:t>fenti módszerrel számított</w:t>
      </w:r>
      <w:r w:rsidR="00DA5B76" w:rsidRPr="006A6890">
        <w:rPr>
          <w:rFonts w:asciiTheme="minorHAnsi" w:hAnsiTheme="minorHAnsi"/>
        </w:rPr>
        <w:t xml:space="preserve"> benchmark érték alapján határozza meg.</w:t>
      </w:r>
    </w:p>
    <w:p w14:paraId="604C5A6E" w14:textId="19127996" w:rsidR="00744C91" w:rsidRPr="006A6890" w:rsidRDefault="00744C91" w:rsidP="009D65E3">
      <w:pPr>
        <w:rPr>
          <w:rFonts w:asciiTheme="minorHAnsi" w:hAnsiTheme="minorHAnsi"/>
        </w:rPr>
      </w:pPr>
      <w:r w:rsidRPr="006A6890">
        <w:rPr>
          <w:rFonts w:asciiTheme="minorHAnsi" w:hAnsiTheme="minorHAnsi"/>
        </w:rPr>
        <w:t xml:space="preserve">Amennyiben a Bank nem képes megbízható idősoros adatokat átadni az ügyletei </w:t>
      </w:r>
      <w:proofErr w:type="spellStart"/>
      <w:r w:rsidRPr="006A6890">
        <w:rPr>
          <w:rFonts w:asciiTheme="minorHAnsi" w:hAnsiTheme="minorHAnsi"/>
        </w:rPr>
        <w:t>performanciájára</w:t>
      </w:r>
      <w:proofErr w:type="spellEnd"/>
      <w:r w:rsidRPr="006A6890">
        <w:rPr>
          <w:rFonts w:asciiTheme="minorHAnsi" w:hAnsiTheme="minorHAnsi"/>
        </w:rPr>
        <w:t xml:space="preserve"> vonatkozóan legalább </w:t>
      </w:r>
      <w:r w:rsidR="00745563">
        <w:rPr>
          <w:rFonts w:asciiTheme="minorHAnsi" w:hAnsiTheme="minorHAnsi"/>
        </w:rPr>
        <w:t>addig</w:t>
      </w:r>
      <w:r w:rsidRPr="006A6890">
        <w:rPr>
          <w:rFonts w:asciiTheme="minorHAnsi" w:hAnsiTheme="minorHAnsi"/>
        </w:rPr>
        <w:t xml:space="preserve"> visszamenőleg, </w:t>
      </w:r>
      <w:r w:rsidR="00745563">
        <w:rPr>
          <w:rFonts w:asciiTheme="minorHAnsi" w:hAnsiTheme="minorHAnsi"/>
        </w:rPr>
        <w:t xml:space="preserve">hogy egy teljes downturn periódust felöleljen, </w:t>
      </w:r>
      <w:r w:rsidRPr="006A6890">
        <w:rPr>
          <w:rFonts w:asciiTheme="minorHAnsi" w:hAnsiTheme="minorHAnsi"/>
        </w:rPr>
        <w:t>akkor az MNB a nagybankok adatain becsült benchmark modell</w:t>
      </w:r>
      <w:r w:rsidR="001E3371" w:rsidRPr="006A6890">
        <w:rPr>
          <w:rFonts w:asciiTheme="minorHAnsi" w:hAnsiTheme="minorHAnsi"/>
        </w:rPr>
        <w:t>paramétereket</w:t>
      </w:r>
      <w:r w:rsidRPr="006A6890">
        <w:rPr>
          <w:rFonts w:asciiTheme="minorHAnsi" w:hAnsiTheme="minorHAnsi"/>
        </w:rPr>
        <w:t xml:space="preserve"> alkalmazza az egyes ügyletek PD-</w:t>
      </w:r>
      <w:proofErr w:type="spellStart"/>
      <w:r w:rsidRPr="006A6890">
        <w:rPr>
          <w:rFonts w:asciiTheme="minorHAnsi" w:hAnsiTheme="minorHAnsi"/>
        </w:rPr>
        <w:t>inek</w:t>
      </w:r>
      <w:proofErr w:type="spellEnd"/>
      <w:r w:rsidRPr="006A6890">
        <w:rPr>
          <w:rFonts w:asciiTheme="minorHAnsi" w:hAnsiTheme="minorHAnsi"/>
        </w:rPr>
        <w:t xml:space="preserve"> megbecsülésére. </w:t>
      </w:r>
      <w:r w:rsidR="001E3371" w:rsidRPr="006A6890">
        <w:rPr>
          <w:rFonts w:asciiTheme="minorHAnsi" w:hAnsiTheme="minorHAnsi"/>
        </w:rPr>
        <w:t>Kevésbé fejlett adatbázissal rendelkező kisebb intézményeknél, illetve a na</w:t>
      </w:r>
      <w:r w:rsidRPr="006A6890">
        <w:rPr>
          <w:rFonts w:asciiTheme="minorHAnsi" w:hAnsiTheme="minorHAnsi"/>
        </w:rPr>
        <w:t>gybankok fókuszált vizsgálata során a tőkekövetelmény számítás értékelésekor az MNB elsősorban a benchmark modellre támaszkodik</w:t>
      </w:r>
      <w:r w:rsidR="001E3371" w:rsidRPr="006A6890">
        <w:rPr>
          <w:rFonts w:asciiTheme="minorHAnsi" w:hAnsiTheme="minorHAnsi"/>
        </w:rPr>
        <w:t>, a Bank saját PD modelljeinek megfelelőségét részletesen a teljeskörű vizsgálatok során tekinti át.</w:t>
      </w:r>
    </w:p>
    <w:p w14:paraId="424EB396" w14:textId="77777777" w:rsidR="00744C91" w:rsidRPr="006A6890" w:rsidRDefault="00744C91" w:rsidP="00646FE7">
      <w:pPr>
        <w:rPr>
          <w:rFonts w:asciiTheme="minorHAnsi" w:hAnsiTheme="minorHAnsi"/>
          <w:lang w:eastAsia="x-none"/>
        </w:rPr>
      </w:pPr>
    </w:p>
    <w:p w14:paraId="17ED8243" w14:textId="4C05902E" w:rsidR="00846BCA" w:rsidRPr="006A6890" w:rsidRDefault="00846BCA" w:rsidP="005A30A2">
      <w:pPr>
        <w:pStyle w:val="Heading4"/>
        <w:rPr>
          <w:rFonts w:asciiTheme="minorHAnsi" w:hAnsiTheme="minorHAnsi"/>
          <w:lang w:val="hu-HU"/>
        </w:rPr>
      </w:pPr>
      <w:bookmarkStart w:id="681" w:name="_Toc27138957"/>
      <w:r w:rsidRPr="006A6890">
        <w:rPr>
          <w:rFonts w:asciiTheme="minorHAnsi" w:hAnsiTheme="minorHAnsi"/>
          <w:lang w:val="hu-HU"/>
        </w:rPr>
        <w:t xml:space="preserve">Vállalati PD </w:t>
      </w:r>
      <w:r w:rsidR="00A06819" w:rsidRPr="006A6890">
        <w:rPr>
          <w:rFonts w:asciiTheme="minorHAnsi" w:hAnsiTheme="minorHAnsi"/>
          <w:lang w:val="hu-HU"/>
        </w:rPr>
        <w:t>– felügyeleti benchmark</w:t>
      </w:r>
      <w:bookmarkEnd w:id="681"/>
    </w:p>
    <w:p w14:paraId="7CA321BD" w14:textId="610630CD" w:rsidR="00846BCA" w:rsidRPr="006A6890" w:rsidRDefault="00846BCA"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PD becslés, az MNB </w:t>
      </w:r>
      <w:r w:rsidR="008D50CF" w:rsidRPr="006A6890">
        <w:rPr>
          <w:rFonts w:asciiTheme="minorHAnsi" w:hAnsiTheme="minorHAnsi"/>
        </w:rPr>
        <w:t>nagybanki vállalati default adatbázisokon kifejlesztett vállalati PD benchma</w:t>
      </w:r>
      <w:r w:rsidR="00444FB4" w:rsidRPr="006A6890">
        <w:rPr>
          <w:rFonts w:asciiTheme="minorHAnsi" w:hAnsiTheme="minorHAnsi"/>
        </w:rPr>
        <w:t>r</w:t>
      </w:r>
      <w:r w:rsidR="008D50CF" w:rsidRPr="006A6890">
        <w:rPr>
          <w:rFonts w:asciiTheme="minorHAnsi" w:hAnsiTheme="minorHAnsi"/>
        </w:rPr>
        <w:t xml:space="preserve">k modellel számszerűsíti az IRB alapú </w:t>
      </w:r>
      <w:proofErr w:type="spellStart"/>
      <w:r w:rsidR="008D50CF" w:rsidRPr="006A6890">
        <w:rPr>
          <w:rFonts w:asciiTheme="minorHAnsi" w:hAnsiTheme="minorHAnsi"/>
        </w:rPr>
        <w:t>SREP</w:t>
      </w:r>
      <w:proofErr w:type="spellEnd"/>
      <w:r w:rsidR="008D50CF" w:rsidRPr="006A6890">
        <w:rPr>
          <w:rFonts w:asciiTheme="minorHAnsi" w:hAnsiTheme="minorHAnsi"/>
        </w:rPr>
        <w:t xml:space="preserve"> tőkekövetelményt. Az MNB a vállalati PD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default-ráta </w:t>
      </w:r>
      <w:proofErr w:type="spellStart"/>
      <w:r w:rsidR="008D50CF" w:rsidRPr="006A6890">
        <w:rPr>
          <w:rFonts w:asciiTheme="minorHAnsi" w:hAnsiTheme="minorHAnsi"/>
        </w:rPr>
        <w:t>adatosorokat</w:t>
      </w:r>
      <w:proofErr w:type="spellEnd"/>
      <w:r w:rsidR="008D50CF" w:rsidRPr="006A6890">
        <w:rPr>
          <w:rFonts w:asciiTheme="minorHAnsi" w:hAnsiTheme="minorHAnsi"/>
        </w:rPr>
        <w:t xml:space="preserve">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t>
      </w:r>
      <w:proofErr w:type="spellStart"/>
      <w:r w:rsidR="008D50CF" w:rsidRPr="006A6890">
        <w:rPr>
          <w:rFonts w:asciiTheme="minorHAnsi" w:hAnsiTheme="minorHAnsi"/>
        </w:rPr>
        <w:t>WOE</w:t>
      </w:r>
      <w:proofErr w:type="spellEnd"/>
      <w:r w:rsidR="008D50CF" w:rsidRPr="006A6890">
        <w:rPr>
          <w:rFonts w:asciiTheme="minorHAnsi" w:hAnsiTheme="minorHAnsi"/>
        </w:rPr>
        <w:t xml:space="preserve"> – </w:t>
      </w:r>
      <w:proofErr w:type="spellStart"/>
      <w:r w:rsidR="008D50CF" w:rsidRPr="006A6890">
        <w:rPr>
          <w:rFonts w:asciiTheme="minorHAnsi" w:hAnsiTheme="minorHAnsi"/>
        </w:rPr>
        <w:t>weight</w:t>
      </w:r>
      <w:proofErr w:type="spellEnd"/>
      <w:r w:rsidR="008D50CF" w:rsidRPr="006A6890">
        <w:rPr>
          <w:rFonts w:asciiTheme="minorHAnsi" w:hAnsiTheme="minorHAnsi"/>
        </w:rPr>
        <w:t xml:space="preserve"> of </w:t>
      </w:r>
      <w:proofErr w:type="spellStart"/>
      <w:r w:rsidR="008D50CF" w:rsidRPr="006A6890">
        <w:rPr>
          <w:rFonts w:asciiTheme="minorHAnsi" w:hAnsiTheme="minorHAnsi"/>
        </w:rPr>
        <w:t>evidence</w:t>
      </w:r>
      <w:proofErr w:type="spellEnd"/>
      <w:r w:rsidR="008D50CF" w:rsidRPr="006A6890">
        <w:rPr>
          <w:rFonts w:asciiTheme="minorHAnsi" w:hAnsiTheme="minorHAnsi"/>
        </w:rPr>
        <w:t xml:space="preserve"> – értékei) és a default indikátor között. A választott mutatók kiválasztása a nagybanki tapasztalatok figyelembevétele mellett történt, </w:t>
      </w:r>
      <w:r w:rsidR="00BE41EC" w:rsidRPr="006A6890">
        <w:rPr>
          <w:rFonts w:asciiTheme="minorHAnsi" w:hAnsiTheme="minorHAnsi"/>
        </w:rPr>
        <w:t xml:space="preserve">a modell </w:t>
      </w:r>
      <w:r w:rsidR="008D50CF" w:rsidRPr="006A6890">
        <w:rPr>
          <w:rFonts w:asciiTheme="minorHAnsi" w:hAnsiTheme="minorHAnsi"/>
        </w:rPr>
        <w:t>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E41EC" w:rsidRPr="006A6890">
        <w:rPr>
          <w:rFonts w:asciiTheme="minorHAnsi" w:hAnsiTheme="minorHAnsi"/>
        </w:rPr>
        <w:t xml:space="preserve">tartalmaz. </w:t>
      </w:r>
      <w:r w:rsidR="008D50CF" w:rsidRPr="006A6890">
        <w:rPr>
          <w:rFonts w:asciiTheme="minorHAnsi" w:hAnsiTheme="minorHAnsi"/>
        </w:rPr>
        <w:t xml:space="preserve">A PD paraméter kalibrációja </w:t>
      </w:r>
      <w:r w:rsidR="00BE41EC" w:rsidRPr="006A6890">
        <w:rPr>
          <w:rFonts w:asciiTheme="minorHAnsi" w:hAnsiTheme="minorHAnsi"/>
        </w:rPr>
        <w:t xml:space="preserve">a </w:t>
      </w:r>
      <w:proofErr w:type="spellStart"/>
      <w:r w:rsidR="00BE41EC" w:rsidRPr="006A6890">
        <w:rPr>
          <w:rFonts w:asciiTheme="minorHAnsi" w:hAnsiTheme="minorHAnsi"/>
        </w:rPr>
        <w:t>mikro</w:t>
      </w:r>
      <w:proofErr w:type="spellEnd"/>
      <w:r w:rsidR="00BE41EC" w:rsidRPr="006A6890">
        <w:rPr>
          <w:rFonts w:asciiTheme="minorHAnsi" w:hAnsiTheme="minorHAnsi"/>
        </w:rPr>
        <w:t>, a kis/közép, valamint a nagyvállalati szegmensek esetében külön történt.</w:t>
      </w:r>
    </w:p>
    <w:p w14:paraId="74671325" w14:textId="741D0248" w:rsidR="00100692" w:rsidRPr="006A6890" w:rsidRDefault="00100692" w:rsidP="005A30A2">
      <w:pPr>
        <w:pStyle w:val="Heading4"/>
        <w:rPr>
          <w:rFonts w:asciiTheme="minorHAnsi" w:hAnsiTheme="minorHAnsi"/>
        </w:rPr>
      </w:pPr>
      <w:bookmarkStart w:id="682" w:name="_Toc27138958"/>
      <w:r w:rsidRPr="006A6890">
        <w:rPr>
          <w:rFonts w:asciiTheme="minorHAnsi" w:hAnsiTheme="minorHAnsi"/>
        </w:rPr>
        <w:t>EU benchmark PD-k alkalmazása</w:t>
      </w:r>
      <w:bookmarkEnd w:id="682"/>
    </w:p>
    <w:p w14:paraId="5A40CF88" w14:textId="49DF115E" w:rsidR="003D38F9" w:rsidRPr="006A6890" w:rsidRDefault="00100692"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 </w:t>
      </w:r>
      <w:proofErr w:type="spellStart"/>
      <w:r w:rsidRPr="006A6890">
        <w:rPr>
          <w:rFonts w:asciiTheme="minorHAnsi" w:hAnsiTheme="minorHAnsi"/>
        </w:rPr>
        <w:t>CRD</w:t>
      </w:r>
      <w:proofErr w:type="spellEnd"/>
      <w:r w:rsidRPr="006A6890">
        <w:rPr>
          <w:rFonts w:asciiTheme="minorHAnsi" w:hAnsiTheme="minorHAnsi"/>
        </w:rPr>
        <w:t xml:space="preserve"> 78. cikke alapján évente elvégzi a hitelkockázati tőkekövetelmény számítására alkalmazott belső modellek eredményeinek </w:t>
      </w:r>
      <w:r w:rsidR="000268E3" w:rsidRPr="006A6890">
        <w:rPr>
          <w:rFonts w:asciiTheme="minorHAnsi" w:hAnsiTheme="minorHAnsi"/>
        </w:rPr>
        <w:t xml:space="preserve">EU szintű </w:t>
      </w:r>
      <w:proofErr w:type="spellStart"/>
      <w:r w:rsidRPr="006A6890">
        <w:rPr>
          <w:rFonts w:asciiTheme="minorHAnsi" w:hAnsiTheme="minorHAnsi"/>
        </w:rPr>
        <w:t>benchmarkolásá</w:t>
      </w:r>
      <w:r w:rsidR="000268E3" w:rsidRPr="006A6890">
        <w:rPr>
          <w:rFonts w:asciiTheme="minorHAnsi" w:hAnsiTheme="minorHAnsi"/>
        </w:rPr>
        <w:t>t</w:t>
      </w:r>
      <w:proofErr w:type="spellEnd"/>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w:t>
      </w:r>
      <w:r w:rsidR="000268E3" w:rsidRPr="006A6890">
        <w:rPr>
          <w:rFonts w:asciiTheme="minorHAnsi" w:hAnsiTheme="minorHAnsi"/>
        </w:rPr>
        <w:t>elemzését</w:t>
      </w:r>
      <w:r w:rsidRPr="006A6890">
        <w:rPr>
          <w:rFonts w:asciiTheme="minorHAnsi" w:hAnsiTheme="minorHAnsi"/>
        </w:rPr>
        <w:t xml:space="preserve"> a magas, illetve az alacsony default megfigyelésszámmal rendelkező portfóliók (</w:t>
      </w:r>
      <w:proofErr w:type="spellStart"/>
      <w:r w:rsidRPr="006A6890">
        <w:rPr>
          <w:rFonts w:asciiTheme="minorHAnsi" w:hAnsiTheme="minorHAnsi"/>
        </w:rPr>
        <w:t>HDP</w:t>
      </w:r>
      <w:proofErr w:type="spellEnd"/>
      <w:r w:rsidRPr="006A6890">
        <w:rPr>
          <w:rFonts w:asciiTheme="minorHAnsi" w:hAnsiTheme="minorHAnsi"/>
        </w:rPr>
        <w:t xml:space="preserve"> – </w:t>
      </w:r>
      <w:proofErr w:type="spellStart"/>
      <w:r w:rsidRPr="006A6890">
        <w:rPr>
          <w:rFonts w:asciiTheme="minorHAnsi" w:hAnsiTheme="minorHAnsi"/>
        </w:rPr>
        <w:t>high</w:t>
      </w:r>
      <w:proofErr w:type="spellEnd"/>
      <w:r w:rsidRPr="006A6890">
        <w:rPr>
          <w:rFonts w:asciiTheme="minorHAnsi" w:hAnsiTheme="minorHAnsi"/>
        </w:rPr>
        <w:t xml:space="preserve"> default </w:t>
      </w:r>
      <w:proofErr w:type="spellStart"/>
      <w:r w:rsidRPr="006A6890">
        <w:rPr>
          <w:rFonts w:asciiTheme="minorHAnsi" w:hAnsiTheme="minorHAnsi"/>
        </w:rPr>
        <w:t>portfolio</w:t>
      </w:r>
      <w:proofErr w:type="spellEnd"/>
      <w:r w:rsidRPr="006A6890">
        <w:rPr>
          <w:rFonts w:asciiTheme="minorHAnsi" w:hAnsiTheme="minorHAnsi"/>
        </w:rPr>
        <w:t xml:space="preserve">, </w:t>
      </w:r>
      <w:proofErr w:type="spellStart"/>
      <w:r w:rsidRPr="006A6890">
        <w:rPr>
          <w:rFonts w:asciiTheme="minorHAnsi" w:hAnsiTheme="minorHAnsi"/>
        </w:rPr>
        <w:t>LDP</w:t>
      </w:r>
      <w:proofErr w:type="spellEnd"/>
      <w:r w:rsidRPr="006A6890">
        <w:rPr>
          <w:rFonts w:asciiTheme="minorHAnsi" w:hAnsiTheme="minorHAnsi"/>
        </w:rPr>
        <w:t xml:space="preserve"> – </w:t>
      </w:r>
      <w:proofErr w:type="spellStart"/>
      <w:r w:rsidRPr="006A6890">
        <w:rPr>
          <w:rFonts w:asciiTheme="minorHAnsi" w:hAnsiTheme="minorHAnsi"/>
        </w:rPr>
        <w:t>low</w:t>
      </w:r>
      <w:proofErr w:type="spellEnd"/>
      <w:r w:rsidRPr="006A6890">
        <w:rPr>
          <w:rFonts w:asciiTheme="minorHAnsi" w:hAnsiTheme="minorHAnsi"/>
        </w:rPr>
        <w:t xml:space="preserve"> default </w:t>
      </w:r>
      <w:proofErr w:type="spellStart"/>
      <w:r w:rsidRPr="006A6890">
        <w:rPr>
          <w:rFonts w:asciiTheme="minorHAnsi" w:hAnsiTheme="minorHAnsi"/>
        </w:rPr>
        <w:t>portfolio</w:t>
      </w:r>
      <w:proofErr w:type="spellEnd"/>
      <w:r w:rsidRPr="006A6890">
        <w:rPr>
          <w:rFonts w:asciiTheme="minorHAnsi" w:hAnsiTheme="minorHAnsi"/>
        </w:rPr>
        <w:t xml:space="preserve">) vonatkozásában is elvégzi. A vizsgálatról készült riportot az </w:t>
      </w:r>
      <w:proofErr w:type="spellStart"/>
      <w:r w:rsidRPr="006A6890">
        <w:rPr>
          <w:rFonts w:asciiTheme="minorHAnsi" w:hAnsiTheme="minorHAnsi"/>
        </w:rPr>
        <w:t>EBA</w:t>
      </w:r>
      <w:proofErr w:type="spellEnd"/>
      <w:r w:rsidRPr="006A6890">
        <w:rPr>
          <w:rFonts w:asciiTheme="minorHAnsi" w:hAnsiTheme="minorHAnsi"/>
        </w:rPr>
        <w:t xml:space="preserve"> a honlapján közzéteszi</w:t>
      </w:r>
      <w:r w:rsidR="000268E3" w:rsidRPr="006A6890">
        <w:rPr>
          <w:rStyle w:val="FootnoteReference"/>
          <w:rFonts w:asciiTheme="minorHAnsi" w:hAnsiTheme="minorHAnsi"/>
        </w:rPr>
        <w:footnoteReference w:id="39"/>
      </w:r>
      <w:r w:rsidRPr="006A6890">
        <w:rPr>
          <w:rFonts w:asciiTheme="minorHAnsi" w:hAnsiTheme="minorHAnsi"/>
        </w:rPr>
        <w:t xml:space="preserve">.  </w:t>
      </w:r>
      <w:r w:rsidR="000268E3" w:rsidRPr="006A6890">
        <w:rPr>
          <w:rFonts w:asciiTheme="minorHAnsi" w:hAnsiTheme="minorHAnsi"/>
        </w:rPr>
        <w:t xml:space="preserve">Az </w:t>
      </w:r>
      <w:proofErr w:type="spellStart"/>
      <w:r w:rsidR="000268E3" w:rsidRPr="006A6890">
        <w:rPr>
          <w:rFonts w:asciiTheme="minorHAnsi" w:hAnsiTheme="minorHAnsi"/>
        </w:rPr>
        <w:t>EBA</w:t>
      </w:r>
      <w:proofErr w:type="spellEnd"/>
      <w:r w:rsidR="000268E3" w:rsidRPr="006A6890">
        <w:rPr>
          <w:rFonts w:asciiTheme="minorHAnsi" w:hAnsiTheme="minorHAnsi"/>
        </w:rPr>
        <w:t xml:space="preserve"> </w:t>
      </w:r>
      <w:r w:rsidR="0014509A" w:rsidRPr="006A6890">
        <w:rPr>
          <w:rFonts w:asciiTheme="minorHAnsi" w:hAnsiTheme="minorHAnsi"/>
        </w:rPr>
        <w:t xml:space="preserve">konkrét nemzetközi vállalatok, intézmények, bankok, államok (szuverén) esetében is vizsgálja az IRB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 xml:space="preserve">áit (minimum, maximum, medián, átlag, </w:t>
      </w:r>
      <w:proofErr w:type="spellStart"/>
      <w:r w:rsidR="00926E09" w:rsidRPr="006A6890">
        <w:rPr>
          <w:rFonts w:asciiTheme="minorHAnsi" w:hAnsiTheme="minorHAnsi"/>
        </w:rPr>
        <w:t>kvartilisek</w:t>
      </w:r>
      <w:proofErr w:type="spellEnd"/>
      <w:r w:rsidR="00926E09" w:rsidRPr="006A6890">
        <w:rPr>
          <w:rFonts w:asciiTheme="minorHAnsi" w:hAnsiTheme="minorHAnsi"/>
        </w:rPr>
        <w:t>,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 és</w:t>
      </w:r>
      <w:r w:rsidR="00D91DFF" w:rsidRPr="006A6890">
        <w:rPr>
          <w:rFonts w:asciiTheme="minorHAnsi" w:hAnsiTheme="minorHAnsi"/>
        </w:rPr>
        <w:t xml:space="preserve"> a felügyeleti hatóságok rendelkezésére bocsát.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w:t>
      </w:r>
      <w:proofErr w:type="spellStart"/>
      <w:r w:rsidR="0014509A" w:rsidRPr="006A6890">
        <w:rPr>
          <w:rFonts w:asciiTheme="minorHAnsi" w:hAnsiTheme="minorHAnsi"/>
        </w:rPr>
        <w:t>LDP</w:t>
      </w:r>
      <w:proofErr w:type="spellEnd"/>
      <w:r w:rsidR="0014509A" w:rsidRPr="006A6890">
        <w:rPr>
          <w:rFonts w:asciiTheme="minorHAnsi" w:hAnsiTheme="minorHAnsi"/>
        </w:rPr>
        <w:t xml:space="preserve"> esetén a hazai intézmények saját PD becsléseinek</w:t>
      </w:r>
      <w:r w:rsidR="00CB72F9" w:rsidRPr="006A6890">
        <w:rPr>
          <w:rFonts w:asciiTheme="minorHAnsi" w:hAnsiTheme="minorHAnsi"/>
        </w:rPr>
        <w:t>, tőkekövetelmény számításának</w:t>
      </w:r>
      <w:r w:rsidR="0014509A" w:rsidRPr="006A6890">
        <w:rPr>
          <w:rFonts w:asciiTheme="minorHAnsi" w:hAnsiTheme="minorHAnsi"/>
        </w:rPr>
        <w:t xml:space="preserve"> </w:t>
      </w:r>
      <w:proofErr w:type="spellStart"/>
      <w:r w:rsidR="0014509A" w:rsidRPr="006A6890">
        <w:rPr>
          <w:rFonts w:asciiTheme="minorHAnsi" w:hAnsiTheme="minorHAnsi"/>
        </w:rPr>
        <w:t>benchmárkolása</w:t>
      </w:r>
      <w:proofErr w:type="spellEnd"/>
      <w:r w:rsidR="0014509A" w:rsidRPr="006A6890">
        <w:rPr>
          <w:rFonts w:asciiTheme="minorHAnsi" w:hAnsiTheme="minorHAnsi"/>
        </w:rPr>
        <w:t xml:space="preserve">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r w:rsidR="003D38F9" w:rsidRPr="006A6890">
        <w:rPr>
          <w:rFonts w:asciiTheme="minorHAnsi" w:hAnsiTheme="minorHAnsi"/>
        </w:rPr>
        <w:t>PD eltérésekre az MNB az egyedi vizsgálatok keretében hívja fel az intézmények figyelmét, illetve az eltérésből fakadó tőkekövetelményt érvényesít</w:t>
      </w:r>
      <w:r w:rsidR="00053678" w:rsidRPr="006A6890">
        <w:rPr>
          <w:rFonts w:asciiTheme="minorHAnsi" w:hAnsiTheme="minorHAnsi"/>
        </w:rPr>
        <w:t>i</w:t>
      </w:r>
      <w:r w:rsidR="003D38F9" w:rsidRPr="006A6890">
        <w:rPr>
          <w:rFonts w:asciiTheme="minorHAnsi" w:hAnsiTheme="minorHAnsi"/>
        </w:rPr>
        <w:t xml:space="preserve"> </w:t>
      </w:r>
      <w:proofErr w:type="spellStart"/>
      <w:r w:rsidR="003D38F9" w:rsidRPr="006A6890">
        <w:rPr>
          <w:rFonts w:asciiTheme="minorHAnsi" w:hAnsiTheme="minorHAnsi"/>
        </w:rPr>
        <w:t>SREP</w:t>
      </w:r>
      <w:proofErr w:type="spellEnd"/>
      <w:r w:rsidR="003D38F9" w:rsidRPr="006A6890">
        <w:rPr>
          <w:rFonts w:asciiTheme="minorHAnsi" w:hAnsiTheme="minorHAnsi"/>
        </w:rPr>
        <w:t xml:space="preserve"> keretében.</w:t>
      </w:r>
      <w:r w:rsidR="00C32F3E" w:rsidRPr="006A6890">
        <w:rPr>
          <w:rFonts w:asciiTheme="minorHAnsi" w:hAnsiTheme="minorHAnsi"/>
        </w:rPr>
        <w:t xml:space="preserve"> Az </w:t>
      </w:r>
      <w:proofErr w:type="spellStart"/>
      <w:r w:rsidR="00C32F3E" w:rsidRPr="006A6890">
        <w:rPr>
          <w:rFonts w:asciiTheme="minorHAnsi" w:hAnsiTheme="minorHAnsi"/>
        </w:rPr>
        <w:t>EBA</w:t>
      </w:r>
      <w:proofErr w:type="spellEnd"/>
      <w:r w:rsidR="00C32F3E" w:rsidRPr="006A6890">
        <w:rPr>
          <w:rFonts w:asciiTheme="minorHAnsi" w:hAnsiTheme="minorHAnsi"/>
        </w:rPr>
        <w:t xml:space="preserve"> benchmark értékeket az MNB a koncentrációs kockázat számszerűsítésénél is felhasználhatja. </w:t>
      </w:r>
    </w:p>
    <w:p w14:paraId="0E94368D" w14:textId="76B27125" w:rsidR="003D38F9" w:rsidRPr="006A6890" w:rsidRDefault="003D38F9" w:rsidP="003D38F9">
      <w:pPr>
        <w:pStyle w:val="Heading4"/>
        <w:rPr>
          <w:rFonts w:asciiTheme="minorHAnsi" w:hAnsiTheme="minorHAnsi"/>
        </w:rPr>
      </w:pPr>
      <w:bookmarkStart w:id="683" w:name="_Toc27138959"/>
      <w:r w:rsidRPr="006A6890">
        <w:rPr>
          <w:rFonts w:asciiTheme="minorHAnsi" w:hAnsiTheme="minorHAnsi"/>
        </w:rPr>
        <w:t xml:space="preserve">Szuverén </w:t>
      </w:r>
      <w:proofErr w:type="spellStart"/>
      <w:r w:rsidRPr="006A6890">
        <w:rPr>
          <w:rFonts w:asciiTheme="minorHAnsi" w:hAnsiTheme="minorHAnsi"/>
        </w:rPr>
        <w:t>floor</w:t>
      </w:r>
      <w:proofErr w:type="spellEnd"/>
      <w:r w:rsidRPr="006A6890">
        <w:rPr>
          <w:rFonts w:asciiTheme="minorHAnsi" w:hAnsiTheme="minorHAnsi"/>
        </w:rPr>
        <w:t xml:space="preserve"> alkalmazása</w:t>
      </w:r>
      <w:bookmarkEnd w:id="683"/>
    </w:p>
    <w:p w14:paraId="719B7CBC" w14:textId="0DAA29E1" w:rsidR="00780492" w:rsidRPr="006A6890"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PD-t minimum korlátként. </w:t>
      </w:r>
      <w:r w:rsidR="00F24227" w:rsidRPr="006A6890">
        <w:rPr>
          <w:rFonts w:asciiTheme="minorHAnsi" w:hAnsiTheme="minorHAnsi"/>
        </w:rPr>
        <w:t xml:space="preserve">A szuverén PD-nél kedvezőbb PD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684" w:name="_Toc468191446"/>
    </w:p>
    <w:p w14:paraId="66B15404" w14:textId="2945B0C7" w:rsidR="003F29E3" w:rsidRPr="006A6890" w:rsidRDefault="003F29E3" w:rsidP="00780492">
      <w:pPr>
        <w:pStyle w:val="Heading4"/>
        <w:rPr>
          <w:rFonts w:asciiTheme="minorHAnsi" w:hAnsiTheme="minorHAnsi"/>
        </w:rPr>
      </w:pPr>
      <w:bookmarkStart w:id="685" w:name="_Toc27138960"/>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670"/>
      <w:bookmarkEnd w:id="671"/>
      <w:bookmarkEnd w:id="672"/>
      <w:bookmarkEnd w:id="673"/>
      <w:bookmarkEnd w:id="674"/>
      <w:bookmarkEnd w:id="675"/>
      <w:bookmarkEnd w:id="676"/>
      <w:bookmarkEnd w:id="677"/>
      <w:bookmarkEnd w:id="678"/>
      <w:bookmarkEnd w:id="679"/>
      <w:bookmarkEnd w:id="684"/>
      <w:bookmarkEnd w:id="685"/>
    </w:p>
    <w:p w14:paraId="66B15405" w14:textId="2B0C16E3"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w:t>
      </w:r>
      <w:proofErr w:type="spellStart"/>
      <w:r w:rsidR="00BB6A08" w:rsidRPr="006A6890">
        <w:rPr>
          <w:rFonts w:asciiTheme="minorHAnsi" w:hAnsiTheme="minorHAnsi"/>
        </w:rPr>
        <w:t>LGD</w:t>
      </w:r>
      <w:proofErr w:type="spellEnd"/>
      <w:r w:rsidR="00BB6A08" w:rsidRPr="006A6890">
        <w:rPr>
          <w:rFonts w:asciiTheme="minorHAnsi" w:hAnsiTheme="minorHAnsi"/>
        </w:rPr>
        <w:t>)</w:t>
      </w:r>
      <w:r w:rsidRPr="006A6890">
        <w:rPr>
          <w:rFonts w:asciiTheme="minorHAnsi" w:hAnsiTheme="minorHAnsi"/>
        </w:rPr>
        <w:t xml:space="preserve">. Az </w:t>
      </w:r>
      <w:proofErr w:type="spellStart"/>
      <w:r w:rsidRPr="006A6890">
        <w:rPr>
          <w:rFonts w:asciiTheme="minorHAnsi" w:hAnsiTheme="minorHAnsi"/>
        </w:rPr>
        <w:t>LGD</w:t>
      </w:r>
      <w:proofErr w:type="spellEnd"/>
      <w:r w:rsidRPr="006A6890">
        <w:rPr>
          <w:rFonts w:asciiTheme="minorHAnsi" w:hAnsiTheme="minorHAnsi"/>
        </w:rPr>
        <w:t xml:space="preserve"> becslésénél az MNB – a PD-becsléssel ellentétben – nem a hosszú távú átlagok alkalmazását, hanem kedvezőtlen (ún. downturn)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FootnoteReference"/>
          <w:rFonts w:asciiTheme="minorHAnsi" w:hAnsiTheme="minorHAnsi"/>
        </w:rPr>
        <w:footnoteReference w:id="40"/>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azonban valamely </w:t>
      </w:r>
      <w:r w:rsidRPr="006A6890">
        <w:rPr>
          <w:rFonts w:asciiTheme="minorHAnsi" w:hAnsiTheme="minorHAnsi"/>
        </w:rPr>
        <w:t xml:space="preserve">portfóliószegmens vonatkozásában nem rendelkezik elégséges, tényleges </w:t>
      </w:r>
      <w:proofErr w:type="spellStart"/>
      <w:r w:rsidRPr="006A6890">
        <w:rPr>
          <w:rFonts w:asciiTheme="minorHAnsi" w:hAnsiTheme="minorHAnsi"/>
        </w:rPr>
        <w:t>megtérüléseket</w:t>
      </w:r>
      <w:proofErr w:type="spellEnd"/>
      <w:r w:rsidRPr="006A6890">
        <w:rPr>
          <w:rFonts w:asciiTheme="minorHAnsi" w:hAnsiTheme="minorHAnsi"/>
        </w:rPr>
        <w:t xml:space="preserve"> tükröző veszteségadattal az </w:t>
      </w:r>
      <w:proofErr w:type="spellStart"/>
      <w:r w:rsidRPr="006A6890">
        <w:rPr>
          <w:rFonts w:asciiTheme="minorHAnsi" w:hAnsiTheme="minorHAnsi"/>
        </w:rPr>
        <w:t>LGD</w:t>
      </w:r>
      <w:proofErr w:type="spellEnd"/>
      <w:r w:rsidRPr="006A6890">
        <w:rPr>
          <w:rFonts w:asciiTheme="minorHAnsi" w:hAnsiTheme="minorHAnsi"/>
        </w:rPr>
        <w:t xml:space="preserve"> megbízható statisztikai </w:t>
      </w:r>
      <w:r w:rsidRPr="006A6890">
        <w:rPr>
          <w:rFonts w:asciiTheme="minorHAnsi" w:hAnsiTheme="minorHAnsi"/>
        </w:rPr>
        <w:lastRenderedPageBreak/>
        <w:t xml:space="preserve">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 xml:space="preserve">Az </w:t>
      </w:r>
      <w:proofErr w:type="spellStart"/>
      <w:r w:rsidR="00824831" w:rsidRPr="006A6890">
        <w:rPr>
          <w:rFonts w:asciiTheme="minorHAnsi" w:hAnsiTheme="minorHAnsi"/>
        </w:rPr>
        <w:t>LGD</w:t>
      </w:r>
      <w:proofErr w:type="spellEnd"/>
      <w:r w:rsidR="00824831" w:rsidRPr="006A6890">
        <w:rPr>
          <w:rFonts w:asciiTheme="minorHAnsi" w:hAnsiTheme="minorHAnsi"/>
        </w:rPr>
        <w:t>-becslés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 xml:space="preserve">A downturn érték </w:t>
      </w:r>
      <w:proofErr w:type="spellStart"/>
      <w:r w:rsidRPr="006A6890">
        <w:rPr>
          <w:rFonts w:asciiTheme="minorHAnsi" w:hAnsiTheme="minorHAnsi"/>
        </w:rPr>
        <w:t>megállapítás</w:t>
      </w:r>
      <w:r w:rsidR="002D7458" w:rsidRPr="006A6890">
        <w:rPr>
          <w:rFonts w:asciiTheme="minorHAnsi" w:hAnsiTheme="minorHAnsi"/>
          <w:lang w:val="hu-HU"/>
        </w:rPr>
        <w:t>á</w:t>
      </w:r>
      <w:proofErr w:type="spellEnd"/>
      <w:r w:rsidRPr="006A6890">
        <w:rPr>
          <w:rFonts w:asciiTheme="minorHAnsi" w:hAnsiTheme="minorHAnsi"/>
        </w:rPr>
        <w:t xml:space="preserve">hoz egy lehetőség, hogy az intézmény felméri azokat a </w:t>
      </w:r>
      <w:proofErr w:type="spellStart"/>
      <w:r w:rsidRPr="006A6890">
        <w:rPr>
          <w:rFonts w:asciiTheme="minorHAnsi" w:hAnsiTheme="minorHAnsi"/>
        </w:rPr>
        <w:t>mak</w:t>
      </w:r>
      <w:r w:rsidR="002D7458" w:rsidRPr="006A6890">
        <w:rPr>
          <w:rFonts w:asciiTheme="minorHAnsi" w:hAnsiTheme="minorHAnsi"/>
          <w:lang w:val="hu-HU"/>
        </w:rPr>
        <w:t>r</w:t>
      </w:r>
      <w:r w:rsidRPr="006A6890">
        <w:rPr>
          <w:rFonts w:asciiTheme="minorHAnsi" w:hAnsiTheme="minorHAnsi"/>
        </w:rPr>
        <w:t>ogazdasági</w:t>
      </w:r>
      <w:proofErr w:type="spellEnd"/>
      <w:r w:rsidRPr="006A6890">
        <w:rPr>
          <w:rFonts w:asciiTheme="minorHAnsi" w:hAnsiTheme="minorHAnsi"/>
        </w:rPr>
        <w:t xml:space="preserve"> faktorokat, melyek hatással lehetnek az </w:t>
      </w:r>
      <w:proofErr w:type="spellStart"/>
      <w:r w:rsidRPr="006A6890">
        <w:rPr>
          <w:rFonts w:asciiTheme="minorHAnsi" w:hAnsiTheme="minorHAnsi"/>
        </w:rPr>
        <w:t>LGD</w:t>
      </w:r>
      <w:proofErr w:type="spellEnd"/>
      <w:r w:rsidRPr="006A6890">
        <w:rPr>
          <w:rFonts w:asciiTheme="minorHAnsi" w:hAnsiTheme="minorHAnsi"/>
        </w:rPr>
        <w:t xml:space="preserve">-re, illetve az </w:t>
      </w:r>
      <w:proofErr w:type="spellStart"/>
      <w:r w:rsidRPr="006A6890">
        <w:rPr>
          <w:rFonts w:asciiTheme="minorHAnsi" w:hAnsiTheme="minorHAnsi"/>
        </w:rPr>
        <w:t>LGD</w:t>
      </w:r>
      <w:proofErr w:type="spellEnd"/>
      <w:r w:rsidRPr="006A6890">
        <w:rPr>
          <w:rFonts w:asciiTheme="minorHAnsi" w:hAnsiTheme="minorHAnsi"/>
        </w:rPr>
        <w:t xml:space="preserve">-t meghatározó paraméterekre, és ezen makrogazdasági tényezők egy </w:t>
      </w:r>
      <w:proofErr w:type="spellStart"/>
      <w:r w:rsidRPr="006A6890">
        <w:rPr>
          <w:rFonts w:asciiTheme="minorHAnsi" w:hAnsiTheme="minorHAnsi"/>
        </w:rPr>
        <w:t>dekonjunkturális</w:t>
      </w:r>
      <w:proofErr w:type="spellEnd"/>
      <w:r w:rsidRPr="006A6890">
        <w:rPr>
          <w:rFonts w:asciiTheme="minorHAnsi" w:hAnsiTheme="minorHAnsi"/>
        </w:rPr>
        <w:t xml:space="preserve"> évben felvett értékének modellezésén keresztül számszerűsíthető az </w:t>
      </w:r>
      <w:proofErr w:type="spellStart"/>
      <w:r w:rsidRPr="006A6890">
        <w:rPr>
          <w:rFonts w:asciiTheme="minorHAnsi" w:hAnsiTheme="minorHAnsi"/>
        </w:rPr>
        <w:t>LGD</w:t>
      </w:r>
      <w:proofErr w:type="spellEnd"/>
      <w:r w:rsidRPr="006A6890">
        <w:rPr>
          <w:rFonts w:asciiTheme="minorHAnsi" w:hAnsiTheme="minorHAnsi"/>
        </w:rPr>
        <w:t xml:space="preserve"> downturn értéke.</w:t>
      </w:r>
      <w:r w:rsidRPr="006A6890">
        <w:rPr>
          <w:rFonts w:asciiTheme="minorHAnsi" w:hAnsiTheme="minorHAnsi"/>
          <w:lang w:val="hu-HU"/>
        </w:rPr>
        <w:t xml:space="preserve"> A downturn becsléshez kiemelt figyelmet kell fordítani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modellezéséhez használt ciklikus komponensekre (pl. </w:t>
      </w:r>
      <w:proofErr w:type="spellStart"/>
      <w:r w:rsidRPr="006A6890">
        <w:rPr>
          <w:rFonts w:asciiTheme="minorHAnsi" w:hAnsiTheme="minorHAnsi"/>
          <w:lang w:val="hu-HU"/>
        </w:rPr>
        <w:t>LTV</w:t>
      </w:r>
      <w:proofErr w:type="spellEnd"/>
      <w:r w:rsidRPr="006A6890">
        <w:rPr>
          <w:rFonts w:asciiTheme="minorHAnsi" w:hAnsiTheme="minorHAnsi"/>
          <w:lang w:val="hu-HU"/>
        </w:rPr>
        <w:t>,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FootnoteReference"/>
          <w:rFonts w:asciiTheme="minorHAnsi" w:hAnsiTheme="minorHAnsi"/>
          <w:lang w:val="hu-HU"/>
        </w:rPr>
        <w:footnoteReference w:id="41"/>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r w:rsidRPr="006A6890">
        <w:rPr>
          <w:rFonts w:asciiTheme="minorHAnsi" w:hAnsiTheme="minorHAnsi"/>
        </w:rPr>
        <w:t xml:space="preserve">PD-ben nemlineáris tőkefüggvény alkalmazása esetén (mint pl. az IRB-modell) az MNB aggályos megközelítésnek tartja a nemteljesítő ügyletek visszagyógyulását, illetve átstrukturálását az </w:t>
      </w:r>
      <w:proofErr w:type="spellStart"/>
      <w:r w:rsidRPr="006A6890">
        <w:rPr>
          <w:rFonts w:asciiTheme="minorHAnsi" w:hAnsiTheme="minorHAnsi"/>
        </w:rPr>
        <w:t>LGD</w:t>
      </w:r>
      <w:proofErr w:type="spellEnd"/>
      <w:r w:rsidRPr="006A6890">
        <w:rPr>
          <w:rFonts w:asciiTheme="minorHAnsi" w:hAnsiTheme="minorHAnsi"/>
        </w:rPr>
        <w:t xml:space="preserve">-t befolyásoló megtérülésként értelmezni. Ennek oka, hogy az ilyen ügyletek portfólión belüli magas részaránya – a tőkefüggvény PD-szerinti nemlinearitása okán – a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Ilyen esetekben ezért az MNB az említett „technikai” nemteljesítő állomány hatásának az </w:t>
      </w:r>
      <w:proofErr w:type="spellStart"/>
      <w:r w:rsidRPr="006A6890">
        <w:rPr>
          <w:rFonts w:asciiTheme="minorHAnsi" w:hAnsiTheme="minorHAnsi"/>
        </w:rPr>
        <w:t>LGD</w:t>
      </w:r>
      <w:proofErr w:type="spellEnd"/>
      <w:r w:rsidRPr="006A6890">
        <w:rPr>
          <w:rFonts w:asciiTheme="minorHAnsi" w:hAnsiTheme="minorHAnsi"/>
        </w:rPr>
        <w:t xml:space="preserve">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FootnoteReference"/>
          <w:rFonts w:asciiTheme="minorHAnsi" w:hAnsiTheme="minorHAnsi"/>
        </w:rPr>
        <w:footnoteReference w:id="42"/>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LGD</w:t>
      </w:r>
      <w:proofErr w:type="spellEnd"/>
      <w:r w:rsidRPr="006A6890">
        <w:rPr>
          <w:rFonts w:asciiTheme="minorHAnsi" w:hAnsiTheme="minorHAnsi"/>
        </w:rPr>
        <w:t xml:space="preserve">-becslés nem tényleges megtérülési adatokon történik, úgy nem elégséges a fedezettségi szintek közvetlen módon történő (pl. a kitettséget a fedezet </w:t>
      </w:r>
      <w:proofErr w:type="spellStart"/>
      <w:r w:rsidRPr="006A6890">
        <w:rPr>
          <w:rFonts w:asciiTheme="minorHAnsi" w:hAnsiTheme="minorHAnsi"/>
        </w:rPr>
        <w:t>likvidációs</w:t>
      </w:r>
      <w:proofErr w:type="spellEnd"/>
      <w:r w:rsidRPr="006A6890">
        <w:rPr>
          <w:rFonts w:asciiTheme="minorHAnsi" w:hAnsiTheme="minorHAnsi"/>
        </w:rPr>
        <w:t xml:space="preserve"> értékével összevető), kizárólagos </w:t>
      </w:r>
      <w:r w:rsidR="00BB6A08" w:rsidRPr="006A6890">
        <w:rPr>
          <w:rFonts w:asciiTheme="minorHAnsi" w:hAnsiTheme="minorHAnsi"/>
          <w:lang w:val="hu-HU"/>
        </w:rPr>
        <w:t>felhasználása</w:t>
      </w:r>
      <w:r w:rsidRPr="006A6890">
        <w:rPr>
          <w:rFonts w:asciiTheme="minorHAnsi" w:hAnsiTheme="minorHAnsi"/>
        </w:rPr>
        <w:t>. Az MNB ilyen helyzetben a fedezetértékek, a külső környezeti hatások (pl. árfolyam-leértékelődés) és a fedezettségi szintek (</w:t>
      </w:r>
      <w:proofErr w:type="spellStart"/>
      <w:r w:rsidRPr="006A6890">
        <w:rPr>
          <w:rFonts w:asciiTheme="minorHAnsi" w:hAnsiTheme="minorHAnsi"/>
        </w:rPr>
        <w:t>LTV</w:t>
      </w:r>
      <w:proofErr w:type="spellEnd"/>
      <w:r w:rsidRPr="006A6890">
        <w:rPr>
          <w:rFonts w:asciiTheme="minorHAnsi" w:hAnsiTheme="minorHAnsi"/>
        </w:rPr>
        <w:t>)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w:t>
      </w:r>
      <w:proofErr w:type="spellStart"/>
      <w:r w:rsidRPr="006A6890">
        <w:rPr>
          <w:rFonts w:asciiTheme="minorHAnsi" w:hAnsiTheme="minorHAnsi"/>
          <w:lang w:val="hu-HU"/>
        </w:rPr>
        <w:t>ELBE</w:t>
      </w:r>
      <w:proofErr w:type="spellEnd"/>
      <w:r w:rsidRPr="006A6890">
        <w:rPr>
          <w:rFonts w:asciiTheme="minorHAnsi" w:hAnsiTheme="minorHAnsi"/>
          <w:lang w:val="hu-HU"/>
        </w:rPr>
        <w:t>),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w:t>
      </w:r>
      <w:proofErr w:type="spellStart"/>
      <w:r w:rsidRPr="006A6890">
        <w:rPr>
          <w:rFonts w:asciiTheme="minorHAnsi" w:hAnsiTheme="minorHAnsi"/>
          <w:lang w:val="hu-HU"/>
        </w:rPr>
        <w:t>ELBE</w:t>
      </w:r>
      <w:proofErr w:type="spellEnd"/>
      <w:r w:rsidRPr="006A6890">
        <w:rPr>
          <w:rFonts w:asciiTheme="minorHAnsi" w:hAnsiTheme="minorHAnsi"/>
          <w:lang w:val="hu-HU"/>
        </w:rPr>
        <w:t xml:space="preserv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w:t>
      </w:r>
      <w:r w:rsidR="00024A69" w:rsidRPr="006A6890">
        <w:rPr>
          <w:rFonts w:asciiTheme="minorHAnsi" w:hAnsiTheme="minorHAnsi"/>
          <w:lang w:val="hu-HU"/>
        </w:rPr>
        <w:lastRenderedPageBreak/>
        <w:t>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 xml:space="preserve">tartalmazó veszteségráta-becslés adja a nemteljesítő portfóliók </w:t>
      </w:r>
      <w:proofErr w:type="spellStart"/>
      <w:r w:rsidR="00024A69" w:rsidRPr="006A6890">
        <w:rPr>
          <w:rFonts w:asciiTheme="minorHAnsi" w:hAnsiTheme="minorHAnsi"/>
          <w:lang w:val="hu-HU"/>
        </w:rPr>
        <w:t>LGD-it</w:t>
      </w:r>
      <w:proofErr w:type="spellEnd"/>
      <w:r w:rsidR="00024A69" w:rsidRPr="006A6890">
        <w:rPr>
          <w:rFonts w:asciiTheme="minorHAnsi" w:hAnsiTheme="minorHAnsi"/>
          <w:lang w:val="hu-HU"/>
        </w:rPr>
        <w:t>.</w:t>
      </w:r>
      <w:r w:rsidR="006054A2" w:rsidRPr="006A6890">
        <w:rPr>
          <w:rFonts w:asciiTheme="minorHAnsi" w:hAnsiTheme="minorHAnsi"/>
          <w:lang w:val="hu-HU"/>
        </w:rPr>
        <w:t xml:space="preserve"> </w:t>
      </w:r>
      <w:r w:rsidR="008F77EF" w:rsidRPr="006A6890">
        <w:rPr>
          <w:rFonts w:asciiTheme="minorHAnsi" w:hAnsiTheme="minorHAnsi"/>
          <w:lang w:val="hu-HU"/>
        </w:rPr>
        <w:t xml:space="preserve">A teljesítő és a nem-teljesítő ügyletek </w:t>
      </w:r>
      <w:proofErr w:type="spellStart"/>
      <w:r w:rsidR="008F77EF" w:rsidRPr="006A6890">
        <w:rPr>
          <w:rFonts w:asciiTheme="minorHAnsi" w:hAnsiTheme="minorHAnsi"/>
          <w:lang w:val="hu-HU"/>
        </w:rPr>
        <w:t>LGD-jének</w:t>
      </w:r>
      <w:proofErr w:type="spellEnd"/>
      <w:r w:rsidR="008F77EF" w:rsidRPr="006A6890">
        <w:rPr>
          <w:rFonts w:asciiTheme="minorHAnsi" w:hAnsiTheme="minorHAnsi"/>
          <w:lang w:val="hu-HU"/>
        </w:rPr>
        <w:t xml:space="preserve"> konzisztensnek kell lennie abban az értelemben, hogy a teljesítőből éppen nem-teljesítő státuszba került ügyletek </w:t>
      </w:r>
      <w:proofErr w:type="spellStart"/>
      <w:r w:rsidR="008F77EF" w:rsidRPr="006A6890">
        <w:rPr>
          <w:rFonts w:asciiTheme="minorHAnsi" w:hAnsiTheme="minorHAnsi"/>
          <w:lang w:val="hu-HU"/>
        </w:rPr>
        <w:t>LGD-jében</w:t>
      </w:r>
      <w:proofErr w:type="spellEnd"/>
      <w:r w:rsidR="008F77EF" w:rsidRPr="006A6890">
        <w:rPr>
          <w:rFonts w:asciiTheme="minorHAnsi" w:hAnsiTheme="minorHAnsi"/>
          <w:lang w:val="hu-HU"/>
        </w:rPr>
        <w:t xml:space="preserve"> ne legyen ugrásszerű változás („</w:t>
      </w:r>
      <w:proofErr w:type="spellStart"/>
      <w:r w:rsidR="008F77EF" w:rsidRPr="006A6890">
        <w:rPr>
          <w:rFonts w:asciiTheme="minorHAnsi" w:hAnsiTheme="minorHAnsi"/>
          <w:lang w:val="hu-HU"/>
        </w:rPr>
        <w:t>cliff</w:t>
      </w:r>
      <w:proofErr w:type="spellEnd"/>
      <w:r w:rsidR="008F77EF" w:rsidRPr="006A6890">
        <w:rPr>
          <w:rFonts w:asciiTheme="minorHAnsi" w:hAnsiTheme="minorHAnsi"/>
          <w:lang w:val="hu-HU"/>
        </w:rPr>
        <w:t xml:space="preserve"> </w:t>
      </w:r>
      <w:proofErr w:type="spellStart"/>
      <w:r w:rsidR="008F77EF" w:rsidRPr="006A6890">
        <w:rPr>
          <w:rFonts w:asciiTheme="minorHAnsi" w:hAnsiTheme="minorHAnsi"/>
          <w:lang w:val="hu-HU"/>
        </w:rPr>
        <w:t>effect</w:t>
      </w:r>
      <w:proofErr w:type="spellEnd"/>
      <w:r w:rsidR="008F77EF" w:rsidRPr="006A6890">
        <w:rPr>
          <w:rFonts w:asciiTheme="minorHAnsi" w:hAnsiTheme="minorHAnsi"/>
          <w:lang w:val="hu-HU"/>
        </w:rPr>
        <w: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 xml:space="preserve">Az intézményeknek az </w:t>
      </w:r>
      <w:proofErr w:type="spellStart"/>
      <w:r w:rsidRPr="006A6890">
        <w:rPr>
          <w:rFonts w:asciiTheme="minorHAnsi" w:hAnsiTheme="minorHAnsi"/>
        </w:rPr>
        <w:t>LGD</w:t>
      </w:r>
      <w:proofErr w:type="spellEnd"/>
      <w:r w:rsidRPr="006A6890">
        <w:rPr>
          <w:rFonts w:asciiTheme="minorHAnsi" w:hAnsiTheme="minorHAnsi"/>
        </w:rPr>
        <w:t xml:space="preserve">-becslés részletes módszertanát, illetve annak legalább éves rendszerességgel történő felülvizsgálati menetrendjét – a PD-becsléshez hasonlóan – az ICAAP dokumentációban rögzíteniük kell. Az MNB elvárja továbbá az intézményektől, hogy az </w:t>
      </w:r>
      <w:proofErr w:type="spellStart"/>
      <w:r w:rsidRPr="006A6890">
        <w:rPr>
          <w:rFonts w:asciiTheme="minorHAnsi" w:hAnsiTheme="minorHAnsi"/>
        </w:rPr>
        <w:t>LGD</w:t>
      </w:r>
      <w:proofErr w:type="spellEnd"/>
      <w:r w:rsidRPr="006A6890">
        <w:rPr>
          <w:rFonts w:asciiTheme="minorHAnsi" w:hAnsiTheme="minorHAnsi"/>
        </w:rPr>
        <w:t xml:space="preserve"> becslése során a várt </w:t>
      </w:r>
      <w:proofErr w:type="spellStart"/>
      <w:r w:rsidRPr="006A6890">
        <w:rPr>
          <w:rFonts w:asciiTheme="minorHAnsi" w:hAnsiTheme="minorHAnsi"/>
        </w:rPr>
        <w:t>megtérülések</w:t>
      </w:r>
      <w:proofErr w:type="spellEnd"/>
      <w:r w:rsidRPr="006A6890">
        <w:rPr>
          <w:rFonts w:asciiTheme="minorHAnsi" w:hAnsiTheme="minorHAnsi"/>
        </w:rPr>
        <w:t xml:space="preserve">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6A6890" w:rsidRDefault="00D949B9" w:rsidP="00181755">
      <w:pPr>
        <w:pStyle w:val="Heading4"/>
        <w:rPr>
          <w:rFonts w:asciiTheme="minorHAnsi" w:hAnsiTheme="minorHAnsi"/>
          <w:lang w:val="hu-HU"/>
        </w:rPr>
      </w:pPr>
      <w:bookmarkStart w:id="686" w:name="_Késedelmes_tételek,_várható"/>
      <w:bookmarkStart w:id="687" w:name="_Toc461095208"/>
      <w:bookmarkStart w:id="688" w:name="_Toc461179864"/>
      <w:bookmarkStart w:id="689" w:name="_Toc461201307"/>
      <w:bookmarkStart w:id="690" w:name="_Toc461547950"/>
      <w:bookmarkStart w:id="691" w:name="_Toc462401988"/>
      <w:bookmarkStart w:id="692" w:name="_Toc462403109"/>
      <w:bookmarkStart w:id="693" w:name="_Toc462403433"/>
      <w:bookmarkStart w:id="694" w:name="_Toc468180552"/>
      <w:bookmarkStart w:id="695" w:name="_Toc468181061"/>
      <w:bookmarkStart w:id="696" w:name="_Toc468191447"/>
      <w:bookmarkStart w:id="697" w:name="_Toc27138961"/>
      <w:bookmarkStart w:id="698" w:name="_Toc378592169"/>
      <w:bookmarkEnd w:id="686"/>
      <w:r w:rsidRPr="006A6890">
        <w:rPr>
          <w:rFonts w:asciiTheme="minorHAnsi" w:hAnsiTheme="minorHAnsi"/>
          <w:lang w:val="hu-HU"/>
        </w:rPr>
        <w:t xml:space="preserve">Lakossági jelzálog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 felügyeleti benchmark</w:t>
      </w:r>
      <w:bookmarkEnd w:id="687"/>
      <w:bookmarkEnd w:id="688"/>
      <w:bookmarkEnd w:id="689"/>
      <w:bookmarkEnd w:id="690"/>
      <w:bookmarkEnd w:id="691"/>
      <w:bookmarkEnd w:id="692"/>
      <w:bookmarkEnd w:id="693"/>
      <w:bookmarkEnd w:id="694"/>
      <w:bookmarkEnd w:id="695"/>
      <w:bookmarkEnd w:id="696"/>
      <w:bookmarkEnd w:id="697"/>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 xml:space="preserve">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w:t>
      </w:r>
      <w:proofErr w:type="spellStart"/>
      <w:r w:rsidR="007A66E3" w:rsidRPr="006A6890">
        <w:rPr>
          <w:rFonts w:asciiTheme="minorHAnsi" w:hAnsiTheme="minorHAnsi"/>
        </w:rPr>
        <w:t>LGD</w:t>
      </w:r>
      <w:proofErr w:type="spellEnd"/>
      <w:r w:rsidR="007A66E3" w:rsidRPr="006A6890">
        <w:rPr>
          <w:rFonts w:asciiTheme="minorHAnsi" w:hAnsiTheme="minorHAnsi"/>
        </w:rPr>
        <w:t xml:space="preserve">-becslés során. Az MNB az intézmények lakossági jelzáloghitel </w:t>
      </w:r>
      <w:proofErr w:type="spellStart"/>
      <w:r w:rsidR="007A66E3" w:rsidRPr="006A6890">
        <w:rPr>
          <w:rFonts w:asciiTheme="minorHAnsi" w:hAnsiTheme="minorHAnsi"/>
        </w:rPr>
        <w:t>LGD</w:t>
      </w:r>
      <w:proofErr w:type="spellEnd"/>
      <w:r w:rsidR="007A66E3" w:rsidRPr="006A6890">
        <w:rPr>
          <w:rFonts w:asciiTheme="minorHAnsi" w:hAnsiTheme="minorHAnsi"/>
        </w:rPr>
        <w:t>-becslését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w:t>
      </w:r>
      <w:proofErr w:type="spellStart"/>
      <w:r w:rsidR="00152E5A" w:rsidRPr="006A6890">
        <w:rPr>
          <w:rFonts w:asciiTheme="minorHAnsi" w:hAnsiTheme="minorHAnsi"/>
        </w:rPr>
        <w:t>SREP</w:t>
      </w:r>
      <w:proofErr w:type="spellEnd"/>
      <w:r w:rsidR="00152E5A" w:rsidRPr="006A6890">
        <w:rPr>
          <w:rFonts w:asciiTheme="minorHAnsi" w:hAnsiTheme="minorHAnsi"/>
        </w:rPr>
        <w:t xml:space="preserve"> tőkekövetelményt az MNB a benchmark érték alapján határozza meg.</w:t>
      </w:r>
      <w:r w:rsidR="007A66E3" w:rsidRPr="006A6890">
        <w:rPr>
          <w:rFonts w:asciiTheme="minorHAnsi" w:hAnsiTheme="minorHAnsi"/>
        </w:rPr>
        <w:t xml:space="preserve"> Az MNB benchmark </w:t>
      </w:r>
      <w:proofErr w:type="spellStart"/>
      <w:r w:rsidR="007A66E3" w:rsidRPr="006A6890">
        <w:rPr>
          <w:rFonts w:asciiTheme="minorHAnsi" w:hAnsiTheme="minorHAnsi"/>
        </w:rPr>
        <w:t>LGD</w:t>
      </w:r>
      <w:proofErr w:type="spellEnd"/>
      <w:r w:rsidR="007A66E3" w:rsidRPr="006A6890">
        <w:rPr>
          <w:rFonts w:asciiTheme="minorHAnsi" w:hAnsiTheme="minorHAnsi"/>
        </w:rPr>
        <w:t>-je két</w:t>
      </w:r>
      <w:r w:rsidRPr="006A6890">
        <w:rPr>
          <w:rFonts w:asciiTheme="minorHAnsi" w:hAnsiTheme="minorHAnsi"/>
        </w:rPr>
        <w:t xml:space="preserve"> behajtási kimenet</w:t>
      </w:r>
      <w:r w:rsidR="007A66E3" w:rsidRPr="006A6890">
        <w:rPr>
          <w:rFonts w:asciiTheme="minorHAnsi" w:hAnsiTheme="minorHAnsi"/>
        </w:rPr>
        <w:t xml:space="preserve"> downturn-</w:t>
      </w:r>
      <w:proofErr w:type="spellStart"/>
      <w:r w:rsidR="007A66E3" w:rsidRPr="006A6890">
        <w:rPr>
          <w:rFonts w:asciiTheme="minorHAnsi" w:hAnsiTheme="minorHAnsi"/>
        </w:rPr>
        <w:t>helyzetbeli</w:t>
      </w:r>
      <w:proofErr w:type="spellEnd"/>
      <w:r w:rsidR="007A66E3" w:rsidRPr="006A6890">
        <w:rPr>
          <w:rFonts w:asciiTheme="minorHAnsi" w:hAnsiTheme="minorHAnsi"/>
        </w:rPr>
        <w:t xml:space="preserve"> értékét modellezi: </w:t>
      </w:r>
      <w:r w:rsidR="008B47F7" w:rsidRPr="006A6890">
        <w:rPr>
          <w:rFonts w:asciiTheme="minorHAnsi" w:hAnsiTheme="minorHAnsi"/>
        </w:rPr>
        <w:t xml:space="preserve">1) </w:t>
      </w:r>
      <w:r w:rsidR="007A66E3" w:rsidRPr="006A6890">
        <w:rPr>
          <w:rFonts w:asciiTheme="minorHAnsi" w:hAnsiTheme="minorHAnsi"/>
        </w:rPr>
        <w:t>az ügyfél 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66B1540F" w14:textId="77777777" w:rsidR="002A1FD1" w:rsidRPr="006A6890" w:rsidRDefault="002A1FD1"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iküszöbölése érdekében az MNB a többszörös default</w:t>
      </w:r>
      <w:r w:rsidRPr="006A6890">
        <w:rPr>
          <w:rFonts w:asciiTheme="minorHAnsi" w:hAnsiTheme="minorHAnsi"/>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AF18C1"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w:t>
      </w:r>
      <w:proofErr w:type="spellStart"/>
      <w:r w:rsidRPr="006A6890">
        <w:rPr>
          <w:rFonts w:asciiTheme="minorHAnsi" w:hAnsiTheme="minorHAnsi"/>
        </w:rPr>
        <w:t>helyzetbeli</w:t>
      </w:r>
      <w:proofErr w:type="spellEnd"/>
      <w:r w:rsidRPr="006A6890">
        <w:rPr>
          <w:rFonts w:asciiTheme="minorHAnsi" w:hAnsiTheme="minorHAnsi"/>
        </w:rPr>
        <w:t xml:space="preserve">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2018. év végére</w:t>
      </w:r>
      <w:r w:rsidR="00366C3F" w:rsidRPr="006A6890">
        <w:rPr>
          <w:rFonts w:asciiTheme="minorHAnsi" w:hAnsiTheme="minorHAnsi"/>
        </w:rPr>
        <w:t xml:space="preserve"> Budapesten jelentősen megemelkedett a túlértékeltség kockázata, ezért a</w:t>
      </w:r>
      <w:r w:rsidR="00537768" w:rsidRPr="006A6890">
        <w:rPr>
          <w:rFonts w:asciiTheme="minorHAnsi" w:hAnsiTheme="minorHAnsi"/>
        </w:rPr>
        <w:t>z MNB a</w:t>
      </w:r>
      <w:r w:rsidR="00F87B13" w:rsidRPr="006A6890">
        <w:rPr>
          <w:rFonts w:asciiTheme="minorHAnsi" w:hAnsiTheme="minorHAnsi"/>
        </w:rPr>
        <w:t xml:space="preserve"> fővárosi</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 xml:space="preserve">Az MNB hangsúlyozza, hogy az </w:t>
      </w:r>
      <w:proofErr w:type="spellStart"/>
      <w:r w:rsidRPr="006A6890">
        <w:rPr>
          <w:rFonts w:asciiTheme="minorHAnsi" w:hAnsiTheme="minorHAnsi"/>
        </w:rPr>
        <w:t>LGD-nek</w:t>
      </w:r>
      <w:proofErr w:type="spellEnd"/>
      <w:r w:rsidRPr="006A6890">
        <w:rPr>
          <w:rFonts w:asciiTheme="minorHAnsi" w:hAnsiTheme="minorHAnsi"/>
        </w:rPr>
        <w:t xml:space="preserve"> downturn-</w:t>
      </w:r>
      <w:proofErr w:type="spellStart"/>
      <w:r w:rsidRPr="006A6890">
        <w:rPr>
          <w:rFonts w:asciiTheme="minorHAnsi" w:hAnsiTheme="minorHAnsi"/>
        </w:rPr>
        <w:t>nek</w:t>
      </w:r>
      <w:proofErr w:type="spellEnd"/>
      <w:r w:rsidRPr="006A6890">
        <w:rPr>
          <w:rFonts w:asciiTheme="minorHAnsi" w:hAnsiTheme="minorHAnsi"/>
        </w:rPr>
        <w:t xml:space="preserve"> kell lennie, ezen belül a nemteljesítő ügyletek </w:t>
      </w:r>
      <w:proofErr w:type="spellStart"/>
      <w:r w:rsidRPr="006A6890">
        <w:rPr>
          <w:rFonts w:asciiTheme="minorHAnsi" w:hAnsiTheme="minorHAnsi"/>
        </w:rPr>
        <w:t>LGD-jének</w:t>
      </w:r>
      <w:proofErr w:type="spellEnd"/>
      <w:r w:rsidRPr="006A6890">
        <w:rPr>
          <w:rFonts w:asciiTheme="minorHAnsi" w:hAnsiTheme="minorHAnsi"/>
        </w:rPr>
        <w:t xml:space="preserve"> a várható veszteségeken felüli nem várt veszteségeket i</w:t>
      </w:r>
      <w:r w:rsidR="002C3E60" w:rsidRPr="006A6890">
        <w:rPr>
          <w:rFonts w:asciiTheme="minorHAnsi" w:hAnsiTheme="minorHAnsi"/>
        </w:rPr>
        <w:t xml:space="preserve">s tartalmaznia kell. Éppen ezért, amíg az értékvesztés és várható veszteség számításában azonnal tükröződhetnek kedvező irányú változások (az ügyfél fizetőképességének javulása, javuló ingatlanpiaci kilátások), addig az </w:t>
      </w:r>
      <w:proofErr w:type="spellStart"/>
      <w:r w:rsidR="002C3E60" w:rsidRPr="006A6890">
        <w:rPr>
          <w:rFonts w:asciiTheme="minorHAnsi" w:hAnsiTheme="minorHAnsi"/>
        </w:rPr>
        <w:t>LGD-nek</w:t>
      </w:r>
      <w:proofErr w:type="spellEnd"/>
      <w:r w:rsidR="002C3E60" w:rsidRPr="006A6890">
        <w:rPr>
          <w:rFonts w:asciiTheme="minorHAnsi" w:hAnsiTheme="minorHAnsi"/>
        </w:rPr>
        <w:t xml:space="preserve"> az esetleges kedvezőtlen irányú elmozdulásokra (visszaromló fizetési hajlandóság, ingatlanpiac), nem várt veszteségekre is fedezetet kell nyújtania.</w:t>
      </w:r>
    </w:p>
    <w:p w14:paraId="66B15412" w14:textId="3AD28F99" w:rsidR="00E50E1F" w:rsidRPr="006A6890" w:rsidRDefault="00E50E1F" w:rsidP="009D65E3">
      <w:pPr>
        <w:rPr>
          <w:rFonts w:asciiTheme="minorHAnsi" w:hAnsiTheme="minorHAnsi"/>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237613D7" w14:textId="7546F2EF" w:rsidR="00306347" w:rsidRPr="006A6890" w:rsidRDefault="00306347" w:rsidP="005A4399">
      <w:pPr>
        <w:rPr>
          <w:rFonts w:asciiTheme="minorHAnsi" w:hAnsiTheme="minorHAnsi"/>
          <w:lang w:eastAsia="x-none"/>
        </w:rPr>
      </w:pPr>
    </w:p>
    <w:p w14:paraId="625FBD9B" w14:textId="45136BB0" w:rsidR="00A431B0" w:rsidRPr="006A6890" w:rsidRDefault="00A431B0" w:rsidP="005A4399">
      <w:pPr>
        <w:rPr>
          <w:rFonts w:asciiTheme="minorHAnsi" w:hAnsiTheme="minorHAnsi"/>
          <w:lang w:eastAsia="x-none"/>
        </w:rPr>
      </w:pPr>
    </w:p>
    <w:p w14:paraId="66B15413" w14:textId="5CDB46A0" w:rsidR="003F29E3" w:rsidRPr="006A6890" w:rsidRDefault="00361648" w:rsidP="00181755">
      <w:pPr>
        <w:pStyle w:val="Heading4"/>
        <w:rPr>
          <w:rFonts w:asciiTheme="minorHAnsi" w:hAnsiTheme="minorHAnsi"/>
        </w:rPr>
      </w:pPr>
      <w:bookmarkStart w:id="699" w:name="_Toc461095209"/>
      <w:bookmarkStart w:id="700" w:name="_Toc461179865"/>
      <w:bookmarkStart w:id="701" w:name="_Toc461201308"/>
      <w:bookmarkStart w:id="702" w:name="_Toc461547951"/>
      <w:bookmarkStart w:id="703" w:name="_Toc462401989"/>
      <w:bookmarkStart w:id="704" w:name="_Toc462403110"/>
      <w:bookmarkStart w:id="705" w:name="_Toc462403434"/>
      <w:bookmarkStart w:id="706" w:name="_Toc468180553"/>
      <w:bookmarkStart w:id="707" w:name="_Toc468181062"/>
      <w:bookmarkStart w:id="708" w:name="_Toc468191448"/>
      <w:bookmarkStart w:id="709" w:name="_Toc27138962"/>
      <w:r w:rsidRPr="006A6890">
        <w:rPr>
          <w:rFonts w:asciiTheme="minorHAnsi" w:hAnsiTheme="minorHAnsi"/>
          <w:lang w:val="hu-HU"/>
        </w:rPr>
        <w:lastRenderedPageBreak/>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698"/>
      <w:bookmarkEnd w:id="699"/>
      <w:bookmarkEnd w:id="700"/>
      <w:bookmarkEnd w:id="701"/>
      <w:bookmarkEnd w:id="702"/>
      <w:bookmarkEnd w:id="703"/>
      <w:bookmarkEnd w:id="704"/>
      <w:bookmarkEnd w:id="705"/>
      <w:bookmarkEnd w:id="706"/>
      <w:bookmarkEnd w:id="707"/>
      <w:bookmarkEnd w:id="708"/>
      <w:bookmarkEnd w:id="709"/>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sztenderd és IRB módszertant alkalmazó intézményekre egységesen vonatkozó CRR 178. cikke szerinti default</w:t>
      </w:r>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9D65E3">
        <w:footnoteReference w:id="43"/>
      </w:r>
      <w:r w:rsidR="00047DD4" w:rsidRPr="006A6890">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 xml:space="preserve">Ennek érdekében a veszteségráta becsléséről szóló fejezetben elmondottaknak megfelelően az intézménynek megbízható </w:t>
      </w:r>
      <w:proofErr w:type="spellStart"/>
      <w:r w:rsidR="00495E5D" w:rsidRPr="006A6890">
        <w:rPr>
          <w:rFonts w:asciiTheme="minorHAnsi" w:hAnsiTheme="minorHAnsi"/>
        </w:rPr>
        <w:t>ELBE</w:t>
      </w:r>
      <w:proofErr w:type="spellEnd"/>
      <w:r w:rsidR="00495E5D" w:rsidRPr="006A6890">
        <w:rPr>
          <w:rFonts w:asciiTheme="minorHAnsi" w:hAnsiTheme="minorHAnsi"/>
        </w:rPr>
        <w:t xml:space="preserve"> ill</w:t>
      </w:r>
      <w:r w:rsidR="004E0090" w:rsidRPr="006A6890">
        <w:rPr>
          <w:rFonts w:asciiTheme="minorHAnsi" w:hAnsiTheme="minorHAnsi"/>
        </w:rPr>
        <w:t>etve</w:t>
      </w:r>
      <w:r w:rsidR="00495E5D" w:rsidRPr="006A6890">
        <w:rPr>
          <w:rFonts w:asciiTheme="minorHAnsi" w:hAnsiTheme="minorHAnsi"/>
        </w:rPr>
        <w:t xml:space="preserve"> </w:t>
      </w:r>
      <w:proofErr w:type="spellStart"/>
      <w:r w:rsidR="00495E5D" w:rsidRPr="006A6890">
        <w:rPr>
          <w:rFonts w:asciiTheme="minorHAnsi" w:hAnsiTheme="minorHAnsi"/>
        </w:rPr>
        <w:t>LGD</w:t>
      </w:r>
      <w:proofErr w:type="spellEnd"/>
      <w:r w:rsidR="00495E5D" w:rsidRPr="006A6890">
        <w:rPr>
          <w:rFonts w:asciiTheme="minorHAnsi" w:hAnsiTheme="minorHAnsi"/>
        </w:rPr>
        <w:t xml:space="preserve">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proofErr w:type="spellStart"/>
      <w:r w:rsidR="00644805" w:rsidRPr="006A6890">
        <w:rPr>
          <w:rFonts w:asciiTheme="minorHAnsi" w:hAnsiTheme="minorHAnsi"/>
        </w:rPr>
        <w:t>ELBE</w:t>
      </w:r>
      <w:proofErr w:type="spellEnd"/>
      <w:r w:rsidR="00644805" w:rsidRPr="006A6890">
        <w:rPr>
          <w:rFonts w:asciiTheme="minorHAnsi" w:hAnsiTheme="minorHAnsi"/>
        </w:rPr>
        <w:t xml:space="preserve"> ill. </w:t>
      </w:r>
      <w:proofErr w:type="spellStart"/>
      <w:r w:rsidR="00644805" w:rsidRPr="006A6890">
        <w:rPr>
          <w:rFonts w:asciiTheme="minorHAnsi" w:hAnsiTheme="minorHAnsi"/>
        </w:rPr>
        <w:t>LGD</w:t>
      </w:r>
      <w:proofErr w:type="spellEnd"/>
      <w:r w:rsidR="00644805" w:rsidRPr="006A6890">
        <w:rPr>
          <w:rFonts w:asciiTheme="minorHAnsi" w:hAnsiTheme="minorHAnsi"/>
        </w:rPr>
        <w:t>-becsléssel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w:t>
      </w:r>
      <w:proofErr w:type="spellStart"/>
      <w:r w:rsidRPr="006A6890">
        <w:rPr>
          <w:rFonts w:asciiTheme="minorHAnsi" w:hAnsiTheme="minorHAnsi"/>
        </w:rPr>
        <w:t>ELBE</w:t>
      </w:r>
      <w:proofErr w:type="spellEnd"/>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xml:space="preserve">,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w:t>
      </w:r>
      <w:proofErr w:type="spellStart"/>
      <w:r w:rsidR="00D17378" w:rsidRPr="006A6890">
        <w:rPr>
          <w:rFonts w:asciiTheme="minorHAnsi" w:hAnsiTheme="minorHAnsi"/>
        </w:rPr>
        <w:t>ELBE</w:t>
      </w:r>
      <w:proofErr w:type="spellEnd"/>
      <w:r w:rsidR="00D17378" w:rsidRPr="006A6890">
        <w:rPr>
          <w:rFonts w:asciiTheme="minorHAnsi" w:hAnsiTheme="minorHAnsi"/>
        </w:rPr>
        <w:t>-becslésen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7" w14:textId="033D4FA9" w:rsidR="005E767A" w:rsidRPr="006A6890" w:rsidRDefault="005709D8" w:rsidP="009D65E3">
      <w:pPr>
        <w:rPr>
          <w:rFonts w:asciiTheme="minorHAnsi" w:hAnsiTheme="minorHAnsi"/>
        </w:rPr>
      </w:pPr>
      <w:r w:rsidRPr="006A6890">
        <w:rPr>
          <w:rFonts w:asciiTheme="minorHAnsi" w:hAnsiTheme="minorHAnsi"/>
        </w:rPr>
        <w:t>Az MNB a</w:t>
      </w:r>
      <w:r w:rsidR="00644805" w:rsidRPr="006A6890">
        <w:rPr>
          <w:rFonts w:asciiTheme="minorHAnsi" w:hAnsiTheme="minorHAnsi"/>
        </w:rPr>
        <w:t xml:space="preserve"> nemteljesítő kitettség </w:t>
      </w:r>
      <w:proofErr w:type="spellStart"/>
      <w:r w:rsidR="00644805" w:rsidRPr="006A6890">
        <w:rPr>
          <w:rFonts w:asciiTheme="minorHAnsi" w:hAnsiTheme="minorHAnsi"/>
        </w:rPr>
        <w:t>LGD-jének</w:t>
      </w:r>
      <w:proofErr w:type="spellEnd"/>
      <w:r w:rsidR="005E767A" w:rsidRPr="006A6890">
        <w:rPr>
          <w:rFonts w:asciiTheme="minorHAnsi" w:hAnsiTheme="minorHAnsi"/>
        </w:rPr>
        <w:t xml:space="preserve"> </w:t>
      </w:r>
      <w:r w:rsidR="00644805" w:rsidRPr="006A6890">
        <w:rPr>
          <w:rFonts w:asciiTheme="minorHAnsi" w:hAnsiTheme="minorHAnsi"/>
        </w:rPr>
        <w:t xml:space="preserve">a szabályozói </w:t>
      </w:r>
      <w:proofErr w:type="spellStart"/>
      <w:r w:rsidR="00644805" w:rsidRPr="006A6890">
        <w:rPr>
          <w:rFonts w:asciiTheme="minorHAnsi" w:hAnsiTheme="minorHAnsi"/>
        </w:rPr>
        <w:t>LGD</w:t>
      </w:r>
      <w:proofErr w:type="spellEnd"/>
      <w:r w:rsidR="00644805" w:rsidRPr="006A6890">
        <w:rPr>
          <w:rFonts w:asciiTheme="minorHAnsi" w:hAnsiTheme="minorHAnsi"/>
        </w:rPr>
        <w:t>-</w:t>
      </w:r>
      <w:r w:rsidR="005B2BDE" w:rsidRPr="006A6890">
        <w:rPr>
          <w:rFonts w:asciiTheme="minorHAnsi" w:hAnsiTheme="minorHAnsi"/>
        </w:rPr>
        <w:t>érté</w:t>
      </w:r>
      <w:r w:rsidR="00644805" w:rsidRPr="006A6890">
        <w:rPr>
          <w:rFonts w:asciiTheme="minorHAnsi" w:hAnsiTheme="minorHAnsi"/>
        </w:rPr>
        <w:t>ket</w:t>
      </w:r>
      <w:r w:rsidR="007E4E5B" w:rsidRPr="006A6890">
        <w:rPr>
          <w:rFonts w:asciiTheme="minorHAnsi" w:hAnsiTheme="minorHAnsi"/>
        </w:rPr>
        <w:footnoteReference w:id="44"/>
      </w:r>
      <w:r w:rsidRPr="006A6890">
        <w:rPr>
          <w:rFonts w:asciiTheme="minorHAnsi" w:hAnsiTheme="minorHAnsi"/>
        </w:rPr>
        <w:t xml:space="preserve"> állítja be</w:t>
      </w:r>
      <w:r w:rsidR="00644805" w:rsidRPr="006A6890">
        <w:rPr>
          <w:rFonts w:asciiTheme="minorHAnsi" w:hAnsiTheme="minorHAnsi"/>
        </w:rPr>
        <w:t>, ill</w:t>
      </w:r>
      <w:r w:rsidR="007E4E5B" w:rsidRPr="006A6890">
        <w:rPr>
          <w:rFonts w:asciiTheme="minorHAnsi" w:hAnsiTheme="minorHAnsi"/>
        </w:rPr>
        <w:t>etve</w:t>
      </w:r>
      <w:r w:rsidR="00644805" w:rsidRPr="006A6890">
        <w:rPr>
          <w:rFonts w:asciiTheme="minorHAnsi" w:hAnsiTheme="minorHAnsi"/>
        </w:rPr>
        <w:t xml:space="preserve"> bizonyos portfóliókon (</w:t>
      </w:r>
      <w:r w:rsidR="007514BB" w:rsidRPr="006A6890">
        <w:rPr>
          <w:rFonts w:asciiTheme="minorHAnsi" w:hAnsiTheme="minorHAnsi"/>
        </w:rPr>
        <w:t xml:space="preserve">pl. </w:t>
      </w:r>
      <w:r w:rsidR="00644805" w:rsidRPr="006A6890">
        <w:rPr>
          <w:rFonts w:asciiTheme="minorHAnsi" w:hAnsiTheme="minorHAnsi"/>
        </w:rPr>
        <w:t>lakossági jelzálog, projekt) pe</w:t>
      </w:r>
      <w:r w:rsidR="00F740B6" w:rsidRPr="006A6890">
        <w:rPr>
          <w:rFonts w:asciiTheme="minorHAnsi" w:hAnsiTheme="minorHAnsi"/>
        </w:rPr>
        <w:t xml:space="preserve">dig benchmark </w:t>
      </w:r>
      <w:proofErr w:type="spellStart"/>
      <w:r w:rsidR="00F740B6" w:rsidRPr="006A6890">
        <w:rPr>
          <w:rFonts w:asciiTheme="minorHAnsi" w:hAnsiTheme="minorHAnsi"/>
        </w:rPr>
        <w:t>LGD</w:t>
      </w:r>
      <w:proofErr w:type="spellEnd"/>
      <w:r w:rsidR="00F740B6" w:rsidRPr="006A6890">
        <w:rPr>
          <w:rFonts w:asciiTheme="minorHAnsi" w:hAnsiTheme="minorHAnsi"/>
        </w:rPr>
        <w:t xml:space="preserve">-ket </w:t>
      </w:r>
      <w:r w:rsidRPr="006A6890">
        <w:rPr>
          <w:rFonts w:asciiTheme="minorHAnsi" w:hAnsiTheme="minorHAnsi"/>
        </w:rPr>
        <w:t>határoz meg, ha a</w:t>
      </w:r>
      <w:r w:rsidR="00A8489E" w:rsidRPr="006A6890">
        <w:rPr>
          <w:rFonts w:asciiTheme="minorHAnsi" w:hAnsiTheme="minorHAnsi"/>
        </w:rPr>
        <w:t>z intézmény</w:t>
      </w:r>
      <w:r w:rsidRPr="006A6890">
        <w:rPr>
          <w:rFonts w:asciiTheme="minorHAnsi" w:hAnsiTheme="minorHAnsi"/>
        </w:rPr>
        <w:t xml:space="preserve"> nem rendelkezik külön </w:t>
      </w:r>
      <w:proofErr w:type="spellStart"/>
      <w:r w:rsidRPr="006A6890">
        <w:rPr>
          <w:rFonts w:asciiTheme="minorHAnsi" w:hAnsiTheme="minorHAnsi"/>
        </w:rPr>
        <w:t>LGD</w:t>
      </w:r>
      <w:proofErr w:type="spellEnd"/>
      <w:r w:rsidRPr="006A6890">
        <w:rPr>
          <w:rFonts w:asciiTheme="minorHAnsi" w:hAnsiTheme="minorHAnsi"/>
        </w:rPr>
        <w:t>-becsléssel.</w:t>
      </w:r>
    </w:p>
    <w:p w14:paraId="66B15418" w14:textId="09D6D9AF" w:rsidR="00402081" w:rsidRPr="006A6890" w:rsidRDefault="00402081" w:rsidP="009D65E3">
      <w:pPr>
        <w:rPr>
          <w:rFonts w:asciiTheme="minorHAnsi" w:hAnsiTheme="minorHAnsi"/>
        </w:rPr>
      </w:pPr>
      <w:r w:rsidRPr="006A6890">
        <w:rPr>
          <w:rFonts w:asciiTheme="minorHAnsi" w:hAnsiTheme="minorHAnsi"/>
        </w:rPr>
        <w:t>Az IRB-t alkalmazó intézmények a tőke</w:t>
      </w:r>
      <w:r w:rsidR="00F812F4" w:rsidRPr="006A6890">
        <w:rPr>
          <w:rFonts w:asciiTheme="minorHAnsi" w:hAnsiTheme="minorHAnsi"/>
        </w:rPr>
        <w:t>követelmény-</w:t>
      </w:r>
      <w:r w:rsidRPr="006A6890">
        <w:rPr>
          <w:rFonts w:asciiTheme="minorHAnsi" w:hAnsiTheme="minorHAnsi"/>
        </w:rPr>
        <w:t>számítás során is elkülönítik a várható és nem várt veszteségeket: míg a nem várt veszteségekre tőkét képeznek, addig a várható veszteség és értékvesztés különbségeként számított ún. IRB-</w:t>
      </w:r>
      <w:proofErr w:type="spellStart"/>
      <w:r w:rsidRPr="006A6890">
        <w:rPr>
          <w:rFonts w:asciiTheme="minorHAnsi" w:hAnsiTheme="minorHAnsi"/>
        </w:rPr>
        <w:t>shortfallt</w:t>
      </w:r>
      <w:proofErr w:type="spellEnd"/>
      <w:r w:rsidRPr="006A6890">
        <w:rPr>
          <w:rFonts w:asciiTheme="minorHAnsi" w:hAnsiTheme="minorHAnsi"/>
        </w:rPr>
        <w:t xml:space="preserve"> a szavatoló tőkében veszik figyelembe. </w:t>
      </w:r>
      <w:r w:rsidR="007514BB" w:rsidRPr="006A6890">
        <w:rPr>
          <w:rFonts w:asciiTheme="minorHAnsi" w:hAnsiTheme="minorHAnsi"/>
        </w:rPr>
        <w:t>Mivel az 1. és 2. pilléres szavatoló tőke értéke meg kell, hogy egyezzen, ezért az 1. pillérben IRB-t alkalmazó intézmények esetébe</w:t>
      </w:r>
      <w:r w:rsidR="000D42A4" w:rsidRPr="006A6890">
        <w:rPr>
          <w:rFonts w:asciiTheme="minorHAnsi" w:hAnsiTheme="minorHAnsi"/>
        </w:rPr>
        <w:t>n</w:t>
      </w:r>
      <w:r w:rsidR="007514BB" w:rsidRPr="006A6890">
        <w:rPr>
          <w:rFonts w:asciiTheme="minorHAnsi" w:hAnsiTheme="minorHAnsi"/>
        </w:rPr>
        <w:t xml:space="preserve"> az IRB-</w:t>
      </w:r>
      <w:proofErr w:type="spellStart"/>
      <w:r w:rsidR="007514BB" w:rsidRPr="006A6890">
        <w:rPr>
          <w:rFonts w:asciiTheme="minorHAnsi" w:hAnsiTheme="minorHAnsi"/>
        </w:rPr>
        <w:t>shortfall</w:t>
      </w:r>
      <w:proofErr w:type="spellEnd"/>
      <w:r w:rsidR="007514BB" w:rsidRPr="006A6890">
        <w:rPr>
          <w:rFonts w:asciiTheme="minorHAnsi" w:hAnsiTheme="minorHAnsi"/>
        </w:rPr>
        <w:t xml:space="preserve"> 2. pillérben felülbírált értékét a 2. pilléres tőkekövetelményben kell elszámolni. Az 1. pillérben sztenderd módszertant alkalmazó intézmények esetén az IRB-</w:t>
      </w:r>
      <w:proofErr w:type="spellStart"/>
      <w:r w:rsidR="007514BB" w:rsidRPr="006A6890">
        <w:rPr>
          <w:rFonts w:asciiTheme="minorHAnsi" w:hAnsiTheme="minorHAnsi"/>
        </w:rPr>
        <w:t>shortfall</w:t>
      </w:r>
      <w:proofErr w:type="spellEnd"/>
      <w:r w:rsidR="007514BB" w:rsidRPr="006A6890">
        <w:rPr>
          <w:rFonts w:asciiTheme="minorHAnsi" w:hAnsiTheme="minorHAnsi"/>
        </w:rPr>
        <w:t xml:space="preserve">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Az MNB az IRB-</w:t>
      </w:r>
      <w:proofErr w:type="spellStart"/>
      <w:r w:rsidRPr="006A6890">
        <w:rPr>
          <w:rFonts w:asciiTheme="minorHAnsi" w:hAnsiTheme="minorHAnsi"/>
        </w:rPr>
        <w:t>shortfall</w:t>
      </w:r>
      <w:proofErr w:type="spellEnd"/>
      <w:r w:rsidRPr="006A6890">
        <w:rPr>
          <w:rFonts w:asciiTheme="minorHAnsi" w:hAnsiTheme="minorHAnsi"/>
        </w:rPr>
        <w:t xml:space="preserve"> és a nemteljesítő portfólió tőkekövetelmény-számításának tekintetében a CRR-</w:t>
      </w:r>
      <w:proofErr w:type="spellStart"/>
      <w:r w:rsidRPr="006A6890">
        <w:rPr>
          <w:rFonts w:asciiTheme="minorHAnsi" w:hAnsiTheme="minorHAnsi"/>
        </w:rPr>
        <w:t>nek</w:t>
      </w:r>
      <w:proofErr w:type="spellEnd"/>
      <w:r w:rsidRPr="006A6890">
        <w:rPr>
          <w:rFonts w:asciiTheme="minorHAnsi" w:hAnsiTheme="minorHAnsi"/>
        </w:rPr>
        <w:t xml:space="preserve"> a saját </w:t>
      </w:r>
      <w:proofErr w:type="spellStart"/>
      <w:r w:rsidRPr="006A6890">
        <w:rPr>
          <w:rFonts w:asciiTheme="minorHAnsi" w:hAnsiTheme="minorHAnsi"/>
        </w:rPr>
        <w:t>LGD</w:t>
      </w:r>
      <w:proofErr w:type="spellEnd"/>
      <w:r w:rsidRPr="006A6890">
        <w:rPr>
          <w:rFonts w:asciiTheme="minorHAnsi" w:hAnsiTheme="minorHAnsi"/>
        </w:rPr>
        <w:t>-becsléssel rendelkező IRB-módszerre</w:t>
      </w:r>
      <w:r w:rsidR="008B085A" w:rsidRPr="006A6890">
        <w:rPr>
          <w:rFonts w:asciiTheme="minorHAnsi" w:hAnsiTheme="minorHAnsi"/>
        </w:rPr>
        <w:t xml:space="preserve"> (</w:t>
      </w:r>
      <w:proofErr w:type="spellStart"/>
      <w:r w:rsidR="008B085A" w:rsidRPr="006A6890">
        <w:rPr>
          <w:rFonts w:asciiTheme="minorHAnsi" w:hAnsiTheme="minorHAnsi"/>
        </w:rPr>
        <w:t>AIRB</w:t>
      </w:r>
      <w:proofErr w:type="spellEnd"/>
      <w:r w:rsidR="008B085A" w:rsidRPr="006A6890">
        <w:rPr>
          <w:rFonts w:asciiTheme="minorHAnsi" w:hAnsiTheme="minorHAnsi"/>
        </w:rPr>
        <w:t>)</w:t>
      </w:r>
      <w:r w:rsidRPr="006A6890">
        <w:rPr>
          <w:rFonts w:asciiTheme="minorHAnsi" w:hAnsiTheme="minorHAnsi"/>
        </w:rPr>
        <w:t xml:space="preserve"> vonatkozó előírásait tekinti irányadónak, azaz a nemteljesítő portfólión a várható veszteség az </w:t>
      </w:r>
      <w:proofErr w:type="spellStart"/>
      <w:r w:rsidRPr="006A6890">
        <w:rPr>
          <w:rFonts w:asciiTheme="minorHAnsi" w:hAnsiTheme="minorHAnsi"/>
        </w:rPr>
        <w:t>ELBE</w:t>
      </w:r>
      <w:proofErr w:type="spellEnd"/>
      <w:r w:rsidRPr="006A6890">
        <w:rPr>
          <w:rFonts w:asciiTheme="minorHAnsi" w:hAnsiTheme="minorHAnsi"/>
        </w:rPr>
        <w:t xml:space="preserve">-becsléssel egyezik meg, valamint a nemteljesítő portfólión keletkező értékvesztés-többlet esetén a CRR 159. cikke az irányadó.  Nyilvánvalóan – </w:t>
      </w:r>
      <w:proofErr w:type="spellStart"/>
      <w:r w:rsidRPr="006A6890">
        <w:rPr>
          <w:rFonts w:asciiTheme="minorHAnsi" w:hAnsiTheme="minorHAnsi"/>
        </w:rPr>
        <w:t>ELBE</w:t>
      </w:r>
      <w:proofErr w:type="spellEnd"/>
      <w:r w:rsidRPr="006A6890">
        <w:rPr>
          <w:rFonts w:asciiTheme="minorHAnsi" w:hAnsiTheme="minorHAnsi"/>
        </w:rPr>
        <w:t>-becslés hiányában, amikor is azt az MNB az értékvesztéssel helyettesíti – nem keletkezik értékvesztés-többlet (sem hiány) a nemteljesítő kitettségeken.</w:t>
      </w:r>
    </w:p>
    <w:p w14:paraId="656DB0C3" w14:textId="0E72FC91" w:rsidR="005C05DF" w:rsidRPr="006A6890" w:rsidRDefault="008B085A" w:rsidP="009D65E3">
      <w:pPr>
        <w:rPr>
          <w:rFonts w:asciiTheme="minorHAnsi" w:hAnsiTheme="minorHAnsi"/>
        </w:rPr>
      </w:pPr>
      <w:r w:rsidRPr="006A6890">
        <w:rPr>
          <w:rFonts w:asciiTheme="minorHAnsi" w:hAnsiTheme="minorHAnsi"/>
        </w:rPr>
        <w:t xml:space="preserve">Nemteljesítő kitettségek esetén a tőkekövetelmény az </w:t>
      </w:r>
      <w:proofErr w:type="spellStart"/>
      <w:r w:rsidRPr="006A6890">
        <w:rPr>
          <w:rFonts w:asciiTheme="minorHAnsi" w:hAnsiTheme="minorHAnsi"/>
        </w:rPr>
        <w:t>AIRB</w:t>
      </w:r>
      <w:proofErr w:type="spellEnd"/>
      <w:r w:rsidRPr="006A6890">
        <w:rPr>
          <w:rFonts w:asciiTheme="minorHAnsi" w:hAnsiTheme="minorHAnsi"/>
        </w:rPr>
        <w:t xml:space="preserve"> szerinti </w:t>
      </w:r>
      <w:proofErr w:type="spellStart"/>
      <w:r w:rsidRPr="006A6890">
        <w:rPr>
          <w:rFonts w:asciiTheme="minorHAnsi" w:hAnsiTheme="minorHAnsi"/>
        </w:rPr>
        <w:t>max</w:t>
      </w:r>
      <w:proofErr w:type="spellEnd"/>
      <w:r w:rsidRPr="006A6890">
        <w:rPr>
          <w:rFonts w:asciiTheme="minorHAnsi" w:hAnsiTheme="minorHAnsi"/>
        </w:rPr>
        <w:t>{0;(</w:t>
      </w:r>
      <w:proofErr w:type="spellStart"/>
      <w:r w:rsidRPr="006A6890">
        <w:rPr>
          <w:rFonts w:asciiTheme="minorHAnsi" w:hAnsiTheme="minorHAnsi"/>
        </w:rPr>
        <w:t>LGD-ELBE</w:t>
      </w:r>
      <w:proofErr w:type="spellEnd"/>
      <w:r w:rsidRPr="006A6890">
        <w:rPr>
          <w:rFonts w:asciiTheme="minorHAnsi" w:hAnsiTheme="minorHAnsi"/>
        </w:rPr>
        <w:t xml:space="preserve">)} alapján számolandó. Amennyiben az intézmény megbízható </w:t>
      </w:r>
      <w:proofErr w:type="spellStart"/>
      <w:r w:rsidRPr="006A6890">
        <w:rPr>
          <w:rFonts w:asciiTheme="minorHAnsi" w:hAnsiTheme="minorHAnsi"/>
        </w:rPr>
        <w:t>LGD</w:t>
      </w:r>
      <w:proofErr w:type="spellEnd"/>
      <w:r w:rsidRPr="006A6890">
        <w:rPr>
          <w:rFonts w:asciiTheme="minorHAnsi" w:hAnsiTheme="minorHAnsi"/>
        </w:rPr>
        <w:t xml:space="preserve">-becsléssel rendelkezik, az </w:t>
      </w:r>
      <w:proofErr w:type="spellStart"/>
      <w:r w:rsidRPr="006A6890">
        <w:rPr>
          <w:rFonts w:asciiTheme="minorHAnsi" w:hAnsiTheme="minorHAnsi"/>
        </w:rPr>
        <w:t>LGD</w:t>
      </w:r>
      <w:proofErr w:type="spellEnd"/>
      <w:r w:rsidRPr="006A6890">
        <w:rPr>
          <w:rFonts w:asciiTheme="minorHAnsi" w:hAnsiTheme="minorHAnsi"/>
        </w:rPr>
        <w:t xml:space="preserve"> a várt veszteségen felüli nem várt veszteségeket is tartalmazza, ezért az </w:t>
      </w:r>
      <w:proofErr w:type="spellStart"/>
      <w:r w:rsidRPr="006A6890">
        <w:rPr>
          <w:rFonts w:asciiTheme="minorHAnsi" w:hAnsiTheme="minorHAnsi"/>
        </w:rPr>
        <w:t>LGD</w:t>
      </w:r>
      <w:proofErr w:type="spellEnd"/>
      <w:r w:rsidRPr="006A6890">
        <w:rPr>
          <w:rFonts w:asciiTheme="minorHAnsi" w:hAnsiTheme="minorHAnsi"/>
        </w:rPr>
        <w:t>&gt;</w:t>
      </w:r>
      <w:proofErr w:type="spellStart"/>
      <w:r w:rsidRPr="006A6890">
        <w:rPr>
          <w:rFonts w:asciiTheme="minorHAnsi" w:hAnsiTheme="minorHAnsi"/>
        </w:rPr>
        <w:t>ELBE</w:t>
      </w:r>
      <w:proofErr w:type="spellEnd"/>
      <w:r w:rsidRPr="006A6890">
        <w:rPr>
          <w:rFonts w:asciiTheme="minorHAnsi" w:hAnsiTheme="minorHAnsi"/>
        </w:rPr>
        <w:t xml:space="preserve"> reláció minden esetben fennáll. Amennyiben azonban az intézmény nem rendelkezik </w:t>
      </w:r>
      <w:proofErr w:type="spellStart"/>
      <w:r w:rsidRPr="006A6890">
        <w:rPr>
          <w:rFonts w:asciiTheme="minorHAnsi" w:hAnsiTheme="minorHAnsi"/>
        </w:rPr>
        <w:t>LGD</w:t>
      </w:r>
      <w:proofErr w:type="spellEnd"/>
      <w:r w:rsidRPr="006A6890">
        <w:rPr>
          <w:rFonts w:asciiTheme="minorHAnsi" w:hAnsiTheme="minorHAnsi"/>
        </w:rPr>
        <w:t>-vel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w:t>
      </w:r>
      <w:proofErr w:type="spellStart"/>
      <w:r w:rsidRPr="006A6890">
        <w:rPr>
          <w:rFonts w:asciiTheme="minorHAnsi" w:hAnsiTheme="minorHAnsi"/>
        </w:rPr>
        <w:t>LGD</w:t>
      </w:r>
      <w:proofErr w:type="spellEnd"/>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lastRenderedPageBreak/>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w:t>
      </w:r>
      <w:proofErr w:type="spellStart"/>
      <w:r w:rsidR="00135319" w:rsidRPr="006A6890">
        <w:rPr>
          <w:rFonts w:asciiTheme="minorHAnsi" w:hAnsiTheme="minorHAnsi"/>
        </w:rPr>
        <w:t>LGD</w:t>
      </w:r>
      <w:proofErr w:type="spellEnd"/>
      <w:r w:rsidR="00135319" w:rsidRPr="006A6890">
        <w:rPr>
          <w:rFonts w:asciiTheme="minorHAnsi" w:hAnsiTheme="minorHAnsi"/>
        </w:rPr>
        <w:t xml:space="preserve">-k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 xml:space="preserve">egbízható </w:t>
      </w:r>
      <w:proofErr w:type="spellStart"/>
      <w:r w:rsidR="00FA170E" w:rsidRPr="006A6890">
        <w:rPr>
          <w:rFonts w:asciiTheme="minorHAnsi" w:hAnsiTheme="minorHAnsi"/>
        </w:rPr>
        <w:t>LGD</w:t>
      </w:r>
      <w:proofErr w:type="spellEnd"/>
      <w:r w:rsidR="00FA170E" w:rsidRPr="006A6890">
        <w:rPr>
          <w:rFonts w:asciiTheme="minorHAnsi" w:hAnsiTheme="minorHAnsi"/>
        </w:rPr>
        <w:t>-becslés hiányában</w:t>
      </w:r>
      <w:r w:rsidR="00AA1DF3" w:rsidRPr="006A6890">
        <w:rPr>
          <w:rFonts w:asciiTheme="minorHAnsi" w:hAnsiTheme="minorHAnsi"/>
        </w:rPr>
        <w:t xml:space="preserve"> az MNB az </w:t>
      </w:r>
      <w:proofErr w:type="spellStart"/>
      <w:r w:rsidR="00AA1DF3" w:rsidRPr="006A6890">
        <w:rPr>
          <w:rFonts w:asciiTheme="minorHAnsi" w:hAnsiTheme="minorHAnsi"/>
        </w:rPr>
        <w:t>ELBE</w:t>
      </w:r>
      <w:proofErr w:type="spellEnd"/>
      <w:r w:rsidR="00AA1DF3" w:rsidRPr="006A6890">
        <w:rPr>
          <w:rFonts w:asciiTheme="minorHAnsi" w:hAnsiTheme="minorHAnsi"/>
        </w:rPr>
        <w:t xml:space="preserve"> értékének a megképzett értékvesztés összegét tekinti, míg az afeletti nem várt veszteség mértékét a sztenderd tőkekövetelmény analógiájára a nettó kitettség 8 (</w:t>
      </w:r>
      <w:proofErr w:type="spellStart"/>
      <w:r w:rsidR="00AA1DF3" w:rsidRPr="006A6890">
        <w:rPr>
          <w:rFonts w:asciiTheme="minorHAnsi" w:hAnsiTheme="minorHAnsi"/>
        </w:rPr>
        <w:t>SL</w:t>
      </w:r>
      <w:proofErr w:type="spellEnd"/>
      <w:r w:rsidR="00AA1DF3" w:rsidRPr="006A6890">
        <w:rPr>
          <w:rFonts w:asciiTheme="minorHAnsi" w:hAnsiTheme="minorHAnsi"/>
        </w:rPr>
        <w:t xml:space="preserve">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w:t>
      </w:r>
      <w:proofErr w:type="spellStart"/>
      <w:r w:rsidRPr="006A6890">
        <w:rPr>
          <w:rFonts w:asciiTheme="minorHAnsi" w:hAnsiTheme="minorHAnsi"/>
        </w:rPr>
        <w:t>dekonjunkturális</w:t>
      </w:r>
      <w:proofErr w:type="spellEnd"/>
      <w:r w:rsidRPr="006A6890">
        <w:rPr>
          <w:rFonts w:asciiTheme="minorHAnsi" w:hAnsiTheme="minorHAnsi"/>
        </w:rPr>
        <w:t xml:space="preserve"> helyzetben, magas default-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 xml:space="preserve">ki értékvesztés-többlet a hosszútávú átlagos default-rátából számított PD és a downturn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PD- és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default-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PD és </w:t>
      </w:r>
      <w:proofErr w:type="spellStart"/>
      <w:r w:rsidR="008D32CA" w:rsidRPr="006A6890">
        <w:rPr>
          <w:rFonts w:asciiTheme="minorHAnsi" w:hAnsiTheme="minorHAnsi"/>
        </w:rPr>
        <w:t>LGD</w:t>
      </w:r>
      <w:proofErr w:type="spellEnd"/>
      <w:r w:rsidR="008D32CA" w:rsidRPr="006A6890">
        <w:rPr>
          <w:rFonts w:asciiTheme="minorHAnsi" w:hAnsiTheme="minorHAnsi"/>
        </w:rPr>
        <w:t xml:space="preserve">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IRB </w:t>
      </w:r>
      <w:proofErr w:type="spellStart"/>
      <w:r w:rsidR="00AA1DF3" w:rsidRPr="006A6890">
        <w:rPr>
          <w:rFonts w:asciiTheme="minorHAnsi" w:hAnsiTheme="minorHAnsi"/>
        </w:rPr>
        <w:t>shortfall</w:t>
      </w:r>
      <w:proofErr w:type="spellEnd"/>
      <w:r w:rsidR="00AA1DF3" w:rsidRPr="006A6890">
        <w:rPr>
          <w:rFonts w:asciiTheme="minorHAnsi" w:hAnsiTheme="minorHAnsi"/>
        </w:rPr>
        <w:t xml:space="preserve">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Heading4"/>
        <w:rPr>
          <w:rFonts w:asciiTheme="minorHAnsi" w:hAnsiTheme="minorHAnsi"/>
        </w:rPr>
      </w:pPr>
      <w:bookmarkStart w:id="710" w:name="_Részesedések_és_ingatlanbefektetése"/>
      <w:bookmarkStart w:id="711" w:name="_Toc378592170"/>
      <w:bookmarkStart w:id="712" w:name="_Toc461095210"/>
      <w:bookmarkStart w:id="713" w:name="_Toc461179866"/>
      <w:bookmarkStart w:id="714" w:name="_Toc461201309"/>
      <w:bookmarkStart w:id="715" w:name="_Toc461547952"/>
      <w:bookmarkStart w:id="716" w:name="_Toc462401990"/>
      <w:bookmarkStart w:id="717" w:name="_Toc462403111"/>
      <w:bookmarkStart w:id="718" w:name="_Toc462403435"/>
      <w:bookmarkStart w:id="719" w:name="_Toc468180554"/>
      <w:bookmarkStart w:id="720" w:name="_Toc468181063"/>
      <w:bookmarkStart w:id="721" w:name="_Toc468191449"/>
      <w:bookmarkStart w:id="722" w:name="_Toc27138963"/>
      <w:bookmarkEnd w:id="710"/>
      <w:r w:rsidRPr="006A6890">
        <w:rPr>
          <w:rFonts w:asciiTheme="minorHAnsi" w:hAnsiTheme="minorHAnsi"/>
        </w:rPr>
        <w:t xml:space="preserve">Részesedések </w:t>
      </w:r>
      <w:bookmarkEnd w:id="711"/>
      <w:r w:rsidRPr="006A6890">
        <w:rPr>
          <w:rFonts w:asciiTheme="minorHAnsi" w:hAnsiTheme="minorHAnsi"/>
        </w:rPr>
        <w:t>(Részvényjellegű kitettségek)</w:t>
      </w:r>
      <w:bookmarkEnd w:id="712"/>
      <w:bookmarkEnd w:id="713"/>
      <w:bookmarkEnd w:id="714"/>
      <w:bookmarkEnd w:id="715"/>
      <w:bookmarkEnd w:id="716"/>
      <w:bookmarkEnd w:id="717"/>
      <w:bookmarkEnd w:id="718"/>
      <w:bookmarkEnd w:id="719"/>
      <w:bookmarkEnd w:id="720"/>
      <w:bookmarkEnd w:id="721"/>
      <w:bookmarkEnd w:id="722"/>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6A6890">
        <w:rPr>
          <w:rFonts w:asciiTheme="minorHAnsi" w:hAnsiTheme="minorHAnsi"/>
        </w:rPr>
        <w:footnoteReference w:id="45"/>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723"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xml:space="preserve">, típusát (pl.: pénzügyi </w:t>
      </w:r>
      <w:proofErr w:type="spellStart"/>
      <w:r w:rsidR="00E777A3" w:rsidRPr="006A6890">
        <w:rPr>
          <w:rFonts w:asciiTheme="minorHAnsi" w:hAnsiTheme="minorHAnsi"/>
          <w:color w:val="000000"/>
          <w:sz w:val="22"/>
          <w:szCs w:val="22"/>
          <w:lang w:val="hu-HU" w:eastAsia="hu-HU"/>
        </w:rPr>
        <w:t>ágazatbeli</w:t>
      </w:r>
      <w:proofErr w:type="spellEnd"/>
      <w:r w:rsidR="00E777A3" w:rsidRPr="006A6890">
        <w:rPr>
          <w:rFonts w:asciiTheme="minorHAnsi" w:hAnsiTheme="minorHAnsi"/>
          <w:color w:val="000000"/>
          <w:sz w:val="22"/>
          <w:szCs w:val="22"/>
          <w:lang w:val="hu-HU" w:eastAsia="hu-HU"/>
        </w:rPr>
        <w:t xml:space="preserve">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w:t>
      </w:r>
      <w:proofErr w:type="spellStart"/>
      <w:r w:rsidRPr="006A6890">
        <w:rPr>
          <w:rFonts w:asciiTheme="minorHAnsi" w:hAnsiTheme="minorHAnsi"/>
          <w:color w:val="000000"/>
          <w:sz w:val="22"/>
          <w:szCs w:val="22"/>
          <w:lang w:val="hu-HU" w:eastAsia="hu-HU"/>
        </w:rPr>
        <w:t>stb</w:t>
      </w:r>
      <w:proofErr w:type="spellEnd"/>
      <w:r w:rsidRPr="006A6890">
        <w:rPr>
          <w:rFonts w:asciiTheme="minorHAnsi" w:hAnsiTheme="minorHAnsi"/>
          <w:color w:val="000000"/>
          <w:sz w:val="22"/>
          <w:szCs w:val="22"/>
          <w:lang w:val="hu-HU" w:eastAsia="hu-HU"/>
        </w:rPr>
        <w:t>).</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Pr="006A6890">
        <w:rPr>
          <w:rFonts w:asciiTheme="minorHAnsi" w:hAnsiTheme="minorHAnsi"/>
        </w:rPr>
        <w:lastRenderedPageBreak/>
        <w:t>(</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Paragraph"/>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prudens</w:t>
      </w:r>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IRB-re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0C4AF64A" w:rsidR="003F29E3" w:rsidRPr="006A6890" w:rsidRDefault="006C6FF7" w:rsidP="00780492">
      <w:pPr>
        <w:pStyle w:val="ListParagraph"/>
        <w:numPr>
          <w:ilvl w:val="0"/>
          <w:numId w:val="61"/>
        </w:numPr>
        <w:rPr>
          <w:rFonts w:asciiTheme="minorHAnsi" w:hAnsiTheme="minorHAnsi"/>
        </w:rPr>
      </w:pPr>
      <w:r w:rsidRPr="006A6890">
        <w:rPr>
          <w:rFonts w:asciiTheme="minorHAnsi" w:hAnsiTheme="minorHAnsi"/>
          <w:color w:val="000000"/>
          <w:sz w:val="22"/>
          <w:szCs w:val="22"/>
          <w:lang w:val="hu-HU" w:eastAsia="hu-HU"/>
        </w:rPr>
        <w:t>CRR 155 (2) 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PD/</w:t>
      </w:r>
      <w:proofErr w:type="spellStart"/>
      <w:r w:rsidR="006C6FF7" w:rsidRPr="006A6890">
        <w:rPr>
          <w:rFonts w:asciiTheme="minorHAnsi" w:hAnsiTheme="minorHAnsi"/>
          <w:color w:val="000000"/>
          <w:sz w:val="22"/>
          <w:szCs w:val="22"/>
          <w:lang w:val="hu-HU" w:eastAsia="hu-HU"/>
        </w:rPr>
        <w:t>LGD</w:t>
      </w:r>
      <w:proofErr w:type="spellEnd"/>
      <w:r w:rsidR="006C6FF7" w:rsidRPr="006A6890">
        <w:rPr>
          <w:rFonts w:asciiTheme="minorHAnsi" w:hAnsiTheme="minorHAnsi"/>
          <w:color w:val="000000"/>
          <w:sz w:val="22"/>
          <w:szCs w:val="22"/>
          <w:lang w:val="hu-HU" w:eastAsia="hu-HU"/>
        </w:rPr>
        <w:t xml:space="preserve">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w:t>
      </w:r>
      <w:proofErr w:type="spellStart"/>
      <w:r w:rsidR="000F2731" w:rsidRPr="006A6890">
        <w:rPr>
          <w:rFonts w:asciiTheme="minorHAnsi" w:hAnsiTheme="minorHAnsi"/>
          <w:color w:val="000000"/>
          <w:sz w:val="22"/>
          <w:szCs w:val="22"/>
          <w:lang w:val="hu-HU" w:eastAsia="hu-HU"/>
        </w:rPr>
        <w:t>LGD</w:t>
      </w:r>
      <w:proofErr w:type="spellEnd"/>
      <w:r w:rsidR="000F2731" w:rsidRPr="006A6890">
        <w:rPr>
          <w:rFonts w:asciiTheme="minorHAnsi" w:hAnsiTheme="minorHAnsi"/>
          <w:color w:val="000000"/>
          <w:sz w:val="22"/>
          <w:szCs w:val="22"/>
          <w:lang w:val="hu-HU" w:eastAsia="hu-HU"/>
        </w:rPr>
        <w:t xml:space="preserve">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 xml:space="preserve">z ICAAP kockázati súlyozás nem eredményezhet kisebb tőkekövetelményt, mintha az intézmény a </w:t>
      </w:r>
      <w:proofErr w:type="spellStart"/>
      <w:r w:rsidR="00F931BB" w:rsidRPr="006A6890">
        <w:rPr>
          <w:rFonts w:asciiTheme="minorHAnsi" w:hAnsiTheme="minorHAnsi"/>
        </w:rPr>
        <w:t>visszabirtokolt</w:t>
      </w:r>
      <w:proofErr w:type="spellEnd"/>
      <w:r w:rsidR="00F931BB" w:rsidRPr="006A6890">
        <w:rPr>
          <w:rFonts w:asciiTheme="minorHAnsi" w:hAnsiTheme="minorHAnsi"/>
        </w:rPr>
        <w:t xml:space="preserve">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Heading4"/>
        <w:rPr>
          <w:rFonts w:asciiTheme="minorHAnsi" w:hAnsiTheme="minorHAnsi"/>
        </w:rPr>
      </w:pPr>
      <w:bookmarkStart w:id="724" w:name="_Különleges_hitelezési_kitettségek"/>
      <w:bookmarkStart w:id="725" w:name="_Toc461095211"/>
      <w:bookmarkStart w:id="726" w:name="_Toc461179867"/>
      <w:bookmarkStart w:id="727" w:name="_Toc461201310"/>
      <w:bookmarkStart w:id="728" w:name="_Toc461547953"/>
      <w:bookmarkStart w:id="729" w:name="_Toc462401991"/>
      <w:bookmarkStart w:id="730" w:name="_Toc462403112"/>
      <w:bookmarkStart w:id="731" w:name="_Toc462403436"/>
      <w:bookmarkStart w:id="732" w:name="_Toc468180555"/>
      <w:bookmarkStart w:id="733" w:name="_Toc468181064"/>
      <w:bookmarkStart w:id="734" w:name="_Toc468191450"/>
      <w:bookmarkStart w:id="735" w:name="_Toc27138964"/>
      <w:bookmarkEnd w:id="724"/>
      <w:r w:rsidRPr="006A6890">
        <w:rPr>
          <w:rFonts w:asciiTheme="minorHAnsi" w:hAnsiTheme="minorHAnsi"/>
          <w:lang w:val="hu-HU"/>
        </w:rPr>
        <w:t>Speciális</w:t>
      </w:r>
      <w:r w:rsidR="003F29E3" w:rsidRPr="006A6890">
        <w:rPr>
          <w:rFonts w:asciiTheme="minorHAnsi" w:hAnsiTheme="minorHAnsi"/>
        </w:rPr>
        <w:t xml:space="preserve"> hitelezési kitettségek</w:t>
      </w:r>
      <w:bookmarkEnd w:id="723"/>
      <w:bookmarkEnd w:id="725"/>
      <w:bookmarkEnd w:id="726"/>
      <w:bookmarkEnd w:id="727"/>
      <w:bookmarkEnd w:id="728"/>
      <w:bookmarkEnd w:id="729"/>
      <w:bookmarkEnd w:id="730"/>
      <w:bookmarkEnd w:id="731"/>
      <w:bookmarkEnd w:id="732"/>
      <w:bookmarkEnd w:id="733"/>
      <w:bookmarkEnd w:id="734"/>
      <w:bookmarkEnd w:id="735"/>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w:t>
      </w:r>
      <w:proofErr w:type="spellStart"/>
      <w:r w:rsidRPr="006A6890">
        <w:rPr>
          <w:rFonts w:asciiTheme="minorHAnsi" w:hAnsiTheme="minorHAnsi"/>
        </w:rPr>
        <w:t>SL</w:t>
      </w:r>
      <w:proofErr w:type="spellEnd"/>
      <w:r w:rsidRPr="006A6890">
        <w:rPr>
          <w:rFonts w:asciiTheme="minorHAnsi" w:hAnsiTheme="minorHAnsi"/>
        </w:rPr>
        <w:t>)</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 xml:space="preserve">szenvedte el. Ennek oka e portfóliók koncentrációjának </w:t>
      </w:r>
      <w:proofErr w:type="spellStart"/>
      <w:r w:rsidR="00B55C72" w:rsidRPr="006A6890">
        <w:rPr>
          <w:rFonts w:asciiTheme="minorHAnsi" w:hAnsiTheme="minorHAnsi"/>
        </w:rPr>
        <w:t>kontrollálatlan</w:t>
      </w:r>
      <w:proofErr w:type="spellEnd"/>
      <w:r w:rsidR="00B55C72" w:rsidRPr="006A6890">
        <w:rPr>
          <w:rFonts w:asciiTheme="minorHAnsi" w:hAnsiTheme="minorHAnsi"/>
        </w:rPr>
        <w:t xml:space="preserve">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és a default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proofErr w:type="spellStart"/>
      <w:r w:rsidR="00554995" w:rsidRPr="006A6890">
        <w:rPr>
          <w:rFonts w:asciiTheme="minorHAnsi" w:hAnsiTheme="minorHAnsi"/>
          <w:lang w:val="hu-HU"/>
        </w:rPr>
        <w:t>LTV</w:t>
      </w:r>
      <w:proofErr w:type="spellEnd"/>
      <w:r w:rsidR="00554995" w:rsidRPr="006A6890">
        <w:rPr>
          <w:rFonts w:asciiTheme="minorHAnsi" w:hAnsiTheme="minorHAnsi"/>
          <w:lang w:val="hu-HU"/>
        </w:rPr>
        <w:t xml:space="preserve">-t, </w:t>
      </w:r>
      <w:proofErr w:type="spellStart"/>
      <w:r w:rsidR="00554995" w:rsidRPr="006A6890">
        <w:rPr>
          <w:rFonts w:asciiTheme="minorHAnsi" w:hAnsiTheme="minorHAnsi"/>
          <w:lang w:val="hu-HU"/>
        </w:rPr>
        <w:t>DSCR</w:t>
      </w:r>
      <w:proofErr w:type="spellEnd"/>
      <w:r w:rsidR="00554995" w:rsidRPr="006A6890">
        <w:rPr>
          <w:rFonts w:asciiTheme="minorHAnsi" w:hAnsiTheme="minorHAnsi"/>
          <w:lang w:val="hu-HU"/>
        </w:rPr>
        <w:t>-t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w:t>
      </w:r>
      <w:r w:rsidR="00554995" w:rsidRPr="006A6890">
        <w:rPr>
          <w:rFonts w:asciiTheme="minorHAnsi" w:hAnsiTheme="minorHAnsi"/>
          <w:lang w:val="hu-HU"/>
        </w:rPr>
        <w:lastRenderedPageBreak/>
        <w:t xml:space="preserve">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6A6890">
        <w:rPr>
          <w:rFonts w:asciiTheme="minorHAnsi" w:hAnsiTheme="minorHAnsi"/>
          <w:lang w:val="hu-HU"/>
        </w:rPr>
        <w:t xml:space="preserve">, valamint az ügyfél kockázata és az eszköz (ingatlan) értéke közötti szoros korrelációt, azaz a PD és </w:t>
      </w:r>
      <w:proofErr w:type="spellStart"/>
      <w:r w:rsidR="00554995" w:rsidRPr="006A6890">
        <w:rPr>
          <w:rFonts w:asciiTheme="minorHAnsi" w:hAnsiTheme="minorHAnsi"/>
          <w:lang w:val="hu-HU"/>
        </w:rPr>
        <w:t>LGD</w:t>
      </w:r>
      <w:proofErr w:type="spellEnd"/>
      <w:r w:rsidR="00554995" w:rsidRPr="006A6890">
        <w:rPr>
          <w:rFonts w:asciiTheme="minorHAnsi" w:hAnsiTheme="minorHAnsi"/>
          <w:lang w:val="hu-HU"/>
        </w:rPr>
        <w:t xml:space="preserve"> </w:t>
      </w:r>
      <w:proofErr w:type="spellStart"/>
      <w:r w:rsidR="00554995" w:rsidRPr="006A6890">
        <w:rPr>
          <w:rFonts w:asciiTheme="minorHAnsi" w:hAnsiTheme="minorHAnsi"/>
          <w:lang w:val="hu-HU"/>
        </w:rPr>
        <w:t>együttmozgását</w:t>
      </w:r>
      <w:proofErr w:type="spellEnd"/>
      <w:r w:rsidR="00554995" w:rsidRPr="006A6890">
        <w:rPr>
          <w:rFonts w:asciiTheme="minorHAnsi" w:hAnsiTheme="minorHAnsi"/>
          <w:lang w:val="hu-HU"/>
        </w:rPr>
        <w:t xml:space="preserve">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w:t>
      </w:r>
      <w:proofErr w:type="spellStart"/>
      <w:r w:rsidRPr="006A6890">
        <w:rPr>
          <w:rFonts w:asciiTheme="minorHAnsi" w:hAnsiTheme="minorHAnsi"/>
        </w:rPr>
        <w:t>rating</w:t>
      </w:r>
      <w:proofErr w:type="spellEnd"/>
      <w:r w:rsidRPr="006A6890">
        <w:rPr>
          <w:rFonts w:asciiTheme="minorHAnsi" w:hAnsiTheme="minorHAnsi"/>
        </w:rPr>
        <w:t>, a paraméterbecslés, a tőke</w:t>
      </w:r>
      <w:r w:rsidR="00F812F4" w:rsidRPr="006A6890">
        <w:rPr>
          <w:rFonts w:asciiTheme="minorHAnsi" w:hAnsiTheme="minorHAnsi"/>
        </w:rPr>
        <w:t>követelmény-</w:t>
      </w:r>
      <w:r w:rsidRPr="006A6890">
        <w:rPr>
          <w:rFonts w:asciiTheme="minorHAnsi" w:hAnsiTheme="minorHAnsi"/>
        </w:rPr>
        <w:t xml:space="preserve">számítás és mind a </w:t>
      </w:r>
      <w:proofErr w:type="spellStart"/>
      <w:r w:rsidRPr="006A6890">
        <w:rPr>
          <w:rFonts w:asciiTheme="minorHAnsi" w:hAnsiTheme="minorHAnsi"/>
        </w:rPr>
        <w:t>riportolás</w:t>
      </w:r>
      <w:proofErr w:type="spellEnd"/>
      <w:r w:rsidRPr="006A6890">
        <w:rPr>
          <w:rFonts w:asciiTheme="minorHAnsi" w:hAnsiTheme="minorHAnsi"/>
        </w:rPr>
        <w:t xml:space="preserve">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6A6890">
        <w:rPr>
          <w:rFonts w:asciiTheme="minorHAnsi" w:hAnsiTheme="minorHAnsi"/>
        </w:rPr>
        <w:footnoteReference w:id="46"/>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4BE59AA7"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w:t>
      </w:r>
      <w:proofErr w:type="spellStart"/>
      <w:r w:rsidR="005A3DE2" w:rsidRPr="006A6890">
        <w:rPr>
          <w:rFonts w:asciiTheme="minorHAnsi" w:hAnsiTheme="minorHAnsi"/>
        </w:rPr>
        <w:t>tőketerhek</w:t>
      </w:r>
      <w:proofErr w:type="spellEnd"/>
      <w:r w:rsidR="005A3DE2" w:rsidRPr="006A6890">
        <w:rPr>
          <w:rFonts w:asciiTheme="minorHAnsi" w:hAnsiTheme="minorHAnsi"/>
        </w:rPr>
        <w:t>, a ballo</w:t>
      </w:r>
      <w:r w:rsidR="001547F9" w:rsidRPr="006A6890">
        <w:rPr>
          <w:rFonts w:asciiTheme="minorHAnsi" w:hAnsiTheme="minorHAnsi"/>
        </w:rPr>
        <w:t>o</w:t>
      </w:r>
      <w:r w:rsidR="005A3DE2" w:rsidRPr="006A6890">
        <w:rPr>
          <w:rFonts w:asciiTheme="minorHAnsi" w:hAnsiTheme="minorHAnsi"/>
        </w:rPr>
        <w:t>n</w:t>
      </w:r>
      <w:r w:rsidR="002F35E0" w:rsidRPr="006A6890">
        <w:rPr>
          <w:rFonts w:asciiTheme="minorHAnsi" w:hAnsiTheme="minorHAnsi"/>
        </w:rPr>
        <w:t>/</w:t>
      </w:r>
      <w:r w:rsidR="005A3DE2" w:rsidRPr="006A6890">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Megfelelő default darabszám esetén elvárt a PD/</w:t>
      </w:r>
      <w:proofErr w:type="spellStart"/>
      <w:r w:rsidRPr="006A6890">
        <w:rPr>
          <w:rFonts w:asciiTheme="minorHAnsi" w:hAnsiTheme="minorHAnsi"/>
        </w:rPr>
        <w:t>LGD</w:t>
      </w:r>
      <w:proofErr w:type="spellEnd"/>
      <w:r w:rsidRPr="006A6890">
        <w:rPr>
          <w:rFonts w:asciiTheme="minorHAnsi" w:hAnsiTheme="minorHAnsi"/>
        </w:rPr>
        <w:t xml:space="preserve">-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proofErr w:type="spellStart"/>
      <w:r w:rsidR="007A7FF5" w:rsidRPr="006A6890">
        <w:rPr>
          <w:rFonts w:asciiTheme="minorHAnsi" w:hAnsiTheme="minorHAnsi"/>
        </w:rPr>
        <w:t>SL</w:t>
      </w:r>
      <w:proofErr w:type="spellEnd"/>
      <w:r w:rsidR="007A7FF5" w:rsidRPr="006A6890">
        <w:rPr>
          <w:rFonts w:asciiTheme="minorHAnsi" w:hAnsiTheme="minorHAnsi"/>
        </w:rPr>
        <w:t xml:space="preserve">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A PD-</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korrelációjának a projekt hitelképességével összefüggő PD és a projektingatlan értékével </w:t>
      </w:r>
      <w:r w:rsidR="0064349E" w:rsidRPr="006A6890">
        <w:rPr>
          <w:rFonts w:asciiTheme="minorHAnsi" w:hAnsiTheme="minorHAnsi"/>
          <w:lang w:val="hu-HU"/>
        </w:rPr>
        <w:t>ös</w:t>
      </w:r>
      <w:r w:rsidRPr="006A6890">
        <w:rPr>
          <w:rFonts w:asciiTheme="minorHAnsi" w:hAnsiTheme="minorHAnsi"/>
          <w:lang w:val="hu-HU"/>
        </w:rPr>
        <w:t xml:space="preserve">szefüggő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projekt ingatlan értékének, jövedelemtermelő képességének ciklusokkal szembeni érzékenységével összefüggésben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downturn értékének meghatározása.</w:t>
      </w:r>
    </w:p>
    <w:p w14:paraId="342D435D" w14:textId="2E28634B"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 xml:space="preserve">ingatlanok értéke rendkívül </w:t>
      </w:r>
      <w:proofErr w:type="spellStart"/>
      <w:r w:rsidRPr="006A6890">
        <w:rPr>
          <w:rFonts w:asciiTheme="minorHAnsi" w:hAnsiTheme="minorHAnsi"/>
        </w:rPr>
        <w:t>volatilis</w:t>
      </w:r>
      <w:proofErr w:type="spellEnd"/>
      <w:r w:rsidRPr="006A6890">
        <w:rPr>
          <w:rFonts w:asciiTheme="minorHAnsi" w:hAnsiTheme="minorHAnsi"/>
        </w:rPr>
        <w:t xml:space="preserve">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w:t>
      </w:r>
      <w:proofErr w:type="spellStart"/>
      <w:r w:rsidRPr="006A6890">
        <w:rPr>
          <w:rFonts w:asciiTheme="minorHAnsi" w:hAnsiTheme="minorHAnsi"/>
        </w:rPr>
        <w:t>LTV-ből</w:t>
      </w:r>
      <w:proofErr w:type="spellEnd"/>
      <w:r w:rsidRPr="006A6890">
        <w:rPr>
          <w:rFonts w:asciiTheme="minorHAnsi" w:hAnsiTheme="minorHAnsi"/>
        </w:rPr>
        <w:t xml:space="preserve">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PD és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együttmozgását</w:t>
      </w:r>
      <w:proofErr w:type="spellEnd"/>
      <w:r w:rsidRPr="006A6890">
        <w:rPr>
          <w:rFonts w:asciiTheme="minorHAnsi" w:hAnsiTheme="minorHAnsi"/>
        </w:rPr>
        <w:t xml:space="preserve">,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w:t>
      </w:r>
      <w:proofErr w:type="spellStart"/>
      <w:r w:rsidRPr="006A6890">
        <w:rPr>
          <w:rFonts w:asciiTheme="minorHAnsi" w:hAnsiTheme="minorHAnsi"/>
        </w:rPr>
        <w:t>prociklikusságát</w:t>
      </w:r>
      <w:proofErr w:type="spellEnd"/>
      <w:r w:rsidRPr="006A6890">
        <w:rPr>
          <w:rFonts w:asciiTheme="minorHAnsi" w:hAnsiTheme="minorHAnsi"/>
        </w:rPr>
        <w:t xml:space="preserve"> is, azaz a downturn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w:t>
      </w:r>
      <w:r w:rsidRPr="006A6890">
        <w:rPr>
          <w:rFonts w:asciiTheme="minorHAnsi" w:hAnsiTheme="minorHAnsi"/>
        </w:rPr>
        <w:lastRenderedPageBreak/>
        <w:t xml:space="preserve">paraméterek mellett továbbá a tőkekövetelmény a jó években alul-, rossz években </w:t>
      </w:r>
      <w:proofErr w:type="spellStart"/>
      <w:r w:rsidRPr="006A6890">
        <w:rPr>
          <w:rFonts w:asciiTheme="minorHAnsi" w:hAnsiTheme="minorHAnsi"/>
        </w:rPr>
        <w:t>túlbecsült</w:t>
      </w:r>
      <w:proofErr w:type="spellEnd"/>
      <w:r w:rsidRPr="006A6890">
        <w:rPr>
          <w:rFonts w:asciiTheme="minorHAnsi" w:hAnsiTheme="minorHAnsi"/>
        </w:rPr>
        <w:t xml:space="preserve"> lehet. A felügyelet célja, hogy a tőkekövetelmény lehetőleg ciklustól független legyen, melyre a kereskedelmi ingatlanportfólió kockázatainak értékelése és mérése során is tekintettel kell lenni. A ciklikusság </w:t>
      </w:r>
      <w:r w:rsidR="00771A9E" w:rsidRPr="006A6890">
        <w:rPr>
          <w:rFonts w:asciiTheme="minorHAnsi" w:hAnsiTheme="minorHAnsi"/>
        </w:rPr>
        <w:t xml:space="preserve">a PD fejezetben ismertetett </w:t>
      </w:r>
      <w:proofErr w:type="spellStart"/>
      <w:r w:rsidR="00771A9E" w:rsidRPr="006A6890">
        <w:rPr>
          <w:rFonts w:asciiTheme="minorHAnsi" w:hAnsiTheme="minorHAnsi"/>
        </w:rPr>
        <w:t>TTC</w:t>
      </w:r>
      <w:proofErr w:type="spellEnd"/>
      <w:r w:rsidR="00771A9E" w:rsidRPr="006A6890">
        <w:rPr>
          <w:rFonts w:asciiTheme="minorHAnsi" w:hAnsiTheme="minorHAnsi"/>
        </w:rPr>
        <w:t xml:space="preserve"> koncepció alapján </w:t>
      </w:r>
      <w:r w:rsidRPr="006A6890">
        <w:rPr>
          <w:rFonts w:asciiTheme="minorHAnsi" w:hAnsiTheme="minorHAnsi"/>
        </w:rPr>
        <w:t>kezelendő</w:t>
      </w:r>
      <w:r w:rsidR="006E0409" w:rsidRPr="006A6890">
        <w:rPr>
          <w:rFonts w:asciiTheme="minorHAnsi" w:hAnsiTheme="minorHAnsi"/>
        </w:rPr>
        <w:footnoteReference w:id="47"/>
      </w:r>
      <w:r w:rsidRPr="006A6890">
        <w:rPr>
          <w:rFonts w:asciiTheme="minorHAnsi" w:hAnsiTheme="minorHAnsi"/>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 xml:space="preserve">Abban az esetben, ha az intézmények az alacsony darabszám miatt nem képesek megbízhatóan PD és </w:t>
      </w:r>
      <w:proofErr w:type="spellStart"/>
      <w:r w:rsidRPr="006A6890">
        <w:rPr>
          <w:rFonts w:asciiTheme="minorHAnsi" w:hAnsiTheme="minorHAnsi"/>
        </w:rPr>
        <w:t>LGD</w:t>
      </w:r>
      <w:proofErr w:type="spellEnd"/>
      <w:r w:rsidRPr="006A6890">
        <w:rPr>
          <w:rFonts w:asciiTheme="minorHAnsi" w:hAnsiTheme="minorHAnsi"/>
        </w:rPr>
        <w:t xml:space="preserve"> paramétereket becsülni, akkor az MNB a speciális hitelezési ügyletekre kialakított, a hitelminőséget egyszerű súlyozással figyelembe vevő </w:t>
      </w:r>
      <w:proofErr w:type="spellStart"/>
      <w:r w:rsidRPr="006A6890">
        <w:rPr>
          <w:rFonts w:asciiTheme="minorHAnsi" w:hAnsiTheme="minorHAnsi"/>
        </w:rPr>
        <w:t>slotting</w:t>
      </w:r>
      <w:proofErr w:type="spellEnd"/>
      <w:r w:rsidRPr="006A6890">
        <w:rPr>
          <w:rFonts w:asciiTheme="minorHAnsi" w:hAnsiTheme="minorHAnsi"/>
        </w:rPr>
        <w:t>-módszert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r w:rsidR="004B11F8" w:rsidRPr="006A6890">
        <w:rPr>
          <w:rFonts w:asciiTheme="minorHAnsi" w:hAnsiTheme="minorHAnsi"/>
        </w:rPr>
        <w:t xml:space="preserve">PD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w:t>
      </w:r>
      <w:proofErr w:type="spellStart"/>
      <w:r w:rsidR="005468DF" w:rsidRPr="006A6890">
        <w:rPr>
          <w:rFonts w:asciiTheme="minorHAnsi" w:hAnsiTheme="minorHAnsi"/>
        </w:rPr>
        <w:t>slotting</w:t>
      </w:r>
      <w:proofErr w:type="spellEnd"/>
      <w:r w:rsidR="005468DF" w:rsidRPr="006A6890">
        <w:rPr>
          <w:rFonts w:asciiTheme="minorHAnsi" w:hAnsiTheme="minorHAnsi"/>
        </w:rPr>
        <w:t xml:space="preserve">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 xml:space="preserve">z </w:t>
      </w:r>
      <w:proofErr w:type="spellStart"/>
      <w:r w:rsidR="00882D23" w:rsidRPr="006A6890">
        <w:rPr>
          <w:rFonts w:asciiTheme="minorHAnsi" w:hAnsiTheme="minorHAnsi"/>
        </w:rPr>
        <w:t>SL</w:t>
      </w:r>
      <w:proofErr w:type="spellEnd"/>
      <w:r w:rsidR="00882D23" w:rsidRPr="006A6890">
        <w:rPr>
          <w:rFonts w:asciiTheme="minorHAnsi" w:hAnsiTheme="minorHAnsi"/>
        </w:rPr>
        <w:t xml:space="preserve">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w:t>
      </w:r>
      <w:proofErr w:type="spellStart"/>
      <w:r w:rsidRPr="006A6890">
        <w:rPr>
          <w:rFonts w:asciiTheme="minorHAnsi" w:hAnsiTheme="minorHAnsi"/>
        </w:rPr>
        <w:t>LTV</w:t>
      </w:r>
      <w:proofErr w:type="spellEnd"/>
      <w:r w:rsidRPr="006A6890">
        <w:rPr>
          <w:rFonts w:asciiTheme="minorHAnsi" w:hAnsiTheme="minorHAnsi"/>
        </w:rPr>
        <w:t xml:space="preserve">, </w:t>
      </w:r>
      <w:proofErr w:type="spellStart"/>
      <w:r w:rsidRPr="006A6890">
        <w:rPr>
          <w:rFonts w:asciiTheme="minorHAnsi" w:hAnsiTheme="minorHAnsi"/>
        </w:rPr>
        <w:t>DSCR</w:t>
      </w:r>
      <w:proofErr w:type="spellEnd"/>
      <w:r w:rsidRPr="006A6890">
        <w:rPr>
          <w:rFonts w:asciiTheme="minorHAnsi" w:hAnsiTheme="minorHAnsi"/>
        </w:rPr>
        <w:t xml:space="preserve"> hosszú távú, ciklusfüggetlen értékelése, illetve a projekt-érték stressztűrő képességének alaposabb vizsgálata és 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w:t>
      </w:r>
      <w:proofErr w:type="spellStart"/>
      <w:r w:rsidR="00E45DBD" w:rsidRPr="006A6890">
        <w:rPr>
          <w:rFonts w:asciiTheme="minorHAnsi" w:hAnsiTheme="minorHAnsi"/>
        </w:rPr>
        <w:t>TTC</w:t>
      </w:r>
      <w:proofErr w:type="spellEnd"/>
      <w:r w:rsidR="00E45DBD" w:rsidRPr="006A6890">
        <w:rPr>
          <w:rFonts w:asciiTheme="minorHAnsi" w:hAnsiTheme="minorHAnsi"/>
        </w:rPr>
        <w:t xml:space="preserve">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w:t>
      </w:r>
      <w:proofErr w:type="spellStart"/>
      <w:r w:rsidR="000467EF" w:rsidRPr="006A6890">
        <w:rPr>
          <w:rFonts w:asciiTheme="minorHAnsi" w:hAnsiTheme="minorHAnsi"/>
        </w:rPr>
        <w:t>SL</w:t>
      </w:r>
      <w:proofErr w:type="spellEnd"/>
      <w:r w:rsidR="000467EF" w:rsidRPr="006A6890">
        <w:rPr>
          <w:rFonts w:asciiTheme="minorHAnsi" w:hAnsiTheme="minorHAnsi"/>
        </w:rPr>
        <w:t xml:space="preserve">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proofErr w:type="spellStart"/>
      <w:r w:rsidR="00C72260" w:rsidRPr="006A6890">
        <w:rPr>
          <w:rFonts w:asciiTheme="minorHAnsi" w:hAnsiTheme="minorHAnsi"/>
        </w:rPr>
        <w:t>SL</w:t>
      </w:r>
      <w:proofErr w:type="spellEnd"/>
      <w:r w:rsidR="00C72260" w:rsidRPr="006A6890">
        <w:rPr>
          <w:rFonts w:asciiTheme="minorHAnsi" w:hAnsiTheme="minorHAnsi"/>
        </w:rPr>
        <w:t xml:space="preserve"> </w:t>
      </w:r>
      <w:r w:rsidRPr="006A6890">
        <w:rPr>
          <w:rFonts w:asciiTheme="minorHAnsi" w:hAnsiTheme="minorHAnsi"/>
        </w:rPr>
        <w:t>kitettség legalább 12%-</w:t>
      </w:r>
      <w:r w:rsidRPr="006A6890">
        <w:rPr>
          <w:rFonts w:asciiTheme="minorHAnsi" w:hAnsiTheme="minorHAnsi"/>
        </w:rPr>
        <w:lastRenderedPageBreak/>
        <w:t>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sidRPr="006A6890">
        <w:rPr>
          <w:rFonts w:asciiTheme="minorHAnsi" w:hAnsiTheme="minorHAnsi"/>
        </w:rPr>
        <w:footnoteReference w:id="48"/>
      </w:r>
      <w:r w:rsidR="007550D9" w:rsidRPr="006A6890">
        <w:rPr>
          <w:rFonts w:asciiTheme="minorHAnsi" w:hAnsiTheme="minorHAnsi"/>
        </w:rPr>
        <w:t>.</w:t>
      </w:r>
    </w:p>
    <w:p w14:paraId="671AC7FA" w14:textId="2032A037" w:rsidR="004B11F8" w:rsidRPr="006A6890" w:rsidRDefault="006371F7" w:rsidP="009D65E3">
      <w:pPr>
        <w:rPr>
          <w:rFonts w:asciiTheme="minorHAnsi" w:hAnsiTheme="minorHAnsi"/>
        </w:rPr>
      </w:pPr>
      <w:bookmarkStart w:id="737" w:name="_Mérlegen_kívüli_tételek"/>
      <w:bookmarkStart w:id="738" w:name="_Toc378592172"/>
      <w:bookmarkStart w:id="739" w:name="_Toc461095212"/>
      <w:bookmarkStart w:id="740" w:name="_Toc461179868"/>
      <w:bookmarkStart w:id="741" w:name="_Toc461201311"/>
      <w:bookmarkStart w:id="742" w:name="_Toc461547954"/>
      <w:bookmarkStart w:id="743" w:name="_Toc462401992"/>
      <w:bookmarkStart w:id="744" w:name="_Toc462403113"/>
      <w:bookmarkStart w:id="745" w:name="_Toc462403437"/>
      <w:bookmarkStart w:id="746" w:name="_Toc468180556"/>
      <w:bookmarkStart w:id="747" w:name="_Toc468181065"/>
      <w:bookmarkEnd w:id="737"/>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77777777" w:rsidR="008A3CE7" w:rsidRPr="006A6890" w:rsidRDefault="008A3CE7" w:rsidP="008A3CE7">
      <w:pPr>
        <w:pStyle w:val="Heading4"/>
        <w:rPr>
          <w:rFonts w:asciiTheme="minorHAnsi" w:hAnsiTheme="minorHAnsi"/>
          <w:lang w:val="hu-HU"/>
        </w:rPr>
      </w:pPr>
      <w:bookmarkStart w:id="748" w:name="_Toc27138965"/>
      <w:r w:rsidRPr="006A6890">
        <w:rPr>
          <w:rFonts w:asciiTheme="minorHAnsi" w:hAnsiTheme="minorHAnsi"/>
          <w:lang w:val="hu-HU"/>
        </w:rPr>
        <w:t>Ingatlanfinanszírozási projekt tőkekövetelmény és várható veszteség – felügyleti benchmark</w:t>
      </w:r>
      <w:bookmarkEnd w:id="748"/>
    </w:p>
    <w:p w14:paraId="51392756" w14:textId="6C4FECE3" w:rsidR="008A3CE7" w:rsidRPr="006A6890" w:rsidRDefault="008A3CE7" w:rsidP="000A567A">
      <w:pPr>
        <w:rPr>
          <w:rFonts w:asciiTheme="minorHAnsi" w:hAnsiTheme="minorHAnsi"/>
        </w:rPr>
      </w:pPr>
      <w:r w:rsidRPr="006A6890">
        <w:rPr>
          <w:rFonts w:asciiTheme="minorHAnsi" w:hAnsiTheme="minorHAnsi"/>
        </w:rPr>
        <w:t xml:space="preserve">Az MNB a sztenderd tőkekövetelmény mértékét általában nem tartja megfelelőnek az </w:t>
      </w:r>
      <w:proofErr w:type="spellStart"/>
      <w:r w:rsidRPr="006A6890">
        <w:rPr>
          <w:rFonts w:asciiTheme="minorHAnsi" w:hAnsiTheme="minorHAnsi"/>
        </w:rPr>
        <w:t>inagtlanfinanszírozási</w:t>
      </w:r>
      <w:proofErr w:type="spellEnd"/>
      <w:r w:rsidRPr="006A6890">
        <w:rPr>
          <w:rFonts w:asciiTheme="minorHAnsi" w:hAnsiTheme="minorHAnsi"/>
        </w:rPr>
        <w:t xml:space="preserve"> projekt kockázatának megfelelő fedezésére. Emiatt az MNB a nagybankok PD/</w:t>
      </w:r>
      <w:proofErr w:type="spellStart"/>
      <w:r w:rsidRPr="006A6890">
        <w:rPr>
          <w:rFonts w:asciiTheme="minorHAnsi" w:hAnsiTheme="minorHAnsi"/>
        </w:rPr>
        <w:t>LGD</w:t>
      </w:r>
      <w:proofErr w:type="spellEnd"/>
      <w:r w:rsidRPr="006A6890">
        <w:rPr>
          <w:rFonts w:asciiTheme="minorHAnsi" w:hAnsiTheme="minorHAnsi"/>
        </w:rPr>
        <w:t xml:space="preserve"> alapú IRB tőkekövetelményei alapján kalibrált tőkekövetelmény- és várható veszteség-szintek segítségével állapítja meg a </w:t>
      </w:r>
      <w:proofErr w:type="spellStart"/>
      <w:r w:rsidRPr="006A6890">
        <w:rPr>
          <w:rFonts w:asciiTheme="minorHAnsi" w:hAnsiTheme="minorHAnsi"/>
        </w:rPr>
        <w:t>SREP</w:t>
      </w:r>
      <w:proofErr w:type="spellEnd"/>
      <w:r w:rsidRPr="006A6890">
        <w:rPr>
          <w:rFonts w:asciiTheme="minorHAnsi" w:hAnsiTheme="minorHAnsi"/>
        </w:rPr>
        <w:t xml:space="preserve"> tőkeszükségletet azon intézmények esetében, melyek nem rendelkeznek megbízható, kockázatérzékeny belső ICAAP számítással. A benchmark modell a projektingatlan-fedezettség – mint a legerősebb mutató, valamint a lokáció, a projekt készültség, illetve a projekt típusa (ipari/logisztikai, hotel, bevásárló/üzlet, lakásépítés, iroda, speciális/telek) alapján határozza meg a tőkekövetelmény- és várható veszteség szintjét. A modellben a fedezettséget az MNB a piaci érték háromszorosában maximalizálta, azaz e feletti fedezettség esetén már nem változik a szükséges tőkeszint. A tőkekövetelmény- és várható veszteség szinteket az MNB az esetleges állami garanciák és pénzügyi biztosítékok levonása után alkalmazza a projekt-kitettségekre. A kockázati súlyt eredményező benchmark modellt az MNB elsősorban kis, saját módszertannal és adatokkal nem rendelkező intézményeknél alkalmazza. </w:t>
      </w:r>
    </w:p>
    <w:p w14:paraId="66B15433" w14:textId="77777777" w:rsidR="003F29E3" w:rsidRPr="006A6890" w:rsidRDefault="003F29E3" w:rsidP="00181755">
      <w:pPr>
        <w:pStyle w:val="Heading4"/>
        <w:rPr>
          <w:rFonts w:asciiTheme="minorHAnsi" w:hAnsiTheme="minorHAnsi"/>
        </w:rPr>
      </w:pPr>
      <w:bookmarkStart w:id="749" w:name="_Toc468191451"/>
      <w:bookmarkStart w:id="750" w:name="_Toc27138966"/>
      <w:r w:rsidRPr="006A6890">
        <w:rPr>
          <w:rFonts w:asciiTheme="minorHAnsi" w:hAnsiTheme="minorHAnsi"/>
        </w:rPr>
        <w:t>Mérlegen kívüli tételek kezelése</w:t>
      </w:r>
      <w:bookmarkEnd w:id="738"/>
      <w:bookmarkEnd w:id="739"/>
      <w:bookmarkEnd w:id="740"/>
      <w:bookmarkEnd w:id="741"/>
      <w:bookmarkEnd w:id="742"/>
      <w:bookmarkEnd w:id="743"/>
      <w:bookmarkEnd w:id="744"/>
      <w:bookmarkEnd w:id="745"/>
      <w:bookmarkEnd w:id="746"/>
      <w:bookmarkEnd w:id="747"/>
      <w:bookmarkEnd w:id="749"/>
      <w:bookmarkEnd w:id="750"/>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proofErr w:type="spellStart"/>
      <w:r w:rsidR="00482794" w:rsidRPr="006A6890">
        <w:rPr>
          <w:rFonts w:asciiTheme="minorHAnsi" w:hAnsiTheme="minorHAnsi"/>
        </w:rPr>
        <w:t>hitelegyenértékesi</w:t>
      </w:r>
      <w:proofErr w:type="spellEnd"/>
      <w:r w:rsidR="00482794" w:rsidRPr="006A6890">
        <w:rPr>
          <w:rFonts w:asciiTheme="minorHAnsi" w:hAnsiTheme="minorHAnsi"/>
        </w:rPr>
        <w:t xml:space="preserve"> tényező (CCF)</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w:t>
      </w:r>
      <w:r w:rsidR="00482794" w:rsidRPr="006A6890">
        <w:rPr>
          <w:rFonts w:asciiTheme="minorHAnsi" w:hAnsiTheme="minorHAnsi"/>
        </w:rPr>
        <w:t>és az alacsony/közepes kockázatú, 20%-os CCF-fel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CCF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w:t>
      </w:r>
      <w:proofErr w:type="spellStart"/>
      <w:r w:rsidRPr="006A6890">
        <w:rPr>
          <w:rFonts w:asciiTheme="minorHAnsi" w:hAnsiTheme="minorHAnsi"/>
        </w:rPr>
        <w:t>treasury</w:t>
      </w:r>
      <w:proofErr w:type="spellEnd"/>
      <w:r w:rsidRPr="006A6890">
        <w:rPr>
          <w:rFonts w:asciiTheme="minorHAnsi" w:hAnsiTheme="minorHAnsi"/>
        </w:rPr>
        <w:t xml:space="preserve"> keretek. Ezen keretek </w:t>
      </w:r>
      <w:proofErr w:type="spellStart"/>
      <w:r w:rsidRPr="006A6890">
        <w:rPr>
          <w:rFonts w:asciiTheme="minorHAnsi" w:hAnsiTheme="minorHAnsi"/>
        </w:rPr>
        <w:t>defaultkori</w:t>
      </w:r>
      <w:proofErr w:type="spellEnd"/>
      <w:r w:rsidRPr="006A6890">
        <w:rPr>
          <w:rFonts w:asciiTheme="minorHAnsi" w:hAnsiTheme="minorHAnsi"/>
        </w:rPr>
        <w:t xml:space="preserve"> lehívásának valószínűsége </w:t>
      </w:r>
      <w:proofErr w:type="spellStart"/>
      <w:r w:rsidRPr="006A6890">
        <w:rPr>
          <w:rFonts w:asciiTheme="minorHAnsi" w:hAnsiTheme="minorHAnsi"/>
        </w:rPr>
        <w:t>statisztikailag</w:t>
      </w:r>
      <w:proofErr w:type="spellEnd"/>
      <w:r w:rsidRPr="006A6890">
        <w:rPr>
          <w:rFonts w:asciiTheme="minorHAnsi" w:hAnsiTheme="minorHAnsi"/>
        </w:rPr>
        <w:t xml:space="preserve"> </w:t>
      </w:r>
      <w:r w:rsidR="004C00DC" w:rsidRPr="006A6890">
        <w:rPr>
          <w:rFonts w:asciiTheme="minorHAnsi" w:hAnsiTheme="minorHAnsi"/>
        </w:rPr>
        <w:t>nehezen</w:t>
      </w:r>
      <w:r w:rsidRPr="006A6890">
        <w:rPr>
          <w:rFonts w:asciiTheme="minorHAnsi" w:hAnsiTheme="minorHAnsi"/>
        </w:rPr>
        <w:t xml:space="preserve"> mérhető, azonban az MNB úgy ítéli, hogy downturn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w:t>
      </w:r>
      <w:proofErr w:type="spellStart"/>
      <w:r w:rsidR="003D2FB0" w:rsidRPr="006A6890">
        <w:rPr>
          <w:rFonts w:asciiTheme="minorHAnsi" w:hAnsiTheme="minorHAnsi"/>
        </w:rPr>
        <w:t>defaultkori</w:t>
      </w:r>
      <w:proofErr w:type="spellEnd"/>
      <w:r w:rsidR="003D2FB0" w:rsidRPr="006A6890">
        <w:rPr>
          <w:rFonts w:asciiTheme="minorHAnsi" w:hAnsiTheme="minorHAnsi"/>
        </w:rPr>
        <w:t xml:space="preserve"> fázisa kardinális pont a mérlegen kívüli tételek </w:t>
      </w:r>
      <w:r w:rsidR="003D2FB0" w:rsidRPr="006A6890">
        <w:rPr>
          <w:rFonts w:asciiTheme="minorHAnsi" w:hAnsiTheme="minorHAnsi"/>
        </w:rPr>
        <w:lastRenderedPageBreak/>
        <w:t xml:space="preserve">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CCF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 xml:space="preserve">illetve </w:t>
      </w:r>
      <w:proofErr w:type="spellStart"/>
      <w:r w:rsidR="001C6CFF" w:rsidRPr="006A6890">
        <w:rPr>
          <w:rFonts w:asciiTheme="minorHAnsi" w:hAnsiTheme="minorHAnsi"/>
        </w:rPr>
        <w:t>d</w:t>
      </w:r>
      <w:r w:rsidR="004C00DC" w:rsidRPr="006A6890">
        <w:rPr>
          <w:rFonts w:asciiTheme="minorHAnsi" w:hAnsiTheme="minorHAnsi"/>
        </w:rPr>
        <w:t>efaultkori</w:t>
      </w:r>
      <w:proofErr w:type="spellEnd"/>
      <w:r w:rsidR="004C00DC" w:rsidRPr="006A6890">
        <w:rPr>
          <w:rFonts w:asciiTheme="minorHAnsi" w:hAnsiTheme="minorHAnsi"/>
        </w:rPr>
        <w:t xml:space="preserve">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CCF-</w:t>
      </w:r>
      <w:proofErr w:type="spellStart"/>
      <w:r w:rsidR="009F2D01" w:rsidRPr="006A6890">
        <w:rPr>
          <w:rFonts w:asciiTheme="minorHAnsi" w:hAnsiTheme="minorHAnsi"/>
        </w:rPr>
        <w:t>eket</w:t>
      </w:r>
      <w:proofErr w:type="spellEnd"/>
      <w:r w:rsidR="009F2D01" w:rsidRPr="006A6890">
        <w:rPr>
          <w:rFonts w:asciiTheme="minorHAnsi" w:hAnsiTheme="minorHAnsi"/>
        </w:rPr>
        <w:t xml:space="preserve"> alkalmazza,</w:t>
      </w:r>
      <w:r w:rsidR="005B1E83" w:rsidRPr="006A6890">
        <w:rPr>
          <w:rFonts w:asciiTheme="minorHAnsi" w:hAnsiTheme="minorHAnsi"/>
        </w:rPr>
        <w:t xml:space="preserve"> de legalább 50%-os CCF-et</w:t>
      </w:r>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CCF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downturn CCF-becslés kidolgozását. Ennek hiányában az MNB 100%-os CCF-et alkalmaz a </w:t>
      </w:r>
      <w:proofErr w:type="spellStart"/>
      <w:r w:rsidRPr="006A6890">
        <w:rPr>
          <w:rFonts w:asciiTheme="minorHAnsi" w:hAnsiTheme="minorHAnsi"/>
        </w:rPr>
        <w:t>SREP</w:t>
      </w:r>
      <w:proofErr w:type="spellEnd"/>
      <w:r w:rsidRPr="006A6890">
        <w:rPr>
          <w:rFonts w:asciiTheme="minorHAnsi" w:hAnsiTheme="minorHAnsi"/>
        </w:rPr>
        <w:t xml:space="preserve">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CCF-becsléshez kapcsolódó leggyakrabban alkalmazott becslési módszertanok (</w:t>
      </w:r>
      <w:proofErr w:type="spellStart"/>
      <w:r w:rsidRPr="006A6890">
        <w:rPr>
          <w:rFonts w:asciiTheme="minorHAnsi" w:hAnsiTheme="minorHAnsi"/>
        </w:rPr>
        <w:t>bootstrap</w:t>
      </w:r>
      <w:proofErr w:type="spellEnd"/>
      <w:r w:rsidRPr="006A6890">
        <w:rPr>
          <w:rFonts w:asciiTheme="minorHAnsi" w:hAnsiTheme="minorHAnsi"/>
        </w:rPr>
        <w:t xml:space="preserve">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Pr="006A6890" w:rsidRDefault="00537290"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CCF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 xml:space="preserve">Az intézményeknek a downturn becslés biztosítása érdekében kezelniük kell a CCF-becslésben felhasznált magyarázó változók ciklikus </w:t>
      </w:r>
      <w:proofErr w:type="spellStart"/>
      <w:r w:rsidR="00A562A9" w:rsidRPr="006A6890">
        <w:rPr>
          <w:rFonts w:asciiTheme="minorHAnsi" w:hAnsiTheme="minorHAnsi"/>
        </w:rPr>
        <w:t>viselkedésést</w:t>
      </w:r>
      <w:proofErr w:type="spellEnd"/>
      <w:r w:rsidR="00A562A9" w:rsidRPr="006A6890">
        <w:rPr>
          <w:rFonts w:asciiTheme="minorHAnsi" w:hAnsiTheme="minorHAnsi"/>
        </w:rPr>
        <w:t>. Speciálisan, hogyha a keretkihasználtság a default-rátával együtt mozog, akkor a kockázatok a keretkihasználtsági szintek közötti migrációban is megjelennek, melyet a downturn CCF-becslésnél le kell fedni úgy, hogy a CCF-</w:t>
      </w:r>
      <w:proofErr w:type="spellStart"/>
      <w:r w:rsidR="00A562A9" w:rsidRPr="006A6890">
        <w:rPr>
          <w:rFonts w:asciiTheme="minorHAnsi" w:hAnsiTheme="minorHAnsi"/>
        </w:rPr>
        <w:t>ekkel</w:t>
      </w:r>
      <w:proofErr w:type="spellEnd"/>
      <w:r w:rsidR="00A562A9" w:rsidRPr="006A6890">
        <w:rPr>
          <w:rFonts w:asciiTheme="minorHAnsi" w:hAnsiTheme="minorHAnsi"/>
        </w:rPr>
        <w:t xml:space="preserve"> becsült </w:t>
      </w:r>
      <w:proofErr w:type="spellStart"/>
      <w:r w:rsidR="00A562A9" w:rsidRPr="006A6890">
        <w:rPr>
          <w:rFonts w:asciiTheme="minorHAnsi" w:hAnsiTheme="minorHAnsi"/>
        </w:rPr>
        <w:t>defaultkori</w:t>
      </w:r>
      <w:proofErr w:type="spellEnd"/>
      <w:r w:rsidR="00A562A9" w:rsidRPr="006A6890">
        <w:rPr>
          <w:rFonts w:asciiTheme="minorHAnsi" w:hAnsiTheme="minorHAnsi"/>
        </w:rPr>
        <w:t xml:space="preserve"> kitettségek a downturn időszakban megfigyelt megnövekedett </w:t>
      </w:r>
      <w:proofErr w:type="spellStart"/>
      <w:r w:rsidR="00A562A9" w:rsidRPr="006A6890">
        <w:rPr>
          <w:rFonts w:asciiTheme="minorHAnsi" w:hAnsiTheme="minorHAnsi"/>
        </w:rPr>
        <w:t>keretkihasználtságokat</w:t>
      </w:r>
      <w:proofErr w:type="spellEnd"/>
      <w:r w:rsidR="00A562A9" w:rsidRPr="006A6890">
        <w:rPr>
          <w:rFonts w:asciiTheme="minorHAnsi" w:hAnsiTheme="minorHAnsi"/>
        </w:rPr>
        <w:t xml:space="preserve">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w:t>
      </w:r>
      <w:proofErr w:type="spellStart"/>
      <w:r w:rsidRPr="006A6890">
        <w:rPr>
          <w:rFonts w:asciiTheme="minorHAnsi" w:hAnsiTheme="minorHAnsi"/>
        </w:rPr>
        <w:t>floor</w:t>
      </w:r>
      <w:proofErr w:type="spellEnd"/>
      <w:r w:rsidRPr="006A6890">
        <w:rPr>
          <w:rFonts w:asciiTheme="minorHAnsi" w:hAnsiTheme="minorHAnsi"/>
        </w:rPr>
        <w:t xml:space="preserve"> beállításával) ügylet szinten a becsült CCF-et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xml:space="preserve">. Az ügyletek elválasztására a felügyelt intézmény szakértőileg vagy </w:t>
      </w:r>
      <w:proofErr w:type="spellStart"/>
      <w:r w:rsidR="00CD4CD9" w:rsidRPr="006A6890">
        <w:rPr>
          <w:rFonts w:asciiTheme="minorHAnsi" w:hAnsiTheme="minorHAnsi"/>
        </w:rPr>
        <w:t>statisztikailag</w:t>
      </w:r>
      <w:proofErr w:type="spellEnd"/>
      <w:r w:rsidR="00CD4CD9" w:rsidRPr="006A6890">
        <w:rPr>
          <w:rFonts w:asciiTheme="minorHAnsi" w:hAnsiTheme="minorHAnsi"/>
        </w:rPr>
        <w:t xml:space="preserve"> 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Heading4"/>
        <w:rPr>
          <w:rFonts w:asciiTheme="minorHAnsi" w:hAnsiTheme="minorHAnsi"/>
        </w:rPr>
      </w:pPr>
      <w:bookmarkStart w:id="751" w:name="_Partnerkockázat"/>
      <w:bookmarkStart w:id="752" w:name="_Toc378592173"/>
      <w:bookmarkStart w:id="753" w:name="_Toc461095213"/>
      <w:bookmarkStart w:id="754" w:name="_Toc461179869"/>
      <w:bookmarkStart w:id="755" w:name="_Toc461201312"/>
      <w:bookmarkStart w:id="756" w:name="_Toc461547955"/>
      <w:bookmarkStart w:id="757" w:name="_Toc462401993"/>
      <w:bookmarkStart w:id="758" w:name="_Toc462403114"/>
      <w:bookmarkStart w:id="759" w:name="_Toc462403438"/>
      <w:bookmarkStart w:id="760" w:name="_Toc468180557"/>
      <w:bookmarkStart w:id="761" w:name="_Toc468181066"/>
      <w:bookmarkStart w:id="762" w:name="_Toc468191452"/>
      <w:bookmarkStart w:id="763" w:name="_Toc27138967"/>
      <w:bookmarkEnd w:id="751"/>
      <w:r w:rsidRPr="006A6890">
        <w:rPr>
          <w:rFonts w:asciiTheme="minorHAnsi" w:hAnsiTheme="minorHAnsi"/>
        </w:rPr>
        <w:lastRenderedPageBreak/>
        <w:t>Partnerkockázat</w:t>
      </w:r>
      <w:bookmarkEnd w:id="752"/>
      <w:bookmarkEnd w:id="753"/>
      <w:bookmarkEnd w:id="754"/>
      <w:bookmarkEnd w:id="755"/>
      <w:bookmarkEnd w:id="756"/>
      <w:bookmarkEnd w:id="757"/>
      <w:bookmarkEnd w:id="758"/>
      <w:bookmarkEnd w:id="759"/>
      <w:bookmarkEnd w:id="760"/>
      <w:bookmarkEnd w:id="761"/>
      <w:bookmarkEnd w:id="762"/>
      <w:bookmarkEnd w:id="763"/>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w:t>
      </w:r>
      <w:proofErr w:type="spellStart"/>
      <w:r w:rsidRPr="006A6890">
        <w:rPr>
          <w:rFonts w:asciiTheme="minorHAnsi" w:hAnsiTheme="minorHAnsi"/>
        </w:rPr>
        <w:t>repó</w:t>
      </w:r>
      <w:proofErr w:type="spellEnd"/>
      <w:r w:rsidRPr="006A6890">
        <w:rPr>
          <w:rFonts w:asciiTheme="minorHAnsi" w:hAnsiTheme="minorHAnsi"/>
        </w:rPr>
        <w:t xml:space="preserve">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w:t>
      </w:r>
      <w:proofErr w:type="spellStart"/>
      <w:r w:rsidRPr="006A6890">
        <w:rPr>
          <w:rFonts w:asciiTheme="minorHAnsi" w:hAnsiTheme="minorHAnsi"/>
        </w:rPr>
        <w:t>nettósításának</w:t>
      </w:r>
      <w:proofErr w:type="spellEnd"/>
      <w:r w:rsidRPr="006A6890">
        <w:rPr>
          <w:rFonts w:asciiTheme="minorHAnsi" w:hAnsiTheme="minorHAnsi"/>
        </w:rPr>
        <w:t xml:space="preserve">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w:t>
      </w:r>
      <w:proofErr w:type="spellStart"/>
      <w:r w:rsidRPr="006A6890">
        <w:rPr>
          <w:rFonts w:asciiTheme="minorHAnsi" w:hAnsiTheme="minorHAnsi"/>
        </w:rPr>
        <w:t>partnerkockázatilag</w:t>
      </w:r>
      <w:proofErr w:type="spellEnd"/>
      <w:r w:rsidRPr="006A6890">
        <w:rPr>
          <w:rFonts w:asciiTheme="minorHAnsi" w:hAnsiTheme="minorHAnsi"/>
        </w:rPr>
        <w:t xml:space="preserve">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 xml:space="preserve">sen </w:t>
      </w:r>
      <w:proofErr w:type="spellStart"/>
      <w:r w:rsidR="001F1376" w:rsidRPr="006A6890">
        <w:rPr>
          <w:rFonts w:asciiTheme="minorHAnsi" w:hAnsiTheme="minorHAnsi"/>
        </w:rPr>
        <w:t>monitoro</w:t>
      </w:r>
      <w:r w:rsidR="005230E4" w:rsidRPr="006A6890">
        <w:rPr>
          <w:rFonts w:asciiTheme="minorHAnsi" w:hAnsiTheme="minorHAnsi"/>
        </w:rPr>
        <w:t>z</w:t>
      </w:r>
      <w:r w:rsidRPr="006A6890">
        <w:rPr>
          <w:rFonts w:asciiTheme="minorHAnsi" w:hAnsiTheme="minorHAnsi"/>
        </w:rPr>
        <w:t>ni</w:t>
      </w:r>
      <w:proofErr w:type="spellEnd"/>
      <w:r w:rsidRPr="006A6890">
        <w:rPr>
          <w:rFonts w:asciiTheme="minorHAnsi" w:hAnsiTheme="minorHAnsi"/>
        </w:rPr>
        <w:t xml:space="preserve">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 xml:space="preserve">az ügyletek limitterhelésének konzervatív számítását, figyelembe véve az ügylet kockázatát és a partnerrel kötött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w:t>
      </w:r>
      <w:proofErr w:type="spellStart"/>
      <w:r w:rsidRPr="006A6890">
        <w:rPr>
          <w:rFonts w:asciiTheme="minorHAnsi" w:hAnsiTheme="minorHAnsi"/>
          <w:lang w:val="hu-HU"/>
        </w:rPr>
        <w:t>EMIR</w:t>
      </w:r>
      <w:proofErr w:type="spellEnd"/>
      <w:r w:rsidRPr="006A6890">
        <w:rPr>
          <w:rFonts w:asciiTheme="minorHAnsi" w:hAnsiTheme="minorHAnsi"/>
          <w:lang w:val="hu-HU"/>
        </w:rPr>
        <w:t xml:space="preserve">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proofErr w:type="spellStart"/>
      <w:r w:rsidRPr="006A6890">
        <w:rPr>
          <w:rFonts w:asciiTheme="minorHAnsi" w:hAnsiTheme="minorHAnsi"/>
        </w:rPr>
        <w:t>köss</w:t>
      </w:r>
      <w:r w:rsidR="008D1A1D" w:rsidRPr="006A6890">
        <w:rPr>
          <w:rFonts w:asciiTheme="minorHAnsi" w:hAnsiTheme="minorHAnsi"/>
          <w:lang w:val="hu-HU"/>
        </w:rPr>
        <w:t>e</w:t>
      </w:r>
      <w:r w:rsidRPr="006A6890">
        <w:rPr>
          <w:rFonts w:asciiTheme="minorHAnsi" w:hAnsiTheme="minorHAnsi"/>
        </w:rPr>
        <w:t>n</w:t>
      </w:r>
      <w:r w:rsidR="00964789" w:rsidRPr="006A6890">
        <w:rPr>
          <w:rFonts w:asciiTheme="minorHAnsi" w:hAnsiTheme="minorHAnsi"/>
          <w:lang w:val="hu-HU"/>
        </w:rPr>
        <w:t>ek</w:t>
      </w:r>
      <w:proofErr w:type="spellEnd"/>
      <w:r w:rsidRPr="006A6890">
        <w:rPr>
          <w:rFonts w:asciiTheme="minorHAnsi" w:hAnsiTheme="minorHAnsi"/>
        </w:rPr>
        <w:t xml:space="preserve"> </w:t>
      </w:r>
      <w:proofErr w:type="spellStart"/>
      <w:r w:rsidRPr="006A6890">
        <w:rPr>
          <w:rFonts w:asciiTheme="minorHAnsi" w:hAnsiTheme="minorHAnsi"/>
        </w:rPr>
        <w:t>nettósítási</w:t>
      </w:r>
      <w:proofErr w:type="spellEnd"/>
      <w:r w:rsidRPr="006A6890">
        <w:rPr>
          <w:rFonts w:asciiTheme="minorHAnsi" w:hAnsiTheme="minorHAnsi"/>
        </w:rPr>
        <w:t xml:space="preserve">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proofErr w:type="spellStart"/>
      <w:r w:rsidRPr="006A6890">
        <w:rPr>
          <w:rFonts w:asciiTheme="minorHAnsi" w:hAnsiTheme="minorHAnsi"/>
        </w:rPr>
        <w:t>n</w:t>
      </w:r>
      <w:r w:rsidR="00964789" w:rsidRPr="006A6890">
        <w:rPr>
          <w:rFonts w:asciiTheme="minorHAnsi" w:hAnsiTheme="minorHAnsi"/>
          <w:lang w:val="hu-HU"/>
        </w:rPr>
        <w:t>ak</w:t>
      </w:r>
      <w:proofErr w:type="spellEnd"/>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t>ICAAP felülvizsgálat</w:t>
      </w:r>
    </w:p>
    <w:p w14:paraId="726F6B6F" w14:textId="773E86BA" w:rsidR="001F1376" w:rsidRPr="006A6890" w:rsidRDefault="001F1376" w:rsidP="009D65E3">
      <w:pPr>
        <w:rPr>
          <w:rFonts w:asciiTheme="minorHAnsi" w:hAnsiTheme="minorHAnsi"/>
        </w:rPr>
      </w:pPr>
      <w:r w:rsidRPr="006A6890">
        <w:rPr>
          <w:rFonts w:asciiTheme="minorHAnsi" w:hAnsiTheme="minorHAnsi"/>
        </w:rPr>
        <w:t xml:space="preserve">A CRR előírásai szerint a partnerkockázat a hitelkockázatok alá tartozik, azonban a jellege miatt az MNB elvárja, hogy a kockázatkezelésért felelős szervezeti egység ismerje a termékek piaci kockázatait, valamint a pénz- és tőkepiacok </w:t>
      </w:r>
      <w:proofErr w:type="spellStart"/>
      <w:r w:rsidRPr="006A6890">
        <w:rPr>
          <w:rFonts w:asciiTheme="minorHAnsi" w:hAnsiTheme="minorHAnsi"/>
        </w:rPr>
        <w:t>infrastrukturáját</w:t>
      </w:r>
      <w:proofErr w:type="spellEnd"/>
      <w:r w:rsidRPr="006A6890">
        <w:rPr>
          <w:rFonts w:asciiTheme="minorHAnsi" w:hAnsiTheme="minorHAnsi"/>
        </w:rPr>
        <w:t>.</w:t>
      </w:r>
    </w:p>
    <w:p w14:paraId="44A1A5FE" w14:textId="2E673A3B" w:rsidR="000809DC" w:rsidRPr="006A6890" w:rsidRDefault="000809DC" w:rsidP="009D65E3">
      <w:pPr>
        <w:rPr>
          <w:rFonts w:asciiTheme="minorHAnsi" w:hAnsiTheme="minorHAnsi"/>
        </w:rPr>
      </w:pPr>
      <w:r w:rsidRPr="006A6890">
        <w:rPr>
          <w:rFonts w:asciiTheme="minorHAnsi" w:hAnsiTheme="minorHAnsi"/>
        </w:rPr>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lastRenderedPageBreak/>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 xml:space="preserve">A partnerkockázat kezeléséhez kötődő kapott és adott fedezeteket legalább napi gyakorisággal értékeljék az ügyfél vagy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w:t>
      </w:r>
      <w:proofErr w:type="spellStart"/>
      <w:r w:rsidRPr="006A6890">
        <w:rPr>
          <w:rFonts w:asciiTheme="minorHAnsi" w:hAnsiTheme="minorHAnsi"/>
          <w:lang w:val="hu-HU"/>
        </w:rPr>
        <w:t>MTM</w:t>
      </w:r>
      <w:proofErr w:type="spellEnd"/>
      <w:r w:rsidRPr="006A6890">
        <w:rPr>
          <w:rFonts w:asciiTheme="minorHAnsi" w:hAnsiTheme="minorHAnsi"/>
          <w:lang w:val="hu-HU"/>
        </w:rPr>
        <w:t xml:space="preserve">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1498C16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 xml:space="preserve">rossz irányú kockázattal terhelt ügyletet azonosít, akkor arra a tőkekövetelményt külön </w:t>
      </w:r>
      <w:proofErr w:type="spellStart"/>
      <w:r w:rsidR="00037775" w:rsidRPr="006A6890">
        <w:rPr>
          <w:rFonts w:asciiTheme="minorHAnsi" w:hAnsiTheme="minorHAnsi"/>
          <w:lang w:val="hu-HU"/>
        </w:rPr>
        <w:t>nettósítási</w:t>
      </w:r>
      <w:proofErr w:type="spellEnd"/>
      <w:r w:rsidR="00037775" w:rsidRPr="006A6890">
        <w:rPr>
          <w:rFonts w:asciiTheme="minorHAnsi" w:hAnsiTheme="minorHAnsi"/>
          <w:lang w:val="hu-HU"/>
        </w:rPr>
        <w:t xml:space="preserve"> halmazban kell számszerűsítenie, a CRR 273</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(8)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akkor is, ha a piaci árazás módszert alkalmazza. </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halmazban szerepelnek, ahol vannak nem kiírt opciós ügyletek, azaz potenciálisan pozitív </w:t>
      </w:r>
      <w:r w:rsidR="00086A86" w:rsidRPr="006A6890">
        <w:rPr>
          <w:rFonts w:asciiTheme="minorHAnsi" w:hAnsiTheme="minorHAnsi"/>
          <w:lang w:val="hu-HU"/>
        </w:rPr>
        <w:t xml:space="preserve">értékű ügyletek is, a 2013_666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FootnoteReference"/>
          <w:rFonts w:asciiTheme="minorHAnsi" w:hAnsiTheme="minorHAnsi"/>
          <w:lang w:val="hu-HU"/>
        </w:rPr>
        <w:footnoteReference w:id="49"/>
      </w:r>
      <w:r w:rsidR="00086A86" w:rsidRPr="006A6890">
        <w:rPr>
          <w:rFonts w:asciiTheme="minorHAnsi" w:hAnsiTheme="minorHAnsi"/>
          <w:lang w:val="hu-HU"/>
        </w:rPr>
        <w:t xml:space="preserve"> és a 2015_2195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FootnoteReference"/>
          <w:rFonts w:asciiTheme="minorHAnsi" w:hAnsiTheme="minorHAnsi"/>
          <w:lang w:val="hu-HU"/>
        </w:rPr>
        <w:footnoteReference w:id="50"/>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 xml:space="preserve">módszertana eltér, abban az esetben az intézménynek a dokumentációkban részletesen </w:t>
      </w:r>
      <w:proofErr w:type="spellStart"/>
      <w:r w:rsidRPr="006A6890">
        <w:rPr>
          <w:rFonts w:asciiTheme="minorHAnsi" w:hAnsiTheme="minorHAnsi"/>
          <w:lang w:val="hu-HU"/>
        </w:rPr>
        <w:t>ismeretnie</w:t>
      </w:r>
      <w:proofErr w:type="spellEnd"/>
      <w:r w:rsidRPr="006A6890">
        <w:rPr>
          <w:rFonts w:asciiTheme="minorHAnsi" w:hAnsiTheme="minorHAnsi"/>
          <w:lang w:val="hu-HU"/>
        </w:rPr>
        <w:t xml:space="preserv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 xml:space="preserve">let, illetve </w:t>
      </w:r>
      <w:proofErr w:type="spellStart"/>
      <w:r w:rsidR="00F33251" w:rsidRPr="006A6890">
        <w:rPr>
          <w:rFonts w:asciiTheme="minorHAnsi" w:hAnsiTheme="minorHAnsi"/>
          <w:lang w:val="hu-HU"/>
        </w:rPr>
        <w:t>nettósítási</w:t>
      </w:r>
      <w:proofErr w:type="spellEnd"/>
      <w:r w:rsidR="00F33251" w:rsidRPr="006A6890">
        <w:rPr>
          <w:rFonts w:asciiTheme="minorHAnsi" w:hAnsiTheme="minorHAnsi"/>
          <w:lang w:val="hu-HU"/>
        </w:rPr>
        <w:t xml:space="preserve">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641687C5" w14:textId="69A1E4F7" w:rsidR="00C169DA" w:rsidRPr="006A6890" w:rsidRDefault="00C169DA" w:rsidP="009D65E3">
      <w:pPr>
        <w:rPr>
          <w:rFonts w:asciiTheme="minorHAnsi" w:hAnsiTheme="minorHAnsi"/>
        </w:rPr>
      </w:pPr>
      <w:r w:rsidRPr="006A6890">
        <w:rPr>
          <w:rFonts w:asciiTheme="minorHAnsi" w:hAnsiTheme="minorHAnsi"/>
        </w:rPr>
        <w:t>Amennyiben az intézmény a</w:t>
      </w:r>
      <w:r w:rsidR="003E259C" w:rsidRPr="006A6890">
        <w:rPr>
          <w:rFonts w:asciiTheme="minorHAnsi" w:hAnsiTheme="minorHAnsi"/>
        </w:rPr>
        <w:t xml:space="preserve"> CRR 274. cikk szerinti</w:t>
      </w:r>
      <w:r w:rsidRPr="006A6890">
        <w:rPr>
          <w:rFonts w:asciiTheme="minorHAnsi" w:hAnsiTheme="minorHAnsi"/>
        </w:rPr>
        <w:t xml:space="preserve"> piaci árazás módszerét alkalmazza a partnerkockázati tőkekövetelmény számításához, akkor az</w:t>
      </w:r>
      <w:r w:rsidR="00655696" w:rsidRPr="006A6890">
        <w:rPr>
          <w:rFonts w:asciiTheme="minorHAnsi" w:hAnsiTheme="minorHAnsi"/>
        </w:rPr>
        <w:t xml:space="preserve"> 1. pilléres tőkekövetelmény-számításkor az</w:t>
      </w:r>
      <w:r w:rsidRPr="006A6890">
        <w:rPr>
          <w:rFonts w:asciiTheme="minorHAnsi" w:hAnsiTheme="minorHAnsi"/>
        </w:rPr>
        <w:t xml:space="preserve"> MNB elvárja:</w:t>
      </w:r>
    </w:p>
    <w:p w14:paraId="7EF898A7" w14:textId="1B5D55CE" w:rsidR="00C169DA" w:rsidRPr="006A6890" w:rsidRDefault="00C169DA" w:rsidP="00185637">
      <w:pPr>
        <w:pStyle w:val="felsorolsos"/>
        <w:rPr>
          <w:rFonts w:asciiTheme="minorHAnsi" w:hAnsiTheme="minorHAnsi"/>
        </w:rPr>
      </w:pPr>
      <w:r w:rsidRPr="006A6890">
        <w:rPr>
          <w:rFonts w:asciiTheme="minorHAnsi" w:hAnsiTheme="minorHAnsi"/>
        </w:rPr>
        <w:t xml:space="preserve">Mivel a partnerkockázatban </w:t>
      </w:r>
      <w:r w:rsidR="00086A86" w:rsidRPr="006A6890">
        <w:rPr>
          <w:rFonts w:asciiTheme="minorHAnsi" w:hAnsiTheme="minorHAnsi"/>
        </w:rPr>
        <w:t>érintett ügyletek tulajdonképpen két lábból állnak össze, ezért a</w:t>
      </w:r>
      <w:r w:rsidRPr="006A6890">
        <w:rPr>
          <w:rFonts w:asciiTheme="minorHAnsi" w:hAnsiTheme="minorHAnsi"/>
        </w:rPr>
        <w:t>z intézménynek az egyes terméktípusoknál konzisztens módszertant kell alkalmaznia a névérték meghatározására, ami arányos az inherens kockázattal a CRR 273</w:t>
      </w:r>
      <w:r w:rsidR="00992E62" w:rsidRPr="006A6890">
        <w:rPr>
          <w:rFonts w:asciiTheme="minorHAnsi" w:hAnsiTheme="minorHAnsi"/>
          <w:lang w:val="hu-HU"/>
        </w:rPr>
        <w:t xml:space="preserve">. cikk </w:t>
      </w:r>
      <w:r w:rsidRPr="006A6890">
        <w:rPr>
          <w:rFonts w:asciiTheme="minorHAnsi" w:hAnsiTheme="minorHAnsi"/>
        </w:rPr>
        <w:t xml:space="preserve">(8) </w:t>
      </w:r>
      <w:r w:rsidR="00992E62" w:rsidRPr="006A6890">
        <w:rPr>
          <w:rFonts w:asciiTheme="minorHAnsi" w:hAnsiTheme="minorHAnsi"/>
          <w:lang w:val="hu-HU"/>
        </w:rPr>
        <w:t xml:space="preserve">bekezdése </w:t>
      </w:r>
      <w:r w:rsidRPr="006A6890">
        <w:rPr>
          <w:rFonts w:asciiTheme="minorHAnsi" w:hAnsiTheme="minorHAnsi"/>
        </w:rPr>
        <w:t>alapján.</w:t>
      </w:r>
      <w:r w:rsidR="00B27B5D" w:rsidRPr="006A6890">
        <w:rPr>
          <w:rFonts w:asciiTheme="minorHAnsi" w:hAnsiTheme="minorHAnsi"/>
        </w:rPr>
        <w:t xml:space="preserve"> </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lastRenderedPageBreak/>
        <w:t xml:space="preserve">Az intézmények az opciós szerződések esetében nem használhatnak delta szorzót a névérték meghatározásához a </w:t>
      </w:r>
      <w:r w:rsidRPr="006A6890">
        <w:rPr>
          <w:rFonts w:asciiTheme="minorHAnsi" w:hAnsiTheme="minorHAnsi"/>
          <w:lang w:val="hu-HU"/>
        </w:rPr>
        <w:t xml:space="preserve">2014_907 sz. </w:t>
      </w:r>
      <w:proofErr w:type="spellStart"/>
      <w:r w:rsidRPr="006A6890">
        <w:rPr>
          <w:rFonts w:asciiTheme="minorHAnsi" w:hAnsiTheme="minorHAnsi"/>
          <w:lang w:val="hu-HU"/>
        </w:rPr>
        <w:t>EBA-Q</w:t>
      </w:r>
      <w:r w:rsidR="00992E62" w:rsidRPr="006A6890">
        <w:rPr>
          <w:rFonts w:asciiTheme="minorHAnsi" w:hAnsiTheme="minorHAnsi"/>
          <w:lang w:val="hu-HU"/>
        </w:rPr>
        <w:t>&amp;</w:t>
      </w:r>
      <w:r w:rsidRPr="006A6890">
        <w:rPr>
          <w:rFonts w:asciiTheme="minorHAnsi" w:hAnsiTheme="minorHAnsi"/>
          <w:lang w:val="hu-HU"/>
        </w:rPr>
        <w:t>A</w:t>
      </w:r>
      <w:proofErr w:type="spellEnd"/>
      <w:r w:rsidRPr="006A6890">
        <w:rPr>
          <w:rStyle w:val="FootnoteReference"/>
          <w:rFonts w:asciiTheme="minorHAnsi" w:hAnsiTheme="minorHAnsi"/>
          <w:lang w:val="hu-HU"/>
        </w:rPr>
        <w:footnoteReference w:id="51"/>
      </w:r>
      <w:r w:rsidRPr="006A6890">
        <w:rPr>
          <w:rFonts w:asciiTheme="minorHAnsi" w:hAnsiTheme="minorHAnsi"/>
          <w:lang w:val="hu-HU"/>
        </w:rPr>
        <w:t xml:space="preserve"> alapján</w:t>
      </w:r>
      <w:r w:rsidRPr="006A6890">
        <w:rPr>
          <w:rFonts w:asciiTheme="minorHAnsi" w:hAnsiTheme="minorHAnsi"/>
        </w:rPr>
        <w:t>.</w:t>
      </w:r>
    </w:p>
    <w:p w14:paraId="267B169E" w14:textId="56A3C8FE" w:rsidR="00AE40E7" w:rsidRPr="006A6890" w:rsidRDefault="008E64CC" w:rsidP="00185637">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 xml:space="preserve">hatóság által elismert </w:t>
      </w:r>
      <w:proofErr w:type="spellStart"/>
      <w:r w:rsidR="00AE40E7" w:rsidRPr="006A6890">
        <w:rPr>
          <w:rFonts w:asciiTheme="minorHAnsi" w:hAnsiTheme="minorHAnsi"/>
          <w:lang w:val="hu-HU"/>
        </w:rPr>
        <w:t>nettósítási</w:t>
      </w:r>
      <w:proofErr w:type="spellEnd"/>
      <w:r w:rsidR="00AE40E7" w:rsidRPr="006A6890">
        <w:rPr>
          <w:rFonts w:asciiTheme="minorHAnsi" w:hAnsiTheme="minorHAnsi"/>
          <w:lang w:val="hu-HU"/>
        </w:rPr>
        <w:t xml:space="preserve"> megállapodás esetében a </w:t>
      </w:r>
      <w:r w:rsidRPr="006A6890">
        <w:rPr>
          <w:rFonts w:asciiTheme="minorHAnsi" w:hAnsiTheme="minorHAnsi"/>
          <w:lang w:val="hu-HU"/>
        </w:rPr>
        <w:t xml:space="preserve">nettó pótlási költséget a következő képlet alapján kell meghatározni: </w:t>
      </w:r>
    </w:p>
    <w:p w14:paraId="029E943E" w14:textId="7883E507" w:rsidR="00AE40E7" w:rsidRPr="006A6890" w:rsidRDefault="008E64CC" w:rsidP="00185637">
      <w:pPr>
        <w:pStyle w:val="felsorolsos"/>
        <w:numPr>
          <w:ilvl w:val="0"/>
          <w:numId w:val="0"/>
        </w:numPr>
        <w:ind w:left="1788"/>
        <w:rPr>
          <w:rFonts w:asciiTheme="minorHAnsi" w:hAnsiTheme="minorHAnsi"/>
        </w:rPr>
      </w:pPr>
      <w:bookmarkStart w:id="764" w:name="_Hlk493845348"/>
      <w:r w:rsidRPr="006A6890">
        <w:rPr>
          <w:rFonts w:asciiTheme="minorHAnsi" w:hAnsiTheme="minorHAnsi"/>
          <w:lang w:val="hu-HU"/>
        </w:rPr>
        <w:t xml:space="preserve">Nettó pótlási költség = </w:t>
      </w:r>
      <w:r w:rsidR="00CF6112" w:rsidRPr="006A6890">
        <w:rPr>
          <w:rFonts w:asciiTheme="minorHAnsi" w:hAnsiTheme="minorHAnsi"/>
          <w:lang w:val="hu-HU"/>
        </w:rPr>
        <w:t xml:space="preserve">MAX(0; </w:t>
      </w:r>
      <w:r w:rsidRPr="006A6890">
        <w:rPr>
          <w:rFonts w:asciiTheme="minorHAnsi" w:hAnsiTheme="minorHAnsi"/>
          <w:lang w:val="hu-HU"/>
        </w:rPr>
        <w:t xml:space="preserve">Σ Pozitív értékű ügyletek </w:t>
      </w:r>
      <w:r w:rsidR="00CF6112" w:rsidRPr="006A6890">
        <w:rPr>
          <w:rFonts w:asciiTheme="minorHAnsi" w:hAnsiTheme="minorHAnsi"/>
          <w:lang w:val="hu-HU"/>
        </w:rPr>
        <w:t>–</w:t>
      </w:r>
      <w:r w:rsidRPr="006A6890">
        <w:rPr>
          <w:rFonts w:asciiTheme="minorHAnsi" w:hAnsiTheme="minorHAnsi"/>
          <w:lang w:val="hu-HU"/>
        </w:rPr>
        <w:t xml:space="preserve"> Σ Negatív értékű ügyletek + Σ </w:t>
      </w:r>
      <w:r w:rsidR="00D75FA6" w:rsidRPr="006A6890">
        <w:rPr>
          <w:rFonts w:asciiTheme="minorHAnsi" w:hAnsiTheme="minorHAnsi"/>
          <w:lang w:val="hu-HU"/>
        </w:rPr>
        <w:t>Adott</w:t>
      </w:r>
      <w:r w:rsidRPr="006A6890">
        <w:rPr>
          <w:rFonts w:asciiTheme="minorHAnsi" w:hAnsiTheme="minorHAnsi"/>
          <w:lang w:val="hu-HU"/>
        </w:rPr>
        <w:t xml:space="preserve"> fedezetek</w:t>
      </w:r>
      <w:r w:rsidR="00B73A02" w:rsidRPr="006A6890">
        <w:rPr>
          <w:rFonts w:asciiTheme="minorHAnsi" w:hAnsiTheme="minorHAnsi"/>
          <w:lang w:val="hu-HU"/>
        </w:rPr>
        <w:t xml:space="preserve"> </w:t>
      </w:r>
      <w:r w:rsidR="00CF6112" w:rsidRPr="006A6890">
        <w:rPr>
          <w:rFonts w:asciiTheme="minorHAnsi" w:hAnsiTheme="minorHAnsi"/>
          <w:lang w:val="hu-HU"/>
        </w:rPr>
        <w:t>–</w:t>
      </w:r>
      <w:r w:rsidRPr="006A6890">
        <w:rPr>
          <w:rFonts w:asciiTheme="minorHAnsi" w:hAnsiTheme="minorHAnsi"/>
          <w:lang w:val="hu-HU"/>
        </w:rPr>
        <w:t xml:space="preserve"> Σ </w:t>
      </w:r>
      <w:r w:rsidR="00D75FA6" w:rsidRPr="006A6890">
        <w:rPr>
          <w:rFonts w:asciiTheme="minorHAnsi" w:hAnsiTheme="minorHAnsi"/>
          <w:lang w:val="hu-HU"/>
        </w:rPr>
        <w:t>Kapott</w:t>
      </w:r>
      <w:r w:rsidRPr="006A6890">
        <w:rPr>
          <w:rFonts w:asciiTheme="minorHAnsi" w:hAnsiTheme="minorHAnsi"/>
          <w:lang w:val="hu-HU"/>
        </w:rPr>
        <w:t xml:space="preserve"> fedez</w:t>
      </w:r>
      <w:r w:rsidR="00CF6112" w:rsidRPr="006A6890">
        <w:rPr>
          <w:rFonts w:asciiTheme="minorHAnsi" w:hAnsiTheme="minorHAnsi"/>
          <w:lang w:val="hu-HU"/>
        </w:rPr>
        <w:t>etek)</w:t>
      </w:r>
    </w:p>
    <w:bookmarkEnd w:id="764"/>
    <w:p w14:paraId="7CF3BB61" w14:textId="7C173EB7" w:rsidR="00AE40E7" w:rsidRPr="006A6890" w:rsidRDefault="00AE40E7" w:rsidP="00185637">
      <w:pPr>
        <w:pStyle w:val="felsorolsos"/>
        <w:rPr>
          <w:rFonts w:asciiTheme="minorHAnsi" w:hAnsiTheme="minorHAnsi"/>
        </w:rPr>
      </w:pPr>
      <w:r w:rsidRPr="006A6890">
        <w:rPr>
          <w:rFonts w:asciiTheme="minorHAnsi" w:hAnsiTheme="minorHAnsi"/>
          <w:lang w:val="hu-HU"/>
        </w:rPr>
        <w:t>A nettó pótlási költ</w:t>
      </w:r>
      <w:r w:rsidR="00CF6112" w:rsidRPr="006A6890">
        <w:rPr>
          <w:rFonts w:asciiTheme="minorHAnsi" w:hAnsiTheme="minorHAnsi"/>
          <w:lang w:val="hu-HU"/>
        </w:rPr>
        <w:t>s</w:t>
      </w:r>
      <w:r w:rsidRPr="006A6890">
        <w:rPr>
          <w:rFonts w:asciiTheme="minorHAnsi" w:hAnsiTheme="minorHAnsi"/>
          <w:lang w:val="hu-HU"/>
        </w:rPr>
        <w:t>ég és a redukált potenciális jövőbeli kitettség összegével kapott kitettség</w:t>
      </w:r>
      <w:r w:rsidR="00CF6112" w:rsidRPr="006A6890">
        <w:rPr>
          <w:rFonts w:asciiTheme="minorHAnsi" w:hAnsiTheme="minorHAnsi"/>
          <w:lang w:val="hu-HU"/>
        </w:rPr>
        <w:t>érték</w:t>
      </w:r>
      <w:r w:rsidRPr="006A6890">
        <w:rPr>
          <w:rFonts w:asciiTheme="minorHAnsi" w:hAnsiTheme="minorHAnsi"/>
          <w:lang w:val="hu-HU"/>
        </w:rPr>
        <w:t xml:space="preserve"> csökkenthető a nettó pótlási költségben el nem ismert kapott fedezetek értékével.</w:t>
      </w:r>
    </w:p>
    <w:p w14:paraId="7483D6CA" w14:textId="6462A9DD" w:rsidR="003E259C" w:rsidRPr="006A6890" w:rsidRDefault="003E259C" w:rsidP="00185637">
      <w:pPr>
        <w:pStyle w:val="felsorolsos"/>
        <w:rPr>
          <w:rFonts w:asciiTheme="minorHAnsi" w:hAnsiTheme="minorHAnsi"/>
        </w:rPr>
      </w:pPr>
      <w:r w:rsidRPr="006A6890">
        <w:rPr>
          <w:rFonts w:asciiTheme="minorHAnsi" w:hAnsiTheme="minorHAnsi"/>
          <w:lang w:val="hu-HU"/>
        </w:rPr>
        <w:t xml:space="preserve">Ha a derivatívára nem vonatkozik hatóság által elismert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Pr="006A6890" w:rsidRDefault="00655696" w:rsidP="009D65E3">
      <w:pPr>
        <w:rPr>
          <w:rFonts w:asciiTheme="minorHAnsi" w:hAnsiTheme="minorHAnsi"/>
        </w:rPr>
      </w:pPr>
      <w:r w:rsidRPr="006A6890">
        <w:rPr>
          <w:rFonts w:asciiTheme="minorHAnsi" w:hAnsiTheme="minorHAnsi"/>
        </w:rPr>
        <w:t xml:space="preserve">A jellemzően alkalmazott CRR </w:t>
      </w:r>
      <w:r w:rsidR="003E259C" w:rsidRPr="006A6890">
        <w:rPr>
          <w:rFonts w:asciiTheme="minorHAnsi" w:hAnsiTheme="minorHAnsi"/>
        </w:rPr>
        <w:t>274. cikke</w:t>
      </w:r>
      <w:r w:rsidRPr="006A6890">
        <w:rPr>
          <w:rFonts w:asciiTheme="minorHAnsi" w:hAnsiTheme="minorHAnsi"/>
        </w:rPr>
        <w:t xml:space="preserve"> által leírt piaci árazás módszere számos hiányossággal rendelkezik, amelyet a </w:t>
      </w:r>
      <w:proofErr w:type="spellStart"/>
      <w:r w:rsidRPr="006A6890">
        <w:rPr>
          <w:rFonts w:asciiTheme="minorHAnsi" w:hAnsiTheme="minorHAnsi"/>
        </w:rPr>
        <w:t>BCBS</w:t>
      </w:r>
      <w:proofErr w:type="spellEnd"/>
      <w:r w:rsidRPr="006A6890">
        <w:rPr>
          <w:rFonts w:asciiTheme="minorHAnsi" w:hAnsiTheme="minorHAnsi"/>
        </w:rPr>
        <w:t xml:space="preserve"> 254 partnerkockázati konzultációs dokumentum</w:t>
      </w:r>
      <w:r w:rsidR="004A28F8" w:rsidRPr="006A6890">
        <w:rPr>
          <w:rStyle w:val="FootnoteReference"/>
          <w:rFonts w:asciiTheme="minorHAnsi" w:hAnsiTheme="minorHAnsi"/>
        </w:rPr>
        <w:footnoteReference w:id="52"/>
      </w:r>
      <w:r w:rsidRPr="006A6890">
        <w:rPr>
          <w:rFonts w:asciiTheme="minorHAnsi" w:hAnsiTheme="minorHAnsi"/>
        </w:rPr>
        <w:t xml:space="preserve"> 6. bekezdése is ismertet:</w:t>
      </w:r>
    </w:p>
    <w:p w14:paraId="27094DF1" w14:textId="024E4E35"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Nem tesz különbséget a </w:t>
      </w:r>
      <w:r w:rsidR="004A28F8" w:rsidRPr="006A6890">
        <w:rPr>
          <w:rFonts w:asciiTheme="minorHAnsi" w:hAnsiTheme="minorHAnsi"/>
          <w:lang w:val="hu-HU"/>
        </w:rPr>
        <w:t xml:space="preserve">változó </w:t>
      </w:r>
      <w:r w:rsidRPr="006A6890">
        <w:rPr>
          <w:rFonts w:asciiTheme="minorHAnsi" w:hAnsiTheme="minorHAnsi"/>
          <w:lang w:val="hu-HU"/>
        </w:rPr>
        <w:t>letéttel rendelkező, illetve nem rendelkező tranzakc</w:t>
      </w:r>
      <w:r w:rsidR="004A28F8" w:rsidRPr="006A6890">
        <w:rPr>
          <w:rFonts w:asciiTheme="minorHAnsi" w:hAnsiTheme="minorHAnsi"/>
          <w:lang w:val="hu-HU"/>
        </w:rPr>
        <w:t>i</w:t>
      </w:r>
      <w:r w:rsidRPr="006A6890">
        <w:rPr>
          <w:rFonts w:asciiTheme="minorHAnsi" w:hAnsiTheme="minorHAnsi"/>
          <w:lang w:val="hu-HU"/>
        </w:rPr>
        <w:t>ók között.</w:t>
      </w:r>
    </w:p>
    <w:p w14:paraId="06997DED" w14:textId="105C1ED7"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felügyelői szorzók nincsenek összhangban a stresszidőszakokban </w:t>
      </w:r>
      <w:r w:rsidR="00601153" w:rsidRPr="006A6890">
        <w:rPr>
          <w:rFonts w:asciiTheme="minorHAnsi" w:hAnsiTheme="minorHAnsi"/>
          <w:lang w:val="hu-HU"/>
        </w:rPr>
        <w:t>megfigyelt</w:t>
      </w:r>
      <w:r w:rsidRPr="006A6890">
        <w:rPr>
          <w:rFonts w:asciiTheme="minorHAnsi" w:hAnsiTheme="minorHAnsi"/>
          <w:lang w:val="hu-HU"/>
        </w:rPr>
        <w:t xml:space="preserve"> piaci volatilitásokkal.</w:t>
      </w:r>
    </w:p>
    <w:p w14:paraId="7D6DA1E1" w14:textId="2576471D"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fedezési és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előnyök a nettó-bruttó arányban túlságosan egyszer</w:t>
      </w:r>
      <w:r w:rsidR="004A28F8" w:rsidRPr="006A6890">
        <w:rPr>
          <w:rFonts w:asciiTheme="minorHAnsi" w:hAnsiTheme="minorHAnsi"/>
          <w:lang w:val="hu-HU"/>
        </w:rPr>
        <w:t>ű</w:t>
      </w:r>
      <w:r w:rsidRPr="006A6890">
        <w:rPr>
          <w:rFonts w:asciiTheme="minorHAnsi" w:hAnsiTheme="minorHAnsi"/>
          <w:lang w:val="hu-HU"/>
        </w:rPr>
        <w:t>en vannak kezelve, nem tükrözi a gazdaságilag értelmes kapcsolatokat a derivatív pozíciók között.</w:t>
      </w:r>
    </w:p>
    <w:p w14:paraId="098FE809" w14:textId="6C391E34" w:rsidR="007E2FC4" w:rsidRPr="006A6890" w:rsidRDefault="00655696" w:rsidP="009D65E3">
      <w:pPr>
        <w:rPr>
          <w:rFonts w:asciiTheme="minorHAnsi" w:hAnsiTheme="minorHAnsi"/>
        </w:rPr>
      </w:pPr>
      <w:r w:rsidRPr="006A6890">
        <w:rPr>
          <w:rFonts w:asciiTheme="minorHAnsi" w:hAnsiTheme="minorHAnsi"/>
        </w:rPr>
        <w:t xml:space="preserve">Mivel az MNB nem tekinti megfelelően kockázatérzékenynek ezt a módszert, ezért </w:t>
      </w:r>
      <w:r w:rsidR="007E2FC4" w:rsidRPr="006A6890">
        <w:rPr>
          <w:rFonts w:asciiTheme="minorHAnsi" w:hAnsiTheme="minorHAnsi"/>
        </w:rPr>
        <w:t xml:space="preserve">a 2. pilléres tőkekövetelmény-számításkor </w:t>
      </w:r>
      <w:r w:rsidRPr="006A6890">
        <w:rPr>
          <w:rFonts w:asciiTheme="minorHAnsi" w:hAnsiTheme="minorHAnsi"/>
        </w:rPr>
        <w:t>az MNB elvárja</w:t>
      </w:r>
      <w:r w:rsidR="005F5123" w:rsidRPr="006A6890">
        <w:rPr>
          <w:rFonts w:asciiTheme="minorHAnsi" w:hAnsiTheme="minorHAnsi"/>
        </w:rPr>
        <w:t xml:space="preserve"> a jelentős derivatív piaci aktivitással rendelkező bankoktól</w:t>
      </w:r>
      <w:r w:rsidRPr="006A6890">
        <w:rPr>
          <w:rFonts w:asciiTheme="minorHAnsi" w:hAnsiTheme="minorHAnsi"/>
        </w:rPr>
        <w:t>, hogy</w:t>
      </w:r>
      <w:r w:rsidR="007E2FC4" w:rsidRPr="006A6890">
        <w:rPr>
          <w:rFonts w:asciiTheme="minorHAnsi" w:hAnsiTheme="minorHAnsi"/>
        </w:rPr>
        <w:t>:</w:t>
      </w:r>
    </w:p>
    <w:p w14:paraId="509717CF" w14:textId="56A1CDF9" w:rsidR="00655696" w:rsidRPr="006A6890" w:rsidRDefault="007E2FC4" w:rsidP="00185637">
      <w:pPr>
        <w:pStyle w:val="felsorolsos"/>
        <w:rPr>
          <w:rFonts w:asciiTheme="minorHAnsi" w:hAnsiTheme="minorHAnsi"/>
        </w:rPr>
      </w:pPr>
      <w:r w:rsidRPr="006A6890">
        <w:rPr>
          <w:rFonts w:asciiTheme="minorHAnsi" w:hAnsiTheme="minorHAnsi"/>
          <w:lang w:val="hu-HU"/>
        </w:rPr>
        <w:t>A</w:t>
      </w:r>
      <w:r w:rsidR="005F5123" w:rsidRPr="006A6890">
        <w:rPr>
          <w:rFonts w:asciiTheme="minorHAnsi" w:hAnsiTheme="minorHAnsi"/>
          <w:lang w:val="hu-HU"/>
        </w:rPr>
        <w:t xml:space="preserve"> </w:t>
      </w:r>
      <w:r w:rsidR="00655696" w:rsidRPr="006A6890">
        <w:rPr>
          <w:rFonts w:asciiTheme="minorHAnsi" w:hAnsiTheme="minorHAnsi"/>
        </w:rPr>
        <w:t>2. pilléres tőke</w:t>
      </w:r>
      <w:r w:rsidR="00F812F4" w:rsidRPr="006A6890">
        <w:rPr>
          <w:rFonts w:asciiTheme="minorHAnsi" w:hAnsiTheme="minorHAnsi"/>
          <w:lang w:val="hu-HU"/>
        </w:rPr>
        <w:t>követelmény-</w:t>
      </w:r>
      <w:r w:rsidR="00655696" w:rsidRPr="006A6890">
        <w:rPr>
          <w:rFonts w:asciiTheme="minorHAnsi" w:hAnsiTheme="minorHAnsi"/>
        </w:rPr>
        <w:t>számításukban alkalmazzanak a CRR piaci árazás módszerénél részletesebb és kockázatérzékenyebb szorzókat a potenciális jövőbeli kitettség meghatározásához, vagy fejlett módszereket, mint például a CRR 283-294</w:t>
      </w:r>
      <w:r w:rsidR="003E259C" w:rsidRPr="006A6890">
        <w:rPr>
          <w:rFonts w:asciiTheme="minorHAnsi" w:hAnsiTheme="minorHAnsi"/>
          <w:lang w:val="hu-HU"/>
        </w:rPr>
        <w:t>.</w:t>
      </w:r>
      <w:r w:rsidR="00655696" w:rsidRPr="006A6890">
        <w:rPr>
          <w:rFonts w:asciiTheme="minorHAnsi" w:hAnsiTheme="minorHAnsi"/>
        </w:rPr>
        <w:t xml:space="preserve"> cikkei által leírt belső modell módszer.</w:t>
      </w:r>
    </w:p>
    <w:p w14:paraId="4F117D2D" w14:textId="4232390D" w:rsidR="004A28F8" w:rsidRPr="006A6890" w:rsidRDefault="004A28F8" w:rsidP="00185637">
      <w:pPr>
        <w:pStyle w:val="felsorolsos"/>
        <w:rPr>
          <w:rFonts w:asciiTheme="minorHAnsi" w:hAnsiTheme="minorHAnsi"/>
        </w:rPr>
      </w:pPr>
      <w:r w:rsidRPr="006A6890">
        <w:rPr>
          <w:rFonts w:asciiTheme="minorHAnsi" w:hAnsiTheme="minorHAnsi"/>
          <w:lang w:val="hu-HU"/>
        </w:rPr>
        <w:t>Az alkalmazandó módszernek különbséget kell tennie a változó lettétel kezelt és nem kezelt tranzakciók potenciális jövőbeli kitettség kiszámításakor.</w:t>
      </w:r>
    </w:p>
    <w:p w14:paraId="73659E55" w14:textId="1AD36F21" w:rsidR="004A28F8" w:rsidRPr="006A6890" w:rsidRDefault="004A28F8" w:rsidP="00185637">
      <w:pPr>
        <w:pStyle w:val="felsorolsos"/>
        <w:rPr>
          <w:rFonts w:asciiTheme="minorHAnsi" w:hAnsiTheme="minorHAnsi"/>
        </w:rPr>
      </w:pPr>
      <w:r w:rsidRPr="006A6890">
        <w:rPr>
          <w:rFonts w:asciiTheme="minorHAnsi" w:hAnsiTheme="minorHAnsi"/>
          <w:lang w:val="hu-HU"/>
        </w:rPr>
        <w:t>A potenciális jövőbeli kitettség kiszámításakor</w:t>
      </w:r>
      <w:r w:rsidR="00162AF1" w:rsidRPr="006A6890">
        <w:rPr>
          <w:rFonts w:asciiTheme="minorHAnsi" w:hAnsiTheme="minorHAnsi"/>
          <w:lang w:val="hu-HU"/>
        </w:rPr>
        <w:t xml:space="preserve"> stressz-időszakra jellemző volatilitást kell figyelembe venni.</w:t>
      </w:r>
    </w:p>
    <w:p w14:paraId="3C5AF89D" w14:textId="613BFCA3" w:rsidR="00162AF1" w:rsidRPr="006A6890" w:rsidRDefault="00162AF1" w:rsidP="00185637">
      <w:pPr>
        <w:pStyle w:val="felsorolsos"/>
        <w:rPr>
          <w:rFonts w:asciiTheme="minorHAnsi" w:hAnsiTheme="minorHAnsi"/>
        </w:rPr>
      </w:pPr>
      <w:r w:rsidRPr="006A6890">
        <w:rPr>
          <w:rFonts w:asciiTheme="minorHAnsi" w:hAnsiTheme="minorHAnsi"/>
          <w:lang w:val="hu-HU"/>
        </w:rPr>
        <w:t xml:space="preserve">Az intézmények törekedjenek a </w:t>
      </w:r>
      <w:proofErr w:type="spellStart"/>
      <w:r w:rsidRPr="006A6890">
        <w:rPr>
          <w:rFonts w:asciiTheme="minorHAnsi" w:hAnsiTheme="minorHAnsi"/>
          <w:lang w:val="hu-HU"/>
        </w:rPr>
        <w:t>nettósítás</w:t>
      </w:r>
      <w:r w:rsidR="008E64CC" w:rsidRPr="006A6890">
        <w:rPr>
          <w:rFonts w:asciiTheme="minorHAnsi" w:hAnsiTheme="minorHAnsi"/>
          <w:lang w:val="hu-HU"/>
        </w:rPr>
        <w:t>i</w:t>
      </w:r>
      <w:proofErr w:type="spellEnd"/>
      <w:r w:rsidR="008E64CC" w:rsidRPr="006A6890">
        <w:rPr>
          <w:rFonts w:asciiTheme="minorHAnsi" w:hAnsiTheme="minorHAnsi"/>
          <w:lang w:val="hu-HU"/>
        </w:rPr>
        <w:t xml:space="preserve"> előnyök, valamint a kezdeti és változó letétek </w:t>
      </w:r>
      <w:r w:rsidR="003340FD" w:rsidRPr="006A6890">
        <w:rPr>
          <w:rFonts w:asciiTheme="minorHAnsi" w:hAnsiTheme="minorHAnsi"/>
          <w:lang w:val="hu-HU"/>
        </w:rPr>
        <w:t xml:space="preserve">a piaci árazás módszerében alkalmazottnál </w:t>
      </w:r>
      <w:r w:rsidRPr="006A6890">
        <w:rPr>
          <w:rFonts w:asciiTheme="minorHAnsi" w:hAnsiTheme="minorHAnsi"/>
          <w:lang w:val="hu-HU"/>
        </w:rPr>
        <w:t xml:space="preserve">realisztikusabb </w:t>
      </w:r>
      <w:r w:rsidR="003340FD" w:rsidRPr="006A6890">
        <w:rPr>
          <w:rFonts w:asciiTheme="minorHAnsi" w:hAnsiTheme="minorHAnsi"/>
          <w:lang w:val="hu-HU"/>
        </w:rPr>
        <w:t>modellezésére</w:t>
      </w:r>
      <w:r w:rsidRPr="006A6890">
        <w:rPr>
          <w:rFonts w:asciiTheme="minorHAnsi" w:hAnsiTheme="minorHAnsi"/>
          <w:lang w:val="hu-HU"/>
        </w:rPr>
        <w:t>.</w:t>
      </w:r>
    </w:p>
    <w:p w14:paraId="018CF1CC" w14:textId="374F5D39" w:rsidR="005F5123" w:rsidRPr="006A6890" w:rsidRDefault="005F5123" w:rsidP="00185637">
      <w:pPr>
        <w:pStyle w:val="felsorolsos"/>
        <w:rPr>
          <w:rFonts w:asciiTheme="minorHAnsi" w:hAnsiTheme="minorHAnsi"/>
        </w:rPr>
      </w:pPr>
      <w:r w:rsidRPr="006A6890">
        <w:rPr>
          <w:rFonts w:asciiTheme="minorHAnsi" w:hAnsiTheme="minorHAnsi"/>
          <w:lang w:val="hu-HU"/>
        </w:rPr>
        <w:t xml:space="preserve">Egzotikus </w:t>
      </w:r>
      <w:proofErr w:type="spellStart"/>
      <w:r w:rsidRPr="006A6890">
        <w:rPr>
          <w:rFonts w:asciiTheme="minorHAnsi" w:hAnsiTheme="minorHAnsi"/>
          <w:lang w:val="hu-HU"/>
        </w:rPr>
        <w:t>derivatívák</w:t>
      </w:r>
      <w:proofErr w:type="spellEnd"/>
      <w:r w:rsidRPr="006A6890">
        <w:rPr>
          <w:rFonts w:asciiTheme="minorHAnsi" w:hAnsiTheme="minorHAnsi"/>
          <w:lang w:val="hu-HU"/>
        </w:rPr>
        <w:t xml:space="preserve"> és alaptermékek esetében járjanak el konzervatív módon.</w:t>
      </w:r>
    </w:p>
    <w:p w14:paraId="4E81D337" w14:textId="77777777" w:rsidR="00D34A4C" w:rsidRPr="006A6890" w:rsidRDefault="00D34A4C" w:rsidP="00181755">
      <w:pPr>
        <w:pStyle w:val="Heading4"/>
        <w:rPr>
          <w:rFonts w:asciiTheme="minorHAnsi" w:hAnsiTheme="minorHAnsi"/>
        </w:rPr>
      </w:pPr>
      <w:bookmarkStart w:id="765" w:name="_Toc452540557"/>
      <w:bookmarkStart w:id="766" w:name="_Toc462401994"/>
      <w:bookmarkStart w:id="767" w:name="_Toc462403115"/>
      <w:bookmarkStart w:id="768" w:name="_Toc462403439"/>
      <w:bookmarkStart w:id="769" w:name="_Toc468180558"/>
      <w:bookmarkStart w:id="770" w:name="_Toc468181067"/>
      <w:bookmarkStart w:id="771" w:name="_Toc468191453"/>
      <w:bookmarkStart w:id="772" w:name="_Toc27138968"/>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partnerkockázata a befektetési vállalkozásoknál</w:t>
      </w:r>
      <w:bookmarkEnd w:id="765"/>
      <w:bookmarkEnd w:id="766"/>
      <w:bookmarkEnd w:id="767"/>
      <w:bookmarkEnd w:id="768"/>
      <w:bookmarkEnd w:id="769"/>
      <w:bookmarkEnd w:id="770"/>
      <w:bookmarkEnd w:id="771"/>
      <w:bookmarkEnd w:id="772"/>
    </w:p>
    <w:p w14:paraId="38A193F8" w14:textId="11C6C362" w:rsidR="00453A7E" w:rsidRPr="006A6890" w:rsidRDefault="00D34A4C" w:rsidP="009D65E3">
      <w:pPr>
        <w:rPr>
          <w:rFonts w:asciiTheme="minorHAnsi" w:hAnsiTheme="minorHAnsi"/>
        </w:rPr>
      </w:pPr>
      <w:r w:rsidRPr="006A6890">
        <w:rPr>
          <w:rFonts w:asciiTheme="minorHAnsi" w:hAnsiTheme="minorHAnsi"/>
        </w:rPr>
        <w:t xml:space="preserve">Az online kereskedési platformok White </w:t>
      </w:r>
      <w:proofErr w:type="spellStart"/>
      <w:r w:rsidRPr="006A6890">
        <w:rPr>
          <w:rFonts w:asciiTheme="minorHAnsi" w:hAnsiTheme="minorHAnsi"/>
        </w:rPr>
        <w:t>Label</w:t>
      </w:r>
      <w:proofErr w:type="spellEnd"/>
      <w:r w:rsidRPr="006A6890">
        <w:rPr>
          <w:rFonts w:asciiTheme="minorHAnsi" w:hAnsiTheme="minorHAnsi"/>
        </w:rPr>
        <w:t xml:space="preserve"> konstrukción keresztül történő működtetése olyan szolgáltatás, ahol a befektetési vállalkozás egy </w:t>
      </w:r>
      <w:proofErr w:type="spellStart"/>
      <w:r w:rsidRPr="006A6890">
        <w:rPr>
          <w:rFonts w:asciiTheme="minorHAnsi" w:hAnsiTheme="minorHAnsi"/>
        </w:rPr>
        <w:t>teljeskörűen</w:t>
      </w:r>
      <w:proofErr w:type="spellEnd"/>
      <w:r w:rsidRPr="006A6890">
        <w:rPr>
          <w:rFonts w:asciiTheme="minorHAnsi" w:hAnsiTheme="minorHAnsi"/>
        </w:rPr>
        <w:t xml:space="preserve">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w:t>
      </w:r>
      <w:r w:rsidRPr="006A6890">
        <w:rPr>
          <w:rFonts w:asciiTheme="minorHAnsi" w:hAnsiTheme="minorHAnsi"/>
        </w:rPr>
        <w:lastRenderedPageBreak/>
        <w:t xml:space="preserve">vezetésre is. White </w:t>
      </w:r>
      <w:proofErr w:type="spellStart"/>
      <w:r w:rsidRPr="006A6890">
        <w:rPr>
          <w:rFonts w:asciiTheme="minorHAnsi" w:hAnsiTheme="minorHAnsi"/>
        </w:rPr>
        <w:t>Label</w:t>
      </w:r>
      <w:proofErr w:type="spellEnd"/>
      <w:r w:rsidRPr="006A6890">
        <w:rPr>
          <w:rFonts w:asciiTheme="minorHAnsi" w:hAnsiTheme="minorHAnsi"/>
        </w:rPr>
        <w:t xml:space="preserve">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Heading4"/>
        <w:rPr>
          <w:rFonts w:asciiTheme="minorHAnsi" w:hAnsiTheme="minorHAnsi"/>
        </w:rPr>
      </w:pPr>
      <w:bookmarkStart w:id="773" w:name="_Toc461095214"/>
      <w:bookmarkStart w:id="774" w:name="_Toc461179870"/>
      <w:bookmarkStart w:id="775" w:name="_Toc461201313"/>
      <w:bookmarkStart w:id="776" w:name="_Toc461547956"/>
      <w:bookmarkStart w:id="777" w:name="_Toc462401995"/>
      <w:bookmarkStart w:id="778" w:name="_Toc462403116"/>
      <w:bookmarkStart w:id="779" w:name="_Toc462403440"/>
      <w:bookmarkStart w:id="780" w:name="_Toc468180559"/>
      <w:bookmarkStart w:id="781" w:name="_Toc468181068"/>
      <w:bookmarkStart w:id="782" w:name="_Toc468191454"/>
      <w:bookmarkStart w:id="783" w:name="_Toc27138969"/>
      <w:r w:rsidRPr="006A6890">
        <w:rPr>
          <w:rFonts w:asciiTheme="minorHAnsi" w:hAnsiTheme="minorHAnsi"/>
        </w:rPr>
        <w:t>Hitelértékelési korrekciós kockázat (</w:t>
      </w:r>
      <w:proofErr w:type="spellStart"/>
      <w:r w:rsidRPr="006A6890">
        <w:rPr>
          <w:rFonts w:asciiTheme="minorHAnsi" w:hAnsiTheme="minorHAnsi"/>
        </w:rPr>
        <w:t>CVA</w:t>
      </w:r>
      <w:proofErr w:type="spellEnd"/>
      <w:r w:rsidRPr="006A6890">
        <w:rPr>
          <w:rFonts w:asciiTheme="minorHAnsi" w:hAnsiTheme="minorHAnsi"/>
        </w:rPr>
        <w:t>)</w:t>
      </w:r>
      <w:bookmarkEnd w:id="773"/>
      <w:bookmarkEnd w:id="774"/>
      <w:bookmarkEnd w:id="775"/>
      <w:bookmarkEnd w:id="776"/>
      <w:bookmarkEnd w:id="777"/>
      <w:bookmarkEnd w:id="778"/>
      <w:bookmarkEnd w:id="779"/>
      <w:bookmarkEnd w:id="780"/>
      <w:bookmarkEnd w:id="781"/>
      <w:bookmarkEnd w:id="782"/>
      <w:bookmarkEnd w:id="783"/>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w:t>
      </w:r>
      <w:proofErr w:type="spellStart"/>
      <w:r w:rsidRPr="006A6890">
        <w:rPr>
          <w:rFonts w:asciiTheme="minorHAnsi" w:hAnsiTheme="minorHAnsi"/>
        </w:rPr>
        <w:t>CVA</w:t>
      </w:r>
      <w:proofErr w:type="spellEnd"/>
      <w:r w:rsidRPr="006A6890">
        <w:rPr>
          <w:rFonts w:asciiTheme="minorHAnsi" w:hAnsiTheme="minorHAnsi"/>
        </w:rPr>
        <w:t xml:space="preserve">-hoz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9D65E3">
        <w:footnoteReference w:id="53"/>
      </w:r>
      <w:r w:rsidR="00A011D0" w:rsidRPr="006A6890">
        <w:rPr>
          <w:rFonts w:asciiTheme="minorHAnsi" w:hAnsiTheme="minorHAnsi"/>
        </w:rPr>
        <w:t xml:space="preserve"> számszerűsített </w:t>
      </w:r>
      <w:proofErr w:type="spellStart"/>
      <w:r w:rsidR="00A011D0" w:rsidRPr="006A6890">
        <w:rPr>
          <w:rFonts w:asciiTheme="minorHAnsi" w:hAnsiTheme="minorHAnsi"/>
        </w:rPr>
        <w:t>CVA</w:t>
      </w:r>
      <w:proofErr w:type="spellEnd"/>
      <w:r w:rsidR="00A011D0" w:rsidRPr="006A6890">
        <w:rPr>
          <w:rFonts w:asciiTheme="minorHAnsi" w:hAnsiTheme="minorHAnsi"/>
        </w:rPr>
        <w:t>-hoz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w:t>
      </w:r>
      <w:proofErr w:type="spellStart"/>
      <w:r w:rsidR="00B91415" w:rsidRPr="006A6890">
        <w:rPr>
          <w:rFonts w:asciiTheme="minorHAnsi" w:hAnsiTheme="minorHAnsi"/>
        </w:rPr>
        <w:t>folyamatbeli</w:t>
      </w:r>
      <w:proofErr w:type="spellEnd"/>
      <w:r w:rsidR="00B91415" w:rsidRPr="006A6890">
        <w:rPr>
          <w:rFonts w:asciiTheme="minorHAnsi" w:hAnsiTheme="minorHAnsi"/>
        </w:rPr>
        <w:t xml:space="preserve">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CVA</w:t>
      </w:r>
      <w:proofErr w:type="spellEnd"/>
      <w:r w:rsidRPr="006A6890">
        <w:rPr>
          <w:rFonts w:asciiTheme="minorHAnsi" w:hAnsiTheme="minorHAnsi"/>
        </w:rPr>
        <w:t>-kockázati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 xml:space="preserve">endszeresen </w:t>
      </w:r>
      <w:proofErr w:type="spellStart"/>
      <w:r w:rsidR="00F33251" w:rsidRPr="006A6890">
        <w:rPr>
          <w:rFonts w:asciiTheme="minorHAnsi" w:hAnsiTheme="minorHAnsi"/>
          <w:lang w:val="hu-HU"/>
        </w:rPr>
        <w:t>monitoro</w:t>
      </w:r>
      <w:r w:rsidR="007B4C30" w:rsidRPr="006A6890">
        <w:rPr>
          <w:rFonts w:asciiTheme="minorHAnsi" w:hAnsiTheme="minorHAnsi"/>
          <w:lang w:val="hu-HU"/>
        </w:rPr>
        <w:t>zz</w:t>
      </w:r>
      <w:r w:rsidR="00B73A02" w:rsidRPr="006A6890">
        <w:rPr>
          <w:rFonts w:asciiTheme="minorHAnsi" w:hAnsiTheme="minorHAnsi"/>
          <w:lang w:val="hu-HU"/>
        </w:rPr>
        <w:t>ák</w:t>
      </w:r>
      <w:proofErr w:type="spellEnd"/>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 xml:space="preserve">mennyiben az intézmény 1. és 2. pilléres tőkekövetelmény-számítási módszertana eltér, abban az esetben az intézménynek a dokumentációkban részletesen </w:t>
      </w:r>
      <w:proofErr w:type="spellStart"/>
      <w:r w:rsidR="00F33251" w:rsidRPr="006A6890">
        <w:rPr>
          <w:rFonts w:asciiTheme="minorHAnsi" w:hAnsiTheme="minorHAnsi"/>
          <w:lang w:val="hu-HU"/>
        </w:rPr>
        <w:t>ismeretnie</w:t>
      </w:r>
      <w:proofErr w:type="spellEnd"/>
      <w:r w:rsidR="00F33251" w:rsidRPr="006A6890">
        <w:rPr>
          <w:rFonts w:asciiTheme="minorHAnsi" w:hAnsiTheme="minorHAnsi"/>
          <w:lang w:val="hu-HU"/>
        </w:rPr>
        <w:t xml:space="preserv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Heading4"/>
        <w:rPr>
          <w:rFonts w:asciiTheme="minorHAnsi" w:hAnsiTheme="minorHAnsi"/>
        </w:rPr>
      </w:pPr>
      <w:bookmarkStart w:id="784" w:name="_Toc461095215"/>
      <w:bookmarkStart w:id="785" w:name="_Toc461179871"/>
      <w:bookmarkStart w:id="786" w:name="_Toc461201314"/>
      <w:bookmarkStart w:id="787" w:name="_Toc461547957"/>
      <w:bookmarkStart w:id="788" w:name="_Toc462401996"/>
      <w:bookmarkStart w:id="789" w:name="_Toc462403117"/>
      <w:bookmarkStart w:id="790" w:name="_Toc462403441"/>
      <w:bookmarkStart w:id="791" w:name="_Toc468180560"/>
      <w:bookmarkStart w:id="792" w:name="_Toc468181069"/>
      <w:bookmarkStart w:id="793" w:name="_Toc468191455"/>
      <w:bookmarkStart w:id="794" w:name="_Toc27138970"/>
      <w:r w:rsidRPr="006A6890">
        <w:rPr>
          <w:rFonts w:asciiTheme="minorHAnsi" w:hAnsiTheme="minorHAnsi"/>
        </w:rPr>
        <w:t>Devizahitelezés kockázata</w:t>
      </w:r>
      <w:bookmarkEnd w:id="784"/>
      <w:bookmarkEnd w:id="785"/>
      <w:bookmarkEnd w:id="786"/>
      <w:bookmarkEnd w:id="787"/>
      <w:bookmarkEnd w:id="788"/>
      <w:bookmarkEnd w:id="789"/>
      <w:bookmarkEnd w:id="790"/>
      <w:bookmarkEnd w:id="791"/>
      <w:bookmarkEnd w:id="792"/>
      <w:bookmarkEnd w:id="793"/>
      <w:bookmarkEnd w:id="794"/>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FootnoteReference"/>
          <w:rFonts w:asciiTheme="minorHAnsi" w:hAnsiTheme="minorHAnsi"/>
        </w:rPr>
        <w:footnoteReference w:id="54"/>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w:t>
      </w:r>
      <w:proofErr w:type="spellStart"/>
      <w:r w:rsidR="006222C9" w:rsidRPr="006A6890">
        <w:rPr>
          <w:rFonts w:asciiTheme="minorHAnsi" w:hAnsiTheme="minorHAnsi"/>
        </w:rPr>
        <w:t>materialitását</w:t>
      </w:r>
      <w:proofErr w:type="spellEnd"/>
      <w:r w:rsidRPr="006A6890">
        <w:rPr>
          <w:rFonts w:asciiTheme="minorHAnsi" w:hAnsiTheme="minorHAnsi"/>
        </w:rPr>
        <w:t xml:space="preserve">.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w:t>
      </w:r>
      <w:proofErr w:type="spellStart"/>
      <w:r w:rsidRPr="006A6890">
        <w:rPr>
          <w:rFonts w:asciiTheme="minorHAnsi" w:hAnsiTheme="minorHAnsi"/>
        </w:rPr>
        <w:t>esetenként</w:t>
      </w:r>
      <w:proofErr w:type="spellEnd"/>
      <w:r w:rsidRPr="006A6890">
        <w:rPr>
          <w:rFonts w:asciiTheme="minorHAnsi" w:hAnsiTheme="minorHAnsi"/>
        </w:rPr>
        <w:t xml:space="preserve"> jelentősen befolyásolva az intézmény teljes kockázati profilját. A devizában történő hitelezés magasabb </w:t>
      </w:r>
      <w:proofErr w:type="spellStart"/>
      <w:r w:rsidRPr="006A6890">
        <w:rPr>
          <w:rFonts w:asciiTheme="minorHAnsi" w:hAnsiTheme="minorHAnsi"/>
        </w:rPr>
        <w:t>reziduális</w:t>
      </w:r>
      <w:proofErr w:type="spellEnd"/>
      <w:r w:rsidRPr="006A6890">
        <w:rPr>
          <w:rFonts w:asciiTheme="minorHAnsi" w:hAnsiTheme="minorHAnsi"/>
        </w:rPr>
        <w:t xml:space="preserve"> </w:t>
      </w:r>
      <w:r w:rsidRPr="006A6890">
        <w:rPr>
          <w:rFonts w:asciiTheme="minorHAnsi" w:hAnsiTheme="minorHAnsi"/>
        </w:rPr>
        <w:lastRenderedPageBreak/>
        <w:t>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 xml:space="preserve">a kockázat azonosítási és monitorozási, </w:t>
      </w:r>
      <w:proofErr w:type="spellStart"/>
      <w:r w:rsidRPr="006A6890">
        <w:rPr>
          <w:rFonts w:asciiTheme="minorHAnsi" w:hAnsiTheme="minorHAnsi"/>
        </w:rPr>
        <w:t>riportolási</w:t>
      </w:r>
      <w:proofErr w:type="spellEnd"/>
      <w:r w:rsidRPr="006A6890">
        <w:rPr>
          <w:rFonts w:asciiTheme="minorHAnsi" w:hAnsiTheme="minorHAnsi"/>
        </w:rPr>
        <w:t xml:space="preserve">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monitoringozás</w:t>
      </w:r>
      <w:proofErr w:type="spellEnd"/>
      <w:r w:rsidRPr="006A6890">
        <w:rPr>
          <w:rFonts w:asciiTheme="minorHAnsi" w:hAnsiTheme="minorHAnsi"/>
        </w:rPr>
        <w:t xml:space="preserve">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prudens kezelésére vonatkozó szabályokat </w:t>
      </w:r>
      <w:r w:rsidR="00A10DCA" w:rsidRPr="006A6890">
        <w:rPr>
          <w:rFonts w:asciiTheme="minorHAnsi" w:hAnsiTheme="minorHAnsi"/>
        </w:rPr>
        <w:t>(pl.: ma</w:t>
      </w:r>
      <w:r w:rsidR="00E67E1D" w:rsidRPr="006A6890">
        <w:rPr>
          <w:rFonts w:asciiTheme="minorHAnsi" w:hAnsiTheme="minorHAnsi"/>
        </w:rPr>
        <w:t xml:space="preserve">gasabb </w:t>
      </w:r>
      <w:proofErr w:type="spellStart"/>
      <w:r w:rsidR="00E67E1D" w:rsidRPr="006A6890">
        <w:rPr>
          <w:rFonts w:asciiTheme="minorHAnsi" w:hAnsiTheme="minorHAnsi"/>
        </w:rPr>
        <w:t>haircut</w:t>
      </w:r>
      <w:proofErr w:type="spellEnd"/>
      <w:r w:rsidR="00E67E1D" w:rsidRPr="006A6890">
        <w:rPr>
          <w:rFonts w:asciiTheme="minorHAnsi" w:hAnsiTheme="minorHAnsi"/>
        </w:rPr>
        <w: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w:t>
      </w:r>
      <w:proofErr w:type="spellStart"/>
      <w:r w:rsidR="00E67E1D" w:rsidRPr="006A6890">
        <w:rPr>
          <w:rFonts w:asciiTheme="minorHAnsi" w:hAnsiTheme="minorHAnsi"/>
        </w:rPr>
        <w:t>FX</w:t>
      </w:r>
      <w:proofErr w:type="spellEnd"/>
      <w:r w:rsidR="00E67E1D" w:rsidRPr="006A6890">
        <w:rPr>
          <w:rFonts w:asciiTheme="minorHAnsi" w:hAnsiTheme="minorHAnsi"/>
        </w:rPr>
        <w:t xml:space="preserve"> </w:t>
      </w:r>
      <w:proofErr w:type="spellStart"/>
      <w:r w:rsidR="00E67E1D" w:rsidRPr="006A6890">
        <w:rPr>
          <w:rFonts w:asciiTheme="minorHAnsi" w:hAnsiTheme="minorHAnsi"/>
        </w:rPr>
        <w:t>mismatch</w:t>
      </w:r>
      <w:proofErr w:type="spellEnd"/>
      <w:r w:rsidR="00E67E1D" w:rsidRPr="006A6890">
        <w:rPr>
          <w:rFonts w:asciiTheme="minorHAnsi" w:hAnsiTheme="minorHAnsi"/>
        </w:rPr>
        <w:t>)</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 xml:space="preserve">a minősítő rendszereikben/PD </w:t>
      </w:r>
      <w:proofErr w:type="spellStart"/>
      <w:r w:rsidRPr="006A6890">
        <w:rPr>
          <w:rFonts w:asciiTheme="minorHAnsi" w:hAnsiTheme="minorHAnsi"/>
        </w:rPr>
        <w:t>modelleikben</w:t>
      </w:r>
      <w:proofErr w:type="spellEnd"/>
      <w:r w:rsidRPr="006A6890">
        <w:rPr>
          <w:rFonts w:asciiTheme="minorHAnsi" w:hAnsiTheme="minorHAnsi"/>
        </w:rPr>
        <w:t xml:space="preserve">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építsenek bele egy potenciális árfolyamsokk hatást az EAD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r w:rsidRPr="006A6890">
        <w:rPr>
          <w:rFonts w:asciiTheme="minorHAnsi" w:hAnsiTheme="minorHAnsi"/>
        </w:rPr>
        <w:lastRenderedPageBreak/>
        <w:t>pr</w:t>
      </w:r>
      <w:r w:rsidR="001D6E01" w:rsidRPr="006A6890">
        <w:rPr>
          <w:rFonts w:asciiTheme="minorHAnsi" w:hAnsiTheme="minorHAnsi"/>
        </w:rPr>
        <w:t>u</w:t>
      </w:r>
      <w:r w:rsidRPr="006A6890">
        <w:rPr>
          <w:rFonts w:asciiTheme="minorHAnsi" w:hAnsiTheme="minorHAnsi"/>
        </w:rPr>
        <w:t xml:space="preserve">dens, </w:t>
      </w:r>
      <w:proofErr w:type="spellStart"/>
      <w:r w:rsidRPr="006A6890">
        <w:rPr>
          <w:rFonts w:asciiTheme="minorHAnsi" w:hAnsiTheme="minorHAnsi"/>
        </w:rPr>
        <w:t>előretekintő</w:t>
      </w:r>
      <w:proofErr w:type="spellEnd"/>
      <w:r w:rsidRPr="006A6890">
        <w:rPr>
          <w:rFonts w:asciiTheme="minorHAnsi" w:hAnsiTheme="minorHAnsi"/>
        </w:rPr>
        <w:t xml:space="preserve">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Heading4"/>
        <w:rPr>
          <w:rFonts w:asciiTheme="minorHAnsi" w:hAnsiTheme="minorHAnsi"/>
        </w:rPr>
      </w:pPr>
      <w:bookmarkStart w:id="795" w:name="_Toc461095216"/>
      <w:bookmarkStart w:id="796" w:name="_Toc461179872"/>
      <w:bookmarkStart w:id="797" w:name="_Toc461201315"/>
      <w:bookmarkStart w:id="798" w:name="_Toc461547958"/>
      <w:bookmarkStart w:id="799" w:name="_Toc462401997"/>
      <w:bookmarkStart w:id="800" w:name="_Toc462403118"/>
      <w:bookmarkStart w:id="801" w:name="_Toc462403442"/>
      <w:bookmarkStart w:id="802" w:name="_Toc468180561"/>
      <w:bookmarkStart w:id="803" w:name="_Toc468181070"/>
      <w:bookmarkStart w:id="804" w:name="_Toc468191456"/>
      <w:bookmarkStart w:id="805" w:name="_Toc27138971"/>
      <w:r w:rsidRPr="006A6890">
        <w:rPr>
          <w:rFonts w:asciiTheme="minorHAnsi" w:hAnsiTheme="minorHAnsi"/>
        </w:rPr>
        <w:t>Reziduális kockázat</w:t>
      </w:r>
      <w:bookmarkEnd w:id="795"/>
      <w:bookmarkEnd w:id="796"/>
      <w:bookmarkEnd w:id="797"/>
      <w:bookmarkEnd w:id="798"/>
      <w:bookmarkEnd w:id="799"/>
      <w:bookmarkEnd w:id="800"/>
      <w:bookmarkEnd w:id="801"/>
      <w:bookmarkEnd w:id="802"/>
      <w:bookmarkEnd w:id="803"/>
      <w:bookmarkEnd w:id="804"/>
      <w:bookmarkEnd w:id="805"/>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a hitelkitettségek mögötti fedezetek nagyarányú leértékelődésének vagy korlátozott érvényesíthetőségének kockázata. A </w:t>
      </w:r>
      <w:proofErr w:type="spellStart"/>
      <w:r w:rsidRPr="006A6890">
        <w:rPr>
          <w:rFonts w:asciiTheme="minorHAnsi" w:hAnsiTheme="minorHAnsi"/>
        </w:rPr>
        <w:t>reziduális</w:t>
      </w:r>
      <w:proofErr w:type="spellEnd"/>
      <w:r w:rsidRPr="006A6890">
        <w:rPr>
          <w:rFonts w:asciiTheme="minorHAnsi" w:hAnsiTheme="minorHAnsi"/>
        </w:rPr>
        <w:t xml:space="preserve">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 xml:space="preserve">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w:t>
      </w:r>
      <w:proofErr w:type="spellStart"/>
      <w:r w:rsidRPr="006A6890">
        <w:rPr>
          <w:rFonts w:asciiTheme="minorHAnsi" w:hAnsiTheme="minorHAnsi"/>
        </w:rPr>
        <w:t>likvid</w:t>
      </w:r>
      <w:r w:rsidR="00217983" w:rsidRPr="006A6890">
        <w:rPr>
          <w:rFonts w:asciiTheme="minorHAnsi" w:hAnsiTheme="minorHAnsi"/>
        </w:rPr>
        <w:t>ációs</w:t>
      </w:r>
      <w:proofErr w:type="spellEnd"/>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kockázatot </w:t>
      </w:r>
      <w:r w:rsidR="00217983" w:rsidRPr="006A6890">
        <w:rPr>
          <w:rFonts w:asciiTheme="minorHAnsi" w:hAnsiTheme="minorHAnsi"/>
        </w:rPr>
        <w:t xml:space="preserve">alapvetően </w:t>
      </w:r>
      <w:r w:rsidRPr="006A6890">
        <w:rPr>
          <w:rFonts w:asciiTheme="minorHAnsi" w:hAnsiTheme="minorHAnsi"/>
        </w:rPr>
        <w:t xml:space="preserve">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w:t>
      </w:r>
      <w:r w:rsidRPr="006A6890">
        <w:rPr>
          <w:rFonts w:asciiTheme="minorHAnsi" w:hAnsiTheme="minorHAnsi"/>
        </w:rPr>
        <w:lastRenderedPageBreak/>
        <w:t>szabályzatokkal, kijelölt felelősökkel kell rendelkezniük a felmerülő kockázatok prudens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w:t>
      </w:r>
      <w:proofErr w:type="spellStart"/>
      <w:r w:rsidRPr="006A6890">
        <w:rPr>
          <w:rFonts w:asciiTheme="minorHAnsi" w:hAnsiTheme="minorHAnsi"/>
        </w:rPr>
        <w:t>lehívhatóságának</w:t>
      </w:r>
      <w:proofErr w:type="spellEnd"/>
      <w:r w:rsidRPr="006A6890">
        <w:rPr>
          <w:rFonts w:asciiTheme="minorHAnsi" w:hAnsiTheme="minorHAnsi"/>
        </w:rPr>
        <w:t xml:space="preserve">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w:t>
      </w:r>
      <w:proofErr w:type="spellStart"/>
      <w:r w:rsidRPr="006A6890">
        <w:rPr>
          <w:rFonts w:asciiTheme="minorHAnsi" w:hAnsiTheme="minorHAnsi"/>
        </w:rPr>
        <w:t>trigger</w:t>
      </w:r>
      <w:proofErr w:type="spellEnd"/>
      <w:r w:rsidRPr="006A6890">
        <w:rPr>
          <w:rFonts w:asciiTheme="minorHAnsi" w:hAnsiTheme="minorHAnsi"/>
        </w:rPr>
        <w:t xml:space="preserve">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w:t>
      </w:r>
      <w:proofErr w:type="spellStart"/>
      <w:r w:rsidRPr="006A6890">
        <w:rPr>
          <w:rFonts w:asciiTheme="minorHAnsi" w:hAnsiTheme="minorHAnsi"/>
        </w:rPr>
        <w:t>hair</w:t>
      </w:r>
      <w:proofErr w:type="spellEnd"/>
      <w:r w:rsidRPr="006A6890">
        <w:rPr>
          <w:rFonts w:asciiTheme="minorHAnsi" w:hAnsiTheme="minorHAnsi"/>
        </w:rPr>
        <w:t xml:space="preserve"> </w:t>
      </w:r>
      <w:proofErr w:type="spellStart"/>
      <w:r w:rsidRPr="006A6890">
        <w:rPr>
          <w:rFonts w:asciiTheme="minorHAnsi" w:hAnsiTheme="minorHAnsi"/>
        </w:rPr>
        <w:t>cut</w:t>
      </w:r>
      <w:proofErr w:type="spellEnd"/>
      <w:r w:rsidRPr="006A6890">
        <w:rPr>
          <w:rFonts w:asciiTheme="minorHAnsi" w:hAnsiTheme="minorHAnsi"/>
        </w:rPr>
        <w:t xml:space="preserve">”-ok megváltoztatása) és szükség esetén többlettőkét írhat elő a </w:t>
      </w:r>
      <w:proofErr w:type="spellStart"/>
      <w:r w:rsidRPr="006A6890">
        <w:rPr>
          <w:rFonts w:asciiTheme="minorHAnsi" w:hAnsiTheme="minorHAnsi"/>
        </w:rPr>
        <w:t>reziduális</w:t>
      </w:r>
      <w:proofErr w:type="spellEnd"/>
      <w:r w:rsidRPr="006A6890">
        <w:rPr>
          <w:rFonts w:asciiTheme="minorHAnsi" w:hAnsiTheme="minorHAnsi"/>
        </w:rPr>
        <w:t xml:space="preserve">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szoros kapcsolatban van a veszteségráták becslése során alkalmazott megközelítéssel, hiszen kellően konzervatív </w:t>
      </w:r>
      <w:proofErr w:type="spellStart"/>
      <w:r w:rsidRPr="006A6890">
        <w:rPr>
          <w:rFonts w:asciiTheme="minorHAnsi" w:hAnsiTheme="minorHAnsi"/>
        </w:rPr>
        <w:t>LGD</w:t>
      </w:r>
      <w:proofErr w:type="spellEnd"/>
      <w:r w:rsidRPr="006A6890">
        <w:rPr>
          <w:rFonts w:asciiTheme="minorHAnsi" w:hAnsiTheme="minorHAnsi"/>
        </w:rPr>
        <w:t xml:space="preserve">-becslés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w:t>
      </w:r>
      <w:proofErr w:type="spellStart"/>
      <w:r w:rsidRPr="006A6890">
        <w:rPr>
          <w:rFonts w:asciiTheme="minorHAnsi" w:hAnsiTheme="minorHAnsi"/>
        </w:rPr>
        <w:t>LGD</w:t>
      </w:r>
      <w:proofErr w:type="spellEnd"/>
      <w:r w:rsidRPr="006A6890">
        <w:rPr>
          <w:rFonts w:asciiTheme="minorHAnsi" w:hAnsiTheme="minorHAnsi"/>
        </w:rPr>
        <w:t>-becslés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w:t>
      </w:r>
      <w:proofErr w:type="spellStart"/>
      <w:r w:rsidRPr="006A6890">
        <w:rPr>
          <w:rFonts w:asciiTheme="minorHAnsi" w:hAnsiTheme="minorHAnsi"/>
        </w:rPr>
        <w:t>reziduális</w:t>
      </w:r>
      <w:proofErr w:type="spellEnd"/>
      <w:r w:rsidRPr="006A6890">
        <w:rPr>
          <w:rFonts w:asciiTheme="minorHAnsi" w:hAnsiTheme="minorHAnsi"/>
        </w:rPr>
        <w:t xml:space="preserve">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w:t>
      </w:r>
      <w:proofErr w:type="spellStart"/>
      <w:r w:rsidRPr="006A6890">
        <w:rPr>
          <w:rFonts w:asciiTheme="minorHAnsi" w:hAnsiTheme="minorHAnsi"/>
          <w:lang w:val="hu-HU"/>
        </w:rPr>
        <w:t>monitoringozzák</w:t>
      </w:r>
      <w:proofErr w:type="spellEnd"/>
      <w:r w:rsidRPr="006A6890">
        <w:rPr>
          <w:rFonts w:asciiTheme="minorHAnsi" w:hAnsiTheme="minorHAnsi"/>
          <w:lang w:val="hu-HU"/>
        </w:rPr>
        <w:t xml:space="preserve">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w:t>
      </w:r>
      <w:proofErr w:type="spellStart"/>
      <w:r w:rsidRPr="006A6890">
        <w:rPr>
          <w:rFonts w:asciiTheme="minorHAnsi" w:hAnsiTheme="minorHAnsi"/>
        </w:rPr>
        <w:t>reziduális</w:t>
      </w:r>
      <w:proofErr w:type="spellEnd"/>
      <w:r w:rsidRPr="006A6890">
        <w:rPr>
          <w:rFonts w:asciiTheme="minorHAnsi" w:hAnsiTheme="minorHAnsi"/>
        </w:rPr>
        <w:t xml:space="preserve"> kockázatok felmérésekor lépjenek túl az </w:t>
      </w:r>
      <w:proofErr w:type="spellStart"/>
      <w:r w:rsidRPr="006A6890">
        <w:rPr>
          <w:rFonts w:asciiTheme="minorHAnsi" w:hAnsiTheme="minorHAnsi"/>
        </w:rPr>
        <w:t>LGD</w:t>
      </w:r>
      <w:proofErr w:type="spellEnd"/>
      <w:r w:rsidRPr="006A6890">
        <w:rPr>
          <w:rFonts w:asciiTheme="minorHAnsi" w:hAnsiTheme="minorHAnsi"/>
        </w:rPr>
        <w:t xml:space="preserve">-becslés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w:t>
      </w:r>
      <w:proofErr w:type="spellStart"/>
      <w:r w:rsidRPr="006A6890">
        <w:rPr>
          <w:rFonts w:asciiTheme="minorHAnsi" w:hAnsiTheme="minorHAnsi"/>
          <w:lang w:val="hu-HU"/>
        </w:rPr>
        <w:t>megtérüléshez</w:t>
      </w:r>
      <w:proofErr w:type="spellEnd"/>
      <w:r w:rsidRPr="006A6890">
        <w:rPr>
          <w:rFonts w:asciiTheme="minorHAnsi" w:hAnsiTheme="minorHAnsi"/>
          <w:lang w:val="hu-HU"/>
        </w:rPr>
        <w:t xml:space="preserve">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FootnoteReference"/>
          <w:rFonts w:asciiTheme="minorHAnsi" w:hAnsiTheme="minorHAnsi"/>
          <w:lang w:val="hu-HU"/>
        </w:rPr>
        <w:footnoteReference w:id="55"/>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lastRenderedPageBreak/>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w:t>
      </w:r>
      <w:proofErr w:type="spellStart"/>
      <w:r w:rsidRPr="006A6890">
        <w:rPr>
          <w:rFonts w:asciiTheme="minorHAnsi" w:hAnsiTheme="minorHAnsi"/>
        </w:rPr>
        <w:t>LGD</w:t>
      </w:r>
      <w:proofErr w:type="spellEnd"/>
      <w:r w:rsidRPr="006A6890">
        <w:rPr>
          <w:rFonts w:asciiTheme="minorHAnsi" w:hAnsiTheme="minorHAnsi"/>
        </w:rPr>
        <w:t xml:space="preserve">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w:t>
      </w:r>
      <w:proofErr w:type="spellStart"/>
      <w:r w:rsidRPr="006A6890">
        <w:rPr>
          <w:rFonts w:asciiTheme="minorHAnsi" w:hAnsiTheme="minorHAnsi"/>
        </w:rPr>
        <w:t>terheket</w:t>
      </w:r>
      <w:proofErr w:type="spellEnd"/>
      <w:r w:rsidRPr="006A6890">
        <w:rPr>
          <w:rFonts w:asciiTheme="minorHAnsi" w:hAnsiTheme="minorHAnsi"/>
        </w:rPr>
        <w:t xml:space="preserve">,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w:t>
      </w:r>
      <w:proofErr w:type="spellStart"/>
      <w:r w:rsidR="0015018C" w:rsidRPr="006A6890">
        <w:rPr>
          <w:rFonts w:asciiTheme="minorHAnsi" w:hAnsiTheme="minorHAnsi"/>
        </w:rPr>
        <w:t>LGD</w:t>
      </w:r>
      <w:proofErr w:type="spellEnd"/>
      <w:r w:rsidR="0015018C" w:rsidRPr="006A6890">
        <w:rPr>
          <w:rFonts w:asciiTheme="minorHAnsi" w:hAnsiTheme="minorHAnsi"/>
        </w:rPr>
        <w:t xml:space="preserve">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7777777" w:rsidR="003F7941" w:rsidRPr="006A6890" w:rsidRDefault="003F7941" w:rsidP="00181755">
      <w:pPr>
        <w:pStyle w:val="Heading4"/>
        <w:rPr>
          <w:rStyle w:val="Emphasis"/>
          <w:rFonts w:asciiTheme="minorHAnsi" w:hAnsiTheme="minorHAnsi"/>
          <w:i/>
          <w:iCs/>
        </w:rPr>
      </w:pPr>
      <w:bookmarkStart w:id="806" w:name="_Toc461095217"/>
      <w:bookmarkStart w:id="807" w:name="_Toc461179873"/>
      <w:bookmarkStart w:id="808" w:name="_Toc461201316"/>
      <w:bookmarkStart w:id="809" w:name="_Toc461547959"/>
      <w:bookmarkStart w:id="810" w:name="_Toc462401998"/>
      <w:bookmarkStart w:id="811" w:name="_Toc462403119"/>
      <w:bookmarkStart w:id="812" w:name="_Toc462403443"/>
      <w:bookmarkStart w:id="813" w:name="_Toc468180562"/>
      <w:bookmarkStart w:id="814" w:name="_Toc468181071"/>
      <w:bookmarkStart w:id="815" w:name="_Toc468191457"/>
      <w:bookmarkStart w:id="816" w:name="_Toc27138972"/>
      <w:r w:rsidRPr="006A6890">
        <w:rPr>
          <w:rStyle w:val="Emphasis"/>
          <w:rFonts w:asciiTheme="minorHAnsi" w:hAnsiTheme="minorHAnsi"/>
          <w:i/>
          <w:iCs/>
        </w:rPr>
        <w:t>Elszámolási kockázat (</w:t>
      </w:r>
      <w:proofErr w:type="spellStart"/>
      <w:r w:rsidRPr="006A6890">
        <w:rPr>
          <w:rStyle w:val="Emphasis"/>
          <w:rFonts w:asciiTheme="minorHAnsi" w:hAnsiTheme="minorHAnsi"/>
          <w:i/>
          <w:iCs/>
        </w:rPr>
        <w:t>settlement</w:t>
      </w:r>
      <w:proofErr w:type="spellEnd"/>
      <w:r w:rsidRPr="006A6890">
        <w:rPr>
          <w:rStyle w:val="Emphasis"/>
          <w:rFonts w:asciiTheme="minorHAnsi" w:hAnsiTheme="minorHAnsi"/>
          <w:i/>
          <w:iCs/>
        </w:rPr>
        <w:t xml:space="preserve"> </w:t>
      </w:r>
      <w:proofErr w:type="spellStart"/>
      <w:r w:rsidRPr="006A6890">
        <w:rPr>
          <w:rStyle w:val="Emphasis"/>
          <w:rFonts w:asciiTheme="minorHAnsi" w:hAnsiTheme="minorHAnsi"/>
          <w:i/>
          <w:iCs/>
        </w:rPr>
        <w:t>risk</w:t>
      </w:r>
      <w:proofErr w:type="spellEnd"/>
      <w:r w:rsidRPr="006A6890">
        <w:rPr>
          <w:rStyle w:val="Emphasis"/>
          <w:rFonts w:asciiTheme="minorHAnsi" w:hAnsiTheme="minorHAnsi"/>
          <w:i/>
          <w:iCs/>
        </w:rPr>
        <w:t>)</w:t>
      </w:r>
      <w:bookmarkEnd w:id="806"/>
      <w:bookmarkEnd w:id="807"/>
      <w:bookmarkEnd w:id="808"/>
      <w:bookmarkEnd w:id="809"/>
      <w:bookmarkEnd w:id="810"/>
      <w:bookmarkEnd w:id="811"/>
      <w:bookmarkEnd w:id="812"/>
      <w:bookmarkEnd w:id="813"/>
      <w:bookmarkEnd w:id="814"/>
      <w:bookmarkEnd w:id="815"/>
      <w:bookmarkEnd w:id="816"/>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t>Az elszámolási kockázat</w:t>
      </w:r>
      <w:r w:rsidRPr="006A6890">
        <w:rPr>
          <w:rStyle w:val="FootnoteReference"/>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FootnoteReference"/>
          <w:rFonts w:asciiTheme="minorHAnsi" w:hAnsiTheme="minorHAnsi"/>
        </w:rPr>
        <w:footnoteReference w:id="56"/>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w:t>
      </w:r>
      <w:proofErr w:type="spellStart"/>
      <w:r w:rsidRPr="006A6890">
        <w:rPr>
          <w:rFonts w:asciiTheme="minorHAnsi" w:hAnsiTheme="minorHAnsi"/>
        </w:rPr>
        <w:t>SD</w:t>
      </w:r>
      <w:proofErr w:type="spellEnd"/>
      <w:r w:rsidR="00D007EA" w:rsidRPr="006A6890">
        <w:rPr>
          <w:rFonts w:asciiTheme="minorHAnsi" w:hAnsiTheme="minorHAnsi"/>
        </w:rPr>
        <w:footnoteReference w:id="57"/>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6A6890">
        <w:rPr>
          <w:rFonts w:asciiTheme="minorHAnsi" w:hAnsiTheme="minorHAnsi"/>
        </w:rPr>
        <w:footnoteReference w:id="58"/>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w:t>
      </w:r>
      <w:proofErr w:type="spellStart"/>
      <w:r w:rsidRPr="006A6890">
        <w:rPr>
          <w:rFonts w:asciiTheme="minorHAnsi" w:hAnsiTheme="minorHAnsi"/>
        </w:rPr>
        <w:t>ban</w:t>
      </w:r>
      <w:proofErr w:type="spellEnd"/>
      <w:r w:rsidRPr="006A6890">
        <w:rPr>
          <w:rFonts w:asciiTheme="minorHAnsi" w:hAnsiTheme="minorHAnsi"/>
        </w:rPr>
        <w:t xml:space="preserve">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 xml:space="preserve">A feszített likviditású intézmények számára a nagy értékű tranzakcióknál bekövetkező nem-teljesítések (késedelmes teljesítések) jelentős problémát okozhatnak. Ezzel a kockázati típussal a különösen kevéssé </w:t>
      </w:r>
      <w:r w:rsidRPr="006A6890">
        <w:rPr>
          <w:rFonts w:asciiTheme="minorHAnsi" w:hAnsiTheme="minorHAnsi"/>
        </w:rPr>
        <w:lastRenderedPageBreak/>
        <w:t>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 xml:space="preserve">Minél nagyobb a távolság az ügyletben az eladó és vevő között (a közvetítő partnerek számában vagy az </w:t>
      </w:r>
      <w:proofErr w:type="spellStart"/>
      <w:r w:rsidRPr="006A6890">
        <w:rPr>
          <w:rFonts w:asciiTheme="minorHAnsi" w:hAnsiTheme="minorHAnsi"/>
        </w:rPr>
        <w:t>időzónabeli</w:t>
      </w:r>
      <w:proofErr w:type="spellEnd"/>
      <w:r w:rsidRPr="006A6890">
        <w:rPr>
          <w:rFonts w:asciiTheme="minorHAnsi" w:hAnsiTheme="minorHAnsi"/>
        </w:rPr>
        <w:t xml:space="preserve"> távolságban), minél hosszabb a (letétkezelői) láncolat, annál nagyobb a valószínűsége a rész-, késedelmes, illetve nem-teljesítésnek. Ha az intézmény elszámolási ügynöki szolgáltatásokat is nyújt ügyfeleinek (</w:t>
      </w:r>
      <w:proofErr w:type="spellStart"/>
      <w:r w:rsidRPr="006A6890">
        <w:rPr>
          <w:rFonts w:asciiTheme="minorHAnsi" w:hAnsiTheme="minorHAnsi"/>
        </w:rPr>
        <w:t>alklíringtagjainak</w:t>
      </w:r>
      <w:proofErr w:type="spellEnd"/>
      <w:r w:rsidRPr="006A6890">
        <w:rPr>
          <w:rFonts w:asciiTheme="minorHAnsi" w:hAnsiTheme="minorHAnsi"/>
        </w:rPr>
        <w:t xml:space="preserve">), további kockázata származik abból, hogy mint általános klíringtag az elszámolóházzal szemben helyt áll az </w:t>
      </w:r>
      <w:proofErr w:type="spellStart"/>
      <w:r w:rsidRPr="006A6890">
        <w:rPr>
          <w:rFonts w:asciiTheme="minorHAnsi" w:hAnsiTheme="minorHAnsi"/>
        </w:rPr>
        <w:t>alklíringtagért</w:t>
      </w:r>
      <w:proofErr w:type="spellEnd"/>
      <w:r w:rsidRPr="006A6890">
        <w:rPr>
          <w:rFonts w:asciiTheme="minorHAnsi" w:hAnsiTheme="minorHAnsi"/>
        </w:rPr>
        <w:t xml:space="preserve">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 xml:space="preserve">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w:t>
      </w:r>
      <w:proofErr w:type="spellStart"/>
      <w:r w:rsidRPr="006A6890">
        <w:rPr>
          <w:rFonts w:asciiTheme="minorHAnsi" w:hAnsiTheme="minorHAnsi"/>
        </w:rPr>
        <w:t>volatilis</w:t>
      </w:r>
      <w:proofErr w:type="spellEnd"/>
      <w:r w:rsidRPr="006A6890">
        <w:rPr>
          <w:rFonts w:asciiTheme="minorHAnsi" w:hAnsiTheme="minorHAnsi"/>
        </w:rPr>
        <w:t xml:space="preserve">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6FC2CC3B"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 xml:space="preserve">az ICAAP </w:t>
      </w:r>
      <w:proofErr w:type="spellStart"/>
      <w:r w:rsidR="009E62EE" w:rsidRPr="006A6890">
        <w:rPr>
          <w:rFonts w:asciiTheme="minorHAnsi" w:hAnsiTheme="minorHAnsi"/>
        </w:rPr>
        <w:t>felülizsgálat</w:t>
      </w:r>
      <w:proofErr w:type="spellEnd"/>
      <w:r w:rsidR="009E62EE" w:rsidRPr="006A6890">
        <w:rPr>
          <w:rFonts w:asciiTheme="minorHAnsi" w:hAnsiTheme="minorHAnsi"/>
        </w:rPr>
        <w:t xml:space="preserve">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6A6890" w:rsidRDefault="002F00E2" w:rsidP="00EA0541">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megfontolásokból a </w:t>
      </w:r>
      <w:r w:rsidR="00A9499B" w:rsidRPr="006A6890">
        <w:rPr>
          <w:rFonts w:asciiTheme="minorHAnsi" w:hAnsiTheme="minorHAnsi"/>
        </w:rPr>
        <w:t xml:space="preserve">tőkeszükséglet meghatározásának </w:t>
      </w:r>
      <w:r w:rsidRPr="006A6890">
        <w:rPr>
          <w:rFonts w:asciiTheme="minorHAnsi" w:hAnsiTheme="minorHAnsi"/>
        </w:rPr>
        <w:t xml:space="preserve">további </w:t>
      </w:r>
      <w:r w:rsidR="0045048B" w:rsidRPr="006A6890">
        <w:rPr>
          <w:rFonts w:asciiTheme="minorHAnsi" w:hAnsiTheme="minorHAnsi"/>
        </w:rPr>
        <w:t xml:space="preserve">szigorítását jelenti, hogy az MNB az aktuális (pl. hó vagy negyed év végi) időpontra vonatkozóan kalkulált </w:t>
      </w:r>
      <w:r w:rsidR="00FB244C" w:rsidRPr="006A6890">
        <w:rPr>
          <w:rFonts w:asciiTheme="minorHAnsi" w:hAnsiTheme="minorHAnsi"/>
        </w:rPr>
        <w:t xml:space="preserve">tőkekövetelmény összeg </w:t>
      </w:r>
      <w:r w:rsidR="0045048B" w:rsidRPr="006A6890">
        <w:rPr>
          <w:rFonts w:asciiTheme="minorHAnsi" w:hAnsiTheme="minorHAnsi"/>
        </w:rPr>
        <w:t>helyett a t</w:t>
      </w:r>
      <w:r w:rsidR="009D092B" w:rsidRPr="006A6890">
        <w:rPr>
          <w:rFonts w:asciiTheme="minorHAnsi" w:hAnsiTheme="minorHAnsi"/>
        </w:rPr>
        <w:t xml:space="preserve">őkeszükséglet megállapítását megelőző egy év maximális </w:t>
      </w:r>
      <w:r w:rsidR="00612F9B" w:rsidRPr="006A6890">
        <w:rPr>
          <w:rFonts w:asciiTheme="minorHAnsi" w:hAnsiTheme="minorHAnsi"/>
        </w:rPr>
        <w:t xml:space="preserve">napi </w:t>
      </w:r>
      <w:r w:rsidR="009D092B" w:rsidRPr="006A6890">
        <w:rPr>
          <w:rFonts w:asciiTheme="minorHAnsi" w:hAnsiTheme="minorHAnsi"/>
        </w:rPr>
        <w:t>értékét</w:t>
      </w:r>
      <w:r w:rsidR="0045048B" w:rsidRPr="006A6890">
        <w:rPr>
          <w:rFonts w:asciiTheme="minorHAnsi" w:hAnsiTheme="minorHAnsi"/>
        </w:rPr>
        <w:t xml:space="preserve"> </w:t>
      </w:r>
      <w:r w:rsidR="00313F0C" w:rsidRPr="006A6890">
        <w:rPr>
          <w:rFonts w:asciiTheme="minorHAnsi" w:hAnsiTheme="minorHAnsi"/>
        </w:rPr>
        <w:t xml:space="preserve">tekinti </w:t>
      </w:r>
      <w:r w:rsidR="00FB244C" w:rsidRPr="006A6890">
        <w:rPr>
          <w:rFonts w:asciiTheme="minorHAnsi" w:hAnsiTheme="minorHAnsi"/>
        </w:rPr>
        <w:t>alkalmazandónak, mint effektív tőkeszükségletet.</w:t>
      </w:r>
    </w:p>
    <w:p w14:paraId="723C261B" w14:textId="121620A7" w:rsidR="009319E7" w:rsidRPr="006A6890" w:rsidRDefault="002F00E2" w:rsidP="009319E7">
      <w:pPr>
        <w:pStyle w:val="Heading4"/>
        <w:rPr>
          <w:rStyle w:val="Emphasis"/>
          <w:rFonts w:asciiTheme="minorHAnsi" w:hAnsiTheme="minorHAnsi"/>
          <w:i/>
          <w:iCs/>
        </w:rPr>
      </w:pPr>
      <w:r w:rsidRPr="006A6890" w:rsidDel="002F00E2">
        <w:rPr>
          <w:rFonts w:asciiTheme="minorHAnsi" w:hAnsiTheme="minorHAnsi"/>
        </w:rPr>
        <w:t xml:space="preserve"> </w:t>
      </w:r>
      <w:bookmarkStart w:id="817" w:name="_Toc27138973"/>
      <w:r w:rsidR="009319E7" w:rsidRPr="006A6890">
        <w:rPr>
          <w:rStyle w:val="Emphasis"/>
          <w:rFonts w:asciiTheme="minorHAnsi" w:hAnsiTheme="minorHAnsi"/>
          <w:i/>
          <w:iCs/>
          <w:lang w:val="hu-HU"/>
        </w:rPr>
        <w:t>Nyitva szállítás</w:t>
      </w:r>
      <w:bookmarkEnd w:id="817"/>
      <w:r w:rsidR="009319E7" w:rsidRPr="006A6890">
        <w:rPr>
          <w:rStyle w:val="Emphasi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lastRenderedPageBreak/>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delivery</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xml:space="preserve">), illetve </w:t>
      </w:r>
      <w:proofErr w:type="spellStart"/>
      <w:r w:rsidRPr="006A6890">
        <w:rPr>
          <w:rFonts w:asciiTheme="minorHAnsi" w:hAnsiTheme="minorHAnsi"/>
        </w:rPr>
        <w:t>RVP</w:t>
      </w:r>
      <w:proofErr w:type="spellEnd"/>
      <w:r w:rsidRPr="006A6890">
        <w:rPr>
          <w:rFonts w:asciiTheme="minorHAnsi" w:hAnsiTheme="minorHAnsi"/>
        </w:rPr>
        <w:t xml:space="preserve"> (</w:t>
      </w:r>
      <w:proofErr w:type="spellStart"/>
      <w:r w:rsidRPr="006A6890">
        <w:rPr>
          <w:rFonts w:asciiTheme="minorHAnsi" w:hAnsiTheme="minorHAnsi"/>
        </w:rPr>
        <w:t>receive</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elvű elszámolás, illetve a központi szerződő fél</w:t>
      </w:r>
      <w:r w:rsidRPr="006A6890">
        <w:rPr>
          <w:rStyle w:val="FootnoteReference"/>
          <w:rFonts w:asciiTheme="minorHAnsi" w:hAnsiTheme="minorHAnsi"/>
        </w:rPr>
        <w:footnoteReference w:id="59"/>
      </w:r>
      <w:r w:rsidRPr="006A6890">
        <w:rPr>
          <w:rFonts w:asciiTheme="minorHAnsi" w:hAnsiTheme="minorHAnsi"/>
        </w:rPr>
        <w:t xml:space="preserve"> (</w:t>
      </w:r>
      <w:proofErr w:type="spellStart"/>
      <w:r w:rsidRPr="006A6890">
        <w:rPr>
          <w:rFonts w:asciiTheme="minorHAnsi" w:hAnsiTheme="minorHAnsi"/>
        </w:rPr>
        <w:t>central</w:t>
      </w:r>
      <w:proofErr w:type="spellEnd"/>
      <w:r w:rsidRPr="006A6890">
        <w:rPr>
          <w:rFonts w:asciiTheme="minorHAnsi" w:hAnsiTheme="minorHAnsi"/>
        </w:rPr>
        <w:t xml:space="preserve"> </w:t>
      </w:r>
      <w:proofErr w:type="spellStart"/>
      <w:r w:rsidRPr="006A6890">
        <w:rPr>
          <w:rFonts w:asciiTheme="minorHAnsi" w:hAnsiTheme="minorHAnsi"/>
        </w:rPr>
        <w:t>counterparty</w:t>
      </w:r>
      <w:proofErr w:type="spellEnd"/>
      <w:r w:rsidRPr="006A6890">
        <w:rPr>
          <w:rFonts w:asciiTheme="minorHAnsi" w:hAnsiTheme="minorHAnsi"/>
        </w:rPr>
        <w:t xml:space="preserve">, </w:t>
      </w:r>
      <w:proofErr w:type="spellStart"/>
      <w:r w:rsidRPr="006A6890">
        <w:rPr>
          <w:rFonts w:asciiTheme="minorHAnsi" w:hAnsiTheme="minorHAnsi"/>
        </w:rPr>
        <w:t>CCP</w:t>
      </w:r>
      <w:proofErr w:type="spellEnd"/>
      <w:r w:rsidRPr="006A6890">
        <w:rPr>
          <w:rFonts w:asciiTheme="minorHAnsi" w:hAnsiTheme="minorHAnsi"/>
        </w:rPr>
        <w:t xml:space="preserve">) partnerek közé állása, vagy a </w:t>
      </w:r>
      <w:proofErr w:type="spellStart"/>
      <w:r w:rsidRPr="006A6890">
        <w:rPr>
          <w:rFonts w:asciiTheme="minorHAnsi" w:hAnsiTheme="minorHAnsi"/>
        </w:rPr>
        <w:t>CLS</w:t>
      </w:r>
      <w:proofErr w:type="spellEnd"/>
      <w:r w:rsidRPr="006A6890">
        <w:rPr>
          <w:rFonts w:asciiTheme="minorHAnsi" w:hAnsiTheme="minorHAnsi"/>
        </w:rPr>
        <w:t xml:space="preserve"> rendszer</w:t>
      </w:r>
      <w:r w:rsidRPr="006A6890">
        <w:rPr>
          <w:rFonts w:asciiTheme="minorHAnsi" w:hAnsiTheme="minorHAnsi"/>
        </w:rPr>
        <w:footnoteReference w:id="60"/>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w:t>
      </w:r>
      <w:proofErr w:type="spellStart"/>
      <w:r w:rsidRPr="006A6890">
        <w:rPr>
          <w:rFonts w:asciiTheme="minorHAnsi" w:hAnsiTheme="minorHAnsi"/>
        </w:rPr>
        <w:t>CCP</w:t>
      </w:r>
      <w:proofErr w:type="spellEnd"/>
      <w:r w:rsidRPr="006A6890">
        <w:rPr>
          <w:rFonts w:asciiTheme="minorHAnsi" w:hAnsiTheme="minorHAnsi"/>
        </w:rPr>
        <w:t>-ken)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w:t>
      </w:r>
      <w:proofErr w:type="spellStart"/>
      <w:r w:rsidRPr="006A6890">
        <w:rPr>
          <w:rFonts w:asciiTheme="minorHAnsi" w:hAnsiTheme="minorHAnsi"/>
        </w:rPr>
        <w:t>monitorozni</w:t>
      </w:r>
      <w:proofErr w:type="spellEnd"/>
      <w:r w:rsidRPr="006A6890">
        <w:rPr>
          <w:rFonts w:asciiTheme="minorHAnsi" w:hAnsiTheme="minorHAnsi"/>
        </w:rPr>
        <w:t xml:space="preserve">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 xml:space="preserve">ez esetben ugyanis nincs olyan, az ügyletkötő felek között álló harmadik fél, illetve mechanizmus, amely biztosíthatná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RVP</w:t>
      </w:r>
      <w:proofErr w:type="spellEnd"/>
      <w:r w:rsidRPr="006A6890">
        <w:rPr>
          <w:rFonts w:asciiTheme="minorHAnsi" w:hAnsiTheme="minorHAnsi"/>
        </w:rPr>
        <w:t>)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Heading4"/>
        <w:rPr>
          <w:rFonts w:asciiTheme="minorHAnsi" w:hAnsiTheme="minorHAnsi"/>
        </w:rPr>
      </w:pPr>
      <w:bookmarkStart w:id="818" w:name="_Toc461095218"/>
      <w:bookmarkStart w:id="819" w:name="_Toc461179874"/>
      <w:bookmarkStart w:id="820" w:name="_Toc461201317"/>
      <w:bookmarkStart w:id="821" w:name="_Toc461547960"/>
      <w:bookmarkStart w:id="822" w:name="_Toc462401999"/>
      <w:bookmarkStart w:id="823" w:name="_Toc462403120"/>
      <w:bookmarkStart w:id="824" w:name="_Toc462403444"/>
      <w:bookmarkStart w:id="825" w:name="_Toc468180563"/>
      <w:bookmarkStart w:id="826" w:name="_Toc468181072"/>
      <w:bookmarkStart w:id="827" w:name="_Toc468191458"/>
      <w:bookmarkStart w:id="828" w:name="_Toc27138974"/>
      <w:proofErr w:type="spellStart"/>
      <w:r w:rsidRPr="006A6890">
        <w:rPr>
          <w:rFonts w:asciiTheme="minorHAnsi" w:hAnsiTheme="minorHAnsi"/>
        </w:rPr>
        <w:t>Értékpapírosítás</w:t>
      </w:r>
      <w:proofErr w:type="spellEnd"/>
      <w:r w:rsidRPr="006A6890">
        <w:rPr>
          <w:rFonts w:asciiTheme="minorHAnsi" w:hAnsiTheme="minorHAnsi"/>
        </w:rPr>
        <w:t xml:space="preserve"> kockázata</w:t>
      </w:r>
      <w:r w:rsidRPr="006A6890">
        <w:rPr>
          <w:rFonts w:asciiTheme="minorHAnsi" w:hAnsiTheme="minorHAnsi"/>
          <w:vertAlign w:val="superscript"/>
        </w:rPr>
        <w:footnoteReference w:id="61"/>
      </w:r>
      <w:bookmarkEnd w:id="818"/>
      <w:bookmarkEnd w:id="819"/>
      <w:bookmarkEnd w:id="820"/>
      <w:bookmarkEnd w:id="821"/>
      <w:bookmarkEnd w:id="822"/>
      <w:bookmarkEnd w:id="823"/>
      <w:bookmarkEnd w:id="824"/>
      <w:bookmarkEnd w:id="825"/>
      <w:bookmarkEnd w:id="826"/>
      <w:bookmarkEnd w:id="827"/>
      <w:bookmarkEnd w:id="828"/>
    </w:p>
    <w:p w14:paraId="255EEABA" w14:textId="77777777" w:rsidR="00FF2712" w:rsidRPr="006A6890" w:rsidRDefault="00FF2712" w:rsidP="00FF2712">
      <w:pPr>
        <w:rPr>
          <w:rFonts w:asciiTheme="minorHAnsi" w:hAnsiTheme="minorHAnsi"/>
          <w:b/>
        </w:rPr>
      </w:pPr>
      <w:r w:rsidRPr="006A6890">
        <w:rPr>
          <w:rFonts w:asciiTheme="minorHAnsi" w:hAnsiTheme="minorHAnsi"/>
          <w:b/>
        </w:rPr>
        <w:t>Definíció</w:t>
      </w:r>
    </w:p>
    <w:p w14:paraId="59F0CC97" w14:textId="77777777" w:rsidR="00FB405D" w:rsidRPr="006A6890" w:rsidRDefault="00ED7C14"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w:t>
      </w:r>
      <w:proofErr w:type="spellEnd"/>
      <w:r w:rsidRPr="006A6890">
        <w:rPr>
          <w:rFonts w:asciiTheme="minorHAnsi" w:hAnsiTheme="minorHAnsi"/>
        </w:rPr>
        <w:t xml:space="preserve"> a banki forrásokat kiegészítő alternatív finanszírozási forma. A „hagyományos” </w:t>
      </w:r>
      <w:proofErr w:type="spellStart"/>
      <w:r w:rsidRPr="006A6890">
        <w:rPr>
          <w:rFonts w:asciiTheme="minorHAnsi" w:hAnsiTheme="minorHAnsi"/>
        </w:rPr>
        <w:t>értékpapírosítási</w:t>
      </w:r>
      <w:proofErr w:type="spellEnd"/>
      <w:r w:rsidRPr="006A6890">
        <w:rPr>
          <w:rFonts w:asciiTheme="minorHAnsi" w:hAnsiTheme="minorHAnsi"/>
        </w:rPr>
        <w:t xml:space="preserve">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ügyleteknél a követelésállomány tényleges átruházása nem történik meg, csupán annak kockázata kerül át a kibocsátó társasághoz.</w:t>
      </w:r>
    </w:p>
    <w:p w14:paraId="28DB9EFB" w14:textId="498559BA" w:rsidR="00FB405D" w:rsidRPr="006A6890" w:rsidRDefault="00FB405D" w:rsidP="00181755">
      <w:pPr>
        <w:rPr>
          <w:rFonts w:asciiTheme="minorHAnsi" w:hAnsiTheme="minorHAnsi"/>
          <w:b/>
        </w:rPr>
      </w:pPr>
      <w:r w:rsidRPr="006A6890">
        <w:rPr>
          <w:rFonts w:asciiTheme="minorHAnsi" w:hAnsiTheme="minorHAnsi"/>
          <w:b/>
        </w:rPr>
        <w:t>Kockázatértékelés és -kezelés</w:t>
      </w:r>
    </w:p>
    <w:p w14:paraId="66B1547C" w14:textId="77777777" w:rsidR="00D04A5F" w:rsidRPr="006A6890" w:rsidRDefault="00D04A5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w:t>
      </w:r>
      <w:proofErr w:type="spellStart"/>
      <w:r w:rsidRPr="006A6890">
        <w:rPr>
          <w:rFonts w:asciiTheme="minorHAnsi" w:hAnsiTheme="minorHAnsi"/>
        </w:rPr>
        <w:t>tükröződjön</w:t>
      </w:r>
      <w:proofErr w:type="spellEnd"/>
      <w:r w:rsidRPr="006A6890">
        <w:rPr>
          <w:rFonts w:asciiTheme="minorHAnsi" w:hAnsiTheme="minorHAnsi"/>
        </w:rPr>
        <w:t xml:space="preserve"> a kockázatértékelési és –kezelési döntésekben. Lejárat előtti visszaadás lehetőségét biztosító rendelkezést tartalmazó, rulírozó megállapodásból származó kitettségek </w:t>
      </w:r>
      <w:proofErr w:type="spellStart"/>
      <w:r w:rsidRPr="006A6890">
        <w:rPr>
          <w:rFonts w:asciiTheme="minorHAnsi" w:hAnsiTheme="minorHAnsi"/>
        </w:rPr>
        <w:t>értékpapírosítását</w:t>
      </w:r>
      <w:proofErr w:type="spellEnd"/>
      <w:r w:rsidRPr="006A6890">
        <w:rPr>
          <w:rFonts w:asciiTheme="minorHAnsi" w:hAnsiTheme="minorHAnsi"/>
        </w:rPr>
        <w:t xml:space="preserve"> kezdeményező intézményeknek a terv szerinti és lejárat előtti visszafizetés hatásait is kezelő likviditási tervekkel kell rendelkezniük.</w:t>
      </w:r>
    </w:p>
    <w:p w14:paraId="66B1547E" w14:textId="77777777"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7F" w14:textId="77777777" w:rsidR="00D04A5F" w:rsidRPr="006A6890" w:rsidRDefault="00D04A5F" w:rsidP="00EA0541">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6A6890" w:rsidRDefault="00D04A5F" w:rsidP="00EA0541">
      <w:pPr>
        <w:rPr>
          <w:rFonts w:asciiTheme="minorHAnsi" w:hAnsiTheme="minorHAnsi"/>
        </w:rPr>
      </w:pPr>
      <w:r w:rsidRPr="006A6890">
        <w:rPr>
          <w:rFonts w:asciiTheme="minorHAnsi" w:hAnsiTheme="minorHAnsi"/>
        </w:rPr>
        <w:lastRenderedPageBreak/>
        <w:t xml:space="preserve">Az intézményeknek olyan belső módszerekkel kell rendelkezniük, amelyek lehetővé teszik az egyes kötelezettek, értékpapírok vagy </w:t>
      </w:r>
      <w:proofErr w:type="spellStart"/>
      <w:r w:rsidRPr="006A6890">
        <w:rPr>
          <w:rFonts w:asciiTheme="minorHAnsi" w:hAnsiTheme="minorHAnsi"/>
        </w:rPr>
        <w:t>értékpapírosítási</w:t>
      </w:r>
      <w:proofErr w:type="spellEnd"/>
      <w:r w:rsidRPr="006A6890">
        <w:rPr>
          <w:rFonts w:asciiTheme="minorHAnsi" w:hAnsiTheme="minorHAnsi"/>
        </w:rPr>
        <w:t xml:space="preserve"> pozíciók jelentette hitelkockázat, valamint a portfóliószintű hitelkockázat felmérését. A belső módszerek nem hagyatkozhatnak kizárólag vagy automatikusan a külső hitelminősítésekre. </w:t>
      </w:r>
    </w:p>
    <w:p w14:paraId="66B15481" w14:textId="7B17E6F8" w:rsidR="00D04A5F" w:rsidRPr="006A6890" w:rsidRDefault="00D04A5F" w:rsidP="00EA0541">
      <w:pPr>
        <w:rPr>
          <w:rFonts w:asciiTheme="minorHAnsi" w:hAnsiTheme="minorHAnsi"/>
        </w:rPr>
      </w:pPr>
      <w:r w:rsidRPr="006A6890">
        <w:rPr>
          <w:rFonts w:asciiTheme="minorHAnsi" w:hAnsiTheme="minorHAnsi"/>
        </w:rPr>
        <w:t>A felügyeleti értékelés kiindulópontját alapvetően a CRR rendelkezései</w:t>
      </w:r>
      <w:r w:rsidR="008847AC" w:rsidRPr="006A6890">
        <w:rPr>
          <w:rFonts w:asciiTheme="minorHAnsi" w:hAnsiTheme="minorHAnsi"/>
        </w:rPr>
        <w:t>, kapcsolódó másodszintű jogszabályok</w:t>
      </w:r>
      <w:r w:rsidR="008847AC" w:rsidRPr="006A6890">
        <w:rPr>
          <w:rFonts w:asciiTheme="minorHAnsi" w:hAnsiTheme="minorHAnsi"/>
        </w:rPr>
        <w:footnoteReference w:id="62"/>
      </w:r>
      <w:r w:rsidR="008847AC" w:rsidRPr="006A6890">
        <w:rPr>
          <w:rFonts w:asciiTheme="minorHAnsi" w:hAnsiTheme="minorHAnsi"/>
        </w:rPr>
        <w:t>, valamint</w:t>
      </w:r>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vonatkozó iránymutatásai</w:t>
      </w:r>
      <w:r w:rsidRPr="006A6890">
        <w:rPr>
          <w:rFonts w:asciiTheme="minorHAnsi" w:hAnsiTheme="minorHAnsi"/>
        </w:rPr>
        <w:footnoteReference w:id="63"/>
      </w:r>
      <w:r w:rsidRPr="006A6890">
        <w:rPr>
          <w:rFonts w:asciiTheme="minorHAnsi" w:hAnsiTheme="minorHAnsi"/>
        </w:rPr>
        <w:t xml:space="preserve"> képezik. </w:t>
      </w:r>
    </w:p>
    <w:p w14:paraId="66B15482" w14:textId="5410827E" w:rsidR="00D04A5F" w:rsidRPr="006A6890" w:rsidRDefault="00D04A5F" w:rsidP="00EA0541">
      <w:pPr>
        <w:rPr>
          <w:rFonts w:asciiTheme="minorHAnsi" w:hAnsiTheme="minorHAnsi"/>
        </w:rPr>
      </w:pPr>
      <w:r w:rsidRPr="006A6890">
        <w:rPr>
          <w:rFonts w:asciiTheme="minorHAnsi" w:hAnsiTheme="minorHAnsi"/>
        </w:rPr>
        <w:t xml:space="preserve">A 2010. december 31-én megjelent, a </w:t>
      </w:r>
      <w:proofErr w:type="spellStart"/>
      <w:r w:rsidRPr="006A6890">
        <w:rPr>
          <w:rFonts w:asciiTheme="minorHAnsi" w:hAnsiTheme="minorHAnsi"/>
        </w:rPr>
        <w:t>CRD</w:t>
      </w:r>
      <w:proofErr w:type="spellEnd"/>
      <w:r w:rsidRPr="006A6890">
        <w:rPr>
          <w:rFonts w:asciiTheme="minorHAnsi" w:hAnsiTheme="minorHAnsi"/>
        </w:rPr>
        <w:t xml:space="preserve"> 122a. cikkének alkalmazásáról szóló </w:t>
      </w:r>
      <w:proofErr w:type="spellStart"/>
      <w:r w:rsidRPr="006A6890">
        <w:rPr>
          <w:rFonts w:asciiTheme="minorHAnsi" w:hAnsiTheme="minorHAnsi"/>
        </w:rPr>
        <w:t>CEBS</w:t>
      </w:r>
      <w:proofErr w:type="spellEnd"/>
      <w:r w:rsidRPr="006A6890">
        <w:rPr>
          <w:rFonts w:asciiTheme="minorHAnsi" w:hAnsiTheme="minorHAnsi"/>
        </w:rPr>
        <w:t xml:space="preserve"> iránymutatások </w:t>
      </w:r>
      <w:r w:rsidR="008847AC" w:rsidRPr="006A6890">
        <w:rPr>
          <w:rFonts w:asciiTheme="minorHAnsi" w:hAnsiTheme="minorHAnsi"/>
        </w:rPr>
        <w:t>a CRR 404., valamint 405., 406., illetve 409. cikkei vonatkozásában adnak további iránymutatást.</w:t>
      </w:r>
      <w:r w:rsidR="008847AC" w:rsidRPr="006A6890">
        <w:rPr>
          <w:rFonts w:asciiTheme="minorHAnsi" w:hAnsiTheme="minorHAnsi"/>
        </w:rPr>
        <w:footnoteReference w:id="64"/>
      </w:r>
      <w:r w:rsidR="008847AC" w:rsidRPr="006A6890">
        <w:rPr>
          <w:rFonts w:asciiTheme="minorHAnsi" w:hAnsiTheme="minorHAnsi"/>
        </w:rPr>
        <w:t xml:space="preserve"> </w:t>
      </w:r>
    </w:p>
    <w:p w14:paraId="66B15483" w14:textId="77777777" w:rsidR="00D04A5F" w:rsidRPr="006A6890" w:rsidRDefault="00D04A5F" w:rsidP="00EA0541">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/2014/05) célja, hogy </w:t>
      </w:r>
    </w:p>
    <w:p w14:paraId="66B15484" w14:textId="186AFB3C" w:rsidR="00D04A5F" w:rsidRPr="006A6890" w:rsidRDefault="00D04A5F" w:rsidP="00780492">
      <w:pPr>
        <w:numPr>
          <w:ilvl w:val="0"/>
          <w:numId w:val="40"/>
        </w:numPr>
        <w:rPr>
          <w:rFonts w:asciiTheme="minorHAnsi" w:hAnsiTheme="minorHAnsi"/>
        </w:rPr>
      </w:pPr>
      <w:r w:rsidRPr="006A6890">
        <w:rPr>
          <w:rFonts w:asciiTheme="minorHAnsi" w:hAnsiTheme="minorHAnsi"/>
        </w:rPr>
        <w:t>követelményeket határozz</w:t>
      </w:r>
      <w:r w:rsidR="00B30147" w:rsidRPr="006A6890">
        <w:rPr>
          <w:rFonts w:asciiTheme="minorHAnsi" w:hAnsiTheme="minorHAnsi"/>
        </w:rPr>
        <w:t>anak</w:t>
      </w:r>
      <w:r w:rsidRPr="006A6890">
        <w:rPr>
          <w:rFonts w:asciiTheme="minorHAnsi" w:hAnsiTheme="minorHAnsi"/>
        </w:rPr>
        <w:t xml:space="preserve"> meg azon kezdeményező intézmények számára, akik az értékpapírosított kitettségekhez tartozó jelentős mértékű hitelkockázatot 3. félre kívánják 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B34F002" w:rsidR="00D04A5F" w:rsidRPr="006A6890" w:rsidRDefault="00D04A5F" w:rsidP="00780492">
      <w:pPr>
        <w:numPr>
          <w:ilvl w:val="0"/>
          <w:numId w:val="40"/>
        </w:numPr>
        <w:rPr>
          <w:rFonts w:asciiTheme="minorHAnsi" w:hAnsiTheme="minorHAnsi"/>
        </w:rPr>
      </w:pPr>
      <w:r w:rsidRPr="006A6890">
        <w:rPr>
          <w:rFonts w:asciiTheme="minorHAnsi" w:hAnsiTheme="minorHAnsi"/>
        </w:rPr>
        <w:t>iránymutatást adj</w:t>
      </w:r>
      <w:r w:rsidR="00B30147" w:rsidRPr="006A6890">
        <w:rPr>
          <w:rFonts w:asciiTheme="minorHAnsi" w:hAnsiTheme="minorHAnsi"/>
        </w:rPr>
        <w:t>anak</w:t>
      </w:r>
      <w:r w:rsidRPr="006A6890">
        <w:rPr>
          <w:rFonts w:asciiTheme="minorHAnsi" w:hAnsiTheme="minorHAnsi"/>
        </w:rPr>
        <w:t xml:space="preserve">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6A6890">
        <w:rPr>
          <w:rFonts w:asciiTheme="minorHAnsi" w:hAnsiTheme="minorHAnsi"/>
        </w:rPr>
        <w:t>–</w:t>
      </w:r>
      <w:r w:rsidRPr="006A6890">
        <w:rPr>
          <w:rFonts w:asciiTheme="minorHAnsi" w:hAnsiTheme="minorHAnsi"/>
        </w:rPr>
        <w:t xml:space="preserve"> a csökkentésnek megfelelő mértékű – átruházásának értékeléséhez. </w:t>
      </w:r>
    </w:p>
    <w:p w14:paraId="66B15486" w14:textId="77777777" w:rsidR="00D04A5F" w:rsidRPr="006A6890" w:rsidRDefault="00D04A5F" w:rsidP="00EA0541">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5C32A171" w14:textId="3D8FF109" w:rsidR="00B30147" w:rsidRPr="006A6890" w:rsidRDefault="00B30147" w:rsidP="00EA0541">
      <w:pPr>
        <w:rPr>
          <w:rFonts w:asciiTheme="minorHAnsi" w:hAnsiTheme="minorHAnsi"/>
        </w:rPr>
      </w:pPr>
      <w:r w:rsidRPr="006A6890">
        <w:rPr>
          <w:rFonts w:asciiTheme="minorHAnsi" w:hAnsiTheme="minorHAnsi"/>
        </w:rPr>
        <w:t xml:space="preserve">A 2016. november 24-én megjelent, 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 burkolt támogatásáról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/2016/08) meghatározzák, hogy a CRR 248. cikk (1) bekezdése vonatkozásában mi minősül egyenlő piaci feltételeknek, és milyen ügylet nem irányul támogatás nyújtására.</w:t>
      </w:r>
      <w:r w:rsidRPr="006A6890">
        <w:rPr>
          <w:rFonts w:asciiTheme="minorHAnsi" w:hAnsiTheme="minorHAnsi"/>
        </w:rPr>
        <w:footnoteReference w:id="65"/>
      </w:r>
    </w:p>
    <w:p w14:paraId="66B15487" w14:textId="77777777" w:rsidR="00D04A5F" w:rsidRPr="006A6890" w:rsidRDefault="00D04A5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összes kockázatot, amelyet az intézmények kockázatátadóként, </w:t>
      </w:r>
      <w:proofErr w:type="spellStart"/>
      <w:r w:rsidRPr="006A6890">
        <w:rPr>
          <w:rFonts w:asciiTheme="minorHAnsi" w:hAnsiTheme="minorHAnsi"/>
        </w:rPr>
        <w:t>kockázatátvevőként</w:t>
      </w:r>
      <w:proofErr w:type="spellEnd"/>
      <w:r w:rsidRPr="006A6890">
        <w:rPr>
          <w:rFonts w:asciiTheme="minorHAnsi" w:hAnsiTheme="minorHAnsi"/>
        </w:rPr>
        <w:t xml:space="preserve"> vagy szponzorként vállalnak fel, a 2. pillérben értékelni és kezelni szükséges. </w:t>
      </w:r>
    </w:p>
    <w:p w14:paraId="5667D6B5" w14:textId="68A4BF9C" w:rsidR="000C2470" w:rsidRPr="006A6890" w:rsidRDefault="00D04A5F" w:rsidP="00EA0541">
      <w:pPr>
        <w:rPr>
          <w:rFonts w:asciiTheme="minorHAnsi" w:hAnsiTheme="minorHAnsi"/>
        </w:rPr>
      </w:pPr>
      <w:r w:rsidRPr="006A6890">
        <w:rPr>
          <w:rFonts w:asciiTheme="minorHAnsi" w:hAnsiTheme="minorHAnsi"/>
        </w:rPr>
        <w:t xml:space="preserve">Az MNB az ICAAP felülvizsgálat keretében elvárja, hogy az intézmények </w:t>
      </w:r>
      <w:proofErr w:type="spellStart"/>
      <w:r w:rsidRPr="006A6890">
        <w:rPr>
          <w:rFonts w:asciiTheme="minorHAnsi" w:hAnsiTheme="minorHAnsi"/>
        </w:rPr>
        <w:t>materialitástól</w:t>
      </w:r>
      <w:proofErr w:type="spellEnd"/>
      <w:r w:rsidRPr="006A6890">
        <w:rPr>
          <w:rFonts w:asciiTheme="minorHAnsi" w:hAnsiTheme="minorHAnsi"/>
        </w:rPr>
        <w:t xml:space="preserve"> függetlenül az összes értékpapírosított pozícióba betekintést engedjenek, továbbá demonstrálják az </w:t>
      </w:r>
      <w:proofErr w:type="spellStart"/>
      <w:r w:rsidRPr="006A6890">
        <w:rPr>
          <w:rFonts w:asciiTheme="minorHAnsi" w:hAnsiTheme="minorHAnsi"/>
        </w:rPr>
        <w:t>értékpapírosítás</w:t>
      </w:r>
      <w:proofErr w:type="spellEnd"/>
      <w:r w:rsidRPr="006A6890">
        <w:rPr>
          <w:rFonts w:asciiTheme="minorHAnsi" w:hAnsiTheme="minorHAnsi"/>
        </w:rPr>
        <w:t xml:space="preserve"> alapjául szolgáló mögöttes portfólió kockázatainak módszeres </w:t>
      </w:r>
      <w:r w:rsidR="000A68C3" w:rsidRPr="006A6890">
        <w:rPr>
          <w:rFonts w:asciiTheme="minorHAnsi" w:hAnsiTheme="minorHAnsi"/>
        </w:rPr>
        <w:t>nyomon követését</w:t>
      </w:r>
      <w:r w:rsidRPr="006A6890">
        <w:rPr>
          <w:rFonts w:asciiTheme="minorHAnsi" w:hAnsiTheme="minorHAnsi"/>
        </w:rPr>
        <w:t>. A vonatkozó kockázati súlyok, illetve tőkekövetelmény megállapítása során az MNB a CRR-ben</w:t>
      </w:r>
      <w:r w:rsidR="00B30147" w:rsidRPr="006A6890">
        <w:rPr>
          <w:rFonts w:asciiTheme="minorHAnsi" w:hAnsiTheme="minorHAnsi"/>
        </w:rPr>
        <w:t xml:space="preserve">, a kapcsolódó másodszintű </w:t>
      </w:r>
      <w:r w:rsidR="00B30147" w:rsidRPr="006A6890">
        <w:rPr>
          <w:rFonts w:asciiTheme="minorHAnsi" w:hAnsiTheme="minorHAnsi"/>
        </w:rPr>
        <w:lastRenderedPageBreak/>
        <w:t xml:space="preserve">jogszabályokban és az </w:t>
      </w:r>
      <w:proofErr w:type="spellStart"/>
      <w:r w:rsidR="00B30147" w:rsidRPr="006A6890">
        <w:rPr>
          <w:rFonts w:asciiTheme="minorHAnsi" w:hAnsiTheme="minorHAnsi"/>
        </w:rPr>
        <w:t>EBA</w:t>
      </w:r>
      <w:proofErr w:type="spellEnd"/>
      <w:r w:rsidR="00B30147" w:rsidRPr="006A6890">
        <w:rPr>
          <w:rFonts w:asciiTheme="minorHAnsi" w:hAnsiTheme="minorHAnsi"/>
        </w:rPr>
        <w:t xml:space="preserve"> iránymutatásokban</w:t>
      </w:r>
      <w:r w:rsidRPr="006A6890">
        <w:rPr>
          <w:rFonts w:asciiTheme="minorHAnsi" w:hAnsiTheme="minorHAnsi"/>
        </w:rPr>
        <w:t xml:space="preserve">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Heading4"/>
        <w:rPr>
          <w:rFonts w:asciiTheme="minorHAnsi" w:hAnsiTheme="minorHAnsi"/>
        </w:rPr>
      </w:pPr>
      <w:bookmarkStart w:id="829" w:name="_Toc461095219"/>
      <w:bookmarkStart w:id="830" w:name="_Toc461179875"/>
      <w:bookmarkStart w:id="831" w:name="_Toc461201318"/>
      <w:bookmarkStart w:id="832" w:name="_Toc461547961"/>
      <w:bookmarkStart w:id="833" w:name="_Toc462402000"/>
      <w:bookmarkStart w:id="834" w:name="_Toc462403121"/>
      <w:bookmarkStart w:id="835" w:name="_Toc462403445"/>
      <w:bookmarkStart w:id="836" w:name="_Toc468180564"/>
      <w:bookmarkStart w:id="837" w:name="_Toc468181073"/>
      <w:bookmarkStart w:id="838" w:name="_Toc468191459"/>
      <w:bookmarkStart w:id="839" w:name="_Toc27138975"/>
      <w:r w:rsidRPr="006A6890">
        <w:rPr>
          <w:rFonts w:asciiTheme="minorHAnsi" w:hAnsiTheme="minorHAnsi"/>
        </w:rPr>
        <w:t>Koncentrációs kockázat</w:t>
      </w:r>
      <w:bookmarkEnd w:id="829"/>
      <w:bookmarkEnd w:id="830"/>
      <w:bookmarkEnd w:id="831"/>
      <w:bookmarkEnd w:id="832"/>
      <w:bookmarkEnd w:id="833"/>
      <w:bookmarkEnd w:id="834"/>
      <w:bookmarkEnd w:id="835"/>
      <w:bookmarkEnd w:id="836"/>
      <w:bookmarkEnd w:id="837"/>
      <w:bookmarkEnd w:id="838"/>
      <w:bookmarkEnd w:id="839"/>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w:t>
      </w:r>
      <w:proofErr w:type="spellStart"/>
      <w:r w:rsidRPr="006A6890">
        <w:rPr>
          <w:rFonts w:asciiTheme="minorHAnsi" w:hAnsiTheme="minorHAnsi"/>
        </w:rPr>
        <w:t>intra-risk</w:t>
      </w:r>
      <w:proofErr w:type="spellEnd"/>
      <w:r w:rsidRPr="006A6890">
        <w:rPr>
          <w:rFonts w:asciiTheme="minorHAnsi" w:hAnsiTheme="minorHAnsi"/>
        </w:rPr>
        <w:t>), vagy különböző kockázattípusoknál együttesen (</w:t>
      </w:r>
      <w:proofErr w:type="spellStart"/>
      <w:r w:rsidRPr="006A6890">
        <w:rPr>
          <w:rFonts w:asciiTheme="minorHAnsi" w:hAnsiTheme="minorHAnsi"/>
        </w:rPr>
        <w:t>inter-risk</w:t>
      </w:r>
      <w:proofErr w:type="spellEnd"/>
      <w:r w:rsidRPr="006A6890">
        <w:rPr>
          <w:rFonts w:asciiTheme="minorHAnsi" w:hAnsiTheme="minorHAnsi"/>
        </w:rPr>
        <w:t>)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66"/>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Koncentrációs mérőszámok szerinti limitek alkalmazása, amelynél a limitek kialakításához az intézménynek világos kockázatvállalási politikával kell rendelkeznie, és folyamatos </w:t>
      </w:r>
      <w:proofErr w:type="spellStart"/>
      <w:r w:rsidRPr="006A6890">
        <w:rPr>
          <w:rFonts w:asciiTheme="minorHAnsi" w:hAnsiTheme="minorHAnsi"/>
        </w:rPr>
        <w:t>monitoringot</w:t>
      </w:r>
      <w:proofErr w:type="spellEnd"/>
      <w:r w:rsidRPr="006A6890">
        <w:rPr>
          <w:rFonts w:asciiTheme="minorHAnsi" w:hAnsiTheme="minorHAnsi"/>
        </w:rPr>
        <w:t xml:space="preserve">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kockázatok piaci instrumentumokká való átalakítása és „eladása” során az intézmény strukturált </w:t>
      </w:r>
      <w:proofErr w:type="spellStart"/>
      <w:r w:rsidRPr="006A6890">
        <w:rPr>
          <w:rFonts w:asciiTheme="minorHAnsi" w:hAnsiTheme="minorHAnsi"/>
        </w:rPr>
        <w:t>értékpapírosítás</w:t>
      </w:r>
      <w:proofErr w:type="spellEnd"/>
      <w:r w:rsidRPr="006A6890">
        <w:rPr>
          <w:rFonts w:asciiTheme="minorHAnsi" w:hAnsiTheme="minorHAnsi"/>
        </w:rPr>
        <w:t xml:space="preserve"> vagy </w:t>
      </w:r>
      <w:proofErr w:type="spellStart"/>
      <w:r w:rsidRPr="006A6890">
        <w:rPr>
          <w:rFonts w:asciiTheme="minorHAnsi" w:hAnsiTheme="minorHAnsi"/>
        </w:rPr>
        <w:t>hitelderivatívák</w:t>
      </w:r>
      <w:proofErr w:type="spellEnd"/>
      <w:r w:rsidRPr="006A6890">
        <w:rPr>
          <w:rFonts w:asciiTheme="minorHAnsi" w:hAnsiTheme="minorHAnsi"/>
        </w:rPr>
        <w:t>,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 xml:space="preserve">Sok intézmény a szabályozói tőkeelváráson túl is allokál tőkét a koncentrációs kockázatok fedezetére, de gyakran nem </w:t>
      </w:r>
      <w:proofErr w:type="spellStart"/>
      <w:r w:rsidRPr="006A6890">
        <w:rPr>
          <w:rFonts w:asciiTheme="minorHAnsi" w:hAnsiTheme="minorHAnsi"/>
        </w:rPr>
        <w:t>elkülönülten</w:t>
      </w:r>
      <w:proofErr w:type="spellEnd"/>
      <w:r w:rsidRPr="006A6890">
        <w:rPr>
          <w:rFonts w:asciiTheme="minorHAnsi" w:hAnsiTheme="minorHAnsi"/>
        </w:rPr>
        <w:t>,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eredményezve. Hitelkockázat esetében például a portfólió tökéletes </w:t>
      </w:r>
      <w:proofErr w:type="spellStart"/>
      <w:r w:rsidRPr="006A6890">
        <w:rPr>
          <w:rFonts w:asciiTheme="minorHAnsi" w:hAnsiTheme="minorHAnsi"/>
        </w:rPr>
        <w:t>granularitását</w:t>
      </w:r>
      <w:proofErr w:type="spellEnd"/>
      <w:r w:rsidRPr="006A6890">
        <w:rPr>
          <w:rFonts w:asciiTheme="minorHAnsi" w:hAnsiTheme="minorHAnsi"/>
        </w:rPr>
        <w:t xml:space="preserve"> feltételező IRB-módszer már viszonylag mérsékelt </w:t>
      </w:r>
      <w:proofErr w:type="spellStart"/>
      <w:r w:rsidRPr="006A6890">
        <w:rPr>
          <w:rFonts w:asciiTheme="minorHAnsi" w:hAnsiTheme="minorHAnsi"/>
        </w:rPr>
        <w:t>szektorális</w:t>
      </w:r>
      <w:proofErr w:type="spellEnd"/>
      <w:r w:rsidRPr="006A6890">
        <w:rPr>
          <w:rFonts w:asciiTheme="minorHAnsi" w:hAnsiTheme="minorHAnsi"/>
        </w:rPr>
        <w:t xml:space="preserve"> vagy terméktípus szerinti koncentráció esetén is akár 20-40 százalékkal </w:t>
      </w:r>
      <w:proofErr w:type="spellStart"/>
      <w:r w:rsidRPr="006A6890">
        <w:rPr>
          <w:rFonts w:asciiTheme="minorHAnsi" w:hAnsiTheme="minorHAnsi"/>
        </w:rPr>
        <w:t>alulbecsülheti</w:t>
      </w:r>
      <w:proofErr w:type="spellEnd"/>
      <w:r w:rsidRPr="006A6890">
        <w:rPr>
          <w:rFonts w:asciiTheme="minorHAnsi" w:hAnsiTheme="minorHAnsi"/>
        </w:rPr>
        <w:t xml:space="preserve">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w:t>
      </w:r>
      <w:proofErr w:type="spellStart"/>
      <w:r w:rsidRPr="006A6890">
        <w:rPr>
          <w:rFonts w:asciiTheme="minorHAnsi" w:hAnsiTheme="minorHAnsi"/>
        </w:rPr>
        <w:t>szektorális</w:t>
      </w:r>
      <w:proofErr w:type="spellEnd"/>
      <w:r w:rsidRPr="006A6890">
        <w:rPr>
          <w:rFonts w:asciiTheme="minorHAnsi" w:hAnsiTheme="minorHAnsi"/>
        </w:rPr>
        <w:t xml:space="preserve">, terméktípus szerint, </w:t>
      </w:r>
      <w:proofErr w:type="spellStart"/>
      <w:r w:rsidRPr="006A6890">
        <w:rPr>
          <w:rFonts w:asciiTheme="minorHAnsi" w:hAnsiTheme="minorHAnsi"/>
        </w:rPr>
        <w:t>denominációhoz</w:t>
      </w:r>
      <w:proofErr w:type="spellEnd"/>
      <w:r w:rsidRPr="006A6890">
        <w:rPr>
          <w:rFonts w:asciiTheme="minorHAnsi" w:hAnsiTheme="minorHAnsi"/>
        </w:rPr>
        <w:t xml:space="preserve"> kötötten, kockázatokon belül vagy azok között stb.), a koncentráció azonosítása és prudens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t xml:space="preserve">Az MNB minden intézmény esetében vélelmezi a koncentrációs kockázat </w:t>
      </w:r>
      <w:proofErr w:type="spellStart"/>
      <w:r w:rsidRPr="006A6890">
        <w:rPr>
          <w:rFonts w:asciiTheme="minorHAnsi" w:hAnsiTheme="minorHAnsi"/>
        </w:rPr>
        <w:t>materialitását</w:t>
      </w:r>
      <w:proofErr w:type="spellEnd"/>
      <w:r w:rsidRPr="006A6890">
        <w:rPr>
          <w:rFonts w:asciiTheme="minorHAnsi" w:hAnsiTheme="minorHAnsi"/>
        </w:rPr>
        <w: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6A6890">
        <w:rPr>
          <w:rFonts w:asciiTheme="minorHAnsi" w:hAnsiTheme="minorHAnsi"/>
        </w:rPr>
        <w:footnoteReference w:id="67"/>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lastRenderedPageBreak/>
        <w:t>A gyakorlat az egyedileg jelölt (megnevezett) „kisszámú csoport” eseteire a nagykockázati kitettség megnevezést használja.</w:t>
      </w:r>
      <w:r w:rsidRPr="006A6890">
        <w:rPr>
          <w:rFonts w:asciiTheme="minorHAnsi" w:hAnsiTheme="minorHAnsi"/>
        </w:rPr>
        <w:footnoteReference w:id="68"/>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w:t>
      </w:r>
      <w:proofErr w:type="spellStart"/>
      <w:r w:rsidRPr="006A6890">
        <w:rPr>
          <w:rFonts w:asciiTheme="minorHAnsi" w:hAnsiTheme="minorHAnsi"/>
        </w:rPr>
        <w:t>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proofErr w:type="spellEnd"/>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xml:space="preserve">)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w:t>
      </w:r>
      <w:proofErr w:type="spellStart"/>
      <w:r w:rsidRPr="006A6890">
        <w:rPr>
          <w:rFonts w:asciiTheme="minorHAnsi" w:hAnsiTheme="minorHAnsi"/>
        </w:rPr>
        <w:t>ágazatbeli</w:t>
      </w:r>
      <w:proofErr w:type="spellEnd"/>
      <w:r w:rsidRPr="006A6890">
        <w:rPr>
          <w:rFonts w:asciiTheme="minorHAnsi" w:hAnsiTheme="minorHAnsi"/>
        </w:rPr>
        <w:t xml:space="preserve">, </w:t>
      </w:r>
      <w:proofErr w:type="spellStart"/>
      <w:r w:rsidRPr="006A6890">
        <w:rPr>
          <w:rFonts w:asciiTheme="minorHAnsi" w:hAnsiTheme="minorHAnsi"/>
        </w:rPr>
        <w:t>régióbeli</w:t>
      </w:r>
      <w:proofErr w:type="spellEnd"/>
      <w:r w:rsidRPr="006A6890">
        <w:rPr>
          <w:rFonts w:asciiTheme="minorHAnsi" w:hAnsiTheme="minorHAnsi"/>
        </w:rPr>
        <w:t xml:space="preserve">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w:t>
      </w:r>
      <w:proofErr w:type="spellStart"/>
      <w:r w:rsidRPr="006A6890">
        <w:rPr>
          <w:rFonts w:asciiTheme="minorHAnsi" w:hAnsiTheme="minorHAnsi"/>
        </w:rPr>
        <w:t>alulbecsli</w:t>
      </w:r>
      <w:proofErr w:type="spellEnd"/>
      <w:r w:rsidRPr="006A6890">
        <w:rPr>
          <w:rFonts w:asciiTheme="minorHAnsi" w:hAnsiTheme="minorHAnsi"/>
        </w:rPr>
        <w:t>.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33D2B2CC" w:rsidR="009C5005" w:rsidRPr="006A6890"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IRB szimuláció </w:t>
      </w:r>
      <w:proofErr w:type="spellStart"/>
      <w:r w:rsidR="00620677" w:rsidRPr="006A6890">
        <w:rPr>
          <w:rFonts w:asciiTheme="minorHAnsi" w:hAnsiTheme="minorHAnsi"/>
        </w:rPr>
        <w:t>segítsével</w:t>
      </w:r>
      <w:proofErr w:type="spellEnd"/>
      <w:r w:rsidR="00620677" w:rsidRPr="006A6890">
        <w:rPr>
          <w:rFonts w:asciiTheme="minorHAnsi" w:hAnsiTheme="minorHAnsi"/>
        </w:rPr>
        <w:t xml:space="preserve"> méri fel a felügyelt intézményeknél függetlenül attól, hogy az adott intézmény más módszertan segítségével méri fel koncentrációs kockázatát (pl. portfóliómodellen belüli kezelés, </w:t>
      </w:r>
      <w:proofErr w:type="spellStart"/>
      <w:r w:rsidR="00620677" w:rsidRPr="006A6890">
        <w:rPr>
          <w:rFonts w:asciiTheme="minorHAnsi" w:hAnsiTheme="minorHAnsi"/>
        </w:rPr>
        <w:t>Gordy-Lütkebohmert</w:t>
      </w:r>
      <w:proofErr w:type="spellEnd"/>
      <w:r w:rsidR="00620677" w:rsidRPr="006A6890">
        <w:rPr>
          <w:rFonts w:asciiTheme="minorHAnsi" w:hAnsiTheme="minorHAnsi"/>
        </w:rPr>
        <w:t xml:space="preserve"> modell,</w:t>
      </w:r>
      <w:r w:rsidR="005227B4" w:rsidRPr="006A6890">
        <w:rPr>
          <w:rFonts w:asciiTheme="minorHAnsi" w:hAnsiTheme="minorHAnsi"/>
        </w:rPr>
        <w:t xml:space="preserve"> </w:t>
      </w:r>
      <w:proofErr w:type="spellStart"/>
      <w:r w:rsidR="005227B4" w:rsidRPr="006A6890">
        <w:rPr>
          <w:rFonts w:asciiTheme="minorHAnsi" w:hAnsiTheme="minorHAnsi"/>
        </w:rPr>
        <w:t>Herfindahl</w:t>
      </w:r>
      <w:proofErr w:type="spellEnd"/>
      <w:r w:rsidR="005227B4" w:rsidRPr="006A6890">
        <w:rPr>
          <w:rFonts w:asciiTheme="minorHAnsi" w:hAnsiTheme="minorHAnsi"/>
        </w:rPr>
        <w:t>–Hirschman-index,</w:t>
      </w:r>
      <w:r w:rsidR="00620677" w:rsidRPr="006A6890">
        <w:rPr>
          <w:rFonts w:asciiTheme="minorHAnsi" w:hAnsiTheme="minorHAnsi"/>
        </w:rPr>
        <w:t xml:space="preserve"> egyéb szimulációs technikák).</w:t>
      </w:r>
    </w:p>
    <w:p w14:paraId="3522174C" w14:textId="2B437D9B" w:rsidR="009C5005" w:rsidRPr="006A6890" w:rsidRDefault="009C5005" w:rsidP="00181755">
      <w:pPr>
        <w:rPr>
          <w:rFonts w:asciiTheme="minorHAnsi" w:hAnsiTheme="minorHAnsi"/>
          <w:u w:val="single"/>
        </w:rPr>
      </w:pPr>
      <w:proofErr w:type="spellStart"/>
      <w:r w:rsidRPr="006A6890">
        <w:rPr>
          <w:rFonts w:asciiTheme="minorHAnsi" w:hAnsiTheme="minorHAnsi"/>
          <w:u w:val="single"/>
        </w:rPr>
        <w:t>Hiányó</w:t>
      </w:r>
      <w:proofErr w:type="spellEnd"/>
      <w:r w:rsidRPr="006A6890">
        <w:rPr>
          <w:rFonts w:asciiTheme="minorHAnsi" w:hAnsiTheme="minorHAnsi"/>
          <w:u w:val="single"/>
        </w:rPr>
        <w:t xml:space="preserve">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r w:rsidR="002F27F9" w:rsidRPr="006A6890">
        <w:rPr>
          <w:rFonts w:asciiTheme="minorHAnsi" w:hAnsiTheme="minorHAnsi"/>
        </w:rPr>
        <w:t xml:space="preserve">IRB szimuláció segítségével történő számszerűsítését </w:t>
      </w:r>
      <w:r w:rsidR="00256599" w:rsidRPr="006A6890">
        <w:rPr>
          <w:rFonts w:asciiTheme="minorHAnsi" w:hAnsiTheme="minorHAnsi"/>
        </w:rPr>
        <w:t xml:space="preserve">ezen intézmények esetében is. </w:t>
      </w:r>
    </w:p>
    <w:p w14:paraId="57366518" w14:textId="22D7FF7D" w:rsidR="009C5005" w:rsidRPr="006A6890" w:rsidRDefault="00D10A36"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78. cikke alapján </w:t>
      </w:r>
      <w:r w:rsidR="000F616B" w:rsidRPr="006A6890">
        <w:rPr>
          <w:rFonts w:asciiTheme="minorHAnsi" w:hAnsiTheme="minorHAnsi"/>
        </w:rPr>
        <w:t>végrehajtott</w:t>
      </w:r>
      <w:r w:rsidRPr="006A6890">
        <w:rPr>
          <w:rFonts w:asciiTheme="minorHAnsi" w:hAnsiTheme="minorHAnsi"/>
        </w:rPr>
        <w:t xml:space="preserve"> Benchmarking </w:t>
      </w:r>
      <w:proofErr w:type="spellStart"/>
      <w:r w:rsidRPr="006A6890">
        <w:rPr>
          <w:rFonts w:asciiTheme="minorHAnsi" w:hAnsiTheme="minorHAnsi"/>
        </w:rPr>
        <w:t>Exer</w:t>
      </w:r>
      <w:r w:rsidR="001834BC" w:rsidRPr="006A6890">
        <w:rPr>
          <w:rFonts w:asciiTheme="minorHAnsi" w:hAnsiTheme="minorHAnsi"/>
        </w:rPr>
        <w:t>cis</w:t>
      </w:r>
      <w:r w:rsidRPr="006A6890">
        <w:rPr>
          <w:rFonts w:asciiTheme="minorHAnsi" w:hAnsiTheme="minorHAnsi"/>
        </w:rPr>
        <w:t>e</w:t>
      </w:r>
      <w:proofErr w:type="spellEnd"/>
      <w:r w:rsidRPr="006A6890">
        <w:rPr>
          <w:rFonts w:asciiTheme="minorHAnsi" w:hAnsiTheme="minorHAnsi"/>
        </w:rPr>
        <w:t xml:space="preserve"> (V 2.1.</w:t>
      </w:r>
      <w:r w:rsidR="000F616B" w:rsidRPr="006A6890">
        <w:rPr>
          <w:rFonts w:asciiTheme="minorHAnsi" w:hAnsiTheme="minorHAnsi"/>
        </w:rPr>
        <w:t>8</w:t>
      </w:r>
      <w:r w:rsidRPr="006A6890">
        <w:rPr>
          <w:rFonts w:asciiTheme="minorHAnsi" w:hAnsiTheme="minorHAnsi"/>
        </w:rPr>
        <w:t xml:space="preserve">-es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w:t>
      </w:r>
      <w:proofErr w:type="spellStart"/>
      <w:r w:rsidRPr="006A6890">
        <w:rPr>
          <w:rFonts w:asciiTheme="minorHAnsi" w:hAnsiTheme="minorHAnsi"/>
        </w:rPr>
        <w:t>EBA</w:t>
      </w:r>
      <w:proofErr w:type="spellEnd"/>
      <w:r w:rsidRPr="006A6890">
        <w:rPr>
          <w:rFonts w:asciiTheme="minorHAnsi" w:hAnsiTheme="minorHAnsi"/>
        </w:rPr>
        <w:t xml:space="preserve"> ennek a benchmarking folyamatnak a segítése érdekében elemzést és az összehasonlítást segítő adatbázist állított össze. Ennek keretében a </w:t>
      </w:r>
      <w:proofErr w:type="spellStart"/>
      <w:r w:rsidRPr="006A6890">
        <w:rPr>
          <w:rFonts w:asciiTheme="minorHAnsi" w:hAnsiTheme="minorHAnsi"/>
        </w:rPr>
        <w:t>low</w:t>
      </w:r>
      <w:proofErr w:type="spellEnd"/>
      <w:r w:rsidRPr="006A6890">
        <w:rPr>
          <w:rFonts w:asciiTheme="minorHAnsi" w:hAnsiTheme="minorHAnsi"/>
        </w:rPr>
        <w:t xml:space="preserve">-default portfóliókra (szuverén, intézmény, nagyvállalatok) </w:t>
      </w:r>
      <w:proofErr w:type="spellStart"/>
      <w:r w:rsidRPr="006A6890">
        <w:rPr>
          <w:rFonts w:asciiTheme="minorHAnsi" w:hAnsiTheme="minorHAnsi"/>
        </w:rPr>
        <w:t>érhetőek</w:t>
      </w:r>
      <w:proofErr w:type="spellEnd"/>
      <w:r w:rsidRPr="006A6890">
        <w:rPr>
          <w:rFonts w:asciiTheme="minorHAnsi" w:hAnsiTheme="minorHAnsi"/>
        </w:rPr>
        <w:t xml:space="preserve"> el európai bankok </w:t>
      </w:r>
      <w:proofErr w:type="spellStart"/>
      <w:r w:rsidRPr="006A6890">
        <w:rPr>
          <w:rFonts w:asciiTheme="minorHAnsi" w:hAnsiTheme="minorHAnsi"/>
        </w:rPr>
        <w:t>validált</w:t>
      </w:r>
      <w:proofErr w:type="spellEnd"/>
      <w:r w:rsidRPr="006A6890">
        <w:rPr>
          <w:rFonts w:asciiTheme="minorHAnsi" w:hAnsiTheme="minorHAnsi"/>
        </w:rPr>
        <w:t xml:space="preserve"> IRB PD becsléseiről nem publikus statisztikák, amelyből az MNB a medián PD értéket veszi ki saját módszertanában. Azon szuverén adósokra, amelyekre nem érhető el az </w:t>
      </w:r>
      <w:proofErr w:type="spellStart"/>
      <w:r w:rsidRPr="006A6890">
        <w:rPr>
          <w:rFonts w:asciiTheme="minorHAnsi" w:hAnsiTheme="minorHAnsi"/>
        </w:rPr>
        <w:t>EBA</w:t>
      </w:r>
      <w:proofErr w:type="spellEnd"/>
      <w:r w:rsidRPr="006A6890">
        <w:rPr>
          <w:rFonts w:asciiTheme="minorHAnsi" w:hAnsiTheme="minorHAnsi"/>
        </w:rPr>
        <w:t xml:space="preserve"> benchmark PD értéke, ott az elérhető külső minősítések alapján adunk csődvalószínűség becslést, logaritmikus kapcsolatot tételezve fel a minősítési kategória és a PD között. A minősítési kategóriához a 3 nagy nemzetközi minősítő</w:t>
      </w:r>
      <w:r w:rsidRPr="006A6890">
        <w:rPr>
          <w:rStyle w:val="FootnoteReference"/>
          <w:rFonts w:asciiTheme="minorHAnsi" w:hAnsiTheme="minorHAnsi"/>
        </w:rPr>
        <w:footnoteReference w:id="69"/>
      </w:r>
      <w:r w:rsidRPr="006A6890">
        <w:rPr>
          <w:rFonts w:asciiTheme="minorHAnsi" w:hAnsiTheme="minorHAnsi"/>
        </w:rPr>
        <w:t xml:space="preserve"> adatait használjuk fel. Hasonlóan </w:t>
      </w:r>
      <w:r w:rsidRPr="006A6890">
        <w:rPr>
          <w:rFonts w:asciiTheme="minorHAnsi" w:hAnsiTheme="minorHAnsi"/>
        </w:rPr>
        <w:lastRenderedPageBreak/>
        <w:t>a szuverén kitettségekhez, a</w:t>
      </w:r>
      <w:r w:rsidR="00256599" w:rsidRPr="006A6890">
        <w:rPr>
          <w:rFonts w:asciiTheme="minorHAnsi" w:hAnsiTheme="minorHAnsi"/>
        </w:rPr>
        <w:t xml:space="preserve"> pénzügyi intézmények PD paramétereinek meghatározásához a EU </w:t>
      </w:r>
      <w:proofErr w:type="spellStart"/>
      <w:r w:rsidR="00256599" w:rsidRPr="006A6890">
        <w:rPr>
          <w:rFonts w:asciiTheme="minorHAnsi" w:hAnsiTheme="minorHAnsi"/>
        </w:rPr>
        <w:t>bechmark</w:t>
      </w:r>
      <w:proofErr w:type="spellEnd"/>
      <w:r w:rsidR="00256599" w:rsidRPr="006A6890">
        <w:rPr>
          <w:rFonts w:asciiTheme="minorHAnsi" w:hAnsiTheme="minorHAnsi"/>
        </w:rPr>
        <w:t xml:space="preserve"> </w:t>
      </w:r>
      <w:r w:rsidRPr="006A6890">
        <w:rPr>
          <w:rFonts w:asciiTheme="minorHAnsi" w:hAnsiTheme="minorHAnsi"/>
        </w:rPr>
        <w:t xml:space="preserve">alapján a felügyelet számára elérhetővé tett </w:t>
      </w:r>
      <w:r w:rsidR="00256599" w:rsidRPr="006A6890">
        <w:rPr>
          <w:rFonts w:asciiTheme="minorHAnsi" w:hAnsiTheme="minorHAnsi"/>
        </w:rPr>
        <w:t xml:space="preserve">PD-k </w:t>
      </w:r>
      <w:r w:rsidR="00AE18B6" w:rsidRPr="006A6890">
        <w:rPr>
          <w:rFonts w:asciiTheme="minorHAnsi" w:hAnsiTheme="minorHAnsi"/>
        </w:rPr>
        <w:t xml:space="preserve">értékét emeljük át. Azokra az adósokra, ahol az </w:t>
      </w:r>
      <w:proofErr w:type="spellStart"/>
      <w:r w:rsidR="00AE18B6" w:rsidRPr="006A6890">
        <w:rPr>
          <w:rFonts w:asciiTheme="minorHAnsi" w:hAnsiTheme="minorHAnsi"/>
        </w:rPr>
        <w:t>EBA</w:t>
      </w:r>
      <w:proofErr w:type="spellEnd"/>
      <w:r w:rsidR="00AE18B6" w:rsidRPr="006A6890">
        <w:rPr>
          <w:rFonts w:asciiTheme="minorHAnsi" w:hAnsiTheme="minorHAnsi"/>
        </w:rPr>
        <w:t xml:space="preserve">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w:t>
      </w:r>
      <w:proofErr w:type="spellStart"/>
      <w:r w:rsidRPr="006A6890">
        <w:rPr>
          <w:rFonts w:asciiTheme="minorHAnsi" w:hAnsiTheme="minorHAnsi"/>
        </w:rPr>
        <w:t>regresszálunk</w:t>
      </w:r>
      <w:proofErr w:type="spellEnd"/>
      <w:r w:rsidRPr="006A6890">
        <w:rPr>
          <w:rFonts w:asciiTheme="minorHAnsi" w:hAnsiTheme="minorHAnsi"/>
        </w:rPr>
        <w:t xml:space="preserve"> PD értéket</w:t>
      </w:r>
      <w:r w:rsidR="001305C0" w:rsidRPr="006A6890">
        <w:rPr>
          <w:rStyle w:val="FootnoteReference"/>
          <w:rFonts w:asciiTheme="minorHAnsi" w:hAnsiTheme="minorHAnsi"/>
        </w:rPr>
        <w:footnoteReference w:id="70"/>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 xml:space="preserve">z MNB a szimuláció során az IRB tőkefüggvények mögötti egyfaktoros modellből indul ki, azaz szimulációs lépésenként generál egy </w:t>
      </w:r>
      <w:proofErr w:type="spellStart"/>
      <w:r w:rsidR="00620677" w:rsidRPr="006A6890">
        <w:rPr>
          <w:rFonts w:asciiTheme="minorHAnsi" w:hAnsiTheme="minorHAnsi"/>
        </w:rPr>
        <w:t>tételenként</w:t>
      </w:r>
      <w:proofErr w:type="spellEnd"/>
      <w:r w:rsidR="00620677" w:rsidRPr="006A6890">
        <w:rPr>
          <w:rFonts w:asciiTheme="minorHAnsi" w:hAnsiTheme="minorHAnsi"/>
        </w:rPr>
        <w:t xml:space="preserve"> egységes realizációt a szisztematikus, valamint </w:t>
      </w:r>
      <w:proofErr w:type="spellStart"/>
      <w:r w:rsidR="00620677" w:rsidRPr="006A6890">
        <w:rPr>
          <w:rFonts w:asciiTheme="minorHAnsi" w:hAnsiTheme="minorHAnsi"/>
        </w:rPr>
        <w:t>tételenként</w:t>
      </w:r>
      <w:proofErr w:type="spellEnd"/>
      <w:r w:rsidR="00620677" w:rsidRPr="006A6890">
        <w:rPr>
          <w:rFonts w:asciiTheme="minorHAnsi" w:hAnsiTheme="minorHAnsi"/>
        </w:rPr>
        <w:t xml:space="preserve">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sidRPr="006A6890">
        <w:rPr>
          <w:rFonts w:asciiTheme="minorHAnsi" w:hAnsiTheme="minorHAnsi"/>
        </w:rPr>
        <w:t>PD/</w:t>
      </w:r>
      <w:proofErr w:type="spellStart"/>
      <w:r w:rsidR="005C695F" w:rsidRPr="006A6890">
        <w:rPr>
          <w:rFonts w:asciiTheme="minorHAnsi" w:hAnsiTheme="minorHAnsi"/>
        </w:rPr>
        <w:t>LGD</w:t>
      </w:r>
      <w:proofErr w:type="spellEnd"/>
      <w:r w:rsidR="005C695F" w:rsidRPr="006A6890">
        <w:rPr>
          <w:rFonts w:asciiTheme="minorHAnsi" w:hAnsiTheme="minorHAnsi"/>
        </w:rPr>
        <w:t xml:space="preserve">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840"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840"/>
      <w:r w:rsidR="003C3140" w:rsidRPr="006A6890">
        <w:rPr>
          <w:rFonts w:asciiTheme="minorHAnsi" w:hAnsiTheme="minorHAnsi"/>
        </w:rPr>
        <w:t>,</w:t>
      </w:r>
      <w:r w:rsidR="007819A4" w:rsidRPr="006A6890">
        <w:rPr>
          <w:rFonts w:asciiTheme="minorHAnsi" w:hAnsiTheme="minorHAnsi"/>
        </w:rPr>
        <w:t xml:space="preserve"> és potenciális együttes </w:t>
      </w:r>
      <w:proofErr w:type="spellStart"/>
      <w:r w:rsidR="007819A4" w:rsidRPr="006A6890">
        <w:rPr>
          <w:rFonts w:asciiTheme="minorHAnsi" w:hAnsiTheme="minorHAnsi"/>
        </w:rPr>
        <w:t>defaultjuk</w:t>
      </w:r>
      <w:proofErr w:type="spellEnd"/>
      <w:r w:rsidR="007819A4" w:rsidRPr="006A6890">
        <w:rPr>
          <w:rFonts w:asciiTheme="minorHAnsi" w:hAnsiTheme="minorHAnsi"/>
        </w:rPr>
        <w:t xml:space="preserve">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(PD, </w:t>
      </w:r>
      <w:proofErr w:type="spellStart"/>
      <w:r w:rsidR="006759B5" w:rsidRPr="006A6890">
        <w:rPr>
          <w:rFonts w:asciiTheme="minorHAnsi" w:hAnsiTheme="minorHAnsi"/>
        </w:rPr>
        <w:t>LGD</w:t>
      </w:r>
      <w:proofErr w:type="spellEnd"/>
      <w:r w:rsidR="006759B5" w:rsidRPr="006A6890">
        <w:rPr>
          <w:rFonts w:asciiTheme="minorHAnsi" w:hAnsiTheme="minorHAnsi"/>
        </w:rPr>
        <w:t xml:space="preserve">, R) </w:t>
      </w:r>
      <w:r w:rsidR="005C695F" w:rsidRPr="006A6890">
        <w:rPr>
          <w:rFonts w:asciiTheme="minorHAnsi" w:hAnsiTheme="minorHAnsi"/>
        </w:rPr>
        <w:t>EAD*</w:t>
      </w:r>
      <w:proofErr w:type="spellStart"/>
      <w:r w:rsidR="005C695F" w:rsidRPr="006A6890">
        <w:rPr>
          <w:rFonts w:asciiTheme="minorHAnsi" w:hAnsiTheme="minorHAnsi"/>
        </w:rPr>
        <w:t>LGD</w:t>
      </w:r>
      <w:proofErr w:type="spellEnd"/>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a granularitási limitet</w:t>
      </w:r>
      <w:r w:rsidR="006615A1" w:rsidRPr="006A6890">
        <w:rPr>
          <w:rFonts w:asciiTheme="minorHAnsi" w:hAnsiTheme="minorHAnsi"/>
        </w:rPr>
        <w:footnoteReference w:id="71"/>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granuláris része, melyekre IRB szimulációt alkalmaz, valamint a </w:t>
      </w:r>
      <w:r w:rsidR="006615A1" w:rsidRPr="006A6890">
        <w:rPr>
          <w:rFonts w:asciiTheme="minorHAnsi" w:hAnsiTheme="minorHAnsi"/>
        </w:rPr>
        <w:t>granularitási limitet meg nem haladó kitettséggel rendelkező</w:t>
      </w:r>
      <w:r w:rsidR="00D9278B" w:rsidRPr="006A6890">
        <w:rPr>
          <w:rFonts w:asciiTheme="minorHAnsi" w:hAnsiTheme="minorHAnsi"/>
        </w:rPr>
        <w:t xml:space="preserve">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granuláris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w:t>
      </w:r>
      <w:proofErr w:type="spellStart"/>
      <w:r w:rsidR="00D9278B" w:rsidRPr="006A6890">
        <w:rPr>
          <w:rFonts w:asciiTheme="minorHAnsi" w:hAnsiTheme="minorHAnsi"/>
        </w:rPr>
        <w:t>percentilis</w:t>
      </w:r>
      <w:r w:rsidR="00CF51A7" w:rsidRPr="006A6890">
        <w:rPr>
          <w:rFonts w:asciiTheme="minorHAnsi" w:hAnsiTheme="minorHAnsi"/>
        </w:rPr>
        <w:t>ének</w:t>
      </w:r>
      <w:proofErr w:type="spellEnd"/>
      <w:r w:rsidR="00CF51A7" w:rsidRPr="006A6890">
        <w:rPr>
          <w:rFonts w:asciiTheme="minorHAnsi" w:hAnsiTheme="minorHAnsi"/>
        </w:rPr>
        <w:t xml:space="preserve">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IRB”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t>módszertanban</w:t>
      </w:r>
      <w:r w:rsidR="00CF51A7" w:rsidRPr="006A6890">
        <w:rPr>
          <w:rFonts w:asciiTheme="minorHAnsi" w:hAnsiTheme="minorHAnsi"/>
        </w:rPr>
        <w:t xml:space="preserve"> sem </w:t>
      </w:r>
      <w:proofErr w:type="spellStart"/>
      <w:r w:rsidR="00CF51A7" w:rsidRPr="006A6890">
        <w:rPr>
          <w:rFonts w:asciiTheme="minorHAnsi" w:hAnsiTheme="minorHAnsi"/>
        </w:rPr>
        <w:t>vehetőek</w:t>
      </w:r>
      <w:proofErr w:type="spellEnd"/>
      <w:r w:rsidR="00CF51A7" w:rsidRPr="006A6890">
        <w:rPr>
          <w:rFonts w:asciiTheme="minorHAnsi" w:hAnsiTheme="minorHAnsi"/>
        </w:rPr>
        <w:t xml:space="preserve"> figyelembe. Az MNB pótlólagos többlet-tőkekövetelményt</w:t>
      </w:r>
      <w:r w:rsidR="00BD504A" w:rsidRPr="006A6890">
        <w:rPr>
          <w:rFonts w:asciiTheme="minorHAnsi" w:hAnsiTheme="minorHAnsi"/>
        </w:rPr>
        <w:footnoteReference w:id="72"/>
      </w:r>
      <w:r w:rsidR="00CF51A7" w:rsidRPr="006A6890">
        <w:rPr>
          <w:rFonts w:asciiTheme="minorHAnsi" w:hAnsiTheme="minorHAnsi"/>
        </w:rPr>
        <w:t xml:space="preserve"> a koncentrációs kockázatok fedezésére a tisztított IRB,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w:t>
      </w:r>
      <w:proofErr w:type="spellStart"/>
      <w:r w:rsidR="00CF51A7" w:rsidRPr="006A6890">
        <w:rPr>
          <w:rFonts w:asciiTheme="minorHAnsi" w:hAnsiTheme="minorHAnsi"/>
        </w:rPr>
        <w:t>multiplikatív</w:t>
      </w:r>
      <w:proofErr w:type="spellEnd"/>
      <w:r w:rsidR="00CF51A7" w:rsidRPr="006A6890">
        <w:rPr>
          <w:rFonts w:asciiTheme="minorHAnsi" w:hAnsiTheme="minorHAnsi"/>
        </w:rPr>
        <w:t xml:space="preserve"> módon a következőképp számszerűsíti: </w:t>
      </w:r>
    </w:p>
    <w:p w14:paraId="6E253ACD" w14:textId="4F26B3A3" w:rsidR="003E6750" w:rsidRPr="006A6890" w:rsidRDefault="00CF51A7" w:rsidP="00780492">
      <w:pPr>
        <w:pStyle w:val="ListParagraph"/>
        <w:numPr>
          <w:ilvl w:val="0"/>
          <w:numId w:val="64"/>
        </w:numPr>
        <w:rPr>
          <w:rFonts w:asciiTheme="minorHAnsi" w:hAnsiTheme="minorHAnsi"/>
          <w:sz w:val="22"/>
          <w:szCs w:val="22"/>
        </w:rPr>
      </w:pPr>
      <w:r w:rsidRPr="006A6890">
        <w:rPr>
          <w:rFonts w:asciiTheme="minorHAnsi" w:hAnsiTheme="minorHAnsi"/>
          <w:sz w:val="22"/>
          <w:szCs w:val="22"/>
        </w:rPr>
        <w:t>képezi a granularitási korrekció</w:t>
      </w:r>
      <w:r w:rsidR="006432F1" w:rsidRPr="006A6890">
        <w:rPr>
          <w:rFonts w:asciiTheme="minorHAnsi" w:hAnsiTheme="minorHAnsi"/>
          <w:sz w:val="22"/>
          <w:szCs w:val="22"/>
          <w:lang w:val="hu-HU"/>
        </w:rPr>
        <w:t xml:space="preserve"> utáni IRB tőkekövetelményt, ahol az IRB tőkekövetelmény az 1,06-os </w:t>
      </w:r>
      <w:proofErr w:type="spellStart"/>
      <w:r w:rsidR="006432F1" w:rsidRPr="006A6890">
        <w:rPr>
          <w:rFonts w:asciiTheme="minorHAnsi" w:hAnsiTheme="minorHAnsi"/>
          <w:sz w:val="22"/>
          <w:szCs w:val="22"/>
          <w:lang w:val="hu-HU"/>
        </w:rPr>
        <w:t>szozó</w:t>
      </w:r>
      <w:proofErr w:type="spellEnd"/>
      <w:r w:rsidR="006432F1" w:rsidRPr="006A6890">
        <w:rPr>
          <w:rFonts w:asciiTheme="minorHAnsi" w:hAnsiTheme="minorHAnsi"/>
          <w:sz w:val="22"/>
          <w:szCs w:val="22"/>
          <w:lang w:val="hu-HU"/>
        </w:rPr>
        <w:t xml:space="preserve"> nélküli tényleges (lejárati korrekciót és KKV-szorzót ugyanakkor tartalmazó) tőkekövetelmény, a granularitási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y, valamint a tisztított IRB hányadosa</w:t>
      </w:r>
    </w:p>
    <w:p w14:paraId="453605D7" w14:textId="2E03E19F" w:rsidR="006432F1" w:rsidRPr="006A6890" w:rsidRDefault="006432F1" w:rsidP="00780492">
      <w:pPr>
        <w:pStyle w:val="ListParagraph"/>
        <w:numPr>
          <w:ilvl w:val="0"/>
          <w:numId w:val="64"/>
        </w:numPr>
        <w:rPr>
          <w:rFonts w:asciiTheme="minorHAnsi" w:hAnsiTheme="minorHAnsi"/>
        </w:rPr>
      </w:pPr>
      <w:r w:rsidRPr="006A6890">
        <w:rPr>
          <w:rFonts w:asciiTheme="minorHAnsi" w:hAnsiTheme="minorHAnsi"/>
          <w:sz w:val="22"/>
          <w:szCs w:val="22"/>
          <w:lang w:val="hu-HU"/>
        </w:rPr>
        <w:t xml:space="preserve">az MNB által előírható, a koncentrációs kockázatok fedezését szolgáló többlet-tőkekövetelmény az így kapott, granularitási korrekció utáni IRB tőkekövetelmény és a felügyelt intézmény tényleges (1,06-os és KKV-szorzót, valamint lejárati korrekciót tartalmazó) IRB tőkekövetelményének különbségeként áll elő. </w:t>
      </w:r>
    </w:p>
    <w:p w14:paraId="66B154A5" w14:textId="77777777" w:rsidR="003F7941" w:rsidRPr="006A6890" w:rsidRDefault="003F7941" w:rsidP="00EA0541">
      <w:pPr>
        <w:rPr>
          <w:rFonts w:asciiTheme="minorHAnsi" w:hAnsiTheme="minorHAnsi"/>
        </w:rPr>
      </w:pPr>
      <w:r w:rsidRPr="006A6890">
        <w:rPr>
          <w:rFonts w:asciiTheme="minorHAnsi" w:hAnsiTheme="minorHAnsi"/>
        </w:rPr>
        <w:lastRenderedPageBreak/>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portfóliók koncentrációs mérőszámai (Gini koefficiens, </w:t>
      </w:r>
      <w:proofErr w:type="spellStart"/>
      <w:r w:rsidRPr="006A6890">
        <w:rPr>
          <w:rFonts w:asciiTheme="minorHAnsi" w:hAnsiTheme="minorHAnsi"/>
        </w:rPr>
        <w:t>Herfindahl</w:t>
      </w:r>
      <w:proofErr w:type="spellEnd"/>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6A6890" w:rsidRDefault="003F7941" w:rsidP="00EA0541">
      <w:pPr>
        <w:rPr>
          <w:rFonts w:asciiTheme="minorHAnsi" w:hAnsiTheme="minorHAnsi"/>
        </w:rPr>
      </w:pPr>
      <w:r w:rsidRPr="006A6890">
        <w:rPr>
          <w:rFonts w:asciiTheme="minorHAnsi" w:hAnsiTheme="minorHAnsi"/>
        </w:rPr>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Paragraph"/>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Paragraph"/>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Heading4"/>
        <w:rPr>
          <w:rFonts w:asciiTheme="minorHAnsi" w:hAnsiTheme="minorHAnsi"/>
        </w:rPr>
      </w:pPr>
      <w:bookmarkStart w:id="841" w:name="_Toc461095220"/>
      <w:bookmarkStart w:id="842" w:name="_Toc461179876"/>
      <w:bookmarkStart w:id="843" w:name="_Toc461201319"/>
      <w:bookmarkStart w:id="844" w:name="_Toc461547962"/>
      <w:bookmarkStart w:id="845" w:name="_Toc462402001"/>
      <w:bookmarkStart w:id="846" w:name="_Toc462403122"/>
      <w:bookmarkStart w:id="847" w:name="_Toc462403446"/>
      <w:bookmarkStart w:id="848" w:name="_Toc468180565"/>
      <w:bookmarkStart w:id="849" w:name="_Toc468181074"/>
      <w:bookmarkStart w:id="850" w:name="_Toc468191460"/>
      <w:bookmarkStart w:id="851" w:name="_Toc27138976"/>
      <w:r w:rsidRPr="006A6890">
        <w:rPr>
          <w:rFonts w:asciiTheme="minorHAnsi" w:hAnsiTheme="minorHAnsi"/>
        </w:rPr>
        <w:t>Országkockázat</w:t>
      </w:r>
      <w:bookmarkEnd w:id="841"/>
      <w:bookmarkEnd w:id="842"/>
      <w:bookmarkEnd w:id="843"/>
      <w:bookmarkEnd w:id="844"/>
      <w:bookmarkEnd w:id="845"/>
      <w:bookmarkEnd w:id="846"/>
      <w:bookmarkEnd w:id="847"/>
      <w:bookmarkEnd w:id="848"/>
      <w:bookmarkEnd w:id="849"/>
      <w:bookmarkEnd w:id="850"/>
      <w:bookmarkEnd w:id="851"/>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bookmarkStart w:id="852" w:name="_GoBack"/>
      <w:bookmarkEnd w:id="852"/>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lastRenderedPageBreak/>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központi bankkal szembeni kitettségek kockázati súlya közötti differenciálás </w:t>
      </w:r>
      <w:proofErr w:type="spellStart"/>
      <w:r w:rsidRPr="006A6890">
        <w:rPr>
          <w:rFonts w:asciiTheme="minorHAnsi" w:hAnsiTheme="minorHAnsi"/>
        </w:rPr>
        <w:t>denomináció</w:t>
      </w:r>
      <w:proofErr w:type="spellEnd"/>
      <w:r w:rsidRPr="006A6890">
        <w:rPr>
          <w:rFonts w:asciiTheme="minorHAnsi" w:hAnsiTheme="minorHAnsi"/>
        </w:rPr>
        <w:t xml:space="preserve">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w:t>
      </w:r>
      <w:proofErr w:type="spellStart"/>
      <w:r w:rsidRPr="006A6890">
        <w:rPr>
          <w:rFonts w:asciiTheme="minorHAnsi" w:hAnsiTheme="minorHAnsi"/>
          <w:sz w:val="22"/>
          <w:szCs w:val="22"/>
        </w:rPr>
        <w:t>ügyfelenként</w:t>
      </w:r>
      <w:proofErr w:type="spellEnd"/>
      <w:r w:rsidRPr="006A6890">
        <w:rPr>
          <w:rFonts w:asciiTheme="minorHAnsi" w:hAnsiTheme="minorHAnsi"/>
          <w:sz w:val="22"/>
          <w:szCs w:val="22"/>
        </w:rPr>
        <w:t xml:space="preserve"> és </w:t>
      </w:r>
      <w:proofErr w:type="spellStart"/>
      <w:r w:rsidRPr="006A6890">
        <w:rPr>
          <w:rFonts w:asciiTheme="minorHAnsi" w:hAnsiTheme="minorHAnsi"/>
          <w:sz w:val="22"/>
          <w:szCs w:val="22"/>
        </w:rPr>
        <w:t>összegenként</w:t>
      </w:r>
      <w:proofErr w:type="spellEnd"/>
      <w:r w:rsidRPr="006A6890">
        <w:rPr>
          <w:rFonts w:asciiTheme="minorHAnsi" w:hAnsiTheme="minorHAnsi"/>
          <w:sz w:val="22"/>
          <w:szCs w:val="22"/>
        </w:rPr>
        <w: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E</w:t>
      </w:r>
      <w:proofErr w:type="spellStart"/>
      <w:r w:rsidRPr="006A6890">
        <w:rPr>
          <w:rFonts w:asciiTheme="minorHAnsi" w:hAnsiTheme="minorHAnsi"/>
          <w:sz w:val="22"/>
          <w:szCs w:val="22"/>
        </w:rPr>
        <w:t>gy</w:t>
      </w:r>
      <w:proofErr w:type="spellEnd"/>
      <w:r w:rsidRPr="006A6890">
        <w:rPr>
          <w:rFonts w:asciiTheme="minorHAnsi" w:hAnsiTheme="minorHAnsi"/>
          <w:sz w:val="22"/>
          <w:szCs w:val="22"/>
        </w:rPr>
        <w:t xml:space="preserve">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Paragraph"/>
        <w:numPr>
          <w:ilvl w:val="0"/>
          <w:numId w:val="20"/>
        </w:numPr>
        <w:spacing w:after="240"/>
        <w:ind w:left="771" w:hanging="357"/>
        <w:rPr>
          <w:rFonts w:asciiTheme="minorHAnsi" w:hAnsiTheme="minorHAnsi"/>
        </w:rPr>
      </w:pPr>
      <w:r w:rsidRPr="006A6890">
        <w:rPr>
          <w:rFonts w:asciiTheme="minorHAnsi" w:hAnsiTheme="minorHAnsi"/>
          <w:sz w:val="22"/>
          <w:szCs w:val="22"/>
          <w:lang w:val="hu-HU"/>
        </w:rPr>
        <w:t xml:space="preserve">Határokon átnyúló devizahitelezéssel összefüggő </w:t>
      </w:r>
      <w:proofErr w:type="spellStart"/>
      <w:r w:rsidRPr="006A6890">
        <w:rPr>
          <w:rFonts w:asciiTheme="minorHAnsi" w:hAnsiTheme="minorHAnsi"/>
          <w:sz w:val="22"/>
          <w:szCs w:val="22"/>
          <w:lang w:val="hu-HU"/>
        </w:rPr>
        <w:t>transzferkockázatokat</w:t>
      </w:r>
      <w:proofErr w:type="spellEnd"/>
      <w:r w:rsidRPr="006A6890">
        <w:rPr>
          <w:rFonts w:asciiTheme="minorHAnsi" w:hAnsiTheme="minorHAnsi"/>
          <w:sz w:val="22"/>
          <w:szCs w:val="22"/>
          <w:lang w:val="hu-HU"/>
        </w:rPr>
        <w:t>.</w:t>
      </w:r>
    </w:p>
    <w:p w14:paraId="6F52F9F3" w14:textId="7E369524" w:rsidR="00EA72C5" w:rsidRPr="006A6890" w:rsidRDefault="00EA72C5" w:rsidP="00EA72C5">
      <w:pPr>
        <w:pStyle w:val="Heading4"/>
        <w:rPr>
          <w:rFonts w:asciiTheme="minorHAnsi" w:hAnsiTheme="minorHAnsi"/>
        </w:rPr>
      </w:pPr>
      <w:bookmarkStart w:id="853" w:name="_Toc27138977"/>
      <w:r w:rsidRPr="006A6890">
        <w:rPr>
          <w:rFonts w:asciiTheme="minorHAnsi" w:hAnsiTheme="minorHAnsi"/>
          <w:lang w:val="hu-HU"/>
        </w:rPr>
        <w:t>Egyéb eszközök kockázatai</w:t>
      </w:r>
      <w:bookmarkEnd w:id="853"/>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w:t>
      </w:r>
      <w:r w:rsidRPr="006A6890">
        <w:rPr>
          <w:rFonts w:asciiTheme="minorHAnsi" w:hAnsiTheme="minorHAnsi"/>
        </w:rPr>
        <w:lastRenderedPageBreak/>
        <w:t xml:space="preserve">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w:t>
      </w:r>
      <w:proofErr w:type="spellStart"/>
      <w:r w:rsidRPr="006A6890">
        <w:rPr>
          <w:rFonts w:asciiTheme="minorHAnsi" w:hAnsiTheme="minorHAnsi"/>
        </w:rPr>
        <w:t>NORM.INVERZ</w:t>
      </w:r>
      <w:proofErr w:type="spellEnd"/>
      <w:r w:rsidRPr="006A6890">
        <w:rPr>
          <w:rFonts w:asciiTheme="minorHAnsi" w:hAnsiTheme="minorHAnsi"/>
        </w:rPr>
        <w:t>(0,999;0;S),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854" w:name="_Hitelkockázati_tőkekövetelmény_szám"/>
      <w:bookmarkStart w:id="855" w:name="_Toc378592174"/>
      <w:bookmarkStart w:id="856" w:name="_Toc461095221"/>
      <w:bookmarkStart w:id="857" w:name="_Toc461179877"/>
      <w:bookmarkStart w:id="858" w:name="_Toc461201320"/>
      <w:bookmarkStart w:id="859" w:name="_Toc461547963"/>
      <w:bookmarkStart w:id="860" w:name="_Toc462402002"/>
      <w:bookmarkStart w:id="861" w:name="_Toc462403123"/>
      <w:bookmarkStart w:id="862" w:name="_Toc462403447"/>
      <w:bookmarkStart w:id="863" w:name="_Toc468180566"/>
      <w:bookmarkStart w:id="864" w:name="_Toc468181075"/>
      <w:bookmarkEnd w:id="854"/>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Heading4"/>
        <w:rPr>
          <w:rFonts w:asciiTheme="minorHAnsi" w:hAnsiTheme="minorHAnsi"/>
        </w:rPr>
      </w:pPr>
      <w:bookmarkStart w:id="865" w:name="_Toc468191461"/>
      <w:bookmarkStart w:id="866" w:name="_Toc27138978"/>
      <w:r w:rsidRPr="006A6890">
        <w:rPr>
          <w:rFonts w:asciiTheme="minorHAnsi" w:hAnsiTheme="minorHAnsi"/>
        </w:rPr>
        <w:t>Hitelkockázati tőkekövetelmény számítása</w:t>
      </w:r>
      <w:bookmarkEnd w:id="855"/>
      <w:bookmarkEnd w:id="856"/>
      <w:bookmarkEnd w:id="857"/>
      <w:bookmarkEnd w:id="858"/>
      <w:bookmarkEnd w:id="859"/>
      <w:bookmarkEnd w:id="860"/>
      <w:bookmarkEnd w:id="861"/>
      <w:bookmarkEnd w:id="862"/>
      <w:bookmarkEnd w:id="863"/>
      <w:bookmarkEnd w:id="864"/>
      <w:bookmarkEnd w:id="865"/>
      <w:bookmarkEnd w:id="866"/>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w:t>
      </w:r>
      <w:proofErr w:type="spellStart"/>
      <w:r w:rsidRPr="006A6890">
        <w:rPr>
          <w:rFonts w:asciiTheme="minorHAnsi" w:hAnsiTheme="minorHAnsi"/>
        </w:rPr>
        <w:t>TTC</w:t>
      </w:r>
      <w:proofErr w:type="spellEnd"/>
      <w:r w:rsidRPr="006A6890">
        <w:rPr>
          <w:rFonts w:asciiTheme="minorHAnsi" w:hAnsiTheme="minorHAnsi"/>
        </w:rPr>
        <w:t>), ill</w:t>
      </w:r>
      <w:r w:rsidR="00DF45B3" w:rsidRPr="006A6890">
        <w:rPr>
          <w:rFonts w:asciiTheme="minorHAnsi" w:hAnsiTheme="minorHAnsi"/>
        </w:rPr>
        <w:t>etve</w:t>
      </w:r>
      <w:r w:rsidRPr="006A6890">
        <w:rPr>
          <w:rFonts w:asciiTheme="minorHAnsi" w:hAnsiTheme="minorHAnsi"/>
        </w:rPr>
        <w:t xml:space="preserve"> visszaeséskori (downturn)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(UL)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w:t>
      </w:r>
      <w:proofErr w:type="spellStart"/>
      <w:r w:rsidRPr="006A6890">
        <w:rPr>
          <w:rFonts w:asciiTheme="minorHAnsi" w:hAnsiTheme="minorHAnsi"/>
        </w:rPr>
        <w:t>LGD</w:t>
      </w:r>
      <w:proofErr w:type="spellEnd"/>
      <w:r w:rsidRPr="006A6890">
        <w:rPr>
          <w:rFonts w:asciiTheme="minorHAnsi" w:hAnsiTheme="minorHAnsi"/>
        </w:rPr>
        <w:t xml:space="preserve">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6A6890">
        <w:rPr>
          <w:rFonts w:asciiTheme="minorHAnsi" w:hAnsiTheme="minorHAnsi"/>
        </w:rPr>
        <w:footnoteReference w:id="73"/>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IRB-t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RWA 0,6%-</w:t>
      </w:r>
      <w:proofErr w:type="spellStart"/>
      <w:r w:rsidRPr="006A6890">
        <w:rPr>
          <w:rFonts w:asciiTheme="minorHAnsi" w:hAnsiTheme="minorHAnsi"/>
        </w:rPr>
        <w:t>ának</w:t>
      </w:r>
      <w:proofErr w:type="spellEnd"/>
      <w:r w:rsidRPr="006A6890">
        <w:rPr>
          <w:rFonts w:asciiTheme="minorHAnsi" w:hAnsiTheme="minorHAnsi"/>
        </w:rPr>
        <w:t xml:space="preserve">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proofErr w:type="spellStart"/>
      <w:r w:rsidR="00673AEE" w:rsidRPr="006A6890">
        <w:rPr>
          <w:rFonts w:asciiTheme="minorHAnsi" w:hAnsiTheme="minorHAnsi"/>
        </w:rPr>
        <w:t>EBA</w:t>
      </w:r>
      <w:proofErr w:type="spellEnd"/>
      <w:r w:rsidR="00CA0515"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IRB-t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IRB-t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IRB-t alkalmazó </w:t>
      </w:r>
      <w:r w:rsidR="00A8489E" w:rsidRPr="006A6890">
        <w:rPr>
          <w:rFonts w:asciiTheme="minorHAnsi" w:hAnsiTheme="minorHAnsi"/>
        </w:rPr>
        <w:t>intézmények</w:t>
      </w:r>
      <w:r w:rsidRPr="006A6890">
        <w:rPr>
          <w:rFonts w:asciiTheme="minorHAnsi" w:hAnsiTheme="minorHAnsi"/>
        </w:rPr>
        <w:t xml:space="preserve"> esetében a felülvizsgálat az IRB kockázati paraméterek nem megfelelő megállapítását tárja fel, és ebből adódik az IRB </w:t>
      </w:r>
      <w:proofErr w:type="spellStart"/>
      <w:r w:rsidRPr="006A6890">
        <w:rPr>
          <w:rFonts w:asciiTheme="minorHAnsi" w:hAnsiTheme="minorHAnsi"/>
        </w:rPr>
        <w:t>shortfall</w:t>
      </w:r>
      <w:proofErr w:type="spellEnd"/>
      <w:r w:rsidRPr="006A6890">
        <w:rPr>
          <w:rFonts w:asciiTheme="minorHAnsi" w:hAnsiTheme="minorHAnsi"/>
        </w:rPr>
        <w:t xml:space="preserve">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77777777" w:rsidR="00D34A4C" w:rsidRPr="006A6890" w:rsidRDefault="00D34A4C" w:rsidP="00181755">
      <w:pPr>
        <w:pStyle w:val="Heading4"/>
        <w:rPr>
          <w:rFonts w:asciiTheme="minorHAnsi" w:hAnsiTheme="minorHAnsi"/>
        </w:rPr>
      </w:pPr>
      <w:bookmarkStart w:id="867" w:name="_Toc452540565"/>
      <w:bookmarkStart w:id="868" w:name="_Toc462402003"/>
      <w:bookmarkStart w:id="869" w:name="_Toc462403124"/>
      <w:bookmarkStart w:id="870" w:name="_Toc462403448"/>
      <w:bookmarkStart w:id="871" w:name="_Toc468180567"/>
      <w:bookmarkStart w:id="872" w:name="_Toc468181076"/>
      <w:bookmarkStart w:id="873" w:name="_Toc468191462"/>
      <w:bookmarkStart w:id="874" w:name="_Toc27138979"/>
      <w:r w:rsidRPr="006A6890">
        <w:rPr>
          <w:rFonts w:asciiTheme="minorHAnsi" w:hAnsiTheme="minorHAnsi"/>
        </w:rPr>
        <w:t>Hitelösztönzés keretein belül nyújtott tőkekövetelmény kedvezmény</w:t>
      </w:r>
      <w:bookmarkEnd w:id="867"/>
      <w:bookmarkEnd w:id="868"/>
      <w:bookmarkEnd w:id="869"/>
      <w:bookmarkEnd w:id="870"/>
      <w:bookmarkEnd w:id="871"/>
      <w:bookmarkEnd w:id="872"/>
      <w:bookmarkEnd w:id="873"/>
      <w:bookmarkEnd w:id="874"/>
    </w:p>
    <w:p w14:paraId="25C038A9" w14:textId="04C96821" w:rsidR="00D34A4C" w:rsidRPr="006A6890" w:rsidRDefault="00D34A4C" w:rsidP="00EA0541">
      <w:pPr>
        <w:rPr>
          <w:rFonts w:asciiTheme="minorHAnsi" w:hAnsiTheme="minorHAnsi"/>
        </w:rPr>
      </w:pPr>
      <w:r w:rsidRPr="006A6890">
        <w:rPr>
          <w:rFonts w:asciiTheme="minorHAnsi" w:eastAsia="Calibri" w:hAnsiTheme="minorHAnsi" w:cs="Calibri"/>
          <w:szCs w:val="20"/>
          <w:lang w:eastAsia="en-US"/>
        </w:rPr>
        <w:t>2016-os évtől az MNB úgy kívánja ösztönözni az intézmények KKV-hitelezését, hogy a 2. pillérben a</w:t>
      </w:r>
      <w:r w:rsidRPr="006A6890">
        <w:rPr>
          <w:rFonts w:asciiTheme="minorHAnsi" w:eastAsia="Calibri" w:hAnsiTheme="minorHAnsi"/>
          <w:lang w:eastAsia="en-US"/>
        </w:rPr>
        <w:t xml:space="preserve"> teljes 2016-os nettó KKV hitelkihelyezés tőkekövetelményének egy részét vagy egészét elengedi, a teljes </w:t>
      </w:r>
      <w:r w:rsidRPr="006A6890">
        <w:rPr>
          <w:rFonts w:asciiTheme="minorHAnsi" w:eastAsia="Calibri" w:hAnsiTheme="minorHAnsi"/>
          <w:lang w:eastAsia="en-US"/>
        </w:rPr>
        <w:lastRenderedPageBreak/>
        <w:t>kihelyezés PHP</w:t>
      </w:r>
      <w:r w:rsidR="00F10D05" w:rsidRPr="006A6890">
        <w:rPr>
          <w:rStyle w:val="FootnoteReference"/>
          <w:rFonts w:asciiTheme="minorHAnsi" w:eastAsia="Calibri" w:hAnsiTheme="minorHAnsi"/>
          <w:lang w:eastAsia="en-US"/>
        </w:rPr>
        <w:footnoteReference w:id="74"/>
      </w:r>
      <w:r w:rsidRPr="006A6890">
        <w:rPr>
          <w:rFonts w:asciiTheme="minorHAnsi" w:eastAsia="Calibri" w:hAnsiTheme="minorHAnsi"/>
          <w:lang w:eastAsia="en-US"/>
        </w:rPr>
        <w:t xml:space="preserve"> </w:t>
      </w:r>
      <w:r w:rsidRPr="006A6890">
        <w:rPr>
          <w:rFonts w:asciiTheme="minorHAnsi" w:hAnsiTheme="minorHAnsi"/>
        </w:rPr>
        <w:t>vállaláshoz való arányának függvényében, legfeljebb a</w:t>
      </w:r>
      <w:r w:rsidR="007C0707" w:rsidRPr="006A6890">
        <w:rPr>
          <w:rFonts w:asciiTheme="minorHAnsi" w:hAnsiTheme="minorHAnsi"/>
        </w:rPr>
        <w:t xml:space="preserve"> </w:t>
      </w:r>
      <w:proofErr w:type="spellStart"/>
      <w:r w:rsidR="007C0707" w:rsidRPr="006A6890">
        <w:rPr>
          <w:rFonts w:asciiTheme="minorHAnsi" w:hAnsiTheme="minorHAnsi"/>
        </w:rPr>
        <w:t>TSCR</w:t>
      </w:r>
      <w:proofErr w:type="spellEnd"/>
      <w:r w:rsidR="007C0707" w:rsidRPr="006A6890">
        <w:rPr>
          <w:rFonts w:asciiTheme="minorHAnsi" w:hAnsiTheme="minorHAnsi"/>
        </w:rPr>
        <w:t xml:space="preserve"> ráta vonatkozási </w:t>
      </w:r>
      <w:r w:rsidR="00AB2703" w:rsidRPr="006A6890">
        <w:rPr>
          <w:rFonts w:asciiTheme="minorHAnsi" w:hAnsiTheme="minorHAnsi"/>
        </w:rPr>
        <w:t>évében érvényes</w:t>
      </w:r>
      <w:r w:rsidRPr="006A6890">
        <w:rPr>
          <w:rFonts w:asciiTheme="minorHAnsi" w:hAnsiTheme="minorHAnsi"/>
        </w:rPr>
        <w:t xml:space="preserve"> tőkefenntartási puffer mérték</w:t>
      </w:r>
      <w:r w:rsidR="009F6A94" w:rsidRPr="006A6890">
        <w:rPr>
          <w:rFonts w:asciiTheme="minorHAnsi" w:hAnsiTheme="minorHAnsi"/>
        </w:rPr>
        <w:t xml:space="preserve">éig. </w:t>
      </w:r>
    </w:p>
    <w:p w14:paraId="7290BDE5" w14:textId="2F07DE51" w:rsidR="00D34A4C" w:rsidRPr="006A6890" w:rsidRDefault="00D34A4C" w:rsidP="00EA0541">
      <w:pPr>
        <w:rPr>
          <w:rFonts w:asciiTheme="minorHAnsi" w:eastAsia="Calibri" w:hAnsiTheme="minorHAnsi" w:cs="Calibri"/>
          <w:szCs w:val="20"/>
          <w:lang w:eastAsia="en-US"/>
        </w:rPr>
      </w:pPr>
      <w:r w:rsidRPr="006A6890">
        <w:rPr>
          <w:rFonts w:asciiTheme="minorHAnsi" w:hAnsiTheme="minorHAnsi"/>
        </w:rPr>
        <w:t>A kedvezmény</w:t>
      </w:r>
      <w:r w:rsidR="00916D79" w:rsidRPr="006A6890">
        <w:rPr>
          <w:rFonts w:asciiTheme="minorHAnsi" w:hAnsiTheme="minorHAnsi"/>
        </w:rPr>
        <w:t xml:space="preserve"> </w:t>
      </w:r>
      <w:r w:rsidR="0025294A" w:rsidRPr="006A6890">
        <w:rPr>
          <w:rFonts w:asciiTheme="minorHAnsi" w:hAnsiTheme="minorHAnsi"/>
        </w:rPr>
        <w:t xml:space="preserve">a </w:t>
      </w:r>
      <w:r w:rsidR="00916D79" w:rsidRPr="006A6890">
        <w:rPr>
          <w:rFonts w:asciiTheme="minorHAnsi" w:hAnsiTheme="minorHAnsi"/>
        </w:rPr>
        <w:t>hitelkockázati tőkekövetelmény</w:t>
      </w:r>
      <w:r w:rsidR="0025294A" w:rsidRPr="006A6890">
        <w:rPr>
          <w:rFonts w:asciiTheme="minorHAnsi" w:hAnsiTheme="minorHAnsi"/>
        </w:rPr>
        <w:t>t csökkenti, azonban csak a Pillér 1+ módszer alkalmazásának mértékéig, vagyis a hitelkockázati tőkekövetelmény a kedvezménnyel sem csökkenhet az 1. pilléres tőkekövetelmény szintje alá. A kedvezmény</w:t>
      </w:r>
      <w:r w:rsidRPr="006A6890">
        <w:rPr>
          <w:rFonts w:asciiTheme="minorHAnsi" w:hAnsiTheme="minorHAnsi"/>
        </w:rPr>
        <w:t xml:space="preserve">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w:t>
      </w:r>
      <w:r w:rsidRPr="006A6890">
        <w:rPr>
          <w:rFonts w:asciiTheme="minorHAnsi" w:eastAsia="Calibri" w:hAnsiTheme="minorHAnsi" w:cs="Calibri"/>
          <w:szCs w:val="20"/>
          <w:lang w:eastAsia="en-US"/>
        </w:rPr>
        <w:t xml:space="preserve"> alakulását mutatja az </w:t>
      </w:r>
      <w:r w:rsidR="00AB2703" w:rsidRPr="006A6890">
        <w:rPr>
          <w:rFonts w:asciiTheme="minorHAnsi" w:eastAsia="Calibri" w:hAnsiTheme="minorHAnsi" w:cs="Calibri"/>
          <w:szCs w:val="20"/>
          <w:lang w:eastAsia="en-US"/>
        </w:rPr>
        <w:t xml:space="preserve">alábbi </w:t>
      </w:r>
      <w:r w:rsidRPr="006A6890">
        <w:rPr>
          <w:rFonts w:asciiTheme="minorHAnsi" w:eastAsia="Calibri" w:hAnsiTheme="minorHAnsi" w:cs="Calibri"/>
          <w:szCs w:val="20"/>
          <w:lang w:eastAsia="en-US"/>
        </w:rPr>
        <w:t>ábra,</w:t>
      </w:r>
      <w:r w:rsidR="009F6A94" w:rsidRPr="006A6890">
        <w:rPr>
          <w:rFonts w:asciiTheme="minorHAnsi" w:eastAsia="Calibri" w:hAnsiTheme="minorHAnsi" w:cs="Calibri"/>
          <w:szCs w:val="20"/>
          <w:lang w:eastAsia="en-US"/>
        </w:rPr>
        <w:t xml:space="preserve"> amit a</w:t>
      </w:r>
      <w:r w:rsidR="00AB2703" w:rsidRPr="006A6890">
        <w:rPr>
          <w:rFonts w:asciiTheme="minorHAnsi" w:eastAsia="Calibri" w:hAnsiTheme="minorHAnsi" w:cs="Calibri"/>
          <w:szCs w:val="20"/>
          <w:lang w:eastAsia="en-US"/>
        </w:rPr>
        <w:t xml:space="preserve"> következő</w:t>
      </w:r>
      <w:r w:rsidR="009F6A94" w:rsidRPr="006A6890">
        <w:rPr>
          <w:rFonts w:asciiTheme="minorHAnsi" w:eastAsia="Calibri" w:hAnsiTheme="minorHAnsi" w:cs="Calibri"/>
          <w:szCs w:val="20"/>
          <w:lang w:eastAsia="en-US"/>
        </w:rPr>
        <w:t xml:space="preserve"> függvény ír le:</w:t>
      </w:r>
    </w:p>
    <w:p w14:paraId="35D1FAEB" w14:textId="77777777" w:rsidR="00D34A4C" w:rsidRPr="006A6890" w:rsidRDefault="00D34A4C" w:rsidP="00181755">
      <w:pPr>
        <w:suppressAutoHyphens/>
        <w:spacing w:after="0"/>
        <w:jc w:val="left"/>
        <w:rPr>
          <w:rFonts w:asciiTheme="minorHAnsi" w:hAnsiTheme="minorHAnsi"/>
        </w:rPr>
      </w:pPr>
      <w:r w:rsidRPr="006A6890">
        <w:rPr>
          <w:rFonts w:asciiTheme="minorHAnsi" w:hAnsiTheme="minorHAnsi"/>
        </w:rPr>
        <w:t>Ha x&lt;50; akkor 0,</w:t>
      </w:r>
    </w:p>
    <w:p w14:paraId="5393E575" w14:textId="77777777" w:rsidR="00D34A4C" w:rsidRPr="006A6890" w:rsidRDefault="00D34A4C" w:rsidP="00181755">
      <w:pPr>
        <w:suppressAutoHyphens/>
        <w:spacing w:after="0"/>
        <w:jc w:val="left"/>
        <w:rPr>
          <w:rFonts w:asciiTheme="minorHAnsi" w:hAnsiTheme="minorHAnsi"/>
        </w:rPr>
      </w:pPr>
      <w:r w:rsidRPr="006A6890">
        <w:rPr>
          <w:rFonts w:asciiTheme="minorHAnsi" w:hAnsiTheme="minorHAnsi"/>
        </w:rPr>
        <w:t>ha x&gt;50 min(100%; 0.0014*</w:t>
      </w:r>
      <w:proofErr w:type="spellStart"/>
      <w:r w:rsidRPr="006A6890">
        <w:rPr>
          <w:rFonts w:asciiTheme="minorHAnsi" w:hAnsiTheme="minorHAnsi"/>
        </w:rPr>
        <w:t>exp</w:t>
      </w:r>
      <w:proofErr w:type="spellEnd"/>
      <w:r w:rsidRPr="006A6890">
        <w:rPr>
          <w:rFonts w:asciiTheme="minorHAnsi" w:hAnsiTheme="minorHAnsi"/>
        </w:rPr>
        <w:t>(0.0602*x)+0.1714),</w:t>
      </w:r>
    </w:p>
    <w:p w14:paraId="6BD69C68" w14:textId="77777777" w:rsidR="00D34A4C" w:rsidRPr="006A6890" w:rsidRDefault="00D34A4C" w:rsidP="00181755">
      <w:pPr>
        <w:suppressAutoHyphens/>
        <w:spacing w:after="0"/>
        <w:jc w:val="left"/>
        <w:rPr>
          <w:rFonts w:asciiTheme="minorHAnsi" w:eastAsia="Calibri" w:hAnsiTheme="minorHAnsi" w:cs="Calibri"/>
          <w:szCs w:val="20"/>
          <w:lang w:eastAsia="en-US"/>
        </w:rPr>
      </w:pPr>
      <w:r w:rsidRPr="006A6890">
        <w:rPr>
          <w:rFonts w:asciiTheme="minorHAnsi" w:hAnsiTheme="minorHAnsi"/>
        </w:rPr>
        <w:t>ahol x a tényleges KKV hitelkihelyezés és a PHP vállalás aránya 100-zal megszorozva</w:t>
      </w:r>
    </w:p>
    <w:p w14:paraId="233B38FF" w14:textId="77777777" w:rsidR="00D34A4C" w:rsidRPr="006A6890" w:rsidRDefault="00D34A4C" w:rsidP="00181755">
      <w:pPr>
        <w:suppressAutoHyphens/>
        <w:spacing w:after="0"/>
        <w:rPr>
          <w:rFonts w:asciiTheme="minorHAnsi" w:eastAsia="Calibri" w:hAnsiTheme="minorHAnsi" w:cs="Calibri"/>
          <w:szCs w:val="20"/>
          <w:lang w:eastAsia="en-US"/>
        </w:rPr>
      </w:pPr>
    </w:p>
    <w:p w14:paraId="320641D0" w14:textId="77777777" w:rsidR="00D34A4C" w:rsidRPr="006A6890" w:rsidRDefault="00D34A4C" w:rsidP="00181755">
      <w:pPr>
        <w:suppressAutoHyphens/>
        <w:spacing w:after="0"/>
        <w:rPr>
          <w:rFonts w:asciiTheme="minorHAnsi" w:eastAsia="Calibri" w:hAnsiTheme="minorHAnsi" w:cs="Calibri"/>
          <w:szCs w:val="20"/>
          <w:lang w:eastAsia="en-US"/>
        </w:rPr>
      </w:pPr>
    </w:p>
    <w:p w14:paraId="3517A4BA" w14:textId="3F65B9BA" w:rsidR="00D34A4C" w:rsidRPr="006A6890" w:rsidRDefault="00D34A4C" w:rsidP="00181755">
      <w:pPr>
        <w:widowControl w:val="0"/>
        <w:tabs>
          <w:tab w:val="left" w:pos="3828"/>
        </w:tabs>
        <w:suppressAutoHyphens/>
        <w:jc w:val="center"/>
        <w:rPr>
          <w:rFonts w:asciiTheme="minorHAnsi" w:hAnsiTheme="minorHAnsi"/>
          <w:sz w:val="24"/>
          <w:szCs w:val="24"/>
        </w:rPr>
      </w:pPr>
      <w:r w:rsidRPr="006A6890">
        <w:rPr>
          <w:rFonts w:asciiTheme="minorHAnsi" w:hAnsiTheme="minorHAnsi"/>
          <w:noProof/>
        </w:rPr>
        <mc:AlternateContent>
          <mc:Choice Requires="wps">
            <w:drawing>
              <wp:anchor distT="0" distB="0" distL="114300" distR="114300" simplePos="0" relativeHeight="251658243" behindDoc="0" locked="0" layoutInCell="1" allowOverlap="1" wp14:anchorId="62F4B68E" wp14:editId="6402E65F">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8F6FA6" w:rsidRPr="00E318DF" w:rsidRDefault="008F6FA6"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8F6FA6" w:rsidRDefault="008F6FA6"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8F6FA6" w:rsidRPr="00E318DF" w:rsidRDefault="008F6FA6"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8F6FA6" w:rsidRDefault="008F6FA6" w:rsidP="00D34A4C"/>
                  </w:txbxContent>
                </v:textbox>
              </v:shape>
            </w:pict>
          </mc:Fallback>
        </mc:AlternateContent>
      </w:r>
      <w:r w:rsidRPr="006A6890">
        <w:rPr>
          <w:rFonts w:asciiTheme="minorHAnsi" w:hAnsiTheme="minorHAnsi"/>
          <w:noProof/>
          <w:sz w:val="24"/>
          <w:szCs w:val="24"/>
        </w:rPr>
        <w:drawing>
          <wp:inline distT="0" distB="0" distL="0" distR="0" wp14:anchorId="610C43FE" wp14:editId="5E4CB416">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F8E8D7B" w14:textId="77777777" w:rsidR="00DF45B3" w:rsidRPr="006A6890" w:rsidRDefault="00DF45B3" w:rsidP="00181755">
      <w:pPr>
        <w:suppressAutoHyphens/>
        <w:rPr>
          <w:rFonts w:asciiTheme="minorHAnsi" w:eastAsia="Calibri" w:hAnsiTheme="minorHAnsi" w:cs="Calibri"/>
          <w:szCs w:val="20"/>
          <w:lang w:eastAsia="en-US"/>
        </w:rPr>
      </w:pPr>
    </w:p>
    <w:p w14:paraId="29575052" w14:textId="77777777" w:rsidR="00DF45B3" w:rsidRPr="006A6890" w:rsidRDefault="00DF45B3" w:rsidP="00181755">
      <w:pPr>
        <w:suppressAutoHyphens/>
        <w:rPr>
          <w:rFonts w:asciiTheme="minorHAnsi" w:eastAsia="Calibri" w:hAnsiTheme="minorHAnsi" w:cs="Calibri"/>
          <w:szCs w:val="20"/>
          <w:lang w:eastAsia="en-US"/>
        </w:rPr>
      </w:pPr>
    </w:p>
    <w:p w14:paraId="2CE51800" w14:textId="70B74671" w:rsidR="00D34A4C" w:rsidRPr="006A6890" w:rsidRDefault="00D34A4C" w:rsidP="00EA0541">
      <w:pPr>
        <w:rPr>
          <w:rFonts w:asciiTheme="minorHAnsi" w:hAnsiTheme="minorHAnsi"/>
        </w:rPr>
      </w:pPr>
      <w:r w:rsidRPr="006A6890">
        <w:rPr>
          <w:rFonts w:asciiTheme="minorHAnsi" w:eastAsia="Calibri" w:hAnsiTheme="minorHAnsi" w:cs="Calibri"/>
          <w:szCs w:val="20"/>
          <w:lang w:eastAsia="en-US"/>
        </w:rPr>
        <w:t>A kedvezmény alapját az MNB először 2016. év alapján tud</w:t>
      </w:r>
      <w:r w:rsidR="004F23D6" w:rsidRPr="006A6890">
        <w:rPr>
          <w:rFonts w:asciiTheme="minorHAnsi" w:eastAsia="Calibri" w:hAnsiTheme="minorHAnsi" w:cs="Calibri"/>
          <w:szCs w:val="20"/>
          <w:lang w:eastAsia="en-US"/>
        </w:rPr>
        <w:t>t</w:t>
      </w:r>
      <w:r w:rsidRPr="006A6890">
        <w:rPr>
          <w:rFonts w:asciiTheme="minorHAnsi" w:eastAsia="Calibri" w:hAnsiTheme="minorHAnsi" w:cs="Calibri"/>
          <w:szCs w:val="20"/>
          <w:lang w:eastAsia="en-US"/>
        </w:rPr>
        <w:t xml:space="preserve">a mérni 2017 elején, de a kedvezmény már 2016-os </w:t>
      </w:r>
      <w:proofErr w:type="spellStart"/>
      <w:r w:rsidRPr="006A6890">
        <w:rPr>
          <w:rFonts w:asciiTheme="minorHAnsi" w:eastAsia="Calibri" w:hAnsiTheme="minorHAnsi" w:cs="Calibri"/>
          <w:szCs w:val="20"/>
          <w:lang w:eastAsia="en-US"/>
        </w:rPr>
        <w:t>SREP</w:t>
      </w:r>
      <w:proofErr w:type="spellEnd"/>
      <w:r w:rsidRPr="006A6890">
        <w:rPr>
          <w:rFonts w:asciiTheme="minorHAnsi" w:eastAsia="Calibri" w:hAnsiTheme="minorHAnsi" w:cs="Calibri"/>
          <w:szCs w:val="20"/>
          <w:lang w:eastAsia="en-US"/>
        </w:rPr>
        <w:t xml:space="preserve"> </w:t>
      </w:r>
      <w:r w:rsidRPr="006A6890">
        <w:rPr>
          <w:rFonts w:asciiTheme="minorHAnsi" w:hAnsiTheme="minorHAnsi"/>
        </w:rPr>
        <w:t>vizsgálatok alatt számszerűsítésre kerül</w:t>
      </w:r>
      <w:r w:rsidR="004F23D6" w:rsidRPr="006A6890">
        <w:rPr>
          <w:rFonts w:asciiTheme="minorHAnsi" w:hAnsiTheme="minorHAnsi"/>
        </w:rPr>
        <w:t>t</w:t>
      </w:r>
      <w:r w:rsidRPr="006A6890">
        <w:rPr>
          <w:rFonts w:asciiTheme="minorHAnsi" w:hAnsiTheme="minorHAnsi"/>
        </w:rPr>
        <w:t xml:space="preserve">. Ennek érdekében a 2016. évi vizsgálatok során </w:t>
      </w:r>
      <w:r w:rsidR="004F23D6" w:rsidRPr="006A6890">
        <w:rPr>
          <w:rFonts w:asciiTheme="minorHAnsi" w:hAnsiTheme="minorHAnsi"/>
        </w:rPr>
        <w:t xml:space="preserve">az MNB </w:t>
      </w:r>
      <w:r w:rsidRPr="006A6890">
        <w:rPr>
          <w:rFonts w:asciiTheme="minorHAnsi" w:hAnsiTheme="minorHAnsi"/>
        </w:rPr>
        <w:t>vélelmez</w:t>
      </w:r>
      <w:r w:rsidR="004F23D6" w:rsidRPr="006A6890">
        <w:rPr>
          <w:rFonts w:asciiTheme="minorHAnsi" w:hAnsiTheme="minorHAnsi"/>
        </w:rPr>
        <w:t>te</w:t>
      </w:r>
      <w:r w:rsidRPr="006A6890">
        <w:rPr>
          <w:rFonts w:asciiTheme="minorHAnsi" w:hAnsiTheme="minorHAnsi"/>
        </w:rPr>
        <w:t>, hogy a</w:t>
      </w:r>
      <w:r w:rsidR="00C24B86" w:rsidRPr="006A6890">
        <w:rPr>
          <w:rFonts w:asciiTheme="minorHAnsi" w:hAnsiTheme="minorHAnsi"/>
        </w:rPr>
        <w:t>z intézmények</w:t>
      </w:r>
      <w:r w:rsidRPr="006A6890">
        <w:rPr>
          <w:rFonts w:asciiTheme="minorHAnsi" w:hAnsiTheme="minorHAnsi"/>
        </w:rPr>
        <w:t xml:space="preserve"> a vállalásaikat 100 százalékban teljesíteni fogják és ez alapján 75 százalékos kedvezményt számszerűsít</w:t>
      </w:r>
      <w:r w:rsidR="004F23D6" w:rsidRPr="006A6890">
        <w:rPr>
          <w:rFonts w:asciiTheme="minorHAnsi" w:hAnsiTheme="minorHAnsi"/>
        </w:rPr>
        <w:t>ett</w:t>
      </w:r>
      <w:r w:rsidRPr="006A6890">
        <w:rPr>
          <w:rFonts w:asciiTheme="minorHAnsi" w:hAnsiTheme="minorHAnsi"/>
        </w:rPr>
        <w:t>. A tényleges nettó kihelyezések tervezettől való eltérését pedig a következő, 2017. évi vizsgálatban korrigál</w:t>
      </w:r>
      <w:r w:rsidR="004F23D6" w:rsidRPr="006A6890">
        <w:rPr>
          <w:rFonts w:asciiTheme="minorHAnsi" w:hAnsiTheme="minorHAnsi"/>
        </w:rPr>
        <w:t>t</w:t>
      </w:r>
      <w:r w:rsidRPr="006A6890">
        <w:rPr>
          <w:rFonts w:asciiTheme="minorHAnsi" w:hAnsiTheme="minorHAnsi"/>
        </w:rPr>
        <w:t>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6A6890" w:rsidRDefault="00D34A4C" w:rsidP="00EA0541">
      <w:pPr>
        <w:rPr>
          <w:rFonts w:asciiTheme="minorHAnsi" w:hAnsiTheme="minorHAnsi"/>
        </w:rPr>
      </w:pPr>
      <w:r w:rsidRPr="006A6890">
        <w:rPr>
          <w:rFonts w:asciiTheme="minorHAnsi" w:hAnsiTheme="minorHAnsi"/>
        </w:rPr>
        <w:t xml:space="preserve">A kedvezmény mértékét, az új kihelyezések tőkekövetelményét a fennálló kkv portfólió magasabb kockázatú ügyleteinek (legnagyobb kockázati súlyú </w:t>
      </w:r>
      <w:proofErr w:type="spellStart"/>
      <w:r w:rsidRPr="006A6890">
        <w:rPr>
          <w:rFonts w:asciiTheme="minorHAnsi" w:hAnsiTheme="minorHAnsi"/>
        </w:rPr>
        <w:t>kvartilisbe</w:t>
      </w:r>
      <w:proofErr w:type="spellEnd"/>
      <w:r w:rsidRPr="006A6890">
        <w:rPr>
          <w:rFonts w:asciiTheme="minorHAnsi" w:hAnsiTheme="minorHAnsi"/>
        </w:rPr>
        <w:t xml:space="preserve"> tartozó ügyletek) átlagos tőkekövetelményével számszerűsítettük és ez alapján 150 százalékos kockázati súlyt állapítottunk meg. Egyedi banki portfólióktól függetlenül ezt a kockázati súlyt fogjuk alkalmazni a programban nyújtott kihelyezések tőkekö</w:t>
      </w:r>
      <w:r w:rsidR="009F6A94" w:rsidRPr="006A6890">
        <w:rPr>
          <w:rFonts w:asciiTheme="minorHAnsi" w:hAnsiTheme="minorHAnsi"/>
        </w:rPr>
        <w:t>vetelményének meghatározásakor.</w:t>
      </w:r>
    </w:p>
    <w:p w14:paraId="0F2C4C0E" w14:textId="77777777" w:rsidR="00D34A4C" w:rsidRPr="006A6890" w:rsidRDefault="00D34A4C" w:rsidP="00EA0541">
      <w:pPr>
        <w:rPr>
          <w:rFonts w:asciiTheme="minorHAnsi" w:hAnsiTheme="minorHAnsi"/>
        </w:rPr>
      </w:pPr>
      <w:r w:rsidRPr="006A6890">
        <w:rPr>
          <w:rFonts w:asciiTheme="minorHAnsi" w:hAnsiTheme="minorHAnsi"/>
        </w:rPr>
        <w:t>Példa:</w:t>
      </w:r>
    </w:p>
    <w:p w14:paraId="74018A3B" w14:textId="2EF1EC21" w:rsidR="00D34A4C" w:rsidRPr="006A6890" w:rsidRDefault="00D34A4C" w:rsidP="00EA0541">
      <w:pPr>
        <w:rPr>
          <w:rFonts w:asciiTheme="minorHAnsi" w:hAnsiTheme="minorHAnsi"/>
        </w:rPr>
      </w:pPr>
      <w:r w:rsidRPr="006A6890">
        <w:rPr>
          <w:rFonts w:asciiTheme="minorHAnsi" w:hAnsiTheme="minorHAnsi"/>
        </w:rPr>
        <w:t xml:space="preserve">Ha a Bank teljes, kedvezmény előtti 2. pilléres tőkekövetelménye 50 milliárd forint, nettó KKV kihelyezése 2016-ban 30 milliárd forint és ugyanennyit vállalt a PHP keretében, akkor a kedvezmény utáni </w:t>
      </w:r>
      <w:r w:rsidRPr="006A6890">
        <w:rPr>
          <w:rFonts w:asciiTheme="minorHAnsi" w:hAnsiTheme="minorHAnsi"/>
        </w:rPr>
        <w:lastRenderedPageBreak/>
        <w:t xml:space="preserve">tőkekövetelménye ez utóbbi összeg feltételezett tőkekövetelményének (30 milliárd * 8 százalék * 150 százalék = 3,6 milliárd forint) 75 százalékával alacsonyabb, 47,3 milliárd forint. E tőkekövetelmény összeg </w:t>
      </w:r>
      <w:r w:rsidR="009F6A94" w:rsidRPr="006A6890">
        <w:rPr>
          <w:rFonts w:asciiTheme="minorHAnsi" w:hAnsiTheme="minorHAnsi"/>
        </w:rPr>
        <w:t>szolgál alapul a minimális tőke</w:t>
      </w:r>
      <w:r w:rsidRPr="006A6890">
        <w:rPr>
          <w:rFonts w:asciiTheme="minorHAnsi" w:hAnsiTheme="minorHAnsi"/>
        </w:rPr>
        <w:t xml:space="preserve">megfelelési ráta </w:t>
      </w:r>
      <w:proofErr w:type="spellStart"/>
      <w:r w:rsidRPr="006A6890">
        <w:rPr>
          <w:rFonts w:asciiTheme="minorHAnsi" w:hAnsiTheme="minorHAnsi"/>
        </w:rPr>
        <w:t>SREP</w:t>
      </w:r>
      <w:proofErr w:type="spellEnd"/>
      <w:r w:rsidRPr="006A6890">
        <w:rPr>
          <w:rFonts w:asciiTheme="minorHAnsi" w:hAnsiTheme="minorHAnsi"/>
        </w:rPr>
        <w:t xml:space="preserve"> </w:t>
      </w:r>
      <w:r w:rsidR="009F6A94" w:rsidRPr="006A6890">
        <w:rPr>
          <w:rFonts w:asciiTheme="minorHAnsi" w:hAnsiTheme="minorHAnsi"/>
        </w:rPr>
        <w:t>során történő meghatározásához.</w:t>
      </w:r>
    </w:p>
    <w:p w14:paraId="416249B5" w14:textId="4F208D3D" w:rsidR="000C2470" w:rsidRPr="006A6890" w:rsidRDefault="00D34A4C" w:rsidP="00EA0541">
      <w:pPr>
        <w:rPr>
          <w:rFonts w:asciiTheme="minorHAnsi" w:eastAsia="Calibri" w:hAnsiTheme="minorHAnsi" w:cs="Calibri"/>
          <w:szCs w:val="20"/>
          <w:lang w:eastAsia="en-US"/>
        </w:rPr>
      </w:pPr>
      <w:r w:rsidRPr="006A6890">
        <w:rPr>
          <w:rFonts w:asciiTheme="minorHAnsi" w:hAnsiTheme="minorHAnsi"/>
        </w:rPr>
        <w:t>Az évről évre változó tőkefenntartási puffer mértékéig maximált hatás biztosítja a korlátot az extrém kockázatvállalással szemben. Ennek értéke 2017-ben 1,25 százalék, majd 2019-ig 2,5 százalékig emelkedik, évente 0,675 százalékos mértékben</w:t>
      </w:r>
      <w:r w:rsidRPr="006A6890">
        <w:rPr>
          <w:rFonts w:asciiTheme="minorHAnsi" w:eastAsia="Calibri" w:hAnsiTheme="minorHAnsi" w:cs="Calibri"/>
          <w:szCs w:val="20"/>
          <w:lang w:eastAsia="en-US"/>
        </w:rPr>
        <w:t>.</w:t>
      </w:r>
    </w:p>
    <w:p w14:paraId="66B154D6" w14:textId="2D1FDC64" w:rsidR="003F29E3" w:rsidRPr="006A6890" w:rsidRDefault="003F29E3" w:rsidP="00181755">
      <w:pPr>
        <w:pStyle w:val="Heading3"/>
        <w:rPr>
          <w:rFonts w:asciiTheme="minorHAnsi" w:hAnsiTheme="minorHAnsi"/>
          <w:lang w:val="hu-HU"/>
        </w:rPr>
      </w:pPr>
      <w:bookmarkStart w:id="875" w:name="_Toc26349040"/>
      <w:bookmarkStart w:id="876" w:name="_Toc26349181"/>
      <w:bookmarkStart w:id="877" w:name="_III.2.1.2_Működési_kockázat"/>
      <w:bookmarkStart w:id="878" w:name="_Toc378256235"/>
      <w:bookmarkStart w:id="879" w:name="_Toc378592043"/>
      <w:bookmarkStart w:id="880" w:name="_Toc461095222"/>
      <w:bookmarkStart w:id="881" w:name="_Toc461179878"/>
      <w:bookmarkStart w:id="882" w:name="_Toc461201321"/>
      <w:bookmarkStart w:id="883" w:name="_Toc461547964"/>
      <w:bookmarkStart w:id="884" w:name="_Toc462402004"/>
      <w:bookmarkStart w:id="885" w:name="_Toc462403125"/>
      <w:bookmarkStart w:id="886" w:name="_Toc462403449"/>
      <w:bookmarkStart w:id="887" w:name="_Toc468180568"/>
      <w:bookmarkStart w:id="888" w:name="_Toc468181077"/>
      <w:bookmarkStart w:id="889" w:name="_Toc468191463"/>
      <w:bookmarkStart w:id="890" w:name="_Toc27138980"/>
      <w:bookmarkEnd w:id="875"/>
      <w:bookmarkEnd w:id="876"/>
      <w:bookmarkEnd w:id="877"/>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878"/>
      <w:bookmarkEnd w:id="879"/>
      <w:bookmarkEnd w:id="880"/>
      <w:bookmarkEnd w:id="881"/>
      <w:bookmarkEnd w:id="882"/>
      <w:bookmarkEnd w:id="883"/>
      <w:bookmarkEnd w:id="884"/>
      <w:bookmarkEnd w:id="885"/>
      <w:bookmarkEnd w:id="886"/>
      <w:bookmarkEnd w:id="887"/>
      <w:bookmarkEnd w:id="888"/>
      <w:bookmarkEnd w:id="889"/>
      <w:r w:rsidR="00F92ED6" w:rsidRPr="006A6890">
        <w:rPr>
          <w:rFonts w:asciiTheme="minorHAnsi" w:hAnsiTheme="minorHAnsi"/>
          <w:lang w:val="hu-HU"/>
        </w:rPr>
        <w:t>ok</w:t>
      </w:r>
      <w:bookmarkEnd w:id="890"/>
    </w:p>
    <w:p w14:paraId="3A56B0DC" w14:textId="14DC7CB0" w:rsidR="00F92ED6" w:rsidRPr="006A6890" w:rsidRDefault="00F92ED6" w:rsidP="004B5D1A">
      <w:pPr>
        <w:pStyle w:val="Heading3"/>
        <w:numPr>
          <w:ilvl w:val="0"/>
          <w:numId w:val="0"/>
        </w:numPr>
        <w:rPr>
          <w:rFonts w:asciiTheme="minorHAnsi" w:hAnsiTheme="minorHAnsi"/>
        </w:rPr>
      </w:pPr>
      <w:bookmarkStart w:id="891" w:name="_Toc27138981"/>
      <w:r w:rsidRPr="006A6890">
        <w:rPr>
          <w:rFonts w:asciiTheme="minorHAnsi" w:hAnsiTheme="minorHAnsi"/>
        </w:rPr>
        <w:t xml:space="preserve">V.2.2.1 </w:t>
      </w:r>
      <w:r w:rsidRPr="006A6890">
        <w:rPr>
          <w:rFonts w:asciiTheme="minorHAnsi" w:hAnsiTheme="minorHAnsi"/>
          <w:iCs/>
        </w:rPr>
        <w:t>Működési kockázat</w:t>
      </w:r>
      <w:bookmarkEnd w:id="891"/>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1806CC4B"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 felmérésére, </w:t>
      </w:r>
      <w:proofErr w:type="spellStart"/>
      <w:r w:rsidR="003F29E3" w:rsidRPr="006A6890">
        <w:rPr>
          <w:rFonts w:asciiTheme="minorHAnsi" w:hAnsiTheme="minorHAnsi"/>
        </w:rPr>
        <w:t>monitoringjára</w:t>
      </w:r>
      <w:proofErr w:type="spellEnd"/>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prudens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w:t>
      </w:r>
      <w:proofErr w:type="spellStart"/>
      <w:r w:rsidR="008451DC" w:rsidRPr="006A6890">
        <w:rPr>
          <w:rFonts w:asciiTheme="minorHAnsi" w:hAnsiTheme="minorHAnsi"/>
        </w:rPr>
        <w:t>kockázat</w:t>
      </w:r>
      <w:r w:rsidR="00D317EE" w:rsidRPr="006A6890">
        <w:rPr>
          <w:rFonts w:asciiTheme="minorHAnsi" w:hAnsiTheme="minorHAnsi"/>
        </w:rPr>
        <w:t>ártékelési</w:t>
      </w:r>
      <w:proofErr w:type="spellEnd"/>
      <w:r w:rsidR="00D317EE" w:rsidRPr="006A6890">
        <w:rPr>
          <w:rFonts w:asciiTheme="minorHAnsi" w:hAnsiTheme="minorHAnsi"/>
        </w:rPr>
        <w:t xml:space="preserve">-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melynek célja, hogy az intézmény a működési kockázati kitettségét elfogadható, teherviselő képességének/kockázati étvágyának megfelelő mértékűre korlátozza.</w:t>
      </w:r>
    </w:p>
    <w:p w14:paraId="61902B85" w14:textId="32B29565"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E73482" w:rsidRPr="006A6890">
        <w:rPr>
          <w:rFonts w:asciiTheme="minorHAnsi" w:hAnsiTheme="minorHAnsi"/>
        </w:rPr>
        <w:t>nak</w:t>
      </w:r>
      <w:r w:rsidR="004D7153" w:rsidRPr="006A6890">
        <w:rPr>
          <w:rFonts w:asciiTheme="minorHAnsi" w:hAnsiTheme="minorHAnsi"/>
        </w:rPr>
        <w:t xml:space="preserve">, mind a realizált veszteségek, mind a potenciális fenyegetettség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25F24A48"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proofErr w:type="spellStart"/>
      <w:r w:rsidR="004D7153" w:rsidRPr="006A6890">
        <w:rPr>
          <w:rFonts w:asciiTheme="minorHAnsi" w:hAnsiTheme="minorHAnsi"/>
        </w:rPr>
        <w:t>realizálódhat</w:t>
      </w:r>
      <w:proofErr w:type="spellEnd"/>
      <w:r w:rsidR="004D7153" w:rsidRPr="006A6890">
        <w:rPr>
          <w:rFonts w:asciiTheme="minorHAnsi" w:hAnsiTheme="minorHAnsi"/>
        </w:rPr>
        <w:t xml:space="preserve">.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p>
    <w:p w14:paraId="6BA600AE" w14:textId="5B1876A2" w:rsidR="00123EC1" w:rsidRPr="006A6890" w:rsidRDefault="00123EC1" w:rsidP="00EA0541">
      <w:pPr>
        <w:rPr>
          <w:rFonts w:asciiTheme="minorHAnsi" w:hAnsiTheme="minorHAnsi"/>
        </w:rPr>
      </w:pPr>
      <w:r w:rsidRPr="006A6890">
        <w:rPr>
          <w:rFonts w:asciiTheme="minorHAnsi" w:hAnsiTheme="minorHAnsi"/>
        </w:rPr>
        <w:t xml:space="preserve">A működési kockázati profil felmérésre akkor tekinthető teljesnek, ha az a múltban bekövetkezett veszteségek azonosítása mellett kiterjed az intézmény </w:t>
      </w:r>
      <w:proofErr w:type="spellStart"/>
      <w:r w:rsidRPr="006A6890">
        <w:rPr>
          <w:rFonts w:asciiTheme="minorHAnsi" w:hAnsiTheme="minorHAnsi"/>
        </w:rPr>
        <w:t>jelenbeni</w:t>
      </w:r>
      <w:proofErr w:type="spellEnd"/>
      <w:r w:rsidRPr="006A6890">
        <w:rPr>
          <w:rFonts w:asciiTheme="minorHAnsi" w:hAnsiTheme="minorHAnsi"/>
        </w:rPr>
        <w:t xml:space="preserve">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alkalmaznia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1F3F6317"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 tartott tevékenység, mely magában foglalja</w:t>
      </w:r>
      <w:r w:rsidR="008451DC" w:rsidRPr="006A6890">
        <w:rPr>
          <w:rFonts w:asciiTheme="minorHAnsi" w:hAnsiTheme="minorHAnsi"/>
        </w:rPr>
        <w:t>:</w:t>
      </w:r>
    </w:p>
    <w:p w14:paraId="6ECB18AD" w14:textId="5B78D02A"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lastRenderedPageBreak/>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Paragraph"/>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 xml:space="preserve">ának visszamérése elengedhetetlen ahhoz, hogy az intézmény meg tudja határozni a </w:t>
      </w:r>
      <w:proofErr w:type="spellStart"/>
      <w:r w:rsidRPr="006A6890">
        <w:rPr>
          <w:rFonts w:asciiTheme="minorHAnsi" w:hAnsiTheme="minorHAnsi"/>
        </w:rPr>
        <w:t>reziduális</w:t>
      </w:r>
      <w:proofErr w:type="spellEnd"/>
      <w:r w:rsidRPr="006A6890">
        <w:rPr>
          <w:rFonts w:asciiTheme="minorHAnsi" w:hAnsiTheme="minorHAnsi"/>
        </w:rPr>
        <w:t xml:space="preserve">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proofErr w:type="spellStart"/>
      <w:r w:rsidR="00493ABE" w:rsidRPr="006A6890">
        <w:rPr>
          <w:rFonts w:asciiTheme="minorHAnsi" w:hAnsiTheme="minorHAnsi"/>
        </w:rPr>
        <w:t>reziduális</w:t>
      </w:r>
      <w:proofErr w:type="spellEnd"/>
      <w:r w:rsidRPr="006A6890">
        <w:rPr>
          <w:rFonts w:asciiTheme="minorHAnsi" w:hAnsiTheme="minorHAnsi"/>
        </w:rPr>
        <w:t xml:space="preserve"> kockázatot hivatott pufferként lefedni.</w:t>
      </w:r>
    </w:p>
    <w:p w14:paraId="54CF2A82" w14:textId="0D5B9297" w:rsidR="00870469" w:rsidRPr="006A6890" w:rsidRDefault="00870469" w:rsidP="00EA0541">
      <w:pPr>
        <w:rPr>
          <w:rFonts w:asciiTheme="minorHAnsi" w:hAnsiTheme="minorHAnsi"/>
        </w:rPr>
      </w:pPr>
      <w:r w:rsidRPr="006A6890">
        <w:rPr>
          <w:rFonts w:asciiTheme="minorHAnsi" w:hAnsiTheme="minorHAnsi"/>
        </w:rPr>
        <w:t>Az alkalmazott kockázatkezelési gyakorlat mellett valószínűsíthető anyagi károk ellentételezésére képzendő tőke szükséges mértékének meghatározásához saját modellen alapuló fejlett módszer (AMA), vagy</w:t>
      </w:r>
      <w:r w:rsidR="00493ABE" w:rsidRPr="006A6890">
        <w:rPr>
          <w:rFonts w:asciiTheme="minorHAnsi" w:hAnsiTheme="minorHAnsi"/>
        </w:rPr>
        <w:t xml:space="preserve"> az intézmény méretével arányos,</w:t>
      </w:r>
      <w:r w:rsidRPr="006A6890">
        <w:rPr>
          <w:rFonts w:asciiTheme="minorHAnsi" w:hAnsiTheme="minorHAnsi"/>
        </w:rPr>
        <w:t xml:space="preserve"> fix </w:t>
      </w:r>
      <w:r w:rsidR="00493ABE" w:rsidRPr="006A6890">
        <w:rPr>
          <w:rFonts w:asciiTheme="minorHAnsi" w:hAnsiTheme="minorHAnsi"/>
        </w:rPr>
        <w:t>kockázati súlyok alkalmazásán alapuló</w:t>
      </w:r>
      <w:r w:rsidRPr="006A6890">
        <w:rPr>
          <w:rFonts w:asciiTheme="minorHAnsi" w:hAnsiTheme="minorHAnsi"/>
        </w:rPr>
        <w:t xml:space="preserve"> egyszerűbb </w:t>
      </w:r>
      <w:r w:rsidR="00493ABE" w:rsidRPr="006A6890">
        <w:rPr>
          <w:rFonts w:asciiTheme="minorHAnsi" w:hAnsiTheme="minorHAnsi"/>
        </w:rPr>
        <w:t>módszerek (az</w:t>
      </w:r>
      <w:r w:rsidRPr="006A6890">
        <w:rPr>
          <w:rFonts w:asciiTheme="minorHAnsi" w:hAnsiTheme="minorHAnsi"/>
        </w:rPr>
        <w:t xml:space="preserve"> alapmutató (</w:t>
      </w:r>
      <w:proofErr w:type="spellStart"/>
      <w:r w:rsidRPr="006A6890">
        <w:rPr>
          <w:rFonts w:asciiTheme="minorHAnsi" w:hAnsiTheme="minorHAnsi"/>
        </w:rPr>
        <w:t>BIA</w:t>
      </w:r>
      <w:proofErr w:type="spellEnd"/>
      <w:r w:rsidRPr="006A6890">
        <w:rPr>
          <w:rFonts w:asciiTheme="minorHAnsi" w:hAnsiTheme="minorHAnsi"/>
        </w:rPr>
        <w:t>), valamint sztenderd (</w:t>
      </w:r>
      <w:proofErr w:type="spellStart"/>
      <w:r w:rsidRPr="006A6890">
        <w:rPr>
          <w:rFonts w:asciiTheme="minorHAnsi" w:hAnsiTheme="minorHAnsi"/>
        </w:rPr>
        <w:t>TSA</w:t>
      </w:r>
      <w:proofErr w:type="spellEnd"/>
      <w:r w:rsidRPr="006A6890">
        <w:rPr>
          <w:rFonts w:asciiTheme="minorHAnsi" w:hAnsiTheme="minorHAnsi"/>
        </w:rPr>
        <w:t>) és alternatív sztenderd (ASA) módszer</w:t>
      </w:r>
      <w:r w:rsidR="00493ABE" w:rsidRPr="006A6890">
        <w:rPr>
          <w:rFonts w:asciiTheme="minorHAnsi" w:hAnsiTheme="minorHAnsi"/>
        </w:rPr>
        <w:t>) használhatók.</w:t>
      </w:r>
      <w:r w:rsidRPr="006A6890">
        <w:rPr>
          <w:rFonts w:asciiTheme="minorHAnsi" w:hAnsiTheme="minorHAnsi"/>
        </w:rPr>
        <w:t xml:space="preserve"> </w:t>
      </w:r>
      <w:r w:rsidR="00493ABE" w:rsidRPr="006A6890">
        <w:rPr>
          <w:rFonts w:asciiTheme="minorHAnsi" w:hAnsiTheme="minorHAnsi"/>
        </w:rPr>
        <w:t>A</w:t>
      </w:r>
      <w:r w:rsidRPr="006A6890">
        <w:rPr>
          <w:rFonts w:asciiTheme="minorHAnsi" w:hAnsiTheme="minorHAnsi"/>
        </w:rPr>
        <w:t xml:space="preserve"> </w:t>
      </w:r>
      <w:proofErr w:type="spellStart"/>
      <w:r w:rsidRPr="006A6890">
        <w:rPr>
          <w:rFonts w:asciiTheme="minorHAnsi" w:hAnsiTheme="minorHAnsi"/>
        </w:rPr>
        <w:t>TSA</w:t>
      </w:r>
      <w:proofErr w:type="spellEnd"/>
      <w:r w:rsidR="00493ABE" w:rsidRPr="006A6890">
        <w:rPr>
          <w:rFonts w:asciiTheme="minorHAnsi" w:hAnsiTheme="minorHAnsi"/>
        </w:rPr>
        <w:t xml:space="preserve"> és az </w:t>
      </w:r>
      <w:r w:rsidRPr="006A6890">
        <w:rPr>
          <w:rFonts w:asciiTheme="minorHAnsi" w:hAnsiTheme="minorHAnsi"/>
        </w:rPr>
        <w:t xml:space="preserve">ASA </w:t>
      </w:r>
      <w:r w:rsidR="00493ABE" w:rsidRPr="006A6890">
        <w:rPr>
          <w:rFonts w:asciiTheme="minorHAnsi" w:hAnsiTheme="minorHAnsi"/>
        </w:rPr>
        <w:t xml:space="preserve">alkalmazása </w:t>
      </w:r>
      <w:r w:rsidRPr="006A6890">
        <w:rPr>
          <w:rFonts w:asciiTheme="minorHAnsi" w:hAnsiTheme="minorHAnsi"/>
        </w:rPr>
        <w:t xml:space="preserve">felügyeleti engedélyhez kötött, az AMA használata </w:t>
      </w:r>
      <w:r w:rsidR="00FB6DF3" w:rsidRPr="006A6890">
        <w:rPr>
          <w:rFonts w:asciiTheme="minorHAnsi" w:hAnsiTheme="minorHAnsi"/>
        </w:rPr>
        <w:t>–</w:t>
      </w:r>
      <w:r w:rsidRPr="006A6890">
        <w:rPr>
          <w:rFonts w:asciiTheme="minorHAnsi" w:hAnsiTheme="minorHAnsi"/>
        </w:rPr>
        <w:t xml:space="preserve"> validációt követően</w:t>
      </w:r>
      <w:r w:rsidR="00493ABE" w:rsidRPr="006A6890">
        <w:rPr>
          <w:rFonts w:asciiTheme="minorHAnsi" w:hAnsiTheme="minorHAnsi"/>
        </w:rPr>
        <w:t xml:space="preserve"> </w:t>
      </w:r>
      <w:r w:rsidR="00FB6DF3" w:rsidRPr="006A6890">
        <w:rPr>
          <w:rFonts w:asciiTheme="minorHAnsi" w:hAnsiTheme="minorHAnsi"/>
        </w:rPr>
        <w:t>–</w:t>
      </w:r>
      <w:r w:rsidRPr="006A6890">
        <w:rPr>
          <w:rFonts w:asciiTheme="minorHAnsi" w:hAnsiTheme="minorHAnsi"/>
        </w:rPr>
        <w:t xml:space="preserve"> szintén felügyeleti engedélyhez kötött. </w:t>
      </w:r>
    </w:p>
    <w:p w14:paraId="2A9E8DB4" w14:textId="106BF672" w:rsidR="00870469" w:rsidRPr="006A6890" w:rsidRDefault="00870469" w:rsidP="00EA0541">
      <w:pPr>
        <w:rPr>
          <w:rFonts w:asciiTheme="minorHAnsi" w:hAnsiTheme="minorHAnsi"/>
        </w:rPr>
      </w:pPr>
      <w:r w:rsidRPr="006A6890">
        <w:rPr>
          <w:rFonts w:asciiTheme="minorHAnsi" w:hAnsiTheme="minorHAnsi"/>
        </w:rPr>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ázati események (szcenáriók) lehetőségének, a külső körülmények, a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 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Pr="006A6890">
        <w:rPr>
          <w:rFonts w:asciiTheme="minorHAnsi" w:hAnsiTheme="minorHAnsi"/>
        </w:rPr>
        <w:t xml:space="preserve"> hatását is értékelni kell az egyes tevékenységek/munkafolyamatok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35048EA5"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w:t>
      </w:r>
      <w:proofErr w:type="spellStart"/>
      <w:r w:rsidR="00870469" w:rsidRPr="006A6890">
        <w:rPr>
          <w:rFonts w:asciiTheme="minorHAnsi" w:hAnsiTheme="minorHAnsi"/>
        </w:rPr>
        <w:t>BIA</w:t>
      </w:r>
      <w:proofErr w:type="spellEnd"/>
      <w:r w:rsidR="00870469" w:rsidRPr="006A6890">
        <w:rPr>
          <w:rFonts w:asciiTheme="minorHAnsi" w:hAnsiTheme="minorHAnsi"/>
        </w:rPr>
        <w:t xml:space="preserve">, illetve </w:t>
      </w:r>
      <w:proofErr w:type="spellStart"/>
      <w:r w:rsidR="00870469" w:rsidRPr="006A6890">
        <w:rPr>
          <w:rFonts w:asciiTheme="minorHAnsi" w:hAnsiTheme="minorHAnsi"/>
        </w:rPr>
        <w:t>TSA</w:t>
      </w:r>
      <w:proofErr w:type="spellEnd"/>
      <w:r w:rsidR="00870469" w:rsidRPr="006A6890">
        <w:rPr>
          <w:rFonts w:asciiTheme="minorHAnsi" w:hAnsiTheme="minorHAnsi"/>
        </w:rPr>
        <w:t>, ASA) módszerek alkalmazása esetén is követelmény, hogy a vállalatirányítási rendszer részét képezze a működési kockázatok teljes 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 </w:t>
      </w:r>
      <w:proofErr w:type="spellStart"/>
      <w:r w:rsidR="00870469" w:rsidRPr="006A6890">
        <w:rPr>
          <w:rFonts w:asciiTheme="minorHAnsi" w:hAnsiTheme="minorHAnsi"/>
        </w:rPr>
        <w:t>elégségességé</w:t>
      </w:r>
      <w:r w:rsidRPr="006A6890">
        <w:rPr>
          <w:rFonts w:asciiTheme="minorHAnsi" w:hAnsiTheme="minorHAnsi"/>
        </w:rPr>
        <w:t>t</w:t>
      </w:r>
      <w:proofErr w:type="spellEnd"/>
      <w:r w:rsidR="00870469" w:rsidRPr="006A6890">
        <w:rPr>
          <w:rFonts w:asciiTheme="minorHAnsi" w:hAnsiTheme="minorHAnsi"/>
        </w:rPr>
        <w:t xml:space="preserve"> alátámasztó eljárással</w:t>
      </w:r>
      <w:r w:rsidRPr="006A6890">
        <w:rPr>
          <w:rFonts w:asciiTheme="minorHAnsi" w:hAnsiTheme="minorHAnsi"/>
        </w:rPr>
        <w:t xml:space="preserve">. Ez az </w:t>
      </w:r>
      <w:proofErr w:type="spellStart"/>
      <w:r w:rsidRPr="006A6890">
        <w:rPr>
          <w:rFonts w:asciiTheme="minorHAnsi" w:hAnsiTheme="minorHAnsi"/>
        </w:rPr>
        <w:t>eljrárás</w:t>
      </w:r>
      <w:r w:rsidR="00123206" w:rsidRPr="006A6890">
        <w:rPr>
          <w:rFonts w:asciiTheme="minorHAnsi" w:hAnsiTheme="minorHAnsi"/>
        </w:rPr>
        <w:t>nak</w:t>
      </w:r>
      <w:proofErr w:type="spellEnd"/>
      <w:r w:rsidRPr="006A6890">
        <w:rPr>
          <w:rFonts w:asciiTheme="minorHAnsi" w:hAnsiTheme="minorHAnsi"/>
        </w:rPr>
        <w:t xml:space="preserve"> a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a 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w:t>
      </w:r>
      <w:proofErr w:type="spellStart"/>
      <w:r w:rsidR="00870469" w:rsidRPr="006A6890">
        <w:rPr>
          <w:rFonts w:asciiTheme="minorHAnsi" w:hAnsiTheme="minorHAnsi"/>
        </w:rPr>
        <w:t>esetenként</w:t>
      </w:r>
      <w:proofErr w:type="spellEnd"/>
      <w:r w:rsidR="00870469" w:rsidRPr="006A6890">
        <w:rPr>
          <w:rFonts w:asciiTheme="minorHAnsi" w:hAnsiTheme="minorHAnsi"/>
        </w:rPr>
        <w:t xml:space="preserve"> (pl. alacsony jövedelmezőséggel rendelkező intézményeknél) a tényleges működési kockázattal szemben alacsonyabb tőkeértéket eredményezhet, a számítást további elemzéssel kell kiegészíteni és szükség esetén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39D192AC" w14:textId="02077895" w:rsidR="00C27A27" w:rsidRPr="006A6890" w:rsidRDefault="003F29E3" w:rsidP="00EA0541">
      <w:pPr>
        <w:rPr>
          <w:rFonts w:asciiTheme="minorHAnsi" w:hAnsiTheme="minorHAnsi"/>
        </w:rPr>
      </w:pPr>
      <w:r w:rsidRPr="006A6890">
        <w:rPr>
          <w:rFonts w:asciiTheme="minorHAnsi" w:hAnsiTheme="minorHAnsi"/>
        </w:rPr>
        <w:t>A működési kockázat mérése terén az intézmények szinte kizárólag a következő, meglehetősen letisztult</w:t>
      </w:r>
      <w:r w:rsidR="00D246BE" w:rsidRPr="006A6890">
        <w:rPr>
          <w:rFonts w:asciiTheme="minorHAnsi" w:hAnsiTheme="minorHAnsi"/>
        </w:rPr>
        <w:t>, CRR szerinti tőkeszámítási módszertan</w:t>
      </w:r>
      <w:r w:rsidRPr="006A6890">
        <w:rPr>
          <w:rFonts w:asciiTheme="minorHAnsi" w:hAnsiTheme="minorHAnsi"/>
        </w:rPr>
        <w:t xml:space="preserve"> egyikét követik: </w:t>
      </w:r>
    </w:p>
    <w:p w14:paraId="454C7DDA" w14:textId="62C7E081" w:rsidR="00C27A27" w:rsidRPr="006A6890" w:rsidRDefault="003F29E3" w:rsidP="00C27A27">
      <w:pPr>
        <w:pStyle w:val="ListParagraph"/>
        <w:numPr>
          <w:ilvl w:val="0"/>
          <w:numId w:val="79"/>
        </w:numPr>
        <w:rPr>
          <w:rFonts w:asciiTheme="minorHAnsi" w:hAnsiTheme="minorHAnsi"/>
          <w:sz w:val="22"/>
          <w:szCs w:val="22"/>
        </w:rPr>
      </w:pPr>
      <w:r w:rsidRPr="004B5D1A">
        <w:rPr>
          <w:rFonts w:asciiTheme="minorHAnsi" w:hAnsiTheme="minorHAnsi"/>
          <w:sz w:val="22"/>
        </w:rPr>
        <w:t>meglehetősen kockázat-érzéketlen módon, az üzleti eredményhez igazodó irányadó mutató alapján számítják a tőkekövetelményt (</w:t>
      </w:r>
      <w:proofErr w:type="spellStart"/>
      <w:r w:rsidRPr="004B5D1A">
        <w:rPr>
          <w:rFonts w:asciiTheme="minorHAnsi" w:hAnsiTheme="minorHAnsi"/>
          <w:sz w:val="22"/>
        </w:rPr>
        <w:t>BIA</w:t>
      </w:r>
      <w:proofErr w:type="spellEnd"/>
      <w:r w:rsidR="00253978" w:rsidRPr="006A6890">
        <w:rPr>
          <w:rFonts w:asciiTheme="minorHAnsi" w:hAnsiTheme="minorHAnsi"/>
          <w:sz w:val="22"/>
          <w:szCs w:val="22"/>
          <w:lang w:val="hu-HU"/>
        </w:rPr>
        <w:t>,</w:t>
      </w:r>
      <w:r w:rsidRPr="004B5D1A">
        <w:rPr>
          <w:rFonts w:asciiTheme="minorHAnsi" w:hAnsiTheme="minorHAnsi"/>
          <w:sz w:val="22"/>
        </w:rPr>
        <w:t xml:space="preserve"> </w:t>
      </w:r>
      <w:proofErr w:type="spellStart"/>
      <w:r w:rsidRPr="004B5D1A">
        <w:rPr>
          <w:rFonts w:asciiTheme="minorHAnsi" w:hAnsiTheme="minorHAnsi"/>
          <w:sz w:val="22"/>
        </w:rPr>
        <w:t>TSA</w:t>
      </w:r>
      <w:proofErr w:type="spellEnd"/>
      <w:r w:rsidR="00253978" w:rsidRPr="004B5D1A">
        <w:rPr>
          <w:rFonts w:asciiTheme="minorHAnsi" w:hAnsiTheme="minorHAnsi"/>
          <w:sz w:val="22"/>
          <w:lang w:val="hu-HU"/>
        </w:rPr>
        <w:t xml:space="preserve"> </w:t>
      </w:r>
      <w:r w:rsidR="00253978" w:rsidRPr="006A6890">
        <w:rPr>
          <w:rFonts w:asciiTheme="minorHAnsi" w:hAnsiTheme="minorHAnsi"/>
          <w:sz w:val="22"/>
          <w:szCs w:val="22"/>
          <w:lang w:val="hu-HU"/>
        </w:rPr>
        <w:t>és ASA</w:t>
      </w:r>
      <w:r w:rsidRPr="006A6890">
        <w:rPr>
          <w:rFonts w:asciiTheme="minorHAnsi" w:hAnsiTheme="minorHAnsi"/>
          <w:sz w:val="22"/>
          <w:szCs w:val="22"/>
        </w:rPr>
        <w:t xml:space="preserve"> </w:t>
      </w:r>
      <w:r w:rsidRPr="004B5D1A">
        <w:rPr>
          <w:rFonts w:asciiTheme="minorHAnsi" w:hAnsiTheme="minorHAnsi"/>
          <w:sz w:val="22"/>
        </w:rPr>
        <w:t>módszer), vagy</w:t>
      </w:r>
    </w:p>
    <w:p w14:paraId="5EC3F6ED" w14:textId="28FC98E5" w:rsidR="00C27A27" w:rsidRPr="006A6890" w:rsidRDefault="003F29E3" w:rsidP="00C27A27">
      <w:pPr>
        <w:pStyle w:val="ListParagraph"/>
        <w:numPr>
          <w:ilvl w:val="0"/>
          <w:numId w:val="79"/>
        </w:numPr>
        <w:rPr>
          <w:rFonts w:asciiTheme="minorHAnsi" w:hAnsiTheme="minorHAnsi"/>
          <w:sz w:val="22"/>
          <w:szCs w:val="22"/>
        </w:rPr>
      </w:pPr>
      <w:r w:rsidRPr="004B5D1A">
        <w:rPr>
          <w:rFonts w:asciiTheme="minorHAnsi" w:hAnsiTheme="minorHAnsi"/>
          <w:sz w:val="22"/>
        </w:rPr>
        <w:t>jóval szofisztikáltabb és kockázatérzékenyebb módon, a lehetséges veszteségek valószínűségi eloszlását felhasználva számszerűsítik a tőkefedezet mértékét (AMA).</w:t>
      </w:r>
    </w:p>
    <w:p w14:paraId="7509861E" w14:textId="3BA62315" w:rsidR="00EF153F" w:rsidRPr="006A6890" w:rsidRDefault="003F29E3" w:rsidP="00EA0541">
      <w:pPr>
        <w:rPr>
          <w:rFonts w:asciiTheme="minorHAnsi" w:hAnsiTheme="minorHAnsi"/>
        </w:rPr>
      </w:pPr>
      <w:r w:rsidRPr="006A6890">
        <w:rPr>
          <w:rFonts w:asciiTheme="minorHAnsi" w:hAnsiTheme="minorHAnsi"/>
        </w:rPr>
        <w:t xml:space="preserve">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w:t>
      </w:r>
      <w:r w:rsidRPr="006A6890">
        <w:rPr>
          <w:rFonts w:asciiTheme="minorHAnsi" w:hAnsiTheme="minorHAnsi"/>
        </w:rPr>
        <w:lastRenderedPageBreak/>
        <w:t>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DA3663" w:rsidRPr="006A6890">
        <w:rPr>
          <w:rFonts w:asciiTheme="minorHAnsi" w:hAnsiTheme="minorHAnsi"/>
        </w:rPr>
        <w:t>-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5FD73A2B"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 xml:space="preserve">bankok között annak érdekében, hogy az arányosság elve a gyakorlatban is </w:t>
      </w:r>
      <w:proofErr w:type="spellStart"/>
      <w:r w:rsidR="006850C0" w:rsidRPr="006A6890">
        <w:rPr>
          <w:rFonts w:asciiTheme="minorHAnsi" w:hAnsiTheme="minorHAnsi"/>
        </w:rPr>
        <w:t>megvalósuljuon</w:t>
      </w:r>
      <w:proofErr w:type="spellEnd"/>
      <w:r w:rsidR="006850C0" w:rsidRPr="006A6890">
        <w:rPr>
          <w:rFonts w:asciiTheme="minorHAnsi" w:hAnsiTheme="minorHAnsi"/>
        </w:rPr>
        <w:t>:</w:t>
      </w:r>
    </w:p>
    <w:p w14:paraId="2757229B" w14:textId="18E59C23" w:rsidR="006850C0"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43787C82" w:rsidR="00870469"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 xml:space="preserve">a kulcskockázati </w:t>
      </w:r>
      <w:proofErr w:type="spellStart"/>
      <w:r w:rsidRPr="006A6890">
        <w:rPr>
          <w:rFonts w:asciiTheme="minorHAnsi" w:hAnsiTheme="minorHAnsi"/>
          <w:sz w:val="22"/>
          <w:szCs w:val="22"/>
          <w:lang w:val="hu-HU"/>
        </w:rPr>
        <w:t>indiktárok</w:t>
      </w:r>
      <w:proofErr w:type="spellEnd"/>
      <w:r w:rsidRPr="006A6890">
        <w:rPr>
          <w:rFonts w:asciiTheme="minorHAnsi" w:hAnsiTheme="minorHAnsi"/>
          <w:sz w:val="22"/>
          <w:szCs w:val="22"/>
          <w:lang w:val="hu-HU"/>
        </w:rPr>
        <w:t xml:space="preserve"> </w:t>
      </w:r>
      <w:proofErr w:type="spellStart"/>
      <w:r w:rsidRPr="006A6890">
        <w:rPr>
          <w:rFonts w:asciiTheme="minorHAnsi" w:hAnsiTheme="minorHAnsi"/>
          <w:sz w:val="22"/>
          <w:szCs w:val="22"/>
          <w:lang w:val="hu-HU"/>
        </w:rPr>
        <w:t>monitoringja</w:t>
      </w:r>
      <w:proofErr w:type="spellEnd"/>
      <w:r w:rsidRPr="006A6890">
        <w:rPr>
          <w:rFonts w:asciiTheme="minorHAnsi" w:hAnsiTheme="minorHAnsi"/>
          <w:sz w:val="22"/>
          <w:szCs w:val="22"/>
          <w:lang w:val="hu-HU"/>
        </w:rPr>
        <w:t>, szcenárióelemzési tevékenység és a működési kockázati önértékelés minden nagybank esetében elvárt,</w:t>
      </w:r>
    </w:p>
    <w:p w14:paraId="3453A107" w14:textId="636A92D7" w:rsidR="006850C0" w:rsidRPr="006A6890" w:rsidRDefault="006850C0" w:rsidP="0022464F">
      <w:pPr>
        <w:pStyle w:val="ListParagraph"/>
        <w:numPr>
          <w:ilvl w:val="0"/>
          <w:numId w:val="80"/>
        </w:numPr>
        <w:rPr>
          <w:rFonts w:asciiTheme="minorHAnsi" w:hAnsiTheme="minorHAnsi"/>
        </w:rPr>
      </w:pPr>
      <w:r w:rsidRPr="006A6890">
        <w:rPr>
          <w:rFonts w:asciiTheme="minorHAnsi" w:hAnsiTheme="minorHAnsi"/>
          <w:sz w:val="22"/>
          <w:szCs w:val="22"/>
          <w:lang w:val="hu-HU"/>
        </w:rPr>
        <w:t xml:space="preserve">a kis bankok esetében elvárt, hogy a kulcskockázati </w:t>
      </w:r>
      <w:proofErr w:type="spellStart"/>
      <w:r w:rsidRPr="006A6890">
        <w:rPr>
          <w:rFonts w:asciiTheme="minorHAnsi" w:hAnsiTheme="minorHAnsi"/>
          <w:sz w:val="22"/>
          <w:szCs w:val="22"/>
          <w:lang w:val="hu-HU"/>
        </w:rPr>
        <w:t>indiktárok</w:t>
      </w:r>
      <w:proofErr w:type="spellEnd"/>
      <w:r w:rsidRPr="006A6890">
        <w:rPr>
          <w:rFonts w:asciiTheme="minorHAnsi" w:hAnsiTheme="minorHAnsi"/>
          <w:sz w:val="22"/>
          <w:szCs w:val="22"/>
          <w:lang w:val="hu-HU"/>
        </w:rPr>
        <w:t xml:space="preserve"> </w:t>
      </w:r>
      <w:proofErr w:type="spellStart"/>
      <w:r w:rsidRPr="006A6890">
        <w:rPr>
          <w:rFonts w:asciiTheme="minorHAnsi" w:hAnsiTheme="minorHAnsi"/>
          <w:sz w:val="22"/>
          <w:szCs w:val="22"/>
          <w:lang w:val="hu-HU"/>
        </w:rPr>
        <w:t>monto</w:t>
      </w:r>
      <w:r w:rsidR="002B5C0A" w:rsidRPr="006A6890">
        <w:rPr>
          <w:rFonts w:asciiTheme="minorHAnsi" w:hAnsiTheme="minorHAnsi"/>
          <w:sz w:val="22"/>
          <w:szCs w:val="22"/>
          <w:lang w:val="hu-HU"/>
        </w:rPr>
        <w:t>r</w:t>
      </w:r>
      <w:r w:rsidRPr="006A6890">
        <w:rPr>
          <w:rFonts w:asciiTheme="minorHAnsi" w:hAnsiTheme="minorHAnsi"/>
          <w:sz w:val="22"/>
          <w:szCs w:val="22"/>
          <w:lang w:val="hu-HU"/>
        </w:rPr>
        <w:t>ingja</w:t>
      </w:r>
      <w:proofErr w:type="spellEnd"/>
      <w:r w:rsidRPr="006A6890">
        <w:rPr>
          <w:rFonts w:asciiTheme="minorHAnsi" w:hAnsiTheme="minorHAnsi"/>
          <w:sz w:val="22"/>
          <w:szCs w:val="22"/>
          <w:lang w:val="hu-HU"/>
        </w:rPr>
        <w:t xml:space="preserve">, a szcenárióelemzés vagy a működési kockázati önértékelés közül legalább egy módszertan választásával mérjék fel a potenciális működési </w:t>
      </w:r>
      <w:proofErr w:type="spellStart"/>
      <w:r w:rsidRPr="006A6890">
        <w:rPr>
          <w:rFonts w:asciiTheme="minorHAnsi" w:hAnsiTheme="minorHAnsi"/>
          <w:sz w:val="22"/>
          <w:szCs w:val="22"/>
          <w:lang w:val="hu-HU"/>
        </w:rPr>
        <w:t>kockázatakaikat</w:t>
      </w:r>
      <w:proofErr w:type="spellEnd"/>
      <w:r w:rsidRPr="006A6890">
        <w:rPr>
          <w:rFonts w:asciiTheme="minorHAnsi" w:hAnsiTheme="minorHAnsi"/>
          <w:sz w:val="22"/>
          <w:szCs w:val="22"/>
          <w:lang w:val="hu-HU"/>
        </w:rPr>
        <w:t xml:space="preserve">.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5FE711A7" w:rsidR="00AB1273" w:rsidRDefault="00D246BE" w:rsidP="00EA0541">
      <w:pPr>
        <w:rPr>
          <w:rFonts w:asciiTheme="minorHAnsi" w:hAnsiTheme="minorHAnsi"/>
        </w:rPr>
      </w:pPr>
      <w:r w:rsidRPr="006A6890">
        <w:rPr>
          <w:rFonts w:asciiTheme="minorHAnsi" w:hAnsiTheme="minorHAnsi"/>
        </w:rPr>
        <w:t xml:space="preserve">1. </w:t>
      </w:r>
      <w:r w:rsidR="006850C0" w:rsidRPr="006A6890">
        <w:rPr>
          <w:rFonts w:asciiTheme="minorHAnsi" w:hAnsiTheme="minorHAnsi"/>
        </w:rPr>
        <w:t>A m</w:t>
      </w:r>
      <w:r w:rsidR="00870469" w:rsidRPr="006A6890">
        <w:rPr>
          <w:rFonts w:asciiTheme="minorHAnsi" w:hAnsiTheme="minorHAnsi"/>
        </w:rPr>
        <w:t>űködési kockázati keretrendszer</w:t>
      </w:r>
    </w:p>
    <w:p w14:paraId="28ED0BFC" w14:textId="7B578C59"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intézménynek jól dokumentált</w:t>
      </w:r>
      <w:r w:rsidR="006A0743" w:rsidRPr="006A6890">
        <w:rPr>
          <w:rFonts w:asciiTheme="minorHAnsi" w:hAnsiTheme="minorHAnsi"/>
        </w:rPr>
        <w:t xml:space="preserve">, </w:t>
      </w:r>
      <w:proofErr w:type="spellStart"/>
      <w:r w:rsidR="006A0743" w:rsidRPr="006A6890">
        <w:rPr>
          <w:rFonts w:asciiTheme="minorHAnsi" w:hAnsiTheme="minorHAnsi"/>
        </w:rPr>
        <w:t>szabályozatban</w:t>
      </w:r>
      <w:proofErr w:type="spellEnd"/>
      <w:r w:rsidR="006A0743" w:rsidRPr="006A6890">
        <w:rPr>
          <w:rFonts w:asciiTheme="minorHAnsi" w:hAnsiTheme="minorHAnsi"/>
        </w:rPr>
        <w:t xml:space="preserve"> rögzített</w:t>
      </w:r>
      <w:r w:rsidRPr="006A6890">
        <w:rPr>
          <w:rFonts w:asciiTheme="minorHAnsi" w:hAnsiTheme="minorHAnsi"/>
        </w:rPr>
        <w:t xml:space="preserve"> működési kockázatkezelési keretrendszerrel kell rendelkeznie, melyben a kockázatok értékelése és kezelése jól </w:t>
      </w:r>
      <w:proofErr w:type="spellStart"/>
      <w:r w:rsidRPr="006A6890">
        <w:rPr>
          <w:rFonts w:asciiTheme="minorHAnsi" w:hAnsiTheme="minorHAnsi"/>
        </w:rPr>
        <w:t>körülhatárolt</w:t>
      </w:r>
      <w:proofErr w:type="spellEnd"/>
      <w:r w:rsidRPr="006A6890">
        <w:rPr>
          <w:rFonts w:asciiTheme="minorHAnsi" w:hAnsiTheme="minorHAnsi"/>
        </w:rPr>
        <w:t xml:space="preserve">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w:t>
      </w:r>
      <w:proofErr w:type="spellStart"/>
      <w:r w:rsidR="006A0743" w:rsidRPr="006A6890">
        <w:rPr>
          <w:rFonts w:asciiTheme="minorHAnsi" w:hAnsiTheme="minorHAnsi"/>
        </w:rPr>
        <w:t>elkülönülten</w:t>
      </w:r>
      <w:proofErr w:type="spellEnd"/>
      <w:r w:rsidR="006A0743" w:rsidRPr="006A6890">
        <w:rPr>
          <w:rFonts w:asciiTheme="minorHAnsi" w:hAnsiTheme="minorHAnsi"/>
        </w:rPr>
        <w:t xml:space="preserve"> is.</w:t>
      </w:r>
    </w:p>
    <w:p w14:paraId="564EA78D" w14:textId="68B020D9"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 folyamataiba, átfogó kockázatkezelési keretrendszerébe szorosan integrálni szükséges</w:t>
      </w:r>
      <w:r w:rsidR="0080500C" w:rsidRPr="006A6890">
        <w:rPr>
          <w:rFonts w:asciiTheme="minorHAnsi" w:hAnsiTheme="minorHAnsi"/>
        </w:rPr>
        <w:t>.</w:t>
      </w:r>
    </w:p>
    <w:p w14:paraId="227EBA72" w14:textId="3C01062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 ellenőrzését mindenkor biztosítani szükséges</w:t>
      </w:r>
      <w:r w:rsidR="0080500C" w:rsidRPr="006A6890">
        <w:rPr>
          <w:rFonts w:asciiTheme="minorHAnsi" w:hAnsiTheme="minorHAnsi"/>
        </w:rPr>
        <w:t>.</w:t>
      </w:r>
    </w:p>
    <w:p w14:paraId="72C3624E" w14:textId="11AFE1B3"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mely elengedhetetlenné teszi a rendszeres működési kockázati jelentések formájában tett beszámolást.</w:t>
      </w:r>
    </w:p>
    <w:p w14:paraId="32E906C8" w14:textId="3E9D16E0" w:rsidR="00AB1273" w:rsidRDefault="006A0743" w:rsidP="00EA0541">
      <w:pPr>
        <w:rPr>
          <w:rFonts w:asciiTheme="minorHAnsi" w:hAnsiTheme="minorHAnsi"/>
        </w:rPr>
      </w:pPr>
      <w:r w:rsidRPr="006A6890">
        <w:rPr>
          <w:rFonts w:asciiTheme="minorHAnsi" w:hAnsiTheme="minorHAnsi"/>
        </w:rPr>
        <w:t>2. Veszteségadat-gyűjtés</w:t>
      </w:r>
    </w:p>
    <w:p w14:paraId="14A83125" w14:textId="512874AA"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xml:space="preserve">, veszteségek és </w:t>
      </w:r>
      <w:proofErr w:type="spellStart"/>
      <w:r w:rsidR="00B17CC8" w:rsidRPr="006A6890">
        <w:rPr>
          <w:rFonts w:asciiTheme="minorHAnsi" w:hAnsiTheme="minorHAnsi"/>
        </w:rPr>
        <w:t>megtérü</w:t>
      </w:r>
      <w:r w:rsidR="00D3428D" w:rsidRPr="006A6890">
        <w:rPr>
          <w:rFonts w:asciiTheme="minorHAnsi" w:hAnsiTheme="minorHAnsi"/>
        </w:rPr>
        <w:t>l</w:t>
      </w:r>
      <w:r w:rsidR="00B17CC8" w:rsidRPr="006A6890">
        <w:rPr>
          <w:rFonts w:asciiTheme="minorHAnsi" w:hAnsiTheme="minorHAnsi"/>
        </w:rPr>
        <w:t>ések</w:t>
      </w:r>
      <w:proofErr w:type="spellEnd"/>
      <w:r w:rsidRPr="006A6890">
        <w:rPr>
          <w:rFonts w:asciiTheme="minorHAnsi" w:hAnsiTheme="minorHAnsi"/>
        </w:rPr>
        <w:t xml:space="preserve"> független validációját (4 szem elve). Fejlett módszertant alkalmazó intézmény esetén a tőkekövetelmény számításban kizárólag </w:t>
      </w:r>
      <w:proofErr w:type="spellStart"/>
      <w:r w:rsidRPr="006A6890">
        <w:rPr>
          <w:rFonts w:asciiTheme="minorHAnsi" w:hAnsiTheme="minorHAnsi"/>
        </w:rPr>
        <w:t>validált</w:t>
      </w:r>
      <w:proofErr w:type="spellEnd"/>
      <w:r w:rsidR="00D3428D" w:rsidRPr="006A6890">
        <w:rPr>
          <w:rStyle w:val="FootnoteReference"/>
          <w:rFonts w:asciiTheme="minorHAnsi" w:hAnsiTheme="minorHAnsi"/>
        </w:rPr>
        <w:footnoteReference w:id="75"/>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4C896614"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Pr="006A6890">
        <w:rPr>
          <w:rFonts w:asciiTheme="minorHAnsi" w:hAnsiTheme="minorHAnsi"/>
        </w:rPr>
        <w:t xml:space="preserve"> eseményekre ki kell terjednie, amelyek hatása kimutatható a számviteli 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p>
    <w:p w14:paraId="6E779FB6" w14:textId="393410D5"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 azaz</w:t>
      </w:r>
      <w:r w:rsidR="005757B4" w:rsidRPr="006A6890">
        <w:rPr>
          <w:rFonts w:asciiTheme="minorHAnsi" w:hAnsiTheme="minorHAnsi"/>
        </w:rPr>
        <w:t xml:space="preserve"> </w:t>
      </w:r>
      <w:r w:rsidR="005757B4" w:rsidRPr="006A6890">
        <w:rPr>
          <w:rFonts w:asciiTheme="minorHAnsi" w:hAnsiTheme="minorHAnsi"/>
        </w:rPr>
        <w:lastRenderedPageBreak/>
        <w:t>eseménysorozatokhoz és az eseménycsoportokhoz kapcsolódó eseményeket külön jelölni szükséges.</w:t>
      </w:r>
    </w:p>
    <w:p w14:paraId="2B27C4A0" w14:textId="78A0896B"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 xml:space="preserve">Amennyiben egy esemény az intézmény egészét vagy több üzletágat érint, az esemény az üzletágak között megosztandó vagy lehetővé kell tenni az </w:t>
      </w:r>
      <w:proofErr w:type="spellStart"/>
      <w:r w:rsidR="00471F6F" w:rsidRPr="00471F6F">
        <w:rPr>
          <w:rFonts w:asciiTheme="minorHAnsi" w:hAnsiTheme="minorHAnsi"/>
        </w:rPr>
        <w:t>összbanki</w:t>
      </w:r>
      <w:proofErr w:type="spellEnd"/>
      <w:r w:rsidR="00471F6F" w:rsidRPr="00471F6F">
        <w:rPr>
          <w:rFonts w:asciiTheme="minorHAnsi" w:hAnsiTheme="minorHAnsi"/>
        </w:rPr>
        <w:t xml:space="preserve"> eseményként történő besorolását.</w:t>
      </w:r>
    </w:p>
    <w:p w14:paraId="160F16C3" w14:textId="72893A5E"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elmaradt </w:t>
      </w:r>
      <w:r w:rsidR="00780738" w:rsidRPr="006A6890">
        <w:rPr>
          <w:rFonts w:asciiTheme="minorHAnsi" w:hAnsiTheme="minorHAnsi"/>
        </w:rPr>
        <w:t>haszon stb.</w:t>
      </w:r>
    </w:p>
    <w:p w14:paraId="403BABB9" w14:textId="642527BD" w:rsidR="006A0743" w:rsidRPr="006A6890" w:rsidRDefault="006A0743" w:rsidP="0022464F">
      <w:pPr>
        <w:numPr>
          <w:ilvl w:val="0"/>
          <w:numId w:val="37"/>
        </w:numPr>
        <w:rPr>
          <w:rFonts w:asciiTheme="minorHAnsi" w:hAnsiTheme="minorHAnsi"/>
        </w:rPr>
      </w:pPr>
      <w:r w:rsidRPr="006A6890">
        <w:rPr>
          <w:rFonts w:asciiTheme="minorHAnsi" w:hAnsiTheme="minorHAnsi"/>
        </w:rPr>
        <w:t>A veszteségadat-gyűjtés teljeskörűsége érdekében az intézménynek gondoskod</w:t>
      </w:r>
      <w:r w:rsidR="00F81CCF">
        <w:rPr>
          <w:rFonts w:asciiTheme="minorHAnsi" w:hAnsiTheme="minorHAnsi"/>
        </w:rPr>
        <w:t>n</w:t>
      </w:r>
      <w:r w:rsidRPr="006A6890">
        <w:rPr>
          <w:rFonts w:asciiTheme="minorHAnsi" w:hAnsiTheme="minorHAnsi"/>
        </w:rPr>
        <w:t>ia kell arról, hogy a tevékenységben részt vevő munkatársak megfelelő képzésben részesüljenek, mely kiterjed a működési kockázatok azonosítására és az adatgyűjtési folyamatra is.</w:t>
      </w:r>
    </w:p>
    <w:p w14:paraId="1297F79B" w14:textId="0787BF2D" w:rsidR="006A0743" w:rsidRPr="006A6890" w:rsidRDefault="006A0743" w:rsidP="004B5D1A">
      <w:pPr>
        <w:pStyle w:val="ListParagraph"/>
        <w:numPr>
          <w:ilvl w:val="0"/>
          <w:numId w:val="37"/>
        </w:numPr>
        <w:rPr>
          <w:rFonts w:asciiTheme="minorHAnsi" w:hAnsiTheme="minorHAnsi"/>
        </w:rPr>
      </w:pPr>
      <w:r w:rsidRPr="004B5D1A">
        <w:rPr>
          <w:rFonts w:asciiTheme="minorHAnsi" w:hAnsiTheme="minorHAnsi"/>
          <w:sz w:val="22"/>
          <w:lang w:val="hu-HU"/>
        </w:rPr>
        <w:t xml:space="preserve">A gyűjtött </w:t>
      </w:r>
      <w:r w:rsidRPr="006A6890">
        <w:rPr>
          <w:rFonts w:asciiTheme="minorHAnsi" w:hAnsiTheme="minorHAnsi"/>
          <w:sz w:val="22"/>
          <w:szCs w:val="22"/>
          <w:lang w:val="hu-HU"/>
        </w:rPr>
        <w:t>adatok</w:t>
      </w:r>
      <w:r w:rsidRPr="004B5D1A">
        <w:rPr>
          <w:rFonts w:asciiTheme="minorHAnsi" w:hAnsiTheme="minorHAnsi"/>
          <w:sz w:val="22"/>
          <w:lang w:val="hu-HU"/>
        </w:rPr>
        <w:t xml:space="preserve"> minőségbiztosítása végett</w:t>
      </w:r>
      <w:r w:rsidRPr="004B5D1A">
        <w:rPr>
          <w:rFonts w:asciiTheme="minorHAnsi" w:hAnsiTheme="minorHAnsi"/>
          <w:sz w:val="22"/>
        </w:rPr>
        <w:t xml:space="preserve"> </w:t>
      </w:r>
      <w:r w:rsidR="00001DC1" w:rsidRPr="006A6890">
        <w:rPr>
          <w:rFonts w:asciiTheme="minorHAnsi" w:hAnsiTheme="minorHAnsi"/>
          <w:sz w:val="22"/>
          <w:szCs w:val="22"/>
          <w:lang w:val="hu-HU"/>
        </w:rPr>
        <w:t xml:space="preserve">az </w:t>
      </w:r>
      <w:r w:rsidRPr="006A6890">
        <w:rPr>
          <w:rFonts w:asciiTheme="minorHAnsi" w:hAnsiTheme="minorHAnsi"/>
          <w:sz w:val="22"/>
          <w:szCs w:val="22"/>
        </w:rPr>
        <w:t xml:space="preserve">intézménynek ki kell alakítani azt a </w:t>
      </w:r>
      <w:r w:rsidRPr="006A6890">
        <w:rPr>
          <w:rFonts w:asciiTheme="minorHAnsi" w:hAnsiTheme="minorHAnsi"/>
          <w:sz w:val="22"/>
          <w:szCs w:val="22"/>
          <w:lang w:val="hu-HU"/>
        </w:rPr>
        <w:t>kontroll</w:t>
      </w:r>
      <w:r w:rsidRPr="006A6890">
        <w:rPr>
          <w:rFonts w:asciiTheme="minorHAnsi" w:hAnsiTheme="minorHAnsi"/>
          <w:sz w:val="22"/>
          <w:szCs w:val="22"/>
        </w:rPr>
        <w:t xml:space="preserve">mechanizmust, amely biztosítja az adatgyűjtési folyamat </w:t>
      </w:r>
      <w:r w:rsidRPr="006A6890">
        <w:rPr>
          <w:rFonts w:asciiTheme="minorHAnsi" w:hAnsiTheme="minorHAnsi"/>
          <w:sz w:val="22"/>
          <w:szCs w:val="22"/>
          <w:lang w:val="hu-HU"/>
        </w:rPr>
        <w:t>teljeskörűségét és megfelelőségét</w:t>
      </w:r>
      <w:r w:rsidRPr="006A6890">
        <w:rPr>
          <w:rFonts w:asciiTheme="minorHAnsi" w:hAnsiTheme="minorHAnsi"/>
          <w:sz w:val="22"/>
          <w:szCs w:val="22"/>
        </w:rPr>
        <w:t xml:space="preserve"> és</w:t>
      </w:r>
      <w:r w:rsidR="00780738" w:rsidRPr="006A6890">
        <w:rPr>
          <w:rFonts w:asciiTheme="minorHAnsi" w:hAnsiTheme="minorHAnsi"/>
          <w:sz w:val="22"/>
          <w:szCs w:val="22"/>
          <w:lang w:val="hu-HU"/>
        </w:rPr>
        <w:t xml:space="preserve"> azt</w:t>
      </w:r>
      <w:r w:rsidRPr="006A6890">
        <w:rPr>
          <w:rFonts w:asciiTheme="minorHAnsi" w:hAnsiTheme="minorHAnsi"/>
          <w:sz w:val="22"/>
          <w:szCs w:val="22"/>
        </w:rPr>
        <w:t xml:space="preserve"> át kell ültetni a rendszeres monitoringtevékenységébe. Ennek egyik módja lehet a realizált veszteségek számviteli nyilvántartásokban történő azonosítása</w:t>
      </w:r>
      <w:r w:rsidRPr="006A6890">
        <w:rPr>
          <w:rFonts w:asciiTheme="minorHAnsi" w:hAnsiTheme="minorHAnsi"/>
          <w:sz w:val="22"/>
          <w:szCs w:val="22"/>
          <w:lang w:val="hu-HU"/>
        </w:rPr>
        <w:t xml:space="preserve"> a kétoldalú</w:t>
      </w:r>
      <w:r w:rsidRPr="004B5D1A">
        <w:rPr>
          <w:rFonts w:asciiTheme="minorHAnsi" w:hAnsiTheme="minorHAnsi"/>
          <w:sz w:val="22"/>
          <w:lang w:val="hu-HU"/>
        </w:rPr>
        <w:t xml:space="preserve"> főkönyvi egyeztetés </w:t>
      </w:r>
      <w:r w:rsidRPr="006A6890">
        <w:rPr>
          <w:rFonts w:asciiTheme="minorHAnsi" w:hAnsiTheme="minorHAnsi"/>
          <w:sz w:val="22"/>
          <w:szCs w:val="22"/>
          <w:lang w:val="hu-HU"/>
        </w:rPr>
        <w:t>módszerével</w:t>
      </w:r>
      <w:r w:rsidRPr="004B5D1A">
        <w:rPr>
          <w:rFonts w:asciiTheme="minorHAnsi" w:hAnsiTheme="minorHAnsi"/>
          <w:sz w:val="22"/>
          <w:lang w:val="hu-HU"/>
        </w:rPr>
        <w:t>.</w:t>
      </w:r>
    </w:p>
    <w:p w14:paraId="13E6178F" w14:textId="2B8355BC" w:rsidR="00AB1273" w:rsidRDefault="00780738" w:rsidP="00EA0541">
      <w:pPr>
        <w:rPr>
          <w:rFonts w:asciiTheme="minorHAnsi" w:hAnsiTheme="minorHAnsi"/>
        </w:rPr>
      </w:pPr>
      <w:r w:rsidRPr="006A6890">
        <w:rPr>
          <w:rFonts w:asciiTheme="minorHAnsi" w:hAnsiTheme="minorHAnsi"/>
        </w:rPr>
        <w:t xml:space="preserve">3. </w:t>
      </w:r>
      <w:r w:rsidR="00870469" w:rsidRPr="006A6890">
        <w:rPr>
          <w:rFonts w:asciiTheme="minorHAnsi" w:hAnsiTheme="minorHAnsi"/>
        </w:rPr>
        <w:t>Kulcskockázati indikátoro</w:t>
      </w:r>
      <w:r w:rsidR="0043153F" w:rsidRPr="006A6890">
        <w:rPr>
          <w:rFonts w:asciiTheme="minorHAnsi" w:hAnsiTheme="minorHAnsi"/>
        </w:rPr>
        <w:t>k</w:t>
      </w:r>
      <w:r w:rsidR="005757B4" w:rsidRPr="006A6890">
        <w:rPr>
          <w:rFonts w:asciiTheme="minorHAnsi" w:hAnsiTheme="minorHAnsi"/>
        </w:rPr>
        <w:t xml:space="preserve"> (</w:t>
      </w:r>
      <w:proofErr w:type="spellStart"/>
      <w:r w:rsidR="005757B4" w:rsidRPr="006A6890">
        <w:rPr>
          <w:rFonts w:asciiTheme="minorHAnsi" w:hAnsiTheme="minorHAnsi"/>
        </w:rPr>
        <w:t>KRI</w:t>
      </w:r>
      <w:proofErr w:type="spellEnd"/>
      <w:r w:rsidR="005757B4" w:rsidRPr="006A6890">
        <w:rPr>
          <w:rFonts w:asciiTheme="minorHAnsi" w:hAnsiTheme="minorHAnsi"/>
        </w:rPr>
        <w:t>-k)</w:t>
      </w:r>
    </w:p>
    <w:p w14:paraId="744E8D04" w14:textId="599FB791"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001DC1" w:rsidRPr="006A6890">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001DC1" w:rsidRPr="006A6890">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javasolja,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KRI</w:t>
      </w:r>
      <w:proofErr w:type="spellEnd"/>
      <w:r w:rsidRPr="006A6890">
        <w:rPr>
          <w:rFonts w:asciiTheme="minorHAnsi" w:hAnsiTheme="minorHAnsi"/>
        </w:rPr>
        <w:t xml:space="preserve"> lefedettség akkor tekinthető elfogadhatónak, ha az intézmény megfelelően alá tudja támasztani, hogy az üzemeltetett </w:t>
      </w:r>
      <w:proofErr w:type="spellStart"/>
      <w:r w:rsidRPr="006A6890">
        <w:rPr>
          <w:rFonts w:asciiTheme="minorHAnsi" w:hAnsiTheme="minorHAnsi"/>
        </w:rPr>
        <w:t>KRI</w:t>
      </w:r>
      <w:proofErr w:type="spellEnd"/>
      <w:r w:rsidRPr="006A6890">
        <w:rPr>
          <w:rFonts w:asciiTheme="minorHAnsi" w:hAnsiTheme="minorHAnsi"/>
        </w:rPr>
        <w:t xml:space="preserve"> mutató készlet a jelentős kockázatait valóban megragadja 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w:t>
      </w:r>
      <w:proofErr w:type="spellStart"/>
      <w:r w:rsidR="0010414D" w:rsidRPr="006A6890">
        <w:rPr>
          <w:rFonts w:asciiTheme="minorHAnsi" w:hAnsiTheme="minorHAnsi"/>
        </w:rPr>
        <w:t>KRI</w:t>
      </w:r>
      <w:proofErr w:type="spellEnd"/>
      <w:r w:rsidR="0010414D" w:rsidRPr="006A6890">
        <w:rPr>
          <w:rFonts w:asciiTheme="minorHAnsi" w:hAnsiTheme="minorHAnsi"/>
        </w:rPr>
        <w:t xml:space="preserve">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4AB5944D" w:rsidR="00780738" w:rsidRPr="006A6890" w:rsidRDefault="00780738">
      <w:pPr>
        <w:numPr>
          <w:ilvl w:val="0"/>
          <w:numId w:val="36"/>
        </w:numPr>
        <w:rPr>
          <w:rFonts w:asciiTheme="minorHAnsi" w:hAnsiTheme="minorHAnsi"/>
        </w:rPr>
      </w:pPr>
      <w:r w:rsidRPr="006A6890">
        <w:rPr>
          <w:rFonts w:asciiTheme="minorHAnsi" w:hAnsiTheme="minorHAnsi"/>
        </w:rPr>
        <w:t xml:space="preserve">A mutatók értékének </w:t>
      </w:r>
      <w:proofErr w:type="spellStart"/>
      <w:r w:rsidRPr="006A6890">
        <w:rPr>
          <w:rFonts w:asciiTheme="minorHAnsi" w:hAnsiTheme="minorHAnsi"/>
        </w:rPr>
        <w:t>alakulásást</w:t>
      </w:r>
      <w:proofErr w:type="spellEnd"/>
      <w:r w:rsidRPr="006A6890">
        <w:rPr>
          <w:rFonts w:asciiTheme="minorHAnsi" w:hAnsiTheme="minorHAnsi"/>
        </w:rPr>
        <w:t xml:space="preserve"> az intézmény folyamatosan kövesse nyomon és legyen jóváhagyott eljárásrendje arra </w:t>
      </w:r>
      <w:proofErr w:type="spellStart"/>
      <w:r w:rsidRPr="006A6890">
        <w:rPr>
          <w:rFonts w:asciiTheme="minorHAnsi" w:hAnsiTheme="minorHAnsi"/>
        </w:rPr>
        <w:t>vonakozóan</w:t>
      </w:r>
      <w:proofErr w:type="spellEnd"/>
      <w:r w:rsidRPr="006A6890">
        <w:rPr>
          <w:rFonts w:asciiTheme="minorHAnsi" w:hAnsiTheme="minorHAnsi"/>
        </w:rPr>
        <w:t>, ha egy mutatószám értéke eléri a jelzési vagy a kritikus szinte</w:t>
      </w:r>
      <w:r w:rsidR="002F2BD3" w:rsidRPr="006A6890">
        <w:rPr>
          <w:rFonts w:asciiTheme="minorHAnsi" w:hAnsiTheme="minorHAnsi"/>
        </w:rPr>
        <w:t>t.</w:t>
      </w:r>
    </w:p>
    <w:p w14:paraId="52792067" w14:textId="5F521DE6" w:rsidR="00870469" w:rsidRPr="006A6890" w:rsidRDefault="00870469" w:rsidP="00780492">
      <w:pPr>
        <w:numPr>
          <w:ilvl w:val="0"/>
          <w:numId w:val="36"/>
        </w:numPr>
        <w:rPr>
          <w:rFonts w:asciiTheme="minorHAnsi" w:hAnsiTheme="minorHAnsi"/>
        </w:rPr>
      </w:pPr>
      <w:r w:rsidRPr="006A6890">
        <w:rPr>
          <w:rFonts w:asciiTheme="minorHAnsi" w:hAnsiTheme="minorHAnsi"/>
        </w:rPr>
        <w:t>A kulcskockázati indikátorok éves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687CD646" w:rsidR="00AB1273" w:rsidRDefault="002F2BD3" w:rsidP="00EA0541">
      <w:pPr>
        <w:rPr>
          <w:rFonts w:asciiTheme="minorHAnsi" w:hAnsiTheme="minorHAnsi"/>
        </w:rPr>
      </w:pPr>
      <w:r w:rsidRPr="006A6890">
        <w:rPr>
          <w:rFonts w:asciiTheme="minorHAnsi" w:hAnsiTheme="minorHAnsi"/>
        </w:rPr>
        <w:t>4. Működési kockázati ö</w:t>
      </w:r>
      <w:r w:rsidR="00870469" w:rsidRPr="006A6890">
        <w:rPr>
          <w:rFonts w:asciiTheme="minorHAnsi" w:hAnsiTheme="minorHAnsi"/>
        </w:rPr>
        <w:t>nértékelés</w:t>
      </w:r>
      <w:r w:rsidRPr="006A6890">
        <w:rPr>
          <w:rFonts w:asciiTheme="minorHAnsi" w:hAnsiTheme="minorHAnsi"/>
        </w:rPr>
        <w:t>:</w:t>
      </w:r>
    </w:p>
    <w:p w14:paraId="30AD058D" w14:textId="4FB9C66C" w:rsidR="002F2BD3" w:rsidRPr="006A6890" w:rsidRDefault="002F2BD3" w:rsidP="002F2BD3">
      <w:pPr>
        <w:pStyle w:val="ListParagraph"/>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14879FE8"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értéklelésére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w:t>
      </w:r>
      <w:proofErr w:type="spellStart"/>
      <w:r w:rsidR="004B47CB" w:rsidRPr="006A6890">
        <w:rPr>
          <w:rFonts w:asciiTheme="minorHAnsi" w:hAnsiTheme="minorHAnsi"/>
        </w:rPr>
        <w:t>rezid</w:t>
      </w:r>
      <w:r w:rsidR="00001DC1" w:rsidRPr="006A6890">
        <w:rPr>
          <w:rFonts w:asciiTheme="minorHAnsi" w:hAnsiTheme="minorHAnsi"/>
        </w:rPr>
        <w:t>u</w:t>
      </w:r>
      <w:r w:rsidR="004B47CB" w:rsidRPr="006A6890">
        <w:rPr>
          <w:rFonts w:asciiTheme="minorHAnsi" w:hAnsiTheme="minorHAnsi"/>
        </w:rPr>
        <w:t>ális</w:t>
      </w:r>
      <w:proofErr w:type="spellEnd"/>
      <w:r w:rsidR="004B47CB" w:rsidRPr="006A6890">
        <w:rPr>
          <w:rFonts w:asciiTheme="minorHAnsi" w:hAnsiTheme="minorHAnsi"/>
        </w:rPr>
        <w:t xml:space="preserve"> kockázatok egymáshoz való viszonyítását.</w:t>
      </w:r>
    </w:p>
    <w:p w14:paraId="0039CE1F" w14:textId="604A1154" w:rsidR="0043153F" w:rsidRPr="006A6890" w:rsidRDefault="0043153F" w:rsidP="002F2BD3">
      <w:pPr>
        <w:numPr>
          <w:ilvl w:val="0"/>
          <w:numId w:val="81"/>
        </w:numPr>
        <w:rPr>
          <w:rFonts w:asciiTheme="minorHAnsi" w:hAnsiTheme="minorHAnsi"/>
        </w:rPr>
      </w:pPr>
      <w:r w:rsidRPr="006A6890">
        <w:rPr>
          <w:rFonts w:asciiTheme="minorHAnsi" w:hAnsiTheme="minorHAnsi"/>
        </w:rPr>
        <w:lastRenderedPageBreak/>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w:t>
      </w:r>
      <w:proofErr w:type="spellStart"/>
      <w:r w:rsidRPr="006A6890">
        <w:rPr>
          <w:rFonts w:asciiTheme="minorHAnsi" w:hAnsiTheme="minorHAnsi"/>
        </w:rPr>
        <w:t>informácókat</w:t>
      </w:r>
      <w:proofErr w:type="spellEnd"/>
      <w:r w:rsidRPr="006A6890">
        <w:rPr>
          <w:rFonts w:asciiTheme="minorHAnsi" w:hAnsiTheme="minorHAnsi"/>
        </w:rPr>
        <w:t xml:space="preserve">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243BB5DD"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 során azonosított magas kockázatok legyenek megfelelően dokumentáltak és a hozzá kapcsolódó kockázatcsökkentő intézkedésekkel együtt képezzék részét a menedzsment riportoknak.</w:t>
      </w:r>
    </w:p>
    <w:p w14:paraId="5B86E8B5" w14:textId="27C427EA" w:rsidR="00AB1273" w:rsidRPr="00EA0541" w:rsidRDefault="002F2BD3" w:rsidP="00EA0541">
      <w:pPr>
        <w:rPr>
          <w:rFonts w:asciiTheme="minorHAnsi" w:hAnsiTheme="minorHAnsi"/>
        </w:rPr>
      </w:pPr>
      <w:r w:rsidRPr="006A6890">
        <w:rPr>
          <w:rFonts w:asciiTheme="minorHAnsi" w:hAnsiTheme="minorHAnsi"/>
        </w:rPr>
        <w:t>5. Forgatókönyv-elemzés:</w:t>
      </w:r>
    </w:p>
    <w:p w14:paraId="77DAA130" w14:textId="24FE0A42" w:rsidR="00870469" w:rsidRPr="006A6890" w:rsidRDefault="00870469" w:rsidP="00EA0541">
      <w:pPr>
        <w:rPr>
          <w:rFonts w:asciiTheme="minorHAnsi" w:hAnsiTheme="minorHAnsi"/>
        </w:rPr>
      </w:pPr>
      <w:r w:rsidRPr="006A6890">
        <w:rPr>
          <w:rFonts w:asciiTheme="minorHAnsi" w:hAnsiTheme="minorHAnsi"/>
        </w:rPr>
        <w:t xml:space="preserve">Az intézmény </w:t>
      </w:r>
      <w:r w:rsidR="002F2BD3" w:rsidRPr="006A6890">
        <w:rPr>
          <w:rFonts w:asciiTheme="minorHAnsi" w:hAnsiTheme="minorHAnsi"/>
        </w:rPr>
        <w:t xml:space="preserve">mérje fel </w:t>
      </w:r>
      <w:r w:rsidRPr="006A6890">
        <w:rPr>
          <w:rFonts w:asciiTheme="minorHAnsi" w:hAnsiTheme="minorHAnsi"/>
        </w:rPr>
        <w:t>a magas veszteséggel járó, alacsony gyakoriságú események kockázatát szcenárióelemzések keretében</w:t>
      </w:r>
      <w:r w:rsidR="002F2BD3" w:rsidRPr="006A6890">
        <w:rPr>
          <w:rFonts w:asciiTheme="minorHAnsi" w:hAnsiTheme="minorHAnsi"/>
        </w:rPr>
        <w:t>.</w:t>
      </w:r>
      <w:r w:rsidR="00EA5F1E" w:rsidRPr="006A6890">
        <w:rPr>
          <w:rFonts w:asciiTheme="minorHAnsi" w:hAnsiTheme="minorHAnsi"/>
        </w:rPr>
        <w:t xml:space="preserve"> Elvárt, hogy az intézmény minden bázeli eseménykategóriát fedjen le forgatókönyvvel.</w:t>
      </w:r>
      <w:r w:rsidR="005757B4" w:rsidRPr="006A6890">
        <w:rPr>
          <w:rFonts w:asciiTheme="minorHAnsi" w:hAnsiTheme="minorHAnsi"/>
        </w:rPr>
        <w:t xml:space="preserve"> A kockázatok teljes körű megragadása érdekében az MNB javasolja, hogy az intézmény </w:t>
      </w:r>
      <w:r w:rsidR="00EA5F1E" w:rsidRPr="006A6890">
        <w:rPr>
          <w:rFonts w:asciiTheme="minorHAnsi" w:hAnsiTheme="minorHAnsi"/>
        </w:rPr>
        <w:t>dokumentáltan vizsgálja meg a</w:t>
      </w:r>
      <w:r w:rsidR="004B47CB" w:rsidRPr="006A6890">
        <w:rPr>
          <w:rFonts w:asciiTheme="minorHAnsi" w:hAnsiTheme="minorHAnsi"/>
        </w:rPr>
        <w:t xml:space="preserve"> 13</w:t>
      </w:r>
      <w:r w:rsidR="005757B4" w:rsidRPr="006A6890">
        <w:rPr>
          <w:rFonts w:asciiTheme="minorHAnsi" w:hAnsiTheme="minorHAnsi"/>
        </w:rPr>
        <w:t xml:space="preserve"> sz. mellékletben lévő </w:t>
      </w:r>
      <w:r w:rsidR="00EA5F1E" w:rsidRPr="006A6890">
        <w:rPr>
          <w:rFonts w:asciiTheme="minorHAnsi" w:hAnsiTheme="minorHAnsi"/>
        </w:rPr>
        <w:t>szcenáriók</w:t>
      </w:r>
      <w:r w:rsidR="005757B4" w:rsidRPr="006A6890">
        <w:rPr>
          <w:rFonts w:asciiTheme="minorHAnsi" w:hAnsiTheme="minorHAnsi"/>
        </w:rPr>
        <w:t xml:space="preserve"> relevanciáját.</w:t>
      </w:r>
    </w:p>
    <w:p w14:paraId="46F71319" w14:textId="7FD0E31B" w:rsidR="0043153F" w:rsidRPr="006A6890" w:rsidRDefault="0043153F" w:rsidP="00780492">
      <w:pPr>
        <w:numPr>
          <w:ilvl w:val="0"/>
          <w:numId w:val="35"/>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forgatóköny</w:t>
      </w:r>
      <w:proofErr w:type="spellEnd"/>
      <w:r w:rsidRPr="006A6890">
        <w:rPr>
          <w:rFonts w:asciiTheme="minorHAnsi" w:hAnsiTheme="minorHAnsi"/>
        </w:rPr>
        <w:t>-elemzésbe minden témát érintő releváns szakterületet be kell vonni. Az MNB jó gyakorlatnak tartja a workshop alapú becslést, Delphi módszer alkalmazásával</w:t>
      </w:r>
      <w:r w:rsidR="00EA5F1E" w:rsidRPr="006A6890">
        <w:rPr>
          <w:rFonts w:asciiTheme="minorHAnsi" w:hAnsiTheme="minorHAnsi"/>
        </w:rPr>
        <w:t xml:space="preserve">, illetve azt is, ha az intézmény a működési kockázati önértékelést egészíti ki </w:t>
      </w:r>
      <w:proofErr w:type="spellStart"/>
      <w:r w:rsidR="00EA5F1E" w:rsidRPr="006A6890">
        <w:rPr>
          <w:rFonts w:asciiTheme="minorHAnsi" w:hAnsiTheme="minorHAnsi"/>
        </w:rPr>
        <w:t>worst</w:t>
      </w:r>
      <w:proofErr w:type="spellEnd"/>
      <w:r w:rsidR="00EA5F1E" w:rsidRPr="006A6890">
        <w:rPr>
          <w:rFonts w:asciiTheme="minorHAnsi" w:hAnsiTheme="minorHAnsi"/>
        </w:rPr>
        <w:t xml:space="preserve"> </w:t>
      </w:r>
      <w:proofErr w:type="spellStart"/>
      <w:r w:rsidR="00EA5F1E" w:rsidRPr="006A6890">
        <w:rPr>
          <w:rFonts w:asciiTheme="minorHAnsi" w:hAnsiTheme="minorHAnsi"/>
        </w:rPr>
        <w:t>case</w:t>
      </w:r>
      <w:proofErr w:type="spellEnd"/>
      <w:r w:rsidR="00EA5F1E" w:rsidRPr="006A6890">
        <w:rPr>
          <w:rFonts w:asciiTheme="minorHAnsi" w:hAnsiTheme="minorHAnsi"/>
        </w:rPr>
        <w:t xml:space="preserve"> esetekre.</w:t>
      </w:r>
    </w:p>
    <w:p w14:paraId="1F06A7C5" w14:textId="5CD72FBE" w:rsidR="0043153F" w:rsidRPr="006A6890" w:rsidRDefault="0043153F" w:rsidP="004B5D1A">
      <w:pPr>
        <w:numPr>
          <w:ilvl w:val="0"/>
          <w:numId w:val="35"/>
        </w:numPr>
        <w:rPr>
          <w:rFonts w:asciiTheme="minorHAnsi" w:hAnsiTheme="minorHAnsi"/>
        </w:rPr>
      </w:pPr>
      <w:r w:rsidRPr="006A6890">
        <w:rPr>
          <w:rFonts w:asciiTheme="minorHAnsi" w:hAnsiTheme="minorHAnsi"/>
        </w:rPr>
        <w:t xml:space="preserve">Elvárt, hogy az intézmény a szcenárióelemzés során a folyamatok értékeléséhez a kockázati profilnak megfelelő kiegészítő </w:t>
      </w:r>
      <w:proofErr w:type="spellStart"/>
      <w:r w:rsidRPr="006A6890">
        <w:rPr>
          <w:rFonts w:asciiTheme="minorHAnsi" w:hAnsiTheme="minorHAnsi"/>
        </w:rPr>
        <w:t>informácókat</w:t>
      </w:r>
      <w:proofErr w:type="spellEnd"/>
      <w:r w:rsidRPr="006A6890">
        <w:rPr>
          <w:rFonts w:asciiTheme="minorHAnsi" w:hAnsiTheme="minorHAnsi"/>
        </w:rPr>
        <w:t xml:space="preserve"> (pl. veszteségadatok, kulcskockázati indikátorok, önértékelési eredmények, sajtóhírek) biztosítson a résztvevők számára.</w:t>
      </w:r>
    </w:p>
    <w:p w14:paraId="77A6D408" w14:textId="0146CF89"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az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CFFFC71"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Elvárt, hogy az intézmény végezze el a szcenáriók konzisztencia-vizsgálatát, azaz az eredmények </w:t>
      </w:r>
      <w:proofErr w:type="spellStart"/>
      <w:r w:rsidRPr="006A6890">
        <w:rPr>
          <w:rFonts w:asciiTheme="minorHAnsi" w:hAnsiTheme="minorHAnsi"/>
        </w:rPr>
        <w:t>validálását</w:t>
      </w:r>
      <w:proofErr w:type="spellEnd"/>
      <w:r w:rsidRPr="006A6890">
        <w:rPr>
          <w:rFonts w:asciiTheme="minorHAnsi" w:hAnsiTheme="minorHAnsi"/>
        </w:rPr>
        <w:t xml:space="preserve"> (pl.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15553041" w14:textId="2B3BF495" w:rsidR="00AB1273" w:rsidRDefault="005757B4" w:rsidP="00EA0541">
      <w:pPr>
        <w:rPr>
          <w:rFonts w:asciiTheme="minorHAnsi" w:hAnsiTheme="minorHAnsi"/>
        </w:rPr>
      </w:pPr>
      <w:r w:rsidRPr="006A6890">
        <w:rPr>
          <w:rFonts w:asciiTheme="minorHAnsi" w:hAnsiTheme="minorHAnsi"/>
        </w:rPr>
        <w:t xml:space="preserve">6. </w:t>
      </w:r>
      <w:r w:rsidR="00870469" w:rsidRPr="006A6890">
        <w:rPr>
          <w:rFonts w:asciiTheme="minorHAnsi" w:hAnsiTheme="minorHAnsi"/>
        </w:rPr>
        <w:t>Kockázatcsökkentő intézkedések</w:t>
      </w:r>
      <w:r w:rsidRPr="006A6890">
        <w:rPr>
          <w:rFonts w:asciiTheme="minorHAnsi" w:hAnsiTheme="minorHAnsi"/>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proofErr w:type="spellStart"/>
      <w:r w:rsidR="005757B4" w:rsidRPr="006A6890">
        <w:rPr>
          <w:rFonts w:asciiTheme="minorHAnsi" w:hAnsiTheme="minorHAnsi"/>
        </w:rPr>
        <w:t>KRI</w:t>
      </w:r>
      <w:proofErr w:type="spellEnd"/>
      <w:r w:rsidR="005757B4" w:rsidRPr="006A6890">
        <w:rPr>
          <w:rFonts w:asciiTheme="minorHAnsi" w:hAnsiTheme="minorHAnsi"/>
        </w:rPr>
        <w:t>-k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2DE4B7AB"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 xml:space="preserve">rendszeres időközönként </w:t>
      </w:r>
      <w:r w:rsidRPr="006A6890">
        <w:rPr>
          <w:rFonts w:asciiTheme="minorHAnsi" w:hAnsiTheme="minorHAnsi"/>
        </w:rPr>
        <w:t>mérje vissza azt, hogy a</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lastRenderedPageBreak/>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proofErr w:type="spellStart"/>
      <w:r w:rsidRPr="006A6890">
        <w:rPr>
          <w:rFonts w:asciiTheme="minorHAnsi" w:hAnsiTheme="minorHAnsi"/>
        </w:rPr>
        <w:t>nek</w:t>
      </w:r>
      <w:proofErr w:type="spellEnd"/>
      <w:r w:rsidRPr="006A6890">
        <w:rPr>
          <w:rFonts w:asciiTheme="minorHAnsi" w:hAnsiTheme="minorHAnsi"/>
        </w:rPr>
        <w:t xml:space="preserve">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0C64550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w:t>
      </w:r>
      <w:proofErr w:type="spellStart"/>
      <w:r w:rsidRPr="006A6890">
        <w:rPr>
          <w:rFonts w:asciiTheme="minorHAnsi" w:hAnsiTheme="minorHAnsi"/>
        </w:rPr>
        <w:t>KRI</w:t>
      </w:r>
      <w:proofErr w:type="spellEnd"/>
      <w:r w:rsidRPr="006A6890">
        <w:rPr>
          <w:rFonts w:asciiTheme="minorHAnsi" w:hAnsiTheme="minorHAnsi"/>
        </w:rPr>
        <w:t xml:space="preserve">-mutatók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3EA089D2" w14:textId="206DDE0F" w:rsidR="00192898" w:rsidRPr="006A6890"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és ezek a szabályok lesznek majd </w:t>
      </w:r>
      <w:proofErr w:type="spellStart"/>
      <w:r w:rsidRPr="006A6890">
        <w:rPr>
          <w:rFonts w:asciiTheme="minorHAnsi" w:hAnsiTheme="minorHAnsi"/>
        </w:rPr>
        <w:t>kötelezőek</w:t>
      </w:r>
      <w:proofErr w:type="spellEnd"/>
      <w:r w:rsidRPr="006A6890">
        <w:rPr>
          <w:rFonts w:asciiTheme="minorHAnsi" w:hAnsiTheme="minorHAnsi"/>
        </w:rPr>
        <w:t xml:space="preserve"> a hazai intézményekre is. </w:t>
      </w:r>
      <w:r w:rsidR="00192898" w:rsidRPr="006A6890">
        <w:rPr>
          <w:rFonts w:asciiTheme="minorHAnsi" w:hAnsiTheme="minorHAnsi"/>
        </w:rPr>
        <w:t>Bár a hatályba lépés</w:t>
      </w:r>
      <w:r w:rsidRPr="006A6890">
        <w:rPr>
          <w:rFonts w:asciiTheme="minorHAnsi" w:hAnsiTheme="minorHAnsi"/>
        </w:rPr>
        <w:t xml:space="preserve"> pontos dátuma jelenleg még nem ismert, azonban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az intézmények</w:t>
      </w:r>
      <w:r w:rsidR="00EF4252" w:rsidRPr="006A6890">
        <w:rPr>
          <w:rFonts w:asciiTheme="minorHAnsi" w:hAnsiTheme="minorHAnsi"/>
        </w:rPr>
        <w:t>től</w:t>
      </w:r>
      <w:r w:rsidRPr="006A6890">
        <w:rPr>
          <w:rFonts w:asciiTheme="minorHAnsi" w:hAnsiTheme="minorHAnsi"/>
        </w:rPr>
        <w:t xml:space="preserve"> az </w:t>
      </w:r>
      <w:proofErr w:type="spellStart"/>
      <w:r w:rsidRPr="006A6890">
        <w:rPr>
          <w:rFonts w:asciiTheme="minorHAnsi" w:hAnsiTheme="minorHAnsi"/>
        </w:rPr>
        <w:t>SMA</w:t>
      </w:r>
      <w:proofErr w:type="spellEnd"/>
      <w:r w:rsidRPr="006A6890">
        <w:rPr>
          <w:rFonts w:asciiTheme="minorHAnsi" w:hAnsiTheme="minorHAnsi"/>
        </w:rPr>
        <w:t xml:space="preserve"> módszertan szerinti tőkekövetelmény rendszeres</w:t>
      </w:r>
      <w:r w:rsidR="00EF4252" w:rsidRPr="006A6890">
        <w:rPr>
          <w:rFonts w:asciiTheme="minorHAnsi" w:hAnsiTheme="minorHAnsi"/>
        </w:rPr>
        <w:t>, legalább éves gyakoriságú</w:t>
      </w:r>
      <w:r w:rsidRPr="006A6890">
        <w:rPr>
          <w:rFonts w:asciiTheme="minorHAnsi" w:hAnsiTheme="minorHAnsi"/>
        </w:rPr>
        <w:t xml:space="preserve"> számszerűsítését is. Továbbá az AMA módszertant használó bankoknál az MNB javasolja az aktuális tőkekövetelmény szint összevetését a számított </w:t>
      </w:r>
      <w:proofErr w:type="spellStart"/>
      <w:r w:rsidRPr="006A6890">
        <w:rPr>
          <w:rFonts w:asciiTheme="minorHAnsi" w:hAnsiTheme="minorHAnsi"/>
        </w:rPr>
        <w:t>SMA</w:t>
      </w:r>
      <w:proofErr w:type="spellEnd"/>
      <w:r w:rsidRPr="006A6890">
        <w:rPr>
          <w:rFonts w:asciiTheme="minorHAnsi" w:hAnsiTheme="minorHAnsi"/>
        </w:rPr>
        <w:t>,</w:t>
      </w:r>
      <w:r w:rsidR="00EF4252" w:rsidRPr="006A6890">
        <w:rPr>
          <w:rFonts w:asciiTheme="minorHAnsi" w:hAnsiTheme="minorHAnsi"/>
        </w:rPr>
        <w:t xml:space="preserve"> illetve</w:t>
      </w:r>
      <w:r w:rsidRPr="006A6890">
        <w:rPr>
          <w:rFonts w:asciiTheme="minorHAnsi" w:hAnsiTheme="minorHAnsi"/>
        </w:rPr>
        <w:t xml:space="preserve"> </w:t>
      </w:r>
      <w:proofErr w:type="spellStart"/>
      <w:r w:rsidRPr="006A6890">
        <w:rPr>
          <w:rFonts w:asciiTheme="minorHAnsi" w:hAnsiTheme="minorHAnsi"/>
        </w:rPr>
        <w:t>BIA</w:t>
      </w:r>
      <w:proofErr w:type="spellEnd"/>
      <w:r w:rsidRPr="006A6890">
        <w:rPr>
          <w:rFonts w:asciiTheme="minorHAnsi" w:hAnsiTheme="minorHAnsi"/>
        </w:rPr>
        <w:t xml:space="preserve"> </w:t>
      </w:r>
      <w:r w:rsidR="00EF4252" w:rsidRPr="006A6890">
        <w:rPr>
          <w:rFonts w:asciiTheme="minorHAnsi" w:hAnsiTheme="minorHAnsi"/>
        </w:rPr>
        <w:t>vagy</w:t>
      </w:r>
      <w:r w:rsidRPr="006A6890">
        <w:rPr>
          <w:rFonts w:asciiTheme="minorHAnsi" w:hAnsiTheme="minorHAnsi"/>
        </w:rPr>
        <w:t xml:space="preserve"> </w:t>
      </w:r>
      <w:proofErr w:type="spellStart"/>
      <w:r w:rsidRPr="006A6890">
        <w:rPr>
          <w:rFonts w:asciiTheme="minorHAnsi" w:hAnsiTheme="minorHAnsi"/>
        </w:rPr>
        <w:t>TSA</w:t>
      </w:r>
      <w:proofErr w:type="spellEnd"/>
      <w:r w:rsidRPr="006A6890">
        <w:rPr>
          <w:rFonts w:asciiTheme="minorHAnsi" w:hAnsiTheme="minorHAnsi"/>
        </w:rPr>
        <w:t xml:space="preserve"> értékkel</w:t>
      </w:r>
      <w:r w:rsidR="00EF4252" w:rsidRPr="006A6890">
        <w:rPr>
          <w:rFonts w:asciiTheme="minorHAnsi" w:hAnsiTheme="minorHAnsi"/>
        </w:rPr>
        <w:t>.</w:t>
      </w:r>
      <w:r w:rsidRPr="006A6890">
        <w:rPr>
          <w:rFonts w:asciiTheme="minorHAnsi" w:hAnsiTheme="minorHAnsi"/>
        </w:rPr>
        <w:t xml:space="preserve"> </w:t>
      </w:r>
      <w:r w:rsidR="00EF4252" w:rsidRPr="006A6890">
        <w:rPr>
          <w:rFonts w:asciiTheme="minorHAnsi" w:hAnsiTheme="minorHAnsi"/>
        </w:rPr>
        <w:t>A</w:t>
      </w:r>
      <w:r w:rsidRPr="006A6890">
        <w:rPr>
          <w:rFonts w:asciiTheme="minorHAnsi" w:hAnsiTheme="minorHAnsi"/>
        </w:rPr>
        <w:t>mennyiben az AMA tőkekövetelmény értéke jelentősen alacsonyabb,</w:t>
      </w:r>
      <w:r w:rsidR="00EF4252" w:rsidRPr="006A6890">
        <w:rPr>
          <w:rFonts w:asciiTheme="minorHAnsi" w:hAnsiTheme="minorHAnsi"/>
        </w:rPr>
        <w:t xml:space="preserve"> mint a </w:t>
      </w:r>
      <w:proofErr w:type="spellStart"/>
      <w:r w:rsidR="00EF4252" w:rsidRPr="006A6890">
        <w:rPr>
          <w:rFonts w:asciiTheme="minorHAnsi" w:hAnsiTheme="minorHAnsi"/>
        </w:rPr>
        <w:t>BIA</w:t>
      </w:r>
      <w:proofErr w:type="spellEnd"/>
      <w:r w:rsidR="00EF4252" w:rsidRPr="006A6890">
        <w:rPr>
          <w:rFonts w:asciiTheme="minorHAnsi" w:hAnsiTheme="minorHAnsi"/>
        </w:rPr>
        <w:t xml:space="preserve"> vagy </w:t>
      </w:r>
      <w:proofErr w:type="spellStart"/>
      <w:r w:rsidR="00EF4252" w:rsidRPr="006A6890">
        <w:rPr>
          <w:rFonts w:asciiTheme="minorHAnsi" w:hAnsiTheme="minorHAnsi"/>
        </w:rPr>
        <w:t>TSA</w:t>
      </w:r>
      <w:proofErr w:type="spellEnd"/>
      <w:r w:rsidR="00EF4252" w:rsidRPr="006A6890">
        <w:rPr>
          <w:rFonts w:asciiTheme="minorHAnsi" w:hAnsiTheme="minorHAnsi"/>
        </w:rPr>
        <w:t xml:space="preserve"> módszerrel kalkulált érték, megfontolandó</w:t>
      </w:r>
      <w:r w:rsidRPr="006A6890">
        <w:rPr>
          <w:rFonts w:asciiTheme="minorHAnsi" w:hAnsiTheme="minorHAnsi"/>
        </w:rPr>
        <w:t xml:space="preserve"> a különbség figyelembe</w:t>
      </w:r>
      <w:r w:rsidR="00EF4252" w:rsidRPr="006A6890">
        <w:rPr>
          <w:rFonts w:asciiTheme="minorHAnsi" w:hAnsiTheme="minorHAnsi"/>
        </w:rPr>
        <w:t xml:space="preserve"> </w:t>
      </w:r>
      <w:r w:rsidRPr="006A6890">
        <w:rPr>
          <w:rFonts w:asciiTheme="minorHAnsi" w:hAnsiTheme="minorHAnsi"/>
        </w:rPr>
        <w:t>véte</w:t>
      </w:r>
      <w:r w:rsidR="00EF4252" w:rsidRPr="006A6890">
        <w:rPr>
          <w:rFonts w:asciiTheme="minorHAnsi" w:hAnsiTheme="minorHAnsi"/>
        </w:rPr>
        <w:t>le</w:t>
      </w:r>
      <w:r w:rsidRPr="006A6890">
        <w:rPr>
          <w:rFonts w:asciiTheme="minorHAnsi" w:hAnsiTheme="minorHAnsi"/>
        </w:rPr>
        <w:t xml:space="preserve"> a 2. pilléres tőkeszámban.</w:t>
      </w:r>
    </w:p>
    <w:p w14:paraId="083401F0" w14:textId="59CCC6C9"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alakítsanak ki, mely magában foglalja az intézmény kockázati profiljának megragadását és a kockázati kitettséggel arányos kontroll folyamatok kiépítését. </w:t>
      </w:r>
    </w:p>
    <w:p w14:paraId="5E7F1BDA" w14:textId="1CEC60DC" w:rsidR="00CB405C" w:rsidRPr="006A6890" w:rsidRDefault="00192898" w:rsidP="00EA0541">
      <w:pPr>
        <w:rPr>
          <w:rFonts w:asciiTheme="minorHAnsi" w:hAnsiTheme="minorHAnsi"/>
        </w:rPr>
      </w:pPr>
      <w:r w:rsidRPr="006A6890">
        <w:rPr>
          <w:rFonts w:asciiTheme="minorHAnsi" w:hAnsiTheme="minorHAnsi"/>
        </w:rPr>
        <w:t>Amennyiben az MNB úgy ítéli meg, hogy a 2. pillérben a működési kockázatokra képzett tőke nagysá</w:t>
      </w:r>
      <w:r w:rsidR="00B17BDE" w:rsidRPr="006A6890">
        <w:rPr>
          <w:rFonts w:asciiTheme="minorHAnsi" w:hAnsiTheme="minorHAnsi"/>
        </w:rPr>
        <w:t>g</w:t>
      </w:r>
      <w:r w:rsidRPr="006A6890">
        <w:rPr>
          <w:rFonts w:asciiTheme="minorHAnsi" w:hAnsiTheme="minorHAnsi"/>
        </w:rPr>
        <w:t>a nem fedezi az intézmény meglévő és potenciális működési kockázatait,</w:t>
      </w:r>
      <w:r w:rsidR="00EF4252" w:rsidRPr="006A6890">
        <w:rPr>
          <w:rFonts w:asciiTheme="minorHAnsi" w:hAnsiTheme="minorHAnsi"/>
        </w:rPr>
        <w:t xml:space="preserve"> hiányosságokat tapasztal az alkalmazott módszertanok megfelelős</w:t>
      </w:r>
      <w:r w:rsidR="00FB54EA">
        <w:rPr>
          <w:rFonts w:asciiTheme="minorHAnsi" w:hAnsiTheme="minorHAnsi"/>
        </w:rPr>
        <w:t>ég</w:t>
      </w:r>
      <w:r w:rsidR="00EF4252" w:rsidRPr="006A6890">
        <w:rPr>
          <w:rFonts w:asciiTheme="minorHAnsi" w:hAnsiTheme="minorHAnsi"/>
        </w:rPr>
        <w:t>e és/vagy alkalmazása, valamint az adat</w:t>
      </w:r>
      <w:r w:rsidR="00D06A44" w:rsidRPr="006A6890">
        <w:rPr>
          <w:rFonts w:asciiTheme="minorHAnsi" w:hAnsiTheme="minorHAnsi"/>
        </w:rPr>
        <w:t>minőség és adatszolgáltatás tekintetében,</w:t>
      </w:r>
      <w:r w:rsidRPr="006A6890">
        <w:rPr>
          <w:rFonts w:asciiTheme="minorHAnsi" w:hAnsiTheme="minorHAnsi"/>
        </w:rPr>
        <w:t xml:space="preserve"> többlettőke-követelményt ír elő a kockázatok teljes körű fedezése érdekében.</w:t>
      </w:r>
    </w:p>
    <w:p w14:paraId="6BC69D98" w14:textId="46B93B6D" w:rsidR="00025E27" w:rsidRPr="006A6890" w:rsidRDefault="00025E27" w:rsidP="004B5D1A">
      <w:pPr>
        <w:pStyle w:val="Heading3"/>
        <w:numPr>
          <w:ilvl w:val="0"/>
          <w:numId w:val="0"/>
        </w:numPr>
        <w:rPr>
          <w:rFonts w:asciiTheme="minorHAnsi" w:hAnsiTheme="minorHAnsi"/>
          <w:lang w:val="hu-HU"/>
        </w:rPr>
      </w:pPr>
      <w:bookmarkStart w:id="892" w:name="_Toc27138982"/>
      <w:r w:rsidRPr="006A6890">
        <w:rPr>
          <w:rFonts w:asciiTheme="minorHAnsi" w:hAnsiTheme="minorHAnsi"/>
        </w:rPr>
        <w:t>V.2.2.1</w:t>
      </w:r>
      <w:r w:rsidRPr="006A6890">
        <w:rPr>
          <w:rFonts w:asciiTheme="minorHAnsi" w:hAnsiTheme="minorHAnsi"/>
          <w:lang w:val="hu-HU"/>
        </w:rPr>
        <w:t xml:space="preserve">.1 </w:t>
      </w:r>
      <w:bookmarkStart w:id="893" w:name="_Toc461095224"/>
      <w:bookmarkStart w:id="894" w:name="_Toc461179880"/>
      <w:bookmarkStart w:id="895" w:name="_Toc461201323"/>
      <w:bookmarkStart w:id="896" w:name="_Toc461547966"/>
      <w:bookmarkStart w:id="897" w:name="_Toc462402006"/>
      <w:bookmarkStart w:id="898" w:name="_Toc462403127"/>
      <w:bookmarkStart w:id="899" w:name="_Toc462403451"/>
      <w:bookmarkStart w:id="900" w:name="_Toc468180570"/>
      <w:bookmarkStart w:id="901" w:name="_Toc468181079"/>
      <w:bookmarkStart w:id="902" w:name="_Toc468191465"/>
      <w:r w:rsidRPr="006A6890">
        <w:rPr>
          <w:rFonts w:asciiTheme="minorHAnsi" w:hAnsiTheme="minorHAnsi"/>
          <w:lang w:val="hu-HU"/>
        </w:rPr>
        <w:t>Jogi kockázatok</w:t>
      </w:r>
      <w:bookmarkEnd w:id="893"/>
      <w:bookmarkEnd w:id="894"/>
      <w:bookmarkEnd w:id="895"/>
      <w:bookmarkEnd w:id="896"/>
      <w:bookmarkEnd w:id="897"/>
      <w:bookmarkEnd w:id="898"/>
      <w:bookmarkEnd w:id="899"/>
      <w:bookmarkEnd w:id="900"/>
      <w:bookmarkEnd w:id="901"/>
      <w:bookmarkEnd w:id="902"/>
      <w:r w:rsidR="000A7275" w:rsidRPr="006A6890">
        <w:rPr>
          <w:rFonts w:asciiTheme="minorHAnsi" w:hAnsiTheme="minorHAnsi"/>
          <w:lang w:val="hu-HU"/>
        </w:rPr>
        <w:t xml:space="preserve"> és az üzletvitel kockázata</w:t>
      </w:r>
      <w:bookmarkEnd w:id="892"/>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w:t>
      </w:r>
      <w:proofErr w:type="spellStart"/>
      <w:r w:rsidRPr="006A6890">
        <w:rPr>
          <w:rFonts w:asciiTheme="minorHAnsi" w:hAnsiTheme="minorHAnsi"/>
        </w:rPr>
        <w:t>conduct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lastRenderedPageBreak/>
        <w:t>Kockázatértékelés és -kezelés</w:t>
      </w:r>
    </w:p>
    <w:p w14:paraId="529761BF" w14:textId="5A3843E4" w:rsidR="00F16E2D" w:rsidRPr="006A6890" w:rsidRDefault="00F16E2D" w:rsidP="00EA0541">
      <w:pPr>
        <w:rPr>
          <w:rFonts w:asciiTheme="minorHAnsi" w:hAnsiTheme="minorHAnsi"/>
        </w:rPr>
      </w:pPr>
      <w:r w:rsidRPr="006A6890">
        <w:rPr>
          <w:rFonts w:asciiTheme="minorHAnsi" w:hAnsiTheme="minorHAnsi"/>
        </w:rPr>
        <w:t>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stratégiájá</w:t>
      </w:r>
      <w:r w:rsidR="00572CE4">
        <w:rPr>
          <w:rFonts w:asciiTheme="minorHAnsi" w:hAnsiTheme="minorHAnsi"/>
        </w:rPr>
        <w:t>nak megvalósításából</w:t>
      </w:r>
      <w:r w:rsidRPr="006A6890">
        <w:rPr>
          <w:rFonts w:asciiTheme="minorHAnsi" w:hAnsiTheme="minorHAnsi"/>
        </w:rPr>
        <w:t xml:space="preserve"> eredő olyan potenciális veszélyeket, amelyek jogi és üzletviteli kockázat kiváltó okai lehetnek.</w:t>
      </w:r>
    </w:p>
    <w:p w14:paraId="39356F64" w14:textId="71694C68"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 xml:space="preserve">az </w:t>
      </w:r>
      <w:proofErr w:type="spellStart"/>
      <w:r w:rsidRPr="006A6890">
        <w:rPr>
          <w:rFonts w:asciiTheme="minorHAnsi" w:hAnsiTheme="minorHAnsi"/>
          <w:bCs/>
        </w:rPr>
        <w:t>EBA</w:t>
      </w:r>
      <w:proofErr w:type="spellEnd"/>
      <w:r w:rsidRPr="006A6890">
        <w:rPr>
          <w:rFonts w:asciiTheme="minorHAnsi" w:hAnsiTheme="minorHAnsi"/>
          <w:bCs/>
        </w:rPr>
        <w:t xml:space="preserve">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olyan termékek értékesítése a lakossági ügyfelek részére, amelyek igénybevételét rákényszerítik az ügyfélre valamilyen más termékhez kapcsolódva, például, ha a folyószámla vezetéshez olyan további szolgáltatások igénybe vételét erőltetik az ügyfélre, amire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FootnoteReference"/>
          <w:rFonts w:asciiTheme="minorHAnsi" w:hAnsiTheme="minorHAnsi"/>
          <w:bCs/>
          <w:lang w:eastAsia="x-none"/>
        </w:rPr>
        <w:footnoteReference w:id="76"/>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6A6890" w:rsidRDefault="000A7275" w:rsidP="0022464F">
      <w:pPr>
        <w:pStyle w:val="ListParagraph"/>
        <w:rPr>
          <w:rFonts w:asciiTheme="minorHAnsi" w:hAnsiTheme="minorHAnsi"/>
        </w:rPr>
      </w:pPr>
      <w:r w:rsidRPr="006A6890">
        <w:rPr>
          <w:rFonts w:asciiTheme="minorHAnsi" w:hAnsiTheme="minorHAnsi"/>
          <w:bCs/>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7862C4C6"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dolgoznak ki a jogi és az üzletviteli kockázataik </w:t>
      </w:r>
      <w:proofErr w:type="spellStart"/>
      <w:r w:rsidR="006F275F" w:rsidRPr="006A6890">
        <w:rPr>
          <w:rFonts w:asciiTheme="minorHAnsi" w:hAnsiTheme="minorHAnsi"/>
        </w:rPr>
        <w:t>azonosításásra</w:t>
      </w:r>
      <w:proofErr w:type="spellEnd"/>
      <w:r w:rsidR="006F275F" w:rsidRPr="006A6890">
        <w:rPr>
          <w:rFonts w:asciiTheme="minorHAnsi" w:hAnsiTheme="minorHAnsi"/>
        </w:rPr>
        <w:t xml:space="preserve"> és kezelésére. Emellett</w:t>
      </w:r>
      <w:r w:rsidRPr="006A6890">
        <w:rPr>
          <w:rFonts w:asciiTheme="minorHAnsi" w:hAnsiTheme="minorHAnsi"/>
        </w:rPr>
        <w:t xml:space="preserve"> gyűjtik és kezelik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 xml:space="preserve">illetve a szcenárióelemzési és önértékelési folyamataikba, valamint a </w:t>
      </w:r>
      <w:proofErr w:type="spellStart"/>
      <w:r w:rsidRPr="006A6890">
        <w:rPr>
          <w:rFonts w:asciiTheme="minorHAnsi" w:hAnsiTheme="minorHAnsi"/>
        </w:rPr>
        <w:t>KRI</w:t>
      </w:r>
      <w:proofErr w:type="spellEnd"/>
      <w:r w:rsidRPr="006A6890">
        <w:rPr>
          <w:rFonts w:asciiTheme="minorHAnsi" w:hAnsiTheme="minorHAnsi"/>
        </w:rPr>
        <w:t xml:space="preserve"> keretrendszerükbe (pl.</w:t>
      </w:r>
      <w:r w:rsidR="00DA2357" w:rsidRPr="006A6890">
        <w:rPr>
          <w:rFonts w:asciiTheme="minorHAnsi" w:hAnsiTheme="minorHAnsi"/>
        </w:rPr>
        <w:t>:</w:t>
      </w:r>
      <w:r w:rsidRPr="006A6890">
        <w:rPr>
          <w:rFonts w:asciiTheme="minorHAnsi" w:hAnsiTheme="minorHAnsi"/>
        </w:rPr>
        <w:t xml:space="preserve"> jogszabályi változásokra, hatósági megkeresésekre, valamint panaszkezelésre fókuszáló mutatók bevezetésén keresztül) </w:t>
      </w:r>
      <w:r w:rsidR="006F275F" w:rsidRPr="006A6890">
        <w:rPr>
          <w:rFonts w:asciiTheme="minorHAnsi" w:hAnsiTheme="minorHAnsi"/>
        </w:rPr>
        <w:t>beépítik</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w:t>
      </w:r>
      <w:proofErr w:type="spellStart"/>
      <w:r w:rsidRPr="006A6890">
        <w:rPr>
          <w:rFonts w:asciiTheme="minorHAnsi" w:hAnsiTheme="minorHAnsi"/>
        </w:rPr>
        <w:t>nyomonkövetését</w:t>
      </w:r>
      <w:proofErr w:type="spellEnd"/>
      <w:r w:rsidRPr="006A6890">
        <w:rPr>
          <w:rFonts w:asciiTheme="minorHAnsi" w:hAnsiTheme="minorHAnsi"/>
        </w:rPr>
        <w:t>.</w:t>
      </w:r>
    </w:p>
    <w:p w14:paraId="3DD7EBA9" w14:textId="66496EDE" w:rsidR="006F275F" w:rsidRPr="006A6890" w:rsidRDefault="006F275F"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6C62835F" w14:textId="5D9C4679"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melyeket teljesülését az éves ICAAP felülvizsgálat során vizsgálja meg.</w:t>
      </w:r>
    </w:p>
    <w:p w14:paraId="757DACE4" w14:textId="245F6551" w:rsidR="00025E27" w:rsidRPr="006A6890" w:rsidRDefault="00153970" w:rsidP="004B5D1A">
      <w:pPr>
        <w:pStyle w:val="ListParagraph"/>
        <w:numPr>
          <w:ilvl w:val="0"/>
          <w:numId w:val="82"/>
        </w:numPr>
        <w:rPr>
          <w:rFonts w:asciiTheme="minorHAnsi" w:hAnsiTheme="minorHAnsi"/>
        </w:rPr>
      </w:pPr>
      <w:r w:rsidRPr="006A6890">
        <w:rPr>
          <w:rFonts w:asciiTheme="minorHAnsi" w:hAnsiTheme="minorHAnsi"/>
        </w:rPr>
        <w:t>A</w:t>
      </w:r>
      <w:r w:rsidR="00025E27" w:rsidRPr="006A6890">
        <w:rPr>
          <w:rFonts w:asciiTheme="minorHAnsi" w:hAnsiTheme="minorHAnsi"/>
          <w:bCs/>
        </w:rPr>
        <w:t xml:space="preserve"> kockázat</w:t>
      </w:r>
      <w:r w:rsidRPr="006A6890">
        <w:rPr>
          <w:rFonts w:asciiTheme="minorHAnsi" w:hAnsiTheme="minorHAnsi"/>
          <w:bCs/>
        </w:rPr>
        <w:t>ok</w:t>
      </w:r>
      <w:r w:rsidR="00025E27" w:rsidRPr="004B5D1A">
        <w:rPr>
          <w:rFonts w:asciiTheme="minorHAnsi" w:hAnsiTheme="minorHAnsi"/>
          <w:sz w:val="22"/>
        </w:rPr>
        <w:t xml:space="preserve"> azonosítására, a kapcsolódó veszteségek megelőzésére, a kockázatkezelésre és </w:t>
      </w:r>
      <w:proofErr w:type="spellStart"/>
      <w:r w:rsidR="00025E27" w:rsidRPr="004B5D1A">
        <w:rPr>
          <w:rFonts w:asciiTheme="minorHAnsi" w:hAnsiTheme="minorHAnsi"/>
          <w:sz w:val="22"/>
        </w:rPr>
        <w:t>riportolásra</w:t>
      </w:r>
      <w:proofErr w:type="spellEnd"/>
      <w:r w:rsidR="00025E27" w:rsidRPr="004B5D1A">
        <w:rPr>
          <w:rFonts w:asciiTheme="minorHAnsi" w:hAnsiTheme="minorHAnsi"/>
          <w:sz w:val="22"/>
        </w:rPr>
        <w:t xml:space="preserve"> vonatkozó eljárások bevezetését és alkalmazását: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7E364F22"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lastRenderedPageBreak/>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(legalább az elmúlt öt év működési kockázati eseményeire kiterjedően visszamenőlegesen is)</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0486C7A9"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12B55236" w:rsidR="00025E27" w:rsidRPr="004B5D1A" w:rsidRDefault="00153970" w:rsidP="004B5D1A">
      <w:pPr>
        <w:pStyle w:val="ListParagraph"/>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 követhető</w:t>
      </w:r>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termékenként vagy </w:t>
      </w:r>
      <w:proofErr w:type="spellStart"/>
      <w:r w:rsidR="00B16F5E" w:rsidRPr="006A6890">
        <w:rPr>
          <w:rFonts w:asciiTheme="minorHAnsi" w:hAnsiTheme="minorHAnsi" w:cstheme="minorHAnsi"/>
          <w:sz w:val="22"/>
          <w:szCs w:val="22"/>
          <w:lang w:val="hu-HU"/>
        </w:rPr>
        <w:t>termékcsoportonként</w:t>
      </w:r>
      <w:proofErr w:type="spellEnd"/>
      <w:r w:rsidR="00B16F5E" w:rsidRPr="006A6890">
        <w:rPr>
          <w:rFonts w:asciiTheme="minorHAnsi" w:hAnsiTheme="minorHAnsi" w:cstheme="minorHAnsi"/>
          <w:sz w:val="22"/>
          <w:szCs w:val="22"/>
          <w:lang w:val="hu-HU"/>
        </w:rPr>
        <w:t xml:space="preserve">, </w:t>
      </w:r>
      <w:r w:rsidR="00694312" w:rsidRPr="006A6890">
        <w:rPr>
          <w:rFonts w:asciiTheme="minorHAnsi" w:hAnsiTheme="minorHAnsi" w:cstheme="minorHAnsi"/>
          <w:sz w:val="22"/>
          <w:szCs w:val="22"/>
        </w:rPr>
        <w:t>egy objektív szempontokon nyugvó materialitási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511F982A"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w:t>
      </w:r>
      <w:proofErr w:type="spellStart"/>
      <w:r w:rsidR="00694312" w:rsidRPr="006A6890">
        <w:rPr>
          <w:rFonts w:asciiTheme="minorHAnsi" w:hAnsiTheme="minorHAnsi"/>
          <w:bCs/>
          <w:lang w:eastAsia="x-none"/>
        </w:rPr>
        <w:t>jellemezői</w:t>
      </w:r>
      <w:proofErr w:type="spellEnd"/>
      <w:r w:rsidR="00694312" w:rsidRPr="006A6890">
        <w:rPr>
          <w:rFonts w:asciiTheme="minorHAnsi" w:hAnsiTheme="minorHAnsi"/>
          <w:bCs/>
          <w:lang w:eastAsia="x-none"/>
        </w:rPr>
        <w:t>,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0EDC2D6C"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 xml:space="preserve">bevezetésének adatai (dátuma, kapcsolódó fórumok, </w:t>
      </w:r>
      <w:proofErr w:type="spellStart"/>
      <w:r w:rsidRPr="006A6890">
        <w:rPr>
          <w:rFonts w:asciiTheme="minorHAnsi" w:hAnsiTheme="minorHAnsi"/>
          <w:bCs/>
          <w:lang w:eastAsia="x-none"/>
        </w:rPr>
        <w:t>stb</w:t>
      </w:r>
      <w:proofErr w:type="spellEnd"/>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proofErr w:type="spellStart"/>
      <w:r w:rsidR="00480FE5" w:rsidRPr="006A6890">
        <w:rPr>
          <w:rFonts w:asciiTheme="minorHAnsi" w:hAnsiTheme="minorHAnsi"/>
          <w:bCs/>
          <w:lang w:eastAsia="x-none"/>
        </w:rPr>
        <w:t>korlátai</w:t>
      </w:r>
      <w:proofErr w:type="spellEnd"/>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0EDDF3E1"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 xml:space="preserve">(abból a szempontból, hogy képes-e érdemben csökkenteni a működési </w:t>
      </w:r>
      <w:proofErr w:type="spellStart"/>
      <w:r w:rsidR="00572CE4" w:rsidRPr="00572CE4">
        <w:rPr>
          <w:rFonts w:asciiTheme="minorHAnsi" w:hAnsiTheme="minorHAnsi"/>
          <w:bCs/>
          <w:lang w:eastAsia="x-none"/>
        </w:rPr>
        <w:t>kockáztot</w:t>
      </w:r>
      <w:proofErr w:type="spellEnd"/>
      <w:r w:rsidR="00572CE4" w:rsidRPr="00572CE4">
        <w:rPr>
          <w:rFonts w:asciiTheme="minorHAnsi" w:hAnsiTheme="minorHAnsi"/>
          <w:bCs/>
          <w:lang w:eastAsia="x-none"/>
        </w:rPr>
        <w: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4B5D1A"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572CE4">
        <w:rPr>
          <w:bCs/>
          <w:color w:val="auto"/>
          <w:lang w:eastAsia="x-none"/>
        </w:rPr>
        <w:t>termékekhez</w:t>
      </w:r>
      <w:r w:rsidR="00480FE5" w:rsidRPr="004B5D1A">
        <w:rPr>
          <w:rFonts w:asciiTheme="minorHAnsi" w:eastAsia="Calibri" w:hAnsiTheme="minorHAnsi"/>
          <w:color w:val="auto"/>
          <w:sz w:val="20"/>
          <w:szCs w:val="24"/>
          <w:lang w:eastAsia="en-US"/>
        </w:rPr>
        <w:t xml:space="preserve"> kapcsolódó </w:t>
      </w:r>
      <w:r w:rsidRPr="004B5D1A">
        <w:rPr>
          <w:rFonts w:asciiTheme="minorHAnsi" w:eastAsia="Calibri" w:hAnsiTheme="minorHAnsi"/>
          <w:color w:val="auto"/>
          <w:sz w:val="20"/>
          <w:szCs w:val="24"/>
          <w:lang w:eastAsia="en-US"/>
        </w:rPr>
        <w:t>automata kalkulátorok</w:t>
      </w:r>
      <w:r w:rsidR="00694312" w:rsidRPr="00572CE4">
        <w:rPr>
          <w:rFonts w:asciiTheme="minorHAnsi" w:hAnsiTheme="minorHAnsi"/>
          <w:bCs/>
          <w:color w:val="auto"/>
          <w:lang w:eastAsia="x-none"/>
        </w:rPr>
        <w:t xml:space="preserve"> és annak</w:t>
      </w:r>
      <w:r w:rsidR="00694312" w:rsidRPr="004B5D1A">
        <w:rPr>
          <w:rFonts w:asciiTheme="minorHAnsi" w:hAnsiTheme="minorHAnsi"/>
          <w:color w:val="auto"/>
        </w:rPr>
        <w:t xml:space="preserve"> validációja</w:t>
      </w:r>
    </w:p>
    <w:p w14:paraId="6F2046E5" w14:textId="71829CC6" w:rsidR="00025E27" w:rsidRPr="004B5D1A" w:rsidRDefault="00025E27" w:rsidP="004B5D1A">
      <w:pPr>
        <w:numPr>
          <w:ilvl w:val="2"/>
          <w:numId w:val="85"/>
        </w:numPr>
        <w:ind w:left="2154" w:hanging="357"/>
        <w:rPr>
          <w:color w:val="auto"/>
        </w:rPr>
      </w:pPr>
      <w:r w:rsidRPr="004B5D1A">
        <w:rPr>
          <w:rFonts w:asciiTheme="minorHAnsi" w:eastAsia="Calibri" w:hAnsiTheme="minorHAnsi"/>
          <w:color w:val="auto"/>
          <w:sz w:val="20"/>
          <w:szCs w:val="24"/>
          <w:lang w:eastAsia="en-US"/>
        </w:rPr>
        <w:t>megszűnt termékek esetén az ügyfél tájékoztatás módja</w:t>
      </w:r>
      <w:r w:rsidR="00694312" w:rsidRPr="00572CE4">
        <w:rPr>
          <w:rFonts w:asciiTheme="minorHAnsi" w:hAnsiTheme="minorHAnsi"/>
          <w:bCs/>
          <w:color w:val="auto"/>
          <w:lang w:eastAsia="x-none"/>
        </w:rPr>
        <w:t xml:space="preserve"> és a kiváltó</w:t>
      </w:r>
      <w:r w:rsidR="00694312" w:rsidRPr="004B5D1A">
        <w:rPr>
          <w:rFonts w:asciiTheme="minorHAnsi" w:hAnsiTheme="minorHAnsi"/>
          <w:color w:val="auto"/>
        </w:rPr>
        <w:t xml:space="preserve"> termékek </w:t>
      </w:r>
      <w:r w:rsidR="00694312" w:rsidRPr="00572CE4">
        <w:rPr>
          <w:rFonts w:asciiTheme="minorHAnsi" w:hAnsiTheme="minorHAnsi"/>
          <w:bCs/>
          <w:color w:val="auto"/>
          <w:lang w:eastAsia="x-none"/>
        </w:rPr>
        <w:t>megnevezése</w:t>
      </w:r>
      <w:r w:rsidR="006F06E9" w:rsidRPr="004B5D1A">
        <w:rPr>
          <w:rFonts w:asciiTheme="minorHAnsi" w:hAnsiTheme="minorHAnsi"/>
          <w:color w:val="auto"/>
        </w:rPr>
        <w:t>.</w:t>
      </w:r>
    </w:p>
    <w:p w14:paraId="4DE767FE" w14:textId="4245B233" w:rsidR="00025E27" w:rsidRPr="006A6890" w:rsidRDefault="00025E27" w:rsidP="004B5D1A">
      <w:pPr>
        <w:pStyle w:val="ListParagraph"/>
        <w:numPr>
          <w:ilvl w:val="0"/>
          <w:numId w:val="82"/>
        </w:numPr>
        <w:rPr>
          <w:rFonts w:asciiTheme="minorHAnsi" w:hAnsiTheme="minorHAnsi"/>
          <w:bCs/>
        </w:rPr>
      </w:pPr>
      <w:r w:rsidRPr="004B5D1A">
        <w:rPr>
          <w:rFonts w:asciiTheme="minorHAnsi" w:hAnsiTheme="minorHAnsi"/>
          <w:sz w:val="22"/>
        </w:rPr>
        <w:lastRenderedPageBreak/>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0DFED421"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etikus, fair </w:t>
      </w:r>
      <w:proofErr w:type="spellStart"/>
      <w:r w:rsidRPr="006A6890">
        <w:rPr>
          <w:rFonts w:asciiTheme="minorHAnsi" w:hAnsiTheme="minorHAnsi"/>
          <w:bCs/>
          <w:lang w:eastAsia="x-none"/>
        </w:rPr>
        <w:t>bankolás</w:t>
      </w:r>
      <w:proofErr w:type="spellEnd"/>
      <w:r w:rsidRPr="006A6890">
        <w:rPr>
          <w:rFonts w:asciiTheme="minorHAnsi" w:hAnsiTheme="minorHAnsi"/>
          <w:bCs/>
          <w:lang w:eastAsia="x-none"/>
        </w:rPr>
        <w:t xml:space="preserve">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értékesítési és javadalmazási ösztönzők, belső oktatás,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F755C58" w14:textId="77777777"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vételét a tőkekövetelmény számítása során is.</w:t>
      </w:r>
    </w:p>
    <w:p w14:paraId="37659ABB" w14:textId="77777777" w:rsidR="00025E27" w:rsidRPr="006A6890" w:rsidRDefault="00025E27" w:rsidP="00EA0541">
      <w:pPr>
        <w:rPr>
          <w:rFonts w:asciiTheme="minorHAnsi" w:hAnsiTheme="minorHAnsi"/>
        </w:rPr>
      </w:pPr>
      <w:r w:rsidRPr="006A6890">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p>
    <w:p w14:paraId="4FEDBE84" w14:textId="647BDA75" w:rsidR="00025E27" w:rsidRPr="006A6890" w:rsidRDefault="006F06E9" w:rsidP="004B5D1A">
      <w:pPr>
        <w:pStyle w:val="Heading3"/>
        <w:numPr>
          <w:ilvl w:val="0"/>
          <w:numId w:val="0"/>
        </w:numPr>
        <w:rPr>
          <w:rFonts w:asciiTheme="minorHAnsi" w:hAnsiTheme="minorHAnsi"/>
        </w:rPr>
      </w:pPr>
      <w:bookmarkStart w:id="903" w:name="_Toc27138983"/>
      <w:r w:rsidRPr="006A6890">
        <w:rPr>
          <w:rFonts w:asciiTheme="minorHAnsi" w:hAnsiTheme="minorHAnsi"/>
        </w:rPr>
        <w:lastRenderedPageBreak/>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w:t>
      </w:r>
      <w:proofErr w:type="spellStart"/>
      <w:r w:rsidRPr="006A6890">
        <w:rPr>
          <w:rFonts w:asciiTheme="minorHAnsi" w:hAnsiTheme="minorHAnsi"/>
          <w:lang w:val="hu-HU"/>
        </w:rPr>
        <w:t>IKT</w:t>
      </w:r>
      <w:proofErr w:type="spellEnd"/>
      <w:r w:rsidRPr="006A6890">
        <w:rPr>
          <w:rFonts w:asciiTheme="minorHAnsi" w:hAnsiTheme="minorHAnsi"/>
          <w:lang w:val="hu-HU"/>
        </w:rPr>
        <w:t>)</w:t>
      </w:r>
      <w:r w:rsidR="00025E27" w:rsidRPr="006A6890">
        <w:rPr>
          <w:rFonts w:asciiTheme="minorHAnsi" w:hAnsiTheme="minorHAnsi"/>
        </w:rPr>
        <w:t xml:space="preserve"> kockázat</w:t>
      </w:r>
      <w:bookmarkEnd w:id="903"/>
    </w:p>
    <w:p w14:paraId="6EB2ABD6" w14:textId="1C83420A" w:rsidR="00025E27" w:rsidRPr="006A6890" w:rsidRDefault="00025E27" w:rsidP="00EA0541">
      <w:pPr>
        <w:rPr>
          <w:rFonts w:asciiTheme="minorHAnsi" w:hAnsiTheme="minorHAnsi"/>
        </w:rPr>
      </w:pPr>
      <w:r w:rsidRPr="006A6890">
        <w:rPr>
          <w:rFonts w:asciiTheme="minorHAnsi" w:hAnsiTheme="minorHAnsi"/>
        </w:rPr>
        <w:t xml:space="preserve">Az MNB elvárja, hogy az intézmény a kockázatvállalási hajlandóság és a tőkemegfelelés belső értékelési eljárása (ICAAP) a működési kockázatok tágabb kategóriájának részeként fedje le az információs és </w:t>
      </w:r>
      <w:proofErr w:type="spellStart"/>
      <w:r w:rsidRPr="006A6890">
        <w:rPr>
          <w:rFonts w:asciiTheme="minorHAnsi" w:hAnsiTheme="minorHAnsi"/>
        </w:rPr>
        <w:t>kommuniációs</w:t>
      </w:r>
      <w:proofErr w:type="spellEnd"/>
      <w:r w:rsidRPr="006A6890">
        <w:rPr>
          <w:rFonts w:asciiTheme="minorHAnsi" w:hAnsiTheme="minorHAnsi"/>
        </w:rPr>
        <w:t xml:space="preserve"> technológiai (</w:t>
      </w:r>
      <w:proofErr w:type="spellStart"/>
      <w:r w:rsidRPr="006A6890">
        <w:rPr>
          <w:rFonts w:asciiTheme="minorHAnsi" w:hAnsiTheme="minorHAnsi"/>
        </w:rPr>
        <w:t>IKT</w:t>
      </w:r>
      <w:proofErr w:type="spellEnd"/>
      <w:r w:rsidRPr="006A6890">
        <w:rPr>
          <w:rFonts w:asciiTheme="minorHAnsi" w:hAnsiTheme="minorHAnsi"/>
        </w:rPr>
        <w:t xml:space="preserve">) kockázatokat az általános kockázati stratégia meghatározása és a belső tőke megállapítása céljából; illetve az </w:t>
      </w:r>
      <w:proofErr w:type="spellStart"/>
      <w:r w:rsidRPr="006A6890">
        <w:rPr>
          <w:rFonts w:asciiTheme="minorHAnsi" w:hAnsiTheme="minorHAnsi"/>
        </w:rPr>
        <w:t>IKT</w:t>
      </w:r>
      <w:proofErr w:type="spellEnd"/>
      <w:r w:rsidRPr="006A6890">
        <w:rPr>
          <w:rFonts w:asciiTheme="minorHAnsi" w:hAnsiTheme="minorHAnsi"/>
        </w:rPr>
        <w:t>-kockázatok tartozzanak az intézményi kockázatkezelési és belső kontroll keretrendszerek hatálya alá.</w:t>
      </w:r>
      <w:r w:rsidR="004753B5">
        <w:rPr>
          <w:rStyle w:val="FootnoteReference"/>
          <w:rFonts w:asciiTheme="minorHAnsi" w:hAnsiTheme="minorHAnsi"/>
        </w:rPr>
        <w:footnoteReference w:id="77"/>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-stratégia – rendelkezik-e az intézmény olyan </w:t>
      </w:r>
      <w:proofErr w:type="spellStart"/>
      <w:r w:rsidRPr="006A6890">
        <w:rPr>
          <w:rFonts w:asciiTheme="minorHAnsi" w:hAnsiTheme="minorHAnsi"/>
        </w:rPr>
        <w:t>IKT</w:t>
      </w:r>
      <w:proofErr w:type="spellEnd"/>
      <w:r w:rsidRPr="006A6890">
        <w:rPr>
          <w:rFonts w:asciiTheme="minorHAnsi" w:hAnsiTheme="minorHAnsi"/>
        </w:rPr>
        <w: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általános belső irányítás – az intézmény általános belső irányítási mechanizmusai megfelelőek-e az intézmény </w:t>
      </w:r>
      <w:proofErr w:type="spellStart"/>
      <w:r w:rsidRPr="006A6890">
        <w:rPr>
          <w:rFonts w:asciiTheme="minorHAnsi" w:hAnsiTheme="minorHAnsi"/>
        </w:rPr>
        <w:t>IKT</w:t>
      </w:r>
      <w:proofErr w:type="spellEnd"/>
      <w:r w:rsidRPr="006A6890">
        <w:rPr>
          <w:rFonts w:asciiTheme="minorHAnsi" w:hAnsiTheme="minorHAnsi"/>
        </w:rPr>
        <w: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t xml:space="preserve">az </w:t>
      </w:r>
      <w:proofErr w:type="spellStart"/>
      <w:r w:rsidRPr="006A6890">
        <w:rPr>
          <w:rFonts w:asciiTheme="minorHAnsi" w:hAnsiTheme="minorHAnsi"/>
        </w:rPr>
        <w:t>IKT</w:t>
      </w:r>
      <w:proofErr w:type="spellEnd"/>
      <w:r w:rsidRPr="006A6890">
        <w:rPr>
          <w:rFonts w:asciiTheme="minorHAnsi" w:hAnsiTheme="minorHAnsi"/>
        </w:rPr>
        <w:t xml:space="preserve">-kockázat az intézmény kockázatkezelési keretrendszerében – az intézmény kockázatkezelési és belső ellenőrzési keretrendszere megfelelően védi-e az intézmény </w:t>
      </w:r>
      <w:proofErr w:type="spellStart"/>
      <w:r w:rsidRPr="006A6890">
        <w:rPr>
          <w:rFonts w:asciiTheme="minorHAnsi" w:hAnsiTheme="minorHAnsi"/>
        </w:rPr>
        <w:t>IKT</w:t>
      </w:r>
      <w:proofErr w:type="spellEnd"/>
      <w:r w:rsidRPr="006A6890">
        <w:rPr>
          <w:rFonts w:asciiTheme="minorHAnsi" w:hAnsiTheme="minorHAnsi"/>
        </w:rPr>
        <w: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 xml:space="preserve">Az MNB a vizsgálat során értékeli az intézmény </w:t>
      </w:r>
      <w:proofErr w:type="spellStart"/>
      <w:r w:rsidRPr="006A6890">
        <w:rPr>
          <w:rFonts w:asciiTheme="minorHAnsi" w:hAnsiTheme="minorHAnsi"/>
        </w:rPr>
        <w:t>IKT</w:t>
      </w:r>
      <w:proofErr w:type="spellEnd"/>
      <w:r w:rsidRPr="006A6890">
        <w:rPr>
          <w:rFonts w:asciiTheme="minorHAnsi" w:hAnsiTheme="minorHAnsi"/>
        </w:rPr>
        <w:t xml:space="preserve">-kockázati profilját és kitettségeit, azaz beazonosítja a lényeges inherens </w:t>
      </w:r>
      <w:proofErr w:type="spellStart"/>
      <w:r w:rsidRPr="006A6890">
        <w:rPr>
          <w:rFonts w:asciiTheme="minorHAnsi" w:hAnsiTheme="minorHAnsi"/>
        </w:rPr>
        <w:t>IKT</w:t>
      </w:r>
      <w:proofErr w:type="spellEnd"/>
      <w:r w:rsidRPr="006A6890">
        <w:rPr>
          <w:rFonts w:asciiTheme="minorHAnsi" w:hAnsiTheme="minorHAnsi"/>
        </w:rPr>
        <w:t xml:space="preserve">-kockázatokat, amelyeknek az intézmény ki van, vagy ki lehet téve, majd értékeli, hogy az intézmény </w:t>
      </w:r>
      <w:proofErr w:type="spellStart"/>
      <w:r w:rsidRPr="006A6890">
        <w:rPr>
          <w:rFonts w:asciiTheme="minorHAnsi" w:hAnsiTheme="minorHAnsi"/>
        </w:rPr>
        <w:t>IKT</w:t>
      </w:r>
      <w:proofErr w:type="spellEnd"/>
      <w:r w:rsidRPr="006A6890">
        <w:rPr>
          <w:rFonts w:asciiTheme="minorHAnsi" w:hAnsiTheme="minorHAnsi"/>
        </w:rPr>
        <w: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 xml:space="preserve">Az intézményre potenciálisan jelentős </w:t>
      </w:r>
      <w:proofErr w:type="spellStart"/>
      <w:r w:rsidRPr="006A6890">
        <w:rPr>
          <w:rFonts w:asciiTheme="minorHAnsi" w:hAnsiTheme="minorHAnsi"/>
        </w:rPr>
        <w:t>prudenciális</w:t>
      </w:r>
      <w:proofErr w:type="spellEnd"/>
      <w:r w:rsidRPr="006A6890">
        <w:rPr>
          <w:rFonts w:asciiTheme="minorHAnsi" w:hAnsiTheme="minorHAnsi"/>
        </w:rPr>
        <w:t xml:space="preserve"> hatást gyakorló </w:t>
      </w:r>
      <w:proofErr w:type="spellStart"/>
      <w:r w:rsidRPr="006A6890">
        <w:rPr>
          <w:rFonts w:asciiTheme="minorHAnsi" w:hAnsiTheme="minorHAnsi"/>
        </w:rPr>
        <w:t>IKT</w:t>
      </w:r>
      <w:proofErr w:type="spellEnd"/>
      <w:r w:rsidRPr="006A6890">
        <w:rPr>
          <w:rFonts w:asciiTheme="minorHAnsi" w:hAnsiTheme="minorHAnsi"/>
        </w:rPr>
        <w:t xml:space="preserve">-kockázatok azonosítására irányuló folyamat részeként az intézménynek meg kell határoznia, hogy mely </w:t>
      </w:r>
      <w:proofErr w:type="spellStart"/>
      <w:r w:rsidRPr="006A6890">
        <w:rPr>
          <w:rFonts w:asciiTheme="minorHAnsi" w:hAnsiTheme="minorHAnsi"/>
        </w:rPr>
        <w:t>IKT</w:t>
      </w:r>
      <w:proofErr w:type="spellEnd"/>
      <w:r w:rsidRPr="006A6890">
        <w:rPr>
          <w:rFonts w:asciiTheme="minorHAnsi" w:hAnsiTheme="minorHAnsi"/>
        </w:rPr>
        <w: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w:t>
      </w:r>
      <w:proofErr w:type="spellStart"/>
      <w:r w:rsidRPr="006A6890">
        <w:rPr>
          <w:rFonts w:asciiTheme="minorHAnsi" w:hAnsiTheme="minorHAnsi"/>
        </w:rPr>
        <w:t>IKT</w:t>
      </w:r>
      <w:proofErr w:type="spellEnd"/>
      <w:r w:rsidRPr="006A6890">
        <w:rPr>
          <w:rFonts w:asciiTheme="minorHAnsi" w:hAnsiTheme="minorHAnsi"/>
        </w:rPr>
        <w:t xml:space="preserve">-rendszereit és -szolgáltatásait üzletmenet-folytonossági és rendelkezésre állási, biztonsági és/vagy bizalmassági szempontból minősítheti kritikusnak. A kritikussá minősítéskor az intézménynek figyelembe kell vennie, hogy a kritikus </w:t>
      </w:r>
      <w:proofErr w:type="spellStart"/>
      <w:r w:rsidRPr="006A6890">
        <w:rPr>
          <w:rFonts w:asciiTheme="minorHAnsi" w:hAnsiTheme="minorHAnsi"/>
        </w:rPr>
        <w:t>IKT</w:t>
      </w:r>
      <w:proofErr w:type="spellEnd"/>
      <w:r w:rsidRPr="006A6890">
        <w:rPr>
          <w:rFonts w:asciiTheme="minorHAnsi" w:hAnsiTheme="minorHAnsi"/>
        </w:rPr>
        <w:t xml:space="preserve">-rendszereknek és -szolgáltatásoknak az alábbiak közül legalább egy feltételnek meg kell felelniük: </w:t>
      </w:r>
    </w:p>
    <w:p w14:paraId="2050EC79"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az intézmény alapvető üzleti tevékenységeit és forgalmazási csatornáit (pl. </w:t>
      </w:r>
      <w:proofErr w:type="spellStart"/>
      <w:r w:rsidRPr="006A6890">
        <w:rPr>
          <w:rFonts w:asciiTheme="minorHAnsi" w:hAnsiTheme="minorHAnsi"/>
        </w:rPr>
        <w:t>ATM</w:t>
      </w:r>
      <w:proofErr w:type="spellEnd"/>
      <w:r w:rsidRPr="006A6890">
        <w:rPr>
          <w:rFonts w:asciiTheme="minorHAnsi" w:hAnsiTheme="minorHAnsi"/>
        </w:rPr>
        <w:t xml:space="preserve">-ek,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Time </w:t>
      </w:r>
      <w:proofErr w:type="spellStart"/>
      <w:r w:rsidRPr="006A6890">
        <w:rPr>
          <w:rFonts w:asciiTheme="minorHAnsi" w:hAnsiTheme="minorHAnsi"/>
        </w:rPr>
        <w:t>Objectives</w:t>
      </w:r>
      <w:proofErr w:type="spellEnd"/>
      <w:r w:rsidRPr="006A6890">
        <w:rPr>
          <w:rFonts w:asciiTheme="minorHAnsi" w:hAnsiTheme="minorHAnsi"/>
        </w:rPr>
        <w:t xml:space="preserve"> – </w:t>
      </w:r>
      <w:proofErr w:type="spellStart"/>
      <w:r w:rsidRPr="006A6890">
        <w:rPr>
          <w:rFonts w:asciiTheme="minorHAnsi" w:hAnsiTheme="minorHAnsi"/>
        </w:rPr>
        <w:t>RTO</w:t>
      </w:r>
      <w:proofErr w:type="spellEnd"/>
      <w:r w:rsidRPr="006A6890">
        <w:rPr>
          <w:rFonts w:asciiTheme="minorHAnsi" w:hAnsiTheme="minorHAnsi"/>
        </w:rPr>
        <w:t>, az a maximális idő, amelyen belül valamely rendszert vagy folyamatot az incidenst követően helyre kell állítani) és „helyreállítási pontra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 xml:space="preserve"> </w:t>
      </w:r>
      <w:proofErr w:type="spellStart"/>
      <w:r w:rsidRPr="006A6890">
        <w:rPr>
          <w:rFonts w:asciiTheme="minorHAnsi" w:hAnsiTheme="minorHAnsi"/>
        </w:rPr>
        <w:t>Objective</w:t>
      </w:r>
      <w:proofErr w:type="spellEnd"/>
      <w:r w:rsidRPr="006A6890">
        <w:rPr>
          <w:rFonts w:asciiTheme="minorHAnsi" w:hAnsiTheme="minorHAnsi"/>
        </w:rPr>
        <w:t xml:space="preserve"> – </w:t>
      </w:r>
      <w:proofErr w:type="spellStart"/>
      <w:r w:rsidRPr="006A6890">
        <w:rPr>
          <w:rFonts w:asciiTheme="minorHAnsi" w:hAnsiTheme="minorHAnsi"/>
        </w:rPr>
        <w:t>RPO</w:t>
      </w:r>
      <w:proofErr w:type="spellEnd"/>
      <w:r w:rsidRPr="006A6890">
        <w:rPr>
          <w:rFonts w:asciiTheme="minorHAnsi" w:hAnsiTheme="minorHAnsi"/>
        </w:rPr>
        <w:t xml:space="preserve">, az a maximális időtartam, amelyen át incidens bekövetkezése esetén adatok </w:t>
      </w:r>
      <w:proofErr w:type="spellStart"/>
      <w:r w:rsidRPr="006A6890">
        <w:rPr>
          <w:rFonts w:asciiTheme="minorHAnsi" w:hAnsiTheme="minorHAnsi"/>
        </w:rPr>
        <w:t>veszhetnek</w:t>
      </w:r>
      <w:proofErr w:type="spellEnd"/>
      <w:r w:rsidRPr="006A6890">
        <w:rPr>
          <w:rFonts w:asciiTheme="minorHAnsi" w:hAnsiTheme="minorHAnsi"/>
        </w:rPr>
        <w:t xml:space="preserve">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olyan bizalmas vagy érzékeny adatokat dolgoznak fel vagy tárolnak, amelyekhez való jogosulatlan hozzáférés jelentősen kihatna az intézmény hírnevére, pénzügyi eredményeire vagy </w:t>
      </w:r>
      <w:r w:rsidRPr="006A6890">
        <w:rPr>
          <w:rFonts w:asciiTheme="minorHAnsi" w:hAnsiTheme="minorHAnsi"/>
        </w:rPr>
        <w:lastRenderedPageBreak/>
        <w:t xml:space="preserve">üzletmenetének megbízhatóságára és folytonosságára (pl. érzékeny </w:t>
      </w:r>
      <w:proofErr w:type="spellStart"/>
      <w:r w:rsidRPr="006A6890">
        <w:rPr>
          <w:rFonts w:asciiTheme="minorHAnsi" w:hAnsiTheme="minorHAnsi"/>
        </w:rPr>
        <w:t>ügyféladatokat</w:t>
      </w:r>
      <w:proofErr w:type="spellEnd"/>
      <w:r w:rsidRPr="006A6890">
        <w:rPr>
          <w:rFonts w:asciiTheme="minorHAnsi" w:hAnsiTheme="minorHAnsi"/>
        </w:rPr>
        <w:t xml:space="preserve">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 xml:space="preserve">alapvető funkciókat biztosítanak, amelyek létfontosságúak az intézmény megfelelő működéséhez (pl. távközlési és csatlakoztatási szolgáltatások, </w:t>
      </w:r>
      <w:proofErr w:type="spellStart"/>
      <w:r w:rsidRPr="006A6890">
        <w:rPr>
          <w:rFonts w:asciiTheme="minorHAnsi" w:hAnsiTheme="minorHAnsi"/>
        </w:rPr>
        <w:t>IKT</w:t>
      </w:r>
      <w:proofErr w:type="spellEnd"/>
      <w:r w:rsidRPr="006A6890">
        <w:rPr>
          <w:rFonts w:asciiTheme="minorHAnsi" w:hAnsiTheme="minorHAnsi"/>
        </w:rPr>
        <w:t xml:space="preserve">- és </w:t>
      </w:r>
      <w:proofErr w:type="spellStart"/>
      <w:r w:rsidRPr="006A6890">
        <w:rPr>
          <w:rFonts w:asciiTheme="minorHAnsi" w:hAnsiTheme="minorHAnsi"/>
        </w:rPr>
        <w:t>kiberbiztonsági</w:t>
      </w:r>
      <w:proofErr w:type="spellEnd"/>
      <w:r w:rsidRPr="006A6890">
        <w:rPr>
          <w:rFonts w:asciiTheme="minorHAnsi" w:hAnsiTheme="minorHAnsi"/>
        </w:rPr>
        <w:t xml:space="preserve">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 xml:space="preserve">Az MNB megvizsgálja, hogy mely kockázatok tekintetében kell közelebbi és/vagy mélyrehatóbb felülvizsgálatot végeznie, ezért az azonosított és lényegesnek minősített </w:t>
      </w:r>
      <w:proofErr w:type="spellStart"/>
      <w:r w:rsidRPr="006A6890">
        <w:rPr>
          <w:rFonts w:asciiTheme="minorHAnsi" w:hAnsiTheme="minorHAnsi"/>
        </w:rPr>
        <w:t>IKT</w:t>
      </w:r>
      <w:proofErr w:type="spellEnd"/>
      <w:r w:rsidRPr="006A6890">
        <w:rPr>
          <w:rFonts w:asciiTheme="minorHAnsi" w:hAnsiTheme="minorHAnsi"/>
        </w:rPr>
        <w:t xml:space="preserve">-kockázatokat a következő </w:t>
      </w:r>
      <w:proofErr w:type="spellStart"/>
      <w:r w:rsidRPr="006A6890">
        <w:rPr>
          <w:rFonts w:asciiTheme="minorHAnsi" w:hAnsiTheme="minorHAnsi"/>
        </w:rPr>
        <w:t>IKT</w:t>
      </w:r>
      <w:proofErr w:type="spellEnd"/>
      <w:r w:rsidRPr="006A6890">
        <w:rPr>
          <w:rFonts w:asciiTheme="minorHAnsi" w:hAnsiTheme="minorHAnsi"/>
        </w:rPr>
        <w: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kiszervezési kockázat.</w:t>
      </w:r>
    </w:p>
    <w:p w14:paraId="773BD872" w14:textId="77777777" w:rsidR="006F06E9" w:rsidRPr="006A6890" w:rsidRDefault="006F06E9" w:rsidP="0022464F">
      <w:pPr>
        <w:spacing w:after="0"/>
        <w:ind w:left="714"/>
        <w:rPr>
          <w:rFonts w:asciiTheme="minorHAnsi" w:hAnsiTheme="minorHAnsi"/>
        </w:rPr>
      </w:pPr>
    </w:p>
    <w:p w14:paraId="66B154FE" w14:textId="239A2BE8" w:rsidR="003F29E3" w:rsidRPr="006A6890" w:rsidRDefault="006F06E9" w:rsidP="004B5D1A">
      <w:pPr>
        <w:pStyle w:val="Heading3"/>
        <w:numPr>
          <w:ilvl w:val="0"/>
          <w:numId w:val="0"/>
        </w:numPr>
        <w:rPr>
          <w:rFonts w:asciiTheme="minorHAnsi" w:hAnsiTheme="minorHAnsi"/>
        </w:rPr>
      </w:pPr>
      <w:bookmarkStart w:id="904" w:name="_Toc378592059"/>
      <w:bookmarkStart w:id="905" w:name="_Toc461095223"/>
      <w:bookmarkStart w:id="906" w:name="_Toc461179879"/>
      <w:bookmarkStart w:id="907" w:name="_Toc461201322"/>
      <w:bookmarkStart w:id="908" w:name="_Toc461547965"/>
      <w:bookmarkStart w:id="909" w:name="_Toc462402005"/>
      <w:bookmarkStart w:id="910" w:name="_Toc462403126"/>
      <w:bookmarkStart w:id="911" w:name="_Toc462403450"/>
      <w:bookmarkStart w:id="912" w:name="_Toc468180569"/>
      <w:bookmarkStart w:id="913" w:name="_Toc468181078"/>
      <w:bookmarkStart w:id="914" w:name="_Toc468191464"/>
      <w:bookmarkStart w:id="915" w:name="_Toc27138984"/>
      <w:r w:rsidRPr="006A6890">
        <w:rPr>
          <w:rFonts w:asciiTheme="minorHAnsi" w:hAnsiTheme="minorHAnsi"/>
        </w:rPr>
        <w:t xml:space="preserve">V.2.2.2 </w:t>
      </w:r>
      <w:r w:rsidR="003F29E3" w:rsidRPr="006A6890">
        <w:rPr>
          <w:rFonts w:asciiTheme="minorHAnsi" w:hAnsiTheme="minorHAnsi"/>
        </w:rPr>
        <w:t>Reputációs kockázat</w:t>
      </w:r>
      <w:bookmarkEnd w:id="904"/>
      <w:bookmarkEnd w:id="905"/>
      <w:bookmarkEnd w:id="906"/>
      <w:bookmarkEnd w:id="907"/>
      <w:bookmarkEnd w:id="908"/>
      <w:bookmarkEnd w:id="909"/>
      <w:bookmarkEnd w:id="910"/>
      <w:bookmarkEnd w:id="911"/>
      <w:bookmarkEnd w:id="912"/>
      <w:bookmarkEnd w:id="913"/>
      <w:bookmarkEnd w:id="914"/>
      <w:bookmarkEnd w:id="915"/>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w:t>
      </w:r>
      <w:proofErr w:type="spellStart"/>
      <w:r w:rsidR="00251EA3" w:rsidRPr="006A6890">
        <w:rPr>
          <w:rFonts w:asciiTheme="minorHAnsi" w:hAnsiTheme="minorHAnsi"/>
          <w:lang w:val="hu-HU"/>
        </w:rPr>
        <w:t>stakeholderekre</w:t>
      </w:r>
      <w:proofErr w:type="spellEnd"/>
      <w:r w:rsidR="00251EA3" w:rsidRPr="006A6890">
        <w:rPr>
          <w:rFonts w:asciiTheme="minorHAnsi" w:hAnsiTheme="minorHAnsi"/>
          <w:lang w:val="hu-HU"/>
        </w:rPr>
        <w:t>,</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159125F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 xml:space="preserve">égének megítélésekor az MNB többek között figyelembe veszi a reputációs kockázatok kezelésében elsődlegesen érintett területek, szervezeti egységek, fórumok és bizottságok (pl. marketing és kommunikációs szakterület, jogi és </w:t>
      </w:r>
      <w:proofErr w:type="spellStart"/>
      <w:r w:rsidRPr="006A6890">
        <w:rPr>
          <w:rFonts w:asciiTheme="minorHAnsi" w:hAnsiTheme="minorHAnsi"/>
        </w:rPr>
        <w:t>compliance</w:t>
      </w:r>
      <w:proofErr w:type="spellEnd"/>
      <w:r w:rsidRPr="006A6890">
        <w:rPr>
          <w:rFonts w:asciiTheme="minorHAnsi" w:hAnsiTheme="minorHAnsi"/>
        </w:rPr>
        <w:t xml:space="preserv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w:t>
      </w:r>
      <w:proofErr w:type="spellStart"/>
      <w:r w:rsidR="00F92CCD" w:rsidRPr="006A6890">
        <w:rPr>
          <w:rFonts w:asciiTheme="minorHAnsi" w:hAnsiTheme="minorHAnsi"/>
        </w:rPr>
        <w:t>conduct</w:t>
      </w:r>
      <w:proofErr w:type="spellEnd"/>
      <w:r w:rsidR="00F92CCD" w:rsidRPr="006A6890">
        <w:rPr>
          <w:rFonts w:asciiTheme="minorHAnsi" w:hAnsiTheme="minorHAnsi"/>
        </w:rPr>
        <w:t xml:space="preserve"> </w:t>
      </w:r>
      <w:proofErr w:type="spellStart"/>
      <w:r w:rsidR="00F92CCD" w:rsidRPr="006A6890">
        <w:rPr>
          <w:rFonts w:asciiTheme="minorHAnsi" w:hAnsiTheme="minorHAnsi"/>
        </w:rPr>
        <w:t>risk</w:t>
      </w:r>
      <w:proofErr w:type="spellEnd"/>
      <w:r w:rsidR="00F92CCD" w:rsidRPr="006A6890">
        <w:rPr>
          <w:rFonts w:asciiTheme="minorHAnsi" w:hAnsiTheme="minorHAnsi"/>
        </w:rPr>
        <w:t xml:space="preserve">)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w:t>
      </w:r>
      <w:proofErr w:type="spellStart"/>
      <w:r w:rsidR="003F1E41" w:rsidRPr="006A6890">
        <w:rPr>
          <w:rFonts w:asciiTheme="minorHAnsi" w:hAnsiTheme="minorHAnsi"/>
        </w:rPr>
        <w:t>monitorozza</w:t>
      </w:r>
      <w:proofErr w:type="spellEnd"/>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folyamatszabályozás megteremtéséig, illetve 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2170103B" w14:textId="7BDDB4FB" w:rsidR="00CB405C" w:rsidRPr="006A6890" w:rsidRDefault="00CB405C" w:rsidP="00181755">
      <w:pPr>
        <w:rPr>
          <w:rFonts w:asciiTheme="minorHAnsi" w:hAnsiTheme="minorHAnsi"/>
        </w:rPr>
      </w:pPr>
    </w:p>
    <w:p w14:paraId="0374F986" w14:textId="784B92C6" w:rsidR="00CB405C" w:rsidRPr="006A6890" w:rsidRDefault="00CB405C" w:rsidP="00EA0541">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064A9D56" w14:textId="778292D4" w:rsidR="00CB405C" w:rsidRPr="006A6890" w:rsidRDefault="00CB405C" w:rsidP="00181755">
      <w:pPr>
        <w:rPr>
          <w:rFonts w:asciiTheme="minorHAnsi" w:hAnsiTheme="minorHAnsi"/>
        </w:rPr>
      </w:pPr>
    </w:p>
    <w:p w14:paraId="6747BDC2" w14:textId="703F2398" w:rsidR="00CB405C" w:rsidRPr="006A6890" w:rsidRDefault="00CB405C" w:rsidP="0022464F">
      <w:pPr>
        <w:jc w:val="center"/>
        <w:rPr>
          <w:rFonts w:asciiTheme="minorHAnsi" w:hAnsiTheme="minorHAnsi"/>
        </w:rPr>
      </w:pPr>
      <w:r w:rsidRPr="006A6890">
        <w:rPr>
          <w:rFonts w:asciiTheme="minorHAnsi" w:hAnsiTheme="minorHAnsi"/>
          <w:noProof/>
        </w:rPr>
        <w:lastRenderedPageBreak/>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1C3D6F26" w14:textId="77777777" w:rsidR="00CB405C" w:rsidRPr="006A6890" w:rsidRDefault="00CB405C" w:rsidP="00181755">
      <w:pPr>
        <w:rPr>
          <w:rFonts w:asciiTheme="minorHAnsi" w:hAnsiTheme="minorHAnsi"/>
        </w:rPr>
      </w:pPr>
    </w:p>
    <w:p w14:paraId="66B15542" w14:textId="77777777" w:rsidR="003F29E3" w:rsidRPr="006A6890" w:rsidRDefault="003F29E3" w:rsidP="00181755">
      <w:pPr>
        <w:pStyle w:val="Heading3"/>
        <w:rPr>
          <w:rFonts w:asciiTheme="minorHAnsi" w:hAnsiTheme="minorHAnsi"/>
        </w:rPr>
      </w:pPr>
      <w:bookmarkStart w:id="916" w:name="_Toc461547969"/>
      <w:bookmarkStart w:id="917" w:name="_Toc462402009"/>
      <w:bookmarkStart w:id="918" w:name="_Toc462403130"/>
      <w:bookmarkStart w:id="919" w:name="_Toc462403454"/>
      <w:bookmarkStart w:id="920" w:name="_Toc462403883"/>
      <w:bookmarkStart w:id="921" w:name="_Toc462645751"/>
      <w:bookmarkStart w:id="922" w:name="_Toc468180573"/>
      <w:bookmarkStart w:id="923" w:name="_Toc461547972"/>
      <w:bookmarkStart w:id="924" w:name="_Toc462402012"/>
      <w:bookmarkStart w:id="925" w:name="_Toc462403133"/>
      <w:bookmarkStart w:id="926" w:name="_Toc462403457"/>
      <w:bookmarkStart w:id="927" w:name="_Toc462403886"/>
      <w:bookmarkStart w:id="928" w:name="_Toc462645754"/>
      <w:bookmarkStart w:id="929" w:name="_Toc468180576"/>
      <w:bookmarkStart w:id="930" w:name="_Toc461547975"/>
      <w:bookmarkStart w:id="931" w:name="_Toc462402015"/>
      <w:bookmarkStart w:id="932" w:name="_Toc462403136"/>
      <w:bookmarkStart w:id="933" w:name="_Toc462403460"/>
      <w:bookmarkStart w:id="934" w:name="_Toc462403889"/>
      <w:bookmarkStart w:id="935" w:name="_Toc462645757"/>
      <w:bookmarkStart w:id="936" w:name="_Toc468180579"/>
      <w:bookmarkStart w:id="937" w:name="_Toc461547987"/>
      <w:bookmarkStart w:id="938" w:name="_Toc462402027"/>
      <w:bookmarkStart w:id="939" w:name="_Toc462403148"/>
      <w:bookmarkStart w:id="940" w:name="_Toc462403472"/>
      <w:bookmarkStart w:id="941" w:name="_Toc462403901"/>
      <w:bookmarkStart w:id="942" w:name="_Toc462645769"/>
      <w:bookmarkStart w:id="943" w:name="_Toc468180591"/>
      <w:bookmarkStart w:id="944" w:name="_III.2.1.3_Piaci_kockázat"/>
      <w:bookmarkStart w:id="945" w:name="_Toc378256236"/>
      <w:bookmarkStart w:id="946" w:name="_Toc378592044"/>
      <w:bookmarkStart w:id="947" w:name="_Toc461095228"/>
      <w:bookmarkStart w:id="948" w:name="_Toc461179884"/>
      <w:bookmarkStart w:id="949" w:name="_Toc461201327"/>
      <w:bookmarkStart w:id="950" w:name="_Toc461547996"/>
      <w:bookmarkStart w:id="951" w:name="_Toc462402036"/>
      <w:bookmarkStart w:id="952" w:name="_Toc462403157"/>
      <w:bookmarkStart w:id="953" w:name="_Toc462403481"/>
      <w:bookmarkStart w:id="954" w:name="_Toc468180600"/>
      <w:bookmarkStart w:id="955" w:name="_Toc468181081"/>
      <w:bookmarkStart w:id="956" w:name="_Toc468191467"/>
      <w:bookmarkStart w:id="957" w:name="_Toc2713898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Pr="006A6890">
        <w:rPr>
          <w:rFonts w:asciiTheme="minorHAnsi" w:hAnsiTheme="minorHAnsi"/>
        </w:rPr>
        <w:t>Piaci kockázat</w:t>
      </w:r>
      <w:bookmarkEnd w:id="945"/>
      <w:bookmarkEnd w:id="946"/>
      <w:bookmarkEnd w:id="947"/>
      <w:bookmarkEnd w:id="948"/>
      <w:bookmarkEnd w:id="949"/>
      <w:bookmarkEnd w:id="950"/>
      <w:bookmarkEnd w:id="951"/>
      <w:bookmarkEnd w:id="952"/>
      <w:bookmarkEnd w:id="953"/>
      <w:bookmarkEnd w:id="954"/>
      <w:bookmarkEnd w:id="955"/>
      <w:bookmarkEnd w:id="956"/>
      <w:bookmarkEnd w:id="957"/>
    </w:p>
    <w:p w14:paraId="03A1F75D" w14:textId="77777777" w:rsidR="00BE5E8B" w:rsidRPr="006A6890" w:rsidRDefault="00BE5E8B" w:rsidP="00181755">
      <w:pPr>
        <w:rPr>
          <w:rFonts w:asciiTheme="minorHAnsi" w:hAnsiTheme="minorHAnsi"/>
          <w:b/>
        </w:rPr>
      </w:pPr>
      <w:r w:rsidRPr="006A6890">
        <w:rPr>
          <w:rFonts w:asciiTheme="minorHAnsi" w:hAnsiTheme="minorHAnsi"/>
          <w:b/>
        </w:rPr>
        <w:t>Definíció</w:t>
      </w:r>
    </w:p>
    <w:p w14:paraId="66B15543" w14:textId="77777777" w:rsidR="003F29E3" w:rsidRPr="006A6890" w:rsidRDefault="003F29E3" w:rsidP="00EA0541">
      <w:pPr>
        <w:rPr>
          <w:rFonts w:asciiTheme="minorHAnsi" w:hAnsiTheme="minorHAnsi"/>
        </w:rPr>
      </w:pPr>
      <w:r w:rsidRPr="006A6890">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w:t>
      </w:r>
      <w:proofErr w:type="spellStart"/>
      <w:r w:rsidRPr="006A6890">
        <w:rPr>
          <w:rFonts w:asciiTheme="minorHAnsi" w:hAnsiTheme="minorHAnsi"/>
        </w:rPr>
        <w:t>jelenbeli</w:t>
      </w:r>
      <w:proofErr w:type="spellEnd"/>
      <w:r w:rsidRPr="006A6890">
        <w:rPr>
          <w:rFonts w:asciiTheme="minorHAnsi" w:hAnsiTheme="minorHAnsi"/>
        </w:rPr>
        <w:t xml:space="preserve"> és/vagy jövőbeli veszélye. </w:t>
      </w:r>
    </w:p>
    <w:p w14:paraId="66B15544" w14:textId="4DBC162B" w:rsidR="003F29E3" w:rsidRPr="006A6890" w:rsidRDefault="003F29E3" w:rsidP="00EA0541">
      <w:pPr>
        <w:rPr>
          <w:rFonts w:asciiTheme="minorHAnsi" w:hAnsiTheme="minorHAnsi"/>
        </w:rPr>
      </w:pPr>
      <w:r w:rsidRPr="006A6890">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sidRPr="006A6890">
        <w:rPr>
          <w:rFonts w:asciiTheme="minorHAnsi" w:hAnsiTheme="minorHAnsi"/>
        </w:rPr>
        <w:t>,</w:t>
      </w:r>
      <w:r w:rsidRPr="006A6890">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EA0541">
        <w:rPr>
          <w:rFonts w:asciiTheme="minorHAnsi" w:hAnsiTheme="minorHAnsi"/>
          <w:vertAlign w:val="superscript"/>
        </w:rPr>
        <w:footnoteReference w:id="78"/>
      </w:r>
      <w:r w:rsidRPr="006A6890">
        <w:rPr>
          <w:rFonts w:asciiTheme="minorHAnsi" w:hAnsiTheme="minorHAnsi"/>
        </w:rPr>
        <w:t xml:space="preserve"> </w:t>
      </w:r>
    </w:p>
    <w:p w14:paraId="54718FB2" w14:textId="3B91B51C" w:rsidR="003F29E3" w:rsidRPr="006A6890" w:rsidRDefault="003F29E3" w:rsidP="00EA0541">
      <w:pPr>
        <w:rPr>
          <w:rFonts w:asciiTheme="minorHAnsi" w:hAnsiTheme="minorHAnsi"/>
        </w:rPr>
      </w:pPr>
      <w:r w:rsidRPr="006A6890">
        <w:rPr>
          <w:rFonts w:asciiTheme="minorHAnsi" w:hAnsiTheme="minorHAnsi"/>
        </w:rPr>
        <w:t>A piaci kockázat elemei:</w:t>
      </w:r>
    </w:p>
    <w:p w14:paraId="66B15548" w14:textId="15F7B657" w:rsidR="0091069E" w:rsidRPr="006A6890" w:rsidRDefault="00844180" w:rsidP="00181755">
      <w:pPr>
        <w:pStyle w:val="felsorolsos"/>
        <w:rPr>
          <w:rFonts w:asciiTheme="minorHAnsi" w:hAnsiTheme="minorHAnsi"/>
        </w:rPr>
      </w:pPr>
      <w:r w:rsidRPr="006A6890">
        <w:rPr>
          <w:rFonts w:asciiTheme="minorHAnsi" w:hAnsiTheme="minorHAnsi"/>
          <w:lang w:val="hu-HU"/>
        </w:rPr>
        <w:t>p</w:t>
      </w:r>
      <w:proofErr w:type="spellStart"/>
      <w:r w:rsidR="0091069E" w:rsidRPr="006A6890">
        <w:rPr>
          <w:rFonts w:asciiTheme="minorHAnsi" w:hAnsiTheme="minorHAnsi"/>
        </w:rPr>
        <w:t>ozíciókockázat</w:t>
      </w:r>
      <w:proofErr w:type="spellEnd"/>
      <w:r w:rsidR="0091069E" w:rsidRPr="006A6890">
        <w:rPr>
          <w:rFonts w:asciiTheme="minorHAnsi" w:hAnsiTheme="minorHAnsi"/>
        </w:rPr>
        <w:t>: kereskedési könyvi kamat- és árfolyamkockázat</w:t>
      </w:r>
    </w:p>
    <w:p w14:paraId="66B15549"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hitelviszonyt megtestesítő instrumentumok egyedi és általános kockázata</w:t>
      </w:r>
    </w:p>
    <w:p w14:paraId="66B1554A"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tulajdoni részesedést megtestesítő instrumentumok egyedi és általános kockázata</w:t>
      </w:r>
    </w:p>
    <w:p w14:paraId="66B1554B"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eastAsia="x-none"/>
        </w:rPr>
        <w:t>é</w:t>
      </w:r>
      <w:proofErr w:type="spellStart"/>
      <w:r w:rsidRPr="006A6890">
        <w:rPr>
          <w:rFonts w:asciiTheme="minorHAnsi" w:hAnsiTheme="minorHAnsi"/>
          <w:lang w:val="x-none" w:eastAsia="x-none"/>
        </w:rPr>
        <w:t>rtékpapírosítási</w:t>
      </w:r>
      <w:proofErr w:type="spellEnd"/>
      <w:r w:rsidRPr="006A6890">
        <w:rPr>
          <w:rFonts w:asciiTheme="minorHAnsi" w:hAnsiTheme="minorHAnsi"/>
          <w:lang w:val="x-none" w:eastAsia="x-none"/>
        </w:rPr>
        <w:t xml:space="preserve"> és korreláció</w:t>
      </w:r>
      <w:r w:rsidRPr="006A6890">
        <w:rPr>
          <w:rFonts w:asciiTheme="minorHAnsi" w:hAnsiTheme="minorHAnsi"/>
          <w:lang w:eastAsia="x-none"/>
        </w:rPr>
        <w:t xml:space="preserve"> </w:t>
      </w:r>
      <w:r w:rsidRPr="006A6890">
        <w:rPr>
          <w:rFonts w:asciiTheme="minorHAnsi" w:hAnsiTheme="minorHAnsi"/>
          <w:lang w:val="x-none" w:eastAsia="x-none"/>
        </w:rPr>
        <w:t>kereskedési pozíciók egyedi kockázata</w:t>
      </w:r>
    </w:p>
    <w:p w14:paraId="66B1554C" w14:textId="0B8389D8"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devizaárfolyam-kockázat</w:t>
      </w:r>
      <w:r w:rsidR="00C86E63" w:rsidRPr="006A6890">
        <w:rPr>
          <w:rFonts w:asciiTheme="minorHAnsi" w:hAnsiTheme="minorHAnsi"/>
          <w:lang w:val="hu-HU"/>
        </w:rPr>
        <w:t>,</w:t>
      </w:r>
    </w:p>
    <w:p w14:paraId="66B1554D" w14:textId="504BD200" w:rsidR="003F29E3" w:rsidRPr="006A6890" w:rsidRDefault="003F29E3" w:rsidP="00181755">
      <w:pPr>
        <w:pStyle w:val="felsorolsos"/>
        <w:ind w:left="1066" w:hanging="357"/>
        <w:rPr>
          <w:rFonts w:asciiTheme="minorHAnsi" w:hAnsiTheme="minorHAnsi"/>
        </w:rPr>
      </w:pPr>
      <w:r w:rsidRPr="006A6890">
        <w:rPr>
          <w:rFonts w:asciiTheme="minorHAnsi" w:hAnsiTheme="minorHAnsi"/>
        </w:rPr>
        <w:lastRenderedPageBreak/>
        <w:t>a tevékenység egészében meglévő árukockázat</w:t>
      </w:r>
      <w:r w:rsidR="00C86E63" w:rsidRPr="006A6890">
        <w:rPr>
          <w:rFonts w:asciiTheme="minorHAnsi" w:hAnsiTheme="minorHAnsi"/>
          <w:lang w:val="hu-HU"/>
        </w:rPr>
        <w:t>.</w:t>
      </w:r>
    </w:p>
    <w:p w14:paraId="66B15550" w14:textId="00014178" w:rsidR="003F29E3" w:rsidRPr="006A6890" w:rsidRDefault="003F29E3" w:rsidP="00EA0541">
      <w:pPr>
        <w:rPr>
          <w:rFonts w:asciiTheme="minorHAnsi" w:hAnsiTheme="minorHAnsi"/>
        </w:rPr>
      </w:pPr>
      <w:r w:rsidRPr="006A6890">
        <w:rPr>
          <w:rFonts w:asciiTheme="minorHAnsi" w:hAnsiTheme="minorHAnsi"/>
        </w:rPr>
        <w:t>A kere</w:t>
      </w:r>
      <w:r w:rsidR="00EC6779" w:rsidRPr="006A6890">
        <w:rPr>
          <w:rFonts w:asciiTheme="minorHAnsi" w:hAnsiTheme="minorHAnsi"/>
        </w:rPr>
        <w:t>s</w:t>
      </w:r>
      <w:r w:rsidRPr="006A6890">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6A6890" w:rsidRDefault="006C6B2E" w:rsidP="00181755">
      <w:pPr>
        <w:rPr>
          <w:rFonts w:asciiTheme="minorHAnsi" w:hAnsiTheme="minorHAnsi"/>
          <w:b/>
        </w:rPr>
      </w:pPr>
      <w:r w:rsidRPr="006A6890">
        <w:rPr>
          <w:rFonts w:asciiTheme="minorHAnsi" w:hAnsiTheme="minorHAnsi"/>
          <w:b/>
        </w:rPr>
        <w:t>Kockázatértékelé</w:t>
      </w:r>
      <w:r w:rsidR="00433073" w:rsidRPr="006A6890">
        <w:rPr>
          <w:rFonts w:asciiTheme="minorHAnsi" w:hAnsiTheme="minorHAnsi"/>
          <w:b/>
        </w:rPr>
        <w:t>s</w:t>
      </w:r>
      <w:r w:rsidRPr="006A6890">
        <w:rPr>
          <w:rFonts w:asciiTheme="minorHAnsi" w:hAnsiTheme="minorHAnsi"/>
          <w:b/>
        </w:rPr>
        <w:t xml:space="preserve"> és -kezelés</w:t>
      </w:r>
    </w:p>
    <w:p w14:paraId="66B15552" w14:textId="6BF27414" w:rsidR="003F29E3" w:rsidRPr="006A6890" w:rsidRDefault="003F29E3" w:rsidP="00EA0541">
      <w:pPr>
        <w:rPr>
          <w:rFonts w:asciiTheme="minorHAnsi" w:hAnsiTheme="minorHAnsi"/>
        </w:rPr>
      </w:pPr>
      <w:r w:rsidRPr="006A6890">
        <w:rPr>
          <w:rFonts w:asciiTheme="minorHAnsi" w:hAnsiTheme="minorHAnsi"/>
        </w:rPr>
        <w:t xml:space="preserve">Az intézmény vezetőségének rendszeresen át kell tekintenie a </w:t>
      </w:r>
      <w:r w:rsidR="00347DBF" w:rsidRPr="006A6890">
        <w:rPr>
          <w:rFonts w:asciiTheme="minorHAnsi" w:hAnsiTheme="minorHAnsi"/>
        </w:rPr>
        <w:t>kereskedési könyvben lévő, piaci kockázatnak kitett pozícióit</w:t>
      </w:r>
      <w:r w:rsidRPr="006A6890">
        <w:rPr>
          <w:rFonts w:asciiTheme="minorHAnsi" w:hAnsiTheme="minorHAnsi"/>
        </w:rPr>
        <w:t xml:space="preserve">, a külső </w:t>
      </w:r>
      <w:r w:rsidR="00347DBF" w:rsidRPr="006A6890">
        <w:rPr>
          <w:rFonts w:asciiTheme="minorHAnsi" w:hAnsiTheme="minorHAnsi"/>
        </w:rPr>
        <w:t xml:space="preserve">piaci </w:t>
      </w:r>
      <w:r w:rsidRPr="006A6890">
        <w:rPr>
          <w:rFonts w:asciiTheme="minorHAnsi" w:hAnsiTheme="minorHAnsi"/>
        </w:rPr>
        <w:t xml:space="preserve">környezetet, valamint a külső és belső változásokra megfelelő időben kell reagálnia. Célszerű az intézménynek erre a feladatra önálló egységet, </w:t>
      </w:r>
      <w:r w:rsidR="008E164B" w:rsidRPr="006A6890">
        <w:rPr>
          <w:rFonts w:asciiTheme="minorHAnsi" w:hAnsiTheme="minorHAnsi"/>
        </w:rPr>
        <w:t>bizottságot</w:t>
      </w:r>
      <w:r w:rsidRPr="006A6890">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6A6890">
        <w:rPr>
          <w:rFonts w:asciiTheme="minorHAnsi" w:hAnsiTheme="minorHAnsi"/>
        </w:rPr>
        <w:t>.</w:t>
      </w:r>
      <w:r w:rsidR="00347DBF" w:rsidRPr="006A6890" w:rsidDel="00347DBF">
        <w:rPr>
          <w:rFonts w:asciiTheme="minorHAnsi" w:hAnsiTheme="minorHAnsi"/>
        </w:rPr>
        <w:t xml:space="preserve"> </w:t>
      </w:r>
    </w:p>
    <w:p w14:paraId="66B15553" w14:textId="77777777" w:rsidR="003F29E3" w:rsidRPr="006A6890" w:rsidRDefault="003F29E3" w:rsidP="00EA0541">
      <w:pPr>
        <w:rPr>
          <w:rFonts w:asciiTheme="minorHAnsi" w:hAnsiTheme="minorHAnsi"/>
        </w:rPr>
      </w:pPr>
      <w:r w:rsidRPr="006A6890">
        <w:rPr>
          <w:rFonts w:asciiTheme="minorHAnsi" w:hAnsiTheme="minorHAnsi"/>
        </w:rPr>
        <w:t xml:space="preserve">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w:t>
      </w:r>
      <w:proofErr w:type="spellStart"/>
      <w:r w:rsidRPr="006A6890">
        <w:rPr>
          <w:rFonts w:asciiTheme="minorHAnsi" w:hAnsiTheme="minorHAnsi"/>
        </w:rPr>
        <w:t>derivatívák</w:t>
      </w:r>
      <w:proofErr w:type="spellEnd"/>
      <w:r w:rsidRPr="006A6890">
        <w:rPr>
          <w:rFonts w:asciiTheme="minorHAnsi" w:hAnsiTheme="minorHAnsi"/>
        </w:rPr>
        <w:t xml:space="preserve">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6A6890" w:rsidRDefault="003F29E3" w:rsidP="00EA0541">
      <w:pPr>
        <w:rPr>
          <w:rFonts w:asciiTheme="minorHAnsi" w:hAnsiTheme="minorHAnsi"/>
        </w:rPr>
      </w:pPr>
      <w:r w:rsidRPr="006A6890">
        <w:rPr>
          <w:rFonts w:asciiTheme="minorHAnsi" w:hAnsiTheme="minorHAnsi"/>
        </w:rPr>
        <w:t xml:space="preserve">Az intézménynek devizaárfolyam kockázat-kezelési politikát kell készítenie, amely kiterjed a kockázat keletkezésének és a kockázatvállalás módjának meghatározására, a főbb </w:t>
      </w:r>
      <w:proofErr w:type="spellStart"/>
      <w:r w:rsidRPr="006A6890">
        <w:rPr>
          <w:rFonts w:asciiTheme="minorHAnsi" w:hAnsiTheme="minorHAnsi"/>
        </w:rPr>
        <w:t>devizakockázatokat</w:t>
      </w:r>
      <w:proofErr w:type="spellEnd"/>
      <w:r w:rsidRPr="006A6890">
        <w:rPr>
          <w:rFonts w:asciiTheme="minorHAnsi" w:hAnsiTheme="minorHAnsi"/>
        </w:rPr>
        <w:t xml:space="preserve">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66B15555" w14:textId="6E802FC6" w:rsidR="003F29E3" w:rsidRPr="006A6890" w:rsidRDefault="003F29E3" w:rsidP="00EA0541">
      <w:pPr>
        <w:rPr>
          <w:rFonts w:asciiTheme="minorHAnsi" w:hAnsiTheme="minorHAnsi"/>
        </w:rPr>
      </w:pPr>
      <w:r w:rsidRPr="006A6890">
        <w:rPr>
          <w:rFonts w:asciiTheme="minorHAnsi" w:hAnsiTheme="minorHAnsi"/>
        </w:rPr>
        <w:t xml:space="preserve">A piaci kockázatokat az intézménynek megfelelő kontrollmechanizmusokkal kell a </w:t>
      </w:r>
      <w:r w:rsidR="003B07C4" w:rsidRPr="006A6890">
        <w:rPr>
          <w:rFonts w:asciiTheme="minorHAnsi" w:hAnsiTheme="minorHAnsi"/>
        </w:rPr>
        <w:t>vezetőség által meghatározott</w:t>
      </w:r>
      <w:r w:rsidR="0066676E" w:rsidRPr="006A6890">
        <w:rPr>
          <w:rFonts w:asciiTheme="minorHAnsi" w:hAnsiTheme="minorHAnsi"/>
        </w:rPr>
        <w:t>,</w:t>
      </w:r>
      <w:r w:rsidR="003B07C4" w:rsidRPr="006A6890">
        <w:rPr>
          <w:rFonts w:asciiTheme="minorHAnsi" w:hAnsiTheme="minorHAnsi"/>
        </w:rPr>
        <w:t xml:space="preserve"> illetve jóváhagyott </w:t>
      </w:r>
      <w:r w:rsidRPr="006A6890">
        <w:rPr>
          <w:rFonts w:asciiTheme="minorHAnsi" w:hAnsiTheme="minorHAnsi"/>
        </w:rPr>
        <w:t>stratégia</w:t>
      </w:r>
      <w:r w:rsidR="003B07C4" w:rsidRPr="006A6890">
        <w:rPr>
          <w:rFonts w:asciiTheme="minorHAnsi" w:hAnsiTheme="minorHAnsi"/>
        </w:rPr>
        <w:t>/politika/belső szabályozás</w:t>
      </w:r>
      <w:r w:rsidRPr="006A6890">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6A6890">
        <w:rPr>
          <w:rFonts w:asciiTheme="minorHAnsi" w:hAnsiTheme="minorHAnsi"/>
        </w:rPr>
        <w:t xml:space="preserve"> A kockázatnak kitett pozíciók nagyságát korlátozó volumenlimitek mellett a kockázat </w:t>
      </w:r>
      <w:r w:rsidR="00200FD4" w:rsidRPr="006A6890">
        <w:rPr>
          <w:rFonts w:asciiTheme="minorHAnsi" w:hAnsiTheme="minorHAnsi"/>
        </w:rPr>
        <w:t xml:space="preserve">(pl. </w:t>
      </w:r>
      <w:proofErr w:type="spellStart"/>
      <w:r w:rsidR="00200FD4" w:rsidRPr="006A6890">
        <w:rPr>
          <w:rFonts w:asciiTheme="minorHAnsi" w:hAnsiTheme="minorHAnsi"/>
        </w:rPr>
        <w:t>VaR</w:t>
      </w:r>
      <w:proofErr w:type="spellEnd"/>
      <w:r w:rsidR="00200FD4" w:rsidRPr="006A6890">
        <w:rPr>
          <w:rFonts w:asciiTheme="minorHAnsi" w:hAnsiTheme="minorHAnsi"/>
        </w:rPr>
        <w:t xml:space="preserve"> limit) </w:t>
      </w:r>
      <w:r w:rsidR="008D745B" w:rsidRPr="006A6890">
        <w:rPr>
          <w:rFonts w:asciiTheme="minorHAnsi" w:hAnsiTheme="minorHAnsi"/>
        </w:rPr>
        <w:t xml:space="preserve">illetve a veszteség </w:t>
      </w:r>
      <w:r w:rsidR="00200FD4" w:rsidRPr="006A6890">
        <w:rPr>
          <w:rFonts w:asciiTheme="minorHAnsi" w:hAnsiTheme="minorHAnsi"/>
        </w:rPr>
        <w:t xml:space="preserve">(pl. stop </w:t>
      </w:r>
      <w:proofErr w:type="spellStart"/>
      <w:r w:rsidR="00200FD4" w:rsidRPr="006A6890">
        <w:rPr>
          <w:rFonts w:asciiTheme="minorHAnsi" w:hAnsiTheme="minorHAnsi"/>
        </w:rPr>
        <w:t>loss</w:t>
      </w:r>
      <w:proofErr w:type="spellEnd"/>
      <w:r w:rsidR="00200FD4" w:rsidRPr="006A6890">
        <w:rPr>
          <w:rFonts w:asciiTheme="minorHAnsi" w:hAnsiTheme="minorHAnsi"/>
        </w:rPr>
        <w:t xml:space="preserve">) </w:t>
      </w:r>
      <w:r w:rsidR="008D745B" w:rsidRPr="006A6890">
        <w:rPr>
          <w:rFonts w:asciiTheme="minorHAnsi" w:hAnsiTheme="minorHAnsi"/>
        </w:rPr>
        <w:t xml:space="preserve">mértékének keretek között tartását célzó limitek alkalmazása </w:t>
      </w:r>
      <w:r w:rsidR="00200FD4" w:rsidRPr="006A6890">
        <w:rPr>
          <w:rFonts w:asciiTheme="minorHAnsi" w:hAnsiTheme="minorHAnsi"/>
        </w:rPr>
        <w:t>célszerű.</w:t>
      </w:r>
      <w:r w:rsidR="008D745B" w:rsidRPr="006A6890">
        <w:rPr>
          <w:rFonts w:asciiTheme="minorHAnsi" w:hAnsiTheme="minorHAnsi"/>
        </w:rPr>
        <w:t xml:space="preserve"> </w:t>
      </w:r>
      <w:r w:rsidR="00991E24" w:rsidRPr="006A6890">
        <w:rPr>
          <w:rFonts w:asciiTheme="minorHAnsi" w:hAnsiTheme="minorHAnsi"/>
        </w:rPr>
        <w:t xml:space="preserve">A limitrendszer magában foglalja a napon belüli és </w:t>
      </w:r>
      <w:proofErr w:type="spellStart"/>
      <w:r w:rsidR="00991E24" w:rsidRPr="006A6890">
        <w:rPr>
          <w:rFonts w:asciiTheme="minorHAnsi" w:hAnsiTheme="minorHAnsi"/>
        </w:rPr>
        <w:t>overnight</w:t>
      </w:r>
      <w:proofErr w:type="spellEnd"/>
      <w:r w:rsidR="00991E24" w:rsidRPr="006A6890">
        <w:rPr>
          <w:rFonts w:asciiTheme="minorHAnsi" w:hAnsiTheme="minorHAnsi"/>
        </w:rPr>
        <w:t xml:space="preserve"> limiteket, </w:t>
      </w:r>
      <w:r w:rsidR="008A1FE4" w:rsidRPr="006A6890">
        <w:rPr>
          <w:rFonts w:asciiTheme="minorHAnsi" w:hAnsiTheme="minorHAnsi"/>
        </w:rPr>
        <w:t>ahol szükséges,</w:t>
      </w:r>
      <w:r w:rsidR="00991E24" w:rsidRPr="006A6890">
        <w:rPr>
          <w:rFonts w:asciiTheme="minorHAnsi" w:hAnsiTheme="minorHAnsi"/>
        </w:rPr>
        <w:t xml:space="preserve"> üzletkötőkre, instrumentumokra, devizanemekre és különféle pozíciókra vonatkozóan. </w:t>
      </w:r>
    </w:p>
    <w:p w14:paraId="66B15556" w14:textId="1D4DBE65" w:rsidR="003F29E3" w:rsidRPr="006A6890" w:rsidRDefault="003F29E3" w:rsidP="00EA0541">
      <w:pPr>
        <w:rPr>
          <w:rFonts w:asciiTheme="minorHAnsi" w:hAnsiTheme="minorHAnsi"/>
        </w:rPr>
      </w:pPr>
      <w:r w:rsidRPr="006A6890">
        <w:rPr>
          <w:rFonts w:asciiTheme="minorHAnsi" w:hAnsiTheme="minorHAnsi"/>
        </w:rPr>
        <w:t>A limittúllépések figyelemmel kísérése és rögzítése a piaci kockázat kezelés</w:t>
      </w:r>
      <w:r w:rsidR="00991E24" w:rsidRPr="006A6890">
        <w:rPr>
          <w:rFonts w:asciiTheme="minorHAnsi" w:hAnsiTheme="minorHAnsi"/>
        </w:rPr>
        <w:t>i terület</w:t>
      </w:r>
      <w:r w:rsidR="00625972" w:rsidRPr="006A6890">
        <w:rPr>
          <w:rFonts w:asciiTheme="minorHAnsi" w:hAnsiTheme="minorHAnsi"/>
        </w:rPr>
        <w:t xml:space="preserve"> </w:t>
      </w:r>
      <w:r w:rsidRPr="006A6890">
        <w:rPr>
          <w:rFonts w:asciiTheme="minorHAnsi" w:hAnsiTheme="minorHAnsi"/>
        </w:rPr>
        <w:t>feladata. Ezen folyamatokról és szankciókról szabályzatban kell rendelkezni.</w:t>
      </w:r>
    </w:p>
    <w:p w14:paraId="54E51E3C" w14:textId="19F0E8DB" w:rsidR="003F29E3" w:rsidRPr="006A6890" w:rsidRDefault="003F29E3" w:rsidP="00EA0541">
      <w:pPr>
        <w:rPr>
          <w:rFonts w:asciiTheme="minorHAnsi" w:hAnsiTheme="minorHAnsi"/>
        </w:rPr>
      </w:pPr>
      <w:r w:rsidRPr="006A6890">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6A6890" w:rsidRDefault="003F29E3" w:rsidP="00EA0541">
      <w:pPr>
        <w:rPr>
          <w:rFonts w:asciiTheme="minorHAnsi" w:hAnsiTheme="minorHAnsi"/>
        </w:rPr>
      </w:pPr>
      <w:r w:rsidRPr="006A6890">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6A6890" w:rsidRDefault="003F29E3" w:rsidP="00EA0541">
      <w:pPr>
        <w:rPr>
          <w:rFonts w:asciiTheme="minorHAnsi" w:hAnsiTheme="minorHAnsi"/>
        </w:rPr>
      </w:pPr>
      <w:r w:rsidRPr="006A6890">
        <w:rPr>
          <w:rFonts w:asciiTheme="minorHAnsi" w:hAnsiTheme="minorHAnsi"/>
        </w:rPr>
        <w:t xml:space="preserve">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w:t>
      </w:r>
      <w:r w:rsidRPr="006A6890">
        <w:rPr>
          <w:rFonts w:asciiTheme="minorHAnsi" w:hAnsiTheme="minorHAnsi"/>
        </w:rPr>
        <w:lastRenderedPageBreak/>
        <w:t xml:space="preserve">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w:t>
      </w:r>
      <w:proofErr w:type="spellStart"/>
      <w:r w:rsidRPr="006A6890">
        <w:rPr>
          <w:rFonts w:asciiTheme="minorHAnsi" w:hAnsiTheme="minorHAnsi"/>
        </w:rPr>
        <w:t>illikviddé</w:t>
      </w:r>
      <w:proofErr w:type="spellEnd"/>
      <w:r w:rsidRPr="006A6890">
        <w:rPr>
          <w:rFonts w:asciiTheme="minorHAnsi" w:hAnsiTheme="minorHAnsi"/>
        </w:rPr>
        <w:t xml:space="preserve"> váló pozíciókra</w:t>
      </w:r>
      <w:r w:rsidRPr="006A6890">
        <w:rPr>
          <w:rStyle w:val="FootnoteReference"/>
          <w:rFonts w:asciiTheme="minorHAnsi" w:hAnsiTheme="minorHAnsi"/>
        </w:rPr>
        <w:footnoteReference w:id="79"/>
      </w:r>
      <w:r w:rsidRPr="006A6890">
        <w:rPr>
          <w:rFonts w:asciiTheme="minorHAnsi" w:hAnsiTheme="minorHAnsi"/>
        </w:rPr>
        <w:t xml:space="preserve"> mekkora tartalék megképzése indokolt</w:t>
      </w:r>
      <w:r w:rsidRPr="006A6890">
        <w:rPr>
          <w:rStyle w:val="FootnoteReference"/>
          <w:rFonts w:asciiTheme="minorHAnsi" w:hAnsiTheme="minorHAnsi"/>
        </w:rPr>
        <w:footnoteReference w:id="80"/>
      </w:r>
      <w:r w:rsidRPr="006A6890">
        <w:rPr>
          <w:rFonts w:asciiTheme="minorHAnsi" w:hAnsiTheme="minorHAnsi"/>
        </w:rPr>
        <w:t xml:space="preserve">. </w:t>
      </w:r>
    </w:p>
    <w:p w14:paraId="66B1555F" w14:textId="77777777" w:rsidR="003F29E3" w:rsidRPr="006A6890" w:rsidRDefault="003F29E3" w:rsidP="00EA0541">
      <w:pPr>
        <w:rPr>
          <w:rFonts w:asciiTheme="minorHAnsi" w:hAnsiTheme="minorHAnsi"/>
        </w:rPr>
      </w:pPr>
      <w:r w:rsidRPr="006A6890">
        <w:rPr>
          <w:rFonts w:asciiTheme="minorHAnsi" w:hAnsiTheme="minorHAnsi"/>
        </w:rPr>
        <w:t>A prudens értékelés outputja a kiegészítő értékelési korrekció (</w:t>
      </w:r>
      <w:proofErr w:type="spellStart"/>
      <w:r w:rsidRPr="006A6890">
        <w:rPr>
          <w:rFonts w:asciiTheme="minorHAnsi" w:hAnsiTheme="minorHAnsi"/>
        </w:rPr>
        <w:t>AVA</w:t>
      </w:r>
      <w:proofErr w:type="spellEnd"/>
      <w:r w:rsidRPr="006A6890">
        <w:rPr>
          <w:rFonts w:asciiTheme="minorHAnsi" w:hAnsiTheme="minorHAnsi"/>
        </w:rPr>
        <w:t>),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66B15562" w14:textId="13CD70B8" w:rsidR="003F29E3" w:rsidRPr="006A6890" w:rsidRDefault="003F29E3" w:rsidP="00EA0541">
      <w:pPr>
        <w:rPr>
          <w:rFonts w:asciiTheme="minorHAnsi" w:hAnsiTheme="minorHAnsi"/>
        </w:rPr>
      </w:pPr>
      <w:r w:rsidRPr="006A6890">
        <w:rPr>
          <w:rFonts w:asciiTheme="minorHAnsi" w:hAnsiTheme="minorHAnsi"/>
        </w:rPr>
        <w:t xml:space="preserve">A </w:t>
      </w:r>
      <w:r w:rsidR="0003682E" w:rsidRPr="006A6890">
        <w:rPr>
          <w:rFonts w:asciiTheme="minorHAnsi" w:hAnsiTheme="minorHAnsi"/>
        </w:rPr>
        <w:t xml:space="preserve">piaci </w:t>
      </w:r>
      <w:r w:rsidRPr="006A6890">
        <w:rPr>
          <w:rFonts w:asciiTheme="minorHAnsi" w:hAnsiTheme="minorHAnsi"/>
        </w:rPr>
        <w:t>kockázatok mérése és a kockázatokra elkülönített tőkeszükséglet meghatározása a kereskedési könyvi</w:t>
      </w:r>
      <w:r w:rsidR="0003682E" w:rsidRPr="006A6890">
        <w:rPr>
          <w:rFonts w:asciiTheme="minorHAnsi" w:hAnsiTheme="minorHAnsi"/>
        </w:rPr>
        <w:t xml:space="preserve"> pozíciók</w:t>
      </w:r>
      <w:r w:rsidRPr="006A6890">
        <w:rPr>
          <w:rFonts w:asciiTheme="minorHAnsi" w:hAnsiTheme="minorHAnsi"/>
        </w:rPr>
        <w:t xml:space="preserve">, illetve a tevékenység egészében felmerülő árfolyam- és árukockázat esetén </w:t>
      </w:r>
      <w:r w:rsidR="009B77AE" w:rsidRPr="006A6890">
        <w:rPr>
          <w:rFonts w:asciiTheme="minorHAnsi" w:hAnsiTheme="minorHAnsi"/>
        </w:rPr>
        <w:t>elvárt.</w:t>
      </w:r>
    </w:p>
    <w:p w14:paraId="554760A2" w14:textId="2192439C" w:rsidR="00591CAE" w:rsidRPr="006A6890" w:rsidRDefault="00591CAE" w:rsidP="00EA0541">
      <w:pPr>
        <w:rPr>
          <w:rFonts w:asciiTheme="minorHAnsi" w:hAnsiTheme="minorHAnsi"/>
        </w:rPr>
      </w:pPr>
      <w:r w:rsidRPr="006A6890">
        <w:rPr>
          <w:rFonts w:asciiTheme="minorHAnsi" w:hAnsiTheme="minorHAnsi"/>
        </w:rPr>
        <w:t xml:space="preserve">Az MNB elvárja a felügyelt intézményektől, hogy az </w:t>
      </w:r>
      <w:r w:rsidR="009841BB" w:rsidRPr="006A6890">
        <w:rPr>
          <w:rFonts w:asciiTheme="minorHAnsi" w:hAnsiTheme="minorHAnsi"/>
        </w:rPr>
        <w:t>1</w:t>
      </w:r>
      <w:r w:rsidRPr="006A6890">
        <w:rPr>
          <w:rFonts w:asciiTheme="minorHAnsi" w:hAnsiTheme="minorHAnsi"/>
        </w:rPr>
        <w:t>. pilléres tőke</w:t>
      </w:r>
      <w:r w:rsidR="00AD5DAB" w:rsidRPr="006A6890">
        <w:rPr>
          <w:rFonts w:asciiTheme="minorHAnsi" w:hAnsiTheme="minorHAnsi"/>
        </w:rPr>
        <w:t>követelmény-</w:t>
      </w:r>
      <w:r w:rsidRPr="006A6890">
        <w:rPr>
          <w:rFonts w:asciiTheme="minorHAnsi" w:hAnsiTheme="minorHAnsi"/>
        </w:rPr>
        <w:t xml:space="preserve">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alkalmazni. Az MNB a módosított átlagidő számítását az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/2016/09 sz. iránymutatása szerint várja el.</w:t>
      </w:r>
    </w:p>
    <w:p w14:paraId="66B15563" w14:textId="271FDAB8" w:rsidR="003F29E3" w:rsidRPr="006A6890" w:rsidRDefault="003F29E3" w:rsidP="00EA0541">
      <w:pPr>
        <w:rPr>
          <w:rFonts w:asciiTheme="minorHAnsi" w:hAnsiTheme="minorHAnsi"/>
        </w:rPr>
      </w:pPr>
      <w:r w:rsidRPr="006A6890">
        <w:rPr>
          <w:rFonts w:asciiTheme="minorHAnsi" w:hAnsiTheme="minorHAnsi"/>
        </w:rPr>
        <w:t>A jelentős kereskedési portfólióval, összetettebb pozíciókkal rendelkező nagyobb intézményre vonatkozóan elvárás, hogy a piaci kockázatok</w:t>
      </w:r>
      <w:r w:rsidR="00EC6779" w:rsidRPr="006A6890">
        <w:rPr>
          <w:rFonts w:asciiTheme="minorHAnsi" w:hAnsiTheme="minorHAnsi"/>
        </w:rPr>
        <w:t xml:space="preserve">, </w:t>
      </w:r>
      <w:r w:rsidR="00E57D75" w:rsidRPr="006A6890">
        <w:rPr>
          <w:rFonts w:asciiTheme="minorHAnsi" w:hAnsiTheme="minorHAnsi"/>
        </w:rPr>
        <w:t>–</w:t>
      </w:r>
      <w:r w:rsidR="00EC6779" w:rsidRPr="006A6890">
        <w:rPr>
          <w:rFonts w:asciiTheme="minorHAnsi" w:hAnsiTheme="minorHAnsi"/>
        </w:rPr>
        <w:t xml:space="preserve"> beleértve a tevékenység egészében fen</w:t>
      </w:r>
      <w:r w:rsidR="009B77AE" w:rsidRPr="006A6890">
        <w:rPr>
          <w:rFonts w:asciiTheme="minorHAnsi" w:hAnsiTheme="minorHAnsi"/>
        </w:rPr>
        <w:t>n</w:t>
      </w:r>
      <w:r w:rsidR="00EC6779" w:rsidRPr="006A6890">
        <w:rPr>
          <w:rFonts w:asciiTheme="minorHAnsi" w:hAnsiTheme="minorHAnsi"/>
        </w:rPr>
        <w:t xml:space="preserve">álló devizaárfolyam kockázatot </w:t>
      </w:r>
      <w:r w:rsidR="00E57D75" w:rsidRPr="006A6890">
        <w:rPr>
          <w:rFonts w:asciiTheme="minorHAnsi" w:hAnsiTheme="minorHAnsi"/>
        </w:rPr>
        <w:t>–</w:t>
      </w:r>
      <w:r w:rsidRPr="006A6890">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w:t>
      </w:r>
      <w:proofErr w:type="spellStart"/>
      <w:r w:rsidRPr="006A6890">
        <w:rPr>
          <w:rFonts w:asciiTheme="minorHAnsi" w:hAnsiTheme="minorHAnsi"/>
        </w:rPr>
        <w:t>VaR</w:t>
      </w:r>
      <w:proofErr w:type="spellEnd"/>
      <w:r w:rsidRPr="006A6890">
        <w:rPr>
          <w:rFonts w:asciiTheme="minorHAnsi" w:hAnsiTheme="minorHAnsi"/>
        </w:rPr>
        <w:t xml:space="preserve">) alapon működő módszertant fejlesszen ki és alkalmazzon. Utóbbi esetben </w:t>
      </w:r>
      <w:r w:rsidR="003B21EC" w:rsidRPr="006A6890">
        <w:rPr>
          <w:rFonts w:asciiTheme="minorHAnsi" w:hAnsiTheme="minorHAnsi"/>
        </w:rPr>
        <w:t>operatív kockázatkezelés céljából (pl. limitek meghatározásakor)</w:t>
      </w:r>
      <w:r w:rsidRPr="006A6890">
        <w:rPr>
          <w:rFonts w:asciiTheme="minorHAnsi" w:hAnsiTheme="minorHAnsi"/>
        </w:rPr>
        <w:t xml:space="preserve"> elfogadott, ha a belső modell alkalmazásakor az intézmény a kockázatait (megítélése szerint) jobban tükröző paramétereket</w:t>
      </w:r>
      <w:r w:rsidRPr="00EA0541">
        <w:footnoteReference w:id="81"/>
      </w:r>
      <w:r w:rsidRPr="006A6890">
        <w:rPr>
          <w:rFonts w:asciiTheme="minorHAnsi" w:hAnsiTheme="minorHAnsi"/>
        </w:rPr>
        <w:t xml:space="preserve"> használja, és nem a szabályozásban rögzítetteket</w:t>
      </w:r>
      <w:r w:rsidR="00F812CC" w:rsidRPr="006A6890">
        <w:rPr>
          <w:rFonts w:asciiTheme="minorHAnsi" w:hAnsiTheme="minorHAnsi"/>
        </w:rPr>
        <w:t xml:space="preserve">, azonban tőkekövetelmény számításához az MNB 99%-os konfidenciaszintet, és 10 napos tartási periódust vár el a </w:t>
      </w:r>
      <w:proofErr w:type="spellStart"/>
      <w:r w:rsidR="00F812CC" w:rsidRPr="006A6890">
        <w:rPr>
          <w:rFonts w:asciiTheme="minorHAnsi" w:hAnsiTheme="minorHAnsi"/>
        </w:rPr>
        <w:t>VaR</w:t>
      </w:r>
      <w:proofErr w:type="spellEnd"/>
      <w:r w:rsidR="00F812CC" w:rsidRPr="006A6890">
        <w:rPr>
          <w:rFonts w:asciiTheme="minorHAnsi" w:hAnsiTheme="minorHAnsi"/>
        </w:rPr>
        <w:t xml:space="preserve"> alapú számítások esetében</w:t>
      </w:r>
      <w:r w:rsidRPr="006A6890">
        <w:rPr>
          <w:rFonts w:asciiTheme="minorHAnsi" w:hAnsiTheme="minorHAnsi"/>
        </w:rPr>
        <w:t>.</w:t>
      </w:r>
      <w:r w:rsidR="002F50A9" w:rsidRPr="006A6890">
        <w:rPr>
          <w:rFonts w:asciiTheme="minorHAnsi" w:hAnsiTheme="minorHAnsi"/>
        </w:rPr>
        <w:t xml:space="preserve"> Továbbá</w:t>
      </w:r>
      <w:r w:rsidR="00705AAD" w:rsidRPr="006A6890">
        <w:rPr>
          <w:rFonts w:asciiTheme="minorHAnsi" w:hAnsiTheme="minorHAnsi"/>
        </w:rPr>
        <w:t xml:space="preserve"> figyelembe véve a szabályozási fejleményeket (</w:t>
      </w:r>
      <w:proofErr w:type="spellStart"/>
      <w:r w:rsidR="003A5D8A" w:rsidRPr="006A6890">
        <w:rPr>
          <w:rFonts w:asciiTheme="minorHAnsi" w:hAnsiTheme="minorHAnsi"/>
        </w:rPr>
        <w:t>Fundamental</w:t>
      </w:r>
      <w:proofErr w:type="spellEnd"/>
      <w:r w:rsidR="003A5D8A" w:rsidRPr="006A6890">
        <w:rPr>
          <w:rFonts w:asciiTheme="minorHAnsi" w:hAnsiTheme="minorHAnsi"/>
        </w:rPr>
        <w:t xml:space="preserve"> </w:t>
      </w:r>
      <w:proofErr w:type="spellStart"/>
      <w:r w:rsidR="003A5D8A" w:rsidRPr="006A6890">
        <w:rPr>
          <w:rFonts w:asciiTheme="minorHAnsi" w:hAnsiTheme="minorHAnsi"/>
        </w:rPr>
        <w:t>Review</w:t>
      </w:r>
      <w:proofErr w:type="spellEnd"/>
      <w:r w:rsidR="003A5D8A" w:rsidRPr="006A6890">
        <w:rPr>
          <w:rFonts w:asciiTheme="minorHAnsi" w:hAnsiTheme="minorHAnsi"/>
        </w:rPr>
        <w:t xml:space="preserve"> of </w:t>
      </w:r>
      <w:proofErr w:type="spellStart"/>
      <w:r w:rsidR="003A5D8A" w:rsidRPr="006A6890">
        <w:rPr>
          <w:rFonts w:asciiTheme="minorHAnsi" w:hAnsiTheme="minorHAnsi"/>
        </w:rPr>
        <w:t>Trading</w:t>
      </w:r>
      <w:proofErr w:type="spellEnd"/>
      <w:r w:rsidR="003A5D8A" w:rsidRPr="006A6890">
        <w:rPr>
          <w:rFonts w:asciiTheme="minorHAnsi" w:hAnsiTheme="minorHAnsi"/>
        </w:rPr>
        <w:t xml:space="preserve"> </w:t>
      </w:r>
      <w:proofErr w:type="spellStart"/>
      <w:r w:rsidR="003A5D8A" w:rsidRPr="006A6890">
        <w:rPr>
          <w:rFonts w:asciiTheme="minorHAnsi" w:hAnsiTheme="minorHAnsi"/>
        </w:rPr>
        <w:t>Book</w:t>
      </w:r>
      <w:proofErr w:type="spellEnd"/>
      <w:r w:rsidR="003A5D8A" w:rsidRPr="006A6890">
        <w:rPr>
          <w:rFonts w:asciiTheme="minorHAnsi" w:hAnsiTheme="minorHAnsi"/>
        </w:rPr>
        <w:t xml:space="preserve"> – </w:t>
      </w:r>
      <w:proofErr w:type="spellStart"/>
      <w:r w:rsidR="00705AAD" w:rsidRPr="006A6890">
        <w:rPr>
          <w:rFonts w:asciiTheme="minorHAnsi" w:hAnsiTheme="minorHAnsi"/>
        </w:rPr>
        <w:t>FRTB</w:t>
      </w:r>
      <w:proofErr w:type="spellEnd"/>
      <w:r w:rsidR="00705AAD" w:rsidRPr="006A6890">
        <w:rPr>
          <w:rFonts w:asciiTheme="minorHAnsi" w:hAnsiTheme="minorHAnsi"/>
        </w:rPr>
        <w:t xml:space="preserve">), az </w:t>
      </w:r>
      <w:proofErr w:type="spellStart"/>
      <w:r w:rsidR="00705AAD" w:rsidRPr="006A6890">
        <w:rPr>
          <w:rFonts w:asciiTheme="minorHAnsi" w:hAnsiTheme="minorHAnsi"/>
        </w:rPr>
        <w:t>expected</w:t>
      </w:r>
      <w:proofErr w:type="spellEnd"/>
      <w:r w:rsidR="00705AAD" w:rsidRPr="006A6890">
        <w:rPr>
          <w:rFonts w:asciiTheme="minorHAnsi" w:hAnsiTheme="minorHAnsi"/>
        </w:rPr>
        <w:t xml:space="preserve"> </w:t>
      </w:r>
      <w:proofErr w:type="spellStart"/>
      <w:r w:rsidR="00705AAD" w:rsidRPr="006A6890">
        <w:rPr>
          <w:rFonts w:asciiTheme="minorHAnsi" w:hAnsiTheme="minorHAnsi"/>
        </w:rPr>
        <w:t>shortfall</w:t>
      </w:r>
      <w:proofErr w:type="spellEnd"/>
      <w:r w:rsidR="00705AAD" w:rsidRPr="006A6890">
        <w:rPr>
          <w:rFonts w:asciiTheme="minorHAnsi" w:hAnsiTheme="minorHAnsi"/>
        </w:rPr>
        <w:t xml:space="preserve"> (ES) modell alkalmazása is elfogadható.</w:t>
      </w:r>
    </w:p>
    <w:p w14:paraId="0961ECD1" w14:textId="65508795" w:rsidR="00EC6779" w:rsidRPr="006A6890" w:rsidRDefault="00EC6779" w:rsidP="00EA0541">
      <w:pPr>
        <w:rPr>
          <w:rFonts w:asciiTheme="minorHAnsi" w:hAnsiTheme="minorHAnsi"/>
        </w:rPr>
      </w:pPr>
      <w:r w:rsidRPr="006A6890">
        <w:rPr>
          <w:rFonts w:asciiTheme="minorHAnsi" w:hAnsiTheme="minorHAnsi"/>
        </w:rPr>
        <w:t xml:space="preserve">A deviza árfolyamkockázatra vonatkozóan az egyszerűsített felügyeleti felülvizsgálat körébe tartozó hitelintézetek esetében </w:t>
      </w:r>
      <w:r w:rsidR="009B77AE" w:rsidRPr="006A6890">
        <w:rPr>
          <w:rFonts w:asciiTheme="minorHAnsi" w:hAnsiTheme="minorHAnsi"/>
        </w:rPr>
        <w:t xml:space="preserve">is </w:t>
      </w:r>
      <w:r w:rsidRPr="006A6890">
        <w:rPr>
          <w:rFonts w:asciiTheme="minorHAnsi" w:hAnsiTheme="minorHAnsi"/>
        </w:rPr>
        <w:t xml:space="preserve">elvárt </w:t>
      </w:r>
      <w:r w:rsidR="009B77AE" w:rsidRPr="006A6890">
        <w:rPr>
          <w:rFonts w:asciiTheme="minorHAnsi" w:hAnsiTheme="minorHAnsi"/>
        </w:rPr>
        <w:t xml:space="preserve">a </w:t>
      </w:r>
      <w:r w:rsidRPr="006A6890">
        <w:rPr>
          <w:rFonts w:asciiTheme="minorHAnsi" w:hAnsiTheme="minorHAnsi"/>
        </w:rPr>
        <w:t xml:space="preserve">felügyeleti honlapon található </w:t>
      </w:r>
      <w:proofErr w:type="spellStart"/>
      <w:r w:rsidRPr="006A6890">
        <w:rPr>
          <w:rFonts w:asciiTheme="minorHAnsi" w:hAnsiTheme="minorHAnsi"/>
        </w:rPr>
        <w:t>VaR</w:t>
      </w:r>
      <w:proofErr w:type="spellEnd"/>
      <w:r w:rsidRPr="006A6890">
        <w:rPr>
          <w:rFonts w:asciiTheme="minorHAnsi" w:hAnsiTheme="minorHAnsi"/>
        </w:rPr>
        <w:t xml:space="preserve"> modell vagy az intézmény által fejlesztett belső modell alkalmazása, </w:t>
      </w:r>
      <w:r w:rsidR="002512FF" w:rsidRPr="006A6890">
        <w:rPr>
          <w:rFonts w:asciiTheme="minorHAnsi" w:hAnsiTheme="minorHAnsi"/>
        </w:rPr>
        <w:t xml:space="preserve">akkor is, ha </w:t>
      </w:r>
      <w:r w:rsidRPr="006A6890">
        <w:rPr>
          <w:rFonts w:asciiTheme="minorHAnsi" w:hAnsiTheme="minorHAnsi"/>
        </w:rPr>
        <w:t xml:space="preserve">a nyitott pozíció nagysága </w:t>
      </w:r>
      <w:r w:rsidR="002512FF" w:rsidRPr="006A6890">
        <w:rPr>
          <w:rFonts w:asciiTheme="minorHAnsi" w:hAnsiTheme="minorHAnsi"/>
        </w:rPr>
        <w:t xml:space="preserve">nem </w:t>
      </w:r>
      <w:r w:rsidRPr="006A6890">
        <w:rPr>
          <w:rFonts w:asciiTheme="minorHAnsi" w:hAnsiTheme="minorHAnsi"/>
        </w:rPr>
        <w:t xml:space="preserve">haladja </w:t>
      </w:r>
      <w:r w:rsidR="002512FF" w:rsidRPr="006A6890">
        <w:rPr>
          <w:rFonts w:asciiTheme="minorHAnsi" w:hAnsiTheme="minorHAnsi"/>
        </w:rPr>
        <w:t xml:space="preserve">meg </w:t>
      </w:r>
      <w:r w:rsidRPr="006A6890">
        <w:rPr>
          <w:rFonts w:asciiTheme="minorHAnsi" w:hAnsiTheme="minorHAnsi"/>
        </w:rPr>
        <w:t>a CRR által a szava</w:t>
      </w:r>
      <w:r w:rsidR="009B77AE" w:rsidRPr="006A6890">
        <w:rPr>
          <w:rFonts w:asciiTheme="minorHAnsi" w:hAnsiTheme="minorHAnsi"/>
        </w:rPr>
        <w:t>t</w:t>
      </w:r>
      <w:r w:rsidRPr="006A6890">
        <w:rPr>
          <w:rFonts w:asciiTheme="minorHAnsi" w:hAnsiTheme="minorHAnsi"/>
        </w:rPr>
        <w:t>oló tőke 2%-ban</w:t>
      </w:r>
      <w:r w:rsidR="009B77AE" w:rsidRPr="006A6890">
        <w:rPr>
          <w:rFonts w:asciiTheme="minorHAnsi" w:hAnsiTheme="minorHAnsi"/>
        </w:rPr>
        <w:t xml:space="preserve"> meghatározott küszöbértéket.</w:t>
      </w:r>
      <w:r w:rsidRPr="006A6890">
        <w:rPr>
          <w:rFonts w:asciiTheme="minorHAnsi" w:hAnsiTheme="minorHAnsi"/>
        </w:rPr>
        <w:t xml:space="preserve"> </w:t>
      </w:r>
    </w:p>
    <w:p w14:paraId="4C82BC1A" w14:textId="77777777" w:rsidR="002512FF" w:rsidRPr="006A6890" w:rsidRDefault="00AB1F99" w:rsidP="00EA0541">
      <w:pPr>
        <w:rPr>
          <w:rFonts w:asciiTheme="minorHAnsi" w:hAnsiTheme="minorHAnsi"/>
        </w:rPr>
      </w:pPr>
      <w:r w:rsidRPr="006A6890">
        <w:rPr>
          <w:rFonts w:asciiTheme="minorHAnsi" w:hAnsiTheme="minorHAnsi"/>
        </w:rPr>
        <w:t xml:space="preserve">A belső modellek </w:t>
      </w:r>
      <w:proofErr w:type="spellStart"/>
      <w:r w:rsidRPr="006A6890">
        <w:rPr>
          <w:rFonts w:asciiTheme="minorHAnsi" w:hAnsiTheme="minorHAnsi"/>
        </w:rPr>
        <w:t>korlátaira</w:t>
      </w:r>
      <w:proofErr w:type="spellEnd"/>
      <w:r w:rsidRPr="006A6890">
        <w:rPr>
          <w:rFonts w:asciiTheme="minorHAnsi" w:hAnsiTheme="minorHAnsi"/>
        </w:rPr>
        <w:t xml:space="preserve"> tekintettel az intézménynek rendszeres stressz-teszteket és extrém eseményeket vizsgáló elemzéseket kell végeznie, melyek eredményeit, következtetéseit szintén át kell tekinteni felsővezetői szinten is. </w:t>
      </w:r>
    </w:p>
    <w:p w14:paraId="66B15564" w14:textId="05AB9FB9" w:rsidR="005A6F59" w:rsidRPr="006A6890" w:rsidRDefault="005A6F59"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00D517EC" w:rsidRPr="006A6890">
        <w:rPr>
          <w:rFonts w:asciiTheme="minorHAnsi" w:hAnsiTheme="minorHAnsi"/>
        </w:rPr>
        <w:t xml:space="preserve"> </w:t>
      </w:r>
      <w:r w:rsidRPr="006A6890">
        <w:rPr>
          <w:rFonts w:asciiTheme="minorHAnsi" w:hAnsiTheme="minorHAnsi"/>
        </w:rPr>
        <w:t>iránymutatást</w:t>
      </w:r>
      <w:r w:rsidRPr="006A6890">
        <w:rPr>
          <w:rFonts w:asciiTheme="minorHAnsi" w:hAnsiTheme="minorHAnsi"/>
        </w:rPr>
        <w:footnoteReference w:id="82"/>
      </w:r>
      <w:r w:rsidRPr="006A6890">
        <w:rPr>
          <w:rFonts w:asciiTheme="minorHAnsi" w:hAnsiTheme="minorHAnsi"/>
        </w:rPr>
        <w:t xml:space="preserve"> </w:t>
      </w:r>
      <w:r w:rsidR="00D517EC" w:rsidRPr="006A6890">
        <w:rPr>
          <w:rFonts w:asciiTheme="minorHAnsi" w:hAnsiTheme="minorHAnsi"/>
        </w:rPr>
        <w:t xml:space="preserve">adott ki </w:t>
      </w:r>
      <w:r w:rsidRPr="006A6890">
        <w:rPr>
          <w:rFonts w:asciiTheme="minorHAnsi" w:hAnsiTheme="minorHAnsi"/>
        </w:rPr>
        <w:t>a piaci kockázat szabályozói tőkekövetelményét belső modell módszerrel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Model</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szám</w:t>
      </w:r>
      <w:r w:rsidR="00455242" w:rsidRPr="006A6890">
        <w:rPr>
          <w:rFonts w:asciiTheme="minorHAnsi" w:hAnsiTheme="minorHAnsi"/>
        </w:rPr>
        <w:t>ít</w:t>
      </w:r>
      <w:r w:rsidRPr="006A6890">
        <w:rPr>
          <w:rFonts w:asciiTheme="minorHAnsi" w:hAnsiTheme="minorHAnsi"/>
        </w:rPr>
        <w:t>ó intézmények számára</w:t>
      </w:r>
      <w:r w:rsidR="00455242" w:rsidRPr="006A6890">
        <w:rPr>
          <w:rFonts w:asciiTheme="minorHAnsi" w:hAnsiTheme="minorHAnsi"/>
        </w:rPr>
        <w:t>. A „</w:t>
      </w:r>
      <w:proofErr w:type="spellStart"/>
      <w:r w:rsidR="00455242" w:rsidRPr="006A6890">
        <w:rPr>
          <w:rFonts w:asciiTheme="minorHAnsi" w:hAnsiTheme="minorHAnsi"/>
        </w:rPr>
        <w:t>Guidelines</w:t>
      </w:r>
      <w:proofErr w:type="spellEnd"/>
      <w:r w:rsidR="00455242" w:rsidRPr="006A6890">
        <w:rPr>
          <w:rFonts w:asciiTheme="minorHAnsi" w:hAnsiTheme="minorHAnsi"/>
        </w:rPr>
        <w:t xml:space="preserve"> on </w:t>
      </w:r>
      <w:proofErr w:type="spellStart"/>
      <w:r w:rsidR="00455242" w:rsidRPr="006A6890">
        <w:rPr>
          <w:rFonts w:asciiTheme="minorHAnsi" w:hAnsiTheme="minorHAnsi"/>
        </w:rPr>
        <w:t>Stressed</w:t>
      </w:r>
      <w:proofErr w:type="spellEnd"/>
      <w:r w:rsidR="00455242" w:rsidRPr="006A6890">
        <w:rPr>
          <w:rFonts w:asciiTheme="minorHAnsi" w:hAnsiTheme="minorHAnsi"/>
        </w:rPr>
        <w:t xml:space="preserve"> </w:t>
      </w:r>
      <w:proofErr w:type="spellStart"/>
      <w:r w:rsidR="00455242" w:rsidRPr="006A6890">
        <w:rPr>
          <w:rFonts w:asciiTheme="minorHAnsi" w:hAnsiTheme="minorHAnsi"/>
        </w:rPr>
        <w:t>Value</w:t>
      </w:r>
      <w:proofErr w:type="spellEnd"/>
      <w:r w:rsidR="00455242" w:rsidRPr="006A6890">
        <w:rPr>
          <w:rFonts w:asciiTheme="minorHAnsi" w:hAnsiTheme="minorHAnsi"/>
        </w:rPr>
        <w:t xml:space="preserve"> </w:t>
      </w:r>
      <w:proofErr w:type="spellStart"/>
      <w:r w:rsidR="00455242" w:rsidRPr="006A6890">
        <w:rPr>
          <w:rFonts w:asciiTheme="minorHAnsi" w:hAnsiTheme="minorHAnsi"/>
        </w:rPr>
        <w:t>At</w:t>
      </w:r>
      <w:proofErr w:type="spellEnd"/>
      <w:r w:rsidR="00455242" w:rsidRPr="006A6890">
        <w:rPr>
          <w:rFonts w:asciiTheme="minorHAnsi" w:hAnsiTheme="minorHAnsi"/>
        </w:rPr>
        <w:t xml:space="preserve"> </w:t>
      </w:r>
      <w:proofErr w:type="spellStart"/>
      <w:r w:rsidR="00455242" w:rsidRPr="006A6890">
        <w:rPr>
          <w:rFonts w:asciiTheme="minorHAnsi" w:hAnsiTheme="minorHAnsi"/>
        </w:rPr>
        <w:t>Risk</w:t>
      </w:r>
      <w:proofErr w:type="spellEnd"/>
      <w:r w:rsidR="00455242" w:rsidRPr="006A6890">
        <w:rPr>
          <w:rFonts w:asciiTheme="minorHAnsi" w:hAnsiTheme="minorHAnsi"/>
        </w:rPr>
        <w:t>”</w:t>
      </w:r>
      <w:r w:rsidR="004753B5">
        <w:rPr>
          <w:rStyle w:val="FootnoteReference"/>
          <w:rFonts w:asciiTheme="minorHAnsi" w:hAnsiTheme="minorHAnsi"/>
        </w:rPr>
        <w:footnoteReference w:id="83"/>
      </w:r>
      <w:r w:rsidR="00455242" w:rsidRPr="006A6890">
        <w:rPr>
          <w:rFonts w:asciiTheme="minorHAnsi" w:hAnsiTheme="minorHAnsi"/>
        </w:rPr>
        <w:t xml:space="preserve"> iránymutatásokat tartalmaz a stressz periódus meghatározására, a stresszelt </w:t>
      </w:r>
      <w:proofErr w:type="spellStart"/>
      <w:r w:rsidR="00455242" w:rsidRPr="006A6890">
        <w:rPr>
          <w:rFonts w:asciiTheme="minorHAnsi" w:hAnsiTheme="minorHAnsi"/>
        </w:rPr>
        <w:t>VaR</w:t>
      </w:r>
      <w:proofErr w:type="spellEnd"/>
      <w:r w:rsidR="00455242" w:rsidRPr="006A6890">
        <w:rPr>
          <w:rFonts w:asciiTheme="minorHAnsi" w:hAnsiTheme="minorHAnsi"/>
        </w:rPr>
        <w:t xml:space="preserve"> módszertanra és a </w:t>
      </w:r>
      <w:proofErr w:type="spellStart"/>
      <w:r w:rsidR="00455242" w:rsidRPr="006A6890">
        <w:rPr>
          <w:rFonts w:asciiTheme="minorHAnsi" w:hAnsiTheme="minorHAnsi"/>
        </w:rPr>
        <w:t>use</w:t>
      </w:r>
      <w:proofErr w:type="spellEnd"/>
      <w:r w:rsidR="00455242" w:rsidRPr="006A6890">
        <w:rPr>
          <w:rFonts w:asciiTheme="minorHAnsi" w:hAnsiTheme="minorHAnsi"/>
        </w:rPr>
        <w:t xml:space="preserve"> tes</w:t>
      </w:r>
      <w:r w:rsidR="00AA523C" w:rsidRPr="006A6890">
        <w:rPr>
          <w:rFonts w:asciiTheme="minorHAnsi" w:hAnsiTheme="minorHAnsi"/>
        </w:rPr>
        <w:t>z</w:t>
      </w:r>
      <w:r w:rsidR="00455242" w:rsidRPr="006A6890">
        <w:rPr>
          <w:rFonts w:asciiTheme="minorHAnsi" w:hAnsiTheme="minorHAnsi"/>
        </w:rPr>
        <w:t>t</w:t>
      </w:r>
      <w:r w:rsidR="00E57D75" w:rsidRPr="006A6890">
        <w:rPr>
          <w:rFonts w:asciiTheme="minorHAnsi" w:hAnsiTheme="minorHAnsi"/>
        </w:rPr>
        <w:t>-</w:t>
      </w:r>
      <w:r w:rsidR="00455242" w:rsidRPr="006A6890">
        <w:rPr>
          <w:rFonts w:asciiTheme="minorHAnsi" w:hAnsiTheme="minorHAnsi"/>
        </w:rPr>
        <w:t>re</w:t>
      </w:r>
      <w:r w:rsidR="00AB1F99" w:rsidRPr="006A6890">
        <w:rPr>
          <w:rFonts w:asciiTheme="minorHAnsi" w:hAnsiTheme="minorHAnsi"/>
        </w:rPr>
        <w:t xml:space="preserve"> vonatkozóan</w:t>
      </w:r>
      <w:r w:rsidR="00455242" w:rsidRPr="006A6890">
        <w:rPr>
          <w:rFonts w:asciiTheme="minorHAnsi" w:hAnsiTheme="minorHAnsi"/>
        </w:rPr>
        <w:t>.</w:t>
      </w:r>
      <w:r w:rsidR="00871864" w:rsidRPr="006A6890">
        <w:rPr>
          <w:rFonts w:asciiTheme="minorHAnsi" w:hAnsiTheme="minorHAnsi"/>
        </w:rPr>
        <w:t xml:space="preserve"> Az MNB a</w:t>
      </w:r>
      <w:r w:rsidR="0003682E" w:rsidRPr="006A6890">
        <w:rPr>
          <w:rFonts w:asciiTheme="minorHAnsi" w:hAnsiTheme="minorHAnsi"/>
        </w:rPr>
        <w:t>z ICAAP során</w:t>
      </w:r>
      <w:r w:rsidR="00871864" w:rsidRPr="006A6890">
        <w:rPr>
          <w:rFonts w:asciiTheme="minorHAnsi" w:hAnsiTheme="minorHAnsi"/>
        </w:rPr>
        <w:t xml:space="preserve"> belső modelleket használó intézményektől elvárja, </w:t>
      </w:r>
      <w:r w:rsidR="00477FEB" w:rsidRPr="006A6890">
        <w:rPr>
          <w:rFonts w:asciiTheme="minorHAnsi" w:hAnsiTheme="minorHAnsi"/>
        </w:rPr>
        <w:t xml:space="preserve">hogy a hivatkozott </w:t>
      </w:r>
      <w:proofErr w:type="spellStart"/>
      <w:r w:rsidR="00AB1F99" w:rsidRPr="006A6890">
        <w:rPr>
          <w:rFonts w:asciiTheme="minorHAnsi" w:hAnsiTheme="minorHAnsi"/>
        </w:rPr>
        <w:t>EBA</w:t>
      </w:r>
      <w:proofErr w:type="spellEnd"/>
      <w:r w:rsidR="00AB1F99" w:rsidRPr="006A6890">
        <w:rPr>
          <w:rFonts w:asciiTheme="minorHAnsi" w:hAnsiTheme="minorHAnsi"/>
        </w:rPr>
        <w:t xml:space="preserve"> </w:t>
      </w:r>
      <w:r w:rsidR="00477FEB" w:rsidRPr="006A6890">
        <w:rPr>
          <w:rFonts w:asciiTheme="minorHAnsi" w:hAnsiTheme="minorHAnsi"/>
        </w:rPr>
        <w:t>iránymutatást a modell kialakítása során figyelembe vegy</w:t>
      </w:r>
      <w:r w:rsidR="0033034F" w:rsidRPr="006A6890">
        <w:rPr>
          <w:rFonts w:asciiTheme="minorHAnsi" w:hAnsiTheme="minorHAnsi"/>
        </w:rPr>
        <w:t>ék</w:t>
      </w:r>
      <w:r w:rsidR="00477FEB" w:rsidRPr="006A6890">
        <w:rPr>
          <w:rFonts w:asciiTheme="minorHAnsi" w:hAnsiTheme="minorHAnsi"/>
        </w:rPr>
        <w:t>.</w:t>
      </w:r>
      <w:r w:rsidR="00871864" w:rsidRPr="006A6890">
        <w:rPr>
          <w:rFonts w:asciiTheme="minorHAnsi" w:hAnsiTheme="minorHAnsi"/>
        </w:rPr>
        <w:t xml:space="preserve"> </w:t>
      </w:r>
    </w:p>
    <w:p w14:paraId="475D4B18" w14:textId="18B9DFEC" w:rsidR="00872014" w:rsidRPr="006A6890" w:rsidRDefault="00C92F46" w:rsidP="00EA0541">
      <w:pPr>
        <w:rPr>
          <w:rFonts w:asciiTheme="minorHAnsi" w:hAnsiTheme="minorHAnsi"/>
        </w:rPr>
      </w:pPr>
      <w:r w:rsidRPr="006A6890">
        <w:rPr>
          <w:rFonts w:asciiTheme="minorHAnsi" w:hAnsiTheme="minorHAnsi"/>
        </w:rPr>
        <w:lastRenderedPageBreak/>
        <w:t xml:space="preserve">A 2. pilléres tőkekövetelmény meghatározása során az MNB elvárja, hogy a bankok a stresszelt kockáztatott értéket </w:t>
      </w:r>
      <w:r w:rsidR="004246A3" w:rsidRPr="006A6890">
        <w:rPr>
          <w:rFonts w:asciiTheme="minorHAnsi" w:hAnsiTheme="minorHAnsi"/>
        </w:rPr>
        <w:t xml:space="preserve">is </w:t>
      </w:r>
      <w:r w:rsidRPr="006A6890">
        <w:rPr>
          <w:rFonts w:asciiTheme="minorHAnsi" w:hAnsiTheme="minorHAnsi"/>
        </w:rPr>
        <w:t xml:space="preserve">vegyék figyelembe oly módon, hogy amennyiben a normál </w:t>
      </w:r>
      <w:proofErr w:type="spellStart"/>
      <w:r w:rsidRPr="006A6890">
        <w:rPr>
          <w:rFonts w:asciiTheme="minorHAnsi" w:hAnsiTheme="minorHAnsi"/>
        </w:rPr>
        <w:t>VaR</w:t>
      </w:r>
      <w:proofErr w:type="spellEnd"/>
      <w:r w:rsidRPr="006A6890">
        <w:rPr>
          <w:rFonts w:asciiTheme="minorHAnsi" w:hAnsiTheme="minorHAnsi"/>
        </w:rPr>
        <w:t xml:space="preserve"> alapú tőkekövetelményt a</w:t>
      </w:r>
      <w:r w:rsidR="00603FDF" w:rsidRPr="006A6890">
        <w:rPr>
          <w:rFonts w:asciiTheme="minorHAnsi" w:hAnsiTheme="minorHAnsi"/>
        </w:rPr>
        <w:t xml:space="preserve">z utolsó stresszelt </w:t>
      </w:r>
      <w:proofErr w:type="spellStart"/>
      <w:r w:rsidR="00603FDF" w:rsidRPr="006A6890">
        <w:rPr>
          <w:rFonts w:asciiTheme="minorHAnsi" w:hAnsiTheme="minorHAnsi"/>
        </w:rPr>
        <w:t>VaR</w:t>
      </w:r>
      <w:proofErr w:type="spellEnd"/>
      <w:r w:rsidR="00603FDF" w:rsidRPr="006A6890">
        <w:rPr>
          <w:rFonts w:asciiTheme="minorHAnsi" w:hAnsiTheme="minorHAnsi"/>
        </w:rPr>
        <w:t xml:space="preserve"> és az előző 60 nap átlagos stresszelt </w:t>
      </w:r>
      <w:proofErr w:type="spellStart"/>
      <w:r w:rsidR="00603FDF" w:rsidRPr="006A6890">
        <w:rPr>
          <w:rFonts w:asciiTheme="minorHAnsi" w:hAnsiTheme="minorHAnsi"/>
        </w:rPr>
        <w:t>VaR</w:t>
      </w:r>
      <w:proofErr w:type="spellEnd"/>
      <w:r w:rsidR="00603FDF" w:rsidRPr="006A6890">
        <w:rPr>
          <w:rFonts w:asciiTheme="minorHAnsi" w:hAnsiTheme="minorHAnsi"/>
        </w:rPr>
        <w:t xml:space="preserve"> </w:t>
      </w:r>
      <w:r w:rsidR="000572C4" w:rsidRPr="006A6890">
        <w:rPr>
          <w:rFonts w:asciiTheme="minorHAnsi" w:hAnsiTheme="minorHAnsi"/>
        </w:rPr>
        <w:t>1,5-szerese</w:t>
      </w:r>
      <w:r w:rsidR="000572C4" w:rsidRPr="006A6890">
        <w:rPr>
          <w:rStyle w:val="FootnoteReference"/>
          <w:rFonts w:asciiTheme="minorHAnsi" w:hAnsiTheme="minorHAnsi"/>
        </w:rPr>
        <w:footnoteReference w:id="84"/>
      </w:r>
      <w:r w:rsidR="000572C4" w:rsidRPr="006A6890">
        <w:rPr>
          <w:rFonts w:asciiTheme="minorHAnsi" w:hAnsiTheme="minorHAnsi"/>
        </w:rPr>
        <w:t xml:space="preserve"> </w:t>
      </w:r>
      <w:r w:rsidR="00603FDF" w:rsidRPr="006A6890">
        <w:rPr>
          <w:rFonts w:asciiTheme="minorHAnsi" w:hAnsiTheme="minorHAnsi"/>
        </w:rPr>
        <w:t xml:space="preserve">közül a nagyobb érték </w:t>
      </w:r>
      <w:r w:rsidRPr="006A6890">
        <w:rPr>
          <w:rFonts w:asciiTheme="minorHAnsi" w:hAnsiTheme="minorHAnsi"/>
        </w:rPr>
        <w:t>meghaladja, úgy a stresszelt kockáztatott érték</w:t>
      </w:r>
      <w:r w:rsidR="003249E6" w:rsidRPr="006A6890">
        <w:rPr>
          <w:rFonts w:asciiTheme="minorHAnsi" w:hAnsiTheme="minorHAnsi"/>
        </w:rPr>
        <w:t xml:space="preserve"> alapon számolt </w:t>
      </w:r>
      <w:r w:rsidR="00D26956" w:rsidRPr="006A6890">
        <w:rPr>
          <w:rFonts w:asciiTheme="minorHAnsi" w:hAnsiTheme="minorHAnsi"/>
        </w:rPr>
        <w:t xml:space="preserve">érték </w:t>
      </w:r>
      <w:r w:rsidR="00872014" w:rsidRPr="006A6890">
        <w:rPr>
          <w:rFonts w:asciiTheme="minorHAnsi" w:hAnsiTheme="minorHAnsi"/>
        </w:rPr>
        <w:t>adja a</w:t>
      </w:r>
      <w:r w:rsidRPr="006A6890">
        <w:rPr>
          <w:rFonts w:asciiTheme="minorHAnsi" w:hAnsiTheme="minorHAnsi"/>
        </w:rPr>
        <w:t xml:space="preserve"> 2. pillérben </w:t>
      </w:r>
      <w:r w:rsidR="00872014" w:rsidRPr="006A6890">
        <w:rPr>
          <w:rFonts w:asciiTheme="minorHAnsi" w:hAnsiTheme="minorHAnsi"/>
        </w:rPr>
        <w:t xml:space="preserve">alkalmazandó </w:t>
      </w:r>
      <w:r w:rsidRPr="006A6890">
        <w:rPr>
          <w:rFonts w:asciiTheme="minorHAnsi" w:hAnsiTheme="minorHAnsi"/>
        </w:rPr>
        <w:t>tőkekövetelmény</w:t>
      </w:r>
      <w:r w:rsidR="00D26956" w:rsidRPr="006A6890">
        <w:rPr>
          <w:rFonts w:asciiTheme="minorHAnsi" w:hAnsiTheme="minorHAnsi"/>
        </w:rPr>
        <w:t>t</w:t>
      </w:r>
      <w:r w:rsidRPr="006A6890">
        <w:rPr>
          <w:rFonts w:asciiTheme="minorHAnsi" w:hAnsiTheme="minorHAnsi"/>
        </w:rPr>
        <w:t>.</w:t>
      </w:r>
    </w:p>
    <w:p w14:paraId="181E63CF" w14:textId="5EAA53CA" w:rsidR="00872014" w:rsidRPr="006A6890" w:rsidRDefault="008F6FA6"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6A6890" w:rsidRDefault="008F6FA6"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6A6890" w:rsidRDefault="008F6FA6"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6A6890" w:rsidRDefault="004246A3" w:rsidP="00181755">
      <w:pPr>
        <w:rPr>
          <w:rFonts w:asciiTheme="minorHAnsi" w:hAnsiTheme="minorHAnsi"/>
          <w:sz w:val="20"/>
        </w:rPr>
      </w:pPr>
      <w:r w:rsidRPr="006A6890">
        <w:rPr>
          <w:rFonts w:asciiTheme="minorHAnsi" w:hAnsiTheme="minorHAnsi"/>
          <w:sz w:val="20"/>
        </w:rPr>
        <w:t xml:space="preserve">ahol k: a back test </w:t>
      </w:r>
      <w:proofErr w:type="spellStart"/>
      <w:r w:rsidRPr="006A6890">
        <w:rPr>
          <w:rFonts w:asciiTheme="minorHAnsi" w:hAnsiTheme="minorHAnsi"/>
          <w:sz w:val="20"/>
        </w:rPr>
        <w:t>erdményétől</w:t>
      </w:r>
      <w:proofErr w:type="spellEnd"/>
      <w:r w:rsidRPr="006A6890">
        <w:rPr>
          <w:rFonts w:asciiTheme="minorHAnsi" w:hAnsiTheme="minorHAnsi"/>
          <w:sz w:val="20"/>
        </w:rPr>
        <w:t xml:space="preserve"> függő korrekciós faktor, minimum =3</w:t>
      </w:r>
    </w:p>
    <w:p w14:paraId="1B551449" w14:textId="718C4F78" w:rsidR="00F65E8C" w:rsidRPr="006A6890" w:rsidRDefault="003F29E3" w:rsidP="00EA0541">
      <w:pPr>
        <w:rPr>
          <w:rFonts w:asciiTheme="minorHAnsi" w:hAnsiTheme="minorHAnsi"/>
        </w:rPr>
      </w:pPr>
      <w:r w:rsidRPr="006A6890">
        <w:rPr>
          <w:rFonts w:asciiTheme="minorHAnsi" w:hAnsiTheme="minorHAnsi"/>
        </w:rPr>
        <w:t>A belső modelleket használók számára alapkövetelmény, hogy megtörténjen a modell teljesítményének rendszeres visszamérése</w:t>
      </w:r>
      <w:r w:rsidR="00DB1C1B" w:rsidRPr="006A6890">
        <w:rPr>
          <w:rFonts w:asciiTheme="minorHAnsi" w:hAnsiTheme="minorHAnsi"/>
        </w:rPr>
        <w:t xml:space="preserve"> </w:t>
      </w:r>
      <w:r w:rsidRPr="006A6890">
        <w:rPr>
          <w:rFonts w:asciiTheme="minorHAnsi" w:hAnsiTheme="minorHAnsi"/>
        </w:rPr>
        <w:t xml:space="preserve">és értékelése. A visszamérés és értékelés eredményeit a piaci kockázatkezelésért felelős felsővezetői testületnek rendszeresen át kell tekintenie. </w:t>
      </w:r>
    </w:p>
    <w:p w14:paraId="66B1556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69" w14:textId="54814566" w:rsidR="003F29E3" w:rsidRPr="006A6890" w:rsidRDefault="003F29E3" w:rsidP="00EA0541">
      <w:pPr>
        <w:rPr>
          <w:rFonts w:asciiTheme="minorHAnsi" w:hAnsiTheme="minorHAnsi"/>
        </w:rPr>
      </w:pPr>
      <w:r w:rsidRPr="006A6890">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w:t>
      </w:r>
      <w:proofErr w:type="spellStart"/>
      <w:r w:rsidRPr="006A6890">
        <w:rPr>
          <w:rFonts w:asciiTheme="minorHAnsi" w:hAnsiTheme="minorHAnsi"/>
        </w:rPr>
        <w:t>dimenzionalitása</w:t>
      </w:r>
      <w:proofErr w:type="spellEnd"/>
      <w:r w:rsidRPr="006A6890">
        <w:rPr>
          <w:rFonts w:asciiTheme="minorHAnsi" w:hAnsiTheme="minorHAnsi"/>
        </w:rPr>
        <w:t xml:space="preserve">.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6A6890" w:rsidRDefault="003F29E3" w:rsidP="00EA0541">
      <w:pPr>
        <w:rPr>
          <w:rFonts w:asciiTheme="minorHAnsi" w:hAnsiTheme="minorHAnsi"/>
        </w:rPr>
      </w:pPr>
      <w:r w:rsidRPr="006A6890">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6A6890" w:rsidRDefault="002870FA" w:rsidP="002870FA">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z intézmény rendelkezik „stresszelt kockáztatott érték”</w:t>
      </w:r>
      <w:r w:rsidRPr="006A6890">
        <w:rPr>
          <w:rFonts w:asciiTheme="minorHAnsi" w:hAnsiTheme="minorHAnsi"/>
          <w:lang w:val="hu-HU"/>
        </w:rPr>
        <w:t xml:space="preserve"> (továbbiakban </w:t>
      </w:r>
      <w:proofErr w:type="spellStart"/>
      <w:r w:rsidRPr="006A6890">
        <w:rPr>
          <w:rFonts w:asciiTheme="minorHAnsi" w:hAnsiTheme="minorHAnsi"/>
          <w:lang w:val="hu-HU"/>
        </w:rPr>
        <w:t>sVaR</w:t>
      </w:r>
      <w:proofErr w:type="spellEnd"/>
      <w:r w:rsidRPr="006A6890">
        <w:rPr>
          <w:rFonts w:asciiTheme="minorHAnsi" w:hAnsiTheme="minorHAnsi"/>
          <w:lang w:val="hu-HU"/>
        </w:rPr>
        <w:t>)</w:t>
      </w:r>
      <w:r w:rsidRPr="006A6890">
        <w:rPr>
          <w:rFonts w:asciiTheme="minorHAnsi" w:hAnsiTheme="minorHAnsi"/>
        </w:rPr>
        <w:t xml:space="preserve"> mutatóval is</w:t>
      </w:r>
      <w:r w:rsidRPr="006A6890">
        <w:rPr>
          <w:rFonts w:asciiTheme="minorHAnsi" w:hAnsiTheme="minorHAnsi"/>
          <w:lang w:val="hu-HU"/>
        </w:rPr>
        <w:t>.</w:t>
      </w:r>
    </w:p>
    <w:p w14:paraId="3651E83D" w14:textId="77777777" w:rsidR="002870FA" w:rsidRPr="006A6890" w:rsidRDefault="002870FA" w:rsidP="002870FA">
      <w:pPr>
        <w:pStyle w:val="felsorolsos"/>
        <w:rPr>
          <w:rFonts w:asciiTheme="minorHAnsi" w:hAnsiTheme="minorHAnsi"/>
        </w:rPr>
      </w:pPr>
      <w:r w:rsidRPr="006A6890">
        <w:rPr>
          <w:rFonts w:asciiTheme="minorHAnsi" w:hAnsiTheme="minorHAnsi"/>
          <w:lang w:val="hu-HU"/>
        </w:rPr>
        <w:t>A stresszelt kockáztatott érték szerepet kap a tőkeszükséglet meghatározásának folyamatában.</w:t>
      </w:r>
    </w:p>
    <w:p w14:paraId="6C7F12CF" w14:textId="4686549C" w:rsidR="00F92295" w:rsidRPr="006A6890" w:rsidRDefault="00F92295" w:rsidP="00181755">
      <w:pPr>
        <w:pStyle w:val="felsorolsos"/>
        <w:rPr>
          <w:rFonts w:asciiTheme="minorHAnsi" w:hAnsiTheme="minorHAnsi"/>
        </w:rPr>
      </w:pPr>
      <w:r w:rsidRPr="006A6890">
        <w:rPr>
          <w:rFonts w:asciiTheme="minorHAnsi" w:hAnsiTheme="minorHAnsi"/>
          <w:lang w:val="hu-HU"/>
        </w:rPr>
        <w:t xml:space="preserve">Az intézmény számol az összesített kockázat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és </w:t>
      </w:r>
      <w:proofErr w:type="spellStart"/>
      <w:r w:rsidRPr="006A6890">
        <w:rPr>
          <w:rFonts w:asciiTheme="minorHAnsi" w:hAnsiTheme="minorHAnsi"/>
          <w:lang w:val="hu-HU"/>
        </w:rPr>
        <w:t>sVaR</w:t>
      </w:r>
      <w:proofErr w:type="spellEnd"/>
      <w:r w:rsidRPr="006A6890">
        <w:rPr>
          <w:rFonts w:asciiTheme="minorHAnsi" w:hAnsiTheme="minorHAnsi"/>
          <w:lang w:val="hu-HU"/>
        </w:rPr>
        <w:t xml:space="preserve"> mellett a következő kockázati kategóriákra önálló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és </w:t>
      </w:r>
      <w:proofErr w:type="spellStart"/>
      <w:r w:rsidRPr="006A6890">
        <w:rPr>
          <w:rFonts w:asciiTheme="minorHAnsi" w:hAnsiTheme="minorHAnsi"/>
          <w:lang w:val="hu-HU"/>
        </w:rPr>
        <w:t>sVaR</w:t>
      </w:r>
      <w:proofErr w:type="spellEnd"/>
      <w:r w:rsidRPr="006A6890">
        <w:rPr>
          <w:rFonts w:asciiTheme="minorHAnsi" w:hAnsiTheme="minorHAnsi"/>
          <w:lang w:val="hu-HU"/>
        </w:rPr>
        <w:t xml:space="preserve"> számokat is: kamatlábkockázat, devizaárfolyam-kockázat, részvénykockázat, árukockázat.</w:t>
      </w:r>
    </w:p>
    <w:p w14:paraId="2A68B885" w14:textId="10336AA9" w:rsidR="00F92295" w:rsidRPr="006A6890" w:rsidRDefault="00F92295" w:rsidP="00181755">
      <w:pPr>
        <w:pStyle w:val="felsorolsos"/>
        <w:rPr>
          <w:rFonts w:asciiTheme="minorHAnsi" w:hAnsiTheme="minorHAnsi"/>
        </w:rPr>
      </w:pPr>
      <w:r w:rsidRPr="006A6890">
        <w:rPr>
          <w:rFonts w:asciiTheme="minorHAnsi" w:hAnsiTheme="minorHAnsi"/>
          <w:lang w:val="hu-HU"/>
        </w:rPr>
        <w:t>Az kockázat</w:t>
      </w:r>
      <w:r w:rsidR="003249E6" w:rsidRPr="006A6890">
        <w:rPr>
          <w:rFonts w:asciiTheme="minorHAnsi" w:hAnsiTheme="minorHAnsi"/>
          <w:lang w:val="hu-HU"/>
        </w:rPr>
        <w:t>i</w:t>
      </w:r>
      <w:r w:rsidRPr="006A6890">
        <w:rPr>
          <w:rFonts w:asciiTheme="minorHAnsi" w:hAnsiTheme="minorHAnsi"/>
          <w:lang w:val="hu-HU"/>
        </w:rPr>
        <w:t xml:space="preserve"> kategóriák önálló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számai mellett</w:t>
      </w:r>
      <w:r w:rsidR="002870FA" w:rsidRPr="006A6890">
        <w:rPr>
          <w:rFonts w:asciiTheme="minorHAnsi" w:hAnsiTheme="minorHAnsi"/>
          <w:lang w:val="hu-HU"/>
        </w:rPr>
        <w:t xml:space="preserve"> az MNB ajánlja, hogy az intézmény rendelkezzen komponens vagy in</w:t>
      </w:r>
      <w:r w:rsidR="003249E6" w:rsidRPr="006A6890">
        <w:rPr>
          <w:rFonts w:asciiTheme="minorHAnsi" w:hAnsiTheme="minorHAnsi"/>
          <w:lang w:val="hu-HU"/>
        </w:rPr>
        <w:t>k</w:t>
      </w:r>
      <w:r w:rsidR="002870FA" w:rsidRPr="006A6890">
        <w:rPr>
          <w:rFonts w:asciiTheme="minorHAnsi" w:hAnsiTheme="minorHAnsi"/>
          <w:lang w:val="hu-HU"/>
        </w:rPr>
        <w:t xml:space="preserve">rementális </w:t>
      </w:r>
      <w:proofErr w:type="spellStart"/>
      <w:r w:rsidR="002870FA" w:rsidRPr="006A6890">
        <w:rPr>
          <w:rFonts w:asciiTheme="minorHAnsi" w:hAnsiTheme="minorHAnsi"/>
          <w:lang w:val="hu-HU"/>
        </w:rPr>
        <w:t>VaR</w:t>
      </w:r>
      <w:proofErr w:type="spellEnd"/>
      <w:r w:rsidR="002870FA" w:rsidRPr="006A6890">
        <w:rPr>
          <w:rFonts w:asciiTheme="minorHAnsi" w:hAnsiTheme="minorHAnsi"/>
          <w:lang w:val="hu-HU"/>
        </w:rPr>
        <w:t xml:space="preserve"> jellegű számításokkal is.</w:t>
      </w:r>
    </w:p>
    <w:p w14:paraId="66B1556B" w14:textId="3FA844AF"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6A6890">
        <w:rPr>
          <w:rFonts w:asciiTheme="minorHAnsi" w:hAnsiTheme="minorHAnsi"/>
          <w:lang w:val="hu-HU"/>
        </w:rPr>
        <w:t xml:space="preserve"> </w:t>
      </w:r>
      <w:r w:rsidRPr="006A6890">
        <w:rPr>
          <w:rFonts w:asciiTheme="minorHAnsi" w:hAnsiTheme="minorHAnsi"/>
          <w:lang w:val="hu-HU"/>
        </w:rPr>
        <w:t>és hipotetikus</w:t>
      </w:r>
      <w:r w:rsidR="003F29E3" w:rsidRPr="006A6890">
        <w:rPr>
          <w:rFonts w:asciiTheme="minorHAnsi" w:hAnsiTheme="minorHAnsi"/>
        </w:rPr>
        <w:t xml:space="preserve"> múltbeli értékváltozásának viszonya</w:t>
      </w:r>
      <w:r w:rsidRPr="006A6890">
        <w:rPr>
          <w:rFonts w:asciiTheme="minorHAnsi" w:hAnsiTheme="minorHAnsi"/>
          <w:lang w:val="hu-HU"/>
        </w:rPr>
        <w:t xml:space="preserve">. Hipotetikus értékváltozásnak a változatlan nap végi pozíciókkal számolt eredményhatást tekintjük. A tényleges értékváltozásnál az adott napi eredményből ki kell vonni a díjakat, jutalékokat és a nettó </w:t>
      </w:r>
      <w:r w:rsidRPr="006A6890">
        <w:rPr>
          <w:rFonts w:asciiTheme="minorHAnsi" w:hAnsiTheme="minorHAnsi"/>
          <w:lang w:val="hu-HU"/>
        </w:rPr>
        <w:lastRenderedPageBreak/>
        <w:t>kamatbevételt.</w:t>
      </w:r>
      <w:r w:rsidR="00DC2688" w:rsidRPr="006A6890">
        <w:rPr>
          <w:rFonts w:asciiTheme="minorHAnsi" w:hAnsiTheme="minorHAnsi"/>
          <w:lang w:val="hu-HU"/>
        </w:rPr>
        <w:t xml:space="preserve"> Itt</w:t>
      </w:r>
      <w:r w:rsidR="00F92295" w:rsidRPr="006A6890">
        <w:rPr>
          <w:rFonts w:asciiTheme="minorHAnsi" w:hAnsiTheme="minorHAnsi"/>
          <w:lang w:val="hu-HU"/>
        </w:rPr>
        <w:t xml:space="preserve"> az MNB elvárja</w:t>
      </w:r>
      <w:r w:rsidR="00DC2688" w:rsidRPr="006A6890">
        <w:rPr>
          <w:rFonts w:asciiTheme="minorHAnsi" w:hAnsiTheme="minorHAnsi"/>
          <w:lang w:val="hu-HU"/>
        </w:rPr>
        <w:t xml:space="preserve"> a</w:t>
      </w:r>
      <w:r w:rsidR="00F92295" w:rsidRPr="006A6890">
        <w:rPr>
          <w:rFonts w:asciiTheme="minorHAnsi" w:hAnsiTheme="minorHAnsi"/>
          <w:lang w:val="hu-HU"/>
        </w:rPr>
        <w:t xml:space="preserve">z intézmény az önálló kockázati kategóriák </w:t>
      </w:r>
      <w:proofErr w:type="spellStart"/>
      <w:r w:rsidR="00F92295" w:rsidRPr="006A6890">
        <w:rPr>
          <w:rFonts w:asciiTheme="minorHAnsi" w:hAnsiTheme="minorHAnsi"/>
          <w:lang w:val="hu-HU"/>
        </w:rPr>
        <w:t>VaR</w:t>
      </w:r>
      <w:proofErr w:type="spellEnd"/>
      <w:r w:rsidR="00F92295" w:rsidRPr="006A6890">
        <w:rPr>
          <w:rFonts w:asciiTheme="minorHAnsi" w:hAnsiTheme="minorHAnsi"/>
          <w:lang w:val="hu-HU"/>
        </w:rPr>
        <w:t xml:space="preserve"> értékeinek és az összesített kockázati </w:t>
      </w:r>
      <w:proofErr w:type="spellStart"/>
      <w:r w:rsidR="00F92295" w:rsidRPr="006A6890">
        <w:rPr>
          <w:rFonts w:asciiTheme="minorHAnsi" w:hAnsiTheme="minorHAnsi"/>
          <w:lang w:val="hu-HU"/>
        </w:rPr>
        <w:t>VaR</w:t>
      </w:r>
      <w:proofErr w:type="spellEnd"/>
      <w:r w:rsidR="00F92295" w:rsidRPr="006A6890">
        <w:rPr>
          <w:rFonts w:asciiTheme="minorHAnsi" w:hAnsiTheme="minorHAnsi"/>
          <w:lang w:val="hu-HU"/>
        </w:rPr>
        <w:t xml:space="preserve"> értékek visszatesztelését is.</w:t>
      </w:r>
    </w:p>
    <w:p w14:paraId="32F1E067" w14:textId="3E49866D" w:rsidR="002870FA" w:rsidRPr="006A6890" w:rsidRDefault="002870FA" w:rsidP="00181755">
      <w:pPr>
        <w:pStyle w:val="felsorolsos"/>
        <w:rPr>
          <w:rFonts w:asciiTheme="minorHAnsi" w:hAnsiTheme="minorHAnsi"/>
        </w:rPr>
      </w:pPr>
      <w:r w:rsidRPr="006A6890">
        <w:rPr>
          <w:rFonts w:asciiTheme="minorHAnsi" w:hAnsiTheme="minorHAnsi"/>
          <w:lang w:val="hu-HU"/>
        </w:rPr>
        <w:t xml:space="preserve">Az előbbiek mellett az MNB ajánlja, hogy az intézmény végezze el a kockázati modelljére a bázeli </w:t>
      </w:r>
      <w:proofErr w:type="spellStart"/>
      <w:r w:rsidRPr="006A6890">
        <w:rPr>
          <w:rFonts w:asciiTheme="minorHAnsi" w:hAnsiTheme="minorHAnsi"/>
          <w:lang w:val="hu-HU"/>
        </w:rPr>
        <w:t>FRTB</w:t>
      </w:r>
      <w:proofErr w:type="spellEnd"/>
      <w:r w:rsidRPr="006A6890">
        <w:rPr>
          <w:rFonts w:asciiTheme="minorHAnsi" w:hAnsiTheme="minorHAnsi"/>
          <w:lang w:val="hu-HU"/>
        </w:rPr>
        <w:t xml:space="preserve"> ajánlásban talál</w:t>
      </w:r>
      <w:r w:rsidR="00D75FA6" w:rsidRPr="006A6890">
        <w:rPr>
          <w:rFonts w:asciiTheme="minorHAnsi" w:hAnsiTheme="minorHAnsi"/>
          <w:lang w:val="hu-HU"/>
        </w:rPr>
        <w:t>ható</w:t>
      </w:r>
      <w:r w:rsidRPr="006A6890">
        <w:rPr>
          <w:rFonts w:asciiTheme="minorHAnsi" w:hAnsiTheme="minorHAnsi"/>
          <w:lang w:val="hu-HU"/>
        </w:rPr>
        <w:t xml:space="preserve"> </w:t>
      </w:r>
      <w:proofErr w:type="spellStart"/>
      <w:r w:rsidRPr="006A6890">
        <w:rPr>
          <w:rFonts w:asciiTheme="minorHAnsi" w:hAnsiTheme="minorHAnsi"/>
          <w:lang w:val="hu-HU"/>
        </w:rPr>
        <w:t>PLA</w:t>
      </w:r>
      <w:proofErr w:type="spellEnd"/>
      <w:r w:rsidRPr="006A6890">
        <w:rPr>
          <w:rFonts w:asciiTheme="minorHAnsi" w:hAnsiTheme="minorHAnsi"/>
          <w:lang w:val="hu-HU"/>
        </w:rPr>
        <w:t xml:space="preserve"> tesztet vagy hasonló eljárást a modell teljességének ellenőrzésére.</w:t>
      </w:r>
    </w:p>
    <w:p w14:paraId="66B1556C" w14:textId="4A8998F9"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belső kereskedési és kitettség-vállalási limitek az intézmény kockázati étvágyával és a kockázatmérési rendszer </w:t>
      </w:r>
      <w:proofErr w:type="spellStart"/>
      <w:r w:rsidR="003F29E3" w:rsidRPr="006A6890">
        <w:rPr>
          <w:rFonts w:asciiTheme="minorHAnsi" w:hAnsiTheme="minorHAnsi"/>
        </w:rPr>
        <w:t>szofisztikáltságával</w:t>
      </w:r>
      <w:proofErr w:type="spellEnd"/>
      <w:r w:rsidR="003F29E3" w:rsidRPr="006A6890">
        <w:rPr>
          <w:rFonts w:asciiTheme="minorHAnsi" w:hAnsiTheme="minorHAnsi"/>
        </w:rPr>
        <w:t xml:space="preserve"> egyaránt összhangban vannak</w:t>
      </w:r>
      <w:r w:rsidRPr="006A6890">
        <w:rPr>
          <w:rFonts w:asciiTheme="minorHAnsi" w:hAnsiTheme="minorHAnsi"/>
          <w:lang w:val="hu-HU"/>
        </w:rPr>
        <w:t>.</w:t>
      </w:r>
    </w:p>
    <w:p w14:paraId="66B1556D" w14:textId="71C52FAB"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kockázatmérést időszakos stressz-tesztelési program egészíti ki, amely kiterjed az összes releváns kockázati faktor változásának vizsgálatára</w:t>
      </w:r>
      <w:r w:rsidRPr="006A6890">
        <w:rPr>
          <w:rFonts w:asciiTheme="minorHAnsi" w:hAnsiTheme="minorHAnsi"/>
          <w:lang w:val="hu-HU"/>
        </w:rPr>
        <w:t>.</w:t>
      </w:r>
    </w:p>
    <w:p w14:paraId="66B1556E" w14:textId="286F967A"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piaci kockázati adatbázis folyamatosan frissítésre, az alkalmazott sokkok mértéke pedig újraértékelésre kerül</w:t>
      </w:r>
      <w:r w:rsidRPr="006A6890">
        <w:rPr>
          <w:rFonts w:asciiTheme="minorHAnsi" w:hAnsiTheme="minorHAnsi"/>
          <w:lang w:val="hu-HU"/>
        </w:rPr>
        <w:t>.</w:t>
      </w:r>
    </w:p>
    <w:p w14:paraId="66B1556F" w14:textId="5BEC9CA3"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releváns kockázati faktorokra,</w:t>
      </w:r>
    </w:p>
    <w:p w14:paraId="66B15571" w14:textId="1F41FCA6"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származtatott termékek nemlineáris sajátosságaira</w:t>
      </w:r>
      <w:r w:rsidR="00DC2688" w:rsidRPr="006A6890">
        <w:rPr>
          <w:rFonts w:asciiTheme="minorHAnsi" w:hAnsiTheme="minorHAnsi"/>
          <w:lang w:val="hu-HU"/>
        </w:rPr>
        <w:t xml:space="preserve"> (a teljes újraértékelés módszere a preferált)</w:t>
      </w:r>
      <w:r w:rsidRPr="006A6890">
        <w:rPr>
          <w:rFonts w:asciiTheme="minorHAnsi" w:hAnsiTheme="minorHAnsi"/>
        </w:rPr>
        <w:t>,</w:t>
      </w:r>
    </w:p>
    <w:p w14:paraId="77BB85E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hozamgörbe szerkezetéből adódó sajátosságokra, </w:t>
      </w:r>
    </w:p>
    <w:p w14:paraId="66B1557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devizaárfolyamok és eszközárak volatilitásából fakadó kockázatokra, </w:t>
      </w:r>
    </w:p>
    <w:p w14:paraId="700C6E3E" w14:textId="41862134"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koncentrációs kockázatokra</w:t>
      </w:r>
      <w:r w:rsidR="00664BC0" w:rsidRPr="006A6890">
        <w:rPr>
          <w:rFonts w:asciiTheme="minorHAnsi" w:hAnsiTheme="minorHAnsi"/>
          <w:lang w:val="hu-HU"/>
        </w:rPr>
        <w:t>.</w:t>
      </w:r>
    </w:p>
    <w:p w14:paraId="04F46E6A" w14:textId="1B0C04D5" w:rsidR="00DC2688"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6A6890">
        <w:rPr>
          <w:rFonts w:asciiTheme="minorHAnsi" w:hAnsiTheme="minorHAnsi"/>
          <w:lang w:val="hu-HU"/>
        </w:rPr>
        <w:t>igazolható és igazolásra</w:t>
      </w:r>
      <w:r w:rsidR="0003682E" w:rsidRPr="006A6890">
        <w:rPr>
          <w:rFonts w:asciiTheme="minorHAnsi" w:hAnsiTheme="minorHAnsi"/>
        </w:rPr>
        <w:t xml:space="preserve"> </w:t>
      </w:r>
      <w:r w:rsidR="003F29E3" w:rsidRPr="006A6890">
        <w:rPr>
          <w:rFonts w:asciiTheme="minorHAnsi" w:hAnsiTheme="minorHAnsi"/>
        </w:rPr>
        <w:t>kerül</w:t>
      </w:r>
      <w:r w:rsidRPr="006A6890">
        <w:rPr>
          <w:rFonts w:asciiTheme="minorHAnsi" w:hAnsiTheme="minorHAnsi"/>
          <w:lang w:val="hu-HU"/>
        </w:rPr>
        <w:t>.</w:t>
      </w:r>
    </w:p>
    <w:p w14:paraId="4036D701" w14:textId="2DD01A5B" w:rsidR="002870FA" w:rsidRPr="006A6890" w:rsidRDefault="00DC2688" w:rsidP="00181755">
      <w:pPr>
        <w:pStyle w:val="felsorolsos"/>
        <w:rPr>
          <w:rFonts w:asciiTheme="minorHAnsi" w:hAnsiTheme="minorHAnsi"/>
        </w:rPr>
      </w:pPr>
      <w:r w:rsidRPr="006A6890">
        <w:rPr>
          <w:rFonts w:asciiTheme="minorHAnsi" w:hAnsiTheme="minorHAnsi"/>
          <w:lang w:val="hu-HU"/>
        </w:rPr>
        <w:t xml:space="preserve">A </w:t>
      </w:r>
      <w:r w:rsidR="00F92295" w:rsidRPr="006A6890">
        <w:rPr>
          <w:rFonts w:asciiTheme="minorHAnsi" w:hAnsiTheme="minorHAnsi"/>
          <w:lang w:val="hu-HU"/>
        </w:rPr>
        <w:t xml:space="preserve">kockázati modellben szerepeltetett </w:t>
      </w:r>
      <w:r w:rsidRPr="006A6890">
        <w:rPr>
          <w:rFonts w:asciiTheme="minorHAnsi" w:hAnsiTheme="minorHAnsi"/>
          <w:lang w:val="hu-HU"/>
        </w:rPr>
        <w:t xml:space="preserve">kockázati faktorok kiválasztásánál a termékek sajátosságaihoz leginkább illeszkedő kockázati faktort kell kiválasztani. Például az </w:t>
      </w:r>
      <w:proofErr w:type="spellStart"/>
      <w:r w:rsidRPr="006A6890">
        <w:rPr>
          <w:rFonts w:asciiTheme="minorHAnsi" w:hAnsiTheme="minorHAnsi"/>
          <w:lang w:val="hu-HU"/>
        </w:rPr>
        <w:t>IRS</w:t>
      </w:r>
      <w:proofErr w:type="spellEnd"/>
      <w:r w:rsidRPr="006A6890">
        <w:rPr>
          <w:rFonts w:asciiTheme="minorHAnsi" w:hAnsiTheme="minorHAnsi"/>
          <w:lang w:val="hu-HU"/>
        </w:rPr>
        <w:t xml:space="preserve">-ek, illetve az állampapírok kockázati értékeléséhez az </w:t>
      </w:r>
      <w:proofErr w:type="spellStart"/>
      <w:r w:rsidRPr="006A6890">
        <w:rPr>
          <w:rFonts w:asciiTheme="minorHAnsi" w:hAnsiTheme="minorHAnsi"/>
          <w:lang w:val="hu-HU"/>
        </w:rPr>
        <w:t>IRS</w:t>
      </w:r>
      <w:proofErr w:type="spellEnd"/>
      <w:r w:rsidRPr="006A6890">
        <w:rPr>
          <w:rFonts w:asciiTheme="minorHAnsi" w:hAnsiTheme="minorHAnsi"/>
          <w:lang w:val="hu-HU"/>
        </w:rPr>
        <w:t>-hozamgörbét, illetve az attól különböző állampapírpiaci hozamgörbét kell alkalmazni.</w:t>
      </w:r>
      <w:r w:rsidR="00F92295" w:rsidRPr="006A6890">
        <w:rPr>
          <w:rFonts w:asciiTheme="minorHAnsi" w:hAnsiTheme="minorHAnsi"/>
          <w:lang w:val="hu-HU"/>
        </w:rPr>
        <w:t xml:space="preserve"> Nyitott opciós pozíció esetében a releváns volatilitást is szerepeltetni kell, mint kockázati faktort, mivel ebben az esetben a</w:t>
      </w:r>
      <w:r w:rsidR="0022464F" w:rsidRPr="006A6890">
        <w:rPr>
          <w:rFonts w:asciiTheme="minorHAnsi" w:hAnsiTheme="minorHAnsi"/>
          <w:lang w:val="hu-HU"/>
        </w:rPr>
        <w:t>z</w:t>
      </w:r>
      <w:r w:rsidR="00F92295" w:rsidRPr="006A6890">
        <w:rPr>
          <w:rFonts w:asciiTheme="minorHAnsi" w:hAnsiTheme="minorHAnsi"/>
          <w:lang w:val="hu-HU"/>
        </w:rPr>
        <w:t xml:space="preserve"> opciós pozíció </w:t>
      </w:r>
      <w:proofErr w:type="spellStart"/>
      <w:r w:rsidR="00F92295" w:rsidRPr="006A6890">
        <w:rPr>
          <w:rFonts w:asciiTheme="minorHAnsi" w:hAnsiTheme="minorHAnsi"/>
          <w:lang w:val="hu-HU"/>
        </w:rPr>
        <w:t>vega</w:t>
      </w:r>
      <w:proofErr w:type="spellEnd"/>
      <w:r w:rsidR="00F92295" w:rsidRPr="006A6890">
        <w:rPr>
          <w:rFonts w:asciiTheme="minorHAnsi" w:hAnsiTheme="minorHAnsi"/>
          <w:lang w:val="hu-HU"/>
        </w:rPr>
        <w:t xml:space="preserve"> értéke nem nulla, azaz a pozíció érzékeny az implicit piaci volatilitás változására.</w:t>
      </w:r>
    </w:p>
    <w:p w14:paraId="66B15577" w14:textId="6670E700" w:rsidR="003F29E3" w:rsidRPr="006A6890" w:rsidRDefault="002870FA" w:rsidP="00181755">
      <w:pPr>
        <w:pStyle w:val="felsorolsos"/>
        <w:rPr>
          <w:rFonts w:asciiTheme="minorHAnsi" w:hAnsiTheme="minorHAnsi"/>
        </w:rPr>
      </w:pPr>
      <w:r w:rsidRPr="006A6890">
        <w:rPr>
          <w:rFonts w:asciiTheme="minorHAnsi" w:hAnsiTheme="minorHAnsi"/>
          <w:lang w:val="hu-HU"/>
        </w:rPr>
        <w:t>A kamatkockázat</w:t>
      </w:r>
      <w:r w:rsidR="008931E1" w:rsidRPr="006A6890">
        <w:rPr>
          <w:rFonts w:asciiTheme="minorHAnsi" w:hAnsiTheme="minorHAnsi"/>
          <w:lang w:val="hu-HU"/>
        </w:rPr>
        <w:t xml:space="preserve">i </w:t>
      </w:r>
      <w:proofErr w:type="spellStart"/>
      <w:r w:rsidR="008931E1" w:rsidRPr="006A6890">
        <w:rPr>
          <w:rFonts w:asciiTheme="minorHAnsi" w:hAnsiTheme="minorHAnsi"/>
          <w:lang w:val="hu-HU"/>
        </w:rPr>
        <w:t>VaR</w:t>
      </w:r>
      <w:proofErr w:type="spellEnd"/>
      <w:r w:rsidRPr="006A6890">
        <w:rPr>
          <w:rFonts w:asciiTheme="minorHAnsi" w:hAnsiTheme="minorHAnsi"/>
          <w:lang w:val="hu-HU"/>
        </w:rPr>
        <w:t xml:space="preserve"> számításakor az intézménynek az effektív vagy logaritmikus hozamok</w:t>
      </w:r>
      <w:r w:rsidR="008931E1" w:rsidRPr="006A6890">
        <w:rPr>
          <w:rFonts w:asciiTheme="minorHAnsi" w:hAnsiTheme="minorHAnsi"/>
          <w:lang w:val="hu-HU"/>
        </w:rPr>
        <w:t xml:space="preserve"> </w:t>
      </w:r>
      <w:r w:rsidRPr="006A6890">
        <w:rPr>
          <w:rFonts w:asciiTheme="minorHAnsi" w:hAnsiTheme="minorHAnsi"/>
          <w:lang w:val="hu-HU"/>
        </w:rPr>
        <w:t>relatív</w:t>
      </w:r>
      <w:r w:rsidR="008931E1" w:rsidRPr="006A6890">
        <w:rPr>
          <w:rFonts w:asciiTheme="minorHAnsi" w:hAnsiTheme="minorHAnsi"/>
          <w:lang w:val="hu-HU"/>
        </w:rPr>
        <w:t xml:space="preserve"> (az aktuális szinttel egyenesen arányos)</w:t>
      </w:r>
      <w:r w:rsidRPr="006A6890">
        <w:rPr>
          <w:rFonts w:asciiTheme="minorHAnsi" w:hAnsiTheme="minorHAnsi"/>
          <w:lang w:val="hu-HU"/>
        </w:rPr>
        <w:t xml:space="preserve"> megváltozásának modellezése nem </w:t>
      </w:r>
      <w:r w:rsidR="00FB41FC" w:rsidRPr="006A6890">
        <w:rPr>
          <w:rFonts w:asciiTheme="minorHAnsi" w:hAnsiTheme="minorHAnsi"/>
          <w:lang w:val="hu-HU"/>
        </w:rPr>
        <w:t>javasolt</w:t>
      </w:r>
      <w:r w:rsidRPr="006A6890">
        <w:rPr>
          <w:rFonts w:asciiTheme="minorHAnsi" w:hAnsiTheme="minorHAnsi"/>
          <w:lang w:val="hu-HU"/>
        </w:rPr>
        <w:t xml:space="preserve">. Erre a megközelítésre azért van szükség, mert </w:t>
      </w:r>
      <w:r w:rsidR="003E60E7" w:rsidRPr="006A6890">
        <w:rPr>
          <w:rFonts w:asciiTheme="minorHAnsi" w:hAnsiTheme="minorHAnsi"/>
          <w:lang w:val="hu-HU"/>
        </w:rPr>
        <w:t>egy múltbeli kimért pl. 10%-os volatilitás más hozamsokkot eredmény magas (pl. 8% esetében 0,8%pont), közepes (pl. 3% esetében 0,3%pont) vagy nullaközeli hozamkörnyezetben (pl. 0% esetében 0,0%pont).</w:t>
      </w:r>
    </w:p>
    <w:p w14:paraId="05FFC79B" w14:textId="16A0408B" w:rsidR="003E60E7" w:rsidRPr="006A6890" w:rsidRDefault="003E60E7" w:rsidP="00181755">
      <w:pPr>
        <w:pStyle w:val="felsorolsos"/>
        <w:rPr>
          <w:rFonts w:asciiTheme="minorHAnsi" w:hAnsiTheme="minorHAnsi"/>
        </w:rPr>
      </w:pPr>
      <w:r w:rsidRPr="006A6890">
        <w:rPr>
          <w:rFonts w:asciiTheme="minorHAnsi" w:hAnsiTheme="minorHAnsi"/>
          <w:lang w:val="hu-HU"/>
        </w:rPr>
        <w:t xml:space="preserve">Az MNB elvárja, hogy amennyiben az intézmény nem modellezi a </w:t>
      </w:r>
      <w:r w:rsidR="00705AAD" w:rsidRPr="006A6890">
        <w:rPr>
          <w:rFonts w:asciiTheme="minorHAnsi" w:hAnsiTheme="minorHAnsi"/>
          <w:lang w:val="hu-HU"/>
        </w:rPr>
        <w:t xml:space="preserve">specifikus kamatlábkockázatait, akkor a sztenderd megközelítés alapján számolt </w:t>
      </w:r>
      <w:proofErr w:type="spellStart"/>
      <w:r w:rsidR="00D75FA6" w:rsidRPr="006A6890">
        <w:rPr>
          <w:rFonts w:asciiTheme="minorHAnsi" w:hAnsiTheme="minorHAnsi"/>
          <w:lang w:val="hu-HU"/>
        </w:rPr>
        <w:t>specikus</w:t>
      </w:r>
      <w:proofErr w:type="spellEnd"/>
      <w:r w:rsidR="00D75FA6" w:rsidRPr="006A6890">
        <w:rPr>
          <w:rFonts w:asciiTheme="minorHAnsi" w:hAnsiTheme="minorHAnsi"/>
          <w:lang w:val="hu-HU"/>
        </w:rPr>
        <w:t xml:space="preserve"> kamatlábkockázati </w:t>
      </w:r>
      <w:r w:rsidR="00705AAD" w:rsidRPr="006A6890">
        <w:rPr>
          <w:rFonts w:asciiTheme="minorHAnsi" w:hAnsiTheme="minorHAnsi"/>
          <w:lang w:val="hu-HU"/>
        </w:rPr>
        <w:t>tőkekövetelményt kell a 2. pillérben figyelembe venni.</w:t>
      </w:r>
    </w:p>
    <w:p w14:paraId="4F79431C" w14:textId="1C48C1FA" w:rsidR="0003682E" w:rsidRPr="006A6890" w:rsidRDefault="00664BC0" w:rsidP="00181755">
      <w:pPr>
        <w:pStyle w:val="felsorolsos"/>
        <w:rPr>
          <w:rFonts w:asciiTheme="minorHAnsi" w:hAnsiTheme="minorHAnsi"/>
        </w:rPr>
      </w:pPr>
      <w:r w:rsidRPr="006A6890">
        <w:rPr>
          <w:rFonts w:asciiTheme="minorHAnsi" w:hAnsiTheme="minorHAnsi"/>
          <w:lang w:val="hu-HU"/>
        </w:rPr>
        <w:t>A</w:t>
      </w:r>
      <w:r w:rsidR="0003682E" w:rsidRPr="006A6890">
        <w:rPr>
          <w:rFonts w:asciiTheme="minorHAnsi" w:hAnsiTheme="minorHAnsi"/>
          <w:lang w:val="hu-HU"/>
        </w:rPr>
        <w:t xml:space="preserve"> bankcsoportok esetén a piaci kockázatok mérése</w:t>
      </w:r>
      <w:r w:rsidR="0066676E" w:rsidRPr="006A6890">
        <w:rPr>
          <w:rFonts w:asciiTheme="minorHAnsi" w:hAnsiTheme="minorHAnsi"/>
          <w:lang w:val="hu-HU"/>
        </w:rPr>
        <w:t>,</w:t>
      </w:r>
      <w:r w:rsidR="0003682E" w:rsidRPr="006A6890">
        <w:rPr>
          <w:rFonts w:asciiTheme="minorHAnsi" w:hAnsiTheme="minorHAnsi"/>
          <w:lang w:val="hu-HU"/>
        </w:rPr>
        <w:t xml:space="preserve"> illetve a tőkeszükséglet meghatározása konszolidált szinten történik</w:t>
      </w:r>
      <w:r w:rsidR="00C86E63" w:rsidRPr="006A6890">
        <w:rPr>
          <w:rFonts w:asciiTheme="minorHAnsi" w:hAnsiTheme="minorHAnsi"/>
          <w:lang w:val="hu-HU"/>
        </w:rPr>
        <w:t>.</w:t>
      </w:r>
    </w:p>
    <w:p w14:paraId="76529591" w14:textId="238FE2B0" w:rsidR="003F29E3" w:rsidRPr="006A6890" w:rsidRDefault="003F29E3" w:rsidP="00EA0541">
      <w:pPr>
        <w:rPr>
          <w:rFonts w:asciiTheme="minorHAnsi" w:hAnsiTheme="minorHAnsi"/>
        </w:rPr>
      </w:pPr>
      <w:r w:rsidRPr="006A6890">
        <w:rPr>
          <w:rFonts w:asciiTheme="minorHAnsi" w:hAnsiTheme="minorHAnsi"/>
        </w:rPr>
        <w:t xml:space="preserve">Nehezen értékelhető, nem transzparens vagy következetlen számítások esetén a pozíciók és a kockázati limitek </w:t>
      </w:r>
      <w:r w:rsidR="0022464F" w:rsidRPr="006A6890">
        <w:rPr>
          <w:rFonts w:asciiTheme="minorHAnsi" w:hAnsiTheme="minorHAnsi"/>
        </w:rPr>
        <w:t>figyelembevételével</w:t>
      </w:r>
      <w:r w:rsidRPr="006A6890">
        <w:rPr>
          <w:rFonts w:asciiTheme="minorHAnsi" w:hAnsiTheme="minorHAnsi"/>
        </w:rPr>
        <w:t xml:space="preserve"> az MNB addicionális tőkekövetelményt állapít</w:t>
      </w:r>
      <w:r w:rsidR="00C13EE5" w:rsidRPr="006A6890">
        <w:rPr>
          <w:rFonts w:asciiTheme="minorHAnsi" w:hAnsiTheme="minorHAnsi"/>
        </w:rPr>
        <w:t>hat</w:t>
      </w:r>
      <w:r w:rsidRPr="006A6890">
        <w:rPr>
          <w:rFonts w:asciiTheme="minorHAnsi" w:hAnsiTheme="minorHAnsi"/>
        </w:rPr>
        <w:t xml:space="preserve"> meg.</w:t>
      </w:r>
      <w:bookmarkStart w:id="958" w:name="_III._2.2._Az"/>
      <w:bookmarkStart w:id="959" w:name="_III.2.2.1_Reziduális_kockázat"/>
      <w:bookmarkStart w:id="960" w:name="_III.2.2.2_Értékpapírosítás_kockázat"/>
      <w:bookmarkStart w:id="961" w:name="_III.2.2.3_Modellezési_kockázat"/>
      <w:bookmarkStart w:id="962" w:name="_Modellkockázat"/>
      <w:bookmarkStart w:id="963" w:name="_III._2.3._A"/>
      <w:bookmarkStart w:id="964" w:name="_III.2.3.1_Koncentrációs_kockázat"/>
      <w:bookmarkStart w:id="965" w:name="_III.2.3.1.1._Hitelezés_koncentráció"/>
      <w:bookmarkStart w:id="966" w:name="_III.2.3.1.2._Piaci_és"/>
      <w:bookmarkStart w:id="967" w:name="_III.2.3.2_Ország-kockázat"/>
      <w:bookmarkEnd w:id="958"/>
      <w:bookmarkEnd w:id="959"/>
      <w:bookmarkEnd w:id="960"/>
      <w:bookmarkEnd w:id="961"/>
      <w:bookmarkEnd w:id="962"/>
      <w:bookmarkEnd w:id="963"/>
      <w:bookmarkEnd w:id="964"/>
      <w:bookmarkEnd w:id="965"/>
      <w:bookmarkEnd w:id="966"/>
      <w:bookmarkEnd w:id="967"/>
    </w:p>
    <w:p w14:paraId="66B15580" w14:textId="77777777" w:rsidR="003F29E3" w:rsidRPr="006A6890" w:rsidRDefault="003F29E3" w:rsidP="00181755">
      <w:pPr>
        <w:pStyle w:val="Heading3"/>
        <w:rPr>
          <w:rStyle w:val="Emphasis"/>
          <w:rFonts w:asciiTheme="minorHAnsi" w:hAnsiTheme="minorHAnsi"/>
          <w:i/>
        </w:rPr>
      </w:pPr>
      <w:bookmarkStart w:id="968" w:name="_Toc417311970"/>
      <w:bookmarkStart w:id="969" w:name="_Toc417311971"/>
      <w:bookmarkStart w:id="970" w:name="_III.2.3.3_Banki_könyv"/>
      <w:bookmarkStart w:id="971" w:name="_Toc378592054"/>
      <w:bookmarkStart w:id="972" w:name="_Toc461095230"/>
      <w:bookmarkStart w:id="973" w:name="_Toc461179886"/>
      <w:bookmarkStart w:id="974" w:name="_Toc461201329"/>
      <w:bookmarkStart w:id="975" w:name="_Toc461547997"/>
      <w:bookmarkStart w:id="976" w:name="_Toc462402037"/>
      <w:bookmarkStart w:id="977" w:name="_Toc462403158"/>
      <w:bookmarkStart w:id="978" w:name="_Toc462403482"/>
      <w:bookmarkStart w:id="979" w:name="_Toc468180601"/>
      <w:bookmarkStart w:id="980" w:name="_Toc468181082"/>
      <w:bookmarkStart w:id="981" w:name="_Toc468191468"/>
      <w:bookmarkStart w:id="982" w:name="_Toc27138986"/>
      <w:bookmarkEnd w:id="968"/>
      <w:bookmarkEnd w:id="969"/>
      <w:bookmarkEnd w:id="970"/>
      <w:r w:rsidRPr="006A6890">
        <w:rPr>
          <w:rStyle w:val="Emphasis"/>
          <w:rFonts w:asciiTheme="minorHAnsi" w:hAnsiTheme="minorHAnsi"/>
          <w:i/>
        </w:rPr>
        <w:lastRenderedPageBreak/>
        <w:t>Banki könyv kamatlábkockázata</w:t>
      </w:r>
      <w:bookmarkEnd w:id="971"/>
      <w:bookmarkEnd w:id="972"/>
      <w:bookmarkEnd w:id="973"/>
      <w:bookmarkEnd w:id="974"/>
      <w:bookmarkEnd w:id="975"/>
      <w:bookmarkEnd w:id="976"/>
      <w:bookmarkEnd w:id="977"/>
      <w:bookmarkEnd w:id="978"/>
      <w:bookmarkEnd w:id="979"/>
      <w:bookmarkEnd w:id="980"/>
      <w:bookmarkEnd w:id="981"/>
      <w:bookmarkEnd w:id="982"/>
    </w:p>
    <w:p w14:paraId="7401E63F" w14:textId="2973BF7B" w:rsidR="00E86A8D" w:rsidRPr="006A6890" w:rsidRDefault="00E86A8D" w:rsidP="00181755">
      <w:pPr>
        <w:rPr>
          <w:rFonts w:asciiTheme="minorHAnsi" w:hAnsiTheme="minorHAnsi"/>
          <w:b/>
        </w:rPr>
      </w:pPr>
      <w:r w:rsidRPr="006A6890">
        <w:rPr>
          <w:rFonts w:asciiTheme="minorHAnsi" w:hAnsiTheme="minorHAnsi"/>
          <w:b/>
        </w:rPr>
        <w:t>Definíció</w:t>
      </w:r>
    </w:p>
    <w:p w14:paraId="66B15581" w14:textId="61F8344E" w:rsidR="00DA1560" w:rsidRPr="006A6890" w:rsidRDefault="00DA1560" w:rsidP="00EA0541">
      <w:pPr>
        <w:rPr>
          <w:rFonts w:asciiTheme="minorHAnsi" w:hAnsiTheme="minorHAnsi"/>
        </w:rPr>
      </w:pPr>
      <w:r w:rsidRPr="006A6890">
        <w:rPr>
          <w:rFonts w:asciiTheme="minorHAnsi" w:hAnsiTheme="minorHAnsi"/>
        </w:rPr>
        <w:t>A banki könyv</w:t>
      </w:r>
      <w:r w:rsidR="00270DAD" w:rsidRPr="006A6890">
        <w:rPr>
          <w:rFonts w:asciiTheme="minorHAnsi" w:hAnsiTheme="minorHAnsi"/>
        </w:rPr>
        <w:t>ből származó</w:t>
      </w:r>
      <w:r w:rsidRPr="006A6890">
        <w:rPr>
          <w:rFonts w:asciiTheme="minorHAnsi" w:hAnsiTheme="minorHAnsi"/>
        </w:rPr>
        <w:t xml:space="preserve"> kamatlábkockázat annak </w:t>
      </w:r>
      <w:r w:rsidR="00270DAD" w:rsidRPr="006A6890">
        <w:rPr>
          <w:rFonts w:asciiTheme="minorHAnsi" w:hAnsiTheme="minorHAnsi"/>
        </w:rPr>
        <w:t xml:space="preserve">a </w:t>
      </w:r>
      <w:r w:rsidRPr="006A6890">
        <w:rPr>
          <w:rFonts w:asciiTheme="minorHAnsi" w:hAnsiTheme="minorHAnsi"/>
        </w:rPr>
        <w:t>lehetősége, hogy a banki könyvi pozíciókból származó jövedelem és/vagy a</w:t>
      </w:r>
      <w:r w:rsidR="00A8489E" w:rsidRPr="006A6890">
        <w:rPr>
          <w:rFonts w:asciiTheme="minorHAnsi" w:hAnsiTheme="minorHAnsi"/>
        </w:rPr>
        <w:t>z intézmény</w:t>
      </w:r>
      <w:r w:rsidRPr="006A6890">
        <w:rPr>
          <w:rFonts w:asciiTheme="minorHAnsi" w:hAnsiTheme="minorHAnsi"/>
        </w:rPr>
        <w:t xml:space="preserve"> gazdasági tőkeértéke kedvezőtlenül változik a piaci kamatlábak változásának következtében. </w:t>
      </w:r>
    </w:p>
    <w:p w14:paraId="66B15582" w14:textId="4023F3B7" w:rsidR="00DA1560" w:rsidRPr="006A6890" w:rsidRDefault="00DA1560" w:rsidP="00EA0541">
      <w:pPr>
        <w:rPr>
          <w:rFonts w:asciiTheme="minorHAnsi" w:hAnsiTheme="minorHAnsi"/>
        </w:rPr>
      </w:pPr>
      <w:r w:rsidRPr="006A6890">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3C3930" w:rsidRPr="006A6890">
        <w:rPr>
          <w:rFonts w:asciiTheme="minorHAnsi" w:hAnsiTheme="minorHAnsi"/>
        </w:rPr>
        <w:t>A banki könyvi kamat</w:t>
      </w:r>
      <w:r w:rsidR="00C34CE8" w:rsidRPr="006A6890">
        <w:rPr>
          <w:rFonts w:asciiTheme="minorHAnsi" w:hAnsiTheme="minorHAnsi"/>
        </w:rPr>
        <w:t>láb</w:t>
      </w:r>
      <w:r w:rsidR="003C3930" w:rsidRPr="006A6890">
        <w:rPr>
          <w:rFonts w:asciiTheme="minorHAnsi" w:hAnsiTheme="minorHAnsi"/>
        </w:rPr>
        <w:t>kockázat</w:t>
      </w:r>
      <w:r w:rsidR="00C34CE8" w:rsidRPr="006A6890">
        <w:rPr>
          <w:rFonts w:asciiTheme="minorHAnsi" w:hAnsiTheme="minorHAnsi"/>
        </w:rPr>
        <w:t>i számítások során minden kamatérzékeny instrumentumot figyelembe kell venni, n</w:t>
      </w:r>
      <w:r w:rsidR="00270DAD" w:rsidRPr="006A6890">
        <w:rPr>
          <w:rFonts w:asciiTheme="minorHAnsi" w:hAnsiTheme="minorHAnsi"/>
        </w:rPr>
        <w:t xml:space="preserve">em sorolandók </w:t>
      </w:r>
      <w:r w:rsidR="00C34CE8" w:rsidRPr="006A6890">
        <w:rPr>
          <w:rFonts w:asciiTheme="minorHAnsi" w:hAnsiTheme="minorHAnsi"/>
        </w:rPr>
        <w:t xml:space="preserve">ide </w:t>
      </w:r>
      <w:r w:rsidR="00270DAD" w:rsidRPr="006A6890">
        <w:rPr>
          <w:rFonts w:asciiTheme="minorHAnsi" w:hAnsiTheme="minorHAnsi"/>
        </w:rPr>
        <w:t xml:space="preserve">azonban a </w:t>
      </w:r>
      <w:r w:rsidR="00C34CE8" w:rsidRPr="006A6890">
        <w:rPr>
          <w:rFonts w:asciiTheme="minorHAnsi" w:hAnsiTheme="minorHAnsi"/>
        </w:rPr>
        <w:t>nem kamatérzékeny pozíciók</w:t>
      </w:r>
      <w:r w:rsidR="004753B5">
        <w:rPr>
          <w:rFonts w:asciiTheme="minorHAnsi" w:hAnsiTheme="minorHAnsi"/>
        </w:rPr>
        <w:t>,</w:t>
      </w:r>
      <w:r w:rsidR="00C34CE8" w:rsidRPr="006A6890">
        <w:rPr>
          <w:rFonts w:asciiTheme="minorHAnsi" w:hAnsiTheme="minorHAnsi"/>
        </w:rPr>
        <w:t xml:space="preserve"> mint pl. a</w:t>
      </w:r>
      <w:r w:rsidR="00270DAD" w:rsidRPr="006A6890">
        <w:rPr>
          <w:rFonts w:asciiTheme="minorHAnsi" w:hAnsiTheme="minorHAnsi"/>
        </w:rPr>
        <w:t xml:space="preserve">z elsődleges alapvető tőkéből levont eszközök és a nem kereskedési könyvben szereplő részvényjellegű kitettségek. </w:t>
      </w:r>
      <w:r w:rsidR="00953505" w:rsidRPr="006A6890">
        <w:rPr>
          <w:rFonts w:asciiTheme="minorHAnsi" w:hAnsiTheme="minorHAnsi"/>
        </w:rPr>
        <w:t xml:space="preserve">Az instrumentumok besorolására vonatkozóan egyértelmű </w:t>
      </w:r>
      <w:r w:rsidR="00EE3725" w:rsidRPr="006A6890">
        <w:rPr>
          <w:rFonts w:asciiTheme="minorHAnsi" w:hAnsiTheme="minorHAnsi"/>
        </w:rPr>
        <w:t xml:space="preserve">belső </w:t>
      </w:r>
      <w:r w:rsidR="00953505" w:rsidRPr="006A6890">
        <w:rPr>
          <w:rFonts w:asciiTheme="minorHAnsi" w:hAnsiTheme="minorHAnsi"/>
        </w:rPr>
        <w:t>szabályzatok</w:t>
      </w:r>
      <w:r w:rsidR="00EE3725" w:rsidRPr="006A6890">
        <w:rPr>
          <w:rFonts w:asciiTheme="minorHAnsi" w:hAnsiTheme="minorHAnsi"/>
        </w:rPr>
        <w:t>kal és eljárásokkal</w:t>
      </w:r>
      <w:r w:rsidR="00953505" w:rsidRPr="006A6890">
        <w:rPr>
          <w:rFonts w:asciiTheme="minorHAnsi" w:hAnsiTheme="minorHAnsi"/>
        </w:rPr>
        <w:t xml:space="preserve"> kell rendelkezni</w:t>
      </w:r>
      <w:r w:rsidR="00EE3725" w:rsidRPr="006A6890">
        <w:rPr>
          <w:rFonts w:asciiTheme="minorHAnsi" w:hAnsiTheme="minorHAnsi"/>
        </w:rPr>
        <w:t>e</w:t>
      </w:r>
      <w:r w:rsidR="00953505" w:rsidRPr="006A6890">
        <w:rPr>
          <w:rFonts w:asciiTheme="minorHAnsi" w:hAnsiTheme="minorHAnsi"/>
        </w:rPr>
        <w:t xml:space="preserve"> az intézményeknek.</w:t>
      </w:r>
    </w:p>
    <w:p w14:paraId="432E843D" w14:textId="1087E625" w:rsidR="000035EB" w:rsidRPr="006A6890" w:rsidRDefault="000035EB" w:rsidP="00181755">
      <w:pPr>
        <w:rPr>
          <w:rFonts w:asciiTheme="minorHAnsi" w:hAnsiTheme="minorHAnsi"/>
          <w:b/>
        </w:rPr>
      </w:pPr>
      <w:r w:rsidRPr="006A6890">
        <w:rPr>
          <w:rFonts w:asciiTheme="minorHAnsi" w:hAnsiTheme="minorHAnsi"/>
          <w:b/>
        </w:rPr>
        <w:t>Kockázatértékelés és -kezelés</w:t>
      </w:r>
    </w:p>
    <w:p w14:paraId="02650D6E" w14:textId="1EF2AACE" w:rsidR="003C4580" w:rsidRPr="006A6890" w:rsidRDefault="003C4580" w:rsidP="00EA0541">
      <w:pPr>
        <w:rPr>
          <w:rFonts w:asciiTheme="minorHAnsi" w:hAnsiTheme="minorHAnsi"/>
        </w:rPr>
      </w:pPr>
      <w:r w:rsidRPr="006A6890">
        <w:rPr>
          <w:rFonts w:asciiTheme="minorHAnsi" w:hAnsiTheme="minorHAnsi"/>
        </w:rPr>
        <w:t xml:space="preserve">Elvárt, hogy az intézmények a kamatlábkockázat értékelésére és mérésére legalább egy eredményalapú mutatót és legalább egy gazdasági értéket mérő módszert </w:t>
      </w:r>
      <w:r w:rsidR="00B15238" w:rsidRPr="006A6890">
        <w:rPr>
          <w:rFonts w:asciiTheme="minorHAnsi" w:hAnsiTheme="minorHAnsi"/>
        </w:rPr>
        <w:t xml:space="preserve">is </w:t>
      </w:r>
      <w:r w:rsidRPr="006A6890">
        <w:rPr>
          <w:rFonts w:asciiTheme="minorHAnsi" w:hAnsiTheme="minorHAnsi"/>
        </w:rPr>
        <w:t>alkalmazzanak, amelyek együtt a banki könyvből eredő kamatlábkockázat valamennyi összetevőjét számba veszik (</w:t>
      </w:r>
      <w:proofErr w:type="spellStart"/>
      <w:r w:rsidRPr="006A6890">
        <w:rPr>
          <w:rFonts w:asciiTheme="minorHAnsi" w:hAnsiTheme="minorHAnsi"/>
        </w:rPr>
        <w:t>átárazódási</w:t>
      </w:r>
      <w:proofErr w:type="spellEnd"/>
      <w:r w:rsidRPr="006A6890">
        <w:rPr>
          <w:rFonts w:asciiTheme="minorHAnsi" w:hAnsiTheme="minorHAnsi"/>
        </w:rPr>
        <w:t>, bázis- és opciós kockázat).</w:t>
      </w:r>
    </w:p>
    <w:p w14:paraId="66B15583" w14:textId="2B9512D1" w:rsidR="00DA1560" w:rsidRPr="006A6890" w:rsidRDefault="00DA1560" w:rsidP="00EA0541">
      <w:pPr>
        <w:rPr>
          <w:rFonts w:asciiTheme="minorHAnsi" w:hAnsiTheme="minorHAnsi"/>
        </w:rPr>
      </w:pPr>
      <w:r w:rsidRPr="006A6890">
        <w:rPr>
          <w:rFonts w:asciiTheme="minorHAnsi" w:hAnsiTheme="minorHAnsi"/>
        </w:rPr>
        <w:t xml:space="preserve">A jövedelmi hatás kimutatására többféle mutatószám alkalmazható, amelyek közül a leginkább elterjedt a nettó kamatbevétel </w:t>
      </w:r>
      <w:r w:rsidR="00B5049D" w:rsidRPr="006A6890">
        <w:rPr>
          <w:rFonts w:asciiTheme="minorHAnsi" w:hAnsiTheme="minorHAnsi"/>
        </w:rPr>
        <w:t>(</w:t>
      </w:r>
      <w:proofErr w:type="spellStart"/>
      <w:r w:rsidR="00B5049D" w:rsidRPr="006A6890">
        <w:rPr>
          <w:rFonts w:asciiTheme="minorHAnsi" w:hAnsiTheme="minorHAnsi"/>
        </w:rPr>
        <w:t>NII</w:t>
      </w:r>
      <w:proofErr w:type="spellEnd"/>
      <w:r w:rsidR="00B5049D" w:rsidRPr="006A6890">
        <w:rPr>
          <w:rFonts w:asciiTheme="minorHAnsi" w:hAnsiTheme="minorHAnsi"/>
        </w:rPr>
        <w:t xml:space="preserve"> – Net Interest </w:t>
      </w:r>
      <w:proofErr w:type="spellStart"/>
      <w:r w:rsidR="00B5049D" w:rsidRPr="006A6890">
        <w:rPr>
          <w:rFonts w:asciiTheme="minorHAnsi" w:hAnsiTheme="minorHAnsi"/>
        </w:rPr>
        <w:t>Income</w:t>
      </w:r>
      <w:proofErr w:type="spellEnd"/>
      <w:r w:rsidR="00B5049D" w:rsidRPr="006A6890">
        <w:rPr>
          <w:rFonts w:asciiTheme="minorHAnsi" w:hAnsiTheme="minorHAnsi"/>
        </w:rPr>
        <w:t xml:space="preserve">) </w:t>
      </w:r>
      <w:r w:rsidRPr="006A6890">
        <w:rPr>
          <w:rFonts w:asciiTheme="minorHAnsi" w:hAnsiTheme="minorHAnsi"/>
        </w:rPr>
        <w:t xml:space="preserve">és a nettó kamat </w:t>
      </w:r>
      <w:proofErr w:type="spellStart"/>
      <w:r w:rsidRPr="006A6890">
        <w:rPr>
          <w:rFonts w:asciiTheme="minorHAnsi" w:hAnsiTheme="minorHAnsi"/>
        </w:rPr>
        <w:t>marzs</w:t>
      </w:r>
      <w:proofErr w:type="spellEnd"/>
      <w:r w:rsidRPr="006A6890">
        <w:rPr>
          <w:rFonts w:asciiTheme="minorHAnsi" w:hAnsiTheme="minorHAnsi"/>
        </w:rPr>
        <w:t xml:space="preserve"> mutatók használata. A mutatókon kívül bármely más,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w:t>
      </w:r>
      <w:r w:rsidRPr="006A6890">
        <w:rPr>
          <w:rFonts w:asciiTheme="minorHAnsi" w:hAnsiTheme="minorHAnsi"/>
        </w:rPr>
        <w:t xml:space="preserve"> jövedelmi helyzetét, illetve annak változását számszerűsítő ráta, jelzőszám használható, amennyiben igazolhatóan alkalmas a jövedelmi helyzet </w:t>
      </w:r>
      <w:proofErr w:type="spellStart"/>
      <w:r w:rsidRPr="006A6890">
        <w:rPr>
          <w:rFonts w:asciiTheme="minorHAnsi" w:hAnsiTheme="minorHAnsi"/>
        </w:rPr>
        <w:t>jelenbeli</w:t>
      </w:r>
      <w:proofErr w:type="spellEnd"/>
      <w:r w:rsidRPr="006A6890">
        <w:rPr>
          <w:rFonts w:asciiTheme="minorHAnsi" w:hAnsiTheme="minorHAnsi"/>
        </w:rPr>
        <w:t xml:space="preserve"> és becsült jövőbeli alakulásának kimutatására és minden, a jövedelmezőséget lényegesen befolyásoló elemet figyelembe vesz. </w:t>
      </w:r>
    </w:p>
    <w:p w14:paraId="66B15584" w14:textId="2C75054A" w:rsidR="00DA1560" w:rsidRPr="006A6890" w:rsidRDefault="00DA1560" w:rsidP="00EA0541">
      <w:pPr>
        <w:rPr>
          <w:rFonts w:asciiTheme="minorHAnsi" w:hAnsiTheme="minorHAnsi"/>
        </w:rPr>
      </w:pPr>
      <w:r w:rsidRPr="006A6890">
        <w:rPr>
          <w:rFonts w:asciiTheme="minorHAnsi" w:hAnsiTheme="minorHAnsi"/>
        </w:rPr>
        <w:t>A</w:t>
      </w:r>
      <w:r w:rsidR="00A8489E" w:rsidRPr="006A6890">
        <w:rPr>
          <w:rFonts w:asciiTheme="minorHAnsi" w:hAnsiTheme="minorHAnsi"/>
        </w:rPr>
        <w:t>z intézmény</w:t>
      </w:r>
      <w:r w:rsidRPr="006A6890">
        <w:rPr>
          <w:rFonts w:asciiTheme="minorHAnsi" w:hAnsiTheme="minorHAnsi"/>
        </w:rPr>
        <w:t xml:space="preserve"> gazdasági tőkeértéke</w:t>
      </w:r>
      <w:r w:rsidR="00B5049D" w:rsidRPr="006A6890">
        <w:rPr>
          <w:rFonts w:asciiTheme="minorHAnsi" w:hAnsiTheme="minorHAnsi"/>
        </w:rPr>
        <w:t xml:space="preserve"> (EVE – </w:t>
      </w:r>
      <w:proofErr w:type="spellStart"/>
      <w:r w:rsidR="00B5049D" w:rsidRPr="006A6890">
        <w:rPr>
          <w:rFonts w:asciiTheme="minorHAnsi" w:hAnsiTheme="minorHAnsi"/>
        </w:rPr>
        <w:t>Economic</w:t>
      </w:r>
      <w:proofErr w:type="spellEnd"/>
      <w:r w:rsidR="00B5049D" w:rsidRPr="006A6890">
        <w:rPr>
          <w:rFonts w:asciiTheme="minorHAnsi" w:hAnsiTheme="minorHAnsi"/>
        </w:rPr>
        <w:t xml:space="preserve"> </w:t>
      </w:r>
      <w:proofErr w:type="spellStart"/>
      <w:r w:rsidR="00B5049D" w:rsidRPr="006A6890">
        <w:rPr>
          <w:rFonts w:asciiTheme="minorHAnsi" w:hAnsiTheme="minorHAnsi"/>
        </w:rPr>
        <w:t>Value</w:t>
      </w:r>
      <w:proofErr w:type="spellEnd"/>
      <w:r w:rsidR="00B5049D" w:rsidRPr="006A6890">
        <w:rPr>
          <w:rFonts w:asciiTheme="minorHAnsi" w:hAnsiTheme="minorHAnsi"/>
        </w:rPr>
        <w:t xml:space="preserve"> of Equity)</w:t>
      </w:r>
      <w:r w:rsidRPr="006A6890">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6A6890">
        <w:rPr>
          <w:rFonts w:asciiTheme="minorHAnsi" w:hAnsiTheme="minorHAnsi"/>
        </w:rPr>
        <w:t>,</w:t>
      </w:r>
      <w:r w:rsidRPr="006A6890">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6A6890" w:rsidRDefault="00DA1560" w:rsidP="00EA0541">
      <w:pPr>
        <w:rPr>
          <w:rFonts w:asciiTheme="minorHAnsi" w:hAnsiTheme="minorHAnsi"/>
        </w:rPr>
      </w:pPr>
      <w:r w:rsidRPr="006A6890">
        <w:rPr>
          <w:rFonts w:asciiTheme="minorHAnsi" w:hAnsiTheme="minorHAnsi"/>
        </w:rPr>
        <w:t xml:space="preserve">A banki mérlegben lévő kamatlábkockázat forrását tekintve az alábbi </w:t>
      </w:r>
      <w:r w:rsidR="009176D5" w:rsidRPr="006A6890">
        <w:rPr>
          <w:rFonts w:asciiTheme="minorHAnsi" w:hAnsiTheme="minorHAnsi"/>
        </w:rPr>
        <w:t>három</w:t>
      </w:r>
      <w:r w:rsidRPr="006A6890">
        <w:rPr>
          <w:rFonts w:asciiTheme="minorHAnsi" w:hAnsiTheme="minorHAnsi"/>
        </w:rPr>
        <w:t xml:space="preserve"> főbb típusba sorolható: </w:t>
      </w:r>
    </w:p>
    <w:p w14:paraId="66B15586" w14:textId="7F609DF3" w:rsidR="00DA1560" w:rsidRPr="006A6890" w:rsidRDefault="00D26956"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lang w:val="hu-HU"/>
        </w:rPr>
        <w:t>át</w:t>
      </w:r>
      <w:r w:rsidR="00DA1560" w:rsidRPr="006A6890">
        <w:rPr>
          <w:rFonts w:asciiTheme="minorHAnsi" w:hAnsiTheme="minorHAnsi"/>
          <w:sz w:val="22"/>
          <w:szCs w:val="22"/>
        </w:rPr>
        <w:t>árazási kockázat: a követelések és kötelezettségek és mérleg alatti tételek átárazási szerkezetének időbeli eltéréséből származó kockázat</w:t>
      </w:r>
      <w:r w:rsidR="00C86E63" w:rsidRPr="006A6890">
        <w:rPr>
          <w:rFonts w:asciiTheme="minorHAnsi" w:hAnsiTheme="minorHAnsi"/>
          <w:sz w:val="22"/>
          <w:szCs w:val="22"/>
          <w:lang w:val="hu-HU"/>
        </w:rPr>
        <w:t>,</w:t>
      </w:r>
      <w:r w:rsidR="00DA1560" w:rsidRPr="006A6890">
        <w:rPr>
          <w:rFonts w:asciiTheme="minorHAnsi" w:hAnsiTheme="minorHAnsi"/>
          <w:sz w:val="22"/>
          <w:szCs w:val="22"/>
        </w:rPr>
        <w:t xml:space="preserve"> </w:t>
      </w:r>
      <w:r w:rsidR="003B32D4" w:rsidRPr="006A6890">
        <w:rPr>
          <w:rFonts w:asciiTheme="minorHAnsi" w:hAnsiTheme="minorHAnsi"/>
          <w:sz w:val="22"/>
          <w:szCs w:val="22"/>
          <w:lang w:val="hu-HU"/>
        </w:rPr>
        <w:t xml:space="preserve">amely magába foglalja a hozamgörbe alakjának és meredekségének változásából származó kockázatot, </w:t>
      </w:r>
    </w:p>
    <w:p w14:paraId="66B15587" w14:textId="4E5145A2" w:rsidR="00DA1560" w:rsidRPr="006A6890" w:rsidRDefault="00DA1560"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rPr>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6A6890">
        <w:rPr>
          <w:rFonts w:asciiTheme="minorHAnsi" w:hAnsiTheme="minorHAnsi"/>
          <w:sz w:val="22"/>
          <w:szCs w:val="22"/>
          <w:lang w:val="hu-HU"/>
        </w:rPr>
        <w:t>,</w:t>
      </w:r>
      <w:r w:rsidRPr="006A6890">
        <w:rPr>
          <w:rFonts w:asciiTheme="minorHAnsi" w:hAnsiTheme="minorHAnsi"/>
          <w:sz w:val="22"/>
          <w:szCs w:val="22"/>
        </w:rPr>
        <w:t xml:space="preserve"> </w:t>
      </w:r>
    </w:p>
    <w:p w14:paraId="66B15589" w14:textId="09FB8149" w:rsidR="00DA1560" w:rsidRPr="006A6890" w:rsidRDefault="00DA1560"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rPr>
        <w:t xml:space="preserve">opciós kockázat: a banki termékekben rejlő rejtett vagy explicit, a termék kamatkockázatát befolyásoló tulajdonságaira vonatkozó opciókból származó kockázat. </w:t>
      </w:r>
    </w:p>
    <w:p w14:paraId="66B1558A" w14:textId="78EFC9E6" w:rsidR="00DA1560" w:rsidRPr="006A6890" w:rsidRDefault="00DA1560" w:rsidP="00181755">
      <w:pPr>
        <w:rPr>
          <w:rFonts w:asciiTheme="minorHAnsi" w:hAnsiTheme="minorHAnsi"/>
        </w:rPr>
      </w:pPr>
    </w:p>
    <w:p w14:paraId="49768DF9" w14:textId="394BC153" w:rsidR="003C4580" w:rsidRPr="006A6890" w:rsidRDefault="003C4580" w:rsidP="00EA0541">
      <w:pPr>
        <w:rPr>
          <w:rFonts w:asciiTheme="minorHAnsi" w:hAnsiTheme="minorHAnsi"/>
        </w:rPr>
      </w:pPr>
      <w:r w:rsidRPr="006A6890">
        <w:rPr>
          <w:rFonts w:asciiTheme="minorHAnsi" w:hAnsiTheme="minorHAnsi"/>
        </w:rPr>
        <w:t xml:space="preserve">A kamatlábkockázat 3 részkomponensének azonosítására az 2018/02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GL</w:t>
      </w:r>
      <w:proofErr w:type="spellEnd"/>
      <w:r w:rsidRPr="006A6890">
        <w:rPr>
          <w:rFonts w:asciiTheme="minorHAnsi" w:hAnsiTheme="minorHAnsi"/>
        </w:rPr>
        <w:t xml:space="preserve"> 1. táblázata tartalmazza a minimum elvárásokat.</w:t>
      </w:r>
    </w:p>
    <w:p w14:paraId="2DDB19B9" w14:textId="29036DD2" w:rsidR="003C4580" w:rsidRPr="006A6890" w:rsidRDefault="00C34CE8" w:rsidP="00181755">
      <w:pPr>
        <w:rPr>
          <w:rFonts w:asciiTheme="minorHAnsi" w:hAnsiTheme="minorHAnsi"/>
        </w:rPr>
      </w:pPr>
      <w:r w:rsidRPr="006A6890">
        <w:rPr>
          <w:rFonts w:asciiTheme="minorHAnsi" w:hAnsiTheme="minorHAnsi"/>
        </w:rPr>
        <w:t>A vezetői döntések aktív támogatása érdekében e</w:t>
      </w:r>
      <w:r w:rsidR="003C4580" w:rsidRPr="006A6890">
        <w:rPr>
          <w:rFonts w:asciiTheme="minorHAnsi" w:hAnsiTheme="minorHAnsi"/>
        </w:rPr>
        <w:t xml:space="preserve">lvárt, hogy a belső jelentések a vezető testület számára a releváns </w:t>
      </w:r>
      <w:proofErr w:type="spellStart"/>
      <w:r w:rsidR="003C4580" w:rsidRPr="006A6890">
        <w:rPr>
          <w:rFonts w:asciiTheme="minorHAnsi" w:hAnsiTheme="minorHAnsi"/>
        </w:rPr>
        <w:t>aggregációs</w:t>
      </w:r>
      <w:proofErr w:type="spellEnd"/>
      <w:r w:rsidR="003C4580" w:rsidRPr="006A6890">
        <w:rPr>
          <w:rFonts w:asciiTheme="minorHAnsi" w:hAnsiTheme="minorHAnsi"/>
        </w:rPr>
        <w:t xml:space="preserve"> szinteken, kellő részletezettséggel legalább negyedévente </w:t>
      </w:r>
      <w:r w:rsidRPr="006A6890">
        <w:rPr>
          <w:rFonts w:asciiTheme="minorHAnsi" w:hAnsiTheme="minorHAnsi"/>
        </w:rPr>
        <w:t xml:space="preserve">készüljenek és </w:t>
      </w:r>
      <w:r w:rsidR="003C4580" w:rsidRPr="006A6890">
        <w:rPr>
          <w:rFonts w:asciiTheme="minorHAnsi" w:hAnsiTheme="minorHAnsi"/>
        </w:rPr>
        <w:t xml:space="preserve">kerüljenek bemutatásra és </w:t>
      </w:r>
      <w:r w:rsidRPr="006A6890">
        <w:rPr>
          <w:rFonts w:asciiTheme="minorHAnsi" w:hAnsiTheme="minorHAnsi"/>
        </w:rPr>
        <w:t xml:space="preserve">– többek között – tartalmazzák a tényleges kitettségek és a limitek </w:t>
      </w:r>
      <w:r w:rsidR="003C4580" w:rsidRPr="006A6890">
        <w:rPr>
          <w:rFonts w:asciiTheme="minorHAnsi" w:hAnsiTheme="minorHAnsi"/>
        </w:rPr>
        <w:t>összehasonlítás</w:t>
      </w:r>
      <w:r w:rsidRPr="006A6890">
        <w:rPr>
          <w:rFonts w:asciiTheme="minorHAnsi" w:hAnsiTheme="minorHAnsi"/>
        </w:rPr>
        <w:t xml:space="preserve">át, az esetleges limittúllépés esetén teendő lépéseket, </w:t>
      </w:r>
      <w:r w:rsidR="00C70F8B" w:rsidRPr="006A6890">
        <w:rPr>
          <w:rFonts w:asciiTheme="minorHAnsi" w:hAnsiTheme="minorHAnsi"/>
        </w:rPr>
        <w:t xml:space="preserve">a kockázat mérési eredményeket, a tőkeszükséglet mértékét és változását. </w:t>
      </w:r>
    </w:p>
    <w:p w14:paraId="66B1558B" w14:textId="73CADD78" w:rsidR="00DA1560" w:rsidRPr="006A6890" w:rsidRDefault="000035EB" w:rsidP="00181755">
      <w:pPr>
        <w:rPr>
          <w:rFonts w:asciiTheme="minorHAnsi" w:hAnsiTheme="minorHAnsi"/>
        </w:rPr>
      </w:pPr>
      <w:r w:rsidRPr="006A6890">
        <w:rPr>
          <w:rFonts w:asciiTheme="minorHAnsi" w:hAnsiTheme="minorHAnsi"/>
          <w:b/>
          <w:bCs/>
        </w:rPr>
        <w:lastRenderedPageBreak/>
        <w:t>ICAAP felülvizsgálat</w:t>
      </w:r>
    </w:p>
    <w:p w14:paraId="66B1558C" w14:textId="71ED85E0" w:rsidR="00DA1560" w:rsidRPr="006A6890" w:rsidRDefault="00DA1560" w:rsidP="00EA0541">
      <w:pPr>
        <w:rPr>
          <w:rFonts w:asciiTheme="minorHAnsi" w:hAnsiTheme="minorHAnsi"/>
        </w:rPr>
      </w:pPr>
      <w:r w:rsidRPr="006A6890">
        <w:rPr>
          <w:rFonts w:asciiTheme="minorHAnsi" w:hAnsiTheme="minorHAnsi"/>
        </w:rPr>
        <w:t xml:space="preserve">A banki könyvi kamatláb-kockázatot az MNB minden intézmény esetében materiális kockázatnak tekinti, elvárja annak </w:t>
      </w:r>
      <w:r w:rsidR="002A20DA" w:rsidRPr="006A6890">
        <w:rPr>
          <w:rFonts w:asciiTheme="minorHAnsi" w:hAnsiTheme="minorHAnsi"/>
        </w:rPr>
        <w:t xml:space="preserve">(az intézmény kamatlábkockázati kitettségével arányosan) </w:t>
      </w:r>
      <w:r w:rsidR="003C4580" w:rsidRPr="006A6890">
        <w:rPr>
          <w:rFonts w:asciiTheme="minorHAnsi" w:hAnsiTheme="minorHAnsi"/>
        </w:rPr>
        <w:t xml:space="preserve">kvantitatív eszközök széles körével és </w:t>
      </w:r>
      <w:r w:rsidRPr="006A6890">
        <w:rPr>
          <w:rFonts w:asciiTheme="minorHAnsi" w:hAnsiTheme="minorHAnsi"/>
        </w:rPr>
        <w:t xml:space="preserve">alkalmas modellel történő mérését és kezelését, az alábbi szempontok szerint: </w:t>
      </w:r>
    </w:p>
    <w:p w14:paraId="66B1558D" w14:textId="489F3B81"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0C0F9659"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r w:rsidR="003C4580" w:rsidRPr="006A6890">
        <w:rPr>
          <w:rFonts w:asciiTheme="minorHAnsi" w:hAnsiTheme="minorHAnsi"/>
          <w:sz w:val="22"/>
          <w:szCs w:val="22"/>
          <w:lang w:val="hu-HU"/>
        </w:rPr>
        <w:t>Ugyanakkor</w:t>
      </w:r>
      <w:r w:rsidR="003C4580" w:rsidRPr="006A6890">
        <w:rPr>
          <w:rFonts w:asciiTheme="minorHAnsi" w:hAnsiTheme="minorHAnsi"/>
          <w:sz w:val="22"/>
          <w:szCs w:val="22"/>
        </w:rPr>
        <w:t xml:space="preserve"> zárja ki az elsődleges alapvető tőke elemeit és a lejárat nélküli saját tőkét.</w:t>
      </w:r>
    </w:p>
    <w:p w14:paraId="66B15590" w14:textId="4562114B"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 kamatlábkockázat jövedelmi és tőke</w:t>
      </w:r>
      <w:r w:rsidR="00D26956" w:rsidRPr="006A6890">
        <w:rPr>
          <w:rFonts w:asciiTheme="minorHAnsi" w:hAnsiTheme="minorHAnsi"/>
          <w:sz w:val="22"/>
          <w:szCs w:val="22"/>
          <w:lang w:val="hu-HU"/>
        </w:rPr>
        <w:t xml:space="preserve">érték </w:t>
      </w:r>
      <w:r w:rsidRPr="006A6890">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07588D49"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alapul szolgáló feltételezések megalapozottak, </w:t>
      </w:r>
      <w:r w:rsidR="003C4580" w:rsidRPr="006A6890">
        <w:rPr>
          <w:rFonts w:asciiTheme="minorHAnsi" w:hAnsiTheme="minorHAnsi"/>
          <w:sz w:val="22"/>
          <w:szCs w:val="22"/>
          <w:lang w:val="hu-HU"/>
        </w:rPr>
        <w:t>óvatosak (</w:t>
      </w:r>
      <w:proofErr w:type="spellStart"/>
      <w:r w:rsidR="003C4580" w:rsidRPr="006A6890">
        <w:rPr>
          <w:rFonts w:asciiTheme="minorHAnsi" w:hAnsiTheme="minorHAnsi"/>
          <w:sz w:val="22"/>
          <w:szCs w:val="22"/>
          <w:lang w:val="hu-HU"/>
        </w:rPr>
        <w:t>prudensek</w:t>
      </w:r>
      <w:proofErr w:type="spellEnd"/>
      <w:r w:rsidR="003C4580" w:rsidRPr="006A6890">
        <w:rPr>
          <w:rFonts w:asciiTheme="minorHAnsi" w:hAnsiTheme="minorHAnsi"/>
          <w:sz w:val="22"/>
          <w:szCs w:val="22"/>
          <w:lang w:val="hu-HU"/>
        </w:rPr>
        <w:t xml:space="preserve">), </w:t>
      </w:r>
      <w:r w:rsidRPr="006A6890">
        <w:rPr>
          <w:rFonts w:asciiTheme="minorHAnsi" w:hAnsiTheme="minorHAnsi"/>
          <w:sz w:val="22"/>
          <w:szCs w:val="22"/>
        </w:rPr>
        <w:t xml:space="preserve">megfelelően dokumentáltak és kellő időbeni állandósággal rendelkeznek. Ez különösen az új termékek és azon követelések/kötelezettségek esetében fontos szempont, amelyek lejárata vagy </w:t>
      </w:r>
      <w:proofErr w:type="spellStart"/>
      <w:r w:rsidRPr="006A6890">
        <w:rPr>
          <w:rFonts w:asciiTheme="minorHAnsi" w:hAnsiTheme="minorHAnsi"/>
          <w:sz w:val="22"/>
          <w:szCs w:val="22"/>
        </w:rPr>
        <w:t>újraárazódási</w:t>
      </w:r>
      <w:proofErr w:type="spellEnd"/>
      <w:r w:rsidRPr="006A6890">
        <w:rPr>
          <w:rFonts w:asciiTheme="minorHAnsi" w:hAnsiTheme="minorHAnsi"/>
          <w:sz w:val="22"/>
          <w:szCs w:val="22"/>
        </w:rPr>
        <w:t xml:space="preserve"> ideje eltér az eredeti szerződési feltételektől vagy szerződés szerint nem meghatározottak. A</w:t>
      </w:r>
      <w:r w:rsidR="003C4580" w:rsidRPr="006A6890">
        <w:rPr>
          <w:rFonts w:asciiTheme="minorHAnsi" w:hAnsiTheme="minorHAnsi"/>
          <w:sz w:val="22"/>
          <w:szCs w:val="22"/>
        </w:rPr>
        <w:t xml:space="preserve"> feltételezéseket </w:t>
      </w:r>
      <w:r w:rsidR="002A20DA" w:rsidRPr="006A6890">
        <w:rPr>
          <w:rFonts w:asciiTheme="minorHAnsi" w:hAnsiTheme="minorHAnsi"/>
          <w:sz w:val="22"/>
          <w:szCs w:val="22"/>
          <w:lang w:val="hu-HU"/>
        </w:rPr>
        <w:t xml:space="preserve">tökéletesen </w:t>
      </w:r>
      <w:proofErr w:type="spellStart"/>
      <w:r w:rsidR="002A20DA" w:rsidRPr="006A6890">
        <w:rPr>
          <w:rFonts w:asciiTheme="minorHAnsi" w:hAnsiTheme="minorHAnsi"/>
          <w:sz w:val="22"/>
          <w:szCs w:val="22"/>
          <w:lang w:val="hu-HU"/>
        </w:rPr>
        <w:t>értésk</w:t>
      </w:r>
      <w:proofErr w:type="spellEnd"/>
      <w:r w:rsidR="002A20DA" w:rsidRPr="006A6890">
        <w:rPr>
          <w:rFonts w:asciiTheme="minorHAnsi" w:hAnsiTheme="minorHAnsi"/>
          <w:sz w:val="22"/>
          <w:szCs w:val="22"/>
          <w:lang w:val="hu-HU"/>
        </w:rPr>
        <w:t xml:space="preserve"> meg, igazítsák az üzleti stratégiákhoz, </w:t>
      </w:r>
      <w:r w:rsidR="003C4580" w:rsidRPr="006A6890">
        <w:rPr>
          <w:rFonts w:asciiTheme="minorHAnsi" w:hAnsiTheme="minorHAnsi"/>
          <w:sz w:val="22"/>
          <w:szCs w:val="22"/>
        </w:rPr>
        <w:t>rendszeres</w:t>
      </w:r>
      <w:r w:rsidR="003C4580" w:rsidRPr="006A6890">
        <w:rPr>
          <w:rFonts w:asciiTheme="minorHAnsi" w:hAnsiTheme="minorHAnsi"/>
          <w:sz w:val="22"/>
          <w:szCs w:val="22"/>
          <w:lang w:val="hu-HU"/>
        </w:rPr>
        <w:t xml:space="preserve"> (</w:t>
      </w:r>
      <w:proofErr w:type="spellStart"/>
      <w:r w:rsidR="003C4580" w:rsidRPr="006A6890">
        <w:rPr>
          <w:rFonts w:asciiTheme="minorHAnsi" w:hAnsiTheme="minorHAnsi"/>
          <w:sz w:val="22"/>
          <w:szCs w:val="22"/>
          <w:lang w:val="hu-HU"/>
        </w:rPr>
        <w:t>leglább</w:t>
      </w:r>
      <w:proofErr w:type="spellEnd"/>
      <w:r w:rsidR="003C4580" w:rsidRPr="006A6890">
        <w:rPr>
          <w:rFonts w:asciiTheme="minorHAnsi" w:hAnsiTheme="minorHAnsi"/>
          <w:sz w:val="22"/>
          <w:szCs w:val="22"/>
          <w:lang w:val="hu-HU"/>
        </w:rPr>
        <w:t xml:space="preserve"> éves szintű)</w:t>
      </w:r>
      <w:r w:rsidR="003C4580" w:rsidRPr="006A6890">
        <w:rPr>
          <w:rFonts w:asciiTheme="minorHAnsi" w:hAnsiTheme="minorHAnsi"/>
          <w:sz w:val="22"/>
          <w:szCs w:val="22"/>
        </w:rPr>
        <w:t xml:space="preserve"> stresszteszteknek, </w:t>
      </w:r>
      <w:proofErr w:type="spellStart"/>
      <w:r w:rsidR="003C4580" w:rsidRPr="006A6890">
        <w:rPr>
          <w:rFonts w:asciiTheme="minorHAnsi" w:hAnsiTheme="minorHAnsi"/>
          <w:sz w:val="22"/>
          <w:szCs w:val="22"/>
        </w:rPr>
        <w:t>validálásnak</w:t>
      </w:r>
      <w:proofErr w:type="spellEnd"/>
      <w:r w:rsidR="003C4580" w:rsidRPr="006A6890">
        <w:rPr>
          <w:rFonts w:asciiTheme="minorHAnsi" w:hAnsiTheme="minorHAnsi"/>
          <w:sz w:val="22"/>
          <w:szCs w:val="22"/>
        </w:rPr>
        <w:t xml:space="preserve"> és felülvizsgálatoknak vessék alá. </w:t>
      </w:r>
      <w:r w:rsidR="003C4580" w:rsidRPr="004B5D1A">
        <w:rPr>
          <w:rFonts w:asciiTheme="minorHAnsi" w:hAnsiTheme="minorHAnsi"/>
          <w:sz w:val="22"/>
          <w:lang w:val="hu-HU"/>
        </w:rPr>
        <w:t>A</w:t>
      </w:r>
      <w:r w:rsidRPr="006A6890">
        <w:rPr>
          <w:rFonts w:asciiTheme="minorHAnsi" w:hAnsiTheme="minorHAnsi"/>
          <w:sz w:val="22"/>
          <w:szCs w:val="22"/>
        </w:rPr>
        <w:t xml:space="preserve"> jelentősebb változások dokumentáltak és az ügyvezetés jóváhagyásához kötöttek. </w:t>
      </w:r>
    </w:p>
    <w:p w14:paraId="66B15592" w14:textId="77777777"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6A9FC122" w:rsidR="00D26956" w:rsidRPr="006A6890" w:rsidRDefault="00DA1560" w:rsidP="00DC02A8">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 nemzetközi ajánlások alapján elvárt, ún. sztenderd kamatláb-sokkok részét képezik a hitelintézet banki könyvi kamatlábkockázat kamatlábkockázat-kezelési gyakorlatának.</w:t>
      </w:r>
    </w:p>
    <w:p w14:paraId="37DCD832" w14:textId="2330AA18" w:rsidR="00DF45B3" w:rsidRPr="006A6890" w:rsidRDefault="00DA156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 olyan informatikai rendszert működtet, amely megfelelően támogatja a kamatlábkockázat méréséhez, kontrolljához és jelentéséhez szükséges eljárásokat és folyamatokat, mind egyedi, mind helyi csoportszinten.</w:t>
      </w:r>
      <w:r w:rsidR="003C4580" w:rsidRPr="006A6890">
        <w:rPr>
          <w:rFonts w:asciiTheme="minorHAnsi" w:hAnsiTheme="minorHAnsi"/>
          <w:sz w:val="22"/>
          <w:szCs w:val="22"/>
        </w:rPr>
        <w:t xml:space="preserve"> </w:t>
      </w:r>
      <w:r w:rsidR="003C4580" w:rsidRPr="006A6890">
        <w:rPr>
          <w:rFonts w:asciiTheme="minorHAnsi" w:hAnsiTheme="minorHAnsi"/>
          <w:sz w:val="22"/>
          <w:szCs w:val="22"/>
          <w:lang w:val="hu-HU"/>
        </w:rPr>
        <w:t>A</w:t>
      </w:r>
      <w:r w:rsidR="003C4580" w:rsidRPr="006A6890">
        <w:rPr>
          <w:rFonts w:asciiTheme="minorHAnsi" w:hAnsiTheme="minorHAnsi"/>
          <w:sz w:val="22"/>
          <w:szCs w:val="22"/>
        </w:rPr>
        <w:t xml:space="preserve"> rendszerek legyenek</w:t>
      </w:r>
      <w:r w:rsidR="003C4580" w:rsidRPr="006A6890">
        <w:rPr>
          <w:rFonts w:asciiTheme="minorHAnsi" w:hAnsiTheme="minorHAnsi"/>
          <w:sz w:val="22"/>
          <w:szCs w:val="22"/>
          <w:lang w:val="hu-HU"/>
        </w:rPr>
        <w:t xml:space="preserve"> képesek</w:t>
      </w:r>
      <w:r w:rsidR="003C4580" w:rsidRPr="006A6890">
        <w:rPr>
          <w:rFonts w:asciiTheme="minorHAnsi" w:hAnsiTheme="minorHAnsi"/>
          <w:sz w:val="22"/>
          <w:szCs w:val="22"/>
        </w:rPr>
        <w:t xml:space="preserve"> minden ügylet teljeskörű, egyértelmű rögzítésére, a gazdasági érték és pénzügyi eredmény mutatók kiszámítására</w:t>
      </w:r>
      <w:r w:rsidR="003C4580" w:rsidRPr="006A6890">
        <w:rPr>
          <w:rFonts w:asciiTheme="minorHAnsi" w:hAnsiTheme="minorHAnsi"/>
          <w:sz w:val="22"/>
          <w:szCs w:val="22"/>
          <w:lang w:val="hu-HU"/>
        </w:rPr>
        <w:t>, valamint</w:t>
      </w:r>
      <w:r w:rsidR="003C4580" w:rsidRPr="006A6890">
        <w:rPr>
          <w:rFonts w:asciiTheme="minorHAnsi" w:hAnsiTheme="minorHAnsi"/>
          <w:sz w:val="22"/>
          <w:szCs w:val="22"/>
        </w:rPr>
        <w:t xml:space="preserve"> kellően rugalmas</w:t>
      </w:r>
      <w:r w:rsidR="009460B5" w:rsidRPr="006A6890">
        <w:rPr>
          <w:rFonts w:asciiTheme="minorHAnsi" w:hAnsiTheme="minorHAnsi"/>
          <w:sz w:val="22"/>
          <w:szCs w:val="22"/>
          <w:lang w:val="hu-HU"/>
        </w:rPr>
        <w:t>,</w:t>
      </w:r>
      <w:r w:rsidR="003C4580" w:rsidRPr="006A6890">
        <w:rPr>
          <w:rFonts w:asciiTheme="minorHAnsi" w:hAnsiTheme="minorHAnsi"/>
          <w:sz w:val="22"/>
          <w:szCs w:val="22"/>
        </w:rPr>
        <w:t xml:space="preserve"> változatos stresszforgatókönyvek futtatására.</w:t>
      </w:r>
    </w:p>
    <w:p w14:paraId="21137CA7" w14:textId="0C4AEE44" w:rsidR="00846280" w:rsidRPr="006A6890" w:rsidRDefault="0084628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Amennyiben az intézmény belső fedezeti ügyletek</w:t>
      </w:r>
      <w:r w:rsidR="003C4580" w:rsidRPr="006A6890">
        <w:rPr>
          <w:rFonts w:asciiTheme="minorHAnsi" w:hAnsiTheme="minorHAnsi"/>
          <w:sz w:val="22"/>
          <w:szCs w:val="22"/>
          <w:lang w:val="hu-HU"/>
        </w:rPr>
        <w:t>et</w:t>
      </w:r>
      <w:r w:rsidR="00436D8E" w:rsidRPr="006A6890">
        <w:rPr>
          <w:rFonts w:asciiTheme="minorHAnsi" w:hAnsiTheme="minorHAnsi"/>
          <w:sz w:val="22"/>
          <w:szCs w:val="22"/>
        </w:rPr>
        <w:t xml:space="preserve"> (</w:t>
      </w:r>
      <w:proofErr w:type="spellStart"/>
      <w:r w:rsidR="00436D8E" w:rsidRPr="006A6890">
        <w:rPr>
          <w:rFonts w:asciiTheme="minorHAnsi" w:hAnsiTheme="minorHAnsi"/>
          <w:sz w:val="22"/>
          <w:szCs w:val="22"/>
        </w:rPr>
        <w:t>internal</w:t>
      </w:r>
      <w:proofErr w:type="spellEnd"/>
      <w:r w:rsidR="00436D8E" w:rsidRPr="006A6890">
        <w:rPr>
          <w:rFonts w:asciiTheme="minorHAnsi" w:hAnsiTheme="minorHAnsi"/>
          <w:sz w:val="22"/>
          <w:szCs w:val="22"/>
        </w:rPr>
        <w:t xml:space="preserve"> </w:t>
      </w:r>
      <w:proofErr w:type="spellStart"/>
      <w:r w:rsidR="00436D8E" w:rsidRPr="006A6890">
        <w:rPr>
          <w:rFonts w:asciiTheme="minorHAnsi" w:hAnsiTheme="minorHAnsi"/>
          <w:sz w:val="22"/>
          <w:szCs w:val="22"/>
        </w:rPr>
        <w:t>hedges</w:t>
      </w:r>
      <w:proofErr w:type="spellEnd"/>
      <w:r w:rsidR="00436D8E" w:rsidRPr="006A6890">
        <w:rPr>
          <w:rFonts w:asciiTheme="minorHAnsi" w:hAnsiTheme="minorHAnsi"/>
          <w:sz w:val="22"/>
          <w:szCs w:val="22"/>
        </w:rPr>
        <w:t>)</w:t>
      </w:r>
      <w:r w:rsidRPr="006A6890">
        <w:rPr>
          <w:rFonts w:asciiTheme="minorHAnsi" w:hAnsiTheme="minorHAnsi"/>
          <w:sz w:val="22"/>
          <w:szCs w:val="22"/>
        </w:rPr>
        <w:t xml:space="preserve"> alkalmaz a banki és kereskedési könyv közötti kockázat-transzfer céljából, a</w:t>
      </w:r>
      <w:r w:rsidR="003C4580" w:rsidRPr="006A6890">
        <w:rPr>
          <w:rFonts w:asciiTheme="minorHAnsi" w:hAnsiTheme="minorHAnsi"/>
          <w:sz w:val="22"/>
          <w:szCs w:val="22"/>
          <w:lang w:val="hu-HU"/>
        </w:rPr>
        <w:t>zok</w:t>
      </w:r>
      <w:proofErr w:type="spellStart"/>
      <w:r w:rsidRPr="006A6890">
        <w:rPr>
          <w:rFonts w:asciiTheme="minorHAnsi" w:hAnsiTheme="minorHAnsi"/>
          <w:sz w:val="22"/>
          <w:szCs w:val="22"/>
        </w:rPr>
        <w:t>nak</w:t>
      </w:r>
      <w:proofErr w:type="spellEnd"/>
      <w:r w:rsidRPr="006A6890">
        <w:rPr>
          <w:rFonts w:asciiTheme="minorHAnsi" w:hAnsiTheme="minorHAnsi"/>
          <w:sz w:val="22"/>
          <w:szCs w:val="22"/>
        </w:rPr>
        <w:t xml:space="preserve"> </w:t>
      </w:r>
      <w:r w:rsidR="00436D8E" w:rsidRPr="006A6890">
        <w:rPr>
          <w:rFonts w:asciiTheme="minorHAnsi" w:hAnsiTheme="minorHAnsi"/>
          <w:sz w:val="22"/>
          <w:szCs w:val="22"/>
        </w:rPr>
        <w:t>egyértelműen dokumentáltnak kell lenni</w:t>
      </w:r>
      <w:r w:rsidR="003C4580" w:rsidRPr="006A6890">
        <w:rPr>
          <w:rFonts w:asciiTheme="minorHAnsi" w:hAnsiTheme="minorHAnsi"/>
          <w:sz w:val="22"/>
          <w:szCs w:val="22"/>
          <w:lang w:val="hu-HU"/>
        </w:rPr>
        <w:t>ük</w:t>
      </w:r>
      <w:r w:rsidR="00436D8E" w:rsidRPr="006A6890">
        <w:rPr>
          <w:rFonts w:asciiTheme="minorHAnsi" w:hAnsiTheme="minorHAnsi"/>
          <w:sz w:val="22"/>
          <w:szCs w:val="22"/>
        </w:rPr>
        <w:t>,</w:t>
      </w:r>
      <w:r w:rsidR="00953505" w:rsidRPr="006A6890">
        <w:rPr>
          <w:rFonts w:asciiTheme="minorHAnsi" w:hAnsiTheme="minorHAnsi"/>
          <w:sz w:val="22"/>
          <w:szCs w:val="22"/>
        </w:rPr>
        <w:t xml:space="preserve"> a piaci árazást kell tükrözni</w:t>
      </w:r>
      <w:r w:rsidR="003C4580" w:rsidRPr="006A6890">
        <w:rPr>
          <w:rFonts w:asciiTheme="minorHAnsi" w:hAnsiTheme="minorHAnsi"/>
          <w:sz w:val="22"/>
          <w:szCs w:val="22"/>
          <w:lang w:val="hu-HU"/>
        </w:rPr>
        <w:t>ük</w:t>
      </w:r>
      <w:r w:rsidR="00953505" w:rsidRPr="006A6890">
        <w:rPr>
          <w:rFonts w:asciiTheme="minorHAnsi" w:hAnsiTheme="minorHAnsi"/>
          <w:sz w:val="22"/>
          <w:szCs w:val="22"/>
        </w:rPr>
        <w:t xml:space="preserve">, </w:t>
      </w:r>
      <w:r w:rsidR="00436D8E" w:rsidRPr="006A6890">
        <w:rPr>
          <w:rFonts w:asciiTheme="minorHAnsi" w:hAnsiTheme="minorHAnsi"/>
          <w:sz w:val="22"/>
          <w:szCs w:val="22"/>
        </w:rPr>
        <w:t>és nem lehet célj</w:t>
      </w:r>
      <w:r w:rsidR="003C4580" w:rsidRPr="006A6890">
        <w:rPr>
          <w:rFonts w:asciiTheme="minorHAnsi" w:hAnsiTheme="minorHAnsi"/>
          <w:sz w:val="22"/>
          <w:szCs w:val="22"/>
          <w:lang w:val="hu-HU"/>
        </w:rPr>
        <w:t>uk</w:t>
      </w:r>
      <w:r w:rsidR="00436D8E" w:rsidRPr="006A6890">
        <w:rPr>
          <w:rFonts w:asciiTheme="minorHAnsi" w:hAnsiTheme="minorHAnsi"/>
          <w:sz w:val="22"/>
          <w:szCs w:val="22"/>
        </w:rPr>
        <w:t xml:space="preserve"> a</w:t>
      </w:r>
      <w:r w:rsidR="00953505" w:rsidRPr="006A6890">
        <w:rPr>
          <w:rFonts w:asciiTheme="minorHAnsi" w:hAnsiTheme="minorHAnsi"/>
          <w:sz w:val="22"/>
          <w:szCs w:val="22"/>
        </w:rPr>
        <w:t xml:space="preserve"> tőkekövetelmény csökkentése.</w:t>
      </w:r>
    </w:p>
    <w:p w14:paraId="63FDF130" w14:textId="78CDD099" w:rsidR="00436D8E" w:rsidRPr="006A6890" w:rsidRDefault="0095350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 valamint a kereskedési könyvi </w:t>
      </w:r>
      <w:r w:rsidR="00D26956" w:rsidRPr="006A6890">
        <w:rPr>
          <w:rFonts w:asciiTheme="minorHAnsi" w:hAnsiTheme="minorHAnsi"/>
          <w:sz w:val="22"/>
          <w:szCs w:val="22"/>
          <w:lang w:val="hu-HU"/>
        </w:rPr>
        <w:t xml:space="preserve">kockázatok </w:t>
      </w:r>
      <w:r w:rsidRPr="006A6890">
        <w:rPr>
          <w:rFonts w:asciiTheme="minorHAnsi" w:hAnsiTheme="minorHAnsi"/>
          <w:sz w:val="22"/>
          <w:szCs w:val="22"/>
        </w:rPr>
        <w:t>és</w:t>
      </w:r>
      <w:r w:rsidR="00D26956" w:rsidRPr="006A6890">
        <w:rPr>
          <w:rFonts w:asciiTheme="minorHAnsi" w:hAnsiTheme="minorHAnsi"/>
          <w:sz w:val="22"/>
          <w:szCs w:val="22"/>
          <w:lang w:val="hu-HU"/>
        </w:rPr>
        <w:t xml:space="preserve"> a </w:t>
      </w:r>
      <w:r w:rsidRPr="006A6890">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501E3834" w14:textId="6E4DEFC6" w:rsidR="00953505"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intézményeknek</w:t>
      </w:r>
      <w:r w:rsidR="004C07A5" w:rsidRPr="006A6890">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173A8B35" w:rsidR="001E1742" w:rsidRPr="006A6890" w:rsidRDefault="001E1742"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w:t>
      </w:r>
      <w:r w:rsidR="00BC6023" w:rsidRPr="006A6890">
        <w:rPr>
          <w:rFonts w:asciiTheme="minorHAnsi" w:hAnsiTheme="minorHAnsi"/>
          <w:sz w:val="22"/>
          <w:szCs w:val="22"/>
          <w:lang w:val="hu-HU"/>
        </w:rPr>
        <w:t>nek</w:t>
      </w:r>
      <w:r w:rsidRPr="006A6890">
        <w:rPr>
          <w:rFonts w:asciiTheme="minorHAnsi" w:hAnsiTheme="minorHAnsi"/>
          <w:sz w:val="22"/>
          <w:szCs w:val="22"/>
        </w:rPr>
        <w:t xml:space="preserve"> </w:t>
      </w:r>
      <w:proofErr w:type="spellStart"/>
      <w:r w:rsidRPr="006A6890">
        <w:rPr>
          <w:rFonts w:asciiTheme="minorHAnsi" w:hAnsiTheme="minorHAnsi"/>
          <w:sz w:val="22"/>
          <w:szCs w:val="22"/>
        </w:rPr>
        <w:t>monitoro</w:t>
      </w:r>
      <w:r w:rsidR="00B97715" w:rsidRPr="006A6890">
        <w:rPr>
          <w:rFonts w:asciiTheme="minorHAnsi" w:hAnsiTheme="minorHAnsi"/>
          <w:sz w:val="22"/>
          <w:szCs w:val="22"/>
          <w:lang w:val="hu-HU"/>
        </w:rPr>
        <w:t>z</w:t>
      </w:r>
      <w:proofErr w:type="spellEnd"/>
      <w:r w:rsidRPr="006A6890">
        <w:rPr>
          <w:rFonts w:asciiTheme="minorHAnsi" w:hAnsiTheme="minorHAnsi"/>
          <w:sz w:val="22"/>
          <w:szCs w:val="22"/>
        </w:rPr>
        <w:t xml:space="preserve">ni </w:t>
      </w:r>
      <w:r w:rsidR="00BC6023" w:rsidRPr="006A6890">
        <w:rPr>
          <w:rFonts w:asciiTheme="minorHAnsi" w:hAnsiTheme="minorHAnsi"/>
          <w:sz w:val="22"/>
          <w:szCs w:val="22"/>
          <w:lang w:val="hu-HU"/>
        </w:rPr>
        <w:t xml:space="preserve">és modellezni </w:t>
      </w:r>
      <w:r w:rsidRPr="006A6890">
        <w:rPr>
          <w:rFonts w:asciiTheme="minorHAnsi" w:hAnsiTheme="minorHAnsi"/>
          <w:sz w:val="22"/>
          <w:szCs w:val="22"/>
        </w:rPr>
        <w:t xml:space="preserve">kell a </w:t>
      </w:r>
      <w:r w:rsidR="00EE3725" w:rsidRPr="006A6890">
        <w:rPr>
          <w:rFonts w:asciiTheme="minorHAnsi" w:hAnsiTheme="minorHAnsi"/>
          <w:sz w:val="22"/>
          <w:szCs w:val="22"/>
        </w:rPr>
        <w:t>hitel előtörlesztés</w:t>
      </w:r>
      <w:r w:rsidRPr="006A6890">
        <w:rPr>
          <w:rFonts w:asciiTheme="minorHAnsi" w:hAnsiTheme="minorHAnsi"/>
          <w:sz w:val="22"/>
          <w:szCs w:val="22"/>
        </w:rPr>
        <w:t xml:space="preserve">ek és betétfeltörések kamatkockázati hatását. </w:t>
      </w:r>
      <w:r w:rsidR="00B5049D" w:rsidRPr="006A6890">
        <w:rPr>
          <w:rFonts w:asciiTheme="minorHAnsi" w:hAnsiTheme="minorHAnsi"/>
          <w:sz w:val="22"/>
          <w:szCs w:val="22"/>
        </w:rPr>
        <w:t>Hasonlóképpen a nemteljesítő kitettségek kamatkockázati sajátosságai</w:t>
      </w:r>
      <w:r w:rsidR="003C4580" w:rsidRPr="006A6890">
        <w:rPr>
          <w:rFonts w:asciiTheme="minorHAnsi" w:hAnsiTheme="minorHAnsi"/>
          <w:sz w:val="22"/>
          <w:szCs w:val="22"/>
          <w:lang w:val="hu-HU"/>
        </w:rPr>
        <w:t>t</w:t>
      </w:r>
      <w:r w:rsidR="00B5049D" w:rsidRPr="006A6890">
        <w:rPr>
          <w:rFonts w:asciiTheme="minorHAnsi" w:hAnsiTheme="minorHAnsi"/>
          <w:sz w:val="22"/>
          <w:szCs w:val="22"/>
        </w:rPr>
        <w:t xml:space="preserve"> is fel kell mérni</w:t>
      </w:r>
      <w:r w:rsidR="003C4580" w:rsidRPr="006A6890">
        <w:rPr>
          <w:rFonts w:asciiTheme="minorHAnsi" w:hAnsiTheme="minorHAnsi"/>
          <w:sz w:val="22"/>
          <w:szCs w:val="22"/>
          <w:lang w:val="hu-HU"/>
        </w:rPr>
        <w:t>,</w:t>
      </w:r>
      <w:r w:rsidR="004C07A5" w:rsidRPr="006A6890">
        <w:rPr>
          <w:rFonts w:asciiTheme="minorHAnsi" w:hAnsiTheme="minorHAnsi"/>
          <w:sz w:val="22"/>
          <w:szCs w:val="22"/>
        </w:rPr>
        <w:t xml:space="preserve"> </w:t>
      </w:r>
      <w:r w:rsidR="003C4580" w:rsidRPr="006A6890">
        <w:rPr>
          <w:rFonts w:asciiTheme="minorHAnsi" w:hAnsiTheme="minorHAnsi"/>
          <w:sz w:val="22"/>
          <w:szCs w:val="22"/>
          <w:lang w:val="hu-HU"/>
        </w:rPr>
        <w:t>e</w:t>
      </w:r>
      <w:proofErr w:type="spellStart"/>
      <w:r w:rsidR="004C07A5" w:rsidRPr="006A6890">
        <w:rPr>
          <w:rFonts w:asciiTheme="minorHAnsi" w:hAnsiTheme="minorHAnsi"/>
          <w:sz w:val="22"/>
          <w:szCs w:val="22"/>
        </w:rPr>
        <w:t>zeket</w:t>
      </w:r>
      <w:proofErr w:type="spellEnd"/>
      <w:r w:rsidR="004C07A5" w:rsidRPr="006A6890">
        <w:rPr>
          <w:rFonts w:asciiTheme="minorHAnsi" w:hAnsiTheme="minorHAnsi"/>
          <w:sz w:val="22"/>
          <w:szCs w:val="22"/>
        </w:rPr>
        <w:t xml:space="preserve"> a hatásokat figyelembe kell venni a kamatkockázati számításokban.</w:t>
      </w:r>
    </w:p>
    <w:p w14:paraId="714ABE2E" w14:textId="3BFB3424" w:rsidR="00EE3725" w:rsidRPr="006A6890" w:rsidRDefault="00B5049D"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r w:rsidR="004E015C" w:rsidRPr="006A6890">
        <w:rPr>
          <w:rFonts w:asciiTheme="minorHAnsi" w:hAnsiTheme="minorHAnsi"/>
          <w:sz w:val="22"/>
          <w:szCs w:val="22"/>
        </w:rPr>
        <w:t xml:space="preserve">EVE szemléletű számításoknál </w:t>
      </w:r>
      <w:r w:rsidRPr="006A6890">
        <w:rPr>
          <w:rFonts w:asciiTheme="minorHAnsi" w:hAnsiTheme="minorHAnsi"/>
          <w:sz w:val="22"/>
          <w:szCs w:val="22"/>
        </w:rPr>
        <w:t xml:space="preserve">intézmények dönthetnek úgy, hogy a diszkontáláshoz használt hozamgörbét </w:t>
      </w:r>
      <w:r w:rsidR="004E015C" w:rsidRPr="006A6890">
        <w:rPr>
          <w:rFonts w:asciiTheme="minorHAnsi" w:hAnsiTheme="minorHAnsi"/>
          <w:sz w:val="22"/>
          <w:szCs w:val="22"/>
        </w:rPr>
        <w:t xml:space="preserve">megnövelik egy hitelkockázati </w:t>
      </w:r>
      <w:proofErr w:type="spellStart"/>
      <w:r w:rsidR="004E015C" w:rsidRPr="006A6890">
        <w:rPr>
          <w:rFonts w:asciiTheme="minorHAnsi" w:hAnsiTheme="minorHAnsi"/>
          <w:sz w:val="22"/>
          <w:szCs w:val="22"/>
        </w:rPr>
        <w:t>spread</w:t>
      </w:r>
      <w:proofErr w:type="spellEnd"/>
      <w:r w:rsidR="004E015C" w:rsidRPr="006A6890">
        <w:rPr>
          <w:rFonts w:asciiTheme="minorHAnsi" w:hAnsiTheme="minorHAnsi"/>
          <w:sz w:val="22"/>
          <w:szCs w:val="22"/>
        </w:rPr>
        <w:t xml:space="preserve"> komponenssel annak érdekében, hogy a </w:t>
      </w:r>
      <w:r w:rsidR="004E015C" w:rsidRPr="006A6890">
        <w:rPr>
          <w:rFonts w:asciiTheme="minorHAnsi" w:hAnsiTheme="minorHAnsi"/>
          <w:sz w:val="22"/>
          <w:szCs w:val="22"/>
        </w:rPr>
        <w:lastRenderedPageBreak/>
        <w:t xml:space="preserve">jövőbeli várható hitelezési veszteségek </w:t>
      </w:r>
      <w:proofErr w:type="spellStart"/>
      <w:r w:rsidR="004E015C" w:rsidRPr="006A6890">
        <w:rPr>
          <w:rFonts w:asciiTheme="minorHAnsi" w:hAnsiTheme="minorHAnsi"/>
          <w:sz w:val="22"/>
          <w:szCs w:val="22"/>
        </w:rPr>
        <w:t>figyel</w:t>
      </w:r>
      <w:r w:rsidR="003C4580" w:rsidRPr="006A6890">
        <w:rPr>
          <w:rFonts w:asciiTheme="minorHAnsi" w:hAnsiTheme="minorHAnsi"/>
          <w:sz w:val="22"/>
          <w:szCs w:val="22"/>
          <w:lang w:val="hu-HU"/>
        </w:rPr>
        <w:t>e</w:t>
      </w:r>
      <w:r w:rsidR="004E015C" w:rsidRPr="006A6890">
        <w:rPr>
          <w:rFonts w:asciiTheme="minorHAnsi" w:hAnsiTheme="minorHAnsi"/>
          <w:sz w:val="22"/>
          <w:szCs w:val="22"/>
        </w:rPr>
        <w:t>m</w:t>
      </w:r>
      <w:r w:rsidR="003C4580" w:rsidRPr="006A6890">
        <w:rPr>
          <w:rFonts w:asciiTheme="minorHAnsi" w:hAnsiTheme="minorHAnsi"/>
          <w:sz w:val="22"/>
          <w:szCs w:val="22"/>
          <w:lang w:val="hu-HU"/>
        </w:rPr>
        <w:t>b</w:t>
      </w:r>
      <w:proofErr w:type="spellEnd"/>
      <w:r w:rsidR="004E015C" w:rsidRPr="006A6890">
        <w:rPr>
          <w:rFonts w:asciiTheme="minorHAnsi" w:hAnsiTheme="minorHAnsi"/>
          <w:sz w:val="22"/>
          <w:szCs w:val="22"/>
        </w:rPr>
        <w:t xml:space="preserve">e legyenek véve a jelenértékben. Ez különösen a jelentős hitelkockázattal és magas </w:t>
      </w:r>
      <w:proofErr w:type="spellStart"/>
      <w:r w:rsidR="004E015C" w:rsidRPr="006A6890">
        <w:rPr>
          <w:rFonts w:asciiTheme="minorHAnsi" w:hAnsiTheme="minorHAnsi"/>
          <w:sz w:val="22"/>
          <w:szCs w:val="22"/>
        </w:rPr>
        <w:t>marzssal</w:t>
      </w:r>
      <w:proofErr w:type="spellEnd"/>
      <w:r w:rsidR="004E015C" w:rsidRPr="006A6890">
        <w:rPr>
          <w:rFonts w:asciiTheme="minorHAnsi" w:hAnsiTheme="minorHAnsi"/>
          <w:sz w:val="22"/>
          <w:szCs w:val="22"/>
        </w:rPr>
        <w:t xml:space="preserve"> rendelkező portfóliók esetében fontos.</w:t>
      </w:r>
    </w:p>
    <w:p w14:paraId="21573D8C" w14:textId="49ED8780" w:rsidR="004E015C" w:rsidRPr="006A6890" w:rsidRDefault="004E015C"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 dönthetnek úgy is, hogy a szerződés szerinti cash-flow-</w:t>
      </w:r>
      <w:proofErr w:type="spellStart"/>
      <w:r w:rsidRPr="006A6890">
        <w:rPr>
          <w:rFonts w:asciiTheme="minorHAnsi" w:hAnsiTheme="minorHAnsi"/>
          <w:sz w:val="22"/>
          <w:szCs w:val="22"/>
        </w:rPr>
        <w:t>kat</w:t>
      </w:r>
      <w:proofErr w:type="spellEnd"/>
      <w:r w:rsidRPr="006A6890">
        <w:rPr>
          <w:rFonts w:asciiTheme="minorHAnsi" w:hAnsiTheme="minorHAnsi"/>
          <w:sz w:val="22"/>
          <w:szCs w:val="22"/>
        </w:rPr>
        <w:t xml:space="preserve"> csökkenti a hitelkockázati </w:t>
      </w:r>
      <w:proofErr w:type="spellStart"/>
      <w:r w:rsidRPr="006A6890">
        <w:rPr>
          <w:rFonts w:asciiTheme="minorHAnsi" w:hAnsiTheme="minorHAnsi"/>
          <w:sz w:val="22"/>
          <w:szCs w:val="22"/>
        </w:rPr>
        <w:t>spread-del</w:t>
      </w:r>
      <w:proofErr w:type="spellEnd"/>
      <w:r w:rsidRPr="006A6890">
        <w:rPr>
          <w:rFonts w:asciiTheme="minorHAnsi" w:hAnsiTheme="minorHAnsi"/>
          <w:sz w:val="22"/>
          <w:szCs w:val="22"/>
        </w:rPr>
        <w:t xml:space="preserve">, vagy a kereskedelmi </w:t>
      </w:r>
      <w:proofErr w:type="spellStart"/>
      <w:r w:rsidRPr="006A6890">
        <w:rPr>
          <w:rFonts w:asciiTheme="minorHAnsi" w:hAnsiTheme="minorHAnsi"/>
          <w:sz w:val="22"/>
          <w:szCs w:val="22"/>
        </w:rPr>
        <w:t>marzssal</w:t>
      </w:r>
      <w:proofErr w:type="spellEnd"/>
      <w:r w:rsidRPr="006A6890">
        <w:rPr>
          <w:rFonts w:asciiTheme="minorHAnsi" w:hAnsiTheme="minorHAnsi"/>
          <w:sz w:val="22"/>
          <w:szCs w:val="22"/>
        </w:rPr>
        <w:t xml:space="preserve">;. Az intézmények nem </w:t>
      </w:r>
      <w:proofErr w:type="spellStart"/>
      <w:r w:rsidRPr="006A6890">
        <w:rPr>
          <w:rFonts w:asciiTheme="minorHAnsi" w:hAnsiTheme="minorHAnsi"/>
          <w:sz w:val="22"/>
          <w:szCs w:val="22"/>
        </w:rPr>
        <w:t>alkamazhatják</w:t>
      </w:r>
      <w:proofErr w:type="spellEnd"/>
      <w:r w:rsidRPr="006A6890">
        <w:rPr>
          <w:rFonts w:asciiTheme="minorHAnsi" w:hAnsiTheme="minorHAnsi"/>
          <w:sz w:val="22"/>
          <w:szCs w:val="22"/>
        </w:rPr>
        <w:t xml:space="preserve"> egyidejűleg ezt a módszert az előző pontban említett diszkontgörbe korrekcióval.</w:t>
      </w:r>
    </w:p>
    <w:p w14:paraId="5E9C210B" w14:textId="77777777" w:rsidR="001321A0"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intézményeknek azonosítani, </w:t>
      </w:r>
      <w:proofErr w:type="spellStart"/>
      <w:r w:rsidRPr="006A6890">
        <w:rPr>
          <w:rFonts w:asciiTheme="minorHAnsi" w:hAnsiTheme="minorHAnsi"/>
          <w:sz w:val="22"/>
          <w:szCs w:val="22"/>
        </w:rPr>
        <w:t>monitorolni</w:t>
      </w:r>
      <w:proofErr w:type="spellEnd"/>
      <w:r w:rsidRPr="006A6890">
        <w:rPr>
          <w:rFonts w:asciiTheme="minorHAnsi" w:hAnsiTheme="minorHAnsi"/>
          <w:sz w:val="22"/>
          <w:szCs w:val="22"/>
        </w:rPr>
        <w:t xml:space="preserve"> és mérni kell a banki könyvi hitelfelár-</w:t>
      </w:r>
      <w:proofErr w:type="spellStart"/>
      <w:r w:rsidRPr="006A6890">
        <w:rPr>
          <w:rFonts w:asciiTheme="minorHAnsi" w:hAnsiTheme="minorHAnsi"/>
          <w:sz w:val="22"/>
          <w:szCs w:val="22"/>
        </w:rPr>
        <w:t>kockázataikait</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CSRBB</w:t>
      </w:r>
      <w:proofErr w:type="spellEnd"/>
      <w:r w:rsidR="00612F9B" w:rsidRPr="006A6890">
        <w:rPr>
          <w:rFonts w:asciiTheme="minorHAnsi" w:hAnsiTheme="minorHAnsi"/>
          <w:sz w:val="22"/>
          <w:szCs w:val="22"/>
        </w:rPr>
        <w:t xml:space="preserve"> – Credit </w:t>
      </w:r>
      <w:proofErr w:type="spellStart"/>
      <w:r w:rsidR="00612F9B" w:rsidRPr="006A6890">
        <w:rPr>
          <w:rFonts w:asciiTheme="minorHAnsi" w:hAnsiTheme="minorHAnsi"/>
          <w:sz w:val="22"/>
          <w:szCs w:val="22"/>
        </w:rPr>
        <w:t>Spread</w:t>
      </w:r>
      <w:proofErr w:type="spellEnd"/>
      <w:r w:rsidR="00612F9B" w:rsidRPr="006A6890">
        <w:rPr>
          <w:rFonts w:asciiTheme="minorHAnsi" w:hAnsiTheme="minorHAnsi"/>
          <w:sz w:val="22"/>
          <w:szCs w:val="22"/>
        </w:rPr>
        <w:t xml:space="preserve"> </w:t>
      </w:r>
      <w:proofErr w:type="spellStart"/>
      <w:r w:rsidR="00612F9B" w:rsidRPr="006A6890">
        <w:rPr>
          <w:rFonts w:asciiTheme="minorHAnsi" w:hAnsiTheme="minorHAnsi"/>
          <w:sz w:val="22"/>
          <w:szCs w:val="22"/>
        </w:rPr>
        <w:t>Risk</w:t>
      </w:r>
      <w:proofErr w:type="spellEnd"/>
      <w:r w:rsidR="00612F9B" w:rsidRPr="006A6890">
        <w:rPr>
          <w:rFonts w:asciiTheme="minorHAnsi" w:hAnsiTheme="minorHAnsi"/>
          <w:sz w:val="22"/>
          <w:szCs w:val="22"/>
        </w:rPr>
        <w:t xml:space="preserve"> in </w:t>
      </w:r>
      <w:proofErr w:type="spellStart"/>
      <w:r w:rsidR="00612F9B" w:rsidRPr="006A6890">
        <w:rPr>
          <w:rFonts w:asciiTheme="minorHAnsi" w:hAnsiTheme="minorHAnsi"/>
          <w:sz w:val="22"/>
          <w:szCs w:val="22"/>
        </w:rPr>
        <w:t>the</w:t>
      </w:r>
      <w:proofErr w:type="spellEnd"/>
      <w:r w:rsidR="00612F9B" w:rsidRPr="006A6890">
        <w:rPr>
          <w:rFonts w:asciiTheme="minorHAnsi" w:hAnsiTheme="minorHAnsi"/>
          <w:sz w:val="22"/>
          <w:szCs w:val="22"/>
        </w:rPr>
        <w:t xml:space="preserve"> Banking </w:t>
      </w:r>
      <w:proofErr w:type="spellStart"/>
      <w:r w:rsidR="00612F9B" w:rsidRPr="006A6890">
        <w:rPr>
          <w:rFonts w:asciiTheme="minorHAnsi" w:hAnsiTheme="minorHAnsi"/>
          <w:sz w:val="22"/>
          <w:szCs w:val="22"/>
        </w:rPr>
        <w:t>Book</w:t>
      </w:r>
      <w:proofErr w:type="spellEnd"/>
      <w:r w:rsidRPr="006A6890">
        <w:rPr>
          <w:rFonts w:asciiTheme="minorHAnsi" w:hAnsiTheme="minorHAnsi"/>
          <w:sz w:val="22"/>
          <w:szCs w:val="22"/>
        </w:rPr>
        <w:t>).</w:t>
      </w:r>
    </w:p>
    <w:p w14:paraId="5D290E96" w14:textId="2C34F541" w:rsidR="00EE3725" w:rsidRPr="006A6890" w:rsidRDefault="003B32D4"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 xml:space="preserve">Az intézményeknek a negatív kamatlábak esetében tekintettel kell </w:t>
      </w:r>
      <w:r w:rsidR="00B61D40" w:rsidRPr="006A6890">
        <w:rPr>
          <w:rFonts w:asciiTheme="minorHAnsi" w:hAnsiTheme="minorHAnsi"/>
          <w:sz w:val="22"/>
          <w:szCs w:val="22"/>
          <w:lang w:val="hu-HU"/>
        </w:rPr>
        <w:t>le</w:t>
      </w:r>
      <w:r w:rsidRPr="006A6890">
        <w:rPr>
          <w:rFonts w:asciiTheme="minorHAnsi" w:hAnsiTheme="minorHAnsi"/>
          <w:sz w:val="22"/>
          <w:szCs w:val="22"/>
          <w:lang w:val="hu-HU"/>
        </w:rPr>
        <w:t>nniük a termékre jellemző kamatlábpadlókra, amelyek eredhetnek a szerződéses jellegből, törvényi háttérből vagy a jellemző ügyfél</w:t>
      </w:r>
      <w:r w:rsidR="003C4580" w:rsidRPr="006A6890">
        <w:rPr>
          <w:rFonts w:asciiTheme="minorHAnsi" w:hAnsiTheme="minorHAnsi"/>
          <w:sz w:val="22"/>
          <w:szCs w:val="22"/>
          <w:lang w:val="hu-HU"/>
        </w:rPr>
        <w:t>magatartásból</w:t>
      </w:r>
      <w:r w:rsidRPr="006A6890">
        <w:rPr>
          <w:rFonts w:asciiTheme="minorHAnsi" w:hAnsiTheme="minorHAnsi"/>
          <w:sz w:val="22"/>
          <w:szCs w:val="22"/>
          <w:lang w:val="hu-HU"/>
        </w:rPr>
        <w:t xml:space="preserve">. </w:t>
      </w:r>
    </w:p>
    <w:p w14:paraId="622A6448" w14:textId="785E1305" w:rsidR="003C4580" w:rsidRPr="006A6890" w:rsidRDefault="003C458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Az intézmények l</w:t>
      </w:r>
      <w:r w:rsidRPr="006A6890">
        <w:rPr>
          <w:rFonts w:asciiTheme="minorHAnsi" w:hAnsiTheme="minorHAnsi"/>
          <w:sz w:val="22"/>
          <w:szCs w:val="22"/>
        </w:rPr>
        <w:t>egyenek tekintettel a termékekben rejlő automatikus és viselkedési opciókra</w:t>
      </w:r>
      <w:r w:rsidRPr="006A6890">
        <w:rPr>
          <w:rFonts w:asciiTheme="minorHAnsi" w:hAnsiTheme="minorHAnsi"/>
          <w:sz w:val="22"/>
          <w:szCs w:val="22"/>
          <w:lang w:val="hu-HU"/>
        </w:rPr>
        <w:t>.</w:t>
      </w:r>
    </w:p>
    <w:p w14:paraId="4C0CA332" w14:textId="0551DA2C" w:rsidR="00E92AF7" w:rsidRPr="006A6890" w:rsidRDefault="00E92AF7" w:rsidP="00E92AF7">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proofErr w:type="spellStart"/>
      <w:r w:rsidRPr="006A6890">
        <w:rPr>
          <w:rFonts w:asciiTheme="minorHAnsi" w:hAnsiTheme="minorHAnsi"/>
          <w:sz w:val="22"/>
          <w:szCs w:val="22"/>
        </w:rPr>
        <w:t>átárazódási</w:t>
      </w:r>
      <w:proofErr w:type="spellEnd"/>
      <w:r w:rsidRPr="006A6890">
        <w:rPr>
          <w:rFonts w:asciiTheme="minorHAnsi" w:hAnsiTheme="minorHAnsi"/>
          <w:sz w:val="22"/>
          <w:szCs w:val="22"/>
        </w:rPr>
        <w:t xml:space="preserve"> időpont nélküli kitettségek </w:t>
      </w:r>
      <w:r w:rsidR="006A462E" w:rsidRPr="006A6890">
        <w:rPr>
          <w:rFonts w:asciiTheme="minorHAnsi" w:hAnsiTheme="minorHAnsi"/>
          <w:sz w:val="22"/>
          <w:szCs w:val="22"/>
          <w:lang w:val="hu-HU"/>
        </w:rPr>
        <w:t xml:space="preserve">átlagos átárazási idejét </w:t>
      </w:r>
      <w:r w:rsidRPr="006A6890">
        <w:rPr>
          <w:rFonts w:asciiTheme="minorHAnsi" w:hAnsiTheme="minorHAnsi"/>
          <w:sz w:val="22"/>
          <w:szCs w:val="22"/>
        </w:rPr>
        <w:t>legfeljebb 5 évben határozza meg</w:t>
      </w:r>
      <w:r w:rsidR="006A462E" w:rsidRPr="006A6890">
        <w:rPr>
          <w:rFonts w:asciiTheme="minorHAnsi" w:hAnsiTheme="minorHAnsi"/>
          <w:sz w:val="22"/>
          <w:szCs w:val="22"/>
          <w:lang w:val="hu-HU"/>
        </w:rPr>
        <w:t>, minden devizanem esetén.</w:t>
      </w:r>
    </w:p>
    <w:p w14:paraId="015CDA2B" w14:textId="0F5614FF" w:rsidR="003C4580" w:rsidRPr="006A6890" w:rsidRDefault="003C458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intézmény használhat egy harmadik fél által kifejlesztett modellt is, amennyiben azt </w:t>
      </w:r>
      <w:proofErr w:type="spellStart"/>
      <w:r w:rsidRPr="006A6890">
        <w:rPr>
          <w:rFonts w:asciiTheme="minorHAnsi" w:hAnsiTheme="minorHAnsi"/>
          <w:sz w:val="22"/>
          <w:szCs w:val="22"/>
        </w:rPr>
        <w:t>teljeskörűen</w:t>
      </w:r>
      <w:proofErr w:type="spellEnd"/>
      <w:r w:rsidRPr="006A6890">
        <w:rPr>
          <w:rFonts w:asciiTheme="minorHAnsi" w:hAnsiTheme="minorHAnsi"/>
          <w:sz w:val="22"/>
          <w:szCs w:val="22"/>
        </w:rPr>
        <w:t xml:space="preserve"> megérti és képes az intézmény egyedi tulajdonságait tükrözve</w:t>
      </w:r>
      <w:r w:rsidRPr="006A6890">
        <w:rPr>
          <w:rFonts w:asciiTheme="minorHAnsi" w:hAnsiTheme="minorHAnsi"/>
          <w:sz w:val="22"/>
          <w:szCs w:val="22"/>
          <w:lang w:val="hu-HU"/>
        </w:rPr>
        <w:t xml:space="preserve"> azt</w:t>
      </w:r>
      <w:r w:rsidRPr="006A6890">
        <w:rPr>
          <w:rFonts w:asciiTheme="minorHAnsi" w:hAnsiTheme="minorHAnsi"/>
          <w:sz w:val="22"/>
          <w:szCs w:val="22"/>
        </w:rPr>
        <w:t xml:space="preserve"> </w:t>
      </w:r>
      <w:proofErr w:type="spellStart"/>
      <w:r w:rsidRPr="006A6890">
        <w:rPr>
          <w:rFonts w:asciiTheme="minorHAnsi" w:hAnsiTheme="minorHAnsi"/>
          <w:sz w:val="22"/>
          <w:szCs w:val="22"/>
        </w:rPr>
        <w:t>testreszabni</w:t>
      </w:r>
      <w:proofErr w:type="spellEnd"/>
      <w:r w:rsidRPr="006A6890">
        <w:rPr>
          <w:rFonts w:asciiTheme="minorHAnsi" w:hAnsiTheme="minorHAnsi"/>
          <w:sz w:val="22"/>
          <w:szCs w:val="22"/>
        </w:rPr>
        <w:t>.</w:t>
      </w:r>
    </w:p>
    <w:p w14:paraId="6842069E" w14:textId="77777777" w:rsidR="00575D8D" w:rsidRPr="006A6890" w:rsidRDefault="00575D8D" w:rsidP="004F0500">
      <w:pPr>
        <w:pStyle w:val="ListParagraph"/>
        <w:spacing w:after="150"/>
        <w:rPr>
          <w:rFonts w:asciiTheme="minorHAnsi" w:hAnsiTheme="minorHAnsi"/>
          <w:sz w:val="22"/>
        </w:rPr>
      </w:pPr>
    </w:p>
    <w:p w14:paraId="692DF00E" w14:textId="77777777" w:rsidR="00474AA0" w:rsidRPr="004B5D1A" w:rsidRDefault="00DA1560" w:rsidP="00181755">
      <w:pPr>
        <w:rPr>
          <w:rFonts w:asciiTheme="minorHAnsi" w:hAnsiTheme="minorHAnsi"/>
          <w:b/>
        </w:rPr>
      </w:pPr>
      <w:r w:rsidRPr="006A6890">
        <w:rPr>
          <w:rFonts w:asciiTheme="minorHAnsi" w:hAnsiTheme="minorHAnsi"/>
          <w:b/>
          <w:bCs/>
        </w:rPr>
        <w:t xml:space="preserve">A banki könyv kamatlábkockázatához kapcsolódó stressz-tesztek </w:t>
      </w:r>
    </w:p>
    <w:p w14:paraId="66B15596" w14:textId="3766E8C9" w:rsidR="00DA1560" w:rsidRPr="006A6890" w:rsidRDefault="00017B08" w:rsidP="00181755">
      <w:pPr>
        <w:rPr>
          <w:rFonts w:asciiTheme="minorHAnsi" w:hAnsiTheme="minorHAnsi"/>
          <w:i/>
        </w:rPr>
      </w:pPr>
      <w:r w:rsidRPr="006A6890">
        <w:rPr>
          <w:rFonts w:asciiTheme="minorHAnsi" w:hAnsiTheme="minorHAnsi"/>
          <w:b/>
          <w:bCs/>
          <w:i/>
        </w:rPr>
        <w:t>Felügye</w:t>
      </w:r>
      <w:r w:rsidR="00C43B79" w:rsidRPr="006A6890">
        <w:rPr>
          <w:rFonts w:asciiTheme="minorHAnsi" w:hAnsiTheme="minorHAnsi"/>
          <w:b/>
          <w:bCs/>
          <w:i/>
        </w:rPr>
        <w:t>l</w:t>
      </w:r>
      <w:r w:rsidRPr="006A6890">
        <w:rPr>
          <w:rFonts w:asciiTheme="minorHAnsi" w:hAnsiTheme="minorHAnsi"/>
          <w:b/>
          <w:bCs/>
          <w:i/>
        </w:rPr>
        <w:t xml:space="preserve">eti </w:t>
      </w:r>
      <w:proofErr w:type="spellStart"/>
      <w:r w:rsidRPr="006A6890">
        <w:rPr>
          <w:rFonts w:asciiTheme="minorHAnsi" w:hAnsiTheme="minorHAnsi"/>
          <w:b/>
          <w:bCs/>
          <w:i/>
        </w:rPr>
        <w:t>outlier</w:t>
      </w:r>
      <w:proofErr w:type="spellEnd"/>
      <w:r w:rsidRPr="006A6890">
        <w:rPr>
          <w:rFonts w:asciiTheme="minorHAnsi" w:hAnsiTheme="minorHAnsi"/>
          <w:b/>
          <w:bCs/>
          <w:i/>
        </w:rPr>
        <w:t>-teszt</w:t>
      </w:r>
    </w:p>
    <w:p w14:paraId="66B15597" w14:textId="7C3E721F" w:rsidR="00DA1560" w:rsidRPr="006A6890" w:rsidRDefault="00DA1560" w:rsidP="00EA0541">
      <w:pPr>
        <w:rPr>
          <w:rFonts w:asciiTheme="minorHAnsi" w:hAnsiTheme="minorHAnsi"/>
        </w:rPr>
      </w:pPr>
      <w:r w:rsidRPr="006A6890">
        <w:rPr>
          <w:rFonts w:asciiTheme="minorHAnsi" w:hAnsiTheme="minorHAnsi"/>
        </w:rPr>
        <w:t>Az MNB a banki könyvi kamatlábkockázat-kezelés részeként elvárja, hogy az intézmények rendszeres</w:t>
      </w:r>
      <w:r w:rsidR="003C4580" w:rsidRPr="006A6890">
        <w:rPr>
          <w:rFonts w:asciiTheme="minorHAnsi" w:hAnsiTheme="minorHAnsi"/>
        </w:rPr>
        <w:t>en</w:t>
      </w:r>
      <w:r w:rsidRPr="006A6890">
        <w:rPr>
          <w:rFonts w:asciiTheme="minorHAnsi" w:hAnsiTheme="minorHAnsi"/>
        </w:rPr>
        <w:t xml:space="preserve"> </w:t>
      </w:r>
      <w:r w:rsidR="003C4580" w:rsidRPr="006A6890">
        <w:rPr>
          <w:rFonts w:asciiTheme="minorHAnsi" w:hAnsiTheme="minorHAnsi"/>
        </w:rPr>
        <w:t xml:space="preserve">(negyedévente) </w:t>
      </w:r>
      <w:r w:rsidRPr="006A6890">
        <w:rPr>
          <w:rFonts w:asciiTheme="minorHAnsi" w:hAnsiTheme="minorHAnsi"/>
        </w:rPr>
        <w:t xml:space="preserve">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w:t>
      </w:r>
      <w:r w:rsidR="006A462E" w:rsidRPr="006A6890">
        <w:rPr>
          <w:rFonts w:asciiTheme="minorHAnsi" w:hAnsiTheme="minorHAnsi"/>
        </w:rPr>
        <w:t xml:space="preserve">és irányú </w:t>
      </w:r>
      <w:r w:rsidRPr="006A6890">
        <w:rPr>
          <w:rFonts w:asciiTheme="minorHAnsi" w:hAnsiTheme="minorHAnsi"/>
        </w:rPr>
        <w:t>párhuzamos eltolódását magában foglaló forgatókönyvet kell tartalmaznia. Az alapnak tekintett párhuzamos hozamgörbe-sokk forgatókönyv</w:t>
      </w:r>
      <w:r w:rsidR="006A462E" w:rsidRPr="006A6890">
        <w:rPr>
          <w:rFonts w:asciiTheme="minorHAnsi" w:hAnsiTheme="minorHAnsi"/>
        </w:rPr>
        <w:t>eke</w:t>
      </w:r>
      <w:r w:rsidRPr="006A6890">
        <w:rPr>
          <w:rFonts w:asciiTheme="minorHAnsi" w:hAnsiTheme="minorHAnsi"/>
        </w:rPr>
        <w:t xml:space="preserve">n túlmenően, a kockázatok teljesebb felmérése érdekében </w:t>
      </w:r>
      <w:r w:rsidR="006A462E" w:rsidRPr="006A6890">
        <w:rPr>
          <w:rFonts w:asciiTheme="minorHAnsi" w:hAnsiTheme="minorHAnsi"/>
        </w:rPr>
        <w:t xml:space="preserve">elvárt </w:t>
      </w:r>
      <w:r w:rsidRPr="006A6890">
        <w:rPr>
          <w:rFonts w:asciiTheme="minorHAnsi" w:hAnsiTheme="minorHAnsi"/>
        </w:rPr>
        <w:t>a kamatlábak további stressz-szerű alakulásának, a hozamgörbék alakjának és meredekségének változását szimuláló forgatókönyvek alkalmazása</w:t>
      </w:r>
      <w:r w:rsidR="00AC0907" w:rsidRPr="006A6890">
        <w:rPr>
          <w:rFonts w:asciiTheme="minorHAnsi" w:hAnsiTheme="minorHAnsi"/>
        </w:rPr>
        <w:t>.</w:t>
      </w:r>
    </w:p>
    <w:p w14:paraId="66B15598" w14:textId="05B2A08F" w:rsidR="00DA1560" w:rsidRPr="006A6890" w:rsidRDefault="00DA1560" w:rsidP="00EA0541">
      <w:pPr>
        <w:rPr>
          <w:rFonts w:asciiTheme="minorHAnsi" w:hAnsiTheme="minorHAnsi"/>
        </w:rPr>
      </w:pPr>
      <w:r w:rsidRPr="006A6890">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sidRPr="006A6890">
        <w:rPr>
          <w:rFonts w:asciiTheme="minorHAnsi" w:hAnsiTheme="minorHAnsi"/>
        </w:rPr>
        <w:t xml:space="preserve">az adott devizanemben </w:t>
      </w:r>
      <w:r w:rsidRPr="006A6890">
        <w:rPr>
          <w:rFonts w:asciiTheme="minorHAnsi" w:hAnsiTheme="minorHAnsi"/>
        </w:rPr>
        <w:t xml:space="preserve">meghaladja az összes banki könyvi tétel </w:t>
      </w:r>
      <w:r w:rsidR="00BE3993" w:rsidRPr="006A6890">
        <w:rPr>
          <w:rFonts w:asciiTheme="minorHAnsi" w:hAnsiTheme="minorHAnsi"/>
        </w:rPr>
        <w:t xml:space="preserve">állományának </w:t>
      </w:r>
      <w:r w:rsidRPr="006A6890">
        <w:rPr>
          <w:rFonts w:asciiTheme="minorHAnsi" w:hAnsiTheme="minorHAnsi"/>
        </w:rPr>
        <w:t>5%-át</w:t>
      </w:r>
      <w:r w:rsidR="00046B36" w:rsidRPr="006A6890">
        <w:rPr>
          <w:rFonts w:asciiTheme="minorHAnsi" w:hAnsiTheme="minorHAnsi"/>
        </w:rPr>
        <w:t>, illetve együttes összegük kiteszi ezen állomány legalább 90%-át. (Ha az 5%-</w:t>
      </w:r>
      <w:proofErr w:type="spellStart"/>
      <w:r w:rsidR="00046B36" w:rsidRPr="006A6890">
        <w:rPr>
          <w:rFonts w:asciiTheme="minorHAnsi" w:hAnsiTheme="minorHAnsi"/>
        </w:rPr>
        <w:t>nál</w:t>
      </w:r>
      <w:proofErr w:type="spellEnd"/>
      <w:r w:rsidR="00046B36" w:rsidRPr="006A6890">
        <w:rPr>
          <w:rFonts w:asciiTheme="minorHAnsi" w:hAnsiTheme="minorHAnsi"/>
        </w:rPr>
        <w:t xml:space="preserve"> nagyobb arányú devizák nem teszik ki a teljes banki könyv 90%-át, akkor a kisebb arányúak is bekerülnek a számításba.)</w:t>
      </w:r>
    </w:p>
    <w:p w14:paraId="66B15599" w14:textId="1E06CA4B" w:rsidR="00DA1560" w:rsidRPr="006A6890" w:rsidRDefault="00DA1560" w:rsidP="00EA0541">
      <w:pPr>
        <w:rPr>
          <w:rFonts w:asciiTheme="minorHAnsi" w:hAnsiTheme="minorHAnsi"/>
        </w:rPr>
      </w:pPr>
      <w:r w:rsidRPr="006A6890">
        <w:rPr>
          <w:rFonts w:asciiTheme="minorHAnsi" w:hAnsiTheme="minorHAnsi"/>
        </w:rPr>
        <w:t xml:space="preserve">Az MNB elvárja, hogy az alkalmazott kamatláb-sokkok mértékének meghatározásakor az intézmény figyelembe vegye </w:t>
      </w:r>
      <w:r w:rsidR="00EC5F6D" w:rsidRPr="006A6890">
        <w:rPr>
          <w:rFonts w:asciiTheme="minorHAnsi" w:hAnsiTheme="minorHAnsi"/>
        </w:rPr>
        <w:t>–</w:t>
      </w:r>
      <w:r w:rsidRPr="006A6890">
        <w:rPr>
          <w:rFonts w:asciiTheme="minorHAnsi" w:hAnsiTheme="minorHAnsi"/>
        </w:rPr>
        <w:t xml:space="preserve"> minden érintett devizanem esetén </w:t>
      </w:r>
      <w:r w:rsidR="00EC5F6D" w:rsidRPr="006A6890">
        <w:rPr>
          <w:rFonts w:asciiTheme="minorHAnsi" w:hAnsiTheme="minorHAnsi"/>
        </w:rPr>
        <w:t>–</w:t>
      </w:r>
      <w:r w:rsidRPr="006A6890">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sidRPr="006A6890">
        <w:rPr>
          <w:rFonts w:asciiTheme="minorHAnsi" w:hAnsiTheme="minorHAnsi"/>
        </w:rPr>
        <w:t xml:space="preserve">ok fajtáira és </w:t>
      </w:r>
      <w:r w:rsidRPr="006A6890">
        <w:rPr>
          <w:rFonts w:asciiTheme="minorHAnsi" w:hAnsiTheme="minorHAnsi"/>
        </w:rPr>
        <w:t>mértékére vonatkozó</w:t>
      </w:r>
      <w:r w:rsidR="008964E9" w:rsidRPr="006A6890">
        <w:rPr>
          <w:rFonts w:asciiTheme="minorHAnsi" w:hAnsiTheme="minorHAnsi"/>
        </w:rPr>
        <w:t xml:space="preserve">an a nemzetközi ajánlásokban (részletesen ld. később) megjelenő forgatókönyveket tartjuk irányadónak. </w:t>
      </w:r>
      <w:r w:rsidRPr="006A6890">
        <w:rPr>
          <w:rFonts w:asciiTheme="minorHAnsi" w:hAnsiTheme="minorHAnsi"/>
        </w:rPr>
        <w:t xml:space="preserve"> </w:t>
      </w:r>
    </w:p>
    <w:p w14:paraId="4CC07714" w14:textId="672BD45C" w:rsidR="0094382D" w:rsidRPr="006A6890" w:rsidRDefault="0094382D" w:rsidP="00EA0541">
      <w:pPr>
        <w:rPr>
          <w:rFonts w:asciiTheme="minorHAnsi" w:hAnsiTheme="minorHAnsi"/>
        </w:rPr>
      </w:pPr>
      <w:r w:rsidRPr="006A6890">
        <w:rPr>
          <w:rFonts w:asciiTheme="minorHAnsi" w:hAnsiTheme="minorHAnsi"/>
        </w:rPr>
        <w:t>Amikor az intézmény a tőke gazdasági értékének összesített változását számolja az egyes kamatláb-sokkforgatókönyvek esetében, adja össze a tőke gazdasági értékének az összes pénznemben megfigyelt negatív és pozitív változását. Ekkor viszont a pozitív változásokat csak 50%-os súllyal vegye figyelembe.</w:t>
      </w:r>
    </w:p>
    <w:p w14:paraId="177EC4B6" w14:textId="03C675F3" w:rsidR="0094382D" w:rsidRPr="006A6890" w:rsidRDefault="0094382D" w:rsidP="00EA0541">
      <w:pPr>
        <w:rPr>
          <w:rFonts w:asciiTheme="minorHAnsi" w:hAnsiTheme="minorHAnsi"/>
        </w:rPr>
      </w:pPr>
      <w:r w:rsidRPr="006A6890">
        <w:rPr>
          <w:rFonts w:asciiTheme="minorHAnsi" w:hAnsiTheme="minorHAnsi"/>
        </w:rPr>
        <w:t>A forgatókönyvekben a tőke gazdasági értékének számítása során az intézmények kifutó mérleget feltételezzenek.</w:t>
      </w:r>
    </w:p>
    <w:p w14:paraId="6FA7922A" w14:textId="7589602D" w:rsidR="00E61500" w:rsidRPr="006A6890" w:rsidRDefault="00E61500" w:rsidP="00EA0541">
      <w:pPr>
        <w:rPr>
          <w:rFonts w:asciiTheme="minorHAnsi" w:hAnsiTheme="minorHAnsi"/>
        </w:rPr>
      </w:pPr>
      <w:r w:rsidRPr="006A6890">
        <w:rPr>
          <w:rFonts w:asciiTheme="minorHAnsi" w:hAnsiTheme="minorHAnsi"/>
        </w:rPr>
        <w:t xml:space="preserve">A kereskedelmi </w:t>
      </w:r>
      <w:proofErr w:type="spellStart"/>
      <w:r w:rsidRPr="006A6890">
        <w:rPr>
          <w:rFonts w:asciiTheme="minorHAnsi" w:hAnsiTheme="minorHAnsi"/>
        </w:rPr>
        <w:t>árréseket</w:t>
      </w:r>
      <w:proofErr w:type="spellEnd"/>
      <w:r w:rsidRPr="006A6890">
        <w:rPr>
          <w:rFonts w:asciiTheme="minorHAnsi" w:hAnsiTheme="minorHAnsi"/>
        </w:rPr>
        <w:t xml:space="preserve"> és kamatfizetési </w:t>
      </w:r>
      <w:proofErr w:type="spellStart"/>
      <w:r w:rsidRPr="006A6890">
        <w:rPr>
          <w:rFonts w:asciiTheme="minorHAnsi" w:hAnsiTheme="minorHAnsi"/>
        </w:rPr>
        <w:t>árréseket</w:t>
      </w:r>
      <w:proofErr w:type="spellEnd"/>
      <w:r w:rsidRPr="006A6890">
        <w:rPr>
          <w:rFonts w:asciiTheme="minorHAnsi" w:hAnsiTheme="minorHAnsi"/>
        </w:rPr>
        <w:t xml:space="preserve"> a belső vezetési és értékelési megközelítésével összhangban vegye figyelembe vagy zárja ki. Amennyiben a kizárás mellett dönt, arról a Felügyletet is értesítse.</w:t>
      </w:r>
    </w:p>
    <w:p w14:paraId="058B5174" w14:textId="77777777" w:rsidR="0094382D" w:rsidRPr="006A6890" w:rsidRDefault="0094382D" w:rsidP="00EA0541">
      <w:pPr>
        <w:rPr>
          <w:rFonts w:asciiTheme="minorHAnsi" w:hAnsiTheme="minorHAnsi"/>
        </w:rPr>
      </w:pPr>
    </w:p>
    <w:p w14:paraId="6EB331D0" w14:textId="11D0CCDD" w:rsidR="007C1883" w:rsidRPr="006A6890" w:rsidRDefault="007C1883" w:rsidP="00EA0541">
      <w:pPr>
        <w:rPr>
          <w:rFonts w:asciiTheme="minorHAnsi" w:hAnsiTheme="minorHAnsi"/>
        </w:rPr>
      </w:pPr>
      <w:r w:rsidRPr="006A6890">
        <w:rPr>
          <w:rFonts w:asciiTheme="minorHAnsi" w:hAnsiTheme="minorHAnsi"/>
        </w:rPr>
        <w:lastRenderedPageBreak/>
        <w:t>Amennyiben a banki könyv kamatlábkockázatára vonatkozó, a hozamgörbe +/-200 bázispontos párhuzamos eltolódását feltételező forgatókönyvekben a hitelintézet gazdasági értékének a szavatoló tőkéje 20%-</w:t>
      </w:r>
      <w:proofErr w:type="spellStart"/>
      <w:r w:rsidRPr="006A6890">
        <w:rPr>
          <w:rFonts w:asciiTheme="minorHAnsi" w:hAnsiTheme="minorHAnsi"/>
        </w:rPr>
        <w:t>ánál</w:t>
      </w:r>
      <w:proofErr w:type="spellEnd"/>
      <w:r w:rsidRPr="006A6890">
        <w:rPr>
          <w:rFonts w:asciiTheme="minorHAnsi" w:hAnsiTheme="minorHAnsi"/>
        </w:rPr>
        <w:t xml:space="preserve">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w:t>
      </w:r>
      <w:proofErr w:type="spellStart"/>
      <w:r w:rsidRPr="006A6890">
        <w:rPr>
          <w:rFonts w:asciiTheme="minorHAnsi" w:hAnsiTheme="minorHAnsi"/>
        </w:rPr>
        <w:t>elégségességét</w:t>
      </w:r>
      <w:proofErr w:type="spellEnd"/>
      <w:r w:rsidRPr="006A6890">
        <w:rPr>
          <w:rFonts w:asciiTheme="minorHAnsi" w:hAnsiTheme="minorHAnsi"/>
        </w:rPr>
        <w:t xml:space="preserve">, ez alapján pedig a felügyeleti beavatkozás megfelelő formáját és eszközét. A 2019.06.30-tól hatályos újabb </w:t>
      </w:r>
      <w:proofErr w:type="spellStart"/>
      <w:r w:rsidRPr="006A6890">
        <w:rPr>
          <w:rFonts w:asciiTheme="minorHAnsi" w:hAnsiTheme="minorHAnsi"/>
        </w:rPr>
        <w:t>EBA</w:t>
      </w:r>
      <w:proofErr w:type="spellEnd"/>
      <w:r w:rsidRPr="006A6890">
        <w:rPr>
          <w:rFonts w:asciiTheme="minorHAnsi" w:hAnsiTheme="minorHAnsi"/>
        </w:rPr>
        <w:t xml:space="preserve"> ajánlás, a tőkeérték változás küszöbértékeként meghatároz egy további 15%-os korai figyelmeztető szintet az intézmény alapvető tőkéjéhez mérten</w:t>
      </w:r>
      <w:r w:rsidR="00AC0907" w:rsidRPr="006A6890">
        <w:rPr>
          <w:rFonts w:asciiTheme="minorHAnsi" w:hAnsiTheme="minorHAnsi"/>
        </w:rPr>
        <w:t xml:space="preserve">, aminek megsértése nem igényel azonnali intézkedést, azonban az intézményeknek a figyelmeztető szint eléréséről vagy meghaladásáról értesítenie kell az MNB-t. Az MNB elvárása szerint a gazdasági érték érzékenységét </w:t>
      </w:r>
      <w:r w:rsidRPr="006A6890">
        <w:rPr>
          <w:rFonts w:asciiTheme="minorHAnsi" w:hAnsiTheme="minorHAnsi"/>
        </w:rPr>
        <w:t xml:space="preserve">a külföldi devizákra vonatkozóan az </w:t>
      </w:r>
      <w:proofErr w:type="spellStart"/>
      <w:r w:rsidRPr="006A6890">
        <w:rPr>
          <w:rFonts w:asciiTheme="minorHAnsi" w:hAnsiTheme="minorHAnsi"/>
        </w:rPr>
        <w:t>EBA</w:t>
      </w:r>
      <w:proofErr w:type="spellEnd"/>
      <w:r w:rsidRPr="006A6890">
        <w:rPr>
          <w:rFonts w:asciiTheme="minorHAnsi" w:hAnsiTheme="minorHAnsi"/>
        </w:rPr>
        <w:t xml:space="preserve"> 2018/2 iránymutatásának III. sz mellékletében szereplő forgatókönyvek alapján, a forint esetében a jelen dokumentumban meghatározott kamatváltozások alkalmazásával. (ld.2. függelék)</w:t>
      </w:r>
      <w:r w:rsidR="00AC0907" w:rsidRPr="006A6890">
        <w:rPr>
          <w:rFonts w:asciiTheme="minorHAnsi" w:hAnsiTheme="minorHAnsi"/>
        </w:rPr>
        <w:t xml:space="preserve"> kell számszerűsíteni.</w:t>
      </w:r>
      <w:r w:rsidRPr="006A6890">
        <w:rPr>
          <w:rFonts w:asciiTheme="minorHAnsi" w:hAnsiTheme="minorHAnsi"/>
        </w:rPr>
        <w:t xml:space="preserve"> </w:t>
      </w:r>
    </w:p>
    <w:p w14:paraId="6CC1FD2D" w14:textId="3381FD33" w:rsidR="00474AA0" w:rsidRPr="006A6890" w:rsidRDefault="00474AA0" w:rsidP="00181755">
      <w:pPr>
        <w:rPr>
          <w:rFonts w:asciiTheme="minorHAnsi" w:hAnsiTheme="minorHAnsi"/>
          <w:b/>
          <w:i/>
        </w:rPr>
      </w:pPr>
      <w:r w:rsidRPr="006A6890">
        <w:rPr>
          <w:rFonts w:asciiTheme="minorHAnsi" w:hAnsiTheme="minorHAnsi"/>
          <w:b/>
          <w:i/>
        </w:rPr>
        <w:t>További stressztesztek</w:t>
      </w:r>
    </w:p>
    <w:p w14:paraId="530F8693" w14:textId="77777777" w:rsidR="003C4580" w:rsidRPr="006A6890" w:rsidRDefault="003C4580" w:rsidP="00EA0541">
      <w:pPr>
        <w:rPr>
          <w:rFonts w:asciiTheme="minorHAnsi" w:hAnsiTheme="minorHAnsi"/>
        </w:rPr>
      </w:pPr>
      <w:r w:rsidRPr="006A6890">
        <w:rPr>
          <w:rFonts w:asciiTheme="minorHAnsi" w:hAnsiTheme="minorHAnsi"/>
        </w:rPr>
        <w:t xml:space="preserve">Javasolt fordított </w:t>
      </w:r>
      <w:proofErr w:type="spellStart"/>
      <w:r w:rsidRPr="006A6890">
        <w:rPr>
          <w:rFonts w:asciiTheme="minorHAnsi" w:hAnsiTheme="minorHAnsi"/>
        </w:rPr>
        <w:t>stresztesztek</w:t>
      </w:r>
      <w:proofErr w:type="spellEnd"/>
      <w:r w:rsidRPr="006A6890">
        <w:rPr>
          <w:rFonts w:asciiTheme="minorHAnsi" w:hAnsiTheme="minorHAnsi"/>
        </w:rPr>
        <w:t xml:space="preserve"> futtatása, a súlyos kamatláb-forgatókönyvek, valamint a startégiából vagy ügyfélmagatartásból származó sérülékenységek azonosítására. </w:t>
      </w:r>
    </w:p>
    <w:p w14:paraId="15AAA5B9" w14:textId="77777777" w:rsidR="003C4580" w:rsidRPr="006A6890" w:rsidRDefault="003C4580" w:rsidP="00EA0541">
      <w:pPr>
        <w:rPr>
          <w:rFonts w:asciiTheme="minorHAnsi" w:hAnsiTheme="minorHAnsi"/>
        </w:rPr>
      </w:pPr>
      <w:r w:rsidRPr="006A6890">
        <w:rPr>
          <w:rFonts w:asciiTheme="minorHAnsi" w:hAnsiTheme="minorHAnsi"/>
        </w:rPr>
        <w:t xml:space="preserve">Ezenfelül alacsony kamatláb környezetben ajánlott, hogy figyelembe vegyenek negatív kamatlábforgatókönyveket is. </w:t>
      </w:r>
    </w:p>
    <w:p w14:paraId="4EA46866" w14:textId="77777777" w:rsidR="003C4580" w:rsidRPr="006A6890" w:rsidRDefault="003C4580" w:rsidP="00EA0541">
      <w:pPr>
        <w:rPr>
          <w:rFonts w:asciiTheme="minorHAnsi" w:hAnsiTheme="minorHAnsi"/>
        </w:rPr>
      </w:pPr>
      <w:r w:rsidRPr="006A6890">
        <w:rPr>
          <w:rFonts w:asciiTheme="minorHAnsi" w:hAnsi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1445E1C1" w14:textId="77777777" w:rsidR="003C4580" w:rsidRPr="006A6890" w:rsidRDefault="003C4580" w:rsidP="00EA0541">
      <w:pPr>
        <w:rPr>
          <w:rFonts w:asciiTheme="minorHAnsi" w:hAnsiTheme="minorHAnsi"/>
        </w:rPr>
      </w:pPr>
      <w:r w:rsidRPr="006A6890">
        <w:rPr>
          <w:rFonts w:asciiTheme="minorHAnsi" w:hAnsiTheme="minorHAnsi"/>
        </w:rPr>
        <w:t>A nagyobb és összetettebb intézmények számára szofisztikáltabb és komplexebb forgatókönyvek futtatása tanácsos, amelyekben a feltételezések maguk is függenek a kamatláb változástól.</w:t>
      </w:r>
    </w:p>
    <w:p w14:paraId="57F274A4" w14:textId="77777777" w:rsidR="003C4580" w:rsidRPr="006A6890" w:rsidRDefault="003C4580" w:rsidP="00EA0541">
      <w:pPr>
        <w:rPr>
          <w:rFonts w:asciiTheme="minorHAnsi" w:hAnsiTheme="minorHAnsi"/>
        </w:rPr>
      </w:pPr>
      <w:r w:rsidRPr="006A6890">
        <w:rPr>
          <w:rFonts w:asciiTheme="minorHAnsi" w:hAnsi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66B1559A" w14:textId="77777777" w:rsidR="00DA1560" w:rsidRPr="006A6890" w:rsidRDefault="00DA1560" w:rsidP="00EA0541">
      <w:pPr>
        <w:rPr>
          <w:rFonts w:asciiTheme="minorHAnsi" w:hAnsiTheme="minorHAnsi"/>
        </w:rPr>
      </w:pPr>
      <w:r w:rsidRPr="006A6890">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2812EDBE" w:rsidR="00DA1560" w:rsidRPr="006A6890" w:rsidRDefault="00077781" w:rsidP="00181755">
      <w:pPr>
        <w:rPr>
          <w:rFonts w:asciiTheme="minorHAnsi" w:hAnsiTheme="minorHAnsi"/>
          <w:b/>
          <w:bCs/>
        </w:rPr>
      </w:pPr>
      <w:r w:rsidRPr="006A6890">
        <w:rPr>
          <w:rFonts w:asciiTheme="minorHAnsi" w:hAnsiTheme="minorHAnsi"/>
          <w:b/>
          <w:bCs/>
        </w:rPr>
        <w:t>Tőke</w:t>
      </w:r>
      <w:r w:rsidR="00605303" w:rsidRPr="006A6890">
        <w:rPr>
          <w:rFonts w:asciiTheme="minorHAnsi" w:hAnsiTheme="minorHAnsi"/>
          <w:b/>
          <w:bCs/>
        </w:rPr>
        <w:t xml:space="preserve">szükséglet </w:t>
      </w:r>
      <w:r w:rsidRPr="006A6890">
        <w:rPr>
          <w:rFonts w:asciiTheme="minorHAnsi" w:hAnsiTheme="minorHAnsi"/>
          <w:b/>
          <w:bCs/>
        </w:rPr>
        <w:t>számítás</w:t>
      </w:r>
      <w:r w:rsidR="00DA1560" w:rsidRPr="006A6890">
        <w:rPr>
          <w:rFonts w:asciiTheme="minorHAnsi" w:hAnsiTheme="minorHAnsi"/>
          <w:b/>
          <w:bCs/>
        </w:rPr>
        <w:t xml:space="preserve"> </w:t>
      </w:r>
    </w:p>
    <w:p w14:paraId="66B1559C" w14:textId="38742865" w:rsidR="00DA1560" w:rsidRPr="006A6890" w:rsidRDefault="00DA1560" w:rsidP="00EA0541">
      <w:pPr>
        <w:rPr>
          <w:rFonts w:asciiTheme="minorHAnsi" w:hAnsiTheme="minorHAnsi"/>
        </w:rPr>
      </w:pPr>
      <w:r w:rsidRPr="006A6890">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6A6890">
        <w:rPr>
          <w:rFonts w:asciiTheme="minorHAnsi" w:hAnsiTheme="minorHAnsi"/>
        </w:rPr>
        <w:t>.</w:t>
      </w:r>
      <w:r w:rsidRPr="006A6890">
        <w:rPr>
          <w:rFonts w:asciiTheme="minorHAnsi" w:hAnsiTheme="minorHAnsi"/>
        </w:rPr>
        <w:t xml:space="preserve"> </w:t>
      </w:r>
    </w:p>
    <w:p w14:paraId="66B1559D" w14:textId="001D4F56" w:rsidR="00DA1560" w:rsidRPr="006A6890" w:rsidRDefault="00673C11" w:rsidP="00EA0541">
      <w:pPr>
        <w:rPr>
          <w:rFonts w:asciiTheme="minorHAnsi" w:hAnsiTheme="minorHAnsi"/>
        </w:rPr>
      </w:pPr>
      <w:r w:rsidRPr="006A6890">
        <w:rPr>
          <w:rFonts w:asciiTheme="minorHAnsi" w:hAnsiTheme="minorHAnsi"/>
        </w:rPr>
        <w:t>A tőkeszükséglet meghatározásakor a kamatváltozásoknak a tőke gazdasági értékére gyakorolt hatásán túlmenően a jövedelem</w:t>
      </w:r>
      <w:r w:rsidR="00AB47F0" w:rsidRPr="006A6890">
        <w:rPr>
          <w:rFonts w:asciiTheme="minorHAnsi" w:hAnsiTheme="minorHAnsi"/>
        </w:rPr>
        <w:t xml:space="preserve"> </w:t>
      </w:r>
      <w:r w:rsidRPr="006A6890">
        <w:rPr>
          <w:rFonts w:asciiTheme="minorHAnsi" w:hAnsiTheme="minorHAnsi"/>
        </w:rPr>
        <w:t>hatásokat is értékelni és számszerűsíteni kell.</w:t>
      </w:r>
    </w:p>
    <w:p w14:paraId="25129D03" w14:textId="13673143" w:rsidR="00DA1560" w:rsidRPr="006A6890" w:rsidRDefault="00DA1560" w:rsidP="00EA0541">
      <w:pPr>
        <w:rPr>
          <w:rFonts w:asciiTheme="minorHAnsi" w:hAnsiTheme="minorHAnsi"/>
        </w:rPr>
      </w:pPr>
      <w:r w:rsidRPr="006A6890">
        <w:rPr>
          <w:rFonts w:asciiTheme="minorHAnsi" w:hAnsiTheme="minorHAnsi"/>
        </w:rPr>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sidRPr="006A6890">
        <w:rPr>
          <w:rFonts w:asciiTheme="minorHAnsi" w:hAnsiTheme="minorHAnsi"/>
        </w:rPr>
        <w:t>,</w:t>
      </w:r>
      <w:r w:rsidRPr="006A6890">
        <w:rPr>
          <w:rFonts w:asciiTheme="minorHAnsi" w:hAnsiTheme="minorHAnsi"/>
        </w:rPr>
        <w:t xml:space="preserve">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6A6890">
        <w:rPr>
          <w:rFonts w:asciiTheme="minorHAnsi" w:hAnsiTheme="minorHAnsi"/>
        </w:rPr>
        <w:lastRenderedPageBreak/>
        <w:t>Mindamellett</w:t>
      </w:r>
      <w:r w:rsidRPr="006A6890">
        <w:rPr>
          <w:rFonts w:asciiTheme="minorHAnsi" w:hAnsiTheme="minorHAnsi"/>
        </w:rPr>
        <w:t xml:space="preserve"> a tőkeigény változékonysága </w:t>
      </w:r>
      <w:r w:rsidR="00B934A4" w:rsidRPr="006A6890">
        <w:rPr>
          <w:rFonts w:asciiTheme="minorHAnsi" w:hAnsiTheme="minorHAnsi"/>
        </w:rPr>
        <w:t>–</w:t>
      </w:r>
      <w:r w:rsidRPr="006A6890">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Pr="006A6890" w:rsidRDefault="00675061" w:rsidP="00EA0541">
      <w:pPr>
        <w:rPr>
          <w:rFonts w:asciiTheme="minorHAnsi" w:hAnsiTheme="minorHAnsi"/>
        </w:rPr>
      </w:pPr>
      <w:r w:rsidRPr="006A6890">
        <w:rPr>
          <w:rFonts w:asciiTheme="minorHAnsi" w:hAnsiTheme="minorHAnsi"/>
        </w:rPr>
        <w:t xml:space="preserve"> A tőkekövetelmény meghatározására a Banknak saját </w:t>
      </w:r>
      <w:r w:rsidR="008964E9" w:rsidRPr="006A6890">
        <w:rPr>
          <w:rFonts w:asciiTheme="minorHAnsi" w:hAnsiTheme="minorHAnsi"/>
        </w:rPr>
        <w:t>számítást</w:t>
      </w:r>
      <w:r w:rsidRPr="006A6890">
        <w:rPr>
          <w:rFonts w:asciiTheme="minorHAnsi" w:hAnsiTheme="minorHAnsi"/>
        </w:rPr>
        <w:t xml:space="preserve"> kell alkalmaznia, az nem alapulhat kizárólag a</w:t>
      </w:r>
      <w:r w:rsidR="00653A7E" w:rsidRPr="006A6890">
        <w:rPr>
          <w:rFonts w:asciiTheme="minorHAnsi" w:hAnsiTheme="minorHAnsi"/>
        </w:rPr>
        <w:t xml:space="preserve"> felügyeleti számítások eredményein</w:t>
      </w:r>
      <w:r w:rsidR="00504C7C" w:rsidRPr="006A6890">
        <w:rPr>
          <w:rFonts w:asciiTheme="minorHAnsi" w:hAnsiTheme="minorHAnsi"/>
        </w:rPr>
        <w:t>ek átvételén</w:t>
      </w:r>
      <w:r w:rsidR="00653A7E" w:rsidRPr="006A6890">
        <w:rPr>
          <w:rFonts w:asciiTheme="minorHAnsi" w:hAnsiTheme="minorHAnsi"/>
        </w:rPr>
        <w:t xml:space="preserve">. </w:t>
      </w:r>
      <w:r w:rsidR="00954ABD" w:rsidRPr="006A6890">
        <w:rPr>
          <w:rFonts w:asciiTheme="minorHAnsi" w:hAnsiTheme="minorHAnsi"/>
        </w:rPr>
        <w:t>A</w:t>
      </w:r>
      <w:r w:rsidR="00653A7E" w:rsidRPr="006A6890">
        <w:rPr>
          <w:rFonts w:asciiTheme="minorHAnsi" w:hAnsiTheme="minorHAnsi"/>
        </w:rPr>
        <w:t>z MNB a Bank által meghatározott tőkekövetelmény megfelelőségé</w:t>
      </w:r>
      <w:r w:rsidR="00386525" w:rsidRPr="006A6890">
        <w:rPr>
          <w:rFonts w:asciiTheme="minorHAnsi" w:hAnsiTheme="minorHAnsi"/>
        </w:rPr>
        <w:t xml:space="preserve">nek megítélésekor </w:t>
      </w:r>
      <w:r w:rsidR="00954ABD" w:rsidRPr="006A6890">
        <w:rPr>
          <w:rFonts w:asciiTheme="minorHAnsi" w:hAnsiTheme="minorHAnsi"/>
        </w:rPr>
        <w:t xml:space="preserve">a </w:t>
      </w:r>
      <w:r w:rsidR="00386525" w:rsidRPr="006A6890">
        <w:rPr>
          <w:rFonts w:asciiTheme="minorHAnsi" w:hAnsiTheme="minorHAnsi"/>
        </w:rPr>
        <w:t xml:space="preserve">saját </w:t>
      </w:r>
      <w:r w:rsidR="00653A7E" w:rsidRPr="006A6890">
        <w:rPr>
          <w:rFonts w:asciiTheme="minorHAnsi" w:hAnsiTheme="minorHAnsi"/>
        </w:rPr>
        <w:t>benchmark számítás</w:t>
      </w:r>
      <w:r w:rsidR="00386525" w:rsidRPr="006A6890">
        <w:rPr>
          <w:rFonts w:asciiTheme="minorHAnsi" w:hAnsiTheme="minorHAnsi"/>
        </w:rPr>
        <w:t>ainak eredményeit (is) figyelembe veszi. E benchmark számítások legfontosabb paraméterei a következők:</w:t>
      </w:r>
    </w:p>
    <w:p w14:paraId="52D677E0" w14:textId="19EEBC11" w:rsidR="002D253C" w:rsidRPr="006A6890" w:rsidRDefault="0088491B" w:rsidP="00780492">
      <w:pPr>
        <w:pStyle w:val="ListParagraph"/>
        <w:numPr>
          <w:ilvl w:val="0"/>
          <w:numId w:val="63"/>
        </w:numPr>
        <w:rPr>
          <w:rFonts w:asciiTheme="minorHAnsi" w:hAnsiTheme="minorHAnsi"/>
          <w:sz w:val="22"/>
        </w:rPr>
      </w:pPr>
      <w:r w:rsidRPr="006A6890">
        <w:rPr>
          <w:rFonts w:asciiTheme="minorHAnsi" w:hAnsiTheme="minorHAnsi"/>
          <w:sz w:val="22"/>
          <w:lang w:val="hu-HU"/>
        </w:rPr>
        <w:t xml:space="preserve">az MNB statikus üzleti forgatókönyvet alkalmaz, vagyis </w:t>
      </w:r>
      <w:r w:rsidR="00AB47F0" w:rsidRPr="006A6890">
        <w:rPr>
          <w:rFonts w:asciiTheme="minorHAnsi" w:hAnsiTheme="minorHAnsi"/>
          <w:sz w:val="22"/>
        </w:rPr>
        <w:t xml:space="preserve">az </w:t>
      </w:r>
      <w:proofErr w:type="spellStart"/>
      <w:r w:rsidR="00AB47F0" w:rsidRPr="006A6890">
        <w:rPr>
          <w:rFonts w:asciiTheme="minorHAnsi" w:hAnsiTheme="minorHAnsi"/>
          <w:sz w:val="22"/>
        </w:rPr>
        <w:t>NII</w:t>
      </w:r>
      <w:proofErr w:type="spellEnd"/>
      <w:r w:rsidR="00AB47F0" w:rsidRPr="006A6890">
        <w:rPr>
          <w:rFonts w:asciiTheme="minorHAnsi" w:hAnsiTheme="minorHAnsi"/>
          <w:sz w:val="22"/>
        </w:rPr>
        <w:t xml:space="preserve"> érzékenység számításánál </w:t>
      </w:r>
      <w:r w:rsidRPr="006A6890">
        <w:rPr>
          <w:rFonts w:asciiTheme="minorHAnsi" w:hAnsiTheme="minorHAnsi"/>
          <w:sz w:val="22"/>
          <w:lang w:val="hu-HU"/>
        </w:rPr>
        <w:t xml:space="preserve">változatlan mérleg állományokkal és kockázati profillal számol, a lejáró állományokat azonos kockázati tulajdonságú és azonos mennyiségű új állomány pótolja. </w:t>
      </w:r>
      <w:r w:rsidR="009D78D2" w:rsidRPr="006A6890">
        <w:rPr>
          <w:rFonts w:asciiTheme="minorHAnsi" w:hAnsiTheme="minorHAnsi"/>
          <w:sz w:val="22"/>
          <w:lang w:val="hu-HU"/>
        </w:rPr>
        <w:t>K</w:t>
      </w:r>
      <w:r w:rsidRPr="006A6890">
        <w:rPr>
          <w:rFonts w:asciiTheme="minorHAnsi" w:hAnsiTheme="minorHAnsi"/>
          <w:sz w:val="22"/>
          <w:lang w:val="hu-HU"/>
        </w:rPr>
        <w:t xml:space="preserve">ivételt képez ez alól a </w:t>
      </w:r>
      <w:proofErr w:type="spellStart"/>
      <w:r w:rsidRPr="006A6890">
        <w:rPr>
          <w:rFonts w:asciiTheme="minorHAnsi" w:hAnsiTheme="minorHAnsi"/>
          <w:sz w:val="22"/>
          <w:lang w:val="hu-HU"/>
        </w:rPr>
        <w:t>látraszóló</w:t>
      </w:r>
      <w:proofErr w:type="spellEnd"/>
      <w:r w:rsidRPr="006A6890">
        <w:rPr>
          <w:rFonts w:asciiTheme="minorHAnsi" w:hAnsiTheme="minorHAnsi"/>
          <w:sz w:val="22"/>
          <w:lang w:val="hu-HU"/>
        </w:rPr>
        <w:t xml:space="preserve"> betéti állományok kezelése, amely</w:t>
      </w:r>
      <w:r w:rsidR="009D78D2" w:rsidRPr="006A6890">
        <w:rPr>
          <w:rFonts w:asciiTheme="minorHAnsi" w:hAnsiTheme="minorHAnsi"/>
          <w:sz w:val="22"/>
          <w:lang w:val="hu-HU"/>
        </w:rPr>
        <w:t>n</w:t>
      </w:r>
      <w:r w:rsidRPr="006A6890">
        <w:rPr>
          <w:rFonts w:asciiTheme="minorHAnsi" w:hAnsiTheme="minorHAnsi"/>
          <w:sz w:val="22"/>
          <w:lang w:val="hu-HU"/>
        </w:rPr>
        <w:t>ek állományá</w:t>
      </w:r>
      <w:r w:rsidR="009D78D2" w:rsidRPr="006A6890">
        <w:rPr>
          <w:rFonts w:asciiTheme="minorHAnsi" w:hAnsiTheme="minorHAnsi"/>
          <w:sz w:val="22"/>
          <w:lang w:val="hu-HU"/>
        </w:rPr>
        <w:t xml:space="preserve">t </w:t>
      </w:r>
      <w:proofErr w:type="spellStart"/>
      <w:r w:rsidR="009D78D2" w:rsidRPr="006A6890">
        <w:rPr>
          <w:rFonts w:asciiTheme="minorHAnsi" w:hAnsiTheme="minorHAnsi"/>
          <w:sz w:val="22"/>
          <w:lang w:val="hu-HU"/>
        </w:rPr>
        <w:t>esetenként</w:t>
      </w:r>
      <w:proofErr w:type="spellEnd"/>
      <w:r w:rsidR="009D78D2" w:rsidRPr="006A6890">
        <w:rPr>
          <w:rFonts w:asciiTheme="minorHAnsi" w:hAnsiTheme="minorHAnsi"/>
          <w:sz w:val="22"/>
          <w:lang w:val="hu-HU"/>
        </w:rPr>
        <w:t xml:space="preserve"> nem tekintjük állandónak. Eze</w:t>
      </w:r>
      <w:r w:rsidR="002D253C" w:rsidRPr="006A6890">
        <w:rPr>
          <w:rFonts w:asciiTheme="minorHAnsi" w:hAnsiTheme="minorHAnsi"/>
          <w:sz w:val="22"/>
          <w:lang w:val="hu-HU"/>
        </w:rPr>
        <w:t xml:space="preserve">n állományok - </w:t>
      </w:r>
      <w:r w:rsidR="009D78D2" w:rsidRPr="006A6890">
        <w:rPr>
          <w:rFonts w:asciiTheme="minorHAnsi" w:hAnsiTheme="minorHAnsi"/>
          <w:sz w:val="22"/>
          <w:lang w:val="hu-HU"/>
        </w:rPr>
        <w:t xml:space="preserve">a lekötött betétek állományával szembeni - </w:t>
      </w:r>
      <w:r w:rsidRPr="006A6890">
        <w:rPr>
          <w:rFonts w:asciiTheme="minorHAnsi" w:hAnsiTheme="minorHAnsi"/>
          <w:sz w:val="22"/>
          <w:lang w:val="hu-HU"/>
        </w:rPr>
        <w:t>alakulása a különböző piaci forgatókönyvek</w:t>
      </w:r>
      <w:r w:rsidR="009D78D2" w:rsidRPr="006A6890">
        <w:rPr>
          <w:rFonts w:asciiTheme="minorHAnsi" w:hAnsiTheme="minorHAnsi"/>
          <w:sz w:val="22"/>
          <w:lang w:val="hu-HU"/>
        </w:rPr>
        <w:t>ben különböző lehe</w:t>
      </w:r>
      <w:r w:rsidR="002D253C" w:rsidRPr="006A6890">
        <w:rPr>
          <w:rFonts w:asciiTheme="minorHAnsi" w:hAnsiTheme="minorHAnsi"/>
          <w:sz w:val="22"/>
          <w:lang w:val="hu-HU"/>
        </w:rPr>
        <w:t>t.</w:t>
      </w:r>
    </w:p>
    <w:p w14:paraId="76B18CC6" w14:textId="388A8B77" w:rsidR="00AB47F0" w:rsidRPr="006A6890" w:rsidRDefault="00AB47F0" w:rsidP="00780492">
      <w:pPr>
        <w:pStyle w:val="ListParagraph"/>
        <w:numPr>
          <w:ilvl w:val="0"/>
          <w:numId w:val="63"/>
        </w:numPr>
        <w:rPr>
          <w:rFonts w:asciiTheme="minorHAnsi" w:hAnsiTheme="minorHAnsi"/>
          <w:sz w:val="22"/>
        </w:rPr>
      </w:pPr>
      <w:r w:rsidRPr="006A6890">
        <w:rPr>
          <w:rFonts w:asciiTheme="minorHAnsi" w:hAnsiTheme="minorHAnsi"/>
          <w:sz w:val="22"/>
        </w:rPr>
        <w:t>Az EVE érzékenység meghatározása az ún. ’</w:t>
      </w:r>
      <w:proofErr w:type="spellStart"/>
      <w:r w:rsidRPr="006A6890">
        <w:rPr>
          <w:rFonts w:asciiTheme="minorHAnsi" w:hAnsiTheme="minorHAnsi"/>
          <w:sz w:val="22"/>
        </w:rPr>
        <w:t>run-off</w:t>
      </w:r>
      <w:proofErr w:type="spellEnd"/>
      <w:r w:rsidRPr="006A6890">
        <w:rPr>
          <w:rFonts w:asciiTheme="minorHAnsi" w:hAnsiTheme="minorHAnsi"/>
          <w:sz w:val="22"/>
        </w:rPr>
        <w:t>’ modell alkalmazásával történik, azaz a mérlegben aktuálisan meglévő állományoknak a szerződéses vagy becsült futamidők szerinti kifutásával számol</w:t>
      </w:r>
      <w:r w:rsidRPr="006A6890">
        <w:rPr>
          <w:rFonts w:asciiTheme="minorHAnsi" w:hAnsiTheme="minorHAnsi"/>
          <w:sz w:val="22"/>
          <w:lang w:val="hu-HU"/>
        </w:rPr>
        <w:t>.</w:t>
      </w:r>
    </w:p>
    <w:p w14:paraId="0EC34D7A" w14:textId="1A87D08F" w:rsidR="002D253C" w:rsidRPr="006A6890" w:rsidRDefault="002D253C" w:rsidP="00780492">
      <w:pPr>
        <w:pStyle w:val="ListParagraph"/>
        <w:numPr>
          <w:ilvl w:val="0"/>
          <w:numId w:val="63"/>
        </w:numPr>
        <w:rPr>
          <w:rFonts w:asciiTheme="minorHAnsi" w:hAnsiTheme="minorHAnsi"/>
          <w:sz w:val="22"/>
        </w:rPr>
      </w:pPr>
      <w:r w:rsidRPr="006A6890">
        <w:rPr>
          <w:rFonts w:asciiTheme="minorHAnsi" w:hAnsiTheme="minorHAnsi"/>
          <w:sz w:val="22"/>
          <w:lang w:val="hu-HU"/>
        </w:rPr>
        <w:t>A számítások során az MNB a nemzetközi ajánlásokban megjelenő 6 piaci forgatókönyvet</w:t>
      </w:r>
      <w:r w:rsidRPr="006A6890">
        <w:rPr>
          <w:rStyle w:val="FootnoteReference"/>
          <w:rFonts w:asciiTheme="minorHAnsi" w:hAnsiTheme="minorHAnsi"/>
          <w:sz w:val="22"/>
          <w:lang w:val="hu-HU"/>
        </w:rPr>
        <w:footnoteReference w:id="85"/>
      </w:r>
      <w:r w:rsidRPr="006A6890">
        <w:rPr>
          <w:rFonts w:asciiTheme="minorHAnsi" w:hAnsiTheme="minorHAnsi"/>
          <w:sz w:val="22"/>
          <w:lang w:val="hu-HU"/>
        </w:rPr>
        <w:t xml:space="preserve"> alkalmazza (2 ellentétes irányú, párhuzamos hozamgörbe sokk, 2 hozamgörbe meredekség változás, 2 hozamgörbe alakváltozás)</w:t>
      </w:r>
      <w:r w:rsidR="00BD1BF8" w:rsidRPr="006A6890">
        <w:rPr>
          <w:rFonts w:asciiTheme="minorHAnsi" w:hAnsiTheme="minorHAnsi"/>
          <w:sz w:val="22"/>
          <w:lang w:val="hu-HU"/>
        </w:rPr>
        <w:t xml:space="preserve">.  </w:t>
      </w:r>
      <w:r w:rsidR="00177FE9" w:rsidRPr="006A6890">
        <w:rPr>
          <w:rFonts w:asciiTheme="minorHAnsi" w:hAnsiTheme="minorHAnsi"/>
          <w:sz w:val="22"/>
          <w:lang w:val="hu-HU"/>
        </w:rPr>
        <w:t>Az alkalmazott eljárás</w:t>
      </w:r>
      <w:r w:rsidR="00BD1BF8" w:rsidRPr="006A6890">
        <w:rPr>
          <w:rFonts w:asciiTheme="minorHAnsi" w:hAnsiTheme="minorHAnsi"/>
          <w:sz w:val="22"/>
          <w:lang w:val="hu-HU"/>
        </w:rPr>
        <w:t xml:space="preserve">t </w:t>
      </w:r>
      <w:r w:rsidR="00177FE9" w:rsidRPr="006A6890">
        <w:rPr>
          <w:rFonts w:asciiTheme="minorHAnsi" w:hAnsiTheme="minorHAnsi"/>
          <w:sz w:val="22"/>
          <w:lang w:val="hu-HU"/>
        </w:rPr>
        <w:t>és kamatsokkok mérték</w:t>
      </w:r>
      <w:r w:rsidR="00BD1BF8" w:rsidRPr="006A6890">
        <w:rPr>
          <w:rFonts w:asciiTheme="minorHAnsi" w:hAnsiTheme="minorHAnsi"/>
          <w:sz w:val="22"/>
          <w:lang w:val="hu-HU"/>
        </w:rPr>
        <w:t xml:space="preserve">ét </w:t>
      </w:r>
      <w:r w:rsidR="00177FE9" w:rsidRPr="006A6890">
        <w:rPr>
          <w:rFonts w:asciiTheme="minorHAnsi" w:hAnsiTheme="minorHAnsi"/>
          <w:sz w:val="22"/>
          <w:lang w:val="hu-HU"/>
        </w:rPr>
        <w:t>a 2.sz. függelék</w:t>
      </w:r>
      <w:r w:rsidR="00BD1BF8" w:rsidRPr="006A6890">
        <w:rPr>
          <w:rFonts w:asciiTheme="minorHAnsi" w:hAnsiTheme="minorHAnsi"/>
          <w:sz w:val="22"/>
          <w:lang w:val="hu-HU"/>
        </w:rPr>
        <w:t xml:space="preserve"> tartalmazza.</w:t>
      </w:r>
      <w:r w:rsidR="00177FE9" w:rsidRPr="006A6890">
        <w:rPr>
          <w:rFonts w:asciiTheme="minorHAnsi" w:hAnsiTheme="minorHAnsi"/>
          <w:sz w:val="22"/>
          <w:lang w:val="hu-HU"/>
        </w:rPr>
        <w:t xml:space="preserve">  </w:t>
      </w:r>
    </w:p>
    <w:p w14:paraId="31111ECA" w14:textId="5BE75EF2" w:rsidR="009B219D" w:rsidRPr="00D547D0" w:rsidRDefault="00AB47F0" w:rsidP="00D547D0">
      <w:pPr>
        <w:pStyle w:val="ListParagraph"/>
        <w:numPr>
          <w:ilvl w:val="0"/>
          <w:numId w:val="63"/>
        </w:numPr>
        <w:rPr>
          <w:rFonts w:asciiTheme="minorHAnsi" w:hAnsiTheme="minorHAnsi"/>
          <w:sz w:val="22"/>
          <w:lang w:val="hu-HU"/>
        </w:rPr>
      </w:pPr>
      <w:r w:rsidRPr="006A6890">
        <w:rPr>
          <w:rFonts w:asciiTheme="minorHAnsi" w:hAnsiTheme="minorHAnsi"/>
          <w:sz w:val="22"/>
          <w:lang w:val="hu-HU"/>
        </w:rPr>
        <w:t>A számításokat minden a banki könyvi összes eszköz vagy forrás 5%-</w:t>
      </w:r>
      <w:proofErr w:type="spellStart"/>
      <w:r w:rsidRPr="006A6890">
        <w:rPr>
          <w:rFonts w:asciiTheme="minorHAnsi" w:hAnsiTheme="minorHAnsi"/>
          <w:sz w:val="22"/>
          <w:lang w:val="hu-HU"/>
        </w:rPr>
        <w:t>nál</w:t>
      </w:r>
      <w:proofErr w:type="spellEnd"/>
      <w:r w:rsidRPr="006A6890">
        <w:rPr>
          <w:rFonts w:asciiTheme="minorHAnsi" w:hAnsiTheme="minorHAnsi"/>
          <w:sz w:val="22"/>
          <w:lang w:val="hu-HU"/>
        </w:rPr>
        <w:t xml:space="preserve"> nem kisebb állománnyal rendelkező, de együttesen legalább a teljes állomány 90%-át kitevő devizanemre külön elvégezzük. </w:t>
      </w:r>
      <w:r w:rsidRPr="004B5D1A">
        <w:rPr>
          <w:rFonts w:asciiTheme="minorHAnsi" w:hAnsiTheme="minorHAnsi"/>
          <w:sz w:val="22"/>
          <w:lang w:val="hu-HU"/>
        </w:rPr>
        <w:t>(Ha az</w:t>
      </w:r>
      <w:r w:rsidRPr="006A6890">
        <w:rPr>
          <w:rFonts w:asciiTheme="minorHAnsi" w:hAnsiTheme="minorHAnsi"/>
          <w:sz w:val="22"/>
          <w:lang w:val="hu-HU"/>
        </w:rPr>
        <w:t xml:space="preserve"> </w:t>
      </w:r>
      <w:r w:rsidRPr="004B5D1A">
        <w:rPr>
          <w:rFonts w:asciiTheme="minorHAnsi" w:hAnsiTheme="minorHAnsi"/>
          <w:sz w:val="22"/>
          <w:lang w:val="hu-HU"/>
        </w:rPr>
        <w:t>5%-</w:t>
      </w:r>
      <w:proofErr w:type="spellStart"/>
      <w:r w:rsidRPr="004B5D1A">
        <w:rPr>
          <w:rFonts w:asciiTheme="minorHAnsi" w:hAnsiTheme="minorHAnsi"/>
          <w:sz w:val="22"/>
          <w:lang w:val="hu-HU"/>
        </w:rPr>
        <w:t>nál</w:t>
      </w:r>
      <w:proofErr w:type="spellEnd"/>
      <w:r w:rsidRPr="004B5D1A">
        <w:rPr>
          <w:rFonts w:asciiTheme="minorHAnsi" w:hAnsiTheme="minorHAnsi"/>
          <w:sz w:val="22"/>
          <w:lang w:val="hu-HU"/>
        </w:rPr>
        <w:t xml:space="preserve"> nagyobb arányú devizák nem teszik ki a teljes banki könyv 90%-át, akkor a kisebb arányúak is bekerülnek a számításba.)</w:t>
      </w:r>
      <w:bookmarkStart w:id="983" w:name="_Hlk500322470"/>
    </w:p>
    <w:bookmarkEnd w:id="983"/>
    <w:p w14:paraId="40A3C9EE" w14:textId="66867CA3" w:rsidR="00AB47F0" w:rsidRPr="004B5D1A" w:rsidRDefault="009B219D" w:rsidP="00AB47F0">
      <w:pPr>
        <w:pStyle w:val="ListParagraph"/>
        <w:numPr>
          <w:ilvl w:val="0"/>
          <w:numId w:val="63"/>
        </w:numPr>
        <w:rPr>
          <w:rFonts w:asciiTheme="minorHAnsi" w:hAnsiTheme="minorHAnsi"/>
          <w:sz w:val="22"/>
          <w:lang w:val="hu-HU"/>
        </w:rPr>
      </w:pPr>
      <w:r w:rsidRPr="004B5D1A">
        <w:rPr>
          <w:rFonts w:asciiTheme="minorHAnsi" w:hAnsiTheme="minorHAnsi"/>
          <w:sz w:val="22"/>
        </w:rPr>
        <w:t xml:space="preserve">A </w:t>
      </w:r>
      <w:proofErr w:type="spellStart"/>
      <w:r w:rsidRPr="004B5D1A">
        <w:rPr>
          <w:rFonts w:asciiTheme="minorHAnsi" w:hAnsiTheme="minorHAnsi"/>
          <w:sz w:val="22"/>
        </w:rPr>
        <w:t>devizanemenkénti</w:t>
      </w:r>
      <w:proofErr w:type="spellEnd"/>
      <w:r w:rsidRPr="004B5D1A">
        <w:rPr>
          <w:rFonts w:asciiTheme="minorHAnsi" w:hAnsiTheme="minorHAnsi"/>
          <w:sz w:val="22"/>
        </w:rPr>
        <w:t xml:space="preserve"> – és </w:t>
      </w:r>
      <w:proofErr w:type="spellStart"/>
      <w:r w:rsidRPr="004B5D1A">
        <w:rPr>
          <w:rFonts w:asciiTheme="minorHAnsi" w:hAnsiTheme="minorHAnsi"/>
          <w:sz w:val="22"/>
        </w:rPr>
        <w:t>forgatókönyvenkénti</w:t>
      </w:r>
      <w:proofErr w:type="spellEnd"/>
      <w:r w:rsidRPr="004B5D1A">
        <w:rPr>
          <w:rFonts w:asciiTheme="minorHAnsi" w:hAnsiTheme="minorHAnsi"/>
          <w:sz w:val="22"/>
        </w:rPr>
        <w:t xml:space="preserve"> - eredmények összegzésekor a devizaárfolyamok mozgása közötti korreláció esetleges kockázat csökkentő hatását nem vesszük figyelembe, vagyis az összegzés a </w:t>
      </w:r>
      <w:proofErr w:type="spellStart"/>
      <w:r w:rsidRPr="004B5D1A">
        <w:rPr>
          <w:rFonts w:asciiTheme="minorHAnsi" w:hAnsiTheme="minorHAnsi"/>
          <w:sz w:val="22"/>
        </w:rPr>
        <w:t>devizanemenkénti</w:t>
      </w:r>
      <w:proofErr w:type="spellEnd"/>
      <w:r w:rsidRPr="004B5D1A">
        <w:rPr>
          <w:rFonts w:asciiTheme="minorHAnsi" w:hAnsiTheme="minorHAnsi"/>
          <w:sz w:val="22"/>
        </w:rPr>
        <w:t xml:space="preserve"> legrosszabb (legnagyobb negatív hatású) forgatókönyvek eredményeinek egyszerű összeadásával történik.</w:t>
      </w:r>
      <w:r w:rsidR="00AB47F0" w:rsidRPr="006A6890">
        <w:rPr>
          <w:rFonts w:asciiTheme="minorHAnsi" w:hAnsiTheme="minorHAnsi"/>
          <w:sz w:val="22"/>
        </w:rPr>
        <w:t xml:space="preserve"> </w:t>
      </w:r>
      <w:r w:rsidR="00AB47F0" w:rsidRPr="006A6890">
        <w:rPr>
          <w:rFonts w:asciiTheme="minorHAnsi" w:hAnsiTheme="minorHAnsi"/>
          <w:sz w:val="22"/>
          <w:lang w:val="hu-HU"/>
        </w:rPr>
        <w:t xml:space="preserve">Itt az MNB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ajánlásokban az ún. </w:t>
      </w:r>
      <w:proofErr w:type="spellStart"/>
      <w:r w:rsidR="00AB47F0" w:rsidRPr="006A6890">
        <w:rPr>
          <w:rFonts w:asciiTheme="minorHAnsi" w:hAnsiTheme="minorHAnsi"/>
          <w:sz w:val="22"/>
          <w:lang w:val="hu-HU"/>
        </w:rPr>
        <w:t>outlier</w:t>
      </w:r>
      <w:proofErr w:type="spellEnd"/>
      <w:r w:rsidR="00AB47F0" w:rsidRPr="006A6890">
        <w:rPr>
          <w:rFonts w:asciiTheme="minorHAnsi" w:hAnsiTheme="minorHAnsi"/>
          <w:sz w:val="22"/>
          <w:lang w:val="hu-HU"/>
        </w:rPr>
        <w:t xml:space="preserve"> teszt esetén alkalmazott eljárásnál szigorúbban jár el.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iránymutatás ugyanis lehetővé teszi a különböző devizanemekben lévő ellentétes előjelű kitettségek figyelembevételét, oly módon, hogy a pozitív változások 50%-a beszámítható a negatív változásokkal szemben.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iránymutatás ez a része azonban nem a tőkekövetelmény meghatározására, hanem az ún. </w:t>
      </w:r>
      <w:proofErr w:type="spellStart"/>
      <w:r w:rsidR="00AB47F0" w:rsidRPr="006A6890">
        <w:rPr>
          <w:rFonts w:asciiTheme="minorHAnsi" w:hAnsiTheme="minorHAnsi"/>
          <w:sz w:val="22"/>
          <w:lang w:val="hu-HU"/>
        </w:rPr>
        <w:t>outlier</w:t>
      </w:r>
      <w:proofErr w:type="spellEnd"/>
      <w:r w:rsidR="00AB47F0" w:rsidRPr="006A6890">
        <w:rPr>
          <w:rFonts w:asciiTheme="minorHAnsi" w:hAnsiTheme="minorHAnsi"/>
          <w:sz w:val="22"/>
          <w:lang w:val="hu-HU"/>
        </w:rPr>
        <w:t xml:space="preserve"> tesztre paraméterei vonatkozik. Habár ennek a tesztnek 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w:t>
      </w:r>
      <w:proofErr w:type="spellStart"/>
      <w:r w:rsidR="00AB47F0" w:rsidRPr="006A6890">
        <w:rPr>
          <w:rFonts w:asciiTheme="minorHAnsi" w:hAnsiTheme="minorHAnsi"/>
          <w:sz w:val="22"/>
          <w:lang w:val="hu-HU"/>
        </w:rPr>
        <w:t>környzetben</w:t>
      </w:r>
      <w:proofErr w:type="spellEnd"/>
      <w:r w:rsidR="00AB47F0" w:rsidRPr="006A6890">
        <w:rPr>
          <w:rFonts w:asciiTheme="minorHAnsi" w:hAnsiTheme="minorHAnsi"/>
          <w:sz w:val="22"/>
          <w:lang w:val="hu-HU"/>
        </w:rPr>
        <w:t xml:space="preserve"> megfigyelt összefüggések érvényüket veszthetik.</w:t>
      </w:r>
    </w:p>
    <w:p w14:paraId="69BDC168" w14:textId="77777777" w:rsidR="00AB47F0" w:rsidRPr="006A6890" w:rsidRDefault="00860965"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tőkekövetelmény meghatározásában a piaci forgatókönyveknek mind a jövedelmi hatása (</w:t>
      </w:r>
      <w:proofErr w:type="spellStart"/>
      <w:r w:rsidRPr="006A6890">
        <w:rPr>
          <w:rFonts w:asciiTheme="minorHAnsi" w:hAnsiTheme="minorHAnsi"/>
          <w:sz w:val="22"/>
          <w:lang w:val="hu-HU"/>
        </w:rPr>
        <w:t>nettő</w:t>
      </w:r>
      <w:proofErr w:type="spellEnd"/>
      <w:r w:rsidRPr="006A6890">
        <w:rPr>
          <w:rFonts w:asciiTheme="minorHAnsi" w:hAnsiTheme="minorHAnsi"/>
          <w:sz w:val="22"/>
          <w:lang w:val="hu-HU"/>
        </w:rPr>
        <w:t xml:space="preserve"> kamatbevétel érzékenység) mind a tőkeértékre gyakorolt hatása (tőke gazdasági értékének érzékenysége) szerepet kap</w:t>
      </w:r>
      <w:r w:rsidR="00BD1BF8" w:rsidRPr="006A6890">
        <w:rPr>
          <w:rFonts w:asciiTheme="minorHAnsi" w:hAnsiTheme="minorHAnsi"/>
          <w:sz w:val="22"/>
          <w:lang w:val="hu-HU"/>
        </w:rPr>
        <w:t>.</w:t>
      </w:r>
    </w:p>
    <w:p w14:paraId="1829D2CD" w14:textId="67B0AE6C" w:rsidR="00503C44" w:rsidRPr="006A6890" w:rsidRDefault="00AB47F0"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nem definiált kamatkockázati tulajdonságokkal rendelkező instrumentumo</w:t>
      </w:r>
      <w:r w:rsidR="00DD30C1" w:rsidRPr="006A6890">
        <w:rPr>
          <w:rFonts w:asciiTheme="minorHAnsi" w:hAnsiTheme="minorHAnsi"/>
          <w:sz w:val="22"/>
          <w:lang w:val="hu-HU"/>
        </w:rPr>
        <w:t xml:space="preserve">kon belül a -  banki mérlegekben legjelentősebb arányú  - </w:t>
      </w:r>
      <w:r w:rsidRPr="006A6890">
        <w:rPr>
          <w:rFonts w:asciiTheme="minorHAnsi" w:hAnsiTheme="minorHAnsi"/>
          <w:sz w:val="22"/>
          <w:lang w:val="hu-HU"/>
        </w:rPr>
        <w:t>látra szóló betét</w:t>
      </w:r>
      <w:r w:rsidR="00DD30C1" w:rsidRPr="006A6890">
        <w:rPr>
          <w:rFonts w:asciiTheme="minorHAnsi" w:hAnsiTheme="minorHAnsi"/>
          <w:sz w:val="22"/>
          <w:lang w:val="hu-HU"/>
        </w:rPr>
        <w:t xml:space="preserve">i termékekre vonatkozóan a számításhoz </w:t>
      </w:r>
      <w:r w:rsidR="00DD30C1" w:rsidRPr="006A6890">
        <w:rPr>
          <w:rFonts w:asciiTheme="minorHAnsi" w:hAnsiTheme="minorHAnsi"/>
          <w:sz w:val="22"/>
          <w:lang w:val="hu-HU"/>
        </w:rPr>
        <w:lastRenderedPageBreak/>
        <w:t xml:space="preserve">szükséges paraméterek meghatározása modellezéssel történik. A modell részletesebb ismertetését a 3. sz. függelék tartalmazza. </w:t>
      </w:r>
      <w:r w:rsidR="00BD1BF8" w:rsidRPr="006A6890">
        <w:rPr>
          <w:rFonts w:asciiTheme="minorHAnsi" w:hAnsiTheme="minorHAnsi"/>
          <w:sz w:val="22"/>
          <w:lang w:val="hu-HU"/>
        </w:rPr>
        <w:t xml:space="preserve"> </w:t>
      </w:r>
    </w:p>
    <w:p w14:paraId="439B5908" w14:textId="77777777" w:rsidR="00860965" w:rsidRPr="006A6890" w:rsidRDefault="00860965" w:rsidP="00780492">
      <w:pPr>
        <w:pStyle w:val="ListParagraph"/>
        <w:numPr>
          <w:ilvl w:val="0"/>
          <w:numId w:val="63"/>
        </w:numPr>
        <w:rPr>
          <w:rFonts w:asciiTheme="minorHAnsi" w:hAnsiTheme="minorHAnsi"/>
          <w:sz w:val="22"/>
        </w:rPr>
      </w:pPr>
      <w:r w:rsidRPr="006A6890">
        <w:rPr>
          <w:rFonts w:asciiTheme="minorHAnsi" w:hAnsiTheme="minorHAnsi"/>
          <w:sz w:val="22"/>
          <w:lang w:val="hu-HU"/>
        </w:rPr>
        <w:t>A jövedelem érzékenység mérésének időhorizontja: 1 év.</w:t>
      </w:r>
    </w:p>
    <w:p w14:paraId="4631BD3D" w14:textId="77777777" w:rsidR="00040A30" w:rsidRPr="006A6890" w:rsidRDefault="00605303" w:rsidP="00780492">
      <w:pPr>
        <w:pStyle w:val="ListParagraph"/>
        <w:numPr>
          <w:ilvl w:val="0"/>
          <w:numId w:val="63"/>
        </w:numPr>
        <w:rPr>
          <w:rFonts w:asciiTheme="minorHAnsi" w:hAnsiTheme="minorHAnsi"/>
          <w:sz w:val="22"/>
        </w:rPr>
      </w:pPr>
      <w:r w:rsidRPr="006A6890">
        <w:rPr>
          <w:rFonts w:asciiTheme="minorHAnsi" w:hAnsiTheme="minorHAnsi"/>
          <w:sz w:val="22"/>
          <w:lang w:val="hu-HU"/>
        </w:rPr>
        <w:t>Az effektív tőkeszüks</w:t>
      </w:r>
      <w:r w:rsidR="00040A30" w:rsidRPr="006A6890">
        <w:rPr>
          <w:rFonts w:asciiTheme="minorHAnsi" w:hAnsiTheme="minorHAnsi"/>
          <w:sz w:val="22"/>
          <w:lang w:val="hu-HU"/>
        </w:rPr>
        <w:t>é</w:t>
      </w:r>
      <w:r w:rsidRPr="006A6890">
        <w:rPr>
          <w:rFonts w:asciiTheme="minorHAnsi" w:hAnsiTheme="minorHAnsi"/>
          <w:sz w:val="22"/>
          <w:lang w:val="hu-HU"/>
        </w:rPr>
        <w:t xml:space="preserve">glet </w:t>
      </w:r>
      <w:r w:rsidR="00040A30" w:rsidRPr="006A689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 vételét jelenti.</w:t>
      </w:r>
    </w:p>
    <w:p w14:paraId="4CAD4485" w14:textId="3CD873F5" w:rsidR="00C57685" w:rsidRPr="006A6890" w:rsidRDefault="00040A30">
      <w:pPr>
        <w:pStyle w:val="ListParagraph"/>
        <w:numPr>
          <w:ilvl w:val="0"/>
          <w:numId w:val="63"/>
        </w:numPr>
        <w:rPr>
          <w:rFonts w:asciiTheme="minorHAnsi" w:hAnsiTheme="minorHAnsi"/>
          <w:sz w:val="22"/>
        </w:rPr>
      </w:pPr>
      <w:r w:rsidRPr="006A6890">
        <w:rPr>
          <w:rFonts w:asciiTheme="minorHAnsi" w:hAnsiTheme="minorHAnsi"/>
          <w:sz w:val="22"/>
          <w:lang w:val="hu-HU"/>
        </w:rPr>
        <w:t>A jövedelem (</w:t>
      </w:r>
      <w:proofErr w:type="spellStart"/>
      <w:r w:rsidRPr="006A6890">
        <w:rPr>
          <w:rFonts w:asciiTheme="minorHAnsi" w:hAnsiTheme="minorHAnsi"/>
          <w:sz w:val="22"/>
          <w:lang w:val="hu-HU"/>
        </w:rPr>
        <w:t>nettő</w:t>
      </w:r>
      <w:proofErr w:type="spellEnd"/>
      <w:r w:rsidRPr="006A6890">
        <w:rPr>
          <w:rFonts w:asciiTheme="minorHAnsi" w:hAnsiTheme="minorHAnsi"/>
          <w:sz w:val="22"/>
          <w:lang w:val="hu-HU"/>
        </w:rPr>
        <w:t xml:space="preserve"> kamatbevétel) érzékenység meghatározásakor a tőkeszükségletet nem csökkenti a várható jövedelem, azaz</w:t>
      </w:r>
      <w:r w:rsidR="00A04C62" w:rsidRPr="006A6890">
        <w:rPr>
          <w:rFonts w:asciiTheme="minorHAnsi" w:hAnsiTheme="minorHAnsi"/>
          <w:sz w:val="22"/>
          <w:lang w:val="hu-HU"/>
        </w:rPr>
        <w:t xml:space="preserve"> a potenciális eredmény</w:t>
      </w:r>
      <w:r w:rsidR="00C57685" w:rsidRPr="006A6890">
        <w:rPr>
          <w:rFonts w:asciiTheme="minorHAnsi" w:hAnsiTheme="minorHAnsi"/>
          <w:sz w:val="22"/>
          <w:lang w:val="hu-HU"/>
        </w:rPr>
        <w:t xml:space="preserve"> (jövedelemtermelő képesség)</w:t>
      </w:r>
      <w:r w:rsidR="000542A7" w:rsidRPr="006A6890">
        <w:rPr>
          <w:rFonts w:asciiTheme="minorHAnsi" w:hAnsiTheme="minorHAnsi"/>
          <w:sz w:val="22"/>
          <w:lang w:val="hu-HU"/>
        </w:rPr>
        <w:t>,</w:t>
      </w:r>
      <w:r w:rsidR="00A04C62" w:rsidRPr="006A6890">
        <w:rPr>
          <w:rFonts w:asciiTheme="minorHAnsi" w:hAnsiTheme="minorHAnsi"/>
          <w:sz w:val="22"/>
          <w:lang w:val="hu-HU"/>
        </w:rPr>
        <w:t xml:space="preserve"> mint veszteségviselő elem a számításokban nem szerepel</w:t>
      </w:r>
      <w:r w:rsidR="00C57685" w:rsidRPr="006A6890">
        <w:rPr>
          <w:rFonts w:asciiTheme="minorHAnsi" w:hAnsiTheme="minorHAnsi"/>
          <w:sz w:val="22"/>
          <w:lang w:val="hu-HU"/>
        </w:rPr>
        <w:t>.</w:t>
      </w:r>
    </w:p>
    <w:p w14:paraId="2F4A8737" w14:textId="55309946" w:rsidR="00040A30" w:rsidRPr="006A6890" w:rsidRDefault="00C57685" w:rsidP="00780492">
      <w:pPr>
        <w:pStyle w:val="ListParagraph"/>
        <w:numPr>
          <w:ilvl w:val="0"/>
          <w:numId w:val="63"/>
        </w:numPr>
        <w:rPr>
          <w:rFonts w:asciiTheme="minorHAnsi" w:hAnsiTheme="minorHAnsi"/>
          <w:sz w:val="22"/>
        </w:rPr>
      </w:pPr>
      <w:r w:rsidRPr="006A6890">
        <w:rPr>
          <w:rFonts w:asciiTheme="minorHAnsi" w:hAnsiTheme="minorHAnsi"/>
          <w:sz w:val="22"/>
          <w:lang w:val="hu-HU"/>
        </w:rPr>
        <w:t xml:space="preserve">Mind az EVE, mind </w:t>
      </w:r>
      <w:proofErr w:type="spellStart"/>
      <w:r w:rsidRPr="006A6890">
        <w:rPr>
          <w:rFonts w:asciiTheme="minorHAnsi" w:hAnsiTheme="minorHAnsi"/>
          <w:sz w:val="22"/>
          <w:lang w:val="hu-HU"/>
        </w:rPr>
        <w:t>NII</w:t>
      </w:r>
      <w:proofErr w:type="spellEnd"/>
      <w:r w:rsidRPr="006A6890">
        <w:rPr>
          <w:rFonts w:asciiTheme="minorHAnsi" w:hAnsiTheme="minorHAnsi"/>
          <w:sz w:val="22"/>
          <w:lang w:val="hu-HU"/>
        </w:rPr>
        <w:t xml:space="preserve"> érzékenységi számítások esetén az alap </w:t>
      </w:r>
      <w:r w:rsidR="009F6FFC" w:rsidRPr="006A6890">
        <w:rPr>
          <w:rFonts w:asciiTheme="minorHAnsi" w:hAnsiTheme="minorHAnsi"/>
          <w:sz w:val="22"/>
          <w:lang w:val="hu-HU"/>
        </w:rPr>
        <w:t>forgatókönyv a számítás vonatkozási időpontjában a piacon megfigyelhető aktuális hozamgörbe</w:t>
      </w:r>
      <w:r w:rsidR="00121DA4" w:rsidRPr="006A6890">
        <w:rPr>
          <w:rFonts w:asciiTheme="minorHAnsi" w:hAnsiTheme="minorHAnsi"/>
          <w:sz w:val="22"/>
          <w:lang w:val="hu-HU"/>
        </w:rPr>
        <w:t xml:space="preserve"> alapján </w:t>
      </w:r>
      <w:proofErr w:type="spellStart"/>
      <w:r w:rsidR="00121DA4" w:rsidRPr="006A6890">
        <w:rPr>
          <w:rFonts w:asciiTheme="minorHAnsi" w:hAnsiTheme="minorHAnsi"/>
          <w:sz w:val="22"/>
          <w:lang w:val="hu-HU"/>
        </w:rPr>
        <w:t>határozódik</w:t>
      </w:r>
      <w:proofErr w:type="spellEnd"/>
      <w:r w:rsidR="00121DA4" w:rsidRPr="006A6890">
        <w:rPr>
          <w:rFonts w:asciiTheme="minorHAnsi" w:hAnsiTheme="minorHAnsi"/>
          <w:sz w:val="22"/>
          <w:lang w:val="hu-HU"/>
        </w:rPr>
        <w:t xml:space="preserve"> meg.</w:t>
      </w:r>
      <w:r w:rsidR="00040A30" w:rsidRPr="006A6890">
        <w:rPr>
          <w:rFonts w:asciiTheme="minorHAnsi" w:hAnsiTheme="minorHAnsi"/>
          <w:sz w:val="22"/>
          <w:lang w:val="hu-HU"/>
        </w:rPr>
        <w:t xml:space="preserve"> </w:t>
      </w:r>
    </w:p>
    <w:p w14:paraId="35141A58" w14:textId="70EAD881" w:rsidR="00311CC3" w:rsidRPr="006A6890" w:rsidRDefault="00C57685">
      <w:pPr>
        <w:pStyle w:val="ListParagraph"/>
        <w:numPr>
          <w:ilvl w:val="0"/>
          <w:numId w:val="63"/>
        </w:numPr>
        <w:rPr>
          <w:rFonts w:asciiTheme="minorHAnsi" w:hAnsiTheme="minorHAnsi"/>
        </w:rPr>
      </w:pPr>
      <w:r w:rsidRPr="006A6890">
        <w:rPr>
          <w:rFonts w:asciiTheme="minorHAnsi" w:hAnsiTheme="minorHAnsi"/>
          <w:sz w:val="22"/>
          <w:lang w:val="hu-HU"/>
        </w:rPr>
        <w:t xml:space="preserve">A </w:t>
      </w:r>
      <w:r w:rsidR="00040A30" w:rsidRPr="006A6890">
        <w:rPr>
          <w:rFonts w:asciiTheme="minorHAnsi" w:hAnsiTheme="minorHAnsi"/>
          <w:sz w:val="22"/>
          <w:lang w:val="hu-HU"/>
        </w:rPr>
        <w:t>jövedelem érzékenységi számít</w:t>
      </w:r>
      <w:r w:rsidR="00A04C62" w:rsidRPr="006A6890">
        <w:rPr>
          <w:rFonts w:asciiTheme="minorHAnsi" w:hAnsiTheme="minorHAnsi"/>
          <w:sz w:val="22"/>
          <w:lang w:val="hu-HU"/>
        </w:rPr>
        <w:t>á</w:t>
      </w:r>
      <w:r w:rsidR="00040A30" w:rsidRPr="006A6890">
        <w:rPr>
          <w:rFonts w:asciiTheme="minorHAnsi" w:hAnsiTheme="minorHAnsi"/>
          <w:sz w:val="22"/>
          <w:lang w:val="hu-HU"/>
        </w:rPr>
        <w:t xml:space="preserve">sok során az </w:t>
      </w:r>
      <w:r w:rsidRPr="006A6890">
        <w:rPr>
          <w:rFonts w:asciiTheme="minorHAnsi" w:hAnsiTheme="minorHAnsi"/>
          <w:sz w:val="22"/>
          <w:lang w:val="hu-HU"/>
        </w:rPr>
        <w:t xml:space="preserve">MNB alternatív </w:t>
      </w:r>
      <w:r w:rsidR="00040A30" w:rsidRPr="006A6890">
        <w:rPr>
          <w:rFonts w:asciiTheme="minorHAnsi" w:hAnsiTheme="minorHAnsi"/>
          <w:sz w:val="22"/>
          <w:lang w:val="hu-HU"/>
        </w:rPr>
        <w:t>alap forgatókönyv</w:t>
      </w:r>
      <w:r w:rsidRPr="006A6890">
        <w:rPr>
          <w:rFonts w:asciiTheme="minorHAnsi" w:hAnsiTheme="minorHAnsi"/>
          <w:sz w:val="22"/>
          <w:lang w:val="hu-HU"/>
        </w:rPr>
        <w:t xml:space="preserve">ként alkalmazza azt, amelyben </w:t>
      </w:r>
      <w:r w:rsidR="00A04C62" w:rsidRPr="006A6890">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sidRPr="006A6890">
        <w:rPr>
          <w:rFonts w:asciiTheme="minorHAnsi" w:hAnsiTheme="minorHAnsi"/>
          <w:sz w:val="22"/>
          <w:lang w:val="hu-HU"/>
        </w:rPr>
        <w:t>nak</w:t>
      </w:r>
      <w:r w:rsidR="00A04C62" w:rsidRPr="006A6890">
        <w:rPr>
          <w:rFonts w:asciiTheme="minorHAnsi" w:hAnsiTheme="minorHAnsi"/>
          <w:sz w:val="22"/>
          <w:lang w:val="hu-HU"/>
        </w:rPr>
        <w:t xml:space="preserve"> az ezen kamatokhoz viszonyított </w:t>
      </w:r>
      <w:r w:rsidR="009B1775" w:rsidRPr="006A6890">
        <w:rPr>
          <w:rFonts w:asciiTheme="minorHAnsi" w:hAnsiTheme="minorHAnsi"/>
          <w:sz w:val="22"/>
          <w:lang w:val="hu-HU"/>
        </w:rPr>
        <w:t xml:space="preserve">különbségein </w:t>
      </w:r>
      <w:r w:rsidR="00A04C62" w:rsidRPr="006A6890">
        <w:rPr>
          <w:rFonts w:asciiTheme="minorHAnsi" w:hAnsiTheme="minorHAnsi"/>
          <w:sz w:val="22"/>
          <w:lang w:val="hu-HU"/>
        </w:rPr>
        <w:t xml:space="preserve">alapul. </w:t>
      </w:r>
    </w:p>
    <w:p w14:paraId="5ED15E35" w14:textId="4F762DC3" w:rsidR="006810EB" w:rsidRPr="006A6890" w:rsidRDefault="006810EB" w:rsidP="006810EB">
      <w:pPr>
        <w:spacing w:after="0"/>
        <w:rPr>
          <w:rFonts w:asciiTheme="minorHAnsi" w:hAnsiTheme="minorHAnsi" w:cs="Calibri"/>
        </w:rPr>
      </w:pPr>
    </w:p>
    <w:p w14:paraId="4CC12AAA" w14:textId="775372A3" w:rsidR="00121DA4" w:rsidRPr="006A6890" w:rsidRDefault="00121DA4" w:rsidP="00EA0541">
      <w:pPr>
        <w:rPr>
          <w:rFonts w:asciiTheme="minorHAnsi" w:hAnsiTheme="minorHAnsi"/>
        </w:rPr>
      </w:pPr>
      <w:bookmarkStart w:id="984" w:name="_Hlk22891187"/>
      <w:r w:rsidRPr="006A6890">
        <w:rPr>
          <w:rFonts w:asciiTheme="minorHAnsi" w:hAnsiTheme="minorHAnsi"/>
        </w:rPr>
        <w:t>A számítások részletes leírását az 1. sz. függelék tartalmazza.</w:t>
      </w:r>
    </w:p>
    <w:bookmarkEnd w:id="984"/>
    <w:p w14:paraId="0FDF3722" w14:textId="5C3505D9" w:rsidR="00630D0C" w:rsidRPr="006A6890" w:rsidRDefault="00630D0C" w:rsidP="00EA0541">
      <w:pPr>
        <w:rPr>
          <w:rFonts w:asciiTheme="minorHAnsi" w:hAnsiTheme="minorHAnsi"/>
        </w:rPr>
      </w:pPr>
      <w:r w:rsidRPr="006A6890">
        <w:rPr>
          <w:rFonts w:asciiTheme="minorHAnsi" w:hAnsiTheme="minorHAnsi"/>
        </w:rPr>
        <w:t xml:space="preserve">Az MNB fontosnak tartja, hogy </w:t>
      </w:r>
      <w:r w:rsidR="00F00AC0" w:rsidRPr="006A6890">
        <w:rPr>
          <w:rFonts w:asciiTheme="minorHAnsi" w:hAnsiTheme="minorHAnsi"/>
        </w:rPr>
        <w:t xml:space="preserve">az </w:t>
      </w:r>
      <w:r w:rsidRPr="006A6890">
        <w:rPr>
          <w:rFonts w:asciiTheme="minorHAnsi" w:hAnsiTheme="minorHAnsi"/>
        </w:rPr>
        <w:t xml:space="preserve">intézmények szétválasszák a banki könyvben lévő állampapír portfólió általános kamatkockázatát és </w:t>
      </w:r>
      <w:proofErr w:type="spellStart"/>
      <w:r w:rsidRPr="006A6890">
        <w:rPr>
          <w:rFonts w:asciiTheme="minorHAnsi" w:hAnsiTheme="minorHAnsi"/>
        </w:rPr>
        <w:t>spread</w:t>
      </w:r>
      <w:proofErr w:type="spellEnd"/>
      <w:r w:rsidRPr="006A6890">
        <w:rPr>
          <w:rFonts w:asciiTheme="minorHAnsi" w:hAnsiTheme="minorHAnsi"/>
        </w:rPr>
        <w:t xml:space="preserve"> </w:t>
      </w:r>
      <w:r w:rsidR="00F00AC0" w:rsidRPr="006A6890">
        <w:rPr>
          <w:rFonts w:asciiTheme="minorHAnsi" w:hAnsiTheme="minorHAnsi"/>
        </w:rPr>
        <w:t>(</w:t>
      </w:r>
      <w:proofErr w:type="spellStart"/>
      <w:r w:rsidR="00F00AC0" w:rsidRPr="006A6890">
        <w:rPr>
          <w:rFonts w:asciiTheme="minorHAnsi" w:hAnsiTheme="minorHAnsi"/>
        </w:rPr>
        <w:t>bond</w:t>
      </w:r>
      <w:proofErr w:type="spellEnd"/>
      <w:r w:rsidR="00F00AC0" w:rsidRPr="006A6890">
        <w:rPr>
          <w:rFonts w:asciiTheme="minorHAnsi" w:hAnsiTheme="minorHAnsi"/>
        </w:rPr>
        <w:t xml:space="preserve"> görbe és a </w:t>
      </w:r>
      <w:proofErr w:type="spellStart"/>
      <w:r w:rsidR="00F00AC0" w:rsidRPr="006A6890">
        <w:rPr>
          <w:rFonts w:asciiTheme="minorHAnsi" w:hAnsiTheme="minorHAnsi"/>
        </w:rPr>
        <w:t>swap</w:t>
      </w:r>
      <w:proofErr w:type="spellEnd"/>
      <w:r w:rsidR="00F00AC0" w:rsidRPr="006A6890">
        <w:rPr>
          <w:rFonts w:asciiTheme="minorHAnsi" w:hAnsiTheme="minorHAnsi"/>
        </w:rPr>
        <w:t xml:space="preserve"> görbe különbségének) </w:t>
      </w:r>
      <w:r w:rsidRPr="006A6890">
        <w:rPr>
          <w:rFonts w:asciiTheme="minorHAnsi" w:hAnsiTheme="minorHAnsi"/>
        </w:rPr>
        <w:t>kockázatát.</w:t>
      </w:r>
      <w:r w:rsidR="007C2C32" w:rsidRPr="006A6890">
        <w:rPr>
          <w:rFonts w:asciiTheme="minorHAnsi" w:hAnsiTheme="minorHAnsi"/>
        </w:rPr>
        <w:t xml:space="preserve"> </w:t>
      </w:r>
      <w:r w:rsidR="00B36752" w:rsidRPr="006A6890">
        <w:rPr>
          <w:rFonts w:asciiTheme="minorHAnsi" w:hAnsiTheme="minorHAnsi"/>
        </w:rPr>
        <w:t>Az MNB nem várja el a banki könyvi kamatkockázat keretében a</w:t>
      </w:r>
      <w:r w:rsidR="00386525" w:rsidRPr="006A6890">
        <w:rPr>
          <w:rFonts w:asciiTheme="minorHAnsi" w:hAnsiTheme="minorHAnsi"/>
        </w:rPr>
        <w:t xml:space="preserve"> magyar állampapír portfólió</w:t>
      </w:r>
      <w:r w:rsidR="00B36752" w:rsidRPr="006A6890">
        <w:rPr>
          <w:rFonts w:asciiTheme="minorHAnsi" w:hAnsiTheme="minorHAnsi"/>
        </w:rPr>
        <w:t xml:space="preserve"> </w:t>
      </w:r>
      <w:proofErr w:type="spellStart"/>
      <w:r w:rsidR="00B36752" w:rsidRPr="006A6890">
        <w:rPr>
          <w:rFonts w:asciiTheme="minorHAnsi" w:hAnsiTheme="minorHAnsi"/>
        </w:rPr>
        <w:t>spread</w:t>
      </w:r>
      <w:proofErr w:type="spellEnd"/>
      <w:r w:rsidR="00B36752" w:rsidRPr="006A6890">
        <w:rPr>
          <w:rFonts w:asciiTheme="minorHAnsi" w:hAnsiTheme="minorHAnsi"/>
        </w:rPr>
        <w:t xml:space="preserve"> </w:t>
      </w:r>
      <w:r w:rsidR="00F00AC0" w:rsidRPr="006A6890">
        <w:rPr>
          <w:rFonts w:asciiTheme="minorHAnsi" w:hAnsiTheme="minorHAnsi"/>
        </w:rPr>
        <w:t>kockázat</w:t>
      </w:r>
      <w:r w:rsidR="00386525" w:rsidRPr="006A6890">
        <w:rPr>
          <w:rFonts w:asciiTheme="minorHAnsi" w:hAnsiTheme="minorHAnsi"/>
        </w:rPr>
        <w:t>ának</w:t>
      </w:r>
      <w:r w:rsidR="00B36752" w:rsidRPr="006A6890">
        <w:rPr>
          <w:rFonts w:asciiTheme="minorHAnsi" w:hAnsiTheme="minorHAnsi"/>
        </w:rPr>
        <w:t xml:space="preserve"> tőkekövetelménnyel való lefedését, csupán számítását és </w:t>
      </w:r>
      <w:r w:rsidR="00386525" w:rsidRPr="006A6890">
        <w:rPr>
          <w:rFonts w:asciiTheme="minorHAnsi" w:hAnsiTheme="minorHAnsi"/>
        </w:rPr>
        <w:t>jelentését</w:t>
      </w:r>
      <w:r w:rsidR="00E64E59" w:rsidRPr="006A6890">
        <w:rPr>
          <w:rFonts w:asciiTheme="minorHAnsi" w:hAnsiTheme="minorHAnsi"/>
        </w:rPr>
        <w:t xml:space="preserve"> (amennyiben </w:t>
      </w:r>
      <w:r w:rsidR="004F0108" w:rsidRPr="006A6890">
        <w:rPr>
          <w:rFonts w:asciiTheme="minorHAnsi" w:hAnsiTheme="minorHAnsi"/>
        </w:rPr>
        <w:t>az</w:t>
      </w:r>
      <w:r w:rsidR="00C81222" w:rsidRPr="006A6890">
        <w:rPr>
          <w:rFonts w:asciiTheme="minorHAnsi" w:hAnsiTheme="minorHAnsi"/>
        </w:rPr>
        <w:t xml:space="preserve"> a számítások során</w:t>
      </w:r>
      <w:r w:rsidR="00E64E59" w:rsidRPr="006A6890">
        <w:rPr>
          <w:rFonts w:asciiTheme="minorHAnsi" w:hAnsiTheme="minorHAnsi"/>
        </w:rPr>
        <w:t xml:space="preserve"> materiálisnak bizonyul)</w:t>
      </w:r>
      <w:r w:rsidR="00C11DCB" w:rsidRPr="006A6890">
        <w:rPr>
          <w:rFonts w:asciiTheme="minorHAnsi" w:hAnsiTheme="minorHAnsi"/>
        </w:rPr>
        <w:t>.</w:t>
      </w:r>
    </w:p>
    <w:p w14:paraId="0787DD48" w14:textId="0E9E8292" w:rsidR="00807723" w:rsidRPr="006A6890" w:rsidRDefault="00DA1560" w:rsidP="00EA0541">
      <w:pPr>
        <w:rPr>
          <w:rFonts w:asciiTheme="minorHAnsi" w:hAnsiTheme="minorHAnsi" w:cs="Calibri"/>
          <w:bCs/>
          <w:szCs w:val="20"/>
        </w:rPr>
      </w:pPr>
      <w:r w:rsidRPr="006A6890">
        <w:rPr>
          <w:rFonts w:asciiTheme="minorHAnsi" w:hAnsiTheme="minorHAnsi"/>
        </w:rPr>
        <w:t xml:space="preserve">A banki könyvi kamatkockázat ICAAP során történő kezelését illetően a jelen </w:t>
      </w:r>
      <w:r w:rsidR="00EB1BE0" w:rsidRPr="006A6890">
        <w:rPr>
          <w:rFonts w:asciiTheme="minorHAnsi" w:hAnsiTheme="minorHAnsi"/>
        </w:rPr>
        <w:t>kézikönyvben</w:t>
      </w:r>
      <w:r w:rsidRPr="006A6890">
        <w:rPr>
          <w:rFonts w:asciiTheme="minorHAnsi" w:hAnsiTheme="minorHAnsi"/>
        </w:rPr>
        <w:t xml:space="preserve"> nem részletezett kérdésekben a vonatkozó </w:t>
      </w:r>
      <w:proofErr w:type="spellStart"/>
      <w:r w:rsidR="00436D8E" w:rsidRPr="006A6890">
        <w:rPr>
          <w:rFonts w:asciiTheme="minorHAnsi" w:hAnsiTheme="minorHAnsi"/>
        </w:rPr>
        <w:t>BIS</w:t>
      </w:r>
      <w:proofErr w:type="spellEnd"/>
      <w:r w:rsidR="00436D8E" w:rsidRPr="006A6890">
        <w:rPr>
          <w:rFonts w:asciiTheme="minorHAnsi" w:hAnsiTheme="minorHAnsi"/>
        </w:rPr>
        <w:footnoteReference w:id="86"/>
      </w:r>
      <w:r w:rsidR="00436D8E" w:rsidRPr="006A6890">
        <w:rPr>
          <w:rFonts w:asciiTheme="minorHAnsi" w:hAnsiTheme="minorHAnsi"/>
        </w:rPr>
        <w:t xml:space="preserve"> és </w:t>
      </w:r>
      <w:proofErr w:type="spellStart"/>
      <w:r w:rsidR="00436D8E" w:rsidRPr="006A6890">
        <w:rPr>
          <w:rFonts w:asciiTheme="minorHAnsi" w:hAnsiTheme="minorHAnsi"/>
        </w:rPr>
        <w:t>EBA</w:t>
      </w:r>
      <w:proofErr w:type="spellEnd"/>
      <w:r w:rsidR="00436D8E" w:rsidRPr="006A6890">
        <w:rPr>
          <w:rFonts w:asciiTheme="minorHAnsi" w:hAnsiTheme="minorHAnsi"/>
        </w:rPr>
        <w:footnoteReference w:id="87"/>
      </w:r>
      <w:r w:rsidR="00436D8E" w:rsidRPr="006A6890">
        <w:rPr>
          <w:rFonts w:asciiTheme="minorHAnsi" w:hAnsiTheme="minorHAnsi"/>
        </w:rPr>
        <w:t xml:space="preserve"> </w:t>
      </w:r>
      <w:r w:rsidRPr="006A6890">
        <w:rPr>
          <w:rFonts w:asciiTheme="minorHAnsi" w:hAnsiTheme="minorHAnsi"/>
        </w:rPr>
        <w:t>iránymutatásokban és az MNB-nek a nem kereskedési könyvi kitettségek kamatlábkockázatának</w:t>
      </w:r>
      <w:r w:rsidRPr="006A6890">
        <w:rPr>
          <w:rFonts w:asciiTheme="minorHAnsi" w:hAnsiTheme="minorHAnsi" w:cs="Calibri"/>
          <w:bCs/>
          <w:szCs w:val="20"/>
        </w:rPr>
        <w:t xml:space="preserve"> méréséről, kezeléséről és kontrolljáról szóló ajánlásában </w:t>
      </w:r>
      <w:proofErr w:type="spellStart"/>
      <w:r w:rsidRPr="006A6890">
        <w:rPr>
          <w:rFonts w:asciiTheme="minorHAnsi" w:hAnsiTheme="minorHAnsi" w:cs="Calibri"/>
          <w:bCs/>
          <w:szCs w:val="20"/>
        </w:rPr>
        <w:t>megfogalmazottakat</w:t>
      </w:r>
      <w:proofErr w:type="spellEnd"/>
      <w:r w:rsidRPr="006A6890">
        <w:rPr>
          <w:rFonts w:asciiTheme="minorHAnsi" w:hAnsiTheme="minorHAnsi" w:cs="Calibri"/>
          <w:bCs/>
          <w:szCs w:val="20"/>
        </w:rPr>
        <w:t xml:space="preserve"> kell irányadónak tekinteni. </w:t>
      </w:r>
    </w:p>
    <w:p w14:paraId="707398F4" w14:textId="77777777" w:rsidR="000C2470" w:rsidRPr="006A6890" w:rsidRDefault="000C2470" w:rsidP="00181755">
      <w:pPr>
        <w:spacing w:after="240"/>
        <w:rPr>
          <w:rFonts w:asciiTheme="minorHAnsi" w:hAnsiTheme="minorHAnsi" w:cs="Calibri"/>
          <w:bCs/>
          <w:szCs w:val="20"/>
        </w:rPr>
      </w:pPr>
    </w:p>
    <w:p w14:paraId="479142F7" w14:textId="77777777" w:rsidR="00433BAF" w:rsidRPr="006A6890" w:rsidRDefault="00433BAF" w:rsidP="00181755">
      <w:pPr>
        <w:pStyle w:val="Heading3"/>
        <w:rPr>
          <w:rFonts w:asciiTheme="minorHAnsi" w:hAnsiTheme="minorHAnsi"/>
        </w:rPr>
      </w:pPr>
      <w:bookmarkStart w:id="985" w:name="_Toc461547998"/>
      <w:bookmarkStart w:id="986" w:name="_Toc462402038"/>
      <w:bookmarkStart w:id="987" w:name="_Toc462403159"/>
      <w:bookmarkStart w:id="988" w:name="_Toc462403483"/>
      <w:bookmarkStart w:id="989" w:name="_Toc462403912"/>
      <w:bookmarkStart w:id="990" w:name="_Toc462645780"/>
      <w:bookmarkStart w:id="991" w:name="_Toc468180602"/>
      <w:bookmarkStart w:id="992" w:name="_Toc468181083"/>
      <w:bookmarkStart w:id="993" w:name="_Toc461547999"/>
      <w:bookmarkStart w:id="994" w:name="_Toc462402039"/>
      <w:bookmarkStart w:id="995" w:name="_Toc462403160"/>
      <w:bookmarkStart w:id="996" w:name="_Toc462403484"/>
      <w:bookmarkStart w:id="997" w:name="_Toc462403913"/>
      <w:bookmarkStart w:id="998" w:name="_Toc462645781"/>
      <w:bookmarkStart w:id="999" w:name="_Toc468180603"/>
      <w:bookmarkStart w:id="1000" w:name="_Toc468181084"/>
      <w:bookmarkStart w:id="1001" w:name="_Toc461095231"/>
      <w:bookmarkStart w:id="1002" w:name="_Toc461179887"/>
      <w:bookmarkStart w:id="1003" w:name="_Toc461548000"/>
      <w:bookmarkStart w:id="1004" w:name="_Toc462402040"/>
      <w:bookmarkStart w:id="1005" w:name="_Toc462403161"/>
      <w:bookmarkStart w:id="1006" w:name="_Toc462403485"/>
      <w:bookmarkStart w:id="1007" w:name="_Toc468180604"/>
      <w:bookmarkStart w:id="1008" w:name="_Toc468181085"/>
      <w:bookmarkStart w:id="1009" w:name="_Toc468191469"/>
      <w:bookmarkStart w:id="1010" w:name="_Toc27138987"/>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A6890">
        <w:rPr>
          <w:rFonts w:asciiTheme="minorHAnsi" w:hAnsiTheme="minorHAnsi"/>
          <w:lang w:val="hu-HU"/>
        </w:rPr>
        <w:t>Modellkockázat</w:t>
      </w:r>
      <w:bookmarkEnd w:id="1001"/>
      <w:bookmarkEnd w:id="1002"/>
      <w:bookmarkEnd w:id="1003"/>
      <w:bookmarkEnd w:id="1004"/>
      <w:bookmarkEnd w:id="1005"/>
      <w:bookmarkEnd w:id="1006"/>
      <w:bookmarkEnd w:id="1007"/>
      <w:bookmarkEnd w:id="1008"/>
      <w:bookmarkEnd w:id="1009"/>
      <w:bookmarkEnd w:id="1010"/>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t xml:space="preserve">szabályozó által jóváhagyott modell segítségével számszerűsített tőkekövetelmény potenciális </w:t>
      </w:r>
      <w:proofErr w:type="spellStart"/>
      <w:r w:rsidRPr="006A6890">
        <w:rPr>
          <w:rFonts w:asciiTheme="minorHAnsi" w:hAnsiTheme="minorHAnsi"/>
        </w:rPr>
        <w:t>alulbecsléséből</w:t>
      </w:r>
      <w:proofErr w:type="spellEnd"/>
      <w:r w:rsidRPr="006A6890">
        <w:rPr>
          <w:rFonts w:asciiTheme="minorHAnsi" w:hAnsiTheme="minorHAnsi"/>
        </w:rPr>
        <w:t xml:space="preserve">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2231B4E" w14:textId="6F5FE84A" w:rsidR="00433BAF" w:rsidRPr="006A6890" w:rsidRDefault="00433BAF" w:rsidP="00EA0541">
      <w:pPr>
        <w:rPr>
          <w:rFonts w:asciiTheme="minorHAnsi" w:hAnsiTheme="minorHAnsi"/>
        </w:rPr>
      </w:pPr>
      <w:r w:rsidRPr="006A6890">
        <w:rPr>
          <w:rFonts w:asciiTheme="minorHAnsi" w:hAnsiTheme="minorHAnsi"/>
        </w:rPr>
        <w:t xml:space="preserve">A fenti pontok közül az a) kapcsán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w:t>
      </w:r>
      <w:proofErr w:type="spellStart"/>
      <w:r w:rsidRPr="006A6890">
        <w:rPr>
          <w:rFonts w:asciiTheme="minorHAnsi" w:hAnsiTheme="minorHAnsi"/>
        </w:rPr>
        <w:t>kezelendőek</w:t>
      </w:r>
      <w:proofErr w:type="spellEnd"/>
      <w:r w:rsidRPr="006A6890">
        <w:rPr>
          <w:rFonts w:asciiTheme="minorHAnsi" w:hAnsiTheme="minorHAnsi"/>
        </w:rPr>
        <w:t>.</w:t>
      </w:r>
    </w:p>
    <w:p w14:paraId="73C9FE50" w14:textId="77777777" w:rsidR="004753B5" w:rsidRDefault="004753B5" w:rsidP="00181755">
      <w:pPr>
        <w:autoSpaceDE w:val="0"/>
        <w:autoSpaceDN w:val="0"/>
        <w:adjustRightInd w:val="0"/>
        <w:spacing w:after="150"/>
        <w:rPr>
          <w:rFonts w:asciiTheme="minorHAnsi" w:eastAsia="Calibri" w:hAnsiTheme="minorHAnsi" w:cs="Calibri"/>
          <w:b/>
        </w:rPr>
      </w:pP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lastRenderedPageBreak/>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w:t>
      </w:r>
      <w:proofErr w:type="spellStart"/>
      <w:r w:rsidRPr="006A6890">
        <w:rPr>
          <w:rFonts w:asciiTheme="minorHAnsi" w:hAnsiTheme="minorHAnsi"/>
        </w:rPr>
        <w:t>monitoringja</w:t>
      </w:r>
      <w:proofErr w:type="spellEnd"/>
      <w:r w:rsidRPr="006A6890">
        <w:rPr>
          <w:rFonts w:asciiTheme="minorHAnsi" w:hAnsiTheme="minorHAnsi"/>
        </w:rPr>
        <w:t xml:space="preserve">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 xml:space="preserve">számítási módszerek alkalmazása (hitelezési kockázat </w:t>
      </w:r>
      <w:proofErr w:type="spellStart"/>
      <w:r w:rsidRPr="006A6890">
        <w:rPr>
          <w:rFonts w:asciiTheme="minorHAnsi" w:hAnsiTheme="minorHAnsi"/>
        </w:rPr>
        <w:t>alulbecslése</w:t>
      </w:r>
      <w:proofErr w:type="spellEnd"/>
      <w:r w:rsidRPr="006A6890">
        <w:rPr>
          <w:rFonts w:asciiTheme="minorHAnsi" w:hAnsiTheme="minorHAnsi"/>
        </w:rPr>
        <w:t xml:space="preserv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w:t>
      </w:r>
      <w:proofErr w:type="spellStart"/>
      <w:r w:rsidRPr="006A6890">
        <w:rPr>
          <w:rFonts w:asciiTheme="minorHAnsi" w:hAnsiTheme="minorHAnsi"/>
        </w:rPr>
        <w:t>alulbecslése</w:t>
      </w:r>
      <w:proofErr w:type="spellEnd"/>
      <w:r w:rsidRPr="006A6890">
        <w:rPr>
          <w:rFonts w:asciiTheme="minorHAnsi" w:hAnsiTheme="minorHAnsi"/>
        </w:rPr>
        <w:t xml:space="preserve"> </w:t>
      </w:r>
      <w:proofErr w:type="spellStart"/>
      <w:r w:rsidRPr="006A6890">
        <w:rPr>
          <w:rFonts w:asciiTheme="minorHAnsi" w:hAnsiTheme="minorHAnsi"/>
        </w:rPr>
        <w:t>BIA</w:t>
      </w:r>
      <w:proofErr w:type="spellEnd"/>
      <w:r w:rsidRPr="006A6890">
        <w:rPr>
          <w:rFonts w:asciiTheme="minorHAnsi" w:hAnsiTheme="minorHAnsi"/>
        </w:rPr>
        <w:t xml:space="preserve">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 xml:space="preserve">és eljárások nem </w:t>
      </w:r>
      <w:proofErr w:type="spellStart"/>
      <w:r w:rsidRPr="006A6890">
        <w:rPr>
          <w:rFonts w:asciiTheme="minorHAnsi" w:hAnsiTheme="minorHAnsi"/>
        </w:rPr>
        <w:t>kielégítőek</w:t>
      </w:r>
      <w:proofErr w:type="spellEnd"/>
      <w:r w:rsidRPr="006A6890">
        <w:rPr>
          <w:rFonts w:asciiTheme="minorHAnsi" w:hAnsiTheme="minorHAnsi"/>
        </w:rPr>
        <w:t>,</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w:t>
      </w:r>
      <w:proofErr w:type="spellStart"/>
      <w:r w:rsidRPr="006A6890">
        <w:rPr>
          <w:rFonts w:asciiTheme="minorHAnsi" w:hAnsiTheme="minorHAnsi"/>
        </w:rPr>
        <w:t>validált</w:t>
      </w:r>
      <w:proofErr w:type="spellEnd"/>
      <w:r w:rsidRPr="006A6890">
        <w:rPr>
          <w:rFonts w:asciiTheme="minorHAnsi" w:hAnsiTheme="minorHAnsi"/>
        </w:rPr>
        <w:t xml:space="preserve">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 xml:space="preserve">érzékenységvizsgálatokkal és stressz-tesztekkel törekedjenek a kockázati kitettség minél pontosabb </w:t>
      </w:r>
      <w:proofErr w:type="spellStart"/>
      <w:r w:rsidRPr="006A6890">
        <w:rPr>
          <w:rFonts w:asciiTheme="minorHAnsi" w:hAnsiTheme="minorHAnsi"/>
        </w:rPr>
        <w:t>körülhatárolására</w:t>
      </w:r>
      <w:proofErr w:type="spellEnd"/>
      <w:r w:rsidRPr="006A6890">
        <w:rPr>
          <w:rFonts w:asciiTheme="minorHAnsi" w:hAnsiTheme="minorHAnsi"/>
        </w:rPr>
        <w:t xml:space="preserve">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w:t>
      </w:r>
      <w:r w:rsidRPr="006A6890">
        <w:rPr>
          <w:rFonts w:asciiTheme="minorHAnsi" w:eastAsia="Calibri" w:hAnsiTheme="minorHAnsi" w:cs="Calibri"/>
        </w:rPr>
        <w:lastRenderedPageBreak/>
        <w:t xml:space="preserve">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 modellezési keretrendszer és annak alkalmazásával kapcsolatos ismeretek megfelelően kommunikáltak az intézményen belül (ide értendő mind a vezetőségi információs rendszer és </w:t>
      </w:r>
      <w:proofErr w:type="spellStart"/>
      <w:r w:rsidRPr="006A6890">
        <w:rPr>
          <w:rFonts w:asciiTheme="minorHAnsi" w:eastAsia="Calibri" w:hAnsiTheme="minorHAnsi" w:cs="Calibri"/>
        </w:rPr>
        <w:t>riportolás</w:t>
      </w:r>
      <w:proofErr w:type="spellEnd"/>
      <w:r w:rsidRPr="006A6890">
        <w:rPr>
          <w:rFonts w:asciiTheme="minorHAnsi" w:eastAsia="Calibri" w:hAnsiTheme="minorHAnsi" w:cs="Calibri"/>
        </w:rPr>
        <w:t xml:space="preserve">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az intézmény fogalmazzon meg egy materialitási küszöböt a modellekre vonatkozóan, amelyek meghatározása kapcsán például a modellek </w:t>
      </w:r>
      <w:proofErr w:type="spellStart"/>
      <w:r w:rsidRPr="006A6890">
        <w:rPr>
          <w:rFonts w:asciiTheme="minorHAnsi" w:hAnsiTheme="minorHAnsi"/>
        </w:rPr>
        <w:t>szofisztikáltsága</w:t>
      </w:r>
      <w:proofErr w:type="spellEnd"/>
      <w:r w:rsidRPr="006A6890">
        <w:rPr>
          <w:rFonts w:asciiTheme="minorHAnsi" w:hAnsiTheme="minorHAnsi"/>
        </w:rPr>
        <w:t>,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„PD-</w:t>
      </w:r>
      <w:proofErr w:type="spellStart"/>
      <w:r w:rsidRPr="006A6890">
        <w:rPr>
          <w:rFonts w:asciiTheme="minorHAnsi" w:hAnsiTheme="minorHAnsi"/>
        </w:rPr>
        <w:t>LGD</w:t>
      </w:r>
      <w:proofErr w:type="spellEnd"/>
      <w:r w:rsidRPr="006A6890">
        <w:rPr>
          <w:rFonts w:asciiTheme="minorHAnsi" w:hAnsiTheme="minorHAnsi"/>
        </w:rPr>
        <w:t>-EAD”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 modell leltár tartalmazza, hogy mikor került az adott modell utoljára </w:t>
      </w:r>
      <w:proofErr w:type="spellStart"/>
      <w:r w:rsidRPr="006A6890">
        <w:rPr>
          <w:rFonts w:asciiTheme="minorHAnsi" w:hAnsiTheme="minorHAnsi"/>
        </w:rPr>
        <w:t>validálásra</w:t>
      </w:r>
      <w:proofErr w:type="spellEnd"/>
      <w:r w:rsidRPr="006A6890">
        <w:rPr>
          <w:rFonts w:asciiTheme="minorHAnsi" w:hAnsiTheme="minorHAnsi"/>
        </w:rPr>
        <w:t>,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hogy a modell esetében készülnek-e rendszeres monitoring riportok (amennyiben egy adott modellnek van rendszeres </w:t>
      </w:r>
      <w:proofErr w:type="spellStart"/>
      <w:r w:rsidRPr="006A6890">
        <w:rPr>
          <w:rFonts w:asciiTheme="minorHAnsi" w:hAnsiTheme="minorHAnsi"/>
        </w:rPr>
        <w:t>monitoringja</w:t>
      </w:r>
      <w:proofErr w:type="spellEnd"/>
      <w:r w:rsidRPr="006A6890">
        <w:rPr>
          <w:rFonts w:asciiTheme="minorHAnsi" w:hAnsiTheme="minorHAnsi"/>
        </w:rPr>
        <w:t>,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FootnoteReference"/>
          <w:rFonts w:asciiTheme="minorHAnsi" w:hAnsiTheme="minorHAnsi"/>
        </w:rPr>
        <w:footnoteReference w:id="88"/>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Heading3"/>
        <w:rPr>
          <w:rStyle w:val="Emphasis"/>
          <w:rFonts w:asciiTheme="minorHAnsi" w:hAnsiTheme="minorHAnsi"/>
          <w:i/>
        </w:rPr>
      </w:pPr>
      <w:bookmarkStart w:id="1011" w:name="_Toc468181086"/>
      <w:bookmarkStart w:id="1012" w:name="_Toc468181087"/>
      <w:bookmarkStart w:id="1013" w:name="_Toc468181088"/>
      <w:bookmarkStart w:id="1014" w:name="_Toc468181089"/>
      <w:bookmarkStart w:id="1015" w:name="_Toc468181090"/>
      <w:bookmarkStart w:id="1016" w:name="_Toc468181091"/>
      <w:bookmarkStart w:id="1017" w:name="_Toc468181092"/>
      <w:bookmarkStart w:id="1018" w:name="_Toc468181093"/>
      <w:bookmarkStart w:id="1019" w:name="_Toc468181094"/>
      <w:bookmarkStart w:id="1020" w:name="_Toc468181095"/>
      <w:bookmarkStart w:id="1021" w:name="_Toc461548011"/>
      <w:bookmarkStart w:id="1022" w:name="_Toc462402051"/>
      <w:bookmarkStart w:id="1023" w:name="_Toc462403172"/>
      <w:bookmarkStart w:id="1024" w:name="_Toc462403496"/>
      <w:bookmarkStart w:id="1025" w:name="_Toc462403925"/>
      <w:bookmarkStart w:id="1026" w:name="_Toc462645793"/>
      <w:bookmarkStart w:id="1027" w:name="_Toc468180615"/>
      <w:bookmarkStart w:id="1028" w:name="_Toc468181096"/>
      <w:bookmarkStart w:id="1029" w:name="_Toc468181097"/>
      <w:bookmarkStart w:id="1030" w:name="_Toc468181098"/>
      <w:bookmarkStart w:id="1031" w:name="_Toc468181099"/>
      <w:bookmarkStart w:id="1032" w:name="_Toc468181100"/>
      <w:bookmarkStart w:id="1033" w:name="_Toc468181101"/>
      <w:bookmarkStart w:id="1034" w:name="_Toc468181102"/>
      <w:bookmarkStart w:id="1035" w:name="_Toc468181103"/>
      <w:bookmarkStart w:id="1036" w:name="_Toc468181104"/>
      <w:bookmarkStart w:id="1037" w:name="_Toc468181105"/>
      <w:bookmarkStart w:id="1038" w:name="_Toc468181106"/>
      <w:bookmarkStart w:id="1039" w:name="_Toc461548022"/>
      <w:bookmarkStart w:id="1040" w:name="_Toc462402062"/>
      <w:bookmarkStart w:id="1041" w:name="_Toc462403183"/>
      <w:bookmarkStart w:id="1042" w:name="_Toc462403507"/>
      <w:bookmarkStart w:id="1043" w:name="_Toc462403936"/>
      <w:bookmarkStart w:id="1044" w:name="_Toc462645804"/>
      <w:bookmarkStart w:id="1045" w:name="_Toc468180626"/>
      <w:bookmarkStart w:id="1046" w:name="_Toc468181107"/>
      <w:bookmarkStart w:id="1047" w:name="_A_banki_könyv"/>
      <w:bookmarkStart w:id="1048" w:name="_Toc468181108"/>
      <w:bookmarkStart w:id="1049" w:name="_Toc468181109"/>
      <w:bookmarkStart w:id="1050" w:name="_Toc468181110"/>
      <w:bookmarkStart w:id="1051" w:name="_Toc468181111"/>
      <w:bookmarkStart w:id="1052" w:name="_Toc468181112"/>
      <w:bookmarkStart w:id="1053" w:name="_Toc468181113"/>
      <w:bookmarkStart w:id="1054" w:name="_Toc468181114"/>
      <w:bookmarkStart w:id="1055" w:name="_Toc468181115"/>
      <w:bookmarkStart w:id="1056" w:name="_Toc468181116"/>
      <w:bookmarkStart w:id="1057" w:name="_Toc468181117"/>
      <w:bookmarkStart w:id="1058" w:name="_Toc461548033"/>
      <w:bookmarkStart w:id="1059" w:name="_Toc462402073"/>
      <w:bookmarkStart w:id="1060" w:name="_Toc462403194"/>
      <w:bookmarkStart w:id="1061" w:name="_Toc462403518"/>
      <w:bookmarkStart w:id="1062" w:name="_Toc462403947"/>
      <w:bookmarkStart w:id="1063" w:name="_Toc462645815"/>
      <w:bookmarkStart w:id="1064" w:name="_Toc468180637"/>
      <w:bookmarkStart w:id="1065" w:name="_Toc468181118"/>
      <w:bookmarkStart w:id="1066" w:name="_Toc468181119"/>
      <w:bookmarkStart w:id="1067" w:name="_III.2.3.4_Likviditási_kockázat"/>
      <w:bookmarkStart w:id="1068" w:name="_Toc468181120"/>
      <w:bookmarkStart w:id="1069" w:name="_Toc468181121"/>
      <w:bookmarkStart w:id="1070" w:name="_Toc468181122"/>
      <w:bookmarkStart w:id="1071" w:name="_Toc461095233"/>
      <w:bookmarkStart w:id="1072" w:name="_Toc461179889"/>
      <w:bookmarkStart w:id="1073" w:name="_Toc461548038"/>
      <w:bookmarkStart w:id="1074" w:name="_Toc462402078"/>
      <w:bookmarkStart w:id="1075" w:name="_Toc462403199"/>
      <w:bookmarkStart w:id="1076" w:name="_Toc462403523"/>
      <w:bookmarkStart w:id="1077" w:name="_Toc468180642"/>
      <w:bookmarkStart w:id="1078" w:name="_Toc468181123"/>
      <w:bookmarkStart w:id="1079" w:name="_Toc468191470"/>
      <w:bookmarkStart w:id="1080" w:name="_Toc27138988"/>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A6890">
        <w:rPr>
          <w:rStyle w:val="Emphasis"/>
          <w:rFonts w:asciiTheme="minorHAnsi" w:hAnsiTheme="minorHAnsi"/>
          <w:i/>
        </w:rPr>
        <w:lastRenderedPageBreak/>
        <w:t>Kockázatos portfóliók</w:t>
      </w:r>
      <w:bookmarkEnd w:id="1071"/>
      <w:bookmarkEnd w:id="1072"/>
      <w:bookmarkEnd w:id="1073"/>
      <w:bookmarkEnd w:id="1074"/>
      <w:bookmarkEnd w:id="1075"/>
      <w:bookmarkEnd w:id="1076"/>
      <w:bookmarkEnd w:id="1077"/>
      <w:bookmarkEnd w:id="1078"/>
      <w:bookmarkEnd w:id="1079"/>
      <w:bookmarkEnd w:id="1080"/>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081" w:name="_III.2.3.5_Elszámolási_kockázat"/>
      <w:bookmarkEnd w:id="1081"/>
    </w:p>
    <w:p w14:paraId="66B155E1" w14:textId="77777777" w:rsidR="003F29E3" w:rsidRPr="006A6890" w:rsidRDefault="003F29E3" w:rsidP="00181755">
      <w:pPr>
        <w:pStyle w:val="Heading3"/>
        <w:rPr>
          <w:rStyle w:val="Emphasis"/>
          <w:rFonts w:asciiTheme="minorHAnsi" w:hAnsiTheme="minorHAnsi"/>
        </w:rPr>
      </w:pPr>
      <w:bookmarkStart w:id="1082" w:name="_III.2.3.6_Egyéb_lényeges"/>
      <w:bookmarkStart w:id="1083" w:name="_Toc378592058"/>
      <w:bookmarkStart w:id="1084" w:name="_Toc461095234"/>
      <w:bookmarkStart w:id="1085" w:name="_Toc461179890"/>
      <w:bookmarkStart w:id="1086" w:name="_Toc461201333"/>
      <w:bookmarkStart w:id="1087" w:name="_Toc461548039"/>
      <w:bookmarkStart w:id="1088" w:name="_Toc462402079"/>
      <w:bookmarkStart w:id="1089" w:name="_Toc462403200"/>
      <w:bookmarkStart w:id="1090" w:name="_Toc462403524"/>
      <w:bookmarkStart w:id="1091" w:name="_Toc468180643"/>
      <w:bookmarkStart w:id="1092" w:name="_Toc468181124"/>
      <w:bookmarkStart w:id="1093" w:name="_Toc468191471"/>
      <w:bookmarkStart w:id="1094" w:name="_Toc27138989"/>
      <w:bookmarkEnd w:id="1082"/>
      <w:r w:rsidRPr="006A6890">
        <w:rPr>
          <w:rStyle w:val="Emphasis"/>
          <w:rFonts w:asciiTheme="minorHAnsi" w:hAnsiTheme="minorHAnsi"/>
        </w:rPr>
        <w:t>Egyéb lényeges kockázatok</w:t>
      </w:r>
      <w:bookmarkEnd w:id="1083"/>
      <w:bookmarkEnd w:id="1084"/>
      <w:bookmarkEnd w:id="1085"/>
      <w:bookmarkEnd w:id="1086"/>
      <w:bookmarkEnd w:id="1087"/>
      <w:bookmarkEnd w:id="1088"/>
      <w:bookmarkEnd w:id="1089"/>
      <w:bookmarkEnd w:id="1090"/>
      <w:bookmarkEnd w:id="1091"/>
      <w:bookmarkEnd w:id="1092"/>
      <w:bookmarkEnd w:id="1093"/>
      <w:bookmarkEnd w:id="1094"/>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w:t>
      </w:r>
      <w:proofErr w:type="spellStart"/>
      <w:r w:rsidRPr="006A6890">
        <w:rPr>
          <w:rFonts w:asciiTheme="minorHAnsi" w:hAnsiTheme="minorHAnsi"/>
        </w:rPr>
        <w:t>jellemzőek</w:t>
      </w:r>
      <w:proofErr w:type="spellEnd"/>
      <w:r w:rsidRPr="006A6890">
        <w:rPr>
          <w:rFonts w:asciiTheme="minorHAnsi" w:hAnsiTheme="minorHAnsi"/>
        </w:rPr>
        <w:t xml:space="preserve">,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 xml:space="preserve">Ezek a kockázatok erős kapcsolatban lehetnek egyéb kockázatokkal is, vagy úgy, hogy növelik azokat, vagy alapkockázatok </w:t>
      </w:r>
      <w:proofErr w:type="spellStart"/>
      <w:r w:rsidRPr="006A6890">
        <w:rPr>
          <w:rFonts w:asciiTheme="minorHAnsi" w:hAnsiTheme="minorHAnsi"/>
        </w:rPr>
        <w:t>eszkalálódásából</w:t>
      </w:r>
      <w:proofErr w:type="spellEnd"/>
      <w:r w:rsidRPr="006A6890">
        <w:rPr>
          <w:rFonts w:asciiTheme="minorHAnsi" w:hAnsiTheme="minorHAnsi"/>
        </w:rPr>
        <w:t xml:space="preserve">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95" w:name="_Reputációs_kockázat"/>
      <w:bookmarkStart w:id="1096" w:name="_Stratégiai_kockázat"/>
      <w:bookmarkStart w:id="1097" w:name="_III._2.4_Külső"/>
      <w:bookmarkEnd w:id="1095"/>
      <w:bookmarkEnd w:id="1096"/>
      <w:bookmarkEnd w:id="1097"/>
    </w:p>
    <w:p w14:paraId="653D3AEE" w14:textId="51DB7841" w:rsidR="003F29E3" w:rsidRPr="006A6890" w:rsidRDefault="003F29E3" w:rsidP="00181755">
      <w:pPr>
        <w:pStyle w:val="Heading4"/>
        <w:rPr>
          <w:rFonts w:asciiTheme="minorHAnsi" w:hAnsiTheme="minorHAnsi"/>
        </w:rPr>
      </w:pPr>
      <w:bookmarkStart w:id="1098" w:name="_Szabályozói_környezetből_adódó"/>
      <w:bookmarkStart w:id="1099" w:name="_Toc462403202"/>
      <w:bookmarkStart w:id="1100" w:name="_Toc462403526"/>
      <w:bookmarkStart w:id="1101" w:name="_Toc468180645"/>
      <w:bookmarkStart w:id="1102" w:name="_Toc468181126"/>
      <w:bookmarkStart w:id="1103" w:name="_Toc378592065"/>
      <w:bookmarkStart w:id="1104" w:name="_Toc461095237"/>
      <w:bookmarkStart w:id="1105" w:name="_Toc461179893"/>
      <w:bookmarkStart w:id="1106" w:name="_Toc461201336"/>
      <w:bookmarkStart w:id="1107" w:name="_Toc461548040"/>
      <w:bookmarkStart w:id="1108" w:name="_Toc462402080"/>
      <w:bookmarkStart w:id="1109" w:name="_Toc468191473"/>
      <w:bookmarkStart w:id="1110" w:name="_Toc27138990"/>
      <w:bookmarkEnd w:id="1098"/>
      <w:r w:rsidRPr="006A6890">
        <w:rPr>
          <w:rFonts w:asciiTheme="minorHAnsi" w:hAnsiTheme="minorHAnsi"/>
        </w:rPr>
        <w:t>Szabályozói környezetből adódó kockázat</w:t>
      </w:r>
      <w:bookmarkEnd w:id="1099"/>
      <w:bookmarkEnd w:id="1100"/>
      <w:bookmarkEnd w:id="1101"/>
      <w:bookmarkEnd w:id="1102"/>
      <w:bookmarkEnd w:id="1103"/>
      <w:bookmarkEnd w:id="1104"/>
      <w:bookmarkEnd w:id="1105"/>
      <w:bookmarkEnd w:id="1106"/>
      <w:bookmarkEnd w:id="1107"/>
      <w:bookmarkEnd w:id="1108"/>
      <w:bookmarkEnd w:id="1109"/>
      <w:bookmarkEnd w:id="1110"/>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66B155F5" w14:textId="70E01F36" w:rsidR="003F29E3"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IV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11A4610" w14:textId="47FEBFEF" w:rsidR="00D547D0" w:rsidRDefault="00D547D0" w:rsidP="00EA0541">
      <w:pPr>
        <w:rPr>
          <w:rFonts w:asciiTheme="minorHAnsi" w:hAnsiTheme="minorHAnsi"/>
        </w:rPr>
      </w:pPr>
    </w:p>
    <w:p w14:paraId="131611CA" w14:textId="77777777" w:rsidR="00D547D0" w:rsidRPr="006A6890" w:rsidRDefault="00D547D0" w:rsidP="00EA0541">
      <w:pPr>
        <w:rPr>
          <w:rFonts w:asciiTheme="minorHAnsi" w:hAnsiTheme="minorHAnsi"/>
        </w:rPr>
      </w:pPr>
    </w:p>
    <w:p w14:paraId="66B155F7" w14:textId="77777777" w:rsidR="003F29E3" w:rsidRPr="006A6890" w:rsidRDefault="003F29E3" w:rsidP="00181755">
      <w:pPr>
        <w:rPr>
          <w:rFonts w:asciiTheme="minorHAnsi" w:hAnsiTheme="minorHAnsi"/>
          <w:b/>
        </w:rPr>
      </w:pPr>
      <w:r w:rsidRPr="006A6890">
        <w:rPr>
          <w:rFonts w:asciiTheme="minorHAnsi" w:hAnsiTheme="minorHAnsi"/>
          <w:b/>
        </w:rPr>
        <w:lastRenderedPageBreak/>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w:t>
      </w:r>
      <w:proofErr w:type="spellStart"/>
      <w:r w:rsidRPr="006A6890">
        <w:rPr>
          <w:rFonts w:asciiTheme="minorHAnsi" w:hAnsiTheme="minorHAnsi"/>
        </w:rPr>
        <w:t>munkavállalalókat</w:t>
      </w:r>
      <w:proofErr w:type="spellEnd"/>
      <w:r w:rsidRPr="006A6890">
        <w:rPr>
          <w:rFonts w:asciiTheme="minorHAnsi" w:hAnsiTheme="minorHAnsi"/>
        </w:rPr>
        <w:t xml:space="preserve">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66B1561C" w14:textId="52301C53" w:rsidR="003F29E3" w:rsidRPr="006A6890" w:rsidRDefault="00CB2D67" w:rsidP="00EA0541">
      <w:pPr>
        <w:rPr>
          <w:rFonts w:asciiTheme="minorHAnsi" w:hAnsiTheme="minorHAnsi"/>
        </w:rPr>
      </w:pPr>
      <w:bookmarkStart w:id="1111"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112" w:name="_Tőketervezés"/>
      <w:bookmarkStart w:id="1113" w:name="_Jövedelmezőség_kockázata"/>
      <w:bookmarkStart w:id="1114" w:name="_Gazdasági_környezetből_fakadó"/>
      <w:bookmarkEnd w:id="1111"/>
      <w:bookmarkEnd w:id="1112"/>
      <w:bookmarkEnd w:id="1113"/>
      <w:bookmarkEnd w:id="1114"/>
    </w:p>
    <w:p w14:paraId="24270D32" w14:textId="5935F8E9" w:rsidR="003826DA" w:rsidRPr="006A6890" w:rsidRDefault="003826DA" w:rsidP="008F2D8B">
      <w:pPr>
        <w:pStyle w:val="Heading2"/>
        <w:rPr>
          <w:rFonts w:asciiTheme="minorHAnsi" w:hAnsiTheme="minorHAnsi"/>
        </w:rPr>
      </w:pPr>
      <w:bookmarkStart w:id="1115" w:name="_III.3._Tőkeszükséglet_meghatározása"/>
      <w:bookmarkStart w:id="1116" w:name="_Toc462403203"/>
      <w:bookmarkStart w:id="1117" w:name="_Toc462403527"/>
      <w:bookmarkStart w:id="1118" w:name="_Toc468180646"/>
      <w:bookmarkStart w:id="1119" w:name="_Toc468181127"/>
      <w:bookmarkStart w:id="1120" w:name="_Toc468191474"/>
      <w:bookmarkStart w:id="1121" w:name="_Toc27138991"/>
      <w:bookmarkStart w:id="1122" w:name="_Toc378256240"/>
      <w:bookmarkStart w:id="1123" w:name="_Toc378592066"/>
      <w:bookmarkStart w:id="1124" w:name="_Toc461095240"/>
      <w:bookmarkStart w:id="1125" w:name="_Toc461179218"/>
      <w:bookmarkStart w:id="1126" w:name="_Toc461179896"/>
      <w:bookmarkStart w:id="1127" w:name="_Toc461197759"/>
      <w:bookmarkStart w:id="1128" w:name="_Toc461201340"/>
      <w:bookmarkStart w:id="1129" w:name="_Toc461548041"/>
      <w:bookmarkStart w:id="1130" w:name="_Toc462402081"/>
      <w:bookmarkEnd w:id="1115"/>
      <w:r w:rsidRPr="006A6890">
        <w:rPr>
          <w:rFonts w:asciiTheme="minorHAnsi" w:hAnsiTheme="minorHAnsi"/>
        </w:rPr>
        <w:t>Stressz</w:t>
      </w:r>
      <w:r w:rsidR="00A7454E" w:rsidRPr="006A6890">
        <w:rPr>
          <w:rFonts w:asciiTheme="minorHAnsi" w:hAnsiTheme="minorHAnsi"/>
          <w:lang w:val="hu-HU"/>
        </w:rPr>
        <w:t xml:space="preserve"> </w:t>
      </w:r>
      <w:r w:rsidRPr="006A6890">
        <w:rPr>
          <w:rFonts w:asciiTheme="minorHAnsi" w:hAnsiTheme="minorHAnsi"/>
        </w:rPr>
        <w:t>tesztek</w:t>
      </w:r>
      <w:bookmarkEnd w:id="1116"/>
      <w:bookmarkEnd w:id="1117"/>
      <w:bookmarkEnd w:id="1118"/>
      <w:bookmarkEnd w:id="1119"/>
      <w:bookmarkEnd w:id="1120"/>
      <w:bookmarkEnd w:id="1121"/>
    </w:p>
    <w:p w14:paraId="34075D2D" w14:textId="33DC9969" w:rsidR="00213618" w:rsidRPr="006A6890" w:rsidRDefault="00213618" w:rsidP="00EA0541">
      <w:pPr>
        <w:rPr>
          <w:rFonts w:asciiTheme="minorHAnsi" w:hAnsiTheme="minorHAnsi"/>
        </w:rPr>
      </w:pPr>
      <w:r w:rsidRPr="006A6890">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érdekében, hogy egy, a jövőben potenciálisan bekövetkező gazdasági visszaesés intézményekre gyakorolt negatív hatását eredményesen tompítani lehessen.</w:t>
      </w:r>
    </w:p>
    <w:p w14:paraId="198E4C22" w14:textId="77777777" w:rsidR="00213618" w:rsidRPr="006A6890" w:rsidRDefault="00213618" w:rsidP="00EA0541">
      <w:pPr>
        <w:rPr>
          <w:rFonts w:asciiTheme="minorHAnsi" w:hAnsiTheme="minorHAnsi"/>
        </w:rPr>
      </w:pPr>
      <w:r w:rsidRPr="006A6890">
        <w:rPr>
          <w:rFonts w:asciiTheme="minorHAnsi" w:hAnsiTheme="minorHAnsi"/>
        </w:rPr>
        <w:t xml:space="preserve">Az ICAAP keretében előírt, 2. pilléres stressz tesztek </w:t>
      </w:r>
      <w:proofErr w:type="spellStart"/>
      <w:r w:rsidRPr="006A6890">
        <w:rPr>
          <w:rFonts w:asciiTheme="minorHAnsi" w:hAnsiTheme="minorHAnsi"/>
        </w:rPr>
        <w:t>előretekintő</w:t>
      </w:r>
      <w:proofErr w:type="spellEnd"/>
      <w:r w:rsidRPr="006A6890">
        <w:rPr>
          <w:rFonts w:asciiTheme="minorHAnsi" w:hAnsiTheme="minorHAnsi"/>
        </w:rPr>
        <w:t xml:space="preserve"> jelleggel, átfogó módon, integrált keretben hivatottak felmérni az intézmény összes materiálisnak tekintett kockázatát (többek között: hitelezési kockázat, partnerkockázat, </w:t>
      </w:r>
      <w:proofErr w:type="spellStart"/>
      <w:r w:rsidRPr="006A6890">
        <w:rPr>
          <w:rFonts w:asciiTheme="minorHAnsi" w:hAnsiTheme="minorHAnsi"/>
        </w:rPr>
        <w:t>értékpapírosítás</w:t>
      </w:r>
      <w:proofErr w:type="spellEnd"/>
      <w:r w:rsidRPr="006A6890">
        <w:rPr>
          <w:rFonts w:asciiTheme="minorHAnsi" w:hAnsiTheme="minorHAnsi"/>
        </w:rPr>
        <w:t>,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 tesztelési módszertan egyértelműen túlmutat a CRR előírásain, mind a belső hitelkockázati modelleket használó (IRB) intézmények által az 1. pillérben alkalmazandó hitelkockázati stressz tesztek</w:t>
      </w:r>
      <w:r w:rsidRPr="006A6890">
        <w:rPr>
          <w:rFonts w:asciiTheme="minorHAnsi" w:hAnsiTheme="minorHAnsi"/>
        </w:rPr>
        <w:footnoteReference w:id="89"/>
      </w:r>
      <w:r w:rsidRPr="006A6890">
        <w:rPr>
          <w:rFonts w:asciiTheme="minorHAnsi" w:hAnsiTheme="minorHAnsi"/>
        </w:rPr>
        <w:t xml:space="preserve"> vonatkozásában, mind pedig a 2. pilléres stressz teszteket</w:t>
      </w:r>
      <w:r w:rsidRPr="006A6890">
        <w:rPr>
          <w:rFonts w:asciiTheme="minorHAnsi" w:hAnsiTheme="minorHAnsi"/>
        </w:rPr>
        <w:footnoteReference w:id="90"/>
      </w:r>
      <w:r w:rsidRPr="006A6890">
        <w:rPr>
          <w:rFonts w:asciiTheme="minorHAnsi" w:hAnsiTheme="minorHAnsi"/>
        </w:rPr>
        <w:t xml:space="preserve"> érintő általános rendelkezések tekintetében.</w:t>
      </w:r>
    </w:p>
    <w:p w14:paraId="030B8474" w14:textId="1A47F350" w:rsidR="00213618" w:rsidRPr="006A6890" w:rsidRDefault="00213618" w:rsidP="00EA0541">
      <w:pPr>
        <w:rPr>
          <w:rFonts w:asciiTheme="minorHAnsi" w:hAnsiTheme="minorHAnsi"/>
        </w:rPr>
      </w:pPr>
      <w:r w:rsidRPr="006A6890">
        <w:rPr>
          <w:rFonts w:asciiTheme="minorHAnsi" w:hAnsiTheme="minorHAnsi"/>
        </w:rPr>
        <w:lastRenderedPageBreak/>
        <w:t xml:space="preserve">Az MNB álláspontja szerint nincs egyetlen ”helyes”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az MNB azonban egyértelműen elvárja, hogy azok fejlett, komplex és integrált stressz tesztelési keretrendszerrel rendelkezzenek. </w:t>
      </w:r>
    </w:p>
    <w:p w14:paraId="6BE51048" w14:textId="25E31E4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különböző módszertanok (érzékenységvizsgálat, forgatókönyv-elemzés, ”</w:t>
      </w:r>
      <w:proofErr w:type="spellStart"/>
      <w:r w:rsidRPr="006A6890">
        <w:rPr>
          <w:rFonts w:asciiTheme="minorHAnsi" w:hAnsiTheme="minorHAnsi"/>
        </w:rPr>
        <w:t>reverse</w:t>
      </w:r>
      <w:proofErr w:type="spellEnd"/>
      <w:r w:rsidRPr="006A6890">
        <w:rPr>
          <w:rFonts w:asciiTheme="minorHAnsi" w:hAnsiTheme="minorHAnsi"/>
        </w:rPr>
        <w:t>” stressz teszt) egyidejű alkalmazását:</w:t>
      </w:r>
    </w:p>
    <w:p w14:paraId="4DAE9890"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e. Az intézményeknek listát kell vezetniük az azonosított kockázati tényezőkről.</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77777777"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w:t>
      </w:r>
      <w:proofErr w:type="spellStart"/>
      <w:r w:rsidRPr="006A6890">
        <w:rPr>
          <w:rFonts w:asciiTheme="minorHAnsi" w:hAnsiTheme="minorHAnsi"/>
          <w:lang w:bidi="hu-HU"/>
        </w:rPr>
        <w:t>előretekintő</w:t>
      </w:r>
      <w:proofErr w:type="spellEnd"/>
      <w:r w:rsidRPr="006A6890">
        <w:rPr>
          <w:rFonts w:asciiTheme="minorHAnsi" w:hAnsiTheme="minorHAnsi"/>
          <w:lang w:bidi="hu-HU"/>
        </w:rPr>
        <w:t xml:space="preserve">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5F5E3607"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w:t>
      </w:r>
      <w:proofErr w:type="spellStart"/>
      <w:r w:rsidRPr="006A6890">
        <w:rPr>
          <w:rFonts w:asciiTheme="minorHAnsi" w:hAnsiTheme="minorHAnsi"/>
          <w:b/>
          <w:lang w:val="x-none"/>
        </w:rPr>
        <w:t>reverse</w:t>
      </w:r>
      <w:proofErr w:type="spellEnd"/>
      <w:r w:rsidRPr="006A6890">
        <w:rPr>
          <w:rFonts w:asciiTheme="minorHAnsi" w:hAnsiTheme="minorHAnsi"/>
          <w:b/>
          <w:lang w:val="x-none"/>
        </w:rPr>
        <w:t>”) stressz</w:t>
      </w:r>
      <w:r w:rsidRPr="006A6890">
        <w:rPr>
          <w:rFonts w:asciiTheme="minorHAnsi" w:hAnsiTheme="minorHAnsi"/>
          <w:b/>
        </w:rPr>
        <w:t xml:space="preserve"> </w:t>
      </w:r>
      <w:r w:rsidRPr="006A6890">
        <w:rPr>
          <w:rFonts w:asciiTheme="minorHAnsi" w:hAnsiTheme="minorHAnsi"/>
          <w:b/>
          <w:lang w:val="x-none"/>
        </w:rPr>
        <w:t>teszt:</w:t>
      </w:r>
      <w:r w:rsidRPr="006A6890">
        <w:rPr>
          <w:rFonts w:asciiTheme="minorHAnsi" w:hAnsiTheme="minorHAnsi"/>
          <w:lang w:val="x-none"/>
        </w:rPr>
        <w:t xml:space="preserve"> olyan intézményi stressz</w:t>
      </w:r>
      <w:r w:rsidRPr="006A6890">
        <w:rPr>
          <w:rFonts w:asciiTheme="minorHAnsi" w:hAnsiTheme="minorHAnsi"/>
        </w:rPr>
        <w:t xml:space="preserve"> </w:t>
      </w:r>
      <w:r w:rsidRPr="006A6890">
        <w:rPr>
          <w:rFonts w:asciiTheme="minorHAnsi" w:hAnsiTheme="minorHAnsi"/>
          <w:lang w:val="x-none"/>
        </w:rPr>
        <w:t>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C4B96F7" w14:textId="77777777" w:rsidR="00213618" w:rsidRPr="006A6890" w:rsidRDefault="00213618" w:rsidP="00213618">
      <w:pPr>
        <w:rPr>
          <w:rFonts w:asciiTheme="minorHAnsi" w:hAnsiTheme="minorHAnsi"/>
        </w:rPr>
      </w:pP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77777777" w:rsidR="00213618" w:rsidRPr="006A6890" w:rsidRDefault="00213618" w:rsidP="00EA0541">
      <w:pPr>
        <w:rPr>
          <w:rFonts w:asciiTheme="minorHAnsi" w:hAnsiTheme="minorHAnsi"/>
        </w:rPr>
      </w:pPr>
      <w:r w:rsidRPr="006A6890">
        <w:rPr>
          <w:rFonts w:asciiTheme="minorHAnsi" w:hAnsiTheme="minorHAnsi"/>
        </w:rPr>
        <w:t>Az ICAAP felülvizsgálat szempontjából a legcélravezetőbb az ún. „</w:t>
      </w:r>
      <w:proofErr w:type="spellStart"/>
      <w:r w:rsidRPr="006A6890">
        <w:rPr>
          <w:rFonts w:asciiTheme="minorHAnsi" w:hAnsiTheme="minorHAnsi"/>
        </w:rPr>
        <w:t>bottom-up</w:t>
      </w:r>
      <w:proofErr w:type="spellEnd"/>
      <w:r w:rsidRPr="006A6890">
        <w:rPr>
          <w:rFonts w:asciiTheme="minorHAnsi" w:hAnsiTheme="minorHAnsi"/>
        </w:rPr>
        <w:t xml:space="preserve">” stressz teszt, mely nagyban támaszkodik az intézmény saját módszertanára. Ebben a keretrendszerben a kockázati paramétereket, </w:t>
      </w:r>
      <w:r w:rsidRPr="006A6890">
        <w:rPr>
          <w:rFonts w:asciiTheme="minorHAnsi" w:hAnsiTheme="minorHAnsi"/>
        </w:rPr>
        <w:lastRenderedPageBreak/>
        <w:t xml:space="preserve">eredményeket és azok tőkemegfelelésre gyakorolt hatását az intézmény maga számolja ki, a Felügyelet által elvárt szabályrendszer szerint. </w:t>
      </w:r>
    </w:p>
    <w:p w14:paraId="69C713CC" w14:textId="77777777"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w:t>
      </w:r>
    </w:p>
    <w:p w14:paraId="154F7438" w14:textId="1C9B4DBB" w:rsidR="00213618" w:rsidRPr="006A6890" w:rsidRDefault="00213618" w:rsidP="00EA0541">
      <w:pPr>
        <w:rPr>
          <w:rFonts w:asciiTheme="minorHAnsi" w:hAnsiTheme="minorHAnsi"/>
        </w:rPr>
      </w:pPr>
      <w:r w:rsidRPr="006A6890">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 stressz tesztek egyik legfőbb eleme, a külső környezeti sokkok transzmisszióját (vagyis intézményre gyakorolt hatását) meghatározó modell módszertani igényességgel, a múltbeli tapasztalatokat és (lehetőség szerint) elemi szintű </w:t>
      </w:r>
      <w:proofErr w:type="spellStart"/>
      <w:r w:rsidRPr="006A6890">
        <w:rPr>
          <w:rFonts w:asciiTheme="minorHAnsi" w:hAnsiTheme="minorHAnsi"/>
          <w:sz w:val="22"/>
          <w:szCs w:val="22"/>
        </w:rPr>
        <w:t>portfólióadatokat</w:t>
      </w:r>
      <w:proofErr w:type="spellEnd"/>
      <w:r w:rsidRPr="006A6890">
        <w:rPr>
          <w:rFonts w:asciiTheme="minorHAnsi" w:hAnsiTheme="minorHAnsi"/>
          <w:sz w:val="22"/>
          <w:szCs w:val="22"/>
        </w:rPr>
        <w:t xml:space="preserve"> is felhasználva kerül kialakításra,</w:t>
      </w:r>
    </w:p>
    <w:p w14:paraId="342BCC60"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1A4298CB"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 tesztelésre elsősorban, mint diagnosztikai eszközre tekint.</w:t>
      </w:r>
    </w:p>
    <w:p w14:paraId="17C989B6" w14:textId="77777777" w:rsidR="00213618" w:rsidRPr="00771F76" w:rsidRDefault="00213618" w:rsidP="00771F76">
      <w:pPr>
        <w:pStyle w:val="Heading3"/>
      </w:pPr>
      <w:bookmarkStart w:id="1131" w:name="_Toc27138992"/>
      <w:r w:rsidRPr="00771F76">
        <w:t>Az alkalmazott kockázati modellek megbízhatósága</w:t>
      </w:r>
      <w:bookmarkEnd w:id="1131"/>
    </w:p>
    <w:p w14:paraId="29B4C75C" w14:textId="77777777" w:rsidR="00213618" w:rsidRPr="006A6890" w:rsidRDefault="00213618" w:rsidP="00EA0541">
      <w:pPr>
        <w:rPr>
          <w:rFonts w:asciiTheme="minorHAnsi" w:hAnsiTheme="minorHAnsi"/>
        </w:rPr>
      </w:pPr>
      <w:r w:rsidRPr="006A6890">
        <w:rPr>
          <w:rFonts w:asciiTheme="minorHAnsi" w:hAnsiTheme="minorHAnsi"/>
        </w:rPr>
        <w:t xml:space="preserve">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w:t>
      </w:r>
      <w:r w:rsidRPr="006A6890">
        <w:rPr>
          <w:rFonts w:asciiTheme="minorHAnsi" w:hAnsiTheme="minorHAnsi"/>
        </w:rPr>
        <w:lastRenderedPageBreak/>
        <w:t xml:space="preserve">értékben) jelentősen megemelkedni, így a normál működésre koncentráló modellek krízis esetén gyakran </w:t>
      </w:r>
      <w:proofErr w:type="spellStart"/>
      <w:r w:rsidRPr="006A6890">
        <w:rPr>
          <w:rFonts w:asciiTheme="minorHAnsi" w:hAnsiTheme="minorHAnsi"/>
        </w:rPr>
        <w:t>alulbecslik</w:t>
      </w:r>
      <w:proofErr w:type="spellEnd"/>
      <w:r w:rsidRPr="006A6890">
        <w:rPr>
          <w:rFonts w:asciiTheme="minorHAnsi" w:hAnsiTheme="minorHAnsi"/>
        </w:rPr>
        <w:t xml:space="preserve">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Heading3"/>
      </w:pPr>
      <w:bookmarkStart w:id="1132" w:name="_Toc27138993"/>
      <w:r w:rsidRPr="00771F76">
        <w:t>Integrált kockázatkezelési szemlélet érvényesítése</w:t>
      </w:r>
      <w:bookmarkEnd w:id="1132"/>
    </w:p>
    <w:p w14:paraId="170ACF6E" w14:textId="77777777" w:rsidR="00213618" w:rsidRPr="006A6890" w:rsidRDefault="00213618" w:rsidP="00EA0541">
      <w:pPr>
        <w:rPr>
          <w:rFonts w:asciiTheme="minorHAnsi" w:hAnsiTheme="minorHAnsi"/>
        </w:rPr>
      </w:pPr>
      <w:r w:rsidRPr="006A6890">
        <w:rPr>
          <w:rFonts w:asciiTheme="minorHAnsi" w:hAnsiTheme="minorHAnsi"/>
        </w:rPr>
        <w:t xml:space="preserve">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w:t>
      </w:r>
      <w:proofErr w:type="spellStart"/>
      <w:r w:rsidRPr="006A6890">
        <w:rPr>
          <w:rFonts w:asciiTheme="minorHAnsi" w:hAnsiTheme="minorHAnsi"/>
        </w:rPr>
        <w:t>értékpapírosítás</w:t>
      </w:r>
      <w:proofErr w:type="spellEnd"/>
      <w:r w:rsidRPr="006A6890">
        <w:rPr>
          <w:rFonts w:asciiTheme="minorHAnsi" w:hAnsiTheme="minorHAnsi"/>
        </w:rPr>
        <w:t>,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6A6890" w:rsidRDefault="00213618" w:rsidP="00EA0541">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intézménytől konszolidált szinten elvárja az integrált stressz tesztek végzését.</w:t>
      </w:r>
    </w:p>
    <w:p w14:paraId="4C157EF7" w14:textId="77777777" w:rsidR="00213618" w:rsidRPr="006A6890" w:rsidRDefault="00213618"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PD-k eltolása, </w:t>
      </w:r>
      <w:proofErr w:type="spellStart"/>
      <w:r w:rsidRPr="006A6890">
        <w:rPr>
          <w:rFonts w:asciiTheme="minorHAnsi" w:hAnsiTheme="minorHAnsi"/>
        </w:rPr>
        <w:t>LGD</w:t>
      </w:r>
      <w:proofErr w:type="spellEnd"/>
      <w:r w:rsidRPr="006A6890">
        <w:rPr>
          <w:rFonts w:asciiTheme="minorHAnsi" w:hAnsiTheme="minorHAnsi"/>
        </w:rPr>
        <w:t xml:space="preserve">-k növelése) kiterjedő stressz tesztelési módszertant az MNB nem tartja elégségesnek. Elvárja továbbá, hogy az intézmény stressz tesztelési programja minden esetben jól </w:t>
      </w:r>
      <w:proofErr w:type="spellStart"/>
      <w:r w:rsidRPr="006A6890">
        <w:rPr>
          <w:rFonts w:asciiTheme="minorHAnsi" w:hAnsiTheme="minorHAnsi"/>
        </w:rPr>
        <w:t>körülhatárolt</w:t>
      </w:r>
      <w:proofErr w:type="spellEnd"/>
      <w:r w:rsidRPr="006A6890">
        <w:rPr>
          <w:rFonts w:asciiTheme="minorHAnsi" w:hAnsiTheme="minorHAnsi"/>
        </w:rPr>
        <w:t xml:space="preserve"> és azonosítható legyen, és megfelelő minőségű szabályzatba legyen foglalva. Szükségesnek ítéljük még ezen túlmenően, 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 tesztek valóban kivételesnek tekinthető, jelentős környezeti sokkok hatását (is) tükrözzék</w:t>
      </w:r>
      <w:r w:rsidRPr="006A6890">
        <w:rPr>
          <w:rFonts w:asciiTheme="minorHAnsi" w:hAnsiTheme="minorHAnsi"/>
        </w:rPr>
        <w:footnoteReference w:id="91"/>
      </w:r>
      <w:r w:rsidRPr="006A6890">
        <w:rPr>
          <w:rFonts w:asciiTheme="minorHAnsi" w:hAnsiTheme="minorHAnsi"/>
        </w:rPr>
        <w:t>.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6A6890" w:rsidRDefault="00213618" w:rsidP="00EA0541">
      <w:pPr>
        <w:rPr>
          <w:rFonts w:asciiTheme="minorHAnsi" w:hAnsiTheme="minorHAnsi"/>
        </w:rPr>
      </w:pPr>
      <w:r w:rsidRPr="006A6890">
        <w:rPr>
          <w:rFonts w:asciiTheme="minorHAnsi" w:hAnsiTheme="minorHAnsi"/>
        </w:rPr>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 xml:space="preserve">a tőkekövetelmény-számítás eredményének ellenőrzése, illetve megbízhatóságának </w:t>
      </w:r>
      <w:proofErr w:type="spellStart"/>
      <w:r w:rsidRPr="006A6890">
        <w:rPr>
          <w:rFonts w:asciiTheme="minorHAnsi" w:hAnsiTheme="minorHAnsi"/>
          <w:sz w:val="22"/>
          <w:szCs w:val="22"/>
        </w:rPr>
        <w:t>körülhatárolása</w:t>
      </w:r>
      <w:proofErr w:type="spellEnd"/>
      <w:r w:rsidRPr="006A6890">
        <w:rPr>
          <w:rFonts w:asciiTheme="minorHAnsi" w:hAnsiTheme="minorHAnsi"/>
          <w:sz w:val="22"/>
          <w:szCs w:val="22"/>
        </w:rPr>
        <w:t xml:space="preserve"> során,</w:t>
      </w:r>
    </w:p>
    <w:p w14:paraId="1715CC3F"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lastRenderedPageBreak/>
        <w:t>esetlegesen pótlólagos szabályozói tőkeszükséglet meghatározása céljából, az MNB-vel történő egyeztetést követően, illetve</w:t>
      </w:r>
    </w:p>
    <w:p w14:paraId="072A63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p>
    <w:p w14:paraId="18F19F83"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29F6C781"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6A6890" w:rsidRDefault="00213618"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269ECF8" w14:textId="77777777" w:rsidR="002E348F" w:rsidRPr="006A6890" w:rsidRDefault="002E348F" w:rsidP="0022464F">
      <w:pPr>
        <w:pStyle w:val="Heading3"/>
        <w:rPr>
          <w:rFonts w:asciiTheme="minorHAnsi" w:hAnsiTheme="minorHAnsi"/>
        </w:rPr>
      </w:pPr>
      <w:bookmarkStart w:id="1133" w:name="_Toc27138994"/>
      <w:r w:rsidRPr="006A6890">
        <w:rPr>
          <w:rFonts w:asciiTheme="minorHAnsi" w:hAnsiTheme="minorHAnsi"/>
        </w:rPr>
        <w:t>Arányosság elvének gyakorlati megjelenése kis intézmények esetén</w:t>
      </w:r>
      <w:bookmarkEnd w:id="1133"/>
    </w:p>
    <w:p w14:paraId="64B4D104" w14:textId="77777777"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w:t>
      </w:r>
      <w:proofErr w:type="spellStart"/>
      <w:r w:rsidRPr="006A6890">
        <w:rPr>
          <w:rFonts w:asciiTheme="minorHAnsi" w:hAnsiTheme="minorHAnsi"/>
        </w:rPr>
        <w:t>reverse</w:t>
      </w:r>
      <w:proofErr w:type="spellEnd"/>
      <w:r w:rsidRPr="006A6890">
        <w:rPr>
          <w:rFonts w:asciiTheme="minorHAnsi" w:hAnsiTheme="minorHAnsi"/>
        </w:rPr>
        <w:t xml:space="preserve">) stressz teszt kidolgozását kisebb, kevésbé összetett működési jellemzőkkel rendelkező intézmények esetén. Ugyanakkor elvárja, hogy kiaknázzák a sokktűrő képesség tesztelésére alkalmas eszközök széles tárházában rejlő lehetőségeket az adott intézmény </w:t>
      </w:r>
      <w:proofErr w:type="spellStart"/>
      <w:r w:rsidRPr="006A6890">
        <w:rPr>
          <w:rFonts w:asciiTheme="minorHAnsi" w:hAnsiTheme="minorHAnsi"/>
        </w:rPr>
        <w:t>specifikumainak</w:t>
      </w:r>
      <w:proofErr w:type="spellEnd"/>
      <w:r w:rsidRPr="006A6890">
        <w:rPr>
          <w:rFonts w:asciiTheme="minorHAnsi" w:hAnsiTheme="minorHAnsi"/>
        </w:rPr>
        <w:t xml:space="preserve">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w:t>
      </w:r>
      <w:proofErr w:type="spellStart"/>
      <w:r w:rsidRPr="006A6890">
        <w:rPr>
          <w:rFonts w:asciiTheme="minorHAnsi" w:hAnsiTheme="minorHAnsi"/>
        </w:rPr>
        <w:t>statisztikailag</w:t>
      </w:r>
      <w:proofErr w:type="spellEnd"/>
      <w:r w:rsidRPr="006A6890">
        <w:rPr>
          <w:rFonts w:asciiTheme="minorHAnsi" w:hAnsiTheme="minorHAnsi"/>
        </w:rPr>
        <w:t xml:space="preserve"> kimutatható kapcsolatot teremt a Bank eredményességét, tőkeakkumulációs képességét meghatározó főbb tényezők és a banküzem szempontjából kritikus </w:t>
      </w:r>
      <w:r w:rsidRPr="006A6890">
        <w:rPr>
          <w:rFonts w:asciiTheme="minorHAnsi" w:hAnsiTheme="minorHAnsi"/>
        </w:rPr>
        <w:lastRenderedPageBreak/>
        <w:t>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 xml:space="preserve">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w:t>
      </w:r>
      <w:proofErr w:type="spellStart"/>
      <w:r w:rsidRPr="006A6890">
        <w:rPr>
          <w:rFonts w:asciiTheme="minorHAnsi" w:hAnsiTheme="minorHAnsi"/>
        </w:rPr>
        <w:t>körülhatárolható</w:t>
      </w:r>
      <w:proofErr w:type="spellEnd"/>
      <w:r w:rsidRPr="006A6890">
        <w:rPr>
          <w:rFonts w:asciiTheme="minorHAnsi" w:hAnsiTheme="minorHAnsi"/>
        </w:rPr>
        <w:t xml:space="preserve"> működési terület, ügyfélkör, speciális hitelezési feltételek, fedezeti elvárások, </w:t>
      </w:r>
      <w:proofErr w:type="spellStart"/>
      <w:r w:rsidRPr="006A6890">
        <w:rPr>
          <w:rFonts w:asciiTheme="minorHAnsi" w:hAnsiTheme="minorHAnsi"/>
        </w:rPr>
        <w:t>stb</w:t>
      </w:r>
      <w:proofErr w:type="spellEnd"/>
      <w:r w:rsidRPr="006A6890">
        <w:rPr>
          <w:rFonts w:asciiTheme="minorHAnsi" w:hAnsiTheme="minorHAnsi"/>
        </w:rPr>
        <w:t>).</w:t>
      </w:r>
    </w:p>
    <w:p w14:paraId="42CDF62D" w14:textId="60CB8B12" w:rsidR="002E348F" w:rsidRPr="006A6890" w:rsidRDefault="002E348F" w:rsidP="00213618">
      <w:pPr>
        <w:rPr>
          <w:rFonts w:asciiTheme="minorHAnsi" w:hAnsiTheme="minorHAnsi"/>
        </w:rPr>
      </w:pPr>
      <w:r w:rsidRPr="006A6890">
        <w:rPr>
          <w:rFonts w:asciiTheme="minorHAnsi" w:hAnsiTheme="minorHAnsi"/>
        </w:rPr>
        <w:t xml:space="preserve">Ezen felül az MNB minden intézmény esetén elvárja egy egységes stressz 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w:t>
      </w:r>
      <w:proofErr w:type="spellStart"/>
      <w:r w:rsidRPr="006A6890">
        <w:rPr>
          <w:rFonts w:asciiTheme="minorHAnsi" w:hAnsiTheme="minorHAnsi"/>
        </w:rPr>
        <w:t>realizálódásának</w:t>
      </w:r>
      <w:proofErr w:type="spellEnd"/>
      <w:r w:rsidRPr="006A6890">
        <w:rPr>
          <w:rFonts w:asciiTheme="minorHAnsi" w:hAnsiTheme="minorHAnsi"/>
        </w:rPr>
        <w:t xml:space="preserve"> esetére, hanem célként tűzzék ki a kockázatok proaktív módon történő feltárását és időben történő kezelését a túlzott kockázatot jelentő kitettségek esetén.</w:t>
      </w:r>
    </w:p>
    <w:p w14:paraId="27091585" w14:textId="77777777" w:rsidR="00213618" w:rsidRPr="006A6890" w:rsidRDefault="00213618" w:rsidP="00EA0541">
      <w:pPr>
        <w:rPr>
          <w:rFonts w:asciiTheme="minorHAnsi" w:hAnsiTheme="minorHAnsi"/>
        </w:rPr>
      </w:pPr>
      <w:r w:rsidRPr="006A6890">
        <w:rPr>
          <w:rFonts w:asciiTheme="minorHAnsi" w:hAnsiTheme="minorHAnsi"/>
        </w:rPr>
        <w:t xml:space="preserve">A fenti általánosságokon túlmenően az MNB az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/2018/04. számú </w:t>
      </w:r>
      <w:proofErr w:type="spellStart"/>
      <w:r w:rsidRPr="006A6890">
        <w:rPr>
          <w:rFonts w:asciiTheme="minorHAnsi" w:hAnsiTheme="minorHAnsi"/>
        </w:rPr>
        <w:t>Guideline</w:t>
      </w:r>
      <w:proofErr w:type="spellEnd"/>
      <w:r w:rsidRPr="006A6890">
        <w:rPr>
          <w:rFonts w:asciiTheme="minorHAnsi" w:hAnsiTheme="minorHAnsi"/>
        </w:rPr>
        <w:t xml:space="preserve"> on </w:t>
      </w:r>
      <w:proofErr w:type="spellStart"/>
      <w:r w:rsidRPr="006A6890">
        <w:rPr>
          <w:rFonts w:asciiTheme="minorHAnsi" w:hAnsiTheme="minorHAnsi"/>
        </w:rPr>
        <w:t>Institutions</w:t>
      </w:r>
      <w:proofErr w:type="spellEnd"/>
      <w:r w:rsidRPr="006A6890">
        <w:rPr>
          <w:rFonts w:asciiTheme="minorHAnsi" w:hAnsiTheme="minorHAnsi"/>
        </w:rPr>
        <w:t xml:space="preserve"> </w:t>
      </w:r>
      <w:proofErr w:type="spellStart"/>
      <w:r w:rsidRPr="006A6890">
        <w:rPr>
          <w:rFonts w:asciiTheme="minorHAnsi" w:hAnsiTheme="minorHAnsi"/>
        </w:rPr>
        <w:t>Stress</w:t>
      </w:r>
      <w:proofErr w:type="spellEnd"/>
      <w:r w:rsidRPr="006A6890">
        <w:rPr>
          <w:rFonts w:asciiTheme="minorHAnsi" w:hAnsiTheme="minorHAnsi"/>
        </w:rPr>
        <w:t xml:space="preserve"> Testing című, 2018. július 19-én megjelent irányelvét tekinti magára nézve irányadónak és alkalmazza az intézmények stressz tesztjeinek megítélése során. Az MNB elvárja a felügyelt intézményektől, hogy részletesen tanulmányozzák annak tartalmát, és törekedjenek megfelelni az abban foglaltaknak.</w:t>
      </w:r>
    </w:p>
    <w:p w14:paraId="1991C172" w14:textId="29A4437A" w:rsidR="00B60B2C" w:rsidRPr="006A6890" w:rsidRDefault="00B60B2C" w:rsidP="008F2D8B">
      <w:pPr>
        <w:pStyle w:val="Heading2"/>
        <w:rPr>
          <w:rFonts w:asciiTheme="minorHAnsi" w:hAnsiTheme="minorHAnsi"/>
        </w:rPr>
      </w:pPr>
      <w:bookmarkStart w:id="1134" w:name="_Toc27138995"/>
      <w:bookmarkStart w:id="1135" w:name="_Toc468191477"/>
      <w:r w:rsidRPr="006A6890">
        <w:rPr>
          <w:rFonts w:asciiTheme="minorHAnsi" w:hAnsiTheme="minorHAnsi"/>
        </w:rPr>
        <w:t xml:space="preserve">Capital </w:t>
      </w:r>
      <w:proofErr w:type="spellStart"/>
      <w:r w:rsidRPr="006A6890">
        <w:rPr>
          <w:rFonts w:asciiTheme="minorHAnsi" w:hAnsiTheme="minorHAnsi"/>
        </w:rPr>
        <w:t>guidance</w:t>
      </w:r>
      <w:proofErr w:type="spellEnd"/>
      <w:r w:rsidRPr="006A6890">
        <w:rPr>
          <w:rFonts w:asciiTheme="minorHAnsi" w:hAnsiTheme="minorHAnsi"/>
        </w:rPr>
        <w:t xml:space="preserve"> meghatározásához használt stressz</w:t>
      </w:r>
      <w:r w:rsidR="00504193" w:rsidRPr="006A6890">
        <w:rPr>
          <w:rFonts w:asciiTheme="minorHAnsi" w:hAnsiTheme="minorHAnsi"/>
          <w:lang w:val="hu-HU"/>
        </w:rPr>
        <w:t xml:space="preserve"> </w:t>
      </w:r>
      <w:r w:rsidRPr="006A6890">
        <w:rPr>
          <w:rFonts w:asciiTheme="minorHAnsi" w:hAnsiTheme="minorHAnsi"/>
        </w:rPr>
        <w:t>teszt keretrendszer bemutatása</w:t>
      </w:r>
      <w:bookmarkEnd w:id="1134"/>
    </w:p>
    <w:p w14:paraId="65D4B8BF" w14:textId="30F62C7C" w:rsidR="002E348F" w:rsidRPr="00EA0541" w:rsidRDefault="002E348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w:t>
      </w:r>
      <w:r w:rsidRPr="006A6890">
        <w:rPr>
          <w:rStyle w:val="FootnoteReference"/>
          <w:rFonts w:asciiTheme="minorHAnsi" w:hAnsiTheme="minorHAnsi"/>
        </w:rPr>
        <w:footnoteReference w:id="92"/>
      </w:r>
      <w:r w:rsidRPr="006A6890">
        <w:rPr>
          <w:rFonts w:asciiTheme="minorHAnsi" w:hAnsiTheme="minorHAnsi"/>
        </w:rPr>
        <w:t xml:space="preserve"> a Magyar Nemzeti Bank 2019-től kezdve új felügyeleti tőkeajánlást vezetett be a hazai hitelintézetek tőkemegfelelésére vonatkozóan (Capital </w:t>
      </w:r>
      <w:proofErr w:type="spellStart"/>
      <w:r w:rsidRPr="006A6890">
        <w:rPr>
          <w:rFonts w:asciiTheme="minorHAnsi" w:hAnsiTheme="minorHAnsi"/>
        </w:rPr>
        <w:t>Guidance</w:t>
      </w:r>
      <w:proofErr w:type="spellEnd"/>
      <w:r w:rsidRPr="006A6890">
        <w:rPr>
          <w:rFonts w:asciiTheme="minorHAnsi" w:hAnsiTheme="minorHAnsi"/>
        </w:rPr>
        <w:t xml:space="preserve">/P2G) annak érdekében, hogy biztosítva legyen, hogy a felügyelt intézmények egy stresszpálya mentén is szolvensek maradnak. </w:t>
      </w:r>
    </w:p>
    <w:p w14:paraId="2CC05E7D" w14:textId="77777777" w:rsidR="002E348F" w:rsidRPr="006A6890" w:rsidRDefault="002E348F" w:rsidP="00EA0541">
      <w:pPr>
        <w:rPr>
          <w:rFonts w:asciiTheme="minorHAnsi" w:hAnsiTheme="minorHAnsi"/>
        </w:rPr>
      </w:pPr>
      <w:r w:rsidRPr="006A6890">
        <w:rPr>
          <w:rFonts w:asciiTheme="minorHAnsi" w:hAnsiTheme="minorHAnsi"/>
        </w:rPr>
        <w:t xml:space="preserve">A Capital </w:t>
      </w:r>
      <w:proofErr w:type="spellStart"/>
      <w:r w:rsidRPr="006A6890">
        <w:rPr>
          <w:rFonts w:asciiTheme="minorHAnsi" w:hAnsiTheme="minorHAnsi"/>
        </w:rPr>
        <w:t>Guidance</w:t>
      </w:r>
      <w:proofErr w:type="spellEnd"/>
      <w:r w:rsidRPr="006A6890">
        <w:rPr>
          <w:rFonts w:asciiTheme="minorHAnsi" w:hAnsiTheme="minorHAnsi"/>
        </w:rPr>
        <w:t xml:space="preserve"> mértékét a felügyeleti (MNB által végrehajtott) stressz teszt határozza meg. Az MNB e kalkulációban figyelembe veheti az intézmény saját stressz tesztjének eredményeit is. A Capital </w:t>
      </w:r>
      <w:proofErr w:type="spellStart"/>
      <w:r w:rsidRPr="006A6890">
        <w:rPr>
          <w:rFonts w:asciiTheme="minorHAnsi" w:hAnsiTheme="minorHAnsi"/>
        </w:rPr>
        <w:t>Guidance</w:t>
      </w:r>
      <w:proofErr w:type="spellEnd"/>
      <w:r w:rsidRPr="006A6890">
        <w:rPr>
          <w:rFonts w:asciiTheme="minorHAnsi" w:hAnsiTheme="minorHAnsi"/>
        </w:rPr>
        <w:t xml:space="preserve"> nem része az ICAAP felülvizsgálat során számszerűsített </w:t>
      </w:r>
      <w:proofErr w:type="spellStart"/>
      <w:r w:rsidRPr="006A6890">
        <w:rPr>
          <w:rFonts w:asciiTheme="minorHAnsi" w:hAnsiTheme="minorHAnsi"/>
        </w:rPr>
        <w:t>TSCR-nek</w:t>
      </w:r>
      <w:proofErr w:type="spellEnd"/>
      <w:r w:rsidRPr="006A6890">
        <w:rPr>
          <w:rFonts w:asciiTheme="minorHAnsi" w:hAnsiTheme="minorHAnsi"/>
        </w:rPr>
        <w:t xml:space="preserve">,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w:t>
      </w:r>
      <w:proofErr w:type="spellStart"/>
      <w:r w:rsidRPr="006A6890">
        <w:rPr>
          <w:rFonts w:asciiTheme="minorHAnsi" w:hAnsiTheme="minorHAnsi"/>
        </w:rPr>
        <w:t>Guidance</w:t>
      </w:r>
      <w:proofErr w:type="spellEnd"/>
      <w:r w:rsidRPr="006A6890">
        <w:rPr>
          <w:rFonts w:asciiTheme="minorHAnsi" w:hAnsiTheme="minorHAnsi"/>
        </w:rPr>
        <w:t xml:space="preserve"> kiszámításával az MNB az intézmény menedzsmentje felé kommunikálja, hogy értékelése szerint mekkora az a </w:t>
      </w:r>
      <w:proofErr w:type="spellStart"/>
      <w:r w:rsidRPr="006A6890">
        <w:rPr>
          <w:rFonts w:asciiTheme="minorHAnsi" w:hAnsiTheme="minorHAnsi"/>
        </w:rPr>
        <w:t>TSCR</w:t>
      </w:r>
      <w:proofErr w:type="spellEnd"/>
      <w:r w:rsidRPr="006A6890">
        <w:rPr>
          <w:rFonts w:asciiTheme="minorHAnsi" w:hAnsiTheme="minorHAnsi"/>
        </w:rPr>
        <w:t xml:space="preserve">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w:t>
      </w:r>
      <w:proofErr w:type="spellStart"/>
      <w:r w:rsidRPr="006A6890">
        <w:rPr>
          <w:rFonts w:asciiTheme="minorHAnsi" w:hAnsiTheme="minorHAnsi"/>
        </w:rPr>
        <w:t>TREA</w:t>
      </w:r>
      <w:proofErr w:type="spellEnd"/>
      <w:r w:rsidRPr="006A6890">
        <w:rPr>
          <w:rFonts w:asciiTheme="minorHAnsi" w:hAnsiTheme="minorHAnsi"/>
        </w:rPr>
        <w:t xml:space="preserve">-ja) milyen mértékben csökken a stressz pálya mentén. </w:t>
      </w:r>
    </w:p>
    <w:p w14:paraId="6AF5B8D9" w14:textId="133FD1E9"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 teszt keretrendszert dolgozott ki (továbbiakban: felügyeleti stressz 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w:t>
      </w:r>
      <w:proofErr w:type="spellStart"/>
      <w:r w:rsidR="002E348F" w:rsidRPr="006A6890">
        <w:rPr>
          <w:rFonts w:asciiTheme="minorHAnsi" w:hAnsiTheme="minorHAnsi"/>
        </w:rPr>
        <w:t>összehasonlítható</w:t>
      </w:r>
      <w:r w:rsidR="00540EC2" w:rsidRPr="006A6890">
        <w:rPr>
          <w:rFonts w:asciiTheme="minorHAnsi" w:hAnsiTheme="minorHAnsi"/>
        </w:rPr>
        <w:t>ak</w:t>
      </w:r>
      <w:proofErr w:type="spellEnd"/>
      <w:r w:rsidR="00540EC2" w:rsidRPr="006A6890">
        <w:rPr>
          <w:rFonts w:asciiTheme="minorHAnsi" w:hAnsiTheme="minorHAnsi"/>
        </w:rPr>
        <w:t xml:space="preserve"> legyenek a különböző bankokra lefuttatott eredmények, mivel ez az alapja a 2019-től </w:t>
      </w:r>
      <w:proofErr w:type="spellStart"/>
      <w:r w:rsidR="00540EC2" w:rsidRPr="006A6890">
        <w:rPr>
          <w:rFonts w:asciiTheme="minorHAnsi" w:hAnsiTheme="minorHAnsi"/>
        </w:rPr>
        <w:t>érévnyben</w:t>
      </w:r>
      <w:proofErr w:type="spellEnd"/>
      <w:r w:rsidR="00540EC2" w:rsidRPr="006A6890">
        <w:rPr>
          <w:rFonts w:asciiTheme="minorHAnsi" w:hAnsiTheme="minorHAnsi"/>
        </w:rPr>
        <w:t xml:space="preserve">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xml:space="preserve">. Ennek </w:t>
      </w:r>
      <w:proofErr w:type="spellStart"/>
      <w:r w:rsidR="002E348F" w:rsidRPr="006A6890">
        <w:rPr>
          <w:rFonts w:asciiTheme="minorHAnsi" w:hAnsiTheme="minorHAnsi"/>
        </w:rPr>
        <w:t>következtébenaz</w:t>
      </w:r>
      <w:proofErr w:type="spellEnd"/>
      <w:r w:rsidR="002E348F" w:rsidRPr="006A6890">
        <w:rPr>
          <w:rFonts w:asciiTheme="minorHAnsi" w:hAnsiTheme="minorHAnsi"/>
        </w:rPr>
        <w:t xml:space="preserve"> MNB benchmark, bankszektor szintű adatokon fejlesztett stressz tesztelési </w:t>
      </w:r>
      <w:r w:rsidR="00540EC2" w:rsidRPr="006A6890">
        <w:rPr>
          <w:rFonts w:asciiTheme="minorHAnsi" w:hAnsiTheme="minorHAnsi"/>
        </w:rPr>
        <w:t>modellek felhasználásával számszerűsíti egy esetleges 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jelenlegi piaci és bankszektori folyamatokat figyelembe véve</w:t>
      </w:r>
      <w:r w:rsidR="00540EC2" w:rsidRPr="006A6890">
        <w:rPr>
          <w:rFonts w:asciiTheme="minorHAnsi" w:hAnsiTheme="minorHAnsi"/>
        </w:rPr>
        <w:t xml:space="preserv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korábban megfigyelhető </w:t>
      </w:r>
      <w:r w:rsidR="002E348F" w:rsidRPr="006A6890">
        <w:rPr>
          <w:rFonts w:asciiTheme="minorHAnsi" w:hAnsiTheme="minorHAnsi"/>
        </w:rPr>
        <w:t xml:space="preserve">bruttó statikus mérlegfeltevés dinamizálása mellett döntött. Ez </w:t>
      </w:r>
      <w:r w:rsidR="002E348F" w:rsidRPr="006A6890">
        <w:rPr>
          <w:rFonts w:asciiTheme="minorHAnsi" w:hAnsiTheme="minorHAnsi"/>
        </w:rPr>
        <w:lastRenderedPageBreak/>
        <w:t>annyiban változtatja meg az állományok alakulását, hogy a mérlegfőösszeg nem marad konstans, és így a növekvő nemteljesítő állomány még nem feltétlenül jár együtt a teljesítő hitelkitettségek csökkenésével</w:t>
      </w:r>
      <w:r w:rsidR="00540EC2" w:rsidRPr="006A6890">
        <w:rPr>
          <w:rFonts w:asciiTheme="minorHAnsi" w:hAnsiTheme="minorHAnsi"/>
        </w:rPr>
        <w:t xml:space="preserve">, illetve a teljesítő állomány nem csak az </w:t>
      </w:r>
      <w:proofErr w:type="spellStart"/>
      <w:r w:rsidR="00540EC2" w:rsidRPr="006A6890">
        <w:rPr>
          <w:rFonts w:asciiTheme="minorHAnsi" w:hAnsiTheme="minorHAnsi"/>
        </w:rPr>
        <w:t>NPL</w:t>
      </w:r>
      <w:proofErr w:type="spellEnd"/>
      <w:r w:rsidR="00540EC2" w:rsidRPr="006A6890">
        <w:rPr>
          <w:rFonts w:asciiTheme="minorHAnsi" w:hAnsiTheme="minorHAnsi"/>
        </w:rPr>
        <w:t xml:space="preserve"> növekedése, hanem az esetleges csökkenő stressz hitelfolyósítást meghaladó amortizáció miatt is csökkenhet</w:t>
      </w:r>
      <w:r w:rsidR="002E348F" w:rsidRPr="006A6890">
        <w:rPr>
          <w:rFonts w:asciiTheme="minorHAnsi" w:hAnsiTheme="minorHAnsi"/>
        </w:rPr>
        <w:t xml:space="preserve">. A következőkben e stressz tesztelési módszertan legfőbb elemei kerülnek bemutatásra. </w:t>
      </w:r>
    </w:p>
    <w:p w14:paraId="6FC15C0F" w14:textId="341980ED" w:rsidR="002E348F" w:rsidRPr="006A6890" w:rsidRDefault="002E348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által kialakított keretrendszertől fontos eltérés az MNB felügyeleti stressz tesztjében, hogy az </w:t>
      </w:r>
      <w:proofErr w:type="spellStart"/>
      <w:r w:rsidRPr="006A6890">
        <w:rPr>
          <w:rFonts w:asciiTheme="minorHAnsi" w:hAnsiTheme="minorHAnsi"/>
        </w:rPr>
        <w:t>EBA</w:t>
      </w:r>
      <w:proofErr w:type="spellEnd"/>
      <w:r w:rsidRPr="006A6890">
        <w:rPr>
          <w:rFonts w:asciiTheme="minorHAnsi" w:hAnsiTheme="minorHAnsi"/>
        </w:rPr>
        <w:t xml:space="preserve"> által meghatározottól különböző makrogazdasági sokk hatását számszerűsíti a teszt, mely jobban tükrözi a magyar gazdaság mechanizmusait. A stressz teszt során egy alappálya és egy stresszpálya</w:t>
      </w:r>
      <w:r w:rsidRPr="006A6890">
        <w:rPr>
          <w:rFonts w:asciiTheme="minorHAnsi" w:hAnsiTheme="minorHAnsi"/>
        </w:rPr>
        <w:footnoteReference w:id="93"/>
      </w:r>
      <w:r w:rsidRPr="006A6890">
        <w:rPr>
          <w:rFonts w:asciiTheme="minorHAnsi" w:hAnsiTheme="minorHAnsi"/>
        </w:rPr>
        <w:t xml:space="preserve"> kerül számszerűsítésre, utóbbi az MNB által definiált sokkok figyelembevételével. A Capital </w:t>
      </w:r>
      <w:proofErr w:type="spellStart"/>
      <w:r w:rsidRPr="006A6890">
        <w:rPr>
          <w:rFonts w:asciiTheme="minorHAnsi" w:hAnsiTheme="minorHAnsi"/>
        </w:rPr>
        <w:t>Guidance</w:t>
      </w:r>
      <w:proofErr w:type="spellEnd"/>
      <w:r w:rsidRPr="006A6890">
        <w:rPr>
          <w:rFonts w:asciiTheme="minorHAnsi" w:hAnsiTheme="minorHAnsi"/>
        </w:rPr>
        <w:t xml:space="preserve"> számszerűsítése főképp az intézmény stresszpályán becsült tőkemegfelelésétől függ, míg az alappálya az eredmények jobb megértésében nyújt segítséget és 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 kockázattal súlyozott eszközérték alakulását is befolyásolja a dinamikus mérlegfeltevés, hiszen a portfolió változásával az RWA is módosul. A tőkemegfelelés szempontjából másik fontos tényező az intézmény rendelkezésére álló tőke szintje, melyet egyrészt az </w:t>
      </w:r>
      <w:proofErr w:type="spellStart"/>
      <w:r w:rsidRPr="006A6890">
        <w:rPr>
          <w:rFonts w:asciiTheme="minorHAnsi" w:hAnsiTheme="minorHAnsi"/>
        </w:rPr>
        <w:t>előrejelzési</w:t>
      </w:r>
      <w:proofErr w:type="spellEnd"/>
      <w:r w:rsidRPr="006A6890">
        <w:rPr>
          <w:rFonts w:asciiTheme="minorHAnsi" w:hAnsiTheme="minorHAnsi"/>
        </w:rPr>
        <w:t xml:space="preserve"> időszak alatt realizálódó kockázatok határoznak meg, másrészt pedig az intézményt jellemző tőkeakkumulációs képesség.</w:t>
      </w:r>
    </w:p>
    <w:p w14:paraId="67F595C5" w14:textId="2D2BC36D" w:rsidR="002E348F" w:rsidRPr="006A6890" w:rsidRDefault="002E348F" w:rsidP="00EA0541">
      <w:pPr>
        <w:rPr>
          <w:rFonts w:asciiTheme="minorHAnsi" w:hAnsiTheme="minorHAnsi"/>
        </w:rPr>
      </w:pPr>
      <w:r w:rsidRPr="006A6890">
        <w:rPr>
          <w:rFonts w:asciiTheme="minorHAnsi" w:hAnsiTheme="minorHAnsi"/>
        </w:rPr>
        <w:t xml:space="preserve">A kockázatok között az egyik legjelentősebb a hitelkockázat, melynek hatása több csatornán keresztül is megjelenik a felügyeleti stressz tesztben. A stresszpályán a makrogazdasági sokk által meghatározott környezet a nemteljesítési valószínűség megugrását eredményezi, mely hatás az MNB által becsült makrogazdasági tényezőket, valamint ügyfél- és ügylettulajdonságokat is magába foglaló modell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w:t>
      </w:r>
      <w:proofErr w:type="spellStart"/>
      <w:r w:rsidRPr="006A6890">
        <w:rPr>
          <w:rFonts w:asciiTheme="minorHAnsi" w:hAnsiTheme="minorHAnsi"/>
        </w:rPr>
        <w:t>IFRS</w:t>
      </w:r>
      <w:proofErr w:type="spellEnd"/>
      <w:r w:rsidRPr="006A6890">
        <w:rPr>
          <w:rFonts w:asciiTheme="minorHAnsi" w:hAnsiTheme="minorHAnsi"/>
        </w:rPr>
        <w:t xml:space="preserve"> 9 számviteli sztenderd támasztotta elvárásoknak. A korábbi </w:t>
      </w:r>
      <w:proofErr w:type="spellStart"/>
      <w:r w:rsidRPr="006A6890">
        <w:rPr>
          <w:rFonts w:asciiTheme="minorHAnsi" w:hAnsiTheme="minorHAnsi"/>
        </w:rPr>
        <w:t>IAS</w:t>
      </w:r>
      <w:proofErr w:type="spellEnd"/>
      <w:r w:rsidRPr="006A6890">
        <w:rPr>
          <w:rFonts w:asciiTheme="minorHAnsi" w:hAnsiTheme="minorHAnsi"/>
        </w:rPr>
        <w:t xml:space="preserve"> 39-as értékvesztéskalkulációhoz képest a legfőbb változás, hogy a modell nem csak a ténylegesen felmerült értékvesztéseket kezeli, hanem a várhatóan, a hitel élettartalma végéig bekövetkezőket is. A különböző szegmensekre</w:t>
      </w:r>
      <w:r w:rsidRPr="006A6890">
        <w:rPr>
          <w:rFonts w:asciiTheme="minorHAnsi" w:hAnsiTheme="minorHAnsi"/>
        </w:rPr>
        <w:footnoteReference w:id="94"/>
      </w:r>
      <w:r w:rsidRPr="006A6890">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w:t>
      </w:r>
      <w:proofErr w:type="spellStart"/>
      <w:r w:rsidRPr="006A6890">
        <w:rPr>
          <w:rFonts w:asciiTheme="minorHAnsi" w:hAnsiTheme="minorHAnsi"/>
        </w:rPr>
        <w:t>Stage</w:t>
      </w:r>
      <w:proofErr w:type="spellEnd"/>
      <w:r w:rsidRPr="006A6890">
        <w:rPr>
          <w:rFonts w:asciiTheme="minorHAnsi" w:hAnsiTheme="minorHAnsi"/>
        </w:rPr>
        <w:t xml:space="preserve"> 3”-as kitettségek hitelkockázati paraméterei képeznek, mivel azok megmaradnak a stressz szcenárió végén felvett értékeiknél. Az értékvesztésmodellben felhasznált hitelkockázati paraméterek az alábbiak szerint kalkulálódnak.</w:t>
      </w:r>
    </w:p>
    <w:p w14:paraId="537F9D2D" w14:textId="77777777" w:rsidR="002E348F" w:rsidRPr="006A6890"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6A6890">
        <w:rPr>
          <w:rFonts w:asciiTheme="minorHAnsi" w:hAnsiTheme="minorHAnsi"/>
        </w:rPr>
        <w:footnoteReference w:id="95"/>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w:t>
      </w:r>
      <w:proofErr w:type="spellStart"/>
      <w:r w:rsidRPr="006A6890">
        <w:rPr>
          <w:rFonts w:asciiTheme="minorHAnsi" w:hAnsiTheme="minorHAnsi"/>
        </w:rPr>
        <w:t>Stage</w:t>
      </w:r>
      <w:proofErr w:type="spellEnd"/>
      <w:r w:rsidRPr="006A6890">
        <w:rPr>
          <w:rFonts w:asciiTheme="minorHAnsi" w:hAnsiTheme="minorHAnsi"/>
        </w:rPr>
        <w:t xml:space="preserve"> 1”) hitelek esetén a gazdasági ciklustól függő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-in-</w:t>
      </w:r>
      <w:proofErr w:type="spellStart"/>
      <w:r w:rsidRPr="006A6890">
        <w:rPr>
          <w:rFonts w:asciiTheme="minorHAnsi" w:hAnsiTheme="minorHAnsi"/>
        </w:rPr>
        <w:t>time</w:t>
      </w:r>
      <w:proofErr w:type="spellEnd"/>
      <w:r w:rsidRPr="006A6890">
        <w:rPr>
          <w:rFonts w:asciiTheme="minorHAnsi" w:hAnsiTheme="minorHAnsi"/>
        </w:rPr>
        <w:t xml:space="preserve">), feltételes PD értékeket felhasználva </w:t>
      </w:r>
      <w:proofErr w:type="spellStart"/>
      <w:r w:rsidRPr="006A6890">
        <w:rPr>
          <w:rFonts w:asciiTheme="minorHAnsi" w:hAnsiTheme="minorHAnsi"/>
        </w:rPr>
        <w:t>számolódik</w:t>
      </w:r>
      <w:proofErr w:type="spellEnd"/>
      <w:r w:rsidRPr="006A6890">
        <w:rPr>
          <w:rFonts w:asciiTheme="minorHAnsi" w:hAnsiTheme="minorHAnsi"/>
        </w:rPr>
        <w:t xml:space="preserve"> a várható veszteség a következő 12 hónapra. Ez azt jelenti, hogy a stresszpálya során háromszor teljesen újra </w:t>
      </w:r>
      <w:proofErr w:type="spellStart"/>
      <w:r w:rsidRPr="006A6890">
        <w:rPr>
          <w:rFonts w:asciiTheme="minorHAnsi" w:hAnsiTheme="minorHAnsi"/>
        </w:rPr>
        <w:t>számolódik</w:t>
      </w:r>
      <w:proofErr w:type="spellEnd"/>
      <w:r w:rsidRPr="006A6890">
        <w:rPr>
          <w:rFonts w:asciiTheme="minorHAnsi" w:hAnsiTheme="minorHAnsi"/>
        </w:rPr>
        <w:t xml:space="preserve"> a „</w:t>
      </w:r>
      <w:proofErr w:type="spellStart"/>
      <w:r w:rsidRPr="006A6890">
        <w:rPr>
          <w:rFonts w:asciiTheme="minorHAnsi" w:hAnsiTheme="minorHAnsi"/>
        </w:rPr>
        <w:t>Stage</w:t>
      </w:r>
      <w:proofErr w:type="spellEnd"/>
      <w:r w:rsidRPr="006A6890">
        <w:rPr>
          <w:rFonts w:asciiTheme="minorHAnsi" w:hAnsiTheme="minorHAnsi"/>
        </w:rPr>
        <w:t xml:space="preserve"> 1”-es hitelek értékvesztése, mivel a sokk mértéke évről évre változik. A romló minőségű, </w:t>
      </w:r>
      <w:proofErr w:type="spellStart"/>
      <w:r w:rsidRPr="006A6890">
        <w:rPr>
          <w:rFonts w:asciiTheme="minorHAnsi" w:hAnsiTheme="minorHAnsi"/>
        </w:rPr>
        <w:t>alulteljesítő</w:t>
      </w:r>
      <w:proofErr w:type="spellEnd"/>
      <w:r w:rsidRPr="006A6890">
        <w:rPr>
          <w:rFonts w:asciiTheme="minorHAnsi" w:hAnsiTheme="minorHAnsi"/>
        </w:rPr>
        <w:t xml:space="preserve"> („</w:t>
      </w:r>
      <w:proofErr w:type="spellStart"/>
      <w:r w:rsidRPr="006A6890">
        <w:rPr>
          <w:rFonts w:asciiTheme="minorHAnsi" w:hAnsiTheme="minorHAnsi"/>
        </w:rPr>
        <w:t>Stage</w:t>
      </w:r>
      <w:proofErr w:type="spellEnd"/>
      <w:r w:rsidRPr="006A6890">
        <w:rPr>
          <w:rFonts w:asciiTheme="minorHAnsi" w:hAnsiTheme="minorHAnsi"/>
        </w:rPr>
        <w:t xml:space="preserve"> 2”) hiteleknél már a teljes élettartamra kalkulálja a modell a várható </w:t>
      </w:r>
      <w:r w:rsidRPr="006A6890">
        <w:rPr>
          <w:rFonts w:asciiTheme="minorHAnsi" w:hAnsiTheme="minorHAnsi"/>
        </w:rPr>
        <w:lastRenderedPageBreak/>
        <w:t xml:space="preserve">veszteségeket, hasonlóképpen </w:t>
      </w:r>
      <w:proofErr w:type="spellStart"/>
      <w:r w:rsidRPr="006A6890">
        <w:rPr>
          <w:rFonts w:asciiTheme="minorHAnsi" w:hAnsiTheme="minorHAnsi"/>
        </w:rPr>
        <w:t>PiT</w:t>
      </w:r>
      <w:proofErr w:type="spellEnd"/>
      <w:r w:rsidRPr="006A6890">
        <w:rPr>
          <w:rFonts w:asciiTheme="minorHAnsi" w:hAnsiTheme="minorHAnsi"/>
        </w:rPr>
        <w:t xml:space="preserve"> PD-ket felhasználva, azonban itt már – amennyiben a hitelportfolió átlagos lejárata meghaladja a stresszpálya hosszát – a három év utáni alappályához való visszatéréssel is kalkulál. A nemteljesítő („</w:t>
      </w:r>
      <w:proofErr w:type="spellStart"/>
      <w:r w:rsidRPr="006A6890">
        <w:rPr>
          <w:rFonts w:asciiTheme="minorHAnsi" w:hAnsiTheme="minorHAnsi"/>
        </w:rPr>
        <w:t>Stage</w:t>
      </w:r>
      <w:proofErr w:type="spellEnd"/>
      <w:r w:rsidRPr="006A6890">
        <w:rPr>
          <w:rFonts w:asciiTheme="minorHAnsi" w:hAnsiTheme="minorHAnsi"/>
        </w:rPr>
        <w:t xml:space="preserv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w:t>
      </w:r>
      <w:proofErr w:type="spellStart"/>
      <w:r w:rsidRPr="006A6890">
        <w:rPr>
          <w:rFonts w:asciiTheme="minorHAnsi" w:hAnsiTheme="minorHAnsi"/>
        </w:rPr>
        <w:t>volatilis</w:t>
      </w:r>
      <w:proofErr w:type="spellEnd"/>
      <w:r w:rsidRPr="006A6890">
        <w:rPr>
          <w:rFonts w:asciiTheme="minorHAnsi" w:hAnsiTheme="minorHAnsi"/>
        </w:rPr>
        <w:t xml:space="preserve"> időszak devizamozgásai alapján </w:t>
      </w:r>
      <w:proofErr w:type="spellStart"/>
      <w:r w:rsidRPr="006A6890">
        <w:rPr>
          <w:rFonts w:asciiTheme="minorHAnsi" w:hAnsiTheme="minorHAnsi"/>
        </w:rPr>
        <w:t>számolódik</w:t>
      </w:r>
      <w:proofErr w:type="spellEnd"/>
      <w:r w:rsidRPr="006A6890">
        <w:rPr>
          <w:rFonts w:asciiTheme="minorHAnsi" w:hAnsiTheme="minorHAnsi"/>
        </w:rPr>
        <w:t>.</w:t>
      </w:r>
    </w:p>
    <w:p w14:paraId="61BDB5CA" w14:textId="77777777" w:rsidR="002E348F" w:rsidRPr="006A6890" w:rsidRDefault="002E348F" w:rsidP="00EA0541">
      <w:pPr>
        <w:rPr>
          <w:rFonts w:asciiTheme="minorHAnsi" w:hAnsiTheme="minorHAnsi"/>
        </w:rPr>
      </w:pPr>
      <w:r w:rsidRPr="006A6890">
        <w:rPr>
          <w:rFonts w:asciiTheme="minorHAnsi" w:hAnsiTheme="minorHAnsi"/>
        </w:rPr>
        <w:t xml:space="preserve">Következő lépésként a különböző értékvesztes kategóriák közötti átmenetvalószínűségek kiszámítása szerepel. A stresszpályára kalkulált nemteljesítő kategóriába történő </w:t>
      </w:r>
      <w:proofErr w:type="spellStart"/>
      <w:r w:rsidRPr="006A6890">
        <w:rPr>
          <w:rFonts w:asciiTheme="minorHAnsi" w:hAnsiTheme="minorHAnsi"/>
        </w:rPr>
        <w:t>migrálási</w:t>
      </w:r>
      <w:proofErr w:type="spellEnd"/>
      <w:r w:rsidRPr="006A6890">
        <w:rPr>
          <w:rFonts w:asciiTheme="minorHAnsi" w:hAnsiTheme="minorHAnsi"/>
        </w:rPr>
        <w:t xml:space="preserve"> valószínűségeket a kiindulási valószínűségek és a szimulált PD értékek modellezett kapcsolata adja meg. A két teljesítő kategória közti, </w:t>
      </w:r>
      <w:proofErr w:type="spellStart"/>
      <w:r w:rsidRPr="006A6890">
        <w:rPr>
          <w:rFonts w:asciiTheme="minorHAnsi" w:hAnsiTheme="minorHAnsi"/>
        </w:rPr>
        <w:t>kétirányú</w:t>
      </w:r>
      <w:proofErr w:type="spellEnd"/>
      <w:r w:rsidRPr="006A6890">
        <w:rPr>
          <w:rFonts w:asciiTheme="minorHAnsi" w:hAnsiTheme="minorHAnsi"/>
        </w:rPr>
        <w:t xml:space="preserve"> átmenetvalószínűségek historikus adatokat felhasználva számolódnak. Az adott kategóriából a másik kettőbe való </w:t>
      </w:r>
      <w:proofErr w:type="spellStart"/>
      <w:r w:rsidRPr="006A6890">
        <w:rPr>
          <w:rFonts w:asciiTheme="minorHAnsi" w:hAnsiTheme="minorHAnsi"/>
        </w:rPr>
        <w:t>migrálási</w:t>
      </w:r>
      <w:proofErr w:type="spellEnd"/>
      <w:r w:rsidRPr="006A6890">
        <w:rPr>
          <w:rFonts w:asciiTheme="minorHAnsi" w:hAnsiTheme="minorHAnsi"/>
        </w:rPr>
        <w:t xml:space="preserve"> valószínűségek, valamint az adott kategóriában maradás valószínűségének összege minden esetben 100 százalékot kell, hogy kiadjon. A  „</w:t>
      </w:r>
      <w:proofErr w:type="spellStart"/>
      <w:r w:rsidRPr="006A6890">
        <w:rPr>
          <w:rFonts w:asciiTheme="minorHAnsi" w:hAnsiTheme="minorHAnsi"/>
        </w:rPr>
        <w:t>Stage</w:t>
      </w:r>
      <w:proofErr w:type="spellEnd"/>
      <w:r w:rsidRPr="006A6890">
        <w:rPr>
          <w:rFonts w:asciiTheme="minorHAnsi" w:hAnsiTheme="minorHAnsi"/>
        </w:rPr>
        <w:t xml:space="preserve"> 3”-ból a másik két kategóriába </w:t>
      </w:r>
      <w:proofErr w:type="spellStart"/>
      <w:r w:rsidRPr="006A6890">
        <w:rPr>
          <w:rFonts w:asciiTheme="minorHAnsi" w:hAnsiTheme="minorHAnsi"/>
        </w:rPr>
        <w:t>migrálás</w:t>
      </w:r>
      <w:proofErr w:type="spellEnd"/>
      <w:r w:rsidRPr="006A6890">
        <w:rPr>
          <w:rFonts w:asciiTheme="minorHAnsi" w:hAnsiTheme="minorHAnsi"/>
        </w:rPr>
        <w:t xml:space="preserve"> valószínűsége 0 százalék a gyógyulás tiltása miatt, így a fenti szabályból következik, hogy a nemteljesítő kategóriában maradás valószínűsége 100 százalék. A két megmaradt valószínűség („</w:t>
      </w:r>
      <w:proofErr w:type="spellStart"/>
      <w:r w:rsidRPr="006A6890">
        <w:rPr>
          <w:rFonts w:asciiTheme="minorHAnsi" w:hAnsiTheme="minorHAnsi"/>
        </w:rPr>
        <w:t>Stage</w:t>
      </w:r>
      <w:proofErr w:type="spellEnd"/>
      <w:r w:rsidRPr="006A6890">
        <w:rPr>
          <w:rFonts w:asciiTheme="minorHAnsi" w:hAnsiTheme="minorHAnsi"/>
        </w:rPr>
        <w:t xml:space="preserve"> 1”-ben és „</w:t>
      </w:r>
      <w:proofErr w:type="spellStart"/>
      <w:r w:rsidRPr="006A6890">
        <w:rPr>
          <w:rFonts w:asciiTheme="minorHAnsi" w:hAnsiTheme="minorHAnsi"/>
        </w:rPr>
        <w:t>Stage</w:t>
      </w:r>
      <w:proofErr w:type="spellEnd"/>
      <w:r w:rsidRPr="006A6890">
        <w:rPr>
          <w:rFonts w:asciiTheme="minorHAnsi" w:hAnsiTheme="minorHAnsi"/>
        </w:rPr>
        <w:t xml:space="preserve"> 2”-ben maradás) maradék elven, a két adott értékvesztés kategóriához tartozó valószínűséget 100 százalékra kiegészítve </w:t>
      </w:r>
      <w:proofErr w:type="spellStart"/>
      <w:r w:rsidRPr="006A6890">
        <w:rPr>
          <w:rFonts w:asciiTheme="minorHAnsi" w:hAnsiTheme="minorHAnsi"/>
        </w:rPr>
        <w:t>kalkulálódik</w:t>
      </w:r>
      <w:proofErr w:type="spellEnd"/>
      <w:r w:rsidRPr="006A6890">
        <w:rPr>
          <w:rFonts w:asciiTheme="minorHAnsi" w:hAnsiTheme="minorHAnsi"/>
        </w:rPr>
        <w:t>. Korlátozásra kerül ezeken felül a „</w:t>
      </w:r>
      <w:proofErr w:type="spellStart"/>
      <w:r w:rsidRPr="006A6890">
        <w:rPr>
          <w:rFonts w:asciiTheme="minorHAnsi" w:hAnsiTheme="minorHAnsi"/>
        </w:rPr>
        <w:t>Stage</w:t>
      </w:r>
      <w:proofErr w:type="spellEnd"/>
      <w:r w:rsidRPr="006A6890">
        <w:rPr>
          <w:rFonts w:asciiTheme="minorHAnsi" w:hAnsiTheme="minorHAnsi"/>
        </w:rPr>
        <w:t xml:space="preserve"> 1”-ből „</w:t>
      </w:r>
      <w:proofErr w:type="spellStart"/>
      <w:r w:rsidRPr="006A6890">
        <w:rPr>
          <w:rFonts w:asciiTheme="minorHAnsi" w:hAnsiTheme="minorHAnsi"/>
        </w:rPr>
        <w:t>Stage</w:t>
      </w:r>
      <w:proofErr w:type="spellEnd"/>
      <w:r w:rsidRPr="006A6890">
        <w:rPr>
          <w:rFonts w:asciiTheme="minorHAnsi" w:hAnsiTheme="minorHAnsi"/>
        </w:rPr>
        <w:t xml:space="preserve"> 2”-be történő átmeneti valószínűség és a fordított irányú </w:t>
      </w:r>
      <w:proofErr w:type="spellStart"/>
      <w:r w:rsidRPr="006A6890">
        <w:rPr>
          <w:rFonts w:asciiTheme="minorHAnsi" w:hAnsiTheme="minorHAnsi"/>
        </w:rPr>
        <w:t>migrálás</w:t>
      </w:r>
      <w:proofErr w:type="spellEnd"/>
      <w:r w:rsidRPr="006A6890">
        <w:rPr>
          <w:rFonts w:asciiTheme="minorHAnsi" w:hAnsiTheme="minorHAnsi"/>
        </w:rPr>
        <w:t xml:space="preserve"> is. Az előbbi nem csökkenhet a kiindulási érték alá, míg az utóbbi nem nőhet a kiindulási érték fölé. </w:t>
      </w:r>
    </w:p>
    <w:p w14:paraId="45F3FC8B" w14:textId="77777777" w:rsidR="002E348F" w:rsidRPr="006A6890" w:rsidRDefault="002E348F" w:rsidP="00EA0541">
      <w:pPr>
        <w:rPr>
          <w:rFonts w:asciiTheme="minorHAnsi" w:hAnsiTheme="minorHAnsi"/>
        </w:rPr>
      </w:pPr>
      <w:r w:rsidRPr="006A6890">
        <w:rPr>
          <w:rFonts w:asciiTheme="minorHAnsi" w:hAnsiTheme="minorHAnsi"/>
        </w:rPr>
        <w:t xml:space="preserve">A harmadik lépés az </w:t>
      </w:r>
      <w:proofErr w:type="spellStart"/>
      <w:r w:rsidRPr="006A6890">
        <w:rPr>
          <w:rFonts w:asciiTheme="minorHAnsi" w:hAnsiTheme="minorHAnsi"/>
        </w:rPr>
        <w:t>LGD</w:t>
      </w:r>
      <w:proofErr w:type="spellEnd"/>
      <w:r w:rsidRPr="006A6890">
        <w:rPr>
          <w:rFonts w:asciiTheme="minorHAnsi" w:hAnsiTheme="minorHAnsi"/>
        </w:rPr>
        <w:t xml:space="preserve">-k stresszelése. A mulasztás esetén várható veszteségeket kétféle sokkal téríti el a modell. Az egyik a devizában denominált hitelek esetén alkalmazott </w:t>
      </w:r>
      <w:proofErr w:type="spellStart"/>
      <w:r w:rsidRPr="006A6890">
        <w:rPr>
          <w:rFonts w:asciiTheme="minorHAnsi" w:hAnsiTheme="minorHAnsi"/>
        </w:rPr>
        <w:t>FX</w:t>
      </w:r>
      <w:proofErr w:type="spellEnd"/>
      <w:r w:rsidRPr="006A6890">
        <w:rPr>
          <w:rFonts w:asciiTheme="minorHAnsi" w:hAnsiTheme="minorHAnsi"/>
        </w:rPr>
        <w:t xml:space="preserve">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 teszt kiindulási időpontjában fennálló, a vizsgált bank által modellezett </w:t>
      </w:r>
      <w:proofErr w:type="spellStart"/>
      <w:r w:rsidRPr="006A6890">
        <w:rPr>
          <w:rFonts w:asciiTheme="minorHAnsi" w:hAnsiTheme="minorHAnsi"/>
        </w:rPr>
        <w:t>LGD</w:t>
      </w:r>
      <w:proofErr w:type="spellEnd"/>
      <w:r w:rsidRPr="006A6890">
        <w:rPr>
          <w:rFonts w:asciiTheme="minorHAnsi" w:hAnsiTheme="minorHAnsi"/>
        </w:rPr>
        <w:t>-ben tükröződik, majd ezen keresztül végig jelen van a stresszpályán is.</w:t>
      </w:r>
    </w:p>
    <w:p w14:paraId="3C2C4B7F" w14:textId="77777777"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0A59094D" w14:textId="77777777" w:rsidR="002E348F" w:rsidRPr="006A6890" w:rsidRDefault="002E348F" w:rsidP="00EA0541">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w:t>
      </w:r>
      <w:proofErr w:type="spellStart"/>
      <w:r w:rsidRPr="006A6890">
        <w:rPr>
          <w:rFonts w:asciiTheme="minorHAnsi" w:hAnsiTheme="minorHAnsi"/>
        </w:rPr>
        <w:t>Stage</w:t>
      </w:r>
      <w:proofErr w:type="spellEnd"/>
      <w:r w:rsidRPr="006A6890">
        <w:rPr>
          <w:rFonts w:asciiTheme="minorHAnsi" w:hAnsiTheme="minorHAnsi"/>
        </w:rPr>
        <w:t xml:space="preserve"> 1”-ből „</w:t>
      </w:r>
      <w:proofErr w:type="spellStart"/>
      <w:r w:rsidRPr="006A6890">
        <w:rPr>
          <w:rFonts w:asciiTheme="minorHAnsi" w:hAnsiTheme="minorHAnsi"/>
        </w:rPr>
        <w:t>Stage</w:t>
      </w:r>
      <w:proofErr w:type="spellEnd"/>
      <w:r w:rsidRPr="006A6890">
        <w:rPr>
          <w:rFonts w:asciiTheme="minorHAnsi" w:hAnsiTheme="minorHAnsi"/>
        </w:rPr>
        <w:t xml:space="preserve"> 2”-be vándorolnak a stresszpálya három éve alatt. Továbbá azokra, melyek „</w:t>
      </w:r>
      <w:proofErr w:type="spellStart"/>
      <w:r w:rsidRPr="006A6890">
        <w:rPr>
          <w:rFonts w:asciiTheme="minorHAnsi" w:hAnsiTheme="minorHAnsi"/>
        </w:rPr>
        <w:t>Stage</w:t>
      </w:r>
      <w:proofErr w:type="spellEnd"/>
      <w:r w:rsidRPr="006A6890">
        <w:rPr>
          <w:rFonts w:asciiTheme="minorHAnsi" w:hAnsiTheme="minorHAnsi"/>
        </w:rPr>
        <w:t xml:space="preserve"> 2”-ben kezdik a vizsgált időszakban függetlenül attól, hogy végül maradnak a kategóriában vagy nemteljesítővé válnak a későbbiek folyamán. A „</w:t>
      </w:r>
      <w:proofErr w:type="spellStart"/>
      <w:r w:rsidRPr="006A6890">
        <w:rPr>
          <w:rFonts w:asciiTheme="minorHAnsi" w:hAnsiTheme="minorHAnsi"/>
        </w:rPr>
        <w:t>Stage</w:t>
      </w:r>
      <w:proofErr w:type="spellEnd"/>
      <w:r w:rsidRPr="006A6890">
        <w:rPr>
          <w:rFonts w:asciiTheme="minorHAnsi" w:hAnsiTheme="minorHAnsi"/>
        </w:rPr>
        <w:t xml:space="preserve"> 3”-as ügyletekre az élettartam alatt várható hitelkockázati költség az ezen ügyletekre vonatkozó </w:t>
      </w:r>
      <w:proofErr w:type="spellStart"/>
      <w:r w:rsidRPr="006A6890">
        <w:rPr>
          <w:rFonts w:asciiTheme="minorHAnsi" w:hAnsiTheme="minorHAnsi"/>
        </w:rPr>
        <w:t>LGD</w:t>
      </w:r>
      <w:proofErr w:type="spellEnd"/>
      <w:r w:rsidRPr="006A6890">
        <w:rPr>
          <w:rFonts w:asciiTheme="minorHAnsi" w:hAnsiTheme="minorHAnsi"/>
        </w:rPr>
        <w:t xml:space="preserve"> értéke lesz, mivel a PD 100 százalék. A várható élettartamra vonatkozó hitelkockázati költség az aktuális kitettség, a marginális PD és az </w:t>
      </w:r>
      <w:proofErr w:type="spellStart"/>
      <w:r w:rsidRPr="006A6890">
        <w:rPr>
          <w:rFonts w:asciiTheme="minorHAnsi" w:hAnsiTheme="minorHAnsi"/>
        </w:rPr>
        <w:t>LGD</w:t>
      </w:r>
      <w:proofErr w:type="spellEnd"/>
      <w:r w:rsidRPr="006A6890">
        <w:rPr>
          <w:rFonts w:asciiTheme="minorHAnsi" w:hAnsiTheme="minorHAnsi"/>
        </w:rPr>
        <w:t xml:space="preserve"> szorzataként </w:t>
      </w:r>
      <w:proofErr w:type="spellStart"/>
      <w:r w:rsidRPr="006A6890">
        <w:rPr>
          <w:rFonts w:asciiTheme="minorHAnsi" w:hAnsiTheme="minorHAnsi"/>
        </w:rPr>
        <w:t>számolódik</w:t>
      </w:r>
      <w:proofErr w:type="spellEnd"/>
      <w:r w:rsidRPr="006A6890">
        <w:rPr>
          <w:rFonts w:asciiTheme="minorHAnsi" w:hAnsiTheme="minorHAnsi"/>
        </w:rPr>
        <w:t>. Fontos megjegyezni, hogy a statikus mérlegfeltevés miatt a bruttó kitettség konstans marad a vizsgált három évre vonatkozóan és csak utána kezd el amortizálódni. Ez többek között együtt jár azzal is, hogy a portfoliók várható futamideje azonos marad a tényév végi értékkel, valamint a három évnél korábban kifutó hitelkitettségek azonos hitelkockázati karakterisztikával (IFRS9 értékvesztési kategóriát beleszámítva) újulnak meg.</w:t>
      </w:r>
    </w:p>
    <w:p w14:paraId="14C6915D" w14:textId="77777777" w:rsidR="002E348F" w:rsidRPr="006A6890" w:rsidRDefault="002E348F" w:rsidP="00EA0541">
      <w:pPr>
        <w:rPr>
          <w:rFonts w:asciiTheme="minorHAnsi" w:hAnsiTheme="minorHAnsi"/>
        </w:rPr>
      </w:pPr>
      <w:r w:rsidRPr="006A6890">
        <w:rPr>
          <w:rFonts w:asciiTheme="minorHAnsi" w:hAnsiTheme="minorHAnsi"/>
        </w:rPr>
        <w:t xml:space="preserve">A hitelkockázathoz tartozik – ahogy az ICAAP alatt is – a partnerkockázat és a </w:t>
      </w:r>
      <w:proofErr w:type="spellStart"/>
      <w:r w:rsidRPr="006A6890">
        <w:rPr>
          <w:rFonts w:asciiTheme="minorHAnsi" w:hAnsiTheme="minorHAnsi"/>
        </w:rPr>
        <w:t>CVA</w:t>
      </w:r>
      <w:proofErr w:type="spellEnd"/>
      <w:r w:rsidRPr="006A6890">
        <w:rPr>
          <w:rFonts w:asciiTheme="minorHAnsi" w:hAnsiTheme="minorHAnsi"/>
        </w:rPr>
        <w:t xml:space="preserve"> kockázat. A partnerkockázat esetén az </w:t>
      </w:r>
      <w:proofErr w:type="spellStart"/>
      <w:r w:rsidRPr="006A6890">
        <w:rPr>
          <w:rFonts w:asciiTheme="minorHAnsi" w:hAnsiTheme="minorHAnsi"/>
        </w:rPr>
        <w:t>EBA</w:t>
      </w:r>
      <w:proofErr w:type="spellEnd"/>
      <w:r w:rsidRPr="006A6890">
        <w:rPr>
          <w:rFonts w:asciiTheme="minorHAnsi" w:hAnsiTheme="minorHAnsi"/>
        </w:rPr>
        <w:t xml:space="preserve"> stressz teszt alapfeltevéseivel összhangban a 10 legnagyobb ügyfél közül a két legkockázatosabb bedőlését feltételezi a módszertan. A legnagyobb ügyfelek kiválasztásánál csoport szinten, </w:t>
      </w:r>
      <w:proofErr w:type="spellStart"/>
      <w:r w:rsidRPr="006A6890">
        <w:rPr>
          <w:rFonts w:asciiTheme="minorHAnsi" w:hAnsiTheme="minorHAnsi"/>
        </w:rPr>
        <w:t>nettózva</w:t>
      </w:r>
      <w:proofErr w:type="spellEnd"/>
      <w:r w:rsidRPr="006A6890">
        <w:rPr>
          <w:rFonts w:asciiTheme="minorHAnsi" w:hAnsiTheme="minorHAnsi"/>
        </w:rPr>
        <w:t xml:space="preserve">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w:t>
      </w:r>
      <w:proofErr w:type="spellStart"/>
      <w:r w:rsidRPr="006A6890">
        <w:rPr>
          <w:rFonts w:asciiTheme="minorHAnsi" w:hAnsiTheme="minorHAnsi"/>
        </w:rPr>
        <w:t>LGD</w:t>
      </w:r>
      <w:proofErr w:type="spellEnd"/>
      <w:r w:rsidRPr="006A6890">
        <w:rPr>
          <w:rFonts w:asciiTheme="minorHAnsi" w:hAnsiTheme="minorHAnsi"/>
        </w:rPr>
        <w:t xml:space="preserve"> vagy egyéb, sztenderd </w:t>
      </w:r>
      <w:r w:rsidRPr="006A6890">
        <w:rPr>
          <w:rFonts w:asciiTheme="minorHAnsi" w:hAnsiTheme="minorHAnsi"/>
        </w:rPr>
        <w:lastRenderedPageBreak/>
        <w:t xml:space="preserve">módszer alatt meghatározott várható csődesemény alatt az ügyleten keletkező veszteség szorzatából kerül meghatározásra. A </w:t>
      </w:r>
      <w:proofErr w:type="spellStart"/>
      <w:r w:rsidRPr="006A6890">
        <w:rPr>
          <w:rFonts w:asciiTheme="minorHAnsi" w:hAnsiTheme="minorHAnsi"/>
        </w:rPr>
        <w:t>CVA</w:t>
      </w:r>
      <w:proofErr w:type="spellEnd"/>
      <w:r w:rsidRPr="006A6890">
        <w:rPr>
          <w:rFonts w:asciiTheme="minorHAnsi" w:hAnsiTheme="minorHAnsi"/>
        </w:rPr>
        <w:t xml:space="preserve"> kockázati veszteség az ICAAP alatt meghatározott, erre vonatkozó tőkekövetelmény alapján kerül számszerűsítésre, mely a partnerkockázattal megegyezően az első évben, egyszeri veszteségként jelenik meg a felügyeleti stressz tesztben. Fontos megemlíteni, hogy a partnerkockázati és </w:t>
      </w:r>
      <w:proofErr w:type="spellStart"/>
      <w:r w:rsidRPr="006A6890">
        <w:rPr>
          <w:rFonts w:asciiTheme="minorHAnsi" w:hAnsiTheme="minorHAnsi"/>
        </w:rPr>
        <w:t>CVA</w:t>
      </w:r>
      <w:proofErr w:type="spellEnd"/>
      <w:r w:rsidRPr="006A6890">
        <w:rPr>
          <w:rFonts w:asciiTheme="minorHAnsi" w:hAnsiTheme="minorHAnsi"/>
        </w:rPr>
        <w:t xml:space="preserve"> veszteség csak a stresszpálya eredményét rontja, alappályán ezek értéke 0.</w:t>
      </w:r>
    </w:p>
    <w:p w14:paraId="20C34DB7" w14:textId="1BB54252" w:rsidR="002E348F" w:rsidRPr="006A6890" w:rsidRDefault="002E348F" w:rsidP="00EA0541">
      <w:pPr>
        <w:rPr>
          <w:rFonts w:asciiTheme="minorHAnsi" w:hAnsiTheme="minorHAnsi"/>
        </w:rPr>
      </w:pPr>
      <w:r w:rsidRPr="006A6890">
        <w:rPr>
          <w:rFonts w:asciiTheme="minorHAnsi" w:hAnsiTheme="minorHAnsi"/>
        </w:rPr>
        <w:t xml:space="preserve">Fontos kockázatforrás ezenfelül a piaci kockázat is, melyet banki és kereskedési könyvi kockázatok együttesére bont a stressz teszt. A banki könyvi kitettségek esetén a kamatkockázathoz </w:t>
      </w:r>
      <w:r w:rsidR="00892603" w:rsidRPr="006A6890">
        <w:rPr>
          <w:rFonts w:asciiTheme="minorHAnsi" w:hAnsiTheme="minorHAnsi"/>
        </w:rPr>
        <w:t xml:space="preserve">és a devizaárfolyam-kockázathoz </w:t>
      </w:r>
      <w:r w:rsidRPr="006A6890">
        <w:rPr>
          <w:rFonts w:asciiTheme="minorHAnsi" w:hAnsiTheme="minorHAnsi"/>
        </w:rPr>
        <w:t xml:space="preserve">párosul stresszelt érték. </w:t>
      </w:r>
      <w:r w:rsidR="00892603" w:rsidRPr="006A6890">
        <w:rPr>
          <w:rFonts w:asciiTheme="minorHAnsi" w:hAnsiTheme="minorHAnsi"/>
        </w:rPr>
        <w:t>A</w:t>
      </w:r>
      <w:r w:rsidRPr="006A6890">
        <w:rPr>
          <w:rFonts w:asciiTheme="minorHAnsi" w:hAnsiTheme="minorHAnsi"/>
        </w:rPr>
        <w:t xml:space="preserve"> valós értéken értékelt kitettség árfolyamváltozás hatására történő elmozdítása </w:t>
      </w:r>
      <w:r w:rsidR="00892603" w:rsidRPr="006A6890">
        <w:rPr>
          <w:rFonts w:asciiTheme="minorHAnsi" w:hAnsiTheme="minorHAnsi"/>
        </w:rPr>
        <w:t xml:space="preserve">a dinamikus mérleg bevezetését követően már értelmezhető, mivel ez a </w:t>
      </w:r>
      <w:r w:rsidRPr="006A6890">
        <w:rPr>
          <w:rFonts w:asciiTheme="minorHAnsi" w:hAnsiTheme="minorHAnsi"/>
        </w:rPr>
        <w:t xml:space="preserve">mérlegfőösszeg </w:t>
      </w:r>
      <w:r w:rsidR="00892603" w:rsidRPr="006A6890">
        <w:rPr>
          <w:rFonts w:asciiTheme="minorHAnsi" w:hAnsiTheme="minorHAnsi"/>
        </w:rPr>
        <w:t>megváltozásával jár</w:t>
      </w:r>
      <w:r w:rsidRPr="006A6890">
        <w:rPr>
          <w:rFonts w:asciiTheme="minorHAnsi" w:hAnsiTheme="minorHAnsi"/>
        </w:rPr>
        <w:t xml:space="preserve">. A devizák átértékelődésének hatása </w:t>
      </w:r>
      <w:r w:rsidR="00892603" w:rsidRPr="006A6890">
        <w:rPr>
          <w:rFonts w:asciiTheme="minorHAnsi" w:hAnsiTheme="minorHAnsi"/>
        </w:rPr>
        <w:t>ezen kívül még</w:t>
      </w:r>
      <w:r w:rsidRPr="006A6890">
        <w:rPr>
          <w:rFonts w:asciiTheme="minorHAnsi" w:hAnsiTheme="minorHAnsi"/>
        </w:rPr>
        <w:t xml:space="preserve">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w:t>
      </w:r>
      <w:proofErr w:type="spellStart"/>
      <w:r w:rsidRPr="006A6890">
        <w:rPr>
          <w:rFonts w:asciiTheme="minorHAnsi" w:hAnsiTheme="minorHAnsi"/>
        </w:rPr>
        <w:t>FVOCI</w:t>
      </w:r>
      <w:proofErr w:type="spellEnd"/>
      <w:r w:rsidRPr="006A6890">
        <w:rPr>
          <w:rFonts w:asciiTheme="minorHAnsi" w:hAnsiTheme="minorHAnsi"/>
        </w:rPr>
        <w:t xml:space="preserve"> értékpapírok </w:t>
      </w:r>
      <w:proofErr w:type="spellStart"/>
      <w:r w:rsidRPr="006A6890">
        <w:rPr>
          <w:rFonts w:asciiTheme="minorHAnsi" w:hAnsiTheme="minorHAnsi"/>
        </w:rPr>
        <w:t>átértékelődése</w:t>
      </w:r>
      <w:proofErr w:type="spellEnd"/>
      <w:r w:rsidRPr="006A6890">
        <w:rPr>
          <w:rFonts w:asciiTheme="minorHAnsi" w:hAnsiTheme="minorHAnsi"/>
        </w:rPr>
        <w:t xml:space="preserv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w:t>
      </w:r>
      <w:proofErr w:type="spellStart"/>
      <w:r w:rsidRPr="006A6890">
        <w:rPr>
          <w:rFonts w:asciiTheme="minorHAnsi" w:hAnsiTheme="minorHAnsi"/>
        </w:rPr>
        <w:t>FVTPL</w:t>
      </w:r>
      <w:proofErr w:type="spellEnd"/>
      <w:r w:rsidRPr="006A6890">
        <w:rPr>
          <w:rFonts w:asciiTheme="minorHAnsi" w:hAnsiTheme="minorHAnsi"/>
        </w:rPr>
        <w:t xml:space="preserve"> része, valamint a fedezésükre kötött </w:t>
      </w:r>
      <w:proofErr w:type="spellStart"/>
      <w:r w:rsidRPr="006A6890">
        <w:rPr>
          <w:rFonts w:asciiTheme="minorHAnsi" w:hAnsiTheme="minorHAnsi"/>
        </w:rPr>
        <w:t>IRS</w:t>
      </w:r>
      <w:proofErr w:type="spellEnd"/>
      <w:r w:rsidRPr="006A6890">
        <w:rPr>
          <w:rFonts w:asciiTheme="minorHAnsi" w:hAnsiTheme="minorHAnsi"/>
        </w:rPr>
        <w:t xml:space="preserve">-ek együttes </w:t>
      </w:r>
      <w:proofErr w:type="spellStart"/>
      <w:r w:rsidRPr="006A6890">
        <w:rPr>
          <w:rFonts w:asciiTheme="minorHAnsi" w:hAnsiTheme="minorHAnsi"/>
        </w:rPr>
        <w:t>átértékelődése</w:t>
      </w:r>
      <w:proofErr w:type="spellEnd"/>
      <w:r w:rsidRPr="006A6890">
        <w:rPr>
          <w:rFonts w:asciiTheme="minorHAnsi" w:hAnsiTheme="minorHAnsi"/>
        </w:rPr>
        <w:t xml:space="preserve"> hasonló mechanizmus alapján, viszont az eredménnyel szemben jelenik meg. A kereskedési könyvre vonatkozó kockázattípusok közül a kamatkockázat a banki könyvi párjához hasonlóképpen a meghatározott kamatsokkot figyelembe véve </w:t>
      </w:r>
      <w:proofErr w:type="spellStart"/>
      <w:r w:rsidRPr="006A6890">
        <w:rPr>
          <w:rFonts w:asciiTheme="minorHAnsi" w:hAnsiTheme="minorHAnsi"/>
        </w:rPr>
        <w:t>számolódik</w:t>
      </w:r>
      <w:proofErr w:type="spellEnd"/>
      <w:r w:rsidRPr="006A6890">
        <w:rPr>
          <w:rFonts w:asciiTheme="minorHAnsi" w:hAnsiTheme="minorHAnsi"/>
        </w:rPr>
        <w:t xml:space="preserve">,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w:t>
      </w:r>
      <w:proofErr w:type="spellStart"/>
      <w:r w:rsidRPr="006A6890">
        <w:rPr>
          <w:rFonts w:asciiTheme="minorHAnsi" w:hAnsiTheme="minorHAnsi"/>
        </w:rPr>
        <w:t>treasury</w:t>
      </w:r>
      <w:proofErr w:type="spellEnd"/>
      <w:r w:rsidRPr="006A6890">
        <w:rPr>
          <w:rFonts w:asciiTheme="minorHAnsi" w:hAnsiTheme="minorHAnsi"/>
        </w:rPr>
        <w:t xml:space="preserve"> bevételek a stresszpálya előtti utolsó három teljes év eredményei átlagának kivetítéseként adódik. A piaci kockázathoz tartozó eredménytételek közül csupán a </w:t>
      </w:r>
      <w:proofErr w:type="spellStart"/>
      <w:r w:rsidRPr="006A6890">
        <w:rPr>
          <w:rFonts w:asciiTheme="minorHAnsi" w:hAnsiTheme="minorHAnsi"/>
        </w:rPr>
        <w:t>treasury</w:t>
      </w:r>
      <w:proofErr w:type="spellEnd"/>
      <w:r w:rsidRPr="006A6890">
        <w:rPr>
          <w:rFonts w:asciiTheme="minorHAnsi" w:hAnsiTheme="minorHAnsi"/>
        </w:rPr>
        <w:t xml:space="preserve"> tevékenység nettó eredménye jelenik meg alappályán is, melynek értékei és számolása megegyezik a stresszpályán alkalmazottakkal.</w:t>
      </w:r>
    </w:p>
    <w:p w14:paraId="7F893068" w14:textId="77777777" w:rsidR="002E348F" w:rsidRPr="006A6890" w:rsidRDefault="002E348F" w:rsidP="00EA0541">
      <w:pPr>
        <w:rPr>
          <w:rFonts w:asciiTheme="minorHAnsi" w:hAnsiTheme="minorHAnsi"/>
        </w:rPr>
      </w:pPr>
      <w:r w:rsidRPr="006A6890">
        <w:rPr>
          <w:rFonts w:asciiTheme="minorHAnsi" w:hAnsiTheme="minorHAnsi"/>
        </w:rPr>
        <w:t xml:space="preserve">A működési kockázat ugyancsak a stresszpálya előtti utolsó három teljes év eredményei átlagának kivetítéseként adódik, két különbséggel a kereskedési eredmény számításához képest. Az első különbség az egyszeri tételek (pl. lakossági devizahitelek </w:t>
      </w:r>
      <w:proofErr w:type="spellStart"/>
      <w:r w:rsidRPr="006A6890">
        <w:rPr>
          <w:rFonts w:asciiTheme="minorHAnsi" w:hAnsiTheme="minorHAnsi"/>
        </w:rPr>
        <w:t>forintosítása</w:t>
      </w:r>
      <w:proofErr w:type="spellEnd"/>
      <w:r w:rsidRPr="006A6890">
        <w:rPr>
          <w:rFonts w:asciiTheme="minorHAnsi" w:hAnsiTheme="minorHAnsi"/>
        </w:rPr>
        <w:t xml:space="preserve">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2E5E47E9"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w:t>
      </w:r>
      <w:proofErr w:type="spellStart"/>
      <w:r w:rsidRPr="006A6890">
        <w:rPr>
          <w:rFonts w:asciiTheme="minorHAnsi" w:hAnsiTheme="minorHAnsi"/>
        </w:rPr>
        <w:t>realizálódása</w:t>
      </w:r>
      <w:proofErr w:type="spellEnd"/>
      <w:r w:rsidRPr="006A6890">
        <w:rPr>
          <w:rFonts w:asciiTheme="minorHAnsi" w:hAnsiTheme="minorHAnsi"/>
        </w:rPr>
        <w:t xml:space="preserve"> mellett a tőkeakkumulációs képesség határozza meg. A stressz tesztben megjelenik a főbb bevételi és kiadási tételek változásának hatása. A bank eredményére komoly hatással van a nettó kamatbevétel alakulása, mely meghatározásához a következő tényezőket és feltételezéseket használja fel a felügyeleti stressz 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w:t>
      </w:r>
      <w:proofErr w:type="spellStart"/>
      <w:r w:rsidRPr="006A6890">
        <w:rPr>
          <w:rFonts w:asciiTheme="minorHAnsi" w:hAnsiTheme="minorHAnsi"/>
        </w:rPr>
        <w:t>átárazódási</w:t>
      </w:r>
      <w:proofErr w:type="spellEnd"/>
      <w:r w:rsidRPr="006A6890">
        <w:rPr>
          <w:rFonts w:asciiTheme="minorHAnsi" w:hAnsiTheme="minorHAnsi"/>
        </w:rPr>
        <w:t xml:space="preserve"> periódus kiszámítása meghatározza, hogy az adott portfolión milyen gyorsan és milyen időközönként kell a fizetett, illetve kapott kamatokat megváltoztatni a különböző pályákra alkalmazott </w:t>
      </w:r>
      <w:proofErr w:type="spellStart"/>
      <w:r w:rsidRPr="006A6890">
        <w:rPr>
          <w:rFonts w:asciiTheme="minorHAnsi" w:hAnsiTheme="minorHAnsi"/>
        </w:rPr>
        <w:t>makroszcenáriók</w:t>
      </w:r>
      <w:proofErr w:type="spellEnd"/>
      <w:r w:rsidRPr="006A6890">
        <w:rPr>
          <w:rFonts w:asciiTheme="minorHAnsi" w:hAnsiTheme="minorHAnsi"/>
        </w:rPr>
        <w:t xml:space="preserve"> alapján.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w:t>
      </w:r>
      <w:r w:rsidRPr="006A6890">
        <w:rPr>
          <w:rFonts w:asciiTheme="minorHAnsi" w:hAnsiTheme="minorHAnsi"/>
        </w:rPr>
        <w:lastRenderedPageBreak/>
        <w:t xml:space="preserve">változik. Az eltolódás mértéke az MNB benchmark modelljén alapul, mely a hozamgörbével való historikus kapcsolata alapján jelzi előre a látra szóló és lekötött betétek kamatlábainak alakulását. Ezen kívül a stressz teszt figyelembe veszi a lekötött és látra szóló betétek arányának változását, mely ugyancsak legfőképpen a 3 hónapos </w:t>
      </w:r>
      <w:proofErr w:type="spellStart"/>
      <w:r w:rsidRPr="006A6890">
        <w:rPr>
          <w:rFonts w:asciiTheme="minorHAnsi" w:hAnsiTheme="minorHAnsi"/>
        </w:rPr>
        <w:t>BUBOR</w:t>
      </w:r>
      <w:proofErr w:type="spellEnd"/>
      <w:r w:rsidRPr="006A6890">
        <w:rPr>
          <w:rFonts w:asciiTheme="minorHAnsi" w:hAnsiTheme="minorHAnsi"/>
        </w:rPr>
        <w:t xml:space="preserve">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BA321C7"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alappályán az utolsó évben megfigyelt szinten alakul a modell szerint, míg stresszpályán a legutóbbi pénzügyi-gazdasági válságban megfigyelt átlagos szinttel, kismértékben elmarad a tényévre elszámolt értéktől a kedvezőtlen gazdasági hatások eredményeképp. 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xml:space="preserve">.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 A stressz 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1459E595" w:rsidR="002E348F" w:rsidRPr="006A6890" w:rsidRDefault="002E348F" w:rsidP="00EA0541">
      <w:pPr>
        <w:rPr>
          <w:rFonts w:asciiTheme="minorHAnsi" w:hAnsiTheme="minorHAnsi"/>
        </w:rPr>
      </w:pPr>
      <w:r w:rsidRPr="006A6890">
        <w:rPr>
          <w:rFonts w:asciiTheme="minorHAnsi" w:hAnsiTheme="minorHAnsi"/>
        </w:rPr>
        <w:t xml:space="preserve">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w:t>
      </w:r>
      <w:proofErr w:type="spellStart"/>
      <w:r w:rsidRPr="006A6890">
        <w:rPr>
          <w:rFonts w:asciiTheme="minorHAnsi" w:hAnsiTheme="minorHAnsi"/>
        </w:rPr>
        <w:t>STA</w:t>
      </w:r>
      <w:proofErr w:type="spellEnd"/>
      <w:r w:rsidRPr="006A6890">
        <w:rPr>
          <w:rFonts w:asciiTheme="minorHAnsi" w:hAnsiTheme="minorHAnsi"/>
        </w:rPr>
        <w:t xml:space="preserve">) szerint lefedett hitelportfoliókat, valamint a teljesítő és nemteljesítő kitettségeket is. A teljes RWA </w:t>
      </w:r>
      <w:proofErr w:type="spellStart"/>
      <w:r w:rsidRPr="006A6890">
        <w:rPr>
          <w:rFonts w:asciiTheme="minorHAnsi" w:hAnsiTheme="minorHAnsi"/>
        </w:rPr>
        <w:t>előrejelzett</w:t>
      </w:r>
      <w:proofErr w:type="spellEnd"/>
      <w:r w:rsidRPr="006A6890">
        <w:rPr>
          <w:rFonts w:asciiTheme="minorHAnsi" w:hAnsiTheme="minorHAnsi"/>
        </w:rPr>
        <w:t xml:space="preserve"> értékeire a hitelkockázati RWA-n kívül a piaci és működési kockázati RWA is hatással van, melyek a mérleg dinamikájával, a működési eredménnyel, valamint historikus tapasztalatokkal összhangban alakulnak.</w:t>
      </w:r>
    </w:p>
    <w:p w14:paraId="33B8E7EE" w14:textId="3C53D33E" w:rsidR="0045209B" w:rsidRPr="006A6890" w:rsidRDefault="002E348F" w:rsidP="00D547D0">
      <w:pPr>
        <w:rPr>
          <w:rFonts w:asciiTheme="minorHAnsi" w:hAnsiTheme="minorHAnsi"/>
        </w:rPr>
      </w:pPr>
      <w:r w:rsidRPr="006A6890">
        <w:rPr>
          <w:rFonts w:asciiTheme="minorHAnsi" w:hAnsiTheme="minorHAnsi"/>
        </w:rPr>
        <w:t xml:space="preserve">A dinamikus mérleg végül, de nem utolsó sorban befolyásolja a devizában denominált eszközök és források értékét is, melyek az </w:t>
      </w:r>
      <w:proofErr w:type="spellStart"/>
      <w:r w:rsidRPr="006A6890">
        <w:rPr>
          <w:rFonts w:asciiTheme="minorHAnsi" w:hAnsiTheme="minorHAnsi"/>
        </w:rPr>
        <w:t>előrejelzett</w:t>
      </w:r>
      <w:proofErr w:type="spellEnd"/>
      <w:r w:rsidRPr="006A6890">
        <w:rPr>
          <w:rFonts w:asciiTheme="minorHAnsi" w:hAnsiTheme="minorHAnsi"/>
        </w:rPr>
        <w:t xml:space="preserve"> </w:t>
      </w:r>
      <w:proofErr w:type="spellStart"/>
      <w:r w:rsidRPr="006A6890">
        <w:rPr>
          <w:rFonts w:asciiTheme="minorHAnsi" w:hAnsiTheme="minorHAnsi"/>
        </w:rPr>
        <w:t>FX</w:t>
      </w:r>
      <w:proofErr w:type="spellEnd"/>
      <w:r w:rsidRPr="006A6890">
        <w:rPr>
          <w:rFonts w:asciiTheme="minorHAnsi" w:hAnsiTheme="minorHAnsi"/>
        </w:rPr>
        <w:t xml:space="preserve"> árfolyamváltozásoknak megfelelően alakulnak. Ez olyan szempontból is fontos, hogy stresszpályán a devizában tartott tőkeelemek is át tudnak </w:t>
      </w:r>
      <w:proofErr w:type="spellStart"/>
      <w:r w:rsidRPr="006A6890">
        <w:rPr>
          <w:rFonts w:asciiTheme="minorHAnsi" w:hAnsiTheme="minorHAnsi"/>
        </w:rPr>
        <w:t>árazódni</w:t>
      </w:r>
      <w:proofErr w:type="spellEnd"/>
      <w:r w:rsidRPr="006A6890">
        <w:rPr>
          <w:rFonts w:asciiTheme="minorHAnsi" w:hAnsiTheme="minorHAnsi"/>
        </w:rPr>
        <w:t>, mely ennek mértékével összhangban változtatja a Bank mindenkori tőkemegfelelését.</w:t>
      </w:r>
    </w:p>
    <w:p w14:paraId="66B1561D" w14:textId="771F4AB4" w:rsidR="003F29E3" w:rsidRPr="006A6890" w:rsidRDefault="003F29E3" w:rsidP="008F2D8B">
      <w:pPr>
        <w:pStyle w:val="Heading2"/>
        <w:rPr>
          <w:rFonts w:asciiTheme="minorHAnsi" w:hAnsiTheme="minorHAnsi"/>
        </w:rPr>
      </w:pPr>
      <w:bookmarkStart w:id="1136" w:name="_Toc462403206"/>
      <w:bookmarkStart w:id="1137" w:name="_Toc462403530"/>
      <w:bookmarkStart w:id="1138" w:name="_Toc468180649"/>
      <w:bookmarkStart w:id="1139" w:name="_Toc468181130"/>
      <w:bookmarkStart w:id="1140" w:name="_Toc27138996"/>
      <w:r w:rsidRPr="006A6890">
        <w:rPr>
          <w:rFonts w:asciiTheme="minorHAnsi" w:hAnsiTheme="minorHAnsi"/>
        </w:rPr>
        <w:t>Tőke</w:t>
      </w:r>
      <w:r w:rsidR="00AD5DAB" w:rsidRPr="006A6890">
        <w:rPr>
          <w:rFonts w:asciiTheme="minorHAnsi" w:hAnsiTheme="minorHAnsi"/>
          <w:lang w:val="hu-HU"/>
        </w:rPr>
        <w:t>követelmény</w:t>
      </w:r>
      <w:r w:rsidRPr="006A6890">
        <w:rPr>
          <w:rFonts w:asciiTheme="minorHAnsi" w:hAnsiTheme="minorHAnsi"/>
        </w:rPr>
        <w:t xml:space="preserve"> meghatározása</w:t>
      </w:r>
      <w:bookmarkEnd w:id="1122"/>
      <w:bookmarkEnd w:id="1123"/>
      <w:bookmarkEnd w:id="1124"/>
      <w:bookmarkEnd w:id="1125"/>
      <w:bookmarkEnd w:id="1126"/>
      <w:bookmarkEnd w:id="1127"/>
      <w:bookmarkEnd w:id="1128"/>
      <w:bookmarkEnd w:id="1129"/>
      <w:bookmarkEnd w:id="1130"/>
      <w:bookmarkEnd w:id="1135"/>
      <w:bookmarkEnd w:id="1136"/>
      <w:bookmarkEnd w:id="1137"/>
      <w:bookmarkEnd w:id="1138"/>
      <w:bookmarkEnd w:id="1139"/>
      <w:bookmarkEnd w:id="1140"/>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141" w:name="_Módszertani_szabadság_indokolási"/>
      <w:bookmarkEnd w:id="1141"/>
    </w:p>
    <w:p w14:paraId="66B15620" w14:textId="77777777" w:rsidR="003F29E3" w:rsidRPr="006A6890" w:rsidRDefault="003F29E3" w:rsidP="00181755">
      <w:pPr>
        <w:pStyle w:val="Heading3"/>
        <w:rPr>
          <w:rFonts w:asciiTheme="minorHAnsi" w:hAnsiTheme="minorHAnsi"/>
        </w:rPr>
      </w:pPr>
      <w:bookmarkStart w:id="1142" w:name="_Különbségek_az_alkalmazott"/>
      <w:bookmarkStart w:id="1143" w:name="_Toc378592068"/>
      <w:bookmarkStart w:id="1144" w:name="_Toc461095241"/>
      <w:bookmarkStart w:id="1145" w:name="_Toc461179897"/>
      <w:bookmarkStart w:id="1146" w:name="_Toc461201341"/>
      <w:bookmarkStart w:id="1147" w:name="_Toc461548042"/>
      <w:bookmarkStart w:id="1148" w:name="_Toc462402082"/>
      <w:bookmarkStart w:id="1149" w:name="_Toc462403207"/>
      <w:bookmarkStart w:id="1150" w:name="_Toc462403531"/>
      <w:bookmarkStart w:id="1151" w:name="_Toc468180650"/>
      <w:bookmarkStart w:id="1152" w:name="_Toc468181131"/>
      <w:bookmarkStart w:id="1153" w:name="_Toc468191478"/>
      <w:bookmarkStart w:id="1154" w:name="_Toc27138997"/>
      <w:bookmarkEnd w:id="1142"/>
      <w:r w:rsidRPr="006A6890">
        <w:rPr>
          <w:rFonts w:asciiTheme="minorHAnsi" w:hAnsiTheme="minorHAnsi"/>
        </w:rPr>
        <w:t>Különbségek az alkalmazott módszerek kifinomultságában</w:t>
      </w:r>
      <w:bookmarkEnd w:id="1143"/>
      <w:bookmarkEnd w:id="1144"/>
      <w:bookmarkEnd w:id="1145"/>
      <w:bookmarkEnd w:id="1146"/>
      <w:bookmarkEnd w:id="1147"/>
      <w:bookmarkEnd w:id="1148"/>
      <w:bookmarkEnd w:id="1149"/>
      <w:bookmarkEnd w:id="1150"/>
      <w:bookmarkEnd w:id="1151"/>
      <w:bookmarkEnd w:id="1152"/>
      <w:bookmarkEnd w:id="1153"/>
      <w:bookmarkEnd w:id="1154"/>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lastRenderedPageBreak/>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proofErr w:type="spellStart"/>
      <w:r w:rsidR="009C75C1" w:rsidRPr="006A6890">
        <w:rPr>
          <w:rFonts w:asciiTheme="minorHAnsi" w:hAnsiTheme="minorHAnsi"/>
          <w:lang w:val="hu-HU"/>
        </w:rPr>
        <w:t>erőforráso</w:t>
      </w:r>
      <w:proofErr w:type="spellEnd"/>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w:t>
      </w:r>
      <w:proofErr w:type="spellStart"/>
      <w:r w:rsidRPr="006A6890">
        <w:rPr>
          <w:rFonts w:asciiTheme="minorHAnsi" w:hAnsiTheme="minorHAnsi"/>
        </w:rPr>
        <w:t>pillérbeli</w:t>
      </w:r>
      <w:proofErr w:type="spellEnd"/>
      <w:r w:rsidRPr="006A6890">
        <w:rPr>
          <w:rFonts w:asciiTheme="minorHAnsi" w:hAnsiTheme="minorHAnsi"/>
        </w:rPr>
        <w:t xml:space="preserve">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Heading3"/>
        <w:rPr>
          <w:rFonts w:asciiTheme="minorHAnsi" w:hAnsiTheme="minorHAnsi"/>
        </w:rPr>
      </w:pPr>
      <w:bookmarkStart w:id="1155" w:name="_Lehetséges_módszertani_eltérések"/>
      <w:bookmarkStart w:id="1156" w:name="_Toc378592069"/>
      <w:bookmarkStart w:id="1157" w:name="_Toc461095242"/>
      <w:bookmarkStart w:id="1158" w:name="_Toc461179898"/>
      <w:bookmarkStart w:id="1159" w:name="_Toc461201342"/>
      <w:bookmarkStart w:id="1160" w:name="_Toc461548043"/>
      <w:bookmarkStart w:id="1161" w:name="_Toc462402083"/>
      <w:bookmarkStart w:id="1162" w:name="_Toc462403208"/>
      <w:bookmarkStart w:id="1163" w:name="_Toc462403532"/>
      <w:bookmarkStart w:id="1164" w:name="_Toc468180651"/>
      <w:bookmarkStart w:id="1165" w:name="_Toc468181132"/>
      <w:bookmarkStart w:id="1166" w:name="_Toc468191479"/>
      <w:bookmarkStart w:id="1167" w:name="_Toc27138998"/>
      <w:bookmarkEnd w:id="1155"/>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156"/>
      <w:bookmarkEnd w:id="1157"/>
      <w:bookmarkEnd w:id="1158"/>
      <w:bookmarkEnd w:id="1159"/>
      <w:bookmarkEnd w:id="1160"/>
      <w:bookmarkEnd w:id="1161"/>
      <w:bookmarkEnd w:id="1162"/>
      <w:bookmarkEnd w:id="1163"/>
      <w:bookmarkEnd w:id="1164"/>
      <w:bookmarkEnd w:id="1165"/>
      <w:bookmarkEnd w:id="1166"/>
      <w:bookmarkEnd w:id="1167"/>
    </w:p>
    <w:p w14:paraId="66B1562A" w14:textId="046F8708" w:rsidR="003F29E3" w:rsidRPr="006A6890" w:rsidRDefault="003F29E3" w:rsidP="00EA0541">
      <w:pPr>
        <w:rPr>
          <w:rFonts w:asciiTheme="minorHAnsi" w:hAnsiTheme="minorHAnsi"/>
        </w:rPr>
      </w:pPr>
      <w:r w:rsidRPr="006A6890">
        <w:rPr>
          <w:rFonts w:asciiTheme="minorHAnsi" w:hAnsiTheme="minorHAnsi"/>
        </w:rPr>
        <w:t xml:space="preserve">Ugyanazon (1. </w:t>
      </w:r>
      <w:proofErr w:type="spellStart"/>
      <w:r w:rsidRPr="006A6890">
        <w:rPr>
          <w:rFonts w:asciiTheme="minorHAnsi" w:hAnsiTheme="minorHAnsi"/>
        </w:rPr>
        <w:t>pillérbeli</w:t>
      </w:r>
      <w:proofErr w:type="spellEnd"/>
      <w:r w:rsidRPr="006A6890">
        <w:rPr>
          <w:rFonts w:asciiTheme="minorHAnsi" w:hAnsiTheme="minorHAnsi"/>
        </w:rPr>
        <w:t xml:space="preserve">) kockázatok 1. és 2. </w:t>
      </w:r>
      <w:proofErr w:type="spellStart"/>
      <w:r w:rsidRPr="006A6890">
        <w:rPr>
          <w:rFonts w:asciiTheme="minorHAnsi" w:hAnsiTheme="minorHAnsi"/>
        </w:rPr>
        <w:t>pillérbeli</w:t>
      </w:r>
      <w:proofErr w:type="spellEnd"/>
      <w:r w:rsidRPr="006A6890">
        <w:rPr>
          <w:rFonts w:asciiTheme="minorHAnsi" w:hAnsiTheme="minorHAnsi"/>
        </w:rPr>
        <w:t xml:space="preserve">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w:t>
      </w:r>
      <w:proofErr w:type="spellStart"/>
      <w:r w:rsidR="00A8026F" w:rsidRPr="006A6890">
        <w:rPr>
          <w:rFonts w:asciiTheme="minorHAnsi" w:hAnsiTheme="minorHAnsi"/>
        </w:rPr>
        <w:t>pillérbeli</w:t>
      </w:r>
      <w:proofErr w:type="spellEnd"/>
      <w:r w:rsidR="00A8026F" w:rsidRPr="006A6890">
        <w:rPr>
          <w:rFonts w:asciiTheme="minorHAnsi" w:hAnsiTheme="minorHAnsi"/>
        </w:rPr>
        <w:t xml:space="preserve"> kockázatkezelésnél alapvetően az 1. pilléreshez képest kifinomultabb megközelítés, fejlettebb módszerek alkalmazását tartja szükségesnek. </w:t>
      </w:r>
      <w:r w:rsidRPr="006A6890">
        <w:rPr>
          <w:rFonts w:asciiTheme="minorHAnsi" w:hAnsiTheme="minorHAnsi"/>
        </w:rPr>
        <w:t xml:space="preserve">Elképzelhető például, hogy egy intézmény portfóliómodellt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alkalmaz a 2. pillérben az 1. pillér portfólió-független megközelítése helyett</w:t>
      </w:r>
      <w:r w:rsidRPr="006A6890">
        <w:rPr>
          <w:rFonts w:asciiTheme="minorHAnsi" w:hAnsiTheme="minorHAnsi"/>
        </w:rPr>
        <w:footnoteReference w:id="96"/>
      </w:r>
      <w:r w:rsidRPr="006A6890">
        <w:rPr>
          <w:rFonts w:asciiTheme="minorHAnsi" w:hAnsiTheme="minorHAnsi"/>
        </w:rPr>
        <w:t>,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0C81F784"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IV,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esetén jellemző</w:t>
      </w:r>
      <w:r w:rsidRPr="006A6890">
        <w:rPr>
          <w:rFonts w:asciiTheme="minorHAnsi" w:hAnsiTheme="minorHAnsi"/>
        </w:rPr>
        <w:t>), akkor eze</w:t>
      </w:r>
      <w:r w:rsidR="00AA258E" w:rsidRPr="006A6890">
        <w:rPr>
          <w:rFonts w:asciiTheme="minorHAnsi" w:hAnsiTheme="minorHAnsi"/>
        </w:rPr>
        <w:t xml:space="preserve">ket ne kelljen pusztán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IV, </w:t>
      </w:r>
      <w:r w:rsidRPr="006A6890">
        <w:rPr>
          <w:rFonts w:asciiTheme="minorHAnsi" w:hAnsiTheme="minorHAnsi"/>
        </w:rPr>
        <w:t xml:space="preserve">CRR bevezetésének következtében lecserélnie. Ennek a szabadságnak azonban (a </w:t>
      </w:r>
      <w:proofErr w:type="spellStart"/>
      <w:r w:rsidRPr="006A6890">
        <w:rPr>
          <w:rFonts w:asciiTheme="minorHAnsi" w:hAnsiTheme="minorHAnsi"/>
        </w:rPr>
        <w:t>CRD</w:t>
      </w:r>
      <w:proofErr w:type="spellEnd"/>
      <w:r w:rsidRPr="006A6890">
        <w:rPr>
          <w:rFonts w:asciiTheme="minorHAnsi" w:hAnsiTheme="minorHAnsi"/>
        </w:rPr>
        <w:t xml:space="preserve"> IV</w:t>
      </w:r>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A tőkeszükséglet meghatározásánál vagy a folyamatos üzletmenet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vagy a felszámolás (</w:t>
      </w:r>
      <w:proofErr w:type="spellStart"/>
      <w:r w:rsidRPr="006A6890">
        <w:rPr>
          <w:rFonts w:asciiTheme="minorHAnsi" w:hAnsiTheme="minorHAnsi"/>
        </w:rPr>
        <w:t>gone</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lastRenderedPageBreak/>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w:t>
      </w:r>
      <w:proofErr w:type="spellStart"/>
      <w:r w:rsidRPr="006A6890">
        <w:rPr>
          <w:rFonts w:asciiTheme="minorHAnsi" w:hAnsiTheme="minorHAnsi"/>
        </w:rPr>
        <w:t>eszköztípusonként</w:t>
      </w:r>
      <w:proofErr w:type="spellEnd"/>
      <w:r w:rsidRPr="006A6890">
        <w:rPr>
          <w:rFonts w:asciiTheme="minorHAnsi" w:hAnsiTheme="minorHAnsi"/>
        </w:rPr>
        <w:t xml:space="preserve">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 xml:space="preserve">A kockázati mértéket illetően a „hagyományos” szórás mellett egyre elterjedtebb a VAR, illetve konzisztensebb változatainak (pl. </w:t>
      </w:r>
      <w:proofErr w:type="spellStart"/>
      <w:r w:rsidRPr="006A6890">
        <w:rPr>
          <w:rFonts w:asciiTheme="minorHAnsi" w:hAnsiTheme="minorHAnsi"/>
        </w:rPr>
        <w:t>expected</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6A6890">
        <w:rPr>
          <w:rFonts w:asciiTheme="minorHAnsi" w:hAnsiTheme="minorHAnsi"/>
        </w:rPr>
        <w:footnoteReference w:id="97"/>
      </w:r>
    </w:p>
    <w:p w14:paraId="66B15632" w14:textId="46053F74"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számítás során a 99,9%-os konfidencia-szint használatát várja el. Az intézmény az ICAAP során alkalmazhat az 1. pillértől eltérő konfidencia</w:t>
      </w:r>
      <w:r w:rsidR="00D547D0">
        <w:rPr>
          <w:rFonts w:asciiTheme="minorHAnsi" w:hAnsiTheme="minorHAnsi"/>
        </w:rPr>
        <w:t xml:space="preserve"> </w:t>
      </w:r>
      <w:r w:rsidRPr="006A6890">
        <w:rPr>
          <w:rFonts w:asciiTheme="minorHAnsi" w:hAnsiTheme="minorHAnsi"/>
        </w:rPr>
        <w:t xml:space="preserve">szintet, azonban ebben az esetben az eredményei nem </w:t>
      </w:r>
      <w:proofErr w:type="spellStart"/>
      <w:r w:rsidRPr="006A6890">
        <w:rPr>
          <w:rFonts w:asciiTheme="minorHAnsi" w:hAnsiTheme="minorHAnsi"/>
        </w:rPr>
        <w:t>összehasonlíthatóak</w:t>
      </w:r>
      <w:proofErr w:type="spellEnd"/>
      <w:r w:rsidRPr="006A6890">
        <w:rPr>
          <w:rFonts w:asciiTheme="minorHAnsi" w:hAnsiTheme="minorHAnsi"/>
        </w:rPr>
        <w:t xml:space="preserve">. Az </w:t>
      </w:r>
      <w:proofErr w:type="spellStart"/>
      <w:r w:rsidRPr="006A6890">
        <w:rPr>
          <w:rFonts w:asciiTheme="minorHAnsi" w:hAnsiTheme="minorHAnsi"/>
        </w:rPr>
        <w:t>összehasonlíthatóságot</w:t>
      </w:r>
      <w:proofErr w:type="spellEnd"/>
      <w:r w:rsidRPr="006A6890">
        <w:rPr>
          <w:rFonts w:asciiTheme="minorHAnsi" w:hAnsiTheme="minorHAnsi"/>
        </w:rPr>
        <w:t xml:space="preserve"> biztosítania kell az intézménynek, azaz a </w:t>
      </w:r>
      <w:proofErr w:type="spellStart"/>
      <w:r w:rsidRPr="006A6890">
        <w:rPr>
          <w:rFonts w:asciiTheme="minorHAnsi" w:hAnsiTheme="minorHAnsi"/>
        </w:rPr>
        <w:t>kockázatonkénti</w:t>
      </w:r>
      <w:proofErr w:type="spellEnd"/>
      <w:r w:rsidRPr="006A6890">
        <w:rPr>
          <w:rFonts w:asciiTheme="minorHAnsi" w:hAnsiTheme="minorHAnsi"/>
        </w:rPr>
        <w:t xml:space="preserve">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6A6890">
        <w:rPr>
          <w:rFonts w:asciiTheme="minorHAnsi" w:hAnsiTheme="minorHAnsi"/>
        </w:rPr>
        <w:footnoteReference w:id="98"/>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proofErr w:type="spellStart"/>
      <w:r w:rsidRPr="006A6890">
        <w:rPr>
          <w:rFonts w:asciiTheme="minorHAnsi" w:hAnsiTheme="minorHAnsi"/>
        </w:rPr>
        <w:t>pillérbeli</w:t>
      </w:r>
      <w:proofErr w:type="spellEnd"/>
      <w:r w:rsidRPr="006A6890">
        <w:rPr>
          <w:rFonts w:asciiTheme="minorHAnsi" w:hAnsiTheme="minorHAnsi"/>
        </w:rPr>
        <w:t xml:space="preserve">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 xml:space="preserve">számítás és az 1. </w:t>
      </w:r>
      <w:proofErr w:type="spellStart"/>
      <w:r w:rsidRPr="006A6890">
        <w:rPr>
          <w:rFonts w:asciiTheme="minorHAnsi" w:hAnsiTheme="minorHAnsi"/>
        </w:rPr>
        <w:t>pillérbeli</w:t>
      </w:r>
      <w:proofErr w:type="spellEnd"/>
      <w:r w:rsidRPr="006A6890">
        <w:rPr>
          <w:rFonts w:asciiTheme="minorHAnsi" w:hAnsiTheme="minorHAnsi"/>
        </w:rPr>
        <w:t xml:space="preserve">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w:t>
      </w:r>
      <w:proofErr w:type="spellStart"/>
      <w:r w:rsidRPr="006A6890">
        <w:rPr>
          <w:rFonts w:asciiTheme="minorHAnsi" w:hAnsiTheme="minorHAnsi"/>
        </w:rPr>
        <w:t>pillérbelitől</w:t>
      </w:r>
      <w:proofErr w:type="spellEnd"/>
      <w:r w:rsidRPr="006A6890">
        <w:rPr>
          <w:rFonts w:asciiTheme="minorHAnsi" w:hAnsiTheme="minorHAnsi"/>
        </w:rPr>
        <w:t xml:space="preserve">.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w:t>
      </w:r>
      <w:proofErr w:type="spellStart"/>
      <w:r w:rsidRPr="006A6890">
        <w:rPr>
          <w:rFonts w:asciiTheme="minorHAnsi" w:hAnsiTheme="minorHAnsi"/>
        </w:rPr>
        <w:t>pillérbeli</w:t>
      </w:r>
      <w:proofErr w:type="spellEnd"/>
      <w:r w:rsidRPr="006A6890">
        <w:rPr>
          <w:rFonts w:asciiTheme="minorHAnsi" w:hAnsiTheme="minorHAnsi"/>
        </w:rPr>
        <w:t xml:space="preserve">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 xml:space="preserve">a kockázatok fedezésére rendelkezésre álló tőkeként a </w:t>
      </w:r>
      <w:proofErr w:type="spellStart"/>
      <w:r w:rsidR="003F29E3" w:rsidRPr="006A6890">
        <w:rPr>
          <w:rFonts w:asciiTheme="minorHAnsi" w:hAnsiTheme="minorHAnsi"/>
        </w:rPr>
        <w:t>SREP</w:t>
      </w:r>
      <w:proofErr w:type="spellEnd"/>
      <w:r w:rsidR="003F29E3" w:rsidRPr="006A6890">
        <w:rPr>
          <w:rFonts w:asciiTheme="minorHAnsi" w:hAnsiTheme="minorHAnsi"/>
        </w:rPr>
        <w:t xml:space="preserve"> tőkemegfelelés számítása során</w:t>
      </w:r>
      <w:r w:rsidR="009737B1" w:rsidRPr="006A6890">
        <w:rPr>
          <w:rStyle w:val="FootnoteReference"/>
          <w:rFonts w:asciiTheme="minorHAnsi" w:hAnsiTheme="minorHAnsi"/>
        </w:rPr>
        <w:footnoteReference w:id="99"/>
      </w:r>
      <w:r w:rsidR="003F29E3" w:rsidRPr="006A6890">
        <w:rPr>
          <w:rFonts w:asciiTheme="minorHAnsi" w:hAnsiTheme="minorHAnsi"/>
        </w:rPr>
        <w:t>.</w:t>
      </w:r>
    </w:p>
    <w:p w14:paraId="66B15637" w14:textId="77777777" w:rsidR="003F29E3" w:rsidRPr="006A6890" w:rsidRDefault="003F29E3" w:rsidP="00181755">
      <w:pPr>
        <w:pStyle w:val="Heading3"/>
        <w:rPr>
          <w:rFonts w:asciiTheme="minorHAnsi" w:hAnsiTheme="minorHAnsi"/>
        </w:rPr>
      </w:pPr>
      <w:bookmarkStart w:id="1168" w:name="_Toc378592071"/>
      <w:bookmarkStart w:id="1169" w:name="_Toc461095243"/>
      <w:bookmarkStart w:id="1170" w:name="_Toc461179899"/>
      <w:bookmarkStart w:id="1171" w:name="_Toc461201343"/>
      <w:bookmarkStart w:id="1172" w:name="_Toc461548044"/>
      <w:bookmarkStart w:id="1173" w:name="_Toc462402084"/>
      <w:bookmarkStart w:id="1174" w:name="_Toc462403209"/>
      <w:bookmarkStart w:id="1175" w:name="_Toc462403533"/>
      <w:bookmarkStart w:id="1176" w:name="_Toc468180652"/>
      <w:bookmarkStart w:id="1177" w:name="_Toc468181133"/>
      <w:bookmarkStart w:id="1178" w:name="_Toc468191480"/>
      <w:bookmarkStart w:id="1179" w:name="_Toc27138999"/>
      <w:r w:rsidRPr="006A6890">
        <w:rPr>
          <w:rFonts w:asciiTheme="minorHAnsi" w:hAnsiTheme="minorHAnsi"/>
        </w:rPr>
        <w:lastRenderedPageBreak/>
        <w:t>Tőkeallokáció</w:t>
      </w:r>
      <w:bookmarkEnd w:id="1168"/>
      <w:bookmarkEnd w:id="1169"/>
      <w:bookmarkEnd w:id="1170"/>
      <w:bookmarkEnd w:id="1171"/>
      <w:bookmarkEnd w:id="1172"/>
      <w:bookmarkEnd w:id="1173"/>
      <w:bookmarkEnd w:id="1174"/>
      <w:bookmarkEnd w:id="1175"/>
      <w:bookmarkEnd w:id="1176"/>
      <w:bookmarkEnd w:id="1177"/>
      <w:bookmarkEnd w:id="1178"/>
      <w:bookmarkEnd w:id="1179"/>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w:t>
      </w:r>
      <w:proofErr w:type="spellStart"/>
      <w:r w:rsidRPr="006A6890">
        <w:rPr>
          <w:rFonts w:asciiTheme="minorHAnsi" w:hAnsiTheme="minorHAnsi"/>
        </w:rPr>
        <w:t>use</w:t>
      </w:r>
      <w:proofErr w:type="spellEnd"/>
      <w:r w:rsidRPr="006A6890">
        <w:rPr>
          <w:rFonts w:asciiTheme="minorHAnsi" w:hAnsiTheme="minorHAnsi"/>
        </w:rPr>
        <w:t xml:space="preserv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00"/>
      </w:r>
    </w:p>
    <w:p w14:paraId="66B1563A" w14:textId="77777777" w:rsidR="003F29E3" w:rsidRPr="006A6890" w:rsidRDefault="003F29E3" w:rsidP="00181755">
      <w:pPr>
        <w:pStyle w:val="Heading3"/>
        <w:rPr>
          <w:rFonts w:asciiTheme="minorHAnsi" w:hAnsiTheme="minorHAnsi"/>
        </w:rPr>
      </w:pPr>
      <w:bookmarkStart w:id="1180" w:name="_A_tőkekövetelmények_aggregálása,"/>
      <w:bookmarkStart w:id="1181" w:name="_Toc461095244"/>
      <w:bookmarkStart w:id="1182" w:name="_Toc461179900"/>
      <w:bookmarkStart w:id="1183" w:name="_Toc461201344"/>
      <w:bookmarkStart w:id="1184" w:name="_Toc461548045"/>
      <w:bookmarkStart w:id="1185" w:name="_Toc462402085"/>
      <w:bookmarkStart w:id="1186" w:name="_Toc462403210"/>
      <w:bookmarkStart w:id="1187" w:name="_Toc462403534"/>
      <w:bookmarkStart w:id="1188" w:name="_Toc468180653"/>
      <w:bookmarkStart w:id="1189" w:name="_Toc468181134"/>
      <w:bookmarkStart w:id="1190" w:name="_Toc468191481"/>
      <w:bookmarkStart w:id="1191" w:name="_Toc27139000"/>
      <w:bookmarkEnd w:id="1180"/>
      <w:r w:rsidRPr="006A6890">
        <w:rPr>
          <w:rFonts w:asciiTheme="minorHAnsi" w:hAnsiTheme="minorHAnsi"/>
        </w:rPr>
        <w:t>A tőkeszükséglet megállapítása a felügyeleti felülvizsgálat után</w:t>
      </w:r>
      <w:bookmarkEnd w:id="1181"/>
      <w:bookmarkEnd w:id="1182"/>
      <w:bookmarkEnd w:id="1183"/>
      <w:bookmarkEnd w:id="1184"/>
      <w:bookmarkEnd w:id="1185"/>
      <w:bookmarkEnd w:id="1186"/>
      <w:bookmarkEnd w:id="1187"/>
      <w:bookmarkEnd w:id="1188"/>
      <w:bookmarkEnd w:id="1189"/>
      <w:bookmarkEnd w:id="1190"/>
      <w:bookmarkEnd w:id="1191"/>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 xml:space="preserve">tőkekövetelmények, a kötelezően tartandó pufferek és az esetlegesen még figyelembe veendő </w:t>
      </w:r>
      <w:proofErr w:type="spellStart"/>
      <w:r w:rsidRPr="006A6890">
        <w:rPr>
          <w:rFonts w:asciiTheme="minorHAnsi" w:hAnsiTheme="minorHAnsi"/>
        </w:rPr>
        <w:t>mak</w:t>
      </w:r>
      <w:r w:rsidR="00844180" w:rsidRPr="006A6890">
        <w:rPr>
          <w:rFonts w:asciiTheme="minorHAnsi" w:hAnsiTheme="minorHAnsi"/>
        </w:rPr>
        <w:t>roprudenciális</w:t>
      </w:r>
      <w:proofErr w:type="spellEnd"/>
      <w:r w:rsidR="00844180" w:rsidRPr="006A6890">
        <w:rPr>
          <w:rFonts w:asciiTheme="minorHAnsi" w:hAnsiTheme="minorHAnsi"/>
        </w:rPr>
        <w:t xml:space="preserve"> előírások között</w:t>
      </w:r>
      <w:r w:rsidR="00844180" w:rsidRPr="006A6890">
        <w:rPr>
          <w:rFonts w:asciiTheme="minorHAnsi" w:hAnsiTheme="minorHAnsi"/>
          <w:lang w:val="hu-HU"/>
        </w:rPr>
        <w:t>,</w:t>
      </w:r>
    </w:p>
    <w:p w14:paraId="66B1563E" w14:textId="7369D061" w:rsidR="003F29E3" w:rsidRPr="006A6890" w:rsidRDefault="003F29E3" w:rsidP="00181755">
      <w:pPr>
        <w:pStyle w:val="felsorolsos"/>
        <w:rPr>
          <w:rFonts w:asciiTheme="minorHAnsi" w:hAnsiTheme="minorHAnsi"/>
        </w:rPr>
      </w:pPr>
      <w:r w:rsidRPr="006A6890">
        <w:rPr>
          <w:rFonts w:asciiTheme="minorHAnsi" w:hAnsiTheme="minorHAnsi"/>
        </w:rPr>
        <w:t xml:space="preserve">meghatározza és kommunikálja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követelményt (</w:t>
      </w:r>
      <w:proofErr w:type="spellStart"/>
      <w:r w:rsidRPr="006A6890">
        <w:rPr>
          <w:rFonts w:asciiTheme="minorHAnsi" w:hAnsiTheme="minorHAnsi"/>
        </w:rPr>
        <w:t>TSCR</w:t>
      </w:r>
      <w:proofErr w:type="spellEnd"/>
      <w:r w:rsidRPr="006A6890">
        <w:rPr>
          <w:rFonts w:asciiTheme="minorHAnsi" w:hAnsiTheme="minorHAnsi"/>
        </w:rPr>
        <w:t xml:space="preserve">),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 xml:space="preserve">követelmény mutatót, és </w:t>
      </w:r>
      <w:r w:rsidR="00844180" w:rsidRPr="006A6890">
        <w:rPr>
          <w:rFonts w:asciiTheme="minorHAnsi" w:hAnsiTheme="minorHAnsi"/>
        </w:rPr>
        <w:t>a teljes tőkekövetelményt (OCR)</w:t>
      </w:r>
      <w:r w:rsidR="00844180" w:rsidRPr="006A6890">
        <w:rPr>
          <w:rFonts w:asciiTheme="minorHAnsi" w:hAnsiTheme="minorHAnsi"/>
          <w:lang w:val="hu-HU"/>
        </w:rPr>
        <w:t>,</w:t>
      </w:r>
    </w:p>
    <w:p w14:paraId="6EDC868C" w14:textId="77777777" w:rsidR="00D53048" w:rsidRPr="006A6890" w:rsidRDefault="003F29E3" w:rsidP="00181755">
      <w:pPr>
        <w:pStyle w:val="felsorolsos"/>
        <w:spacing w:after="240"/>
        <w:ind w:left="1066" w:hanging="357"/>
        <w:rPr>
          <w:rFonts w:asciiTheme="minorHAnsi" w:hAnsiTheme="minorHAnsi"/>
        </w:rPr>
      </w:pPr>
      <w:bookmarkStart w:id="1192" w:name="_Toc461095245"/>
      <w:bookmarkStart w:id="1193" w:name="_Toc461179901"/>
      <w:bookmarkStart w:id="1194" w:name="_Toc461201345"/>
      <w:bookmarkStart w:id="1195" w:name="_Toc461548046"/>
      <w:bookmarkStart w:id="1196" w:name="_Toc462402086"/>
      <w:bookmarkStart w:id="1197" w:name="_Toc462403211"/>
      <w:bookmarkStart w:id="1198" w:name="_Toc462403535"/>
      <w:bookmarkStart w:id="1199" w:name="_Toc468180654"/>
      <w:bookmarkStart w:id="1200"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és a teljes tőkekövetelmény.</w:t>
      </w:r>
    </w:p>
    <w:p w14:paraId="66B15642" w14:textId="64F4447C" w:rsidR="003F29E3" w:rsidRPr="006A6890" w:rsidRDefault="003F29E3" w:rsidP="00181755">
      <w:pPr>
        <w:pStyle w:val="Heading4"/>
        <w:rPr>
          <w:rFonts w:asciiTheme="minorHAnsi" w:hAnsiTheme="minorHAnsi"/>
        </w:rPr>
      </w:pPr>
      <w:bookmarkStart w:id="1201" w:name="_Toc468191482"/>
      <w:bookmarkStart w:id="1202" w:name="_Toc27139001"/>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192"/>
      <w:bookmarkEnd w:id="1193"/>
      <w:bookmarkEnd w:id="1194"/>
      <w:bookmarkEnd w:id="1195"/>
      <w:bookmarkEnd w:id="1196"/>
      <w:bookmarkEnd w:id="1197"/>
      <w:bookmarkEnd w:id="1198"/>
      <w:bookmarkEnd w:id="1199"/>
      <w:bookmarkEnd w:id="1200"/>
      <w:bookmarkEnd w:id="1201"/>
      <w:bookmarkEnd w:id="1202"/>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w:t>
      </w:r>
      <w:proofErr w:type="spellStart"/>
      <w:r w:rsidR="006A5C40" w:rsidRPr="006A6890">
        <w:rPr>
          <w:rFonts w:asciiTheme="minorHAnsi" w:hAnsiTheme="minorHAnsi"/>
          <w:lang w:val="hu-HU"/>
        </w:rPr>
        <w:t>shortfall</w:t>
      </w:r>
      <w:proofErr w:type="spellEnd"/>
      <w:r w:rsidR="006A5C40" w:rsidRPr="006A6890">
        <w:rPr>
          <w:rFonts w:asciiTheme="minorHAnsi" w:hAnsiTheme="minorHAnsi"/>
          <w:lang w:val="hu-HU"/>
        </w:rPr>
        <w:t>-t)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 xml:space="preserve">a modellek hiányosságaiból eredő kockázatokat, amelyek a különböző, a modellek által mért kockázatok </w:t>
      </w:r>
      <w:proofErr w:type="spellStart"/>
      <w:r w:rsidRPr="006A6890">
        <w:rPr>
          <w:rFonts w:asciiTheme="minorHAnsi" w:hAnsiTheme="minorHAnsi"/>
        </w:rPr>
        <w:t>alulbecslésé</w:t>
      </w:r>
      <w:r w:rsidR="006A5C40" w:rsidRPr="006A6890">
        <w:rPr>
          <w:rFonts w:asciiTheme="minorHAnsi" w:hAnsiTheme="minorHAnsi"/>
          <w:lang w:val="hu-HU"/>
        </w:rPr>
        <w:t>ből</w:t>
      </w:r>
      <w:proofErr w:type="spellEnd"/>
      <w:r w:rsidR="006A5C40" w:rsidRPr="006A6890">
        <w:rPr>
          <w:rFonts w:asciiTheme="minorHAnsi" w:hAnsiTheme="minorHAnsi"/>
          <w:lang w:val="hu-HU"/>
        </w:rPr>
        <w:t xml:space="preserve">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 xml:space="preserve">tőkekövetelményeket </w:t>
      </w:r>
      <w:proofErr w:type="spellStart"/>
      <w:r w:rsidRPr="006A6890">
        <w:rPr>
          <w:rFonts w:asciiTheme="minorHAnsi" w:hAnsiTheme="minorHAnsi"/>
        </w:rPr>
        <w:t>kockázatonként</w:t>
      </w:r>
      <w:proofErr w:type="spellEnd"/>
      <w:r w:rsidRPr="006A6890">
        <w:rPr>
          <w:rFonts w:asciiTheme="minorHAnsi" w:hAnsiTheme="minorHAnsi"/>
        </w:rPr>
        <w:t xml:space="preserve">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xml:space="preserve">: az alkalmazott módszereknek, eljárásoknak </w:t>
      </w:r>
      <w:proofErr w:type="spellStart"/>
      <w:r w:rsidR="003F29E3" w:rsidRPr="006A6890">
        <w:rPr>
          <w:rFonts w:asciiTheme="minorHAnsi" w:hAnsiTheme="minorHAnsi"/>
        </w:rPr>
        <w:t>kockázattípusonként</w:t>
      </w:r>
      <w:proofErr w:type="spellEnd"/>
      <w:r w:rsidR="003F29E3" w:rsidRPr="006A6890">
        <w:rPr>
          <w:rFonts w:asciiTheme="minorHAnsi" w:hAnsiTheme="minorHAnsi"/>
        </w:rPr>
        <w:t xml:space="preserve">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lastRenderedPageBreak/>
        <w:t xml:space="preserve">hitelesség: az alkalmazott módszereknek, számításoknak </w:t>
      </w:r>
      <w:proofErr w:type="spellStart"/>
      <w:r w:rsidRPr="006A6890">
        <w:rPr>
          <w:rFonts w:asciiTheme="minorHAnsi" w:hAnsiTheme="minorHAnsi"/>
        </w:rPr>
        <w:t>megfelelőeknek</w:t>
      </w:r>
      <w:proofErr w:type="spellEnd"/>
      <w:r w:rsidRPr="006A6890">
        <w:rPr>
          <w:rFonts w:asciiTheme="minorHAnsi" w:hAnsiTheme="minorHAnsi"/>
        </w:rPr>
        <w:t xml:space="preserve">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w:t>
      </w:r>
      <w:proofErr w:type="spellStart"/>
      <w:r w:rsidR="00DF4680" w:rsidRPr="006A6890">
        <w:rPr>
          <w:rFonts w:asciiTheme="minorHAnsi" w:hAnsiTheme="minorHAnsi"/>
        </w:rPr>
        <w:t>kockázatonként</w:t>
      </w:r>
      <w:proofErr w:type="spellEnd"/>
      <w:r w:rsidR="00DF4680" w:rsidRPr="006A6890">
        <w:rPr>
          <w:rFonts w:asciiTheme="minorHAnsi" w:hAnsiTheme="minorHAnsi"/>
        </w:rPr>
        <w:t xml:space="preserve">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szavatoló tőkét sem </w:t>
      </w:r>
      <w:proofErr w:type="spellStart"/>
      <w:r w:rsidR="008E7961" w:rsidRPr="006A6890">
        <w:rPr>
          <w:rFonts w:asciiTheme="minorHAnsi" w:hAnsiTheme="minorHAnsi"/>
        </w:rPr>
        <w:t>kockázat</w:t>
      </w:r>
      <w:r w:rsidR="00463CC4" w:rsidRPr="006A6890">
        <w:rPr>
          <w:rFonts w:asciiTheme="minorHAnsi" w:hAnsiTheme="minorHAnsi"/>
        </w:rPr>
        <w:t>típus</w:t>
      </w:r>
      <w:r w:rsidR="008E7961" w:rsidRPr="006A6890">
        <w:rPr>
          <w:rFonts w:asciiTheme="minorHAnsi" w:hAnsiTheme="minorHAnsi"/>
        </w:rPr>
        <w:t>onként</w:t>
      </w:r>
      <w:proofErr w:type="spellEnd"/>
      <w:r w:rsidR="008E7961" w:rsidRPr="006A6890">
        <w:rPr>
          <w:rFonts w:asciiTheme="minorHAnsi" w:hAnsiTheme="minorHAnsi"/>
        </w:rPr>
        <w:t xml:space="preserve">, sem összes tőkekövetelmény szintjén. </w:t>
      </w:r>
      <w:r w:rsidR="00CD359C" w:rsidRPr="006A6890">
        <w:rPr>
          <w:rFonts w:asciiTheme="minorHAnsi" w:hAnsiTheme="minorHAnsi"/>
        </w:rPr>
        <w:t xml:space="preserve">A Pillér 1+ módszer mind kockázati </w:t>
      </w:r>
      <w:proofErr w:type="spellStart"/>
      <w:r w:rsidR="00CD359C" w:rsidRPr="006A6890">
        <w:rPr>
          <w:rFonts w:asciiTheme="minorHAnsi" w:hAnsiTheme="minorHAnsi"/>
        </w:rPr>
        <w:t>főkategóriánként</w:t>
      </w:r>
      <w:proofErr w:type="spellEnd"/>
      <w:r w:rsidR="00CD359C" w:rsidRPr="006A6890">
        <w:rPr>
          <w:rFonts w:asciiTheme="minorHAnsi" w:hAnsiTheme="minorHAnsi"/>
        </w:rPr>
        <w:t xml:space="preserve"> (hitelkockázat, működési kockázat, piaci kockázat), mind kockázati </w:t>
      </w:r>
      <w:proofErr w:type="spellStart"/>
      <w:r w:rsidR="00CD359C" w:rsidRPr="006A6890">
        <w:rPr>
          <w:rFonts w:asciiTheme="minorHAnsi" w:hAnsiTheme="minorHAnsi"/>
        </w:rPr>
        <w:t>alkategóriánként</w:t>
      </w:r>
      <w:proofErr w:type="spellEnd"/>
      <w:r w:rsidR="00CD359C" w:rsidRPr="006A6890">
        <w:rPr>
          <w:rFonts w:asciiTheme="minorHAnsi" w:hAnsiTheme="minorHAnsi"/>
        </w:rPr>
        <w:t xml:space="preserve"> alkalmazandó. Ez utóbbi nyilvánvalóan csak az 1. pillérben kezelt kockázati kategóriák (pl.: partnerkockázat, </w:t>
      </w:r>
      <w:proofErr w:type="spellStart"/>
      <w:r w:rsidR="00CD359C" w:rsidRPr="006A6890">
        <w:rPr>
          <w:rFonts w:asciiTheme="minorHAnsi" w:hAnsiTheme="minorHAnsi"/>
        </w:rPr>
        <w:t>CVA</w:t>
      </w:r>
      <w:proofErr w:type="spellEnd"/>
      <w:r w:rsidR="00CD359C" w:rsidRPr="006A6890">
        <w:rPr>
          <w:rFonts w:asciiTheme="minorHAnsi" w:hAnsiTheme="minorHAnsi"/>
        </w:rPr>
        <w:t>,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w:t>
      </w:r>
      <w:proofErr w:type="spellStart"/>
      <w:r w:rsidR="00CD359C" w:rsidRPr="006A6890">
        <w:rPr>
          <w:rFonts w:asciiTheme="minorHAnsi" w:hAnsiTheme="minorHAnsi"/>
        </w:rPr>
        <w:t>SREP</w:t>
      </w:r>
      <w:proofErr w:type="spellEnd"/>
      <w:r w:rsidR="00CD359C" w:rsidRPr="006A6890">
        <w:rPr>
          <w:rFonts w:asciiTheme="minorHAnsi" w:hAnsiTheme="minorHAnsi"/>
        </w:rPr>
        <w:t xml:space="preserve">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w:t>
      </w:r>
      <w:proofErr w:type="spellStart"/>
      <w:r w:rsidR="00A2138B" w:rsidRPr="006A6890">
        <w:rPr>
          <w:rFonts w:asciiTheme="minorHAnsi" w:hAnsiTheme="minorHAnsi"/>
        </w:rPr>
        <w:t>SREP</w:t>
      </w:r>
      <w:proofErr w:type="spellEnd"/>
      <w:r w:rsidR="00A2138B" w:rsidRPr="006A6890">
        <w:rPr>
          <w:rFonts w:asciiTheme="minorHAnsi" w:hAnsiTheme="minorHAnsi"/>
        </w:rPr>
        <w:t xml:space="preserve"> szerinti tőkekövetelmény már meghaladja az 1. pilléres tőkekövetelmény szintjét)</w:t>
      </w:r>
      <w:r w:rsidR="00CD359C" w:rsidRPr="006A6890">
        <w:rPr>
          <w:rFonts w:asciiTheme="minorHAnsi" w:hAnsiTheme="minorHAnsi"/>
        </w:rPr>
        <w:t xml:space="preserve">. </w:t>
      </w:r>
    </w:p>
    <w:p w14:paraId="66B1564F" w14:textId="3E3FE925"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 xml:space="preserve">A </w:t>
      </w:r>
      <w:proofErr w:type="spellStart"/>
      <w:r w:rsidR="008E7961" w:rsidRPr="006A6890">
        <w:rPr>
          <w:rFonts w:asciiTheme="minorHAnsi" w:hAnsiTheme="minorHAnsi"/>
        </w:rPr>
        <w:t>CRD</w:t>
      </w:r>
      <w:proofErr w:type="spellEnd"/>
      <w:r w:rsidR="00757D4E" w:rsidRPr="006A6890">
        <w:rPr>
          <w:rFonts w:asciiTheme="minorHAnsi" w:hAnsiTheme="minorHAnsi"/>
        </w:rPr>
        <w:t xml:space="preserve"> </w:t>
      </w:r>
      <w:r w:rsidR="008E7961" w:rsidRPr="006A6890">
        <w:rPr>
          <w:rFonts w:asciiTheme="minorHAnsi" w:hAnsiTheme="minorHAnsi"/>
        </w:rPr>
        <w:t>IV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 xml:space="preserve">z </w:t>
      </w:r>
      <w:proofErr w:type="spellStart"/>
      <w:r w:rsidR="005A758F" w:rsidRPr="006A6890">
        <w:rPr>
          <w:rFonts w:asciiTheme="minorHAnsi" w:hAnsiTheme="minorHAnsi"/>
        </w:rPr>
        <w:t>EBA</w:t>
      </w:r>
      <w:proofErr w:type="spellEnd"/>
      <w:r w:rsidR="005A758F" w:rsidRPr="006A6890">
        <w:rPr>
          <w:rFonts w:asciiTheme="minorHAnsi" w:hAnsiTheme="minorHAnsi"/>
        </w:rPr>
        <w:t xml:space="preserve"> </w:t>
      </w:r>
      <w:proofErr w:type="spellStart"/>
      <w:r w:rsidR="005A758F" w:rsidRPr="006A6890">
        <w:rPr>
          <w:rFonts w:asciiTheme="minorHAnsi" w:hAnsiTheme="minorHAnsi"/>
        </w:rPr>
        <w:t>SREP</w:t>
      </w:r>
      <w:proofErr w:type="spellEnd"/>
      <w:r w:rsidR="005A758F" w:rsidRPr="006A6890">
        <w:rPr>
          <w:rFonts w:asciiTheme="minorHAnsi" w:hAnsiTheme="minorHAnsi"/>
        </w:rPr>
        <w:t xml:space="preserve">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30992404" w:rsidR="00962470" w:rsidRPr="006A689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6A6890" w:rsidRDefault="003F29E3" w:rsidP="00181755">
      <w:pPr>
        <w:pStyle w:val="Heading4"/>
        <w:rPr>
          <w:rFonts w:asciiTheme="minorHAnsi" w:hAnsiTheme="minorHAnsi"/>
        </w:rPr>
      </w:pPr>
      <w:bookmarkStart w:id="1203" w:name="_Toc461095246"/>
      <w:bookmarkStart w:id="1204" w:name="_Toc461179902"/>
      <w:bookmarkStart w:id="1205" w:name="_Toc461201346"/>
      <w:bookmarkStart w:id="1206" w:name="_Toc461548047"/>
      <w:bookmarkStart w:id="1207" w:name="_Toc462402087"/>
      <w:bookmarkStart w:id="1208" w:name="_Toc462403212"/>
      <w:bookmarkStart w:id="1209" w:name="_Toc462403536"/>
      <w:bookmarkStart w:id="1210" w:name="_Toc468180655"/>
      <w:bookmarkStart w:id="1211" w:name="_Toc468181136"/>
      <w:bookmarkStart w:id="1212" w:name="_Toc468191483"/>
      <w:bookmarkStart w:id="1213" w:name="_Toc27139002"/>
      <w:proofErr w:type="spellStart"/>
      <w:r w:rsidRPr="006A6890">
        <w:rPr>
          <w:rFonts w:asciiTheme="minorHAnsi" w:hAnsiTheme="minorHAnsi"/>
        </w:rPr>
        <w:t>SREP</w:t>
      </w:r>
      <w:proofErr w:type="spellEnd"/>
      <w:r w:rsidRPr="006A6890">
        <w:rPr>
          <w:rFonts w:asciiTheme="minorHAnsi" w:hAnsiTheme="minorHAnsi"/>
        </w:rPr>
        <w:t xml:space="preserve"> tőkekövetelmény (</w:t>
      </w:r>
      <w:proofErr w:type="spellStart"/>
      <w:r w:rsidRPr="006A6890">
        <w:rPr>
          <w:rFonts w:asciiTheme="minorHAnsi" w:hAnsiTheme="minorHAnsi"/>
        </w:rPr>
        <w:t>TSCR</w:t>
      </w:r>
      <w:proofErr w:type="spellEnd"/>
      <w:r w:rsidRPr="006A6890">
        <w:rPr>
          <w:rFonts w:asciiTheme="minorHAnsi" w:hAnsiTheme="minorHAnsi"/>
        </w:rPr>
        <w:t>)</w:t>
      </w:r>
      <w:bookmarkEnd w:id="1203"/>
      <w:bookmarkEnd w:id="1204"/>
      <w:bookmarkEnd w:id="1205"/>
      <w:bookmarkEnd w:id="1206"/>
      <w:bookmarkEnd w:id="1207"/>
      <w:bookmarkEnd w:id="1208"/>
      <w:bookmarkEnd w:id="1209"/>
      <w:bookmarkEnd w:id="1210"/>
      <w:bookmarkEnd w:id="1211"/>
      <w:bookmarkEnd w:id="1212"/>
      <w:bookmarkEnd w:id="1213"/>
    </w:p>
    <w:p w14:paraId="66B15653" w14:textId="77777777" w:rsidR="00A70E14" w:rsidRPr="00D22CF9" w:rsidRDefault="003F29E3" w:rsidP="00D22CF9">
      <w:pPr>
        <w:rPr>
          <w:rFonts w:asciiTheme="minorHAnsi" w:hAnsiTheme="minorHAnsi"/>
          <w:b/>
        </w:rPr>
      </w:pPr>
      <w:r w:rsidRPr="00D22CF9">
        <w:rPr>
          <w:rFonts w:asciiTheme="minorHAnsi" w:hAnsiTheme="minorHAnsi"/>
          <w:b/>
        </w:rPr>
        <w:t xml:space="preserve">A </w:t>
      </w:r>
      <w:proofErr w:type="spellStart"/>
      <w:r w:rsidRPr="00D22CF9">
        <w:rPr>
          <w:rFonts w:asciiTheme="minorHAnsi" w:hAnsiTheme="minorHAnsi"/>
          <w:b/>
        </w:rPr>
        <w:t>SREP</w:t>
      </w:r>
      <w:proofErr w:type="spellEnd"/>
      <w:r w:rsidRPr="00D22CF9">
        <w:rPr>
          <w:rFonts w:asciiTheme="minorHAnsi" w:hAnsiTheme="minorHAnsi"/>
          <w:b/>
        </w:rPr>
        <w:t xml:space="preserve"> tőkekövetelmény</w:t>
      </w:r>
      <w:r w:rsidR="00A70E14" w:rsidRPr="00D22CF9">
        <w:rPr>
          <w:rFonts w:asciiTheme="minorHAnsi" w:hAnsiTheme="minorHAnsi"/>
          <w:b/>
        </w:rPr>
        <w:t>t</w:t>
      </w:r>
      <w:r w:rsidRPr="00D22CF9">
        <w:rPr>
          <w:rFonts w:asciiTheme="minorHAnsi" w:hAnsiTheme="minorHAnsi"/>
          <w:b/>
        </w:rPr>
        <w:t xml:space="preserve"> (</w:t>
      </w:r>
      <w:proofErr w:type="spellStart"/>
      <w:r w:rsidRPr="00D22CF9">
        <w:rPr>
          <w:rFonts w:asciiTheme="minorHAnsi" w:hAnsiTheme="minorHAnsi"/>
          <w:b/>
        </w:rPr>
        <w:t>TSCR</w:t>
      </w:r>
      <w:proofErr w:type="spellEnd"/>
      <w:r w:rsidRPr="00D22CF9">
        <w:rPr>
          <w:rFonts w:asciiTheme="minorHAnsi" w:hAnsiTheme="minorHAnsi"/>
          <w:b/>
        </w:rPr>
        <w:t xml:space="preserve">)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proofErr w:type="spellStart"/>
      <w:r w:rsidR="0012480B" w:rsidRPr="006A6890">
        <w:rPr>
          <w:rFonts w:asciiTheme="minorHAnsi" w:hAnsiTheme="minorHAnsi"/>
          <w:b/>
        </w:rPr>
        <w:t>SREP</w:t>
      </w:r>
      <w:proofErr w:type="spellEnd"/>
      <w:r w:rsidR="0012480B" w:rsidRPr="006A6890">
        <w:rPr>
          <w:rFonts w:asciiTheme="minorHAnsi" w:hAnsiTheme="minorHAnsi"/>
          <w:b/>
        </w:rPr>
        <w:t xml:space="preserve">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proofErr w:type="spellStart"/>
      <w:r w:rsidR="004252EA" w:rsidRPr="00D22CF9">
        <w:rPr>
          <w:rFonts w:asciiTheme="minorHAnsi" w:hAnsiTheme="minorHAnsi"/>
          <w:b/>
        </w:rPr>
        <w:t>SREP</w:t>
      </w:r>
      <w:proofErr w:type="spellEnd"/>
      <w:r w:rsidR="004252EA" w:rsidRPr="00D22CF9">
        <w:rPr>
          <w:rFonts w:asciiTheme="minorHAnsi" w:hAnsiTheme="minorHAnsi"/>
          <w:b/>
        </w:rPr>
        <w:t xml:space="preserve"> tőke</w:t>
      </w:r>
      <w:r w:rsidRPr="00D22CF9">
        <w:rPr>
          <w:rFonts w:asciiTheme="minorHAnsi" w:hAnsiTheme="minorHAnsi"/>
          <w:b/>
        </w:rPr>
        <w:t>követelményt a teljes kockázati kitettség érték (</w:t>
      </w:r>
      <w:proofErr w:type="spellStart"/>
      <w:r w:rsidRPr="00D22CF9">
        <w:rPr>
          <w:rFonts w:asciiTheme="minorHAnsi" w:hAnsiTheme="minorHAnsi"/>
          <w:b/>
        </w:rPr>
        <w:t>TREA</w:t>
      </w:r>
      <w:proofErr w:type="spellEnd"/>
      <w:r w:rsidRPr="00D22CF9">
        <w:rPr>
          <w:rFonts w:asciiTheme="minorHAnsi" w:hAnsiTheme="minorHAnsi"/>
          <w:b/>
        </w:rPr>
        <w:t xml:space="preserve">) százalékában adja meg. </w:t>
      </w:r>
    </w:p>
    <w:p w14:paraId="66B15658" w14:textId="0CA5DCA4" w:rsidR="00FA7182" w:rsidRPr="006A6890" w:rsidRDefault="00FA7182" w:rsidP="00D22CF9">
      <w:pPr>
        <w:rPr>
          <w:rFonts w:asciiTheme="minorHAnsi" w:hAnsiTheme="minorHAnsi"/>
        </w:rPr>
      </w:pPr>
      <w:r w:rsidRPr="006A6890">
        <w:rPr>
          <w:rFonts w:asciiTheme="minorHAnsi" w:hAnsiTheme="minorHAnsi"/>
        </w:rPr>
        <w:lastRenderedPageBreak/>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Ajánlása</w:t>
      </w:r>
      <w:r w:rsidRPr="006A6890">
        <w:rPr>
          <w:rFonts w:asciiTheme="minorHAnsi" w:hAnsiTheme="minorHAnsi"/>
        </w:rPr>
        <w:t xml:space="preserve"> szerint jár el, amely a </w:t>
      </w:r>
      <w:proofErr w:type="spellStart"/>
      <w:r w:rsidRPr="006A6890">
        <w:rPr>
          <w:rFonts w:asciiTheme="minorHAnsi" w:hAnsiTheme="minorHAnsi"/>
        </w:rPr>
        <w:t>SREP</w:t>
      </w:r>
      <w:proofErr w:type="spellEnd"/>
      <w:r w:rsidRPr="006A6890">
        <w:rPr>
          <w:rFonts w:asciiTheme="minorHAnsi" w:hAnsiTheme="minorHAnsi"/>
        </w:rPr>
        <w:t xml:space="preserve"> tőkekövetelmény előírásánál legalább az 1. pillér szerinti szabályozói tőkekövetelményre vonatkozó arányok alkalmazását írja elő. Ennek megfelelően a </w:t>
      </w:r>
      <w:proofErr w:type="spellStart"/>
      <w:r w:rsidRPr="006A6890">
        <w:rPr>
          <w:rFonts w:asciiTheme="minorHAnsi" w:hAnsiTheme="minorHAnsi"/>
        </w:rPr>
        <w:t>SREP</w:t>
      </w:r>
      <w:proofErr w:type="spellEnd"/>
      <w:r w:rsidRPr="006A6890">
        <w:rPr>
          <w:rFonts w:asciiTheme="minorHAnsi" w:hAnsiTheme="minorHAnsi"/>
        </w:rPr>
        <w:t xml:space="preserve">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 xml:space="preserve">%-a (4,5/8) a </w:t>
      </w:r>
      <w:proofErr w:type="spellStart"/>
      <w:r w:rsidR="00FA7182" w:rsidRPr="006A6890">
        <w:rPr>
          <w:rFonts w:asciiTheme="minorHAnsi" w:hAnsiTheme="minorHAnsi"/>
        </w:rPr>
        <w:t>TSCR-nek</w:t>
      </w:r>
      <w:proofErr w:type="spellEnd"/>
      <w:r w:rsidR="00FA7182" w:rsidRPr="006A6890">
        <w:rPr>
          <w:rFonts w:asciiTheme="minorHAnsi" w:hAnsiTheme="minorHAnsi"/>
        </w:rPr>
        <w:t>,</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xml:space="preserve">) a </w:t>
      </w:r>
      <w:proofErr w:type="spellStart"/>
      <w:r w:rsidRPr="006A6890">
        <w:rPr>
          <w:rFonts w:asciiTheme="minorHAnsi" w:hAnsiTheme="minorHAnsi"/>
        </w:rPr>
        <w:t>TSCR-nek</w:t>
      </w:r>
      <w:proofErr w:type="spellEnd"/>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 xml:space="preserve">T2 tőke arány: maximum 25%-a (2/8) a </w:t>
      </w:r>
      <w:proofErr w:type="spellStart"/>
      <w:r w:rsidRPr="006A6890">
        <w:rPr>
          <w:rFonts w:asciiTheme="minorHAnsi" w:hAnsiTheme="minorHAnsi"/>
        </w:rPr>
        <w:t>TSCR-nek</w:t>
      </w:r>
      <w:proofErr w:type="spellEnd"/>
      <w:r w:rsidRPr="006A6890">
        <w:rPr>
          <w:rFonts w:asciiTheme="minorHAnsi" w:hAnsiTheme="minorHAnsi"/>
        </w:rPr>
        <w:t>.</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 xml:space="preserve">ja, hogy a meghatározott kockázattípusokat milyen pótlólagos szavatoló tőke összetétellel kell fedezni. A </w:t>
      </w:r>
      <w:proofErr w:type="spellStart"/>
      <w:r w:rsidRPr="006A6890">
        <w:rPr>
          <w:rFonts w:asciiTheme="minorHAnsi" w:hAnsiTheme="minorHAnsi"/>
        </w:rPr>
        <w:t>TSCR</w:t>
      </w:r>
      <w:proofErr w:type="spellEnd"/>
      <w:r w:rsidRPr="006A6890">
        <w:rPr>
          <w:rFonts w:asciiTheme="minorHAnsi" w:hAnsiTheme="minorHAnsi"/>
        </w:rPr>
        <w:t xml:space="preserve">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 xml:space="preserve">Az MNB következetes a pótlólagos tőkekövetelmény meghatározásában és kommunikálásban az intézmény és – szükség esetén – más felügyeleti hatóságok felé. Az intézmény felé történő kommunikáció minimálisan tartalmazza a </w:t>
      </w:r>
      <w:proofErr w:type="spellStart"/>
      <w:r w:rsidRPr="006A6890">
        <w:rPr>
          <w:rFonts w:asciiTheme="minorHAnsi" w:hAnsiTheme="minorHAnsi"/>
        </w:rPr>
        <w:t>SREP</w:t>
      </w:r>
      <w:proofErr w:type="spellEnd"/>
      <w:r w:rsidRPr="006A6890">
        <w:rPr>
          <w:rFonts w:asciiTheme="minorHAnsi" w:hAnsiTheme="minorHAnsi"/>
        </w:rPr>
        <w:t xml:space="preserve"> tőkekövetelményt a teljes kockázati kitettség százalékában, a teljes </w:t>
      </w:r>
      <w:proofErr w:type="spellStart"/>
      <w:r w:rsidRPr="006A6890">
        <w:rPr>
          <w:rFonts w:asciiTheme="minorHAnsi" w:hAnsiTheme="minorHAnsi"/>
        </w:rPr>
        <w:t>SREP</w:t>
      </w:r>
      <w:proofErr w:type="spellEnd"/>
      <w:r w:rsidRPr="006A6890">
        <w:rPr>
          <w:rFonts w:asciiTheme="minorHAnsi" w:hAnsiTheme="minorHAnsi"/>
        </w:rPr>
        <w:t xml:space="preserve"> tőkeszükséglet </w:t>
      </w:r>
      <w:proofErr w:type="spellStart"/>
      <w:r w:rsidRPr="006A6890">
        <w:rPr>
          <w:rFonts w:asciiTheme="minorHAnsi" w:hAnsiTheme="minorHAnsi"/>
        </w:rPr>
        <w:t>kockázatonkénti</w:t>
      </w:r>
      <w:proofErr w:type="spellEnd"/>
      <w:r w:rsidRPr="006A6890">
        <w:rPr>
          <w:rFonts w:asciiTheme="minorHAnsi" w:hAnsiTheme="minorHAnsi"/>
        </w:rPr>
        <w:t xml:space="preserve"> megbontását és a tőkeszükséglet összetételének részletezését.</w:t>
      </w:r>
    </w:p>
    <w:p w14:paraId="66B15673" w14:textId="7383E86D" w:rsidR="003F29E3" w:rsidRPr="006A6890" w:rsidRDefault="004252EA" w:rsidP="00181755">
      <w:pPr>
        <w:pStyle w:val="Heading4"/>
        <w:rPr>
          <w:rFonts w:asciiTheme="minorHAnsi" w:hAnsiTheme="minorHAnsi"/>
        </w:rPr>
      </w:pPr>
      <w:bookmarkStart w:id="1214" w:name="_Toc468181137"/>
      <w:bookmarkStart w:id="1215" w:name="_Toc468181143"/>
      <w:bookmarkStart w:id="1216" w:name="_Toc468181148"/>
      <w:bookmarkStart w:id="1217" w:name="_Toc468181153"/>
      <w:bookmarkStart w:id="1218" w:name="_Toc461095247"/>
      <w:bookmarkStart w:id="1219" w:name="_Toc461179903"/>
      <w:bookmarkStart w:id="1220" w:name="_Toc461201347"/>
      <w:bookmarkStart w:id="1221" w:name="_Toc461548048"/>
      <w:bookmarkStart w:id="1222" w:name="_Toc462402088"/>
      <w:bookmarkStart w:id="1223" w:name="_Toc462403213"/>
      <w:bookmarkStart w:id="1224" w:name="_Toc462403537"/>
      <w:bookmarkStart w:id="1225" w:name="_Toc468180656"/>
      <w:bookmarkStart w:id="1226" w:name="_Toc468181154"/>
      <w:bookmarkStart w:id="1227" w:name="_Toc468191484"/>
      <w:bookmarkStart w:id="1228" w:name="_Toc27139003"/>
      <w:bookmarkEnd w:id="1214"/>
      <w:bookmarkEnd w:id="1215"/>
      <w:bookmarkEnd w:id="1216"/>
      <w:bookmarkEnd w:id="1217"/>
      <w:proofErr w:type="spellStart"/>
      <w:r w:rsidRPr="006A6890">
        <w:rPr>
          <w:rFonts w:asciiTheme="minorHAnsi" w:hAnsiTheme="minorHAnsi"/>
        </w:rPr>
        <w:t>SREP</w:t>
      </w:r>
      <w:proofErr w:type="spellEnd"/>
      <w:r w:rsidRPr="006A6890">
        <w:rPr>
          <w:rFonts w:asciiTheme="minorHAnsi" w:hAnsiTheme="minorHAnsi"/>
        </w:rPr>
        <w:t xml:space="preserve"> tőke</w:t>
      </w:r>
      <w:r w:rsidR="003F29E3" w:rsidRPr="006A6890">
        <w:rPr>
          <w:rFonts w:asciiTheme="minorHAnsi" w:hAnsiTheme="minorHAnsi"/>
        </w:rPr>
        <w:t>követelmény mutató</w:t>
      </w:r>
      <w:bookmarkEnd w:id="1218"/>
      <w:bookmarkEnd w:id="1219"/>
      <w:bookmarkEnd w:id="1220"/>
      <w:bookmarkEnd w:id="1221"/>
      <w:bookmarkEnd w:id="1222"/>
      <w:bookmarkEnd w:id="1223"/>
      <w:bookmarkEnd w:id="1224"/>
      <w:bookmarkEnd w:id="1225"/>
      <w:bookmarkEnd w:id="1226"/>
      <w:bookmarkEnd w:id="1227"/>
      <w:bookmarkEnd w:id="1228"/>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 xml:space="preserve">követelmény mutató kiszámítása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5"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8F6FA6" w:rsidRDefault="008F6FA6" w:rsidP="00D10772">
                              <w:proofErr w:type="spellStart"/>
                              <w:r>
                                <w:t>TSCR</w:t>
                              </w:r>
                              <w:proofErr w:type="spellEnd"/>
                              <w:r>
                                <w:t xml:space="preserve">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8F6FA6" w:rsidRDefault="008F6FA6" w:rsidP="00D10772">
                              <w:proofErr w:type="spellStart"/>
                              <w:r>
                                <w:t>TREA</w:t>
                              </w:r>
                              <w:proofErr w:type="spellEnd"/>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8F6FA6" w:rsidRDefault="008F6FA6" w:rsidP="00D10772">
                              <w:proofErr w:type="spellStart"/>
                              <w:r>
                                <w:t>TSCR</w:t>
                              </w:r>
                              <w:proofErr w:type="spellEnd"/>
                              <w:r>
                                <w:t xml:space="preserve">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58245"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Text Box 5" o:spid="_x0000_s1030"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8F6FA6" w:rsidRDefault="008F6FA6" w:rsidP="00D10772">
                        <w:proofErr w:type="spellStart"/>
                        <w:r>
                          <w:t>TSCR</w:t>
                        </w:r>
                        <w:proofErr w:type="spellEnd"/>
                        <w:r>
                          <w:t xml:space="preserve"> x12,5</w:t>
                        </w:r>
                      </w:p>
                    </w:txbxContent>
                  </v:textbox>
                </v:shape>
                <v:shape id="Text Box 6" o:spid="_x0000_s1031"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8F6FA6" w:rsidRDefault="008F6FA6" w:rsidP="00D10772">
                        <w:proofErr w:type="spellStart"/>
                        <w:r>
                          <w:t>TREA</w:t>
                        </w:r>
                        <w:proofErr w:type="spellEnd"/>
                      </w:p>
                    </w:txbxContent>
                  </v:textbox>
                </v:shape>
                <v:shape id="Text Box 7" o:spid="_x0000_s1032"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8F6FA6" w:rsidRDefault="008F6FA6" w:rsidP="00D10772">
                        <w:proofErr w:type="spellStart"/>
                        <w:r>
                          <w:t>TSCR</w:t>
                        </w:r>
                        <w:proofErr w:type="spellEnd"/>
                        <w:r>
                          <w:t xml:space="preserve">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57EE0EAC" w14:textId="557C3BFE" w:rsidR="001A25C4" w:rsidRPr="006A6890" w:rsidRDefault="00CB7FAA" w:rsidP="00D22CF9">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1A16525F" w14:textId="77777777" w:rsidR="002C7094" w:rsidRPr="006A6890" w:rsidRDefault="002C7094" w:rsidP="00181755">
      <w:pPr>
        <w:rPr>
          <w:rFonts w:asciiTheme="minorHAnsi" w:hAnsiTheme="minorHAnsi"/>
        </w:rPr>
      </w:pP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137,5%-ában került meghatározásra (</w:t>
      </w:r>
      <w:proofErr w:type="spellStart"/>
      <w:r w:rsidRPr="006A6890">
        <w:rPr>
          <w:rFonts w:asciiTheme="minorHAnsi" w:hAnsiTheme="minorHAnsi"/>
        </w:rPr>
        <w:t>TSCR</w:t>
      </w:r>
      <w:proofErr w:type="spellEnd"/>
      <w:r w:rsidRPr="006A6890">
        <w:rPr>
          <w:rFonts w:asciiTheme="minorHAnsi" w:hAnsiTheme="minorHAnsi"/>
        </w:rPr>
        <w:t xml:space="preserve"> = 11%), ami a </w:t>
      </w:r>
      <w:proofErr w:type="spellStart"/>
      <w:r w:rsidRPr="006A6890">
        <w:rPr>
          <w:rFonts w:asciiTheme="minorHAnsi" w:hAnsiTheme="minorHAnsi"/>
        </w:rPr>
        <w:t>TREA-ra</w:t>
      </w:r>
      <w:proofErr w:type="spellEnd"/>
      <w:r w:rsidRPr="006A6890">
        <w:rPr>
          <w:rFonts w:asciiTheme="minorHAnsi" w:hAnsiTheme="minorHAnsi"/>
        </w:rPr>
        <w:t xml:space="preserve">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TSCR</w:t>
      </w:r>
      <w:proofErr w:type="spellEnd"/>
      <w:r w:rsidRPr="006A6890">
        <w:rPr>
          <w:rFonts w:asciiTheme="minorHAnsi" w:hAnsiTheme="minorHAnsi"/>
        </w:rPr>
        <w:t xml:space="preserve"> a </w:t>
      </w:r>
      <w:proofErr w:type="spellStart"/>
      <w:r w:rsidRPr="006A6890">
        <w:rPr>
          <w:rFonts w:asciiTheme="minorHAnsi" w:hAnsiTheme="minorHAnsi"/>
        </w:rPr>
        <w:t>TREA</w:t>
      </w:r>
      <w:proofErr w:type="spellEnd"/>
      <w:r w:rsidRPr="006A6890">
        <w:rPr>
          <w:rFonts w:asciiTheme="minorHAnsi" w:hAnsiTheme="minorHAnsi"/>
        </w:rPr>
        <w:t xml:space="preserve">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Heading4"/>
        <w:ind w:left="1148"/>
        <w:rPr>
          <w:rFonts w:asciiTheme="minorHAnsi" w:hAnsiTheme="minorHAnsi"/>
        </w:rPr>
      </w:pPr>
      <w:bookmarkStart w:id="1229" w:name="_Toc461095248"/>
      <w:bookmarkStart w:id="1230" w:name="_Toc461179904"/>
      <w:bookmarkStart w:id="1231" w:name="_Toc461201348"/>
      <w:bookmarkStart w:id="1232" w:name="_Toc461548049"/>
      <w:bookmarkStart w:id="1233" w:name="_Toc462402089"/>
      <w:bookmarkStart w:id="1234" w:name="_Toc462403214"/>
      <w:bookmarkStart w:id="1235" w:name="_Toc462403538"/>
      <w:bookmarkStart w:id="1236" w:name="_Toc468180657"/>
      <w:bookmarkStart w:id="1237" w:name="_Toc468181155"/>
      <w:bookmarkStart w:id="1238" w:name="_Toc468191485"/>
      <w:bookmarkStart w:id="1239" w:name="_Toc27139004"/>
      <w:r w:rsidRPr="006A6890">
        <w:rPr>
          <w:rFonts w:asciiTheme="minorHAnsi" w:hAnsiTheme="minorHAnsi"/>
          <w:lang w:val="hu-HU"/>
        </w:rPr>
        <w:lastRenderedPageBreak/>
        <w:t>Kombinált tőkepuffer-követelmény</w:t>
      </w:r>
      <w:bookmarkEnd w:id="1229"/>
      <w:bookmarkEnd w:id="1230"/>
      <w:bookmarkEnd w:id="1231"/>
      <w:bookmarkEnd w:id="1232"/>
      <w:bookmarkEnd w:id="1233"/>
      <w:bookmarkEnd w:id="1234"/>
      <w:bookmarkEnd w:id="1235"/>
      <w:bookmarkEnd w:id="1236"/>
      <w:bookmarkEnd w:id="1237"/>
      <w:bookmarkEnd w:id="1238"/>
      <w:bookmarkEnd w:id="1239"/>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w:t>
      </w:r>
      <w:proofErr w:type="spellStart"/>
      <w:r w:rsidR="009A7DB2" w:rsidRPr="006A6890">
        <w:rPr>
          <w:rFonts w:asciiTheme="minorHAnsi" w:hAnsiTheme="minorHAnsi"/>
        </w:rPr>
        <w:t>makroprudenciális</w:t>
      </w:r>
      <w:proofErr w:type="spellEnd"/>
      <w:r w:rsidR="009A7DB2" w:rsidRPr="006A6890">
        <w:rPr>
          <w:rFonts w:asciiTheme="minorHAnsi" w:hAnsiTheme="minorHAnsi"/>
        </w:rPr>
        <w:t xml:space="preserve">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Paragraph"/>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meghatározására kijelölt hatóság az MNB. Az MNB negyedévente a magyarországi kitettségekre vonatkozó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meghatározásának alapjául szolgáló irányadó </w:t>
      </w:r>
      <w:proofErr w:type="spellStart"/>
      <w:r w:rsidRPr="006A6890">
        <w:rPr>
          <w:rFonts w:asciiTheme="minorHAnsi" w:hAnsiTheme="minorHAnsi"/>
        </w:rPr>
        <w:t>anticiklikus</w:t>
      </w:r>
      <w:proofErr w:type="spellEnd"/>
      <w:r w:rsidRPr="006A6890">
        <w:rPr>
          <w:rFonts w:asciiTheme="minorHAnsi" w:hAnsiTheme="minorHAnsi"/>
        </w:rPr>
        <w:t xml:space="preserve">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 xml:space="preserve">t közleményben teszi közzé. Az érvényes </w:t>
      </w:r>
      <w:proofErr w:type="spellStart"/>
      <w:r w:rsidRPr="006A6890">
        <w:rPr>
          <w:rFonts w:asciiTheme="minorHAnsi" w:hAnsiTheme="minorHAnsi"/>
        </w:rPr>
        <w:t>anticiklikus</w:t>
      </w:r>
      <w:proofErr w:type="spellEnd"/>
      <w:r w:rsidRPr="006A6890">
        <w:rPr>
          <w:rFonts w:asciiTheme="minorHAnsi" w:hAnsiTheme="minorHAnsi"/>
        </w:rPr>
        <w:t xml:space="preserve"> tőkepufferráták elérhetőek az MNB honlapján és a Pénzügyi Stabilitási Tanács (</w:t>
      </w:r>
      <w:proofErr w:type="spellStart"/>
      <w:r w:rsidRPr="006A6890">
        <w:rPr>
          <w:rFonts w:asciiTheme="minorHAnsi" w:hAnsiTheme="minorHAnsi"/>
        </w:rPr>
        <w:t>PST</w:t>
      </w:r>
      <w:proofErr w:type="spellEnd"/>
      <w:r w:rsidRPr="006A6890">
        <w:rPr>
          <w:rFonts w:asciiTheme="minorHAnsi" w:hAnsiTheme="minorHAnsi"/>
        </w:rPr>
        <w:t>) döntések időpontjának megfelelően, negyedévente frissítésre kerülnek.</w:t>
      </w:r>
      <w:r w:rsidR="00E34A1E" w:rsidRPr="006A6890">
        <w:rPr>
          <w:rFonts w:asciiTheme="minorHAnsi" w:hAnsiTheme="minorHAnsi"/>
        </w:rPr>
        <w:t xml:space="preserve"> Az intézményeknek intézményspecifikus </w:t>
      </w:r>
      <w:proofErr w:type="spellStart"/>
      <w:r w:rsidR="00E34A1E" w:rsidRPr="006A6890">
        <w:rPr>
          <w:rFonts w:asciiTheme="minorHAnsi" w:hAnsiTheme="minorHAnsi"/>
        </w:rPr>
        <w:t>anticiklikus</w:t>
      </w:r>
      <w:proofErr w:type="spellEnd"/>
      <w:r w:rsidR="00E34A1E" w:rsidRPr="006A6890">
        <w:rPr>
          <w:rFonts w:asciiTheme="minorHAnsi" w:hAnsiTheme="minorHAnsi"/>
        </w:rPr>
        <w:t xml:space="preserve">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Paragraph"/>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47C71E02"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w:t>
      </w:r>
      <w:proofErr w:type="spellStart"/>
      <w:r w:rsidRPr="006A6890">
        <w:rPr>
          <w:rFonts w:asciiTheme="minorHAnsi" w:hAnsiTheme="minorHAnsi"/>
        </w:rPr>
        <w:t>prudenciális</w:t>
      </w:r>
      <w:proofErr w:type="spellEnd"/>
      <w:r w:rsidRPr="006A6890">
        <w:rPr>
          <w:rFonts w:asciiTheme="minorHAnsi" w:hAnsiTheme="minorHAnsi"/>
        </w:rPr>
        <w:t xml:space="preserve"> szabályokat a </w:t>
      </w:r>
      <w:proofErr w:type="spellStart"/>
      <w:r w:rsidRPr="006A6890">
        <w:rPr>
          <w:rFonts w:asciiTheme="minorHAnsi" w:hAnsiTheme="minorHAnsi"/>
        </w:rPr>
        <w:t>CRD</w:t>
      </w:r>
      <w:proofErr w:type="spellEnd"/>
      <w:r w:rsidRPr="006A6890">
        <w:rPr>
          <w:rFonts w:asciiTheme="minorHAnsi" w:hAnsiTheme="minorHAnsi"/>
        </w:rPr>
        <w:t xml:space="preserve"> IV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w:t>
      </w:r>
      <w:proofErr w:type="spellStart"/>
      <w:r w:rsidRPr="006A6890">
        <w:rPr>
          <w:rFonts w:asciiTheme="minorHAnsi" w:hAnsiTheme="minorHAnsi"/>
        </w:rPr>
        <w:t>EBA</w:t>
      </w:r>
      <w:proofErr w:type="spellEnd"/>
      <w:r w:rsidRPr="006A6890">
        <w:rPr>
          <w:rFonts w:asciiTheme="minorHAnsi" w:hAnsiTheme="minorHAnsi"/>
        </w:rPr>
        <w:t xml:space="preserve"> iránymutatásának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Paragraph"/>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78A88A0A" w:rsidR="003841D3" w:rsidRPr="006A6890" w:rsidRDefault="003841D3" w:rsidP="00181755">
      <w:pPr>
        <w:ind w:left="851"/>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IV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w:t>
      </w:r>
      <w:proofErr w:type="spellStart"/>
      <w:r w:rsidRPr="006A6890">
        <w:rPr>
          <w:rFonts w:asciiTheme="minorHAnsi" w:hAnsiTheme="minorHAnsi"/>
        </w:rPr>
        <w:t>anticiklikus</w:t>
      </w:r>
      <w:proofErr w:type="spellEnd"/>
      <w:r w:rsidRPr="006A6890">
        <w:rPr>
          <w:rFonts w:asciiTheme="minorHAnsi" w:hAnsiTheme="minorHAnsi"/>
        </w:rPr>
        <w:t xml:space="preserve">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Heading4"/>
        <w:rPr>
          <w:rFonts w:asciiTheme="minorHAnsi" w:hAnsiTheme="minorHAnsi"/>
        </w:rPr>
      </w:pPr>
      <w:bookmarkStart w:id="1240" w:name="_Toc468181156"/>
      <w:bookmarkStart w:id="1241" w:name="_Toc468181157"/>
      <w:bookmarkStart w:id="1242" w:name="_Toc468181158"/>
      <w:bookmarkStart w:id="1243" w:name="_Toc468181159"/>
      <w:bookmarkStart w:id="1244" w:name="_Toc468181160"/>
      <w:bookmarkStart w:id="1245" w:name="_Toc468181161"/>
      <w:bookmarkStart w:id="1246" w:name="_Toc468181162"/>
      <w:bookmarkStart w:id="1247" w:name="_Toc468181163"/>
      <w:bookmarkStart w:id="1248" w:name="_Toc468181164"/>
      <w:bookmarkStart w:id="1249" w:name="_Toc468181165"/>
      <w:bookmarkStart w:id="1250" w:name="_Toc468181166"/>
      <w:bookmarkStart w:id="1251" w:name="_Toc468181167"/>
      <w:bookmarkStart w:id="1252" w:name="_Toc468181168"/>
      <w:bookmarkStart w:id="1253" w:name="_Toc468181169"/>
      <w:bookmarkStart w:id="1254" w:name="_Toc468181170"/>
      <w:bookmarkStart w:id="1255" w:name="_Toc468181171"/>
      <w:bookmarkStart w:id="1256" w:name="_Toc468181172"/>
      <w:bookmarkStart w:id="1257" w:name="_Toc461095254"/>
      <w:bookmarkStart w:id="1258" w:name="_Toc461179910"/>
      <w:bookmarkStart w:id="1259" w:name="_Toc461201354"/>
      <w:bookmarkStart w:id="1260" w:name="_Toc461548055"/>
      <w:bookmarkStart w:id="1261" w:name="_Toc462402095"/>
      <w:bookmarkStart w:id="1262" w:name="_Toc462403220"/>
      <w:bookmarkStart w:id="1263" w:name="_Toc462403544"/>
      <w:bookmarkStart w:id="1264" w:name="_Toc468180663"/>
      <w:bookmarkStart w:id="1265" w:name="_Toc468181173"/>
      <w:bookmarkStart w:id="1266" w:name="_Toc468191486"/>
      <w:bookmarkStart w:id="1267" w:name="_Toc27139005"/>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6A6890">
        <w:rPr>
          <w:rFonts w:asciiTheme="minorHAnsi" w:hAnsiTheme="minorHAnsi"/>
        </w:rPr>
        <w:t>Teljes tőkekövetelmény (OCR)</w:t>
      </w:r>
      <w:bookmarkEnd w:id="1257"/>
      <w:bookmarkEnd w:id="1258"/>
      <w:bookmarkEnd w:id="1259"/>
      <w:bookmarkEnd w:id="1260"/>
      <w:bookmarkEnd w:id="1261"/>
      <w:bookmarkEnd w:id="1262"/>
      <w:bookmarkEnd w:id="1263"/>
      <w:bookmarkEnd w:id="1264"/>
      <w:bookmarkEnd w:id="1265"/>
      <w:bookmarkEnd w:id="1266"/>
      <w:bookmarkEnd w:id="1267"/>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proofErr w:type="spellStart"/>
      <w:r w:rsidRPr="006A6890">
        <w:rPr>
          <w:rFonts w:asciiTheme="minorHAnsi" w:hAnsiTheme="minorHAnsi"/>
        </w:rPr>
        <w:t>makroprudenciális</w:t>
      </w:r>
      <w:proofErr w:type="spellEnd"/>
      <w:r w:rsidRPr="006A6890">
        <w:rPr>
          <w:rFonts w:asciiTheme="minorHAnsi" w:hAnsiTheme="minorHAnsi"/>
        </w:rPr>
        <w:t xml:space="preserve">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lastRenderedPageBreak/>
        <w:t xml:space="preserve">OCR = </w:t>
      </w:r>
      <w:proofErr w:type="spellStart"/>
      <w:r w:rsidRPr="006A6890">
        <w:rPr>
          <w:rFonts w:asciiTheme="minorHAnsi" w:hAnsiTheme="minorHAnsi"/>
        </w:rPr>
        <w:t>TSCR</w:t>
      </w:r>
      <w:proofErr w:type="spellEnd"/>
      <w:r w:rsidRPr="006A6890">
        <w:rPr>
          <w:rFonts w:asciiTheme="minorHAnsi" w:hAnsiTheme="minorHAnsi"/>
        </w:rPr>
        <w:t xml:space="preserve">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Heading4"/>
        <w:rPr>
          <w:rFonts w:asciiTheme="minorHAnsi" w:hAnsiTheme="minorHAnsi"/>
          <w:lang w:val="hu-HU"/>
        </w:rPr>
      </w:pPr>
      <w:bookmarkStart w:id="1268" w:name="_Toc468181174"/>
      <w:bookmarkStart w:id="1269" w:name="_Toc468181175"/>
      <w:bookmarkStart w:id="1270" w:name="_Toc468181176"/>
      <w:bookmarkStart w:id="1271" w:name="_Toc468181177"/>
      <w:bookmarkStart w:id="1272" w:name="_Toc468181178"/>
      <w:bookmarkStart w:id="1273" w:name="_Toc468181179"/>
      <w:bookmarkStart w:id="1274" w:name="_Toc468181180"/>
      <w:bookmarkStart w:id="1275" w:name="_Toc468181181"/>
      <w:bookmarkStart w:id="1276" w:name="_Toc468181182"/>
      <w:bookmarkStart w:id="1277" w:name="_Toc468181183"/>
      <w:bookmarkStart w:id="1278" w:name="_Toc468181184"/>
      <w:bookmarkStart w:id="1279" w:name="_Toc468181185"/>
      <w:bookmarkStart w:id="1280" w:name="_Toc468181186"/>
      <w:bookmarkStart w:id="1281" w:name="_Toc468181202"/>
      <w:bookmarkStart w:id="1282" w:name="_Toc468181203"/>
      <w:bookmarkStart w:id="1283" w:name="_Toc468181204"/>
      <w:bookmarkStart w:id="1284" w:name="_Toc468181220"/>
      <w:bookmarkStart w:id="1285" w:name="_Toc27139006"/>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6A6890">
        <w:rPr>
          <w:rFonts w:asciiTheme="minorHAnsi" w:hAnsiTheme="minorHAnsi"/>
          <w:lang w:val="hu-HU"/>
        </w:rPr>
        <w:t>Felügyeleti tőkeajánlás (P2G)</w:t>
      </w:r>
      <w:bookmarkEnd w:id="1285"/>
    </w:p>
    <w:p w14:paraId="41CC03BB" w14:textId="79E0B08B" w:rsidR="00015046" w:rsidRPr="006A6890" w:rsidRDefault="00015046"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a Magyar Nemzeti Bank 2019-től kezdve új felügyeleti tőkeajánlást (P2G, Capital </w:t>
      </w:r>
      <w:proofErr w:type="spellStart"/>
      <w:r w:rsidRPr="006A6890">
        <w:rPr>
          <w:rFonts w:asciiTheme="minorHAnsi" w:hAnsiTheme="minorHAnsi"/>
        </w:rPr>
        <w:t>Guidance</w:t>
      </w:r>
      <w:proofErr w:type="spellEnd"/>
      <w:r w:rsidRPr="006A6890">
        <w:rPr>
          <w:rFonts w:asciiTheme="minorHAnsi" w:hAnsiTheme="minorHAnsi"/>
        </w:rPr>
        <w:t xml:space="preserve">) vezet be a hazai hitelintézetek tőkemegfelelésére vonatkozóan. A Capital </w:t>
      </w:r>
      <w:proofErr w:type="spellStart"/>
      <w:r w:rsidRPr="006A6890">
        <w:rPr>
          <w:rFonts w:asciiTheme="minorHAnsi" w:hAnsiTheme="minorHAnsi"/>
        </w:rPr>
        <w:t>Guidance</w:t>
      </w:r>
      <w:proofErr w:type="spellEnd"/>
      <w:r w:rsidRPr="006A6890">
        <w:rPr>
          <w:rFonts w:asciiTheme="minorHAnsi" w:hAnsiTheme="minorHAnsi"/>
        </w:rPr>
        <w:t xml:space="preserve"> a </w:t>
      </w:r>
      <w:proofErr w:type="spellStart"/>
      <w:r w:rsidRPr="006A6890">
        <w:rPr>
          <w:rFonts w:asciiTheme="minorHAnsi" w:hAnsiTheme="minorHAnsi"/>
        </w:rPr>
        <w:t>SREP</w:t>
      </w:r>
      <w:proofErr w:type="spellEnd"/>
      <w:r w:rsidRPr="006A6890">
        <w:rPr>
          <w:rFonts w:asciiTheme="minorHAnsi" w:hAnsiTheme="minorHAnsi"/>
        </w:rPr>
        <w:t>-tőkekövetelmény (</w:t>
      </w:r>
      <w:proofErr w:type="spellStart"/>
      <w:r w:rsidRPr="006A6890">
        <w:rPr>
          <w:rFonts w:asciiTheme="minorHAnsi" w:hAnsiTheme="minorHAnsi"/>
        </w:rPr>
        <w:t>TSCR</w:t>
      </w:r>
      <w:proofErr w:type="spellEnd"/>
      <w:r w:rsidRPr="006A6890">
        <w:rPr>
          <w:rFonts w:asciiTheme="minorHAnsi" w:hAnsiTheme="minorHAnsi"/>
        </w:rPr>
        <w:t xml:space="preserve">) és a kombinál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w:t>
      </w:r>
      <w:proofErr w:type="spellStart"/>
      <w:r w:rsidRPr="006A6890">
        <w:rPr>
          <w:rFonts w:asciiTheme="minorHAnsi" w:hAnsiTheme="minorHAnsi"/>
        </w:rPr>
        <w:t>Guidance</w:t>
      </w:r>
      <w:proofErr w:type="spellEnd"/>
      <w:r w:rsidRPr="006A6890">
        <w:rPr>
          <w:rFonts w:asciiTheme="minorHAnsi" w:hAnsiTheme="minorHAnsi"/>
        </w:rPr>
        <w:t xml:space="preserv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Heading1"/>
        <w:rPr>
          <w:rFonts w:asciiTheme="minorHAnsi" w:hAnsiTheme="minorHAnsi"/>
        </w:rPr>
      </w:pPr>
      <w:bookmarkStart w:id="1286" w:name="_Tőkeallokáció"/>
      <w:bookmarkStart w:id="1287" w:name="_Toc378592056"/>
      <w:bookmarkEnd w:id="1286"/>
      <w:r w:rsidRPr="006A6890">
        <w:rPr>
          <w:rFonts w:asciiTheme="minorHAnsi" w:hAnsiTheme="minorHAnsi"/>
        </w:rPr>
        <w:br w:type="page"/>
      </w:r>
      <w:bookmarkStart w:id="1288" w:name="_Toc461095256"/>
      <w:bookmarkStart w:id="1289" w:name="_Toc461179219"/>
      <w:bookmarkStart w:id="1290" w:name="_Toc461179912"/>
      <w:bookmarkStart w:id="1291" w:name="_Toc461197760"/>
      <w:bookmarkStart w:id="1292" w:name="_Toc461201356"/>
      <w:bookmarkStart w:id="1293" w:name="_Toc461548057"/>
      <w:bookmarkStart w:id="1294" w:name="_Toc462402097"/>
      <w:bookmarkStart w:id="1295" w:name="_Toc462403222"/>
      <w:bookmarkStart w:id="1296" w:name="_Toc462403546"/>
      <w:bookmarkStart w:id="1297" w:name="_Toc468180665"/>
      <w:bookmarkStart w:id="1298" w:name="_Toc468181222"/>
      <w:bookmarkStart w:id="1299" w:name="_Toc468191488"/>
      <w:bookmarkStart w:id="1300" w:name="_Toc27139007"/>
      <w:r w:rsidRPr="006A6890">
        <w:rPr>
          <w:rFonts w:asciiTheme="minorHAnsi" w:hAnsiTheme="minorHAnsi"/>
        </w:rPr>
        <w:lastRenderedPageBreak/>
        <w:t xml:space="preserve">Az </w:t>
      </w:r>
      <w:proofErr w:type="spellStart"/>
      <w:r w:rsidRPr="006A6890">
        <w:rPr>
          <w:rFonts w:asciiTheme="minorHAnsi" w:hAnsiTheme="minorHAnsi"/>
        </w:rPr>
        <w:t>ILAAP</w:t>
      </w:r>
      <w:proofErr w:type="spellEnd"/>
      <w:r w:rsidRPr="006A6890">
        <w:rPr>
          <w:rFonts w:asciiTheme="minorHAnsi" w:hAnsiTheme="minorHAnsi"/>
        </w:rPr>
        <w:t xml:space="preserve"> összetevői és felügyeleti felülvizsgálata</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66B156C1" w14:textId="77777777" w:rsidR="003F29E3" w:rsidRPr="006A6890" w:rsidRDefault="003F29E3" w:rsidP="008F2D8B">
      <w:pPr>
        <w:pStyle w:val="Heading2"/>
        <w:rPr>
          <w:rStyle w:val="Emphasis"/>
          <w:rFonts w:asciiTheme="minorHAnsi" w:hAnsiTheme="minorHAnsi"/>
          <w:b w:val="0"/>
          <w:i w:val="0"/>
          <w:lang w:val="hu-HU" w:eastAsia="hu-HU"/>
        </w:rPr>
      </w:pPr>
      <w:bookmarkStart w:id="1301" w:name="_Toc390952823"/>
      <w:bookmarkStart w:id="1302" w:name="_Toc461095257"/>
      <w:bookmarkStart w:id="1303" w:name="_Toc461179220"/>
      <w:bookmarkStart w:id="1304" w:name="_Toc461179913"/>
      <w:bookmarkStart w:id="1305" w:name="_Toc461197761"/>
      <w:bookmarkStart w:id="1306" w:name="_Toc461201357"/>
      <w:bookmarkStart w:id="1307" w:name="_Toc461548058"/>
      <w:bookmarkStart w:id="1308" w:name="_Toc462402098"/>
      <w:bookmarkStart w:id="1309" w:name="_Toc462403223"/>
      <w:bookmarkStart w:id="1310" w:name="_Toc462403547"/>
      <w:bookmarkStart w:id="1311" w:name="_Toc468180666"/>
      <w:bookmarkStart w:id="1312" w:name="_Toc468181223"/>
      <w:bookmarkStart w:id="1313" w:name="_Toc468191489"/>
      <w:bookmarkStart w:id="1314" w:name="_Toc27139008"/>
      <w:bookmarkEnd w:id="1287"/>
      <w:r w:rsidRPr="006A6890">
        <w:rPr>
          <w:rStyle w:val="Emphasis"/>
          <w:rFonts w:asciiTheme="minorHAnsi" w:hAnsiTheme="minorHAnsi"/>
          <w:i w:val="0"/>
          <w:iCs/>
        </w:rPr>
        <w:t>A likviditási és finanszírozási kockázat belső, intézmény általi értékelése</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proofErr w:type="spellStart"/>
      <w:r w:rsidRPr="006A6890">
        <w:rPr>
          <w:rFonts w:asciiTheme="minorHAnsi" w:hAnsiTheme="minorHAnsi"/>
        </w:rPr>
        <w:t>megújíthatósága</w:t>
      </w:r>
      <w:proofErr w:type="spellEnd"/>
      <w:r w:rsidRPr="006A6890">
        <w:rPr>
          <w:rFonts w:asciiTheme="minorHAnsi" w:hAnsiTheme="minorHAnsi"/>
        </w:rPr>
        <w:t>,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w:t>
      </w:r>
      <w:proofErr w:type="spellStart"/>
      <w:r w:rsidR="00886E23" w:rsidRPr="006A6890">
        <w:rPr>
          <w:rFonts w:asciiTheme="minorHAnsi" w:hAnsiTheme="minorHAnsi"/>
        </w:rPr>
        <w:t>stb</w:t>
      </w:r>
      <w:proofErr w:type="spellEnd"/>
      <w:r w:rsidR="00886E23" w:rsidRPr="006A6890">
        <w:rPr>
          <w:rFonts w:asciiTheme="minorHAnsi" w:hAnsiTheme="minorHAnsi"/>
        </w:rPr>
        <w:t xml:space="preserve">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w:t>
      </w:r>
      <w:proofErr w:type="spellStart"/>
      <w:r w:rsidRPr="006A6890">
        <w:rPr>
          <w:rFonts w:asciiTheme="minorHAnsi" w:hAnsiTheme="minorHAnsi"/>
        </w:rPr>
        <w:t>fedezetül</w:t>
      </w:r>
      <w:proofErr w:type="spellEnd"/>
      <w:r w:rsidRPr="006A6890">
        <w:rPr>
          <w:rFonts w:asciiTheme="minorHAnsi" w:hAnsiTheme="minorHAnsi"/>
        </w:rPr>
        <w:t xml:space="preserve">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w:t>
      </w:r>
      <w:proofErr w:type="spellStart"/>
      <w:r w:rsidRPr="006A6890">
        <w:rPr>
          <w:rFonts w:asciiTheme="minorHAnsi" w:hAnsiTheme="minorHAnsi"/>
        </w:rPr>
        <w:t>ALCO</w:t>
      </w:r>
      <w:proofErr w:type="spellEnd"/>
      <w:r w:rsidRPr="006A6890">
        <w:rPr>
          <w:rFonts w:asciiTheme="minorHAnsi" w:hAnsiTheme="minorHAnsi"/>
        </w:rPr>
        <w:t>)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w:t>
      </w:r>
      <w:proofErr w:type="spellStart"/>
      <w:r w:rsidRPr="006A6890">
        <w:rPr>
          <w:rFonts w:asciiTheme="minorHAnsi" w:hAnsiTheme="minorHAnsi"/>
        </w:rPr>
        <w:t>ALCO</w:t>
      </w:r>
      <w:proofErr w:type="spellEnd"/>
      <w:r w:rsidRPr="006A6890">
        <w:rPr>
          <w:rFonts w:asciiTheme="minorHAnsi" w:hAnsiTheme="minorHAnsi"/>
        </w:rPr>
        <w:t>)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megbízható rendszerrel, mutatókkal, kulcsmutatókkal (</w:t>
      </w:r>
      <w:proofErr w:type="spellStart"/>
      <w:r w:rsidRPr="006A6890">
        <w:rPr>
          <w:rFonts w:asciiTheme="minorHAnsi" w:hAnsiTheme="minorHAnsi"/>
        </w:rPr>
        <w:t>KRI</w:t>
      </w:r>
      <w:proofErr w:type="spellEnd"/>
      <w:r w:rsidRPr="006A6890">
        <w:rPr>
          <w:rFonts w:asciiTheme="minorHAnsi" w:hAnsiTheme="minorHAnsi"/>
        </w:rPr>
        <w:t xml:space="preserve">)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w:t>
      </w:r>
      <w:proofErr w:type="spellStart"/>
      <w:r w:rsidRPr="006A6890">
        <w:rPr>
          <w:rFonts w:asciiTheme="minorHAnsi" w:hAnsiTheme="minorHAnsi"/>
        </w:rPr>
        <w:t>EWI</w:t>
      </w:r>
      <w:proofErr w:type="spellEnd"/>
      <w:r w:rsidRPr="006A6890">
        <w:rPr>
          <w:rFonts w:asciiTheme="minorHAnsi" w:hAnsiTheme="minorHAnsi"/>
        </w:rPr>
        <w:t>),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folyamatosan felügyelnie és ellenőriznie kell a likviditási kockázati kitettségeit és finanszírozási igényeit, figyelembe véve a likvid eszközök helyét és azok </w:t>
      </w:r>
      <w:proofErr w:type="spellStart"/>
      <w:r w:rsidRPr="006A6890">
        <w:rPr>
          <w:rFonts w:asciiTheme="minorHAnsi" w:hAnsiTheme="minorHAnsi"/>
        </w:rPr>
        <w:t>áthelyezhetőségére</w:t>
      </w:r>
      <w:proofErr w:type="spellEnd"/>
      <w:r w:rsidRPr="006A6890">
        <w:rPr>
          <w:rFonts w:asciiTheme="minorHAnsi" w:hAnsiTheme="minorHAnsi"/>
        </w:rPr>
        <w:t xml:space="preserv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devizaszámlákat is vezető intézmények esetén elvárható, hogy a likviditáskezelés és -tervezés </w:t>
      </w:r>
      <w:proofErr w:type="spellStart"/>
      <w:r w:rsidRPr="006A6890">
        <w:rPr>
          <w:rFonts w:asciiTheme="minorHAnsi" w:hAnsiTheme="minorHAnsi"/>
        </w:rPr>
        <w:t>devizanemenként</w:t>
      </w:r>
      <w:proofErr w:type="spellEnd"/>
      <w:r w:rsidRPr="006A6890">
        <w:rPr>
          <w:rFonts w:asciiTheme="minorHAnsi" w:hAnsiTheme="minorHAnsi"/>
        </w:rPr>
        <w:t xml:space="preserve"> is megtörténjen. A kockázatkezelési keretrendszer mérje fel és vegye figyelembe a mérlegen kívüli fedezeti ügyletek likviditást érintő hatásait, különös tekintettel a forint árfolyamának gyengülésére, illetőleg a </w:t>
      </w:r>
      <w:proofErr w:type="spellStart"/>
      <w:r w:rsidRPr="006A6890">
        <w:rPr>
          <w:rFonts w:asciiTheme="minorHAnsi" w:hAnsiTheme="minorHAnsi"/>
        </w:rPr>
        <w:t>swap</w:t>
      </w:r>
      <w:proofErr w:type="spellEnd"/>
      <w:r w:rsidRPr="006A6890">
        <w:rPr>
          <w:rFonts w:asciiTheme="minorHAnsi" w:hAnsiTheme="minorHAnsi"/>
        </w:rPr>
        <w:t xml:space="preserve">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w:t>
      </w:r>
      <w:proofErr w:type="spellStart"/>
      <w:r w:rsidRPr="006A6890">
        <w:rPr>
          <w:rFonts w:asciiTheme="minorHAnsi" w:hAnsiTheme="minorHAnsi"/>
        </w:rPr>
        <w:t>intraday</w:t>
      </w:r>
      <w:proofErr w:type="spellEnd"/>
      <w:r w:rsidRPr="006A6890">
        <w:rPr>
          <w:rFonts w:asciiTheme="minorHAnsi" w:hAnsiTheme="minorHAnsi"/>
        </w:rPr>
        <w:t>)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 xml:space="preserve">Az intézménynek fel kell mérnie az Azonnali Fizetési Rendszer </w:t>
      </w:r>
      <w:proofErr w:type="spellStart"/>
      <w:r w:rsidRPr="006A6890">
        <w:rPr>
          <w:rFonts w:asciiTheme="minorHAnsi" w:hAnsiTheme="minorHAnsi"/>
          <w:lang w:val="hu-HU"/>
        </w:rPr>
        <w:t>VIBER</w:t>
      </w:r>
      <w:proofErr w:type="spellEnd"/>
      <w:r w:rsidRPr="006A6890">
        <w:rPr>
          <w:rFonts w:asciiTheme="minorHAnsi" w:hAnsiTheme="minorHAnsi"/>
          <w:lang w:val="hu-HU"/>
        </w:rPr>
        <w:t xml:space="preserve">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w:t>
      </w:r>
      <w:proofErr w:type="spellStart"/>
      <w:r w:rsidRPr="006A6890">
        <w:rPr>
          <w:rFonts w:asciiTheme="minorHAnsi" w:hAnsiTheme="minorHAnsi"/>
        </w:rPr>
        <w:t>time-to-wall</w:t>
      </w:r>
      <w:proofErr w:type="spellEnd"/>
      <w:r w:rsidRPr="006A6890">
        <w:rPr>
          <w:rFonts w:asciiTheme="minorHAnsi" w:hAnsiTheme="minorHAnsi"/>
        </w:rPr>
        <w:t>). A stressz-tesztek eredményeit figyelembe kell venni a likviditáskezelési folyamatokban, a kockázatkezelési stratégiában és politikában, a készenléti tervben</w:t>
      </w:r>
      <w:r w:rsidR="00BE6A34" w:rsidRPr="006A6890">
        <w:rPr>
          <w:rStyle w:val="FootnoteReference"/>
          <w:rFonts w:asciiTheme="minorHAnsi" w:hAnsiTheme="minorHAnsi"/>
        </w:rPr>
        <w:footnoteReference w:id="101"/>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w:t>
      </w:r>
      <w:proofErr w:type="spellStart"/>
      <w:r w:rsidRPr="006A6890">
        <w:rPr>
          <w:rFonts w:asciiTheme="minorHAnsi" w:hAnsiTheme="minorHAnsi"/>
        </w:rPr>
        <w:t>contingency</w:t>
      </w:r>
      <w:proofErr w:type="spellEnd"/>
      <w:r w:rsidRPr="006A6890">
        <w:rPr>
          <w:rFonts w:asciiTheme="minorHAnsi" w:hAnsiTheme="minorHAnsi"/>
        </w:rPr>
        <w:t xml:space="preserve"> </w:t>
      </w:r>
      <w:proofErr w:type="spellStart"/>
      <w:r w:rsidRPr="006A6890">
        <w:rPr>
          <w:rFonts w:asciiTheme="minorHAnsi" w:hAnsiTheme="minorHAnsi"/>
        </w:rPr>
        <w:t>plan</w:t>
      </w:r>
      <w:proofErr w:type="spellEnd"/>
      <w:r w:rsidRPr="006A6890">
        <w:rPr>
          <w:rFonts w:asciiTheme="minorHAnsi" w:hAnsiTheme="minorHAnsi"/>
        </w:rPr>
        <w:t xml:space="preserve">) kell rendelkeznie, melyben meghatározza azokat a lépéseket, melyeket egy váratlan sürgősségi szituációban a likviditás fenntartása érdekében kell végrehajtania. A készenléti terv aktualitását évente tesztelni szükséges, felelősök, feladatkörök, </w:t>
      </w:r>
      <w:proofErr w:type="spellStart"/>
      <w:r w:rsidRPr="006A6890">
        <w:rPr>
          <w:rFonts w:asciiTheme="minorHAnsi" w:hAnsiTheme="minorHAnsi"/>
        </w:rPr>
        <w:t>riportolás</w:t>
      </w:r>
      <w:proofErr w:type="spellEnd"/>
      <w:r w:rsidRPr="006A6890">
        <w:rPr>
          <w:rFonts w:asciiTheme="minorHAnsi" w:hAnsiTheme="minorHAnsi"/>
        </w:rPr>
        <w:t xml:space="preserve">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 xml:space="preserve">Az intézménynek megfelelő informatikai rendszert és adatbázist kell kiépítenie és fenntartania, mely képes támogatni a többi folyamatot (kockázatfeltárás, kockázatkezelés, </w:t>
      </w:r>
      <w:proofErr w:type="spellStart"/>
      <w:r w:rsidRPr="006A6890">
        <w:rPr>
          <w:rFonts w:asciiTheme="minorHAnsi" w:hAnsiTheme="minorHAnsi"/>
          <w:lang w:val="hu-HU"/>
        </w:rPr>
        <w:t>riportálás</w:t>
      </w:r>
      <w:proofErr w:type="spellEnd"/>
      <w:r w:rsidRPr="006A6890">
        <w:rPr>
          <w:rFonts w:asciiTheme="minorHAnsi" w:hAnsiTheme="minorHAnsi"/>
          <w:lang w:val="hu-HU"/>
        </w:rPr>
        <w:t xml:space="preserve">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w:t>
      </w:r>
      <w:proofErr w:type="spellStart"/>
      <w:r w:rsidRPr="006A6890">
        <w:rPr>
          <w:rFonts w:asciiTheme="minorHAnsi" w:hAnsiTheme="minorHAnsi"/>
          <w:lang w:val="hu-HU"/>
        </w:rPr>
        <w:t>LCR</w:t>
      </w:r>
      <w:proofErr w:type="spellEnd"/>
      <w:r w:rsidRPr="006A6890">
        <w:rPr>
          <w:rFonts w:asciiTheme="minorHAnsi" w:hAnsiTheme="minorHAnsi"/>
          <w:lang w:val="hu-HU"/>
        </w:rPr>
        <w:t xml:space="preserve">-ben), 2) jogszabály által sávosan meghatározott faktorok (pl. magasabb kiáramlási arányú betétek az </w:t>
      </w:r>
      <w:proofErr w:type="spellStart"/>
      <w:r w:rsidRPr="006A6890">
        <w:rPr>
          <w:rFonts w:asciiTheme="minorHAnsi" w:hAnsiTheme="minorHAnsi"/>
          <w:lang w:val="hu-HU"/>
        </w:rPr>
        <w:t>LCR</w:t>
      </w:r>
      <w:proofErr w:type="spellEnd"/>
      <w:r w:rsidRPr="006A6890">
        <w:rPr>
          <w:rFonts w:asciiTheme="minorHAnsi" w:hAnsiTheme="minorHAnsi"/>
          <w:lang w:val="hu-HU"/>
        </w:rPr>
        <w:t>-ben)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w:t>
      </w:r>
      <w:proofErr w:type="spellStart"/>
      <w:r w:rsidRPr="006A6890">
        <w:rPr>
          <w:rFonts w:asciiTheme="minorHAnsi" w:hAnsiTheme="minorHAnsi"/>
          <w:lang w:val="hu-HU"/>
        </w:rPr>
        <w:t>pl</w:t>
      </w:r>
      <w:proofErr w:type="spellEnd"/>
      <w:r w:rsidRPr="006A6890">
        <w:rPr>
          <w:rFonts w:asciiTheme="minorHAnsi" w:hAnsiTheme="minorHAnsi"/>
          <w:lang w:val="hu-HU"/>
        </w:rPr>
        <w:t xml:space="preserve"> stressz 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Ahol alkalmazható, ott nem a fix időablakos hanem a maximális kiáramlást kell figyelembe venni, pl. nem a 30 </w:t>
      </w:r>
      <w:proofErr w:type="spellStart"/>
      <w:r w:rsidRPr="006A6890">
        <w:rPr>
          <w:rFonts w:asciiTheme="minorHAnsi" w:hAnsiTheme="minorHAnsi"/>
          <w:lang w:val="hu-HU"/>
        </w:rPr>
        <w:t>naposat</w:t>
      </w:r>
      <w:proofErr w:type="spellEnd"/>
      <w:r w:rsidRPr="006A6890">
        <w:rPr>
          <w:rFonts w:asciiTheme="minorHAnsi" w:hAnsiTheme="minorHAnsi"/>
          <w:lang w:val="hu-HU"/>
        </w:rPr>
        <w:t xml:space="preserve">, hanem a 30 napon belüli </w:t>
      </w:r>
      <w:proofErr w:type="spellStart"/>
      <w:r w:rsidRPr="006A6890">
        <w:rPr>
          <w:rFonts w:asciiTheme="minorHAnsi" w:hAnsiTheme="minorHAnsi"/>
          <w:lang w:val="hu-HU"/>
        </w:rPr>
        <w:t>maximálisat</w:t>
      </w:r>
      <w:proofErr w:type="spellEnd"/>
      <w:r w:rsidRPr="006A6890">
        <w:rPr>
          <w:rFonts w:asciiTheme="minorHAnsi" w:hAnsiTheme="minorHAnsi"/>
          <w:lang w:val="hu-HU"/>
        </w:rPr>
        <w:t xml:space="preserve">. Továbbá ahol alkalmazható a vizsgált időszakok kezdő időpontját is változónak kell tekinteni (pl. a hó eleji munkabérátutalások miatt a lakossági betétek maximális kiáramlásának </w:t>
      </w:r>
      <w:proofErr w:type="spellStart"/>
      <w:r w:rsidRPr="006A6890">
        <w:rPr>
          <w:rFonts w:asciiTheme="minorHAnsi" w:hAnsiTheme="minorHAnsi"/>
          <w:lang w:val="hu-HU"/>
        </w:rPr>
        <w:t>alulbecsléséhez</w:t>
      </w:r>
      <w:proofErr w:type="spellEnd"/>
      <w:r w:rsidRPr="006A6890">
        <w:rPr>
          <w:rFonts w:asciiTheme="minorHAnsi" w:hAnsiTheme="minorHAnsi"/>
          <w:lang w:val="hu-HU"/>
        </w:rPr>
        <w:t xml:space="preserve">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proofErr w:type="spellStart"/>
      <w:r w:rsidRPr="006A6890">
        <w:rPr>
          <w:rFonts w:asciiTheme="minorHAnsi" w:hAnsiTheme="minorHAnsi"/>
          <w:lang w:val="hu-HU"/>
        </w:rPr>
        <w:t>LCR</w:t>
      </w:r>
      <w:proofErr w:type="spellEnd"/>
      <w:r w:rsidRPr="006A6890">
        <w:rPr>
          <w:rFonts w:asciiTheme="minorHAnsi" w:hAnsiTheme="minorHAnsi"/>
          <w:lang w:val="hu-HU"/>
        </w:rPr>
        <w:t xml:space="preserve">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 xml:space="preserve">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w:t>
      </w:r>
      <w:proofErr w:type="spellStart"/>
      <w:r w:rsidRPr="006A6890">
        <w:rPr>
          <w:rFonts w:asciiTheme="minorHAnsi" w:hAnsiTheme="minorHAnsi"/>
        </w:rPr>
        <w:t>monitoringja</w:t>
      </w:r>
      <w:proofErr w:type="spellEnd"/>
      <w:r w:rsidRPr="006A6890">
        <w:rPr>
          <w:rFonts w:asciiTheme="minorHAnsi" w:hAnsiTheme="minorHAnsi"/>
        </w:rPr>
        <w:t>.</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8F2D8B">
      <w:pPr>
        <w:pStyle w:val="Heading2"/>
        <w:rPr>
          <w:rStyle w:val="Emphasis"/>
          <w:rFonts w:asciiTheme="minorHAnsi" w:hAnsiTheme="minorHAnsi"/>
          <w:b w:val="0"/>
          <w:i w:val="0"/>
          <w:lang w:val="hu-HU" w:eastAsia="hu-HU"/>
        </w:rPr>
      </w:pPr>
      <w:bookmarkStart w:id="1315" w:name="_Toc461095258"/>
      <w:bookmarkStart w:id="1316" w:name="_Toc461179221"/>
      <w:bookmarkStart w:id="1317" w:name="_Toc461179914"/>
      <w:bookmarkStart w:id="1318" w:name="_Toc461197762"/>
      <w:bookmarkStart w:id="1319" w:name="_Toc461201358"/>
      <w:bookmarkStart w:id="1320" w:name="_Toc461548059"/>
      <w:bookmarkStart w:id="1321" w:name="_Toc462402099"/>
      <w:bookmarkStart w:id="1322" w:name="_Toc462403224"/>
      <w:bookmarkStart w:id="1323" w:name="_Toc462403548"/>
      <w:bookmarkStart w:id="1324" w:name="_Toc468180667"/>
      <w:bookmarkStart w:id="1325" w:name="_Toc468181224"/>
      <w:bookmarkStart w:id="1326" w:name="_Toc468191490"/>
      <w:bookmarkStart w:id="1327" w:name="_Toc27139009"/>
      <w:bookmarkStart w:id="1328" w:name="_Toc390952824"/>
      <w:r w:rsidRPr="006A6890">
        <w:rPr>
          <w:rStyle w:val="Emphasis"/>
          <w:rFonts w:asciiTheme="minorHAnsi" w:hAnsiTheme="minorHAnsi"/>
          <w:i w:val="0"/>
          <w:iCs/>
        </w:rPr>
        <w:t xml:space="preserve">A likviditás megfelelőségének </w:t>
      </w:r>
      <w:r w:rsidRPr="006A6890">
        <w:rPr>
          <w:rFonts w:asciiTheme="minorHAnsi" w:hAnsiTheme="minorHAnsi"/>
        </w:rPr>
        <w:t>felügyeleti felülvizsgálati folyamata</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r w:rsidRPr="006A6890">
        <w:rPr>
          <w:rStyle w:val="Emphasis"/>
          <w:rFonts w:asciiTheme="minorHAnsi" w:hAnsiTheme="minorHAnsi"/>
          <w:i w:val="0"/>
          <w:iCs/>
        </w:rPr>
        <w:t xml:space="preserve"> </w:t>
      </w:r>
      <w:bookmarkEnd w:id="1328"/>
    </w:p>
    <w:p w14:paraId="66B156DD" w14:textId="77777777" w:rsidR="003F29E3" w:rsidRPr="006A6890" w:rsidRDefault="003F29E3" w:rsidP="00181755">
      <w:pPr>
        <w:pStyle w:val="Heading3"/>
        <w:rPr>
          <w:rFonts w:asciiTheme="minorHAnsi" w:hAnsiTheme="minorHAnsi"/>
        </w:rPr>
      </w:pPr>
      <w:bookmarkStart w:id="1329" w:name="_Toc461095259"/>
      <w:bookmarkStart w:id="1330" w:name="_Toc461179915"/>
      <w:bookmarkStart w:id="1331" w:name="_Toc461201359"/>
      <w:bookmarkStart w:id="1332" w:name="_Toc461548060"/>
      <w:bookmarkStart w:id="1333" w:name="_Toc462402100"/>
      <w:bookmarkStart w:id="1334" w:name="_Toc462403225"/>
      <w:bookmarkStart w:id="1335" w:name="_Toc462403549"/>
      <w:bookmarkStart w:id="1336" w:name="_Toc468180668"/>
      <w:bookmarkStart w:id="1337" w:name="_Toc468181225"/>
      <w:bookmarkStart w:id="1338" w:name="_Toc468191491"/>
      <w:bookmarkStart w:id="1339" w:name="_Toc27139010"/>
      <w:r w:rsidRPr="006A6890">
        <w:rPr>
          <w:rFonts w:asciiTheme="minorHAnsi" w:hAnsiTheme="minorHAnsi"/>
        </w:rPr>
        <w:t>A likviditási és finanszírozási kockázatok átfogó értékelése</w:t>
      </w:r>
      <w:bookmarkEnd w:id="1329"/>
      <w:bookmarkEnd w:id="1330"/>
      <w:bookmarkEnd w:id="1331"/>
      <w:bookmarkEnd w:id="1332"/>
      <w:bookmarkEnd w:id="1333"/>
      <w:bookmarkEnd w:id="1334"/>
      <w:bookmarkEnd w:id="1335"/>
      <w:bookmarkEnd w:id="1336"/>
      <w:bookmarkEnd w:id="1337"/>
      <w:bookmarkEnd w:id="1338"/>
      <w:bookmarkEnd w:id="1339"/>
    </w:p>
    <w:p w14:paraId="66B156DE" w14:textId="17298193" w:rsidR="003F29E3" w:rsidRPr="006A6890" w:rsidRDefault="003F29E3" w:rsidP="00D22CF9">
      <w:pPr>
        <w:rPr>
          <w:rFonts w:asciiTheme="minorHAnsi" w:hAnsiTheme="minorHAnsi"/>
        </w:rPr>
      </w:pPr>
      <w:r w:rsidRPr="006A6890">
        <w:rPr>
          <w:rFonts w:asciiTheme="minorHAnsi" w:hAnsiTheme="minorHAnsi"/>
        </w:rPr>
        <w:t>A válság kibontakozását követően jelentős figyelem összpontosult a hitelintézetek napon belüli, rövid és középtávú likviditásának és az éven túli finanszírozhatóságuk fenntarthatóságának kérdéskörére. A fokozatosan hatályba lépő Basel III-</w:t>
      </w:r>
      <w:proofErr w:type="spellStart"/>
      <w:r w:rsidRPr="006A6890">
        <w:rPr>
          <w:rFonts w:asciiTheme="minorHAnsi" w:hAnsiTheme="minorHAnsi"/>
        </w:rPr>
        <w:t>as</w:t>
      </w:r>
      <w:proofErr w:type="spellEnd"/>
      <w:r w:rsidRPr="006A6890">
        <w:rPr>
          <w:rFonts w:asciiTheme="minorHAnsi" w:hAnsiTheme="minorHAnsi"/>
        </w:rPr>
        <w:t xml:space="preserve"> szabályozói keretrendszer, majd a </w:t>
      </w:r>
      <w:proofErr w:type="spellStart"/>
      <w:r w:rsidRPr="006A6890">
        <w:rPr>
          <w:rFonts w:asciiTheme="minorHAnsi" w:hAnsiTheme="minorHAnsi"/>
        </w:rPr>
        <w:t>CRD</w:t>
      </w:r>
      <w:proofErr w:type="spellEnd"/>
      <w:r w:rsidRPr="006A6890">
        <w:rPr>
          <w:rFonts w:asciiTheme="minorHAnsi" w:hAnsiTheme="minorHAnsi"/>
        </w:rPr>
        <w:t xml:space="preserve"> IV, és különösen a CRR, </w:t>
      </w:r>
      <w:r w:rsidR="00B619F7" w:rsidRPr="006A6890">
        <w:rPr>
          <w:rFonts w:asciiTheme="minorHAnsi" w:hAnsiTheme="minorHAnsi"/>
        </w:rPr>
        <w:t>valamint annak kiegészítései</w:t>
      </w:r>
      <w:r w:rsidRPr="006A6890">
        <w:rPr>
          <w:rFonts w:asciiTheme="minorHAnsi" w:hAnsiTheme="minorHAnsi"/>
        </w:rPr>
        <w:t xml:space="preserve">, továbbá az </w:t>
      </w:r>
      <w:proofErr w:type="spellStart"/>
      <w:r w:rsidRPr="006A6890">
        <w:rPr>
          <w:rFonts w:asciiTheme="minorHAnsi" w:hAnsiTheme="minorHAnsi"/>
        </w:rPr>
        <w:t>EBA</w:t>
      </w:r>
      <w:proofErr w:type="spellEnd"/>
      <w:r w:rsidRPr="006A6890">
        <w:rPr>
          <w:rFonts w:asciiTheme="minorHAnsi" w:hAnsiTheme="minorHAnsi"/>
        </w:rPr>
        <w:t xml:space="preserve">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 xml:space="preserve">A likviditási kockázatok </w:t>
      </w:r>
      <w:proofErr w:type="spellStart"/>
      <w:r w:rsidRPr="006A6890">
        <w:rPr>
          <w:rFonts w:asciiTheme="minorHAnsi" w:hAnsiTheme="minorHAnsi"/>
        </w:rPr>
        <w:t>monitoringja</w:t>
      </w:r>
      <w:proofErr w:type="spellEnd"/>
      <w:r w:rsidRPr="006A6890">
        <w:rPr>
          <w:rFonts w:asciiTheme="minorHAnsi" w:hAnsiTheme="minorHAnsi"/>
        </w:rPr>
        <w:t xml:space="preserve"> a felügyeleti hatóságok szemszögéből kiemelten fontos szerepet játszik a pénzügyi stabilitási kockázatok </w:t>
      </w:r>
      <w:proofErr w:type="spellStart"/>
      <w:r w:rsidRPr="006A6890">
        <w:rPr>
          <w:rFonts w:asciiTheme="minorHAnsi" w:hAnsiTheme="minorHAnsi"/>
        </w:rPr>
        <w:t>mikro</w:t>
      </w:r>
      <w:proofErr w:type="spellEnd"/>
      <w:r w:rsidRPr="006A6890">
        <w:rPr>
          <w:rFonts w:asciiTheme="minorHAnsi" w:hAnsiTheme="minorHAnsi"/>
        </w:rPr>
        <w:t xml:space="preserve">- és </w:t>
      </w:r>
      <w:proofErr w:type="spellStart"/>
      <w:r w:rsidRPr="006A6890">
        <w:rPr>
          <w:rFonts w:asciiTheme="minorHAnsi" w:hAnsiTheme="minorHAnsi"/>
        </w:rPr>
        <w:t>makroprudenciális</w:t>
      </w:r>
      <w:proofErr w:type="spellEnd"/>
      <w:r w:rsidRPr="006A6890">
        <w:rPr>
          <w:rFonts w:asciiTheme="minorHAnsi" w:hAnsiTheme="minorHAnsi"/>
        </w:rPr>
        <w:t xml:space="preserve">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w:t>
      </w:r>
      <w:proofErr w:type="spellStart"/>
      <w:r w:rsidR="003815F7" w:rsidRPr="006A6890">
        <w:rPr>
          <w:rFonts w:asciiTheme="minorHAnsi" w:hAnsiTheme="minorHAnsi"/>
        </w:rPr>
        <w:t>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w:t>
      </w:r>
      <w:proofErr w:type="spellEnd"/>
      <w:r w:rsidR="003815F7" w:rsidRPr="006A6890">
        <w:rPr>
          <w:rFonts w:asciiTheme="minorHAnsi" w:hAnsiTheme="minorHAnsi"/>
        </w:rPr>
        <w:t xml:space="preserve">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w:t>
      </w:r>
      <w:proofErr w:type="spellStart"/>
      <w:r w:rsidRPr="006A6890">
        <w:rPr>
          <w:rFonts w:asciiTheme="minorHAnsi" w:hAnsiTheme="minorHAnsi"/>
        </w:rPr>
        <w:t>as</w:t>
      </w:r>
      <w:proofErr w:type="spellEnd"/>
      <w:r w:rsidRPr="006A6890">
        <w:rPr>
          <w:rFonts w:asciiTheme="minorHAnsi" w:hAnsiTheme="minorHAnsi"/>
        </w:rPr>
        <w:t xml:space="preserve">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 xml:space="preserve">és hogy az intézmény milyen mértékben mérte fel a likviditás szempontjából releváns kockázati </w:t>
      </w:r>
      <w:proofErr w:type="spellStart"/>
      <w:r w:rsidRPr="006A6890">
        <w:rPr>
          <w:rFonts w:asciiTheme="minorHAnsi" w:hAnsiTheme="minorHAnsi"/>
        </w:rPr>
        <w:t>faktorait</w:t>
      </w:r>
      <w:proofErr w:type="spellEnd"/>
      <w:r w:rsidRPr="006A6890">
        <w:rPr>
          <w:rFonts w:asciiTheme="minorHAnsi" w:hAnsiTheme="minorHAnsi"/>
        </w:rPr>
        <w: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 xml:space="preserve">felméri az intézmény rövid- és középtávú likviditási kockázatát. Ennek keretében áttekinti az intézmény lejárati likviditási mérlegét, ezen belül a </w:t>
      </w:r>
      <w:proofErr w:type="spellStart"/>
      <w:r w:rsidRPr="006A6890">
        <w:rPr>
          <w:rFonts w:asciiTheme="minorHAnsi" w:hAnsiTheme="minorHAnsi"/>
        </w:rPr>
        <w:t>devizánkénti</w:t>
      </w:r>
      <w:proofErr w:type="spellEnd"/>
      <w:r w:rsidRPr="006A6890">
        <w:rPr>
          <w:rFonts w:asciiTheme="minorHAnsi" w:hAnsiTheme="minorHAnsi"/>
        </w:rPr>
        <w:t xml:space="preserve"> szerződéses lejárati réseket, és a koncentrációjukat, a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likviditási mérleget, és a </w:t>
      </w:r>
      <w:proofErr w:type="spellStart"/>
      <w:r w:rsidRPr="006A6890">
        <w:rPr>
          <w:rFonts w:asciiTheme="minorHAnsi" w:hAnsiTheme="minorHAnsi"/>
        </w:rPr>
        <w:t>gap-eket</w:t>
      </w:r>
      <w:proofErr w:type="spellEnd"/>
      <w:r w:rsidRPr="006A6890">
        <w:rPr>
          <w:rFonts w:asciiTheme="minorHAnsi" w:hAnsiTheme="minorHAnsi"/>
        </w:rPr>
        <w: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w:t>
      </w:r>
      <w:proofErr w:type="spellStart"/>
      <w:r w:rsidRPr="006A6890">
        <w:rPr>
          <w:rFonts w:asciiTheme="minorHAnsi" w:hAnsiTheme="minorHAnsi"/>
        </w:rPr>
        <w:t>time</w:t>
      </w:r>
      <w:proofErr w:type="spellEnd"/>
      <w:r w:rsidRPr="006A6890">
        <w:rPr>
          <w:rFonts w:asciiTheme="minorHAnsi" w:hAnsiTheme="minorHAnsi"/>
        </w:rPr>
        <w:t xml:space="preserve"> </w:t>
      </w:r>
      <w:proofErr w:type="spellStart"/>
      <w:r w:rsidRPr="006A6890">
        <w:rPr>
          <w:rFonts w:asciiTheme="minorHAnsi" w:hAnsiTheme="minorHAnsi"/>
        </w:rPr>
        <w:t>to</w:t>
      </w:r>
      <w:proofErr w:type="spellEnd"/>
      <w:r w:rsidRPr="006A6890">
        <w:rPr>
          <w:rFonts w:asciiTheme="minorHAnsi" w:hAnsiTheme="minorHAnsi"/>
        </w:rPr>
        <w:t xml:space="preserve"> </w:t>
      </w:r>
      <w:proofErr w:type="spellStart"/>
      <w:r w:rsidRPr="006A6890">
        <w:rPr>
          <w:rFonts w:asciiTheme="minorHAnsi" w:hAnsiTheme="minorHAnsi"/>
        </w:rPr>
        <w:t>wall</w:t>
      </w:r>
      <w:proofErr w:type="spellEnd"/>
      <w:r w:rsidRPr="006A6890">
        <w:rPr>
          <w:rFonts w:asciiTheme="minorHAnsi" w:hAnsiTheme="minorHAnsi"/>
        </w:rPr>
        <w:t xml:space="preserve"> </w:t>
      </w:r>
      <w:proofErr w:type="spellStart"/>
      <w:r w:rsidRPr="006A6890">
        <w:rPr>
          <w:rFonts w:asciiTheme="minorHAnsi" w:hAnsiTheme="minorHAnsi"/>
        </w:rPr>
        <w:t>survival</w:t>
      </w:r>
      <w:proofErr w:type="spellEnd"/>
      <w:r w:rsidRPr="006A6890">
        <w:rPr>
          <w:rFonts w:asciiTheme="minorHAnsi" w:hAnsiTheme="minorHAnsi"/>
        </w:rPr>
        <w:t xml:space="preserve"> </w:t>
      </w:r>
      <w:proofErr w:type="spellStart"/>
      <w:r w:rsidRPr="006A6890">
        <w:rPr>
          <w:rFonts w:asciiTheme="minorHAnsi" w:hAnsiTheme="minorHAnsi"/>
        </w:rPr>
        <w:t>analyses</w:t>
      </w:r>
      <w:proofErr w:type="spellEnd"/>
      <w:r w:rsidRPr="006A6890">
        <w:rPr>
          <w:rFonts w:asciiTheme="minorHAnsi" w:hAnsiTheme="minorHAnsi"/>
        </w:rPr>
        <w:t>)</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FootnoteReference"/>
          <w:rFonts w:asciiTheme="minorHAnsi" w:hAnsiTheme="minorHAnsi"/>
        </w:rPr>
        <w:footnoteReference w:id="102"/>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w:t>
      </w:r>
      <w:proofErr w:type="spellStart"/>
      <w:r w:rsidRPr="006A6890">
        <w:rPr>
          <w:rFonts w:asciiTheme="minorHAnsi" w:hAnsiTheme="minorHAnsi"/>
        </w:rPr>
        <w:t>counterbalancing</w:t>
      </w:r>
      <w:proofErr w:type="spellEnd"/>
      <w:r w:rsidRPr="006A6890">
        <w:rPr>
          <w:rFonts w:asciiTheme="minorHAnsi" w:hAnsiTheme="minorHAnsi"/>
        </w:rPr>
        <w:t xml:space="preserve"> </w:t>
      </w:r>
      <w:proofErr w:type="spellStart"/>
      <w:r w:rsidRPr="006A6890">
        <w:rPr>
          <w:rFonts w:asciiTheme="minorHAnsi" w:hAnsiTheme="minorHAnsi"/>
        </w:rPr>
        <w:t>capacity</w:t>
      </w:r>
      <w:proofErr w:type="spellEnd"/>
      <w:r w:rsidRPr="006A6890">
        <w:rPr>
          <w:rFonts w:asciiTheme="minorHAnsi" w:hAnsiTheme="minorHAnsi"/>
        </w:rPr>
        <w:t xml:space="preserve">), ezen belül az átruházható eszközök, továbbá a rendkívül magas/ magas likviditású és hitelminőségű átruházható eszközök mennyiségét és minőségét, a kapcsolódó piaci likviditási kockázatot; az intézmény </w:t>
      </w:r>
      <w:proofErr w:type="spellStart"/>
      <w:r w:rsidRPr="006A6890">
        <w:rPr>
          <w:rFonts w:asciiTheme="minorHAnsi" w:hAnsiTheme="minorHAnsi"/>
        </w:rPr>
        <w:t>LCR</w:t>
      </w:r>
      <w:proofErr w:type="spellEnd"/>
      <w:r w:rsidRPr="006A6890">
        <w:rPr>
          <w:rFonts w:asciiTheme="minorHAnsi" w:hAnsiTheme="minorHAnsi"/>
        </w:rPr>
        <w:t xml:space="preserve">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értékeli az intézmény finanszírozhatóságának stabilitását, és fenntarthatóságát, a </w:t>
      </w:r>
      <w:proofErr w:type="spellStart"/>
      <w:r w:rsidRPr="006A6890">
        <w:rPr>
          <w:rFonts w:asciiTheme="minorHAnsi" w:hAnsiTheme="minorHAnsi"/>
        </w:rPr>
        <w:t>devizabeli</w:t>
      </w:r>
      <w:proofErr w:type="spellEnd"/>
      <w:r w:rsidRPr="006A6890">
        <w:rPr>
          <w:rFonts w:asciiTheme="minorHAnsi" w:hAnsiTheme="minorHAnsi"/>
        </w:rPr>
        <w:t xml:space="preserve"> lejárati transzformációt a </w:t>
      </w:r>
      <w:proofErr w:type="spellStart"/>
      <w:r w:rsidRPr="006A6890">
        <w:rPr>
          <w:rFonts w:asciiTheme="minorHAnsi" w:hAnsiTheme="minorHAnsi"/>
        </w:rPr>
        <w:t>DMM</w:t>
      </w:r>
      <w:proofErr w:type="spellEnd"/>
      <w:r w:rsidRPr="006A6890">
        <w:rPr>
          <w:rFonts w:asciiTheme="minorHAnsi" w:hAnsiTheme="minorHAnsi"/>
          <w:vertAlign w:val="superscript"/>
        </w:rPr>
        <w:footnoteReference w:id="103"/>
      </w:r>
      <w:r w:rsidRPr="006A6890">
        <w:rPr>
          <w:rFonts w:asciiTheme="minorHAnsi" w:hAnsiTheme="minorHAnsi"/>
        </w:rPr>
        <w:t xml:space="preserve">, és </w:t>
      </w:r>
      <w:proofErr w:type="spellStart"/>
      <w:r w:rsidRPr="006A6890">
        <w:rPr>
          <w:rFonts w:asciiTheme="minorHAnsi" w:hAnsiTheme="minorHAnsi"/>
        </w:rPr>
        <w:t>NSFR</w:t>
      </w:r>
      <w:proofErr w:type="spellEnd"/>
      <w:r w:rsidRPr="006A6890">
        <w:rPr>
          <w:rFonts w:asciiTheme="minorHAnsi" w:hAnsiTheme="minorHAnsi"/>
          <w:vertAlign w:val="superscript"/>
        </w:rPr>
        <w:footnoteReference w:id="104"/>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kiértékeli az intézmény üzleti modellje alapján a finanszírozási tervet a kapcsolódó strukturális </w:t>
      </w:r>
      <w:proofErr w:type="spellStart"/>
      <w:r w:rsidRPr="006A6890">
        <w:rPr>
          <w:rFonts w:asciiTheme="minorHAnsi" w:hAnsiTheme="minorHAnsi"/>
        </w:rPr>
        <w:t>gap-ekkel</w:t>
      </w:r>
      <w:proofErr w:type="spellEnd"/>
      <w:r w:rsidRPr="006A6890">
        <w:rPr>
          <w:rFonts w:asciiTheme="minorHAnsi" w:hAnsiTheme="minorHAnsi"/>
        </w:rPr>
        <w:t>.</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 xml:space="preserve">megítéli a napon belüli likviditási kockázat menedzselését, amely során áttekinti a </w:t>
      </w:r>
      <w:proofErr w:type="spellStart"/>
      <w:r w:rsidRPr="006A6890">
        <w:rPr>
          <w:rFonts w:asciiTheme="minorHAnsi" w:hAnsiTheme="minorHAnsi"/>
        </w:rPr>
        <w:t>devizánkénti</w:t>
      </w:r>
      <w:proofErr w:type="spellEnd"/>
      <w:r w:rsidRPr="006A6890">
        <w:rPr>
          <w:rFonts w:asciiTheme="minorHAnsi" w:hAnsiTheme="minorHAnsi"/>
        </w:rPr>
        <w:t xml:space="preserve"> napi likviditási pozíció menedzselését, az IG1</w:t>
      </w:r>
      <w:r w:rsidRPr="006A6890">
        <w:rPr>
          <w:rFonts w:asciiTheme="minorHAnsi" w:hAnsiTheme="minorHAnsi"/>
          <w:vertAlign w:val="superscript"/>
        </w:rPr>
        <w:footnoteReference w:id="105"/>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w:t>
      </w:r>
      <w:proofErr w:type="spellStart"/>
      <w:r w:rsidRPr="006A6890">
        <w:rPr>
          <w:rFonts w:asciiTheme="minorHAnsi" w:hAnsiTheme="minorHAnsi"/>
        </w:rPr>
        <w:t>pl</w:t>
      </w:r>
      <w:proofErr w:type="spellEnd"/>
      <w:r w:rsidRPr="006A6890">
        <w:rPr>
          <w:rFonts w:asciiTheme="minorHAnsi" w:hAnsiTheme="minorHAnsi"/>
        </w:rPr>
        <w:t xml:space="preserve">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FootnoteReference"/>
          <w:rFonts w:asciiTheme="minorHAnsi" w:hAnsiTheme="minorHAnsi"/>
        </w:rPr>
        <w:footnoteReference w:id="106"/>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w:t>
      </w:r>
      <w:proofErr w:type="spellStart"/>
      <w:r w:rsidRPr="006A6890">
        <w:rPr>
          <w:rFonts w:asciiTheme="minorHAnsi" w:hAnsiTheme="minorHAnsi"/>
        </w:rPr>
        <w:t>LCP</w:t>
      </w:r>
      <w:proofErr w:type="spellEnd"/>
      <w:r w:rsidRPr="006A6890">
        <w:rPr>
          <w:rFonts w:asciiTheme="minorHAnsi" w:hAnsiTheme="minorHAnsi"/>
        </w:rPr>
        <w:t>).</w:t>
      </w:r>
    </w:p>
    <w:p w14:paraId="2E2B6F3A" w14:textId="77777777" w:rsidR="00AE4021" w:rsidRPr="006A6890" w:rsidRDefault="00AE4021" w:rsidP="001E3A50">
      <w:pPr>
        <w:pStyle w:val="Heading3"/>
        <w:rPr>
          <w:rFonts w:asciiTheme="minorHAnsi" w:hAnsiTheme="minorHAnsi"/>
        </w:rPr>
      </w:pPr>
      <w:bookmarkStart w:id="1340" w:name="_Toc27139011"/>
      <w:bookmarkStart w:id="1341" w:name="_Toc461095260"/>
      <w:bookmarkStart w:id="1342" w:name="_Toc461179916"/>
      <w:bookmarkStart w:id="1343" w:name="_Toc461201360"/>
      <w:bookmarkStart w:id="1344" w:name="_Toc461548061"/>
      <w:bookmarkStart w:id="1345" w:name="_Toc462402101"/>
      <w:bookmarkStart w:id="1346" w:name="_Toc462403226"/>
      <w:bookmarkStart w:id="1347" w:name="_Toc462403550"/>
      <w:bookmarkStart w:id="1348" w:name="_Toc468180669"/>
      <w:bookmarkStart w:id="1349" w:name="_Toc468181226"/>
      <w:bookmarkStart w:id="1350" w:name="_Toc468191492"/>
      <w:r w:rsidRPr="006A6890">
        <w:rPr>
          <w:rFonts w:asciiTheme="minorHAnsi" w:hAnsiTheme="minorHAnsi"/>
        </w:rPr>
        <w:t>Kockázatkezelési hiányosságok miatti többlet-követelmények</w:t>
      </w:r>
      <w:bookmarkEnd w:id="1340"/>
    </w:p>
    <w:bookmarkEnd w:id="1341"/>
    <w:bookmarkEnd w:id="1342"/>
    <w:bookmarkEnd w:id="1343"/>
    <w:bookmarkEnd w:id="1344"/>
    <w:bookmarkEnd w:id="1345"/>
    <w:bookmarkEnd w:id="1346"/>
    <w:bookmarkEnd w:id="1347"/>
    <w:bookmarkEnd w:id="1348"/>
    <w:bookmarkEnd w:id="1349"/>
    <w:bookmarkEnd w:id="1350"/>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w:t>
      </w:r>
      <w:proofErr w:type="spellStart"/>
      <w:r w:rsidRPr="006A6890">
        <w:rPr>
          <w:rFonts w:asciiTheme="minorHAnsi" w:hAnsiTheme="minorHAnsi"/>
        </w:rPr>
        <w:t>MCO</w:t>
      </w:r>
      <w:proofErr w:type="spellEnd"/>
      <w:r w:rsidRPr="006A6890">
        <w:rPr>
          <w:rFonts w:asciiTheme="minorHAnsi" w:hAnsiTheme="minorHAnsi"/>
          <w:vertAlign w:val="superscript"/>
        </w:rPr>
        <w:footnoteReference w:id="107"/>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Heading3"/>
        <w:rPr>
          <w:rFonts w:asciiTheme="minorHAnsi" w:hAnsiTheme="minorHAnsi"/>
        </w:rPr>
      </w:pPr>
      <w:bookmarkStart w:id="1351" w:name="_Toc27139012"/>
      <w:r w:rsidRPr="006A6890">
        <w:rPr>
          <w:rFonts w:asciiTheme="minorHAnsi" w:hAnsiTheme="minorHAnsi"/>
          <w:lang w:val="hu-HU"/>
        </w:rPr>
        <w:t>Az I. pilléres követelmény számításának kiemelt részei</w:t>
      </w:r>
      <w:bookmarkEnd w:id="1351"/>
    </w:p>
    <w:p w14:paraId="48098513" w14:textId="1A8B4EBA" w:rsidR="004609BA" w:rsidRPr="006A6890" w:rsidRDefault="004609BA" w:rsidP="00D22CF9">
      <w:pPr>
        <w:rPr>
          <w:rFonts w:asciiTheme="minorHAnsi" w:hAnsiTheme="minorHAnsi"/>
        </w:rPr>
      </w:pPr>
      <w:r w:rsidRPr="006A6890">
        <w:rPr>
          <w:rFonts w:asciiTheme="minorHAnsi" w:hAnsiTheme="minorHAnsi"/>
        </w:rPr>
        <w:t xml:space="preserve">A felügyelet tapasztalatai alapján azonosított olyan kockázatkezelési, vagy adatszolgáltatási hiányosságokat, melyek több intézménynél is a kockázatok </w:t>
      </w:r>
      <w:proofErr w:type="spellStart"/>
      <w:r w:rsidRPr="006A6890">
        <w:rPr>
          <w:rFonts w:asciiTheme="minorHAnsi" w:hAnsiTheme="minorHAnsi"/>
        </w:rPr>
        <w:t>alulbecsléséhez</w:t>
      </w:r>
      <w:proofErr w:type="spellEnd"/>
      <w:r w:rsidRPr="006A6890">
        <w:rPr>
          <w:rFonts w:asciiTheme="minorHAnsi" w:hAnsiTheme="minorHAnsi"/>
        </w:rPr>
        <w:t xml:space="preserve"> vezettek. Ezek a témák a következő vizsgálatokban kiemeltnek számítanak. A felügyelet ezeknek a nyilvánosságra hozatalával (10. melléklet ’Az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Heading3"/>
        <w:rPr>
          <w:rFonts w:asciiTheme="minorHAnsi" w:hAnsiTheme="minorHAnsi"/>
        </w:rPr>
      </w:pPr>
      <w:bookmarkStart w:id="1352" w:name="_Toc27139013"/>
      <w:r w:rsidRPr="006A6890">
        <w:rPr>
          <w:rFonts w:asciiTheme="minorHAnsi" w:hAnsiTheme="minorHAnsi"/>
        </w:rPr>
        <w:t>Likviditási szempontból kockázatos portfóliók</w:t>
      </w:r>
      <w:bookmarkEnd w:id="1352"/>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w:t>
      </w:r>
      <w:proofErr w:type="spellStart"/>
      <w:r w:rsidR="00DB3ECE" w:rsidRPr="006A6890">
        <w:rPr>
          <w:rFonts w:asciiTheme="minorHAnsi" w:hAnsiTheme="minorHAnsi"/>
        </w:rPr>
        <w:t>kéziköny</w:t>
      </w:r>
      <w:proofErr w:type="spellEnd"/>
      <w:r w:rsidR="00DB3ECE" w:rsidRPr="006A6890">
        <w:rPr>
          <w:rFonts w:asciiTheme="minorHAnsi" w:hAnsiTheme="minorHAnsi"/>
        </w:rPr>
        <w:t xml:space="preserve">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Heading3"/>
        <w:rPr>
          <w:rFonts w:asciiTheme="minorHAnsi" w:hAnsiTheme="minorHAnsi"/>
        </w:rPr>
      </w:pPr>
      <w:bookmarkStart w:id="1353" w:name="_Toc27139014"/>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353"/>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w:t>
      </w:r>
      <w:proofErr w:type="spellStart"/>
      <w:r w:rsidR="00C538FC" w:rsidRPr="006A6890">
        <w:rPr>
          <w:rFonts w:asciiTheme="minorHAnsi" w:hAnsiTheme="minorHAnsi"/>
        </w:rPr>
        <w:t>tartalékait</w:t>
      </w:r>
      <w:proofErr w:type="spellEnd"/>
      <w:r w:rsidR="00C538FC" w:rsidRPr="006A6890">
        <w:rPr>
          <w:rFonts w:asciiTheme="minorHAnsi" w:hAnsiTheme="minorHAnsi"/>
        </w:rPr>
        <w: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Paragraph"/>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FootnoteReference"/>
          <w:rFonts w:asciiTheme="minorHAnsi" w:hAnsiTheme="minorHAnsi"/>
          <w:sz w:val="22"/>
          <w:szCs w:val="22"/>
        </w:rPr>
        <w:footnoteReference w:id="108"/>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 xml:space="preserve">A felügyelet a többlet-elvárások teljesítését elsősorban az </w:t>
      </w:r>
      <w:proofErr w:type="spellStart"/>
      <w:r w:rsidRPr="006A6890">
        <w:rPr>
          <w:rFonts w:asciiTheme="minorHAnsi" w:hAnsiTheme="minorHAnsi"/>
        </w:rPr>
        <w:t>ILAAP</w:t>
      </w:r>
      <w:proofErr w:type="spellEnd"/>
      <w:r w:rsidRPr="006A6890">
        <w:rPr>
          <w:rFonts w:asciiTheme="minorHAnsi" w:hAnsiTheme="minorHAnsi"/>
        </w:rPr>
        <w:t xml:space="preserve">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FootnoteReference"/>
          <w:rFonts w:asciiTheme="minorHAnsi" w:hAnsiTheme="minorHAnsi"/>
        </w:rPr>
        <w:footnoteReference w:id="109"/>
      </w:r>
      <w:r w:rsidRPr="006A6890">
        <w:rPr>
          <w:rFonts w:asciiTheme="minorHAnsi" w:hAnsiTheme="minorHAnsi"/>
        </w:rPr>
        <w:t xml:space="preserve"> rendszeres adatszolgáltatásban csak </w:t>
      </w:r>
      <w:proofErr w:type="spellStart"/>
      <w:r w:rsidRPr="006A6890">
        <w:rPr>
          <w:rFonts w:asciiTheme="minorHAnsi" w:hAnsiTheme="minorHAnsi"/>
        </w:rPr>
        <w:t>LCR</w:t>
      </w:r>
      <w:proofErr w:type="spellEnd"/>
      <w:r w:rsidRPr="006A6890">
        <w:rPr>
          <w:rFonts w:asciiTheme="minorHAnsi" w:hAnsiTheme="minorHAnsi"/>
        </w:rPr>
        <w:t xml:space="preserve">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Heading1"/>
        <w:rPr>
          <w:rFonts w:asciiTheme="minorHAnsi" w:hAnsiTheme="minorHAnsi"/>
        </w:rPr>
      </w:pPr>
      <w:bookmarkStart w:id="1354" w:name="_Toc462403227"/>
      <w:bookmarkStart w:id="1355" w:name="_Toc462403551"/>
      <w:bookmarkStart w:id="1356" w:name="_Toc468180670"/>
      <w:bookmarkStart w:id="1357" w:name="_Toc468181227"/>
      <w:bookmarkStart w:id="1358" w:name="_Toc468191493"/>
      <w:bookmarkStart w:id="1359" w:name="_Toc27139015"/>
      <w:r w:rsidRPr="006A6890">
        <w:rPr>
          <w:rFonts w:asciiTheme="minorHAnsi" w:hAnsiTheme="minorHAnsi"/>
        </w:rPr>
        <w:t>Az üzleti modell elemzés</w:t>
      </w:r>
      <w:bookmarkEnd w:id="1354"/>
      <w:bookmarkEnd w:id="1355"/>
      <w:bookmarkEnd w:id="1356"/>
      <w:bookmarkEnd w:id="1357"/>
      <w:bookmarkEnd w:id="1358"/>
      <w:bookmarkEnd w:id="1359"/>
    </w:p>
    <w:p w14:paraId="3AEF215B" w14:textId="77777777" w:rsidR="002E348F" w:rsidRPr="006A6890" w:rsidRDefault="002E348F" w:rsidP="002E348F">
      <w:pPr>
        <w:pStyle w:val="Heading1"/>
        <w:numPr>
          <w:ilvl w:val="0"/>
          <w:numId w:val="93"/>
        </w:numPr>
        <w:spacing w:line="276" w:lineRule="auto"/>
        <w:ind w:left="357" w:hanging="357"/>
        <w:rPr>
          <w:rFonts w:asciiTheme="minorHAnsi" w:hAnsiTheme="minorHAnsi"/>
        </w:rPr>
      </w:pPr>
      <w:bookmarkStart w:id="1360" w:name="_Toc27139016"/>
      <w:r w:rsidRPr="006A6890">
        <w:rPr>
          <w:rFonts w:asciiTheme="minorHAnsi" w:hAnsiTheme="minorHAnsi"/>
        </w:rPr>
        <w:t>Az üzleti modell elemzés</w:t>
      </w:r>
      <w:bookmarkEnd w:id="1360"/>
    </w:p>
    <w:p w14:paraId="02DF71C6" w14:textId="77777777" w:rsidR="002E348F" w:rsidRPr="006A6890" w:rsidRDefault="002E348F"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folyamat részeként az ICAAP felügyeleti felülvizsgálati folyamattal párhuzamosan az MNB értékelheti a felügyelt intézmények stratégiáját és üzleti modelljét</w:t>
      </w:r>
      <w:r w:rsidRPr="006A6890">
        <w:rPr>
          <w:rStyle w:val="FootnoteReference"/>
          <w:rFonts w:asciiTheme="minorHAnsi" w:hAnsiTheme="minorHAnsi"/>
        </w:rPr>
        <w:footnoteReference w:id="110"/>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 xml:space="preserve">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7777777" w:rsidR="002E348F" w:rsidRPr="006A6890" w:rsidRDefault="002E348F"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w:t>
      </w:r>
      <w:proofErr w:type="spellStart"/>
      <w:r w:rsidRPr="006A6890">
        <w:rPr>
          <w:rFonts w:asciiTheme="minorHAnsi" w:hAnsiTheme="minorHAnsi"/>
        </w:rPr>
        <w:t>peer</w:t>
      </w:r>
      <w:proofErr w:type="spellEnd"/>
      <w:r w:rsidRPr="006A6890">
        <w:rPr>
          <w:rFonts w:asciiTheme="minorHAnsi" w:hAnsiTheme="minorHAnsi"/>
        </w:rPr>
        <w:t xml:space="preserve"> </w:t>
      </w:r>
      <w:proofErr w:type="spellStart"/>
      <w:r w:rsidRPr="006A6890">
        <w:rPr>
          <w:rFonts w:asciiTheme="minorHAnsi" w:hAnsiTheme="minorHAnsi"/>
        </w:rPr>
        <w:t>group</w:t>
      </w:r>
      <w:proofErr w:type="spellEnd"/>
      <w:r w:rsidRPr="006A6890">
        <w:rPr>
          <w:rFonts w:asciiTheme="minorHAnsi" w:hAnsiTheme="minorHAnsi"/>
        </w:rPr>
        <w:t xml:space="preserve">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77777777" w:rsidR="002E348F" w:rsidRPr="006A6890" w:rsidRDefault="002E348F" w:rsidP="00D22CF9">
      <w:pPr>
        <w:rPr>
          <w:rFonts w:asciiTheme="minorHAnsi" w:hAnsiTheme="minorHAnsi"/>
        </w:rPr>
      </w:pPr>
      <w:r w:rsidRPr="006A6890">
        <w:rPr>
          <w:rFonts w:asciiTheme="minorHAnsi" w:hAnsiTheme="minorHAnsi"/>
          <w:b/>
        </w:rPr>
        <w:t xml:space="preserve">(5) </w:t>
      </w:r>
      <w:proofErr w:type="spellStart"/>
      <w:r w:rsidRPr="006A6890">
        <w:rPr>
          <w:rFonts w:asciiTheme="minorHAnsi" w:hAnsiTheme="minorHAnsi"/>
          <w:b/>
        </w:rPr>
        <w:t>Előretekintő</w:t>
      </w:r>
      <w:proofErr w:type="spellEnd"/>
      <w:r w:rsidRPr="006A6890">
        <w:rPr>
          <w:rFonts w:asciiTheme="minorHAnsi" w:hAnsiTheme="minorHAnsi"/>
          <w:b/>
        </w:rPr>
        <w:t xml:space="preserve"> tőketerv készítése: </w:t>
      </w:r>
      <w:r w:rsidRPr="006A6890">
        <w:rPr>
          <w:rFonts w:asciiTheme="minorHAnsi" w:hAnsiTheme="minorHAnsi"/>
        </w:rPr>
        <w:t xml:space="preserve">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 mind bevételi oldalon. A számítás második lépéseként az MNB az </w:t>
      </w:r>
      <w:proofErr w:type="spellStart"/>
      <w:r w:rsidRPr="006A6890">
        <w:rPr>
          <w:rFonts w:asciiTheme="minorHAnsi" w:hAnsiTheme="minorHAnsi"/>
        </w:rPr>
        <w:t>előrejelzett</w:t>
      </w:r>
      <w:proofErr w:type="spellEnd"/>
      <w:r w:rsidRPr="006A6890">
        <w:rPr>
          <w:rFonts w:asciiTheme="minorHAnsi" w:hAnsiTheme="minorHAnsi"/>
        </w:rPr>
        <w:t xml:space="preserve">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w:t>
      </w:r>
      <w:proofErr w:type="spellStart"/>
      <w:r w:rsidRPr="006A6890">
        <w:rPr>
          <w:rFonts w:asciiTheme="minorHAnsi" w:hAnsiTheme="minorHAnsi"/>
        </w:rPr>
        <w:t>NPL</w:t>
      </w:r>
      <w:proofErr w:type="spellEnd"/>
      <w:r w:rsidRPr="006A6890">
        <w:rPr>
          <w:rFonts w:asciiTheme="minorHAnsi" w:hAnsiTheme="minorHAnsi"/>
        </w:rPr>
        <w:t xml:space="preserve"> eladás, </w:t>
      </w:r>
      <w:proofErr w:type="spellStart"/>
      <w:r w:rsidRPr="006A6890">
        <w:rPr>
          <w:rFonts w:asciiTheme="minorHAnsi" w:hAnsiTheme="minorHAnsi"/>
        </w:rPr>
        <w:t>stb</w:t>
      </w:r>
      <w:proofErr w:type="spellEnd"/>
      <w:r w:rsidRPr="006A6890">
        <w:rPr>
          <w:rFonts w:asciiTheme="minorHAnsi" w:hAnsiTheme="minorHAnsi"/>
        </w:rPr>
        <w:t xml:space="preserve">)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 valamint az összeolvadások és felvásárlások eredményre gyakorolt hatásának felmérése.</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 xml:space="preserve">A megvalósított üzleti modell elemzése, az </w:t>
      </w:r>
      <w:proofErr w:type="spellStart"/>
      <w:r w:rsidRPr="006A6890">
        <w:rPr>
          <w:rFonts w:asciiTheme="minorHAnsi" w:hAnsiTheme="minorHAnsi"/>
        </w:rPr>
        <w:t>előretekintő</w:t>
      </w:r>
      <w:proofErr w:type="spellEnd"/>
      <w:r w:rsidRPr="006A6890">
        <w:rPr>
          <w:rFonts w:asciiTheme="minorHAnsi" w:hAnsiTheme="minorHAnsi"/>
        </w:rPr>
        <w:t xml:space="preserve">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 xml:space="preserve">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w:t>
      </w:r>
      <w:proofErr w:type="spellStart"/>
      <w:r w:rsidRPr="006A6890">
        <w:rPr>
          <w:rFonts w:asciiTheme="minorHAnsi" w:hAnsiTheme="minorHAnsi"/>
        </w:rPr>
        <w:t>megtérülések</w:t>
      </w:r>
      <w:proofErr w:type="spellEnd"/>
      <w:r w:rsidRPr="006A6890">
        <w:rPr>
          <w:rFonts w:asciiTheme="minorHAnsi" w:hAnsiTheme="minorHAnsi"/>
        </w:rPr>
        <w:t xml:space="preserve">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361" w:name="_IV._Stressz_tesztek"/>
      <w:bookmarkStart w:id="1362" w:name="_Toc462403232"/>
      <w:bookmarkStart w:id="1363" w:name="_Toc462403248"/>
      <w:bookmarkStart w:id="1364" w:name="_Érzékenységvizsgálatok"/>
      <w:bookmarkStart w:id="1365" w:name="_Toc462403249"/>
      <w:bookmarkStart w:id="1366" w:name="_Az_alkalmazott_kockázati"/>
      <w:bookmarkStart w:id="1367" w:name="_Toc462403252"/>
      <w:bookmarkStart w:id="1368" w:name="_Integrált_kockázatkezelési_szemléle"/>
      <w:bookmarkStart w:id="1369" w:name="_Toc462403279"/>
      <w:bookmarkEnd w:id="1361"/>
      <w:bookmarkEnd w:id="1362"/>
      <w:bookmarkEnd w:id="1363"/>
      <w:bookmarkEnd w:id="1364"/>
      <w:bookmarkEnd w:id="1365"/>
      <w:bookmarkEnd w:id="1366"/>
      <w:bookmarkEnd w:id="1367"/>
      <w:bookmarkEnd w:id="1368"/>
      <w:bookmarkEnd w:id="1369"/>
    </w:p>
    <w:p w14:paraId="66B15733" w14:textId="7034304C"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1370" w:name="_V._Belső_irányítás"/>
      <w:bookmarkStart w:id="1371" w:name="_Toc378256247"/>
      <w:bookmarkStart w:id="1372" w:name="_Toc378592095"/>
      <w:bookmarkStart w:id="1373" w:name="_Toc461095264"/>
      <w:bookmarkStart w:id="1374" w:name="_Toc461179225"/>
      <w:bookmarkStart w:id="1375" w:name="_Toc461179920"/>
      <w:bookmarkStart w:id="1376" w:name="_Toc461197766"/>
      <w:bookmarkStart w:id="1377" w:name="_Toc461201364"/>
      <w:bookmarkStart w:id="1378" w:name="_Toc461548065"/>
      <w:bookmarkStart w:id="1379" w:name="_Toc462402105"/>
      <w:bookmarkStart w:id="1380" w:name="_Toc462403280"/>
      <w:bookmarkStart w:id="1381" w:name="_Toc462403552"/>
      <w:bookmarkStart w:id="1382" w:name="_Toc468180671"/>
      <w:bookmarkStart w:id="1383" w:name="_Toc468181228"/>
      <w:bookmarkStart w:id="1384" w:name="_Toc468191494"/>
      <w:bookmarkStart w:id="1385" w:name="_Toc27139017"/>
      <w:bookmarkEnd w:id="1370"/>
      <w:r w:rsidRPr="006A6890">
        <w:rPr>
          <w:rFonts w:asciiTheme="minorHAnsi" w:hAnsiTheme="minorHAnsi"/>
        </w:rPr>
        <w:lastRenderedPageBreak/>
        <w:t>A kis intézmények belső tőkeszükséglet-számítására, likviditás megfelelőségére vonatkozó felügyeleti elvárások</w:t>
      </w:r>
      <w:bookmarkEnd w:id="1371"/>
      <w:bookmarkEnd w:id="1372"/>
      <w:r w:rsidRPr="006A6890">
        <w:rPr>
          <w:rFonts w:asciiTheme="minorHAnsi" w:hAnsiTheme="minorHAnsi"/>
        </w:rPr>
        <w:t xml:space="preserve"> és a vonatkozó felügyeleti felülvizsgálati folyamat</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66B15735" w14:textId="77777777" w:rsidR="003F29E3" w:rsidRPr="006A6890" w:rsidRDefault="003F29E3" w:rsidP="008F2D8B">
      <w:pPr>
        <w:pStyle w:val="Heading2"/>
        <w:rPr>
          <w:rFonts w:asciiTheme="minorHAnsi" w:hAnsiTheme="minorHAnsi"/>
        </w:rPr>
      </w:pPr>
      <w:bookmarkStart w:id="1386" w:name="_VI._Az_ICAAP"/>
      <w:bookmarkStart w:id="1387" w:name="_VII._Kis_intézmények"/>
      <w:bookmarkStart w:id="1388" w:name="_Arányosság_elve"/>
      <w:bookmarkStart w:id="1389" w:name="_Toc378592096"/>
      <w:bookmarkStart w:id="1390" w:name="_Toc461095265"/>
      <w:bookmarkStart w:id="1391" w:name="_Toc461179226"/>
      <w:bookmarkStart w:id="1392" w:name="_Toc461179921"/>
      <w:bookmarkStart w:id="1393" w:name="_Toc461197767"/>
      <w:bookmarkStart w:id="1394" w:name="_Toc461201365"/>
      <w:bookmarkStart w:id="1395" w:name="_Toc461548066"/>
      <w:bookmarkStart w:id="1396" w:name="_Toc462402106"/>
      <w:bookmarkStart w:id="1397" w:name="_Toc462403281"/>
      <w:bookmarkStart w:id="1398" w:name="_Toc462403553"/>
      <w:bookmarkStart w:id="1399" w:name="_Toc468180672"/>
      <w:bookmarkStart w:id="1400" w:name="_Toc468181229"/>
      <w:bookmarkStart w:id="1401" w:name="_Toc468191495"/>
      <w:bookmarkStart w:id="1402" w:name="_Toc27139018"/>
      <w:bookmarkEnd w:id="1386"/>
      <w:bookmarkEnd w:id="1387"/>
      <w:bookmarkEnd w:id="1388"/>
      <w:r w:rsidRPr="006A6890">
        <w:rPr>
          <w:rFonts w:asciiTheme="minorHAnsi" w:hAnsiTheme="minorHAnsi"/>
        </w:rPr>
        <w:t>Arányosság elv</w:t>
      </w:r>
      <w:bookmarkEnd w:id="1389"/>
      <w:r w:rsidRPr="006A6890">
        <w:rPr>
          <w:rFonts w:asciiTheme="minorHAnsi" w:hAnsiTheme="minorHAnsi"/>
        </w:rPr>
        <w:t>ének alkalmazása</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A8C0362"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w:t>
      </w:r>
      <w:proofErr w:type="spellStart"/>
      <w:r w:rsidRPr="006A6890">
        <w:rPr>
          <w:rFonts w:asciiTheme="minorHAnsi" w:hAnsiTheme="minorHAnsi"/>
        </w:rPr>
        <w:t>CRD</w:t>
      </w:r>
      <w:proofErr w:type="spellEnd"/>
      <w:r w:rsidR="00A82A54" w:rsidRPr="006A6890">
        <w:rPr>
          <w:rFonts w:asciiTheme="minorHAnsi" w:hAnsiTheme="minorHAnsi"/>
        </w:rPr>
        <w:t xml:space="preserve"> IV</w:t>
      </w:r>
      <w:r w:rsidRPr="006A6890">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6A6890" w:rsidRDefault="003F29E3" w:rsidP="008F2D8B">
      <w:pPr>
        <w:pStyle w:val="Heading2"/>
        <w:rPr>
          <w:rFonts w:asciiTheme="minorHAnsi" w:hAnsiTheme="minorHAnsi"/>
        </w:rPr>
      </w:pPr>
      <w:bookmarkStart w:id="1403" w:name="_Kis_intézmény"/>
      <w:bookmarkStart w:id="1404" w:name="_Toc378592097"/>
      <w:bookmarkStart w:id="1405" w:name="_Toc461095266"/>
      <w:bookmarkStart w:id="1406" w:name="_Toc461179227"/>
      <w:bookmarkStart w:id="1407" w:name="_Toc461179922"/>
      <w:bookmarkStart w:id="1408" w:name="_Toc461197768"/>
      <w:bookmarkStart w:id="1409" w:name="_Toc461201366"/>
      <w:bookmarkStart w:id="1410" w:name="_Toc461548067"/>
      <w:bookmarkStart w:id="1411" w:name="_Toc462402107"/>
      <w:bookmarkStart w:id="1412" w:name="_Toc462403282"/>
      <w:bookmarkStart w:id="1413" w:name="_Toc462403554"/>
      <w:bookmarkStart w:id="1414" w:name="_Toc468180673"/>
      <w:bookmarkStart w:id="1415" w:name="_Toc468181230"/>
      <w:bookmarkStart w:id="1416" w:name="_Toc468191496"/>
      <w:bookmarkStart w:id="1417" w:name="_Toc27139019"/>
      <w:bookmarkEnd w:id="1403"/>
      <w:r w:rsidRPr="006A6890">
        <w:rPr>
          <w:rFonts w:asciiTheme="minorHAnsi" w:hAnsiTheme="minorHAnsi"/>
        </w:rPr>
        <w:t>A kis intézmény</w:t>
      </w:r>
      <w:bookmarkEnd w:id="1404"/>
      <w:r w:rsidRPr="006A6890">
        <w:rPr>
          <w:rFonts w:asciiTheme="minorHAnsi" w:hAnsiTheme="minorHAnsi"/>
        </w:rPr>
        <w:t xml:space="preserve"> meghatározása</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66B1573E" w14:textId="77777777" w:rsidR="003F29E3" w:rsidRPr="006A6890" w:rsidRDefault="003F29E3" w:rsidP="00D22CF9">
      <w:pPr>
        <w:rPr>
          <w:rFonts w:asciiTheme="minorHAnsi" w:hAnsiTheme="minorHAnsi"/>
        </w:rPr>
      </w:pPr>
      <w:r w:rsidRPr="006A6890">
        <w:rPr>
          <w:rFonts w:asciiTheme="minorHAnsi" w:hAnsiTheme="minorHAnsi"/>
        </w:rPr>
        <w:t xml:space="preserve">Kis intézménynek azok a hitelintézetek vagy befektetési vállalkozások </w:t>
      </w:r>
      <w:proofErr w:type="spellStart"/>
      <w:r w:rsidRPr="006A6890">
        <w:rPr>
          <w:rFonts w:asciiTheme="minorHAnsi" w:hAnsiTheme="minorHAnsi"/>
        </w:rPr>
        <w:t>tekinthetőek</w:t>
      </w:r>
      <w:proofErr w:type="spellEnd"/>
      <w:r w:rsidRPr="006A6890">
        <w:rPr>
          <w:rFonts w:asciiTheme="minorHAnsi" w:hAnsiTheme="minorHAnsi"/>
        </w:rPr>
        <w:t>,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6A6890" w:rsidRDefault="003F29E3" w:rsidP="008F2D8B">
      <w:pPr>
        <w:pStyle w:val="Heading2"/>
        <w:rPr>
          <w:rFonts w:asciiTheme="minorHAnsi" w:hAnsiTheme="minorHAnsi"/>
        </w:rPr>
      </w:pPr>
      <w:bookmarkStart w:id="1418" w:name="_Kis_intézményekre_érvényes"/>
      <w:bookmarkStart w:id="1419" w:name="_Toc378592098"/>
      <w:bookmarkStart w:id="1420" w:name="_Toc461095267"/>
      <w:bookmarkStart w:id="1421" w:name="_Toc461179228"/>
      <w:bookmarkStart w:id="1422" w:name="_Toc461179923"/>
      <w:bookmarkStart w:id="1423" w:name="_Toc461197769"/>
      <w:bookmarkStart w:id="1424" w:name="_Toc461201367"/>
      <w:bookmarkStart w:id="1425" w:name="_Toc461548068"/>
      <w:bookmarkStart w:id="1426" w:name="_Toc462402108"/>
      <w:bookmarkStart w:id="1427" w:name="_Toc462403283"/>
      <w:bookmarkStart w:id="1428" w:name="_Toc462403555"/>
      <w:bookmarkStart w:id="1429" w:name="_Toc468180674"/>
      <w:bookmarkStart w:id="1430" w:name="_Toc468181231"/>
      <w:bookmarkStart w:id="1431" w:name="_Toc468191497"/>
      <w:bookmarkStart w:id="1432" w:name="_Toc27139020"/>
      <w:bookmarkEnd w:id="1418"/>
      <w:r w:rsidRPr="006A6890">
        <w:rPr>
          <w:rFonts w:asciiTheme="minorHAnsi" w:hAnsiTheme="minorHAnsi"/>
        </w:rPr>
        <w:t>Kis intézmények belső tőkeszükséglet-számítására vonatkozó felügyeleti elvárások</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6A6890">
        <w:rPr>
          <w:rFonts w:asciiTheme="minorHAnsi" w:hAnsiTheme="minorHAnsi"/>
        </w:rPr>
        <w:footnoteReference w:id="111"/>
      </w:r>
      <w:r w:rsidRPr="006A6890">
        <w:rPr>
          <w:rFonts w:asciiTheme="minorHAnsi" w:hAnsiTheme="minorHAnsi"/>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 xml:space="preserve">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w:t>
      </w:r>
      <w:proofErr w:type="spellStart"/>
      <w:r w:rsidRPr="006A6890">
        <w:rPr>
          <w:rFonts w:asciiTheme="minorHAnsi" w:hAnsiTheme="minorHAnsi"/>
        </w:rPr>
        <w:t>fedezetül</w:t>
      </w:r>
      <w:proofErr w:type="spellEnd"/>
      <w:r w:rsidRPr="006A6890">
        <w:rPr>
          <w:rFonts w:asciiTheme="minorHAnsi" w:hAnsiTheme="minorHAnsi"/>
        </w:rPr>
        <w:t xml:space="preserve">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 xml:space="preserve">A kis intézmények oly módon is megfelelhetnek a hazai szabályozás belső tőkeszükséglet-számítási kötelezettségeinek, hogy megvizsgálják a jelen ajánlásban felsorolt kockázati típusoknak való kitettségüket és az azok </w:t>
      </w:r>
      <w:proofErr w:type="spellStart"/>
      <w:r w:rsidRPr="006A6890">
        <w:rPr>
          <w:rFonts w:asciiTheme="minorHAnsi" w:hAnsiTheme="minorHAnsi"/>
        </w:rPr>
        <w:t>fedezetéül</w:t>
      </w:r>
      <w:proofErr w:type="spellEnd"/>
      <w:r w:rsidRPr="006A6890">
        <w:rPr>
          <w:rFonts w:asciiTheme="minorHAnsi" w:hAnsiTheme="minorHAnsi"/>
        </w:rPr>
        <w:t xml:space="preserve">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6A6890" w:rsidRDefault="00732758" w:rsidP="008F2D8B">
      <w:pPr>
        <w:pStyle w:val="Heading2"/>
        <w:rPr>
          <w:rFonts w:asciiTheme="minorHAnsi" w:hAnsiTheme="minorHAnsi"/>
        </w:rPr>
      </w:pPr>
      <w:bookmarkStart w:id="1433" w:name="_Módszertan"/>
      <w:bookmarkStart w:id="1434" w:name="_Toc378592099"/>
      <w:bookmarkStart w:id="1435" w:name="_Toc461095268"/>
      <w:bookmarkStart w:id="1436" w:name="_Toc461179229"/>
      <w:bookmarkStart w:id="1437" w:name="_Toc461179924"/>
      <w:bookmarkStart w:id="1438" w:name="_Toc461197770"/>
      <w:bookmarkStart w:id="1439" w:name="_Toc461201368"/>
      <w:bookmarkStart w:id="1440" w:name="_Toc461548069"/>
      <w:bookmarkStart w:id="1441" w:name="_Toc462402109"/>
      <w:bookmarkStart w:id="1442" w:name="_Toc462403284"/>
      <w:bookmarkStart w:id="1443" w:name="_Toc462403556"/>
      <w:bookmarkStart w:id="1444" w:name="_Toc468180675"/>
      <w:bookmarkStart w:id="1445" w:name="_Toc468181232"/>
      <w:bookmarkStart w:id="1446" w:name="_Toc468191498"/>
      <w:bookmarkStart w:id="1447" w:name="_Toc27139021"/>
      <w:bookmarkEnd w:id="1433"/>
      <w:r w:rsidRPr="004B5D1A">
        <w:rPr>
          <w:rFonts w:asciiTheme="minorHAnsi" w:hAnsiTheme="minorHAnsi"/>
        </w:rPr>
        <w:t>Egyszerűsített ICAAP felülvizsgálat alá tartozó</w:t>
      </w:r>
      <w:r w:rsidR="003F29E3" w:rsidRPr="004B5D1A">
        <w:rPr>
          <w:rFonts w:asciiTheme="minorHAnsi" w:hAnsiTheme="minorHAnsi"/>
        </w:rPr>
        <w:t xml:space="preserve"> </w:t>
      </w:r>
      <w:r w:rsidR="003F29E3" w:rsidRPr="006A6890">
        <w:rPr>
          <w:rFonts w:asciiTheme="minorHAnsi" w:hAnsiTheme="minorHAnsi"/>
        </w:rPr>
        <w:t>intézmények által alkalmazott módszertan</w:t>
      </w:r>
      <w:bookmarkEnd w:id="1434"/>
      <w:r w:rsidR="003F29E3" w:rsidRPr="006A6890">
        <w:rPr>
          <w:rFonts w:asciiTheme="minorHAnsi" w:hAnsiTheme="minorHAnsi"/>
        </w:rPr>
        <w:t>ok</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w:t>
      </w:r>
      <w:proofErr w:type="spellStart"/>
      <w:r w:rsidRPr="006A6890">
        <w:rPr>
          <w:rFonts w:asciiTheme="minorHAnsi" w:hAnsiTheme="minorHAnsi"/>
          <w:lang w:val="hu-HU"/>
        </w:rPr>
        <w:t>kockázatonként</w:t>
      </w:r>
      <w:proofErr w:type="spellEnd"/>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6A6890" w:rsidRDefault="003F29E3" w:rsidP="008F2D8B">
      <w:pPr>
        <w:pStyle w:val="Heading2"/>
        <w:rPr>
          <w:rFonts w:asciiTheme="minorHAnsi" w:hAnsiTheme="minorHAnsi"/>
        </w:rPr>
      </w:pPr>
      <w:bookmarkStart w:id="1448" w:name="_A_belső_tőkeszükséglet-számítás"/>
      <w:bookmarkStart w:id="1449" w:name="_Toc378592100"/>
      <w:bookmarkStart w:id="1450" w:name="_Toc461095269"/>
      <w:bookmarkStart w:id="1451" w:name="_Toc461179230"/>
      <w:bookmarkStart w:id="1452" w:name="_Toc461179925"/>
      <w:bookmarkStart w:id="1453" w:name="_Toc461197771"/>
      <w:bookmarkStart w:id="1454" w:name="_Toc461201369"/>
      <w:bookmarkStart w:id="1455" w:name="_Toc461548070"/>
      <w:bookmarkStart w:id="1456" w:name="_Toc462402110"/>
      <w:bookmarkStart w:id="1457" w:name="_Toc462403285"/>
      <w:bookmarkStart w:id="1458" w:name="_Toc462403557"/>
      <w:bookmarkStart w:id="1459" w:name="_Toc468180676"/>
      <w:bookmarkStart w:id="1460" w:name="_Toc468181233"/>
      <w:bookmarkStart w:id="1461" w:name="_Toc468191499"/>
      <w:bookmarkStart w:id="1462" w:name="_Toc27139022"/>
      <w:bookmarkEnd w:id="1448"/>
      <w:r w:rsidRPr="006A6890">
        <w:rPr>
          <w:rFonts w:asciiTheme="minorHAnsi" w:hAnsiTheme="minorHAnsi"/>
        </w:rPr>
        <w:t>A belső tőkeszükséglet-számítás lépései</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6A6890" w:rsidRDefault="003F29E3" w:rsidP="008F2D8B">
      <w:pPr>
        <w:pStyle w:val="Heading2"/>
        <w:rPr>
          <w:rFonts w:asciiTheme="minorHAnsi" w:hAnsiTheme="minorHAnsi"/>
          <w:lang w:val="hu-HU"/>
        </w:rPr>
      </w:pPr>
      <w:bookmarkStart w:id="1463" w:name="_Kis_hitelintézetek_tipikus"/>
      <w:bookmarkStart w:id="1464" w:name="_Toc378592101"/>
      <w:bookmarkStart w:id="1465" w:name="_Toc461095270"/>
      <w:bookmarkStart w:id="1466" w:name="_Toc461179231"/>
      <w:bookmarkStart w:id="1467" w:name="_Toc461179926"/>
      <w:bookmarkStart w:id="1468" w:name="_Toc461197772"/>
      <w:bookmarkStart w:id="1469" w:name="_Toc461201370"/>
      <w:bookmarkStart w:id="1470" w:name="_Toc461548071"/>
      <w:bookmarkStart w:id="1471" w:name="_Toc462402111"/>
      <w:bookmarkStart w:id="1472" w:name="_Toc462403286"/>
      <w:bookmarkStart w:id="1473" w:name="_Toc462403558"/>
      <w:bookmarkStart w:id="1474" w:name="_Toc468180677"/>
      <w:bookmarkStart w:id="1475" w:name="_Toc468181234"/>
      <w:bookmarkStart w:id="1476" w:name="_Toc468191500"/>
      <w:bookmarkStart w:id="1477" w:name="_Toc27139023"/>
      <w:bookmarkEnd w:id="1463"/>
      <w:r w:rsidRPr="006A6890">
        <w:rPr>
          <w:rFonts w:asciiTheme="minorHAnsi" w:hAnsiTheme="minorHAnsi"/>
        </w:rPr>
        <w:t>Kis hitelintézetek tipikus kockázatai</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66B1575D" w14:textId="77777777" w:rsidR="003F29E3" w:rsidRPr="006A6890" w:rsidRDefault="003F29E3" w:rsidP="00D22CF9">
      <w:pPr>
        <w:rPr>
          <w:rFonts w:asciiTheme="minorHAnsi" w:hAnsiTheme="minorHAnsi"/>
        </w:rPr>
      </w:pPr>
      <w:r w:rsidRPr="006A6890">
        <w:rPr>
          <w:rFonts w:asciiTheme="minorHAnsi" w:hAnsiTheme="minorHAnsi"/>
        </w:rPr>
        <w:t xml:space="preserve">A kis hitelintézetek vonatkozásában jellemzően az alábbi fő kockázatok </w:t>
      </w:r>
      <w:proofErr w:type="spellStart"/>
      <w:r w:rsidRPr="006A6890">
        <w:rPr>
          <w:rFonts w:asciiTheme="minorHAnsi" w:hAnsiTheme="minorHAnsi"/>
        </w:rPr>
        <w:t>értékelendőek</w:t>
      </w:r>
      <w:proofErr w:type="spellEnd"/>
      <w:r w:rsidRPr="006A6890">
        <w:rPr>
          <w:rFonts w:asciiTheme="minorHAnsi" w:hAnsiTheme="minorHAnsi"/>
        </w:rPr>
        <w:t>:</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proofErr w:type="spellStart"/>
      <w:r w:rsidRPr="006A6890">
        <w:rPr>
          <w:rFonts w:asciiTheme="minorHAnsi" w:hAnsiTheme="minorHAnsi"/>
        </w:rPr>
        <w:t>llenőrzési</w:t>
      </w:r>
      <w:proofErr w:type="spellEnd"/>
      <w:r w:rsidRPr="006A6890">
        <w:rPr>
          <w:rFonts w:asciiTheme="minorHAnsi" w:hAnsiTheme="minorHAnsi"/>
        </w:rPr>
        <w:t>/vezetési kockázat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governance</w:t>
      </w:r>
      <w:proofErr w:type="spellEnd"/>
      <w:r w:rsidRPr="006A6890">
        <w:rPr>
          <w:rFonts w:asciiTheme="minorHAnsi" w:hAnsiTheme="minorHAnsi"/>
        </w:rPr>
        <w:t>),</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proofErr w:type="spellStart"/>
      <w:r w:rsidRPr="006A6890">
        <w:rPr>
          <w:rFonts w:asciiTheme="minorHAnsi" w:hAnsiTheme="minorHAnsi"/>
        </w:rPr>
        <w:t>itelkockázat</w:t>
      </w:r>
      <w:proofErr w:type="spellEnd"/>
      <w:r w:rsidRPr="006A6890">
        <w:rPr>
          <w:rFonts w:asciiTheme="minorHAnsi" w:hAnsiTheme="minorHAnsi"/>
        </w:rPr>
        <w: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oncentrációs</w:t>
      </w:r>
      <w:proofErr w:type="spellEnd"/>
      <w:r w:rsidRPr="006A6890">
        <w:rPr>
          <w:rFonts w:asciiTheme="minorHAnsi" w:hAnsiTheme="minorHAnsi"/>
        </w:rPr>
        <w:t xml:space="preserve"> kockázat (egyedi ügyfelek, földrajzi, </w:t>
      </w:r>
      <w:proofErr w:type="spellStart"/>
      <w:r w:rsidRPr="006A6890">
        <w:rPr>
          <w:rFonts w:asciiTheme="minorHAnsi" w:hAnsiTheme="minorHAnsi"/>
        </w:rPr>
        <w:t>szektorális</w:t>
      </w:r>
      <w:proofErr w:type="spellEnd"/>
      <w:r w:rsidRPr="006A6890">
        <w:rPr>
          <w:rFonts w:asciiTheme="minorHAnsi" w:hAnsiTheme="minorHAnsi"/>
        </w:rPr>
        <w:t>),</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amatláb</w:t>
      </w:r>
      <w:proofErr w:type="spellEnd"/>
      <w:r w:rsidRPr="006A6890">
        <w:rPr>
          <w:rFonts w:asciiTheme="minorHAnsi" w:hAnsiTheme="minorHAnsi"/>
        </w:rPr>
        <w:t>-kockázat,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proofErr w:type="spellStart"/>
      <w:r w:rsidRPr="006A6890">
        <w:rPr>
          <w:rFonts w:asciiTheme="minorHAnsi" w:hAnsiTheme="minorHAnsi"/>
        </w:rPr>
        <w:t>űködési</w:t>
      </w:r>
      <w:proofErr w:type="spellEnd"/>
      <w:r w:rsidRPr="006A6890">
        <w:rPr>
          <w:rFonts w:asciiTheme="minorHAnsi" w:hAnsiTheme="minorHAnsi"/>
        </w:rPr>
        <w:t xml:space="preserve">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proofErr w:type="spellStart"/>
      <w:r w:rsidRPr="006A6890">
        <w:rPr>
          <w:rFonts w:asciiTheme="minorHAnsi" w:hAnsiTheme="minorHAnsi"/>
        </w:rPr>
        <w:t>tratégiai</w:t>
      </w:r>
      <w:proofErr w:type="spellEnd"/>
      <w:r w:rsidRPr="006A6890">
        <w:rPr>
          <w:rFonts w:asciiTheme="minorHAnsi" w:hAnsiTheme="minorHAnsi"/>
        </w:rPr>
        <w:t xml:space="preserve">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6A6890" w:rsidRDefault="003F29E3" w:rsidP="008F2D8B">
      <w:pPr>
        <w:pStyle w:val="Heading2"/>
        <w:rPr>
          <w:rFonts w:asciiTheme="minorHAnsi" w:hAnsiTheme="minorHAnsi"/>
          <w:lang w:val="hu-HU"/>
        </w:rPr>
      </w:pPr>
      <w:bookmarkStart w:id="1478" w:name="_Toc461095271"/>
      <w:bookmarkStart w:id="1479" w:name="_Toc461179232"/>
      <w:bookmarkStart w:id="1480" w:name="_Toc461179927"/>
      <w:bookmarkStart w:id="1481" w:name="_Toc461197773"/>
      <w:bookmarkStart w:id="1482" w:name="_Toc461201371"/>
      <w:bookmarkStart w:id="1483" w:name="_Toc461548072"/>
      <w:bookmarkStart w:id="1484" w:name="_Toc462402112"/>
      <w:bookmarkStart w:id="1485" w:name="_Toc462403287"/>
      <w:bookmarkStart w:id="1486" w:name="_Toc462403559"/>
      <w:bookmarkStart w:id="1487" w:name="_Toc468180678"/>
      <w:bookmarkStart w:id="1488" w:name="_Toc468181235"/>
      <w:bookmarkStart w:id="1489" w:name="_Toc468191501"/>
      <w:bookmarkStart w:id="1490" w:name="_Toc27139024"/>
      <w:r w:rsidRPr="006A6890">
        <w:rPr>
          <w:rFonts w:asciiTheme="minorHAnsi" w:hAnsiTheme="minorHAnsi"/>
        </w:rPr>
        <w:t>A befektetési vállalkozások esetében a szokásostól eltérő többlet kockázatot generáló tevékenység</w:t>
      </w:r>
      <w:r w:rsidRPr="006A6890">
        <w:rPr>
          <w:rFonts w:asciiTheme="minorHAnsi" w:hAnsiTheme="minorHAnsi"/>
          <w:lang w:val="hu-HU"/>
        </w:rPr>
        <w:t>ek</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proofErr w:type="spellStart"/>
      <w:r w:rsidRPr="006A6890">
        <w:rPr>
          <w:rFonts w:asciiTheme="minorHAnsi" w:hAnsiTheme="minorHAnsi"/>
        </w:rPr>
        <w:t>igh</w:t>
      </w:r>
      <w:proofErr w:type="spellEnd"/>
      <w:r w:rsidRPr="006A6890">
        <w:rPr>
          <w:rFonts w:asciiTheme="minorHAnsi" w:hAnsiTheme="minorHAnsi"/>
        </w:rPr>
        <w:t xml:space="preserve"> </w:t>
      </w:r>
      <w:proofErr w:type="spellStart"/>
      <w:r w:rsidRPr="006A6890">
        <w:rPr>
          <w:rFonts w:asciiTheme="minorHAnsi" w:hAnsiTheme="minorHAnsi"/>
        </w:rPr>
        <w:t>frequ</w:t>
      </w:r>
      <w:r w:rsidRPr="006A6890">
        <w:rPr>
          <w:rFonts w:asciiTheme="minorHAnsi" w:hAnsiTheme="minorHAnsi"/>
          <w:lang w:val="hu-HU"/>
        </w:rPr>
        <w:t>e</w:t>
      </w:r>
      <w:r w:rsidRPr="006A6890">
        <w:rPr>
          <w:rFonts w:asciiTheme="minorHAnsi" w:hAnsiTheme="minorHAnsi"/>
        </w:rPr>
        <w:t>ncy</w:t>
      </w:r>
      <w:proofErr w:type="spellEnd"/>
      <w:r w:rsidRPr="006A6890">
        <w:rPr>
          <w:rFonts w:asciiTheme="minorHAnsi" w:hAnsiTheme="minorHAnsi"/>
        </w:rPr>
        <w:t xml:space="preserve"> </w:t>
      </w:r>
      <w:proofErr w:type="spellStart"/>
      <w:r w:rsidRPr="006A6890">
        <w:rPr>
          <w:rFonts w:asciiTheme="minorHAnsi" w:hAnsiTheme="minorHAnsi"/>
        </w:rPr>
        <w:t>trading</w:t>
      </w:r>
      <w:proofErr w:type="spellEnd"/>
      <w:r w:rsidRPr="006A6890">
        <w:rPr>
          <w:rFonts w:asciiTheme="minorHAnsi" w:hAnsiTheme="minorHAnsi"/>
        </w:rPr>
        <w:t>”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6A6890" w:rsidRDefault="003F29E3" w:rsidP="008F2D8B">
      <w:pPr>
        <w:pStyle w:val="Heading2"/>
        <w:rPr>
          <w:rFonts w:asciiTheme="minorHAnsi" w:hAnsiTheme="minorHAnsi"/>
        </w:rPr>
      </w:pPr>
      <w:bookmarkStart w:id="1491" w:name="_Toc461095272"/>
      <w:bookmarkStart w:id="1492" w:name="_Toc461179233"/>
      <w:bookmarkStart w:id="1493" w:name="_Toc461179928"/>
      <w:bookmarkStart w:id="1494" w:name="_Toc461197774"/>
      <w:bookmarkStart w:id="1495" w:name="_Toc461201372"/>
      <w:bookmarkStart w:id="1496" w:name="_Toc461548073"/>
      <w:bookmarkStart w:id="1497" w:name="_Toc462402113"/>
      <w:bookmarkStart w:id="1498" w:name="_Toc462403288"/>
      <w:bookmarkStart w:id="1499" w:name="_Toc462403560"/>
      <w:bookmarkStart w:id="1500" w:name="_Toc468180679"/>
      <w:bookmarkStart w:id="1501" w:name="_Toc468181236"/>
      <w:bookmarkStart w:id="1502" w:name="_Toc468191502"/>
      <w:bookmarkStart w:id="1503" w:name="_Toc27139025"/>
      <w:bookmarkStart w:id="1504" w:name="_Hlk23785076"/>
      <w:r w:rsidRPr="006A6890">
        <w:rPr>
          <w:rFonts w:asciiTheme="minorHAnsi" w:hAnsiTheme="minorHAnsi"/>
        </w:rPr>
        <w:t>Felügyeleti felülvizsgálatok a kis intézményeknél</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p>
    <w:bookmarkEnd w:id="1504"/>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01D568A5"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intézmény piaci hitelprogramban (PHP) való részvétele és vállalása alapján </w:t>
      </w:r>
      <w:proofErr w:type="spellStart"/>
      <w:r w:rsidR="00BC5CF5" w:rsidRPr="006A6890">
        <w:rPr>
          <w:rFonts w:asciiTheme="minorHAnsi" w:hAnsiTheme="minorHAnsi"/>
        </w:rPr>
        <w:t>megállapítot</w:t>
      </w:r>
      <w:proofErr w:type="spellEnd"/>
      <w:r w:rsidR="00BC5CF5" w:rsidRPr="006A6890">
        <w:rPr>
          <w:rFonts w:asciiTheme="minorHAnsi" w:hAnsiTheme="minorHAnsi"/>
        </w:rPr>
        <w:t xml:space="preserve"> tőkekedvezménnyel</w:t>
      </w:r>
      <w:r w:rsidR="001C397D" w:rsidRPr="006A6890">
        <w:rPr>
          <w:rFonts w:asciiTheme="minorHAnsi" w:hAnsiTheme="minorHAnsi"/>
        </w:rPr>
        <w:t xml:space="preserve"> 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w:t>
      </w:r>
      <w:proofErr w:type="spellStart"/>
      <w:r w:rsidR="005E1B45" w:rsidRPr="006A6890">
        <w:rPr>
          <w:rFonts w:asciiTheme="minorHAnsi" w:hAnsiTheme="minorHAnsi"/>
        </w:rPr>
        <w:t>ILAAP</w:t>
      </w:r>
      <w:proofErr w:type="spellEnd"/>
      <w:r w:rsidR="005E1B45" w:rsidRPr="006A6890">
        <w:rPr>
          <w:rFonts w:asciiTheme="minorHAnsi" w:hAnsiTheme="minorHAnsi"/>
        </w:rPr>
        <w:t xml:space="preserve">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6A6890" w:rsidRDefault="005B5FE2" w:rsidP="008F2D8B">
      <w:pPr>
        <w:pStyle w:val="Heading2"/>
        <w:rPr>
          <w:rFonts w:asciiTheme="minorHAnsi" w:hAnsiTheme="minorHAnsi"/>
        </w:rPr>
      </w:pPr>
      <w:bookmarkStart w:id="1505" w:name="_Toc468180680"/>
      <w:bookmarkStart w:id="1506" w:name="_Toc468181237"/>
      <w:bookmarkStart w:id="1507" w:name="_Toc468191503"/>
      <w:bookmarkStart w:id="1508" w:name="_Toc27139026"/>
      <w:r w:rsidRPr="006A6890">
        <w:rPr>
          <w:rFonts w:asciiTheme="minorHAnsi" w:hAnsiTheme="minorHAnsi"/>
        </w:rPr>
        <w:t>A befektetési vállalkozások esetében a legjellemzőbb többlet</w:t>
      </w:r>
      <w:r w:rsidR="003C6A4E" w:rsidRPr="006A6890">
        <w:rPr>
          <w:rFonts w:asciiTheme="minorHAnsi" w:hAnsiTheme="minorHAnsi"/>
          <w:lang w:val="hu-HU"/>
        </w:rPr>
        <w:t>-</w:t>
      </w:r>
      <w:r w:rsidRPr="006A6890">
        <w:rPr>
          <w:rFonts w:asciiTheme="minorHAnsi" w:hAnsiTheme="minorHAnsi"/>
        </w:rPr>
        <w:t>tőkekövetelmény előírások</w:t>
      </w:r>
      <w:bookmarkEnd w:id="1505"/>
      <w:bookmarkEnd w:id="1506"/>
      <w:bookmarkEnd w:id="1507"/>
      <w:bookmarkEnd w:id="1508"/>
      <w:r w:rsidRPr="006A6890">
        <w:rPr>
          <w:rFonts w:asciiTheme="minorHAnsi" w:hAnsiTheme="minorHAnsi"/>
        </w:rPr>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SREP</w:t>
      </w:r>
      <w:proofErr w:type="spellEnd"/>
      <w:r w:rsidRPr="006A6890">
        <w:rPr>
          <w:rFonts w:asciiTheme="minorHAnsi" w:hAnsiTheme="minorHAnsi"/>
        </w:rPr>
        <w:t xml:space="preserve"> eljárásban azon intézmények </w:t>
      </w:r>
      <w:proofErr w:type="spellStart"/>
      <w:r w:rsidRPr="006A6890">
        <w:rPr>
          <w:rFonts w:asciiTheme="minorHAnsi" w:hAnsiTheme="minorHAnsi"/>
        </w:rPr>
        <w:t>SREP</w:t>
      </w:r>
      <w:proofErr w:type="spellEnd"/>
      <w:r w:rsidRPr="006A6890">
        <w:rPr>
          <w:rFonts w:asciiTheme="minorHAnsi" w:hAnsiTheme="minorHAnsi"/>
        </w:rPr>
        <w:t xml:space="preserve"> tőkekövetelményét, amelyeknek az elérendő tőkeszintet az engedélyezés feltételeként előírt legkisebb jegyzett tőke jelenti – a forint euró árfolyam továbbra is magas volatilitásának a negatív hatását ellensúlyozandó – egységesen a </w:t>
      </w:r>
      <w:proofErr w:type="spellStart"/>
      <w:r w:rsidRPr="006A6890">
        <w:rPr>
          <w:rFonts w:asciiTheme="minorHAnsi" w:hAnsiTheme="minorHAnsi"/>
        </w:rPr>
        <w:t>Bszt</w:t>
      </w:r>
      <w:proofErr w:type="spellEnd"/>
      <w:r w:rsidRPr="006A6890">
        <w:rPr>
          <w:rFonts w:asciiTheme="minorHAnsi" w:hAnsiTheme="minorHAnsi"/>
        </w:rPr>
        <w:t xml:space="preserve">.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w:t>
      </w:r>
      <w:proofErr w:type="spellStart"/>
      <w:r w:rsidRPr="006A6890">
        <w:rPr>
          <w:rFonts w:asciiTheme="minorHAnsi" w:hAnsiTheme="minorHAnsi"/>
        </w:rPr>
        <w:t>ával</w:t>
      </w:r>
      <w:proofErr w:type="spellEnd"/>
      <w:r w:rsidRPr="006A6890">
        <w:rPr>
          <w:rFonts w:asciiTheme="minorHAnsi" w:hAnsiTheme="minorHAnsi"/>
        </w:rPr>
        <w:t xml:space="preserve">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eljárásban a harmadik fél partnerekkel szembeni koncentrációs kockázat figyelembe vételére azon intézmények esetében kerül sor, amelyeknek a nem hazai partnerekkel szembeni kitettségének a - </w:t>
      </w:r>
      <w:proofErr w:type="spellStart"/>
      <w:r w:rsidRPr="006A6890">
        <w:rPr>
          <w:rFonts w:asciiTheme="minorHAnsi" w:hAnsiTheme="minorHAnsi"/>
        </w:rPr>
        <w:t>KELER-rel</w:t>
      </w:r>
      <w:proofErr w:type="spellEnd"/>
      <w:r w:rsidRPr="006A6890">
        <w:rPr>
          <w:rFonts w:asciiTheme="minorHAnsi" w:hAnsiTheme="minorHAnsi"/>
        </w:rPr>
        <w:t xml:space="preserve">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100%-ában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6A6890" w:rsidRDefault="003F29E3" w:rsidP="008F2D8B">
      <w:pPr>
        <w:pStyle w:val="Heading2"/>
        <w:rPr>
          <w:rFonts w:asciiTheme="minorHAnsi" w:hAnsiTheme="minorHAnsi"/>
        </w:rPr>
      </w:pPr>
      <w:bookmarkStart w:id="1509" w:name="_Toc461095273"/>
      <w:bookmarkStart w:id="1510" w:name="_Toc461179234"/>
      <w:bookmarkStart w:id="1511" w:name="_Toc461179929"/>
      <w:bookmarkStart w:id="1512" w:name="_Toc461197775"/>
      <w:bookmarkStart w:id="1513" w:name="_Toc461201373"/>
      <w:bookmarkStart w:id="1514" w:name="_Toc461548074"/>
      <w:bookmarkStart w:id="1515" w:name="_Toc462402114"/>
      <w:bookmarkStart w:id="1516" w:name="_Toc462403289"/>
      <w:bookmarkStart w:id="1517" w:name="_Toc462403561"/>
      <w:bookmarkStart w:id="1518" w:name="_Toc468180681"/>
      <w:bookmarkStart w:id="1519" w:name="_Toc468181238"/>
      <w:bookmarkStart w:id="1520" w:name="_Toc468191504"/>
      <w:bookmarkStart w:id="1521" w:name="_Toc27139027"/>
      <w:r w:rsidRPr="006A6890">
        <w:rPr>
          <w:rFonts w:asciiTheme="minorHAnsi" w:hAnsiTheme="minorHAnsi"/>
        </w:rPr>
        <w:t>Felügyeleti intézkedések a kis intézményekkel szemben</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66B15776"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w:t>
      </w:r>
      <w:proofErr w:type="spellStart"/>
      <w:r w:rsidRPr="006A6890">
        <w:rPr>
          <w:rFonts w:asciiTheme="minorHAnsi" w:hAnsiTheme="minorHAnsi"/>
        </w:rPr>
        <w:t>prudenciális</w:t>
      </w:r>
      <w:proofErr w:type="spellEnd"/>
      <w:r w:rsidRPr="006A6890">
        <w:rPr>
          <w:rFonts w:asciiTheme="minorHAnsi" w:hAnsiTheme="minorHAnsi"/>
        </w:rPr>
        <w:t xml:space="preserve">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w:t>
      </w:r>
      <w:proofErr w:type="spellStart"/>
      <w:r w:rsidRPr="006A6890">
        <w:rPr>
          <w:rFonts w:asciiTheme="minorHAnsi" w:hAnsiTheme="minorHAnsi"/>
        </w:rPr>
        <w:t>tevékenységenkénti</w:t>
      </w:r>
      <w:proofErr w:type="spellEnd"/>
      <w:r w:rsidRPr="006A6890">
        <w:rPr>
          <w:rFonts w:asciiTheme="minorHAnsi" w:hAnsiTheme="minorHAnsi"/>
        </w:rPr>
        <w:t xml:space="preserve">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Heading3"/>
        <w:rPr>
          <w:rFonts w:asciiTheme="minorHAnsi" w:hAnsiTheme="minorHAnsi"/>
        </w:rPr>
      </w:pPr>
      <w:bookmarkStart w:id="1522" w:name="_Toc461095274"/>
      <w:bookmarkStart w:id="1523" w:name="_Toc461179930"/>
      <w:bookmarkStart w:id="1524" w:name="_Toc461201374"/>
      <w:bookmarkStart w:id="1525" w:name="_Toc461548075"/>
      <w:bookmarkStart w:id="1526" w:name="_Toc462402115"/>
      <w:bookmarkStart w:id="1527" w:name="_Toc462403290"/>
      <w:bookmarkStart w:id="1528" w:name="_Toc462403562"/>
      <w:bookmarkStart w:id="1529" w:name="_Toc468180682"/>
      <w:bookmarkStart w:id="1530" w:name="_Toc468181239"/>
      <w:bookmarkStart w:id="1531" w:name="_Toc468191505"/>
      <w:bookmarkStart w:id="1532" w:name="_Toc27139028"/>
      <w:r w:rsidRPr="006A6890">
        <w:rPr>
          <w:rFonts w:asciiTheme="minorHAnsi" w:hAnsiTheme="minorHAnsi"/>
        </w:rPr>
        <w:t>Felügyeleti intézkedések kis hitelintézeteknél</w:t>
      </w:r>
      <w:bookmarkEnd w:id="1522"/>
      <w:bookmarkEnd w:id="1523"/>
      <w:bookmarkEnd w:id="1524"/>
      <w:bookmarkEnd w:id="1525"/>
      <w:bookmarkEnd w:id="1526"/>
      <w:bookmarkEnd w:id="1527"/>
      <w:bookmarkEnd w:id="1528"/>
      <w:bookmarkEnd w:id="1529"/>
      <w:bookmarkEnd w:id="1530"/>
      <w:bookmarkEnd w:id="1531"/>
      <w:bookmarkEnd w:id="1532"/>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w:t>
      </w:r>
      <w:proofErr w:type="spellStart"/>
      <w:r w:rsidR="001A580F" w:rsidRPr="006A6890">
        <w:rPr>
          <w:rFonts w:asciiTheme="minorHAnsi" w:hAnsiTheme="minorHAnsi"/>
          <w:lang w:val="hu-HU"/>
        </w:rPr>
        <w:t>ILAAP</w:t>
      </w:r>
      <w:proofErr w:type="spellEnd"/>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Heading3"/>
        <w:rPr>
          <w:rFonts w:asciiTheme="minorHAnsi" w:hAnsiTheme="minorHAnsi"/>
        </w:rPr>
      </w:pPr>
      <w:bookmarkStart w:id="1533" w:name="_Toc461095275"/>
      <w:bookmarkStart w:id="1534" w:name="_Toc461179931"/>
      <w:bookmarkStart w:id="1535" w:name="_Toc461201375"/>
      <w:bookmarkStart w:id="1536" w:name="_Toc461548076"/>
      <w:bookmarkStart w:id="1537" w:name="_Toc462402116"/>
      <w:bookmarkStart w:id="1538" w:name="_Toc462403291"/>
      <w:bookmarkStart w:id="1539" w:name="_Toc462403563"/>
      <w:bookmarkStart w:id="1540" w:name="_Toc468180683"/>
      <w:bookmarkStart w:id="1541" w:name="_Toc468181240"/>
      <w:bookmarkStart w:id="1542" w:name="_Toc468191506"/>
      <w:bookmarkStart w:id="1543" w:name="_Toc27139029"/>
      <w:r w:rsidRPr="006A6890">
        <w:rPr>
          <w:rFonts w:asciiTheme="minorHAnsi" w:hAnsiTheme="minorHAnsi"/>
        </w:rPr>
        <w:t>Felügyeleti intézkedések befektetési vállalkozásoknál</w:t>
      </w:r>
      <w:bookmarkEnd w:id="1533"/>
      <w:bookmarkEnd w:id="1534"/>
      <w:bookmarkEnd w:id="1535"/>
      <w:bookmarkEnd w:id="1536"/>
      <w:bookmarkEnd w:id="1537"/>
      <w:bookmarkEnd w:id="1538"/>
      <w:bookmarkEnd w:id="1539"/>
      <w:bookmarkEnd w:id="1540"/>
      <w:bookmarkEnd w:id="1541"/>
      <w:bookmarkEnd w:id="1542"/>
      <w:bookmarkEnd w:id="1543"/>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függő számlák, átvezetési számlák, technikai számlák megnyitása, vezetése (indokolatlanul, </w:t>
      </w:r>
      <w:proofErr w:type="spellStart"/>
      <w:r w:rsidRPr="006A6890">
        <w:rPr>
          <w:rFonts w:asciiTheme="minorHAnsi" w:hAnsiTheme="minorHAnsi"/>
        </w:rPr>
        <w:t>kontrollálatlanul</w:t>
      </w:r>
      <w:proofErr w:type="spellEnd"/>
      <w:r w:rsidRPr="006A6890">
        <w:rPr>
          <w:rFonts w:asciiTheme="minorHAnsi" w:hAnsiTheme="minorHAnsi"/>
        </w:rPr>
        <w:t>),</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elegendő anyagi vagy humán erőforrást a back </w:t>
      </w:r>
      <w:proofErr w:type="spellStart"/>
      <w:r w:rsidRPr="006A6890">
        <w:rPr>
          <w:rFonts w:asciiTheme="minorHAnsi" w:hAnsiTheme="minorHAnsi"/>
        </w:rPr>
        <w:t>office</w:t>
      </w:r>
      <w:proofErr w:type="spellEnd"/>
      <w:r w:rsidRPr="006A6890">
        <w:rPr>
          <w:rFonts w:asciiTheme="minorHAnsi" w:hAnsiTheme="minorHAnsi"/>
        </w:rPr>
        <w:t xml:space="preserv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kereskedési és a back </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 xml:space="preserve">Befektetési vállalkozások esetében amennyiben a felügyeleti felülvizsgálati eljárás, illetve az adatszolgáltatások vagy felügyeleti vizsgálatok során feltárt problémák túlnyomó részt a III. kategóriába esnek, a </w:t>
      </w:r>
      <w:proofErr w:type="spellStart"/>
      <w:r w:rsidRPr="006A6890">
        <w:rPr>
          <w:rFonts w:asciiTheme="minorHAnsi" w:hAnsiTheme="minorHAnsi"/>
        </w:rPr>
        <w:t>SREP</w:t>
      </w:r>
      <w:proofErr w:type="spellEnd"/>
      <w:r w:rsidRPr="006A6890">
        <w:rPr>
          <w:rFonts w:asciiTheme="minorHAnsi" w:hAnsiTheme="minorHAnsi"/>
        </w:rPr>
        <w:t xml:space="preserve"> tőkekövetelmény 8-10% </w:t>
      </w:r>
      <w:proofErr w:type="spellStart"/>
      <w:r w:rsidRPr="006A6890">
        <w:rPr>
          <w:rFonts w:asciiTheme="minorHAnsi" w:hAnsiTheme="minorHAnsi"/>
        </w:rPr>
        <w:t>TMM</w:t>
      </w:r>
      <w:proofErr w:type="spellEnd"/>
      <w:r w:rsidRPr="006A6890">
        <w:rPr>
          <w:rFonts w:asciiTheme="minorHAnsi" w:hAnsiTheme="minorHAnsi"/>
        </w:rPr>
        <w:t xml:space="preserve"> vagy 100-120% induló tőke; amennyiben a II. kategóriába esnek 8-12% </w:t>
      </w:r>
      <w:proofErr w:type="spellStart"/>
      <w:r w:rsidRPr="006A6890">
        <w:rPr>
          <w:rFonts w:asciiTheme="minorHAnsi" w:hAnsiTheme="minorHAnsi"/>
        </w:rPr>
        <w:t>TMM</w:t>
      </w:r>
      <w:proofErr w:type="spellEnd"/>
      <w:r w:rsidRPr="006A6890">
        <w:rPr>
          <w:rFonts w:asciiTheme="minorHAnsi" w:hAnsiTheme="minorHAnsi"/>
        </w:rPr>
        <w:t xml:space="preserve"> vagy 100-160% induló tőke; amennyiben az I. kategóriába esnek 8-16% </w:t>
      </w:r>
      <w:proofErr w:type="spellStart"/>
      <w:r w:rsidRPr="006A6890">
        <w:rPr>
          <w:rFonts w:asciiTheme="minorHAnsi" w:hAnsiTheme="minorHAnsi"/>
        </w:rPr>
        <w:t>TMM</w:t>
      </w:r>
      <w:proofErr w:type="spellEnd"/>
      <w:r w:rsidRPr="006A6890">
        <w:rPr>
          <w:rFonts w:asciiTheme="minorHAnsi" w:hAnsiTheme="minorHAnsi"/>
        </w:rPr>
        <w:t xml:space="preserve">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 xml:space="preserve">tőkekövetelmény összege) legfeljebb a </w:t>
      </w:r>
      <w:proofErr w:type="spellStart"/>
      <w:r w:rsidRPr="006A6890">
        <w:rPr>
          <w:rFonts w:asciiTheme="minorHAnsi" w:hAnsiTheme="minorHAnsi"/>
        </w:rPr>
        <w:t>Bszt</w:t>
      </w:r>
      <w:proofErr w:type="spellEnd"/>
      <w:r w:rsidRPr="006A6890">
        <w:rPr>
          <w:rFonts w:asciiTheme="minorHAnsi" w:hAnsiTheme="minorHAnsi"/>
        </w:rPr>
        <w: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b) pontja határozza meg 8%-</w:t>
      </w:r>
      <w:proofErr w:type="spellStart"/>
      <w:r w:rsidRPr="006A6890">
        <w:rPr>
          <w:rFonts w:asciiTheme="minorHAnsi" w:hAnsiTheme="minorHAnsi"/>
        </w:rPr>
        <w:t>tól</w:t>
      </w:r>
      <w:proofErr w:type="spellEnd"/>
      <w:r w:rsidRPr="006A6890">
        <w:rPr>
          <w:rFonts w:asciiTheme="minorHAnsi" w:hAnsiTheme="minorHAnsi"/>
        </w:rPr>
        <w:t xml:space="preserve"> 16%-</w:t>
      </w:r>
      <w:proofErr w:type="spellStart"/>
      <w:r w:rsidRPr="006A6890">
        <w:rPr>
          <w:rFonts w:asciiTheme="minorHAnsi" w:hAnsiTheme="minorHAnsi"/>
        </w:rPr>
        <w:t>ig</w:t>
      </w:r>
      <w:proofErr w:type="spellEnd"/>
      <w:r w:rsidRPr="006A6890">
        <w:rPr>
          <w:rFonts w:asciiTheme="minorHAnsi" w:hAnsiTheme="minorHAnsi"/>
        </w:rPr>
        <w:t xml:space="preserve">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a) pontja határozza meg, a tevékenység megkezdéséhez szükséges induló tőke 100%-</w:t>
      </w:r>
      <w:proofErr w:type="spellStart"/>
      <w:r w:rsidRPr="006A6890">
        <w:rPr>
          <w:rFonts w:asciiTheme="minorHAnsi" w:hAnsiTheme="minorHAnsi"/>
        </w:rPr>
        <w:t>tól</w:t>
      </w:r>
      <w:proofErr w:type="spellEnd"/>
      <w:r w:rsidRPr="006A6890">
        <w:rPr>
          <w:rFonts w:asciiTheme="minorHAnsi" w:hAnsiTheme="minorHAnsi"/>
        </w:rPr>
        <w:t xml:space="preserve"> 200%-</w:t>
      </w:r>
      <w:proofErr w:type="spellStart"/>
      <w:r w:rsidRPr="006A6890">
        <w:rPr>
          <w:rFonts w:asciiTheme="minorHAnsi" w:hAnsiTheme="minorHAnsi"/>
        </w:rPr>
        <w:t>ig</w:t>
      </w:r>
      <w:proofErr w:type="spellEnd"/>
      <w:r w:rsidRPr="006A6890">
        <w:rPr>
          <w:rFonts w:asciiTheme="minorHAnsi" w:hAnsiTheme="minorHAnsi"/>
        </w:rPr>
        <w:t xml:space="preserve"> terjedő elő</w:t>
      </w:r>
      <w:r w:rsidR="00FB41CF" w:rsidRPr="006A6890">
        <w:rPr>
          <w:rFonts w:asciiTheme="minorHAnsi" w:hAnsiTheme="minorHAnsi"/>
        </w:rPr>
        <w:t>írásaként kerül meghatározásra.</w:t>
      </w:r>
    </w:p>
    <w:p w14:paraId="66B157A3" w14:textId="77777777" w:rsidR="003F29E3" w:rsidRPr="006A6890" w:rsidRDefault="003F29E3" w:rsidP="008F2D8B">
      <w:pPr>
        <w:pStyle w:val="Heading2"/>
        <w:rPr>
          <w:rFonts w:asciiTheme="minorHAnsi" w:hAnsiTheme="minorHAnsi"/>
        </w:rPr>
      </w:pPr>
      <w:bookmarkStart w:id="1544" w:name="_Toc461095276"/>
      <w:bookmarkStart w:id="1545" w:name="_Toc461179235"/>
      <w:bookmarkStart w:id="1546" w:name="_Toc461179932"/>
      <w:bookmarkStart w:id="1547" w:name="_Toc461197776"/>
      <w:bookmarkStart w:id="1548" w:name="_Toc461201376"/>
      <w:bookmarkStart w:id="1549" w:name="_Toc461548077"/>
      <w:bookmarkStart w:id="1550" w:name="_Toc462402117"/>
      <w:bookmarkStart w:id="1551" w:name="_Toc462403292"/>
      <w:bookmarkStart w:id="1552" w:name="_Toc462403564"/>
      <w:bookmarkStart w:id="1553" w:name="_Toc468180684"/>
      <w:bookmarkStart w:id="1554" w:name="_Toc468181241"/>
      <w:bookmarkStart w:id="1555" w:name="_Toc468191507"/>
      <w:bookmarkStart w:id="1556" w:name="_Toc27139030"/>
      <w:r w:rsidRPr="006A6890">
        <w:rPr>
          <w:rFonts w:asciiTheme="minorHAnsi" w:hAnsiTheme="minorHAnsi"/>
        </w:rPr>
        <w:t>A felügyeleti felülvizsgálat lezárása</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w:t>
      </w:r>
      <w:proofErr w:type="spellStart"/>
      <w:r w:rsidRPr="006A6890">
        <w:rPr>
          <w:rFonts w:asciiTheme="minorHAnsi" w:hAnsiTheme="minorHAnsi"/>
        </w:rPr>
        <w:t>prudenciális</w:t>
      </w:r>
      <w:proofErr w:type="spellEnd"/>
      <w:r w:rsidRPr="006A6890">
        <w:rPr>
          <w:rFonts w:asciiTheme="minorHAnsi" w:hAnsiTheme="minorHAnsi"/>
        </w:rPr>
        <w:t xml:space="preserve"> levélben tájékoztatja az intézményeket. A felügyeleti felülvizsgálati folyamat számszerű eredményét az MNB a </w:t>
      </w:r>
      <w:proofErr w:type="spellStart"/>
      <w:r w:rsidRPr="006A6890">
        <w:rPr>
          <w:rFonts w:asciiTheme="minorHAnsi" w:hAnsiTheme="minorHAnsi"/>
        </w:rPr>
        <w:t>prudenciális</w:t>
      </w:r>
      <w:proofErr w:type="spellEnd"/>
      <w:r w:rsidRPr="006A6890">
        <w:rPr>
          <w:rFonts w:asciiTheme="minorHAnsi" w:hAnsiTheme="minorHAnsi"/>
        </w:rPr>
        <w:t xml:space="preserve"> levélhez csatolt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dokumentálja. Amennyiben az előírt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követelménynek (</w:t>
      </w:r>
      <w:proofErr w:type="spellStart"/>
      <w:r w:rsidRPr="006A6890">
        <w:rPr>
          <w:rFonts w:asciiTheme="minorHAnsi" w:hAnsiTheme="minorHAnsi"/>
        </w:rPr>
        <w:t>TSCR</w:t>
      </w:r>
      <w:proofErr w:type="spellEnd"/>
      <w:r w:rsidRPr="006A6890">
        <w:rPr>
          <w:rFonts w:asciiTheme="minorHAnsi" w:hAnsiTheme="minorHAnsi"/>
        </w:rPr>
        <w:t>),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Heading1"/>
        <w:numPr>
          <w:ilvl w:val="0"/>
          <w:numId w:val="0"/>
        </w:numPr>
        <w:ind w:left="357" w:hanging="357"/>
        <w:rPr>
          <w:rFonts w:asciiTheme="minorHAnsi" w:hAnsiTheme="minorHAnsi"/>
        </w:rPr>
      </w:pPr>
      <w:bookmarkStart w:id="1557" w:name="_VIII._Az_ICAAP"/>
      <w:bookmarkEnd w:id="1557"/>
      <w:r w:rsidRPr="006A6890">
        <w:rPr>
          <w:rFonts w:asciiTheme="minorHAnsi" w:hAnsiTheme="minorHAnsi"/>
        </w:rPr>
        <w:br w:type="page"/>
      </w:r>
      <w:bookmarkStart w:id="1558" w:name="_IX._Nyilvánosságra-hozatal_és"/>
      <w:bookmarkStart w:id="1559" w:name="_Toc461095277"/>
      <w:bookmarkStart w:id="1560" w:name="_Toc461179236"/>
      <w:bookmarkStart w:id="1561" w:name="_Toc461179933"/>
      <w:bookmarkStart w:id="1562" w:name="_Toc461197777"/>
      <w:bookmarkStart w:id="1563" w:name="_Toc461201377"/>
      <w:bookmarkStart w:id="1564" w:name="_Toc461548078"/>
      <w:bookmarkStart w:id="1565" w:name="_Toc462402118"/>
      <w:bookmarkStart w:id="1566" w:name="_Toc462403293"/>
      <w:bookmarkStart w:id="1567" w:name="_Toc462403565"/>
      <w:bookmarkStart w:id="1568" w:name="_Toc468180685"/>
      <w:bookmarkStart w:id="1569" w:name="_Toc468181242"/>
      <w:bookmarkStart w:id="1570" w:name="_Toc468191508"/>
      <w:bookmarkStart w:id="1571" w:name="_Toc27139031"/>
      <w:bookmarkStart w:id="1572" w:name="_Toc378256250"/>
      <w:bookmarkStart w:id="1573" w:name="_Toc378592111"/>
      <w:bookmarkEnd w:id="1558"/>
      <w:r w:rsidRPr="006A6890">
        <w:rPr>
          <w:rFonts w:asciiTheme="minorHAnsi" w:hAnsiTheme="minorHAnsi"/>
        </w:rPr>
        <w:lastRenderedPageBreak/>
        <w:t>Dokumentum-lista</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p>
    <w:bookmarkEnd w:id="1572"/>
    <w:bookmarkEnd w:id="1573"/>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w:t>
      </w:r>
      <w:proofErr w:type="spellStart"/>
      <w:r w:rsidRPr="006A6890">
        <w:rPr>
          <w:rFonts w:asciiTheme="minorHAnsi" w:hAnsiTheme="minorHAnsi"/>
        </w:rPr>
        <w:t>ILAAP</w:t>
      </w:r>
      <w:proofErr w:type="spellEnd"/>
      <w:r w:rsidRPr="006A6890">
        <w:rPr>
          <w:rFonts w:asciiTheme="minorHAnsi" w:hAnsiTheme="minorHAnsi"/>
        </w:rPr>
        <w:t xml:space="preserve">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6A6890" w:rsidRDefault="003F29E3" w:rsidP="008F2D8B">
      <w:pPr>
        <w:pStyle w:val="Heading2"/>
        <w:rPr>
          <w:rFonts w:asciiTheme="minorHAnsi" w:hAnsiTheme="minorHAnsi"/>
        </w:rPr>
      </w:pPr>
      <w:bookmarkStart w:id="1574" w:name="_Összefoglaló"/>
      <w:bookmarkStart w:id="1575" w:name="_Toc378592112"/>
      <w:bookmarkStart w:id="1576" w:name="_Toc461095278"/>
      <w:bookmarkStart w:id="1577" w:name="_Toc461179237"/>
      <w:bookmarkStart w:id="1578" w:name="_Toc461179934"/>
      <w:bookmarkStart w:id="1579" w:name="_Toc461197778"/>
      <w:bookmarkStart w:id="1580" w:name="_Toc461201378"/>
      <w:bookmarkStart w:id="1581" w:name="_Toc461548079"/>
      <w:bookmarkStart w:id="1582" w:name="_Toc462402119"/>
      <w:bookmarkStart w:id="1583" w:name="_Toc462403294"/>
      <w:bookmarkStart w:id="1584" w:name="_Toc462403566"/>
      <w:bookmarkStart w:id="1585" w:name="_Toc468180686"/>
      <w:bookmarkStart w:id="1586" w:name="_Toc468181243"/>
      <w:bookmarkStart w:id="1587" w:name="_Toc468191509"/>
      <w:bookmarkStart w:id="1588" w:name="_Toc27139032"/>
      <w:bookmarkEnd w:id="1574"/>
      <w:r w:rsidRPr="006A6890">
        <w:rPr>
          <w:rFonts w:asciiTheme="minorHAnsi" w:hAnsiTheme="minorHAnsi"/>
        </w:rPr>
        <w:t>Összefoglaló</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w:t>
      </w:r>
      <w:proofErr w:type="spellStart"/>
      <w:r w:rsidRPr="006A6890">
        <w:rPr>
          <w:rFonts w:asciiTheme="minorHAnsi" w:hAnsiTheme="minorHAnsi"/>
          <w:lang w:val="hu-HU"/>
        </w:rPr>
        <w:t>ek</w:t>
      </w:r>
      <w:proofErr w:type="spellEnd"/>
      <w:r w:rsidRPr="006A6890">
        <w:rPr>
          <w:rFonts w:asciiTheme="minorHAnsi" w:hAnsiTheme="minorHAnsi"/>
          <w:lang w:val="hu-HU"/>
        </w:rPr>
        <w:t>)</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proofErr w:type="spellStart"/>
      <w:r w:rsidRPr="006A6890">
        <w:rPr>
          <w:rFonts w:asciiTheme="minorHAnsi" w:hAnsiTheme="minorHAnsi"/>
        </w:rPr>
        <w:t>Use</w:t>
      </w:r>
      <w:proofErr w:type="spellEnd"/>
      <w:r w:rsidRPr="006A6890">
        <w:rPr>
          <w:rFonts w:asciiTheme="minorHAnsi" w:hAnsiTheme="minorHAnsi"/>
        </w:rPr>
        <w:t xml:space="preserv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w:t>
      </w:r>
      <w:proofErr w:type="spellStart"/>
      <w:r w:rsidRPr="006A6890">
        <w:rPr>
          <w:rFonts w:asciiTheme="minorHAnsi" w:hAnsiTheme="minorHAnsi"/>
        </w:rPr>
        <w:t>GAP</w:t>
      </w:r>
      <w:proofErr w:type="spellEnd"/>
      <w:r w:rsidRPr="006A6890">
        <w:rPr>
          <w:rFonts w:asciiTheme="minorHAnsi" w:hAnsiTheme="minorHAnsi"/>
        </w:rPr>
        <w:t xml:space="preserve"> analízis) és ezek alapján megfogalmazott feladattervek ismertetése, ICAAP</w:t>
      </w:r>
      <w:r w:rsidRPr="006A6890">
        <w:rPr>
          <w:rFonts w:asciiTheme="minorHAnsi" w:hAnsiTheme="minorHAnsi"/>
          <w:lang w:val="hu-HU"/>
        </w:rPr>
        <w:t xml:space="preserve"> és </w:t>
      </w:r>
      <w:proofErr w:type="spellStart"/>
      <w:r w:rsidRPr="006A6890">
        <w:rPr>
          <w:rFonts w:asciiTheme="minorHAnsi" w:hAnsiTheme="minorHAnsi"/>
          <w:lang w:val="hu-HU"/>
        </w:rPr>
        <w:t>ILAAP</w:t>
      </w:r>
      <w:proofErr w:type="spellEnd"/>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6A6890" w:rsidRDefault="003F29E3" w:rsidP="008F2D8B">
      <w:pPr>
        <w:pStyle w:val="Heading2"/>
        <w:rPr>
          <w:rFonts w:asciiTheme="minorHAnsi" w:hAnsiTheme="minorHAnsi"/>
        </w:rPr>
      </w:pPr>
      <w:bookmarkStart w:id="1589" w:name="_A_jelenlegi_és"/>
      <w:bookmarkStart w:id="1590" w:name="_Toc378592113"/>
      <w:bookmarkStart w:id="1591" w:name="_Toc461095279"/>
      <w:bookmarkStart w:id="1592" w:name="_Toc461179238"/>
      <w:bookmarkStart w:id="1593" w:name="_Toc461179935"/>
      <w:bookmarkStart w:id="1594" w:name="_Toc461197779"/>
      <w:bookmarkStart w:id="1595" w:name="_Toc461201379"/>
      <w:bookmarkStart w:id="1596" w:name="_Toc461548080"/>
      <w:bookmarkStart w:id="1597" w:name="_Toc462402120"/>
      <w:bookmarkStart w:id="1598" w:name="_Toc462403295"/>
      <w:bookmarkStart w:id="1599" w:name="_Toc462403567"/>
      <w:bookmarkStart w:id="1600" w:name="_Toc468180687"/>
      <w:bookmarkStart w:id="1601" w:name="_Toc468181244"/>
      <w:bookmarkStart w:id="1602" w:name="_Toc468191510"/>
      <w:bookmarkStart w:id="1603" w:name="_Toc27139033"/>
      <w:bookmarkEnd w:id="1589"/>
      <w:r w:rsidRPr="006A6890">
        <w:rPr>
          <w:rFonts w:asciiTheme="minorHAnsi" w:hAnsiTheme="minorHAnsi"/>
        </w:rPr>
        <w:t>A jelenlegi és a tervezett tőkehelyzet bemutatása</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6A6890" w:rsidRDefault="00AB1BC5" w:rsidP="008F2D8B">
      <w:pPr>
        <w:pStyle w:val="Heading2"/>
        <w:rPr>
          <w:rFonts w:asciiTheme="minorHAnsi" w:hAnsiTheme="minorHAnsi"/>
        </w:rPr>
      </w:pPr>
      <w:bookmarkStart w:id="1604" w:name="_Tőkemegfelelési_számítás_részletes"/>
      <w:bookmarkStart w:id="1605" w:name="_Toc378592114"/>
      <w:bookmarkEnd w:id="1604"/>
      <w:r w:rsidRPr="006A6890">
        <w:rPr>
          <w:rFonts w:asciiTheme="minorHAnsi" w:hAnsiTheme="minorHAnsi"/>
        </w:rPr>
        <w:br w:type="page"/>
      </w:r>
      <w:bookmarkStart w:id="1606" w:name="_Toc461095280"/>
      <w:bookmarkStart w:id="1607" w:name="_Toc461179239"/>
      <w:bookmarkStart w:id="1608" w:name="_Toc461179936"/>
      <w:bookmarkStart w:id="1609" w:name="_Toc461197780"/>
      <w:bookmarkStart w:id="1610" w:name="_Toc461201380"/>
      <w:bookmarkStart w:id="1611" w:name="_Toc461548081"/>
      <w:bookmarkStart w:id="1612" w:name="_Toc462402121"/>
      <w:bookmarkStart w:id="1613" w:name="_Toc462403296"/>
      <w:bookmarkStart w:id="1614" w:name="_Toc462403568"/>
      <w:bookmarkStart w:id="1615" w:name="_Toc468180688"/>
      <w:bookmarkStart w:id="1616" w:name="_Toc468181245"/>
      <w:bookmarkStart w:id="1617" w:name="_Toc468191511"/>
      <w:bookmarkStart w:id="1618" w:name="_Toc27139034"/>
      <w:r w:rsidR="003F29E3" w:rsidRPr="006A6890">
        <w:rPr>
          <w:rFonts w:asciiTheme="minorHAnsi" w:hAnsiTheme="minorHAnsi"/>
        </w:rPr>
        <w:lastRenderedPageBreak/>
        <w:t>Tőkemegfelelési számítás részletes ismertetése</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w:t>
      </w:r>
      <w:proofErr w:type="spellStart"/>
      <w:r w:rsidRPr="006A6890">
        <w:rPr>
          <w:rFonts w:asciiTheme="minorHAnsi" w:hAnsiTheme="minorHAnsi"/>
        </w:rPr>
        <w:t>action</w:t>
      </w:r>
      <w:proofErr w:type="spellEnd"/>
      <w:r w:rsidRPr="006A6890">
        <w:rPr>
          <w:rFonts w:asciiTheme="minorHAnsi" w:hAnsiTheme="minorHAnsi"/>
        </w:rPr>
        <w:t xml:space="preserve"> </w:t>
      </w:r>
      <w:proofErr w:type="spellStart"/>
      <w:r w:rsidRPr="006A6890">
        <w:rPr>
          <w:rFonts w:asciiTheme="minorHAnsi" w:hAnsiTheme="minorHAnsi"/>
        </w:rPr>
        <w:t>plans</w:t>
      </w:r>
      <w:proofErr w:type="spellEnd"/>
      <w:r w:rsidRPr="006A6890">
        <w:rPr>
          <w:rFonts w:asciiTheme="minorHAnsi" w:hAnsiTheme="minorHAnsi"/>
        </w:rPr>
        <w:t>)).</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w:t>
      </w:r>
      <w:proofErr w:type="spellStart"/>
      <w:r w:rsidRPr="006A6890">
        <w:rPr>
          <w:rFonts w:asciiTheme="minorHAnsi" w:hAnsiTheme="minorHAnsi"/>
        </w:rPr>
        <w:t>elégségességének</w:t>
      </w:r>
      <w:proofErr w:type="spellEnd"/>
      <w:r w:rsidRPr="006A6890">
        <w:rPr>
          <w:rFonts w:asciiTheme="minorHAnsi" w:hAnsiTheme="minorHAnsi"/>
        </w:rPr>
        <w:t xml:space="preserve">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6A6890" w:rsidRDefault="003F29E3" w:rsidP="008F2D8B">
      <w:pPr>
        <w:pStyle w:val="Heading2"/>
        <w:rPr>
          <w:rFonts w:asciiTheme="minorHAnsi" w:hAnsiTheme="minorHAnsi"/>
        </w:rPr>
      </w:pPr>
      <w:bookmarkStart w:id="1619" w:name="_A_belső_tőkeszükséglet"/>
      <w:bookmarkStart w:id="1620" w:name="_Toc378592115"/>
      <w:bookmarkStart w:id="1621" w:name="_Toc461095281"/>
      <w:bookmarkStart w:id="1622" w:name="_Toc461179240"/>
      <w:bookmarkStart w:id="1623" w:name="_Toc461179937"/>
      <w:bookmarkStart w:id="1624" w:name="_Toc461197781"/>
      <w:bookmarkStart w:id="1625" w:name="_Toc461201381"/>
      <w:bookmarkStart w:id="1626" w:name="_Toc461548082"/>
      <w:bookmarkStart w:id="1627" w:name="_Toc462402122"/>
      <w:bookmarkStart w:id="1628" w:name="_Toc462403297"/>
      <w:bookmarkStart w:id="1629" w:name="_Toc462403569"/>
      <w:bookmarkStart w:id="1630" w:name="_Toc468180689"/>
      <w:bookmarkStart w:id="1631" w:name="_Toc468181246"/>
      <w:bookmarkStart w:id="1632" w:name="_Toc468191512"/>
      <w:bookmarkStart w:id="1633" w:name="_Toc27139035"/>
      <w:bookmarkEnd w:id="1619"/>
      <w:r w:rsidRPr="006A6890">
        <w:rPr>
          <w:rFonts w:asciiTheme="minorHAnsi" w:hAnsiTheme="minorHAnsi"/>
        </w:rPr>
        <w:t>A belső tőkeszükséglet</w:t>
      </w:r>
      <w:r w:rsidRPr="006A6890">
        <w:rPr>
          <w:rFonts w:asciiTheme="minorHAnsi" w:hAnsiTheme="minorHAnsi"/>
          <w:lang w:val="hu-HU"/>
        </w:rPr>
        <w:t>-</w:t>
      </w:r>
      <w:r w:rsidRPr="006A6890">
        <w:rPr>
          <w:rFonts w:asciiTheme="minorHAnsi" w:hAnsiTheme="minorHAnsi"/>
        </w:rPr>
        <w:t>számítási módszertan beépülése a folyamatokba</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w:t>
      </w:r>
      <w:proofErr w:type="spellStart"/>
      <w:r w:rsidRPr="006A6890">
        <w:rPr>
          <w:rFonts w:asciiTheme="minorHAnsi" w:hAnsiTheme="minorHAnsi"/>
        </w:rPr>
        <w:t>et</w:t>
      </w:r>
      <w:proofErr w:type="spellEnd"/>
      <w:r w:rsidRPr="006A6890">
        <w:rPr>
          <w:rFonts w:asciiTheme="minorHAnsi" w:hAnsiTheme="minorHAnsi"/>
        </w:rPr>
        <w:t xml:space="preserve">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6A6890" w:rsidRDefault="003F29E3" w:rsidP="008F2D8B">
      <w:pPr>
        <w:pStyle w:val="Heading2"/>
        <w:rPr>
          <w:rFonts w:asciiTheme="minorHAnsi" w:hAnsiTheme="minorHAnsi"/>
        </w:rPr>
      </w:pPr>
      <w:bookmarkStart w:id="1634" w:name="_Toc461095282"/>
      <w:bookmarkStart w:id="1635" w:name="_Toc461179241"/>
      <w:bookmarkStart w:id="1636" w:name="_Toc461179938"/>
      <w:bookmarkStart w:id="1637" w:name="_Toc461197782"/>
      <w:bookmarkStart w:id="1638" w:name="_Toc461201382"/>
      <w:bookmarkStart w:id="1639" w:name="_Toc461548083"/>
      <w:bookmarkStart w:id="1640" w:name="_Toc462402123"/>
      <w:bookmarkStart w:id="1641" w:name="_Toc462403298"/>
      <w:bookmarkStart w:id="1642" w:name="_Toc462403570"/>
      <w:bookmarkStart w:id="1643" w:name="_Toc468180690"/>
      <w:bookmarkStart w:id="1644" w:name="_Toc468181247"/>
      <w:bookmarkStart w:id="1645" w:name="_Toc468191513"/>
      <w:bookmarkStart w:id="1646" w:name="_Toc27139036"/>
      <w:r w:rsidRPr="006A6890">
        <w:rPr>
          <w:rFonts w:asciiTheme="minorHAnsi" w:hAnsiTheme="minorHAnsi"/>
        </w:rPr>
        <w:t>A likviditás megfelelőségének belső értékelési folyamatának ismertetése</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66B157CD" w14:textId="77777777" w:rsidR="003F29E3" w:rsidRPr="006A6890" w:rsidRDefault="003F29E3"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proofErr w:type="spellStart"/>
      <w:r w:rsidRPr="006A6890">
        <w:rPr>
          <w:rFonts w:asciiTheme="minorHAnsi" w:hAnsiTheme="minorHAnsi"/>
        </w:rPr>
        <w:t>ktuális</w:t>
      </w:r>
      <w:proofErr w:type="spellEnd"/>
      <w:r w:rsidRPr="006A6890">
        <w:rPr>
          <w:rFonts w:asciiTheme="minorHAnsi" w:hAnsiTheme="minorHAnsi"/>
        </w:rPr>
        <w:t xml:space="preserve">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w:t>
      </w:r>
      <w:proofErr w:type="spellStart"/>
      <w:r w:rsidRPr="006A6890">
        <w:rPr>
          <w:rFonts w:asciiTheme="minorHAnsi" w:hAnsiTheme="minorHAnsi"/>
        </w:rPr>
        <w:t>LCP</w:t>
      </w:r>
      <w:proofErr w:type="spellEnd"/>
      <w:r w:rsidRPr="006A6890">
        <w:rPr>
          <w:rFonts w:asciiTheme="minorHAnsi" w:hAnsiTheme="minorHAnsi"/>
        </w:rPr>
        <w:t>)</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apcsolódó</w:t>
      </w:r>
      <w:proofErr w:type="spellEnd"/>
      <w:r w:rsidRPr="006A6890">
        <w:rPr>
          <w:rFonts w:asciiTheme="minorHAnsi" w:hAnsiTheme="minorHAnsi"/>
        </w:rPr>
        <w:t xml:space="preserve">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orai</w:t>
      </w:r>
      <w:proofErr w:type="spellEnd"/>
      <w:r w:rsidRPr="006A6890">
        <w:rPr>
          <w:rFonts w:asciiTheme="minorHAnsi" w:hAnsiTheme="minorHAnsi"/>
        </w:rPr>
        <w:t xml:space="preserve"> </w:t>
      </w:r>
      <w:proofErr w:type="spellStart"/>
      <w:r w:rsidRPr="006A6890">
        <w:rPr>
          <w:rFonts w:asciiTheme="minorHAnsi" w:hAnsiTheme="minorHAnsi"/>
        </w:rPr>
        <w:t>figyelmezető</w:t>
      </w:r>
      <w:proofErr w:type="spellEnd"/>
      <w:r w:rsidRPr="006A6890">
        <w:rPr>
          <w:rFonts w:asciiTheme="minorHAnsi" w:hAnsiTheme="minorHAnsi"/>
        </w:rPr>
        <w:t xml:space="preserve"> jelek elmúlt egy évi értékei, küszöbértékei (</w:t>
      </w:r>
      <w:proofErr w:type="spellStart"/>
      <w:r w:rsidRPr="006A6890">
        <w:rPr>
          <w:rFonts w:asciiTheme="minorHAnsi" w:hAnsiTheme="minorHAnsi"/>
        </w:rPr>
        <w:t>early</w:t>
      </w:r>
      <w:proofErr w:type="spellEnd"/>
      <w:r w:rsidRPr="006A6890">
        <w:rPr>
          <w:rFonts w:asciiTheme="minorHAnsi" w:hAnsiTheme="minorHAnsi"/>
        </w:rPr>
        <w:t xml:space="preserve"> </w:t>
      </w:r>
      <w:proofErr w:type="spellStart"/>
      <w:r w:rsidRPr="006A6890">
        <w:rPr>
          <w:rFonts w:asciiTheme="minorHAnsi" w:hAnsiTheme="minorHAnsi"/>
        </w:rPr>
        <w:t>warning</w:t>
      </w:r>
      <w:proofErr w:type="spellEnd"/>
      <w:r w:rsidRPr="006A6890">
        <w:rPr>
          <w:rFonts w:asciiTheme="minorHAnsi" w:hAnsiTheme="minorHAnsi"/>
        </w:rPr>
        <w:t xml:space="preserve"> </w:t>
      </w:r>
      <w:proofErr w:type="spellStart"/>
      <w:r w:rsidRPr="006A6890">
        <w:rPr>
          <w:rFonts w:asciiTheme="minorHAnsi" w:hAnsiTheme="minorHAnsi"/>
        </w:rPr>
        <w:t>indicators</w:t>
      </w:r>
      <w:proofErr w:type="spellEnd"/>
      <w:r w:rsidRPr="006A6890">
        <w:rPr>
          <w:rFonts w:asciiTheme="minorHAnsi" w:hAnsiTheme="minorHAnsi"/>
        </w:rPr>
        <w:t>),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proofErr w:type="spellStart"/>
      <w:r w:rsidRPr="006A6890">
        <w:rPr>
          <w:rFonts w:asciiTheme="minorHAnsi" w:hAnsiTheme="minorHAnsi"/>
        </w:rPr>
        <w:t>etétkiáramlás</w:t>
      </w:r>
      <w:proofErr w:type="spellEnd"/>
      <w:r w:rsidRPr="006A6890">
        <w:rPr>
          <w:rFonts w:asciiTheme="minorHAnsi" w:hAnsiTheme="minorHAnsi"/>
        </w:rPr>
        <w:t xml:space="preserve">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fedezeti ráta (</w:t>
      </w:r>
      <w:proofErr w:type="spellStart"/>
      <w:r w:rsidRPr="006A6890">
        <w:rPr>
          <w:rFonts w:asciiTheme="minorHAnsi" w:hAnsiTheme="minorHAnsi"/>
        </w:rPr>
        <w:t>LCR</w:t>
      </w:r>
      <w:proofErr w:type="spellEnd"/>
      <w:r w:rsidRPr="006A6890">
        <w:rPr>
          <w:rFonts w:asciiTheme="minorHAnsi" w:hAnsiTheme="minorHAnsi"/>
        </w:rPr>
        <w:t>), nettó stabil finanszírozási mutató (</w:t>
      </w:r>
      <w:proofErr w:type="spellStart"/>
      <w:r w:rsidRPr="006A6890">
        <w:rPr>
          <w:rFonts w:asciiTheme="minorHAnsi" w:hAnsiTheme="minorHAnsi"/>
        </w:rPr>
        <w:t>NSFR</w:t>
      </w:r>
      <w:proofErr w:type="spellEnd"/>
      <w:r w:rsidRPr="006A6890">
        <w:rPr>
          <w:rFonts w:asciiTheme="minorHAnsi" w:hAnsiTheme="minorHAnsi"/>
        </w:rPr>
        <w:t>)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proofErr w:type="spellStart"/>
      <w:r w:rsidRPr="006A6890">
        <w:rPr>
          <w:rFonts w:asciiTheme="minorHAnsi" w:hAnsiTheme="minorHAnsi"/>
        </w:rPr>
        <w:t>soportfinanszírozási</w:t>
      </w:r>
      <w:proofErr w:type="spellEnd"/>
      <w:r w:rsidRPr="006A6890">
        <w:rPr>
          <w:rFonts w:asciiTheme="minorHAnsi" w:hAnsiTheme="minorHAnsi"/>
        </w:rPr>
        <w:t xml:space="preserve"> ügyletek</w:t>
      </w:r>
      <w:r w:rsidRPr="006A6890">
        <w:rPr>
          <w:rFonts w:asciiTheme="minorHAnsi" w:hAnsiTheme="minorHAnsi"/>
          <w:lang w:val="hu-HU"/>
        </w:rPr>
        <w:t xml:space="preserve"> listája.</w:t>
      </w:r>
    </w:p>
    <w:p w14:paraId="66B157DA" w14:textId="447A3BB9" w:rsidR="003F29E3" w:rsidRPr="00D547D0" w:rsidRDefault="003F29E3" w:rsidP="00181755">
      <w:pPr>
        <w:pStyle w:val="Heading1"/>
        <w:rPr>
          <w:rFonts w:asciiTheme="minorHAnsi" w:hAnsiTheme="minorHAnsi"/>
        </w:rPr>
      </w:pPr>
      <w:r w:rsidRPr="006A6890">
        <w:rPr>
          <w:rFonts w:asciiTheme="minorHAnsi" w:hAnsiTheme="minorHAnsi"/>
          <w:i/>
        </w:rPr>
        <w:br w:type="page"/>
      </w:r>
      <w:bookmarkStart w:id="1647" w:name="_Mellékletek:"/>
      <w:bookmarkStart w:id="1648" w:name="_Toc378256251"/>
      <w:bookmarkStart w:id="1649" w:name="_Toc378592116"/>
      <w:bookmarkStart w:id="1650" w:name="_Toc461095283"/>
      <w:bookmarkStart w:id="1651" w:name="_Toc461179242"/>
      <w:bookmarkStart w:id="1652" w:name="_Toc461179939"/>
      <w:bookmarkStart w:id="1653" w:name="_Toc461197783"/>
      <w:bookmarkStart w:id="1654" w:name="_Toc461201383"/>
      <w:bookmarkStart w:id="1655" w:name="_Toc461548084"/>
      <w:bookmarkStart w:id="1656" w:name="_Toc462402124"/>
      <w:bookmarkStart w:id="1657" w:name="_Toc462403299"/>
      <w:bookmarkStart w:id="1658" w:name="_Toc462403571"/>
      <w:bookmarkStart w:id="1659" w:name="_Toc468180691"/>
      <w:bookmarkStart w:id="1660" w:name="_Toc468181248"/>
      <w:bookmarkStart w:id="1661" w:name="_Toc468191514"/>
      <w:bookmarkStart w:id="1662" w:name="_Toc27139037"/>
      <w:bookmarkEnd w:id="1647"/>
      <w:r w:rsidRPr="006A6890">
        <w:rPr>
          <w:rFonts w:asciiTheme="minorHAnsi" w:hAnsiTheme="minorHAnsi"/>
        </w:rPr>
        <w:lastRenderedPageBreak/>
        <w:t>Mellékletek</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77777777" w:rsidR="003F29E3" w:rsidRPr="006A6890" w:rsidRDefault="003F29E3" w:rsidP="00181755">
      <w:pPr>
        <w:rPr>
          <w:rFonts w:asciiTheme="minorHAnsi" w:hAnsiTheme="minorHAnsi"/>
        </w:rPr>
      </w:pPr>
      <w:r w:rsidRPr="006A6890">
        <w:rPr>
          <w:rFonts w:asciiTheme="minorHAnsi" w:hAnsiTheme="minorHAnsi"/>
        </w:rPr>
        <w:t xml:space="preserve">3. számú melléklet: A befektetési vállalkozásoknál tipikusan előforduló működési kockázatok </w:t>
      </w:r>
      <w:proofErr w:type="spellStart"/>
      <w:r w:rsidRPr="006A6890">
        <w:rPr>
          <w:rFonts w:asciiTheme="minorHAnsi" w:hAnsiTheme="minorHAnsi"/>
        </w:rPr>
        <w:t>tevékenységenkénti</w:t>
      </w:r>
      <w:proofErr w:type="spellEnd"/>
      <w:r w:rsidRPr="006A6890">
        <w:rPr>
          <w:rFonts w:asciiTheme="minorHAnsi" w:hAnsiTheme="minorHAnsi"/>
        </w:rPr>
        <w:t xml:space="preserve">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 xml:space="preserve">7. számú melléklet: Hitelintézetek </w:t>
      </w:r>
      <w:proofErr w:type="spellStart"/>
      <w:r w:rsidRPr="006A6890">
        <w:rPr>
          <w:rFonts w:asciiTheme="minorHAnsi" w:hAnsiTheme="minorHAnsi"/>
        </w:rPr>
        <w:t>SREP</w:t>
      </w:r>
      <w:proofErr w:type="spellEnd"/>
      <w:r w:rsidRPr="006A6890">
        <w:rPr>
          <w:rFonts w:asciiTheme="minorHAnsi" w:hAnsiTheme="minorHAnsi"/>
        </w:rPr>
        <w:t xml:space="preserve"> áttekintő lap (külön található az MNB honlapján)</w:t>
      </w:r>
    </w:p>
    <w:p w14:paraId="2CAD48C3" w14:textId="023B7ABA" w:rsidR="002C6E87" w:rsidRPr="006A6890" w:rsidRDefault="002C6E87" w:rsidP="00181755">
      <w:pPr>
        <w:rPr>
          <w:rFonts w:asciiTheme="minorHAnsi" w:hAnsiTheme="minorHAnsi"/>
        </w:rPr>
      </w:pPr>
      <w:r w:rsidRPr="006A6890">
        <w:rPr>
          <w:rFonts w:asciiTheme="minorHAnsi" w:hAnsiTheme="minorHAnsi"/>
        </w:rPr>
        <w:t xml:space="preserve">8. számú melléklet: Befektetési vállalkozások </w:t>
      </w:r>
      <w:proofErr w:type="spellStart"/>
      <w:r w:rsidRPr="006A6890">
        <w:rPr>
          <w:rFonts w:asciiTheme="minorHAnsi" w:hAnsiTheme="minorHAnsi"/>
        </w:rPr>
        <w:t>SREP</w:t>
      </w:r>
      <w:proofErr w:type="spellEnd"/>
      <w:r w:rsidRPr="006A6890">
        <w:rPr>
          <w:rFonts w:asciiTheme="minorHAnsi" w:hAnsiTheme="minorHAnsi"/>
        </w:rPr>
        <w:t xml:space="preserve"> kérdőív (külön található az MNB honlapján)</w:t>
      </w:r>
    </w:p>
    <w:p w14:paraId="6D6DA910" w14:textId="062D5CA5" w:rsidR="002C6E87" w:rsidRPr="006A6890" w:rsidRDefault="002C6E87" w:rsidP="00181755">
      <w:pPr>
        <w:rPr>
          <w:rFonts w:asciiTheme="minorHAnsi" w:hAnsiTheme="minorHAnsi"/>
        </w:rPr>
      </w:pPr>
      <w:r w:rsidRPr="006A6890">
        <w:rPr>
          <w:rFonts w:asciiTheme="minorHAnsi" w:hAnsiTheme="minorHAnsi"/>
        </w:rPr>
        <w:t xml:space="preserve">9. számú melléklet: Befektetési vállalkozások </w:t>
      </w:r>
      <w:proofErr w:type="spellStart"/>
      <w:r w:rsidRPr="006A6890">
        <w:rPr>
          <w:rFonts w:asciiTheme="minorHAnsi" w:hAnsiTheme="minorHAnsi"/>
        </w:rPr>
        <w:t>SREP</w:t>
      </w:r>
      <w:proofErr w:type="spellEnd"/>
      <w:r w:rsidRPr="006A6890">
        <w:rPr>
          <w:rFonts w:asciiTheme="minorHAnsi" w:hAnsiTheme="minorHAnsi"/>
        </w:rPr>
        <w:t xml:space="preserve">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663" w:name="_Hlk252455"/>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w:t>
      </w:r>
      <w:bookmarkEnd w:id="1663"/>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664"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664"/>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24807C93" w:rsidR="002B5C0A" w:rsidRPr="006A6890" w:rsidRDefault="002B5C0A" w:rsidP="00181755">
      <w:pPr>
        <w:rPr>
          <w:rFonts w:asciiTheme="minorHAnsi" w:hAnsiTheme="minorHAnsi"/>
        </w:rPr>
      </w:pPr>
      <w:r w:rsidRPr="006A6890">
        <w:rPr>
          <w:rFonts w:asciiTheme="minorHAnsi" w:hAnsiTheme="minorHAnsi"/>
        </w:rPr>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66B157E0" w14:textId="77777777" w:rsidR="003F29E3" w:rsidRPr="006A6890" w:rsidRDefault="003F29E3" w:rsidP="00181755">
      <w:pPr>
        <w:rPr>
          <w:rFonts w:asciiTheme="minorHAnsi" w:hAnsiTheme="minorHAnsi"/>
        </w:rPr>
      </w:pPr>
    </w:p>
    <w:p w14:paraId="66B157E1" w14:textId="77777777" w:rsidR="003F29E3" w:rsidRPr="006A6890" w:rsidRDefault="003F29E3" w:rsidP="00181755">
      <w:pPr>
        <w:rPr>
          <w:rFonts w:asciiTheme="minorHAnsi" w:hAnsiTheme="minorHAnsi"/>
        </w:rPr>
        <w:sectPr w:rsidR="003F29E3" w:rsidRPr="006A6890" w:rsidSect="00C645A0">
          <w:headerReference w:type="even" r:id="rId40"/>
          <w:headerReference w:type="default" r:id="rId41"/>
          <w:footerReference w:type="even" r:id="rId42"/>
          <w:footerReference w:type="default" r:id="rId43"/>
          <w:headerReference w:type="first" r:id="rId44"/>
          <w:footerReference w:type="first" r:id="rId45"/>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Paragraph"/>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 xml:space="preserve">MNB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w:t>
            </w:r>
            <w:proofErr w:type="spellStart"/>
            <w:r w:rsidRPr="006A6890">
              <w:rPr>
                <w:rFonts w:asciiTheme="minorHAnsi" w:hAnsiTheme="minorHAnsi"/>
              </w:rPr>
              <w:t>anyagai</w:t>
            </w:r>
            <w:proofErr w:type="spellEnd"/>
            <w:r w:rsidRPr="006A6890">
              <w:rPr>
                <w:rFonts w:asciiTheme="minorHAnsi" w:hAnsiTheme="minorHAnsi"/>
              </w:rPr>
              <w:t xml:space="preserve">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w:t>
            </w:r>
            <w:proofErr w:type="spellStart"/>
            <w:r w:rsidRPr="006A6890">
              <w:rPr>
                <w:rFonts w:asciiTheme="minorHAnsi" w:hAnsiTheme="minorHAnsi"/>
              </w:rPr>
              <w:t>Pszáf</w:t>
            </w:r>
            <w:proofErr w:type="spellEnd"/>
            <w:r w:rsidRPr="006A6890">
              <w:rPr>
                <w:rFonts w:asciiTheme="minorHAnsi" w:hAnsiTheme="minorHAnsi"/>
              </w:rPr>
              <w:t xml:space="preserve">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 xml:space="preserve">A hitelintézet a jogszabályokban előírt </w:t>
            </w:r>
            <w:proofErr w:type="spellStart"/>
            <w:r w:rsidRPr="006A6890">
              <w:rPr>
                <w:rFonts w:asciiTheme="minorHAnsi" w:hAnsiTheme="minorHAnsi"/>
              </w:rPr>
              <w:t>prudenciális</w:t>
            </w:r>
            <w:proofErr w:type="spellEnd"/>
            <w:r w:rsidRPr="006A6890">
              <w:rPr>
                <w:rFonts w:asciiTheme="minorHAnsi" w:hAnsiTheme="minorHAnsi"/>
              </w:rPr>
              <w:t xml:space="preserve"> korlátok határértékeihez közeli mutatókkal működik (10 %-</w:t>
            </w:r>
            <w:proofErr w:type="spellStart"/>
            <w:r w:rsidRPr="006A6890">
              <w:rPr>
                <w:rFonts w:asciiTheme="minorHAnsi" w:hAnsiTheme="minorHAnsi"/>
              </w:rPr>
              <w:t>nál</w:t>
            </w:r>
            <w:proofErr w:type="spellEnd"/>
            <w:r w:rsidRPr="006A6890">
              <w:rPr>
                <w:rFonts w:asciiTheme="minorHAnsi" w:hAnsiTheme="minorHAnsi"/>
              </w:rPr>
              <w:t xml:space="preserve"> alacsonyabb eltérés)</w:t>
            </w:r>
          </w:p>
        </w:tc>
        <w:tc>
          <w:tcPr>
            <w:tcW w:w="2835" w:type="dxa"/>
            <w:vAlign w:val="center"/>
          </w:tcPr>
          <w:p w14:paraId="66B15871" w14:textId="77777777" w:rsidR="003F29E3" w:rsidRPr="006A6890" w:rsidRDefault="003F29E3" w:rsidP="00D10772">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proofErr w:type="spellStart"/>
            <w:r w:rsidRPr="006A6890">
              <w:rPr>
                <w:rFonts w:asciiTheme="minorHAnsi" w:hAnsiTheme="minorHAnsi"/>
              </w:rPr>
              <w:t>MNBvizsgálatok</w:t>
            </w:r>
            <w:proofErr w:type="spellEnd"/>
            <w:r w:rsidRPr="006A6890">
              <w:rPr>
                <w:rFonts w:asciiTheme="minorHAnsi" w:hAnsiTheme="minorHAnsi"/>
              </w:rPr>
              <w:t>,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 xml:space="preserve">Gyakori likviditási nehézségek, többlet forrásbevonási lehetőségek hiánya, </w:t>
            </w:r>
            <w:proofErr w:type="spellStart"/>
            <w:r w:rsidRPr="006A6890">
              <w:rPr>
                <w:rFonts w:asciiTheme="minorHAnsi" w:hAnsiTheme="minorHAnsi"/>
              </w:rPr>
              <w:t>GAP</w:t>
            </w:r>
            <w:proofErr w:type="spellEnd"/>
            <w:r w:rsidRPr="006A6890">
              <w:rPr>
                <w:rFonts w:asciiTheme="minorHAnsi" w:hAnsiTheme="minorHAnsi"/>
              </w:rPr>
              <w:t xml:space="preserve">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w:t>
            </w:r>
            <w:proofErr w:type="spellStart"/>
            <w:r w:rsidRPr="006A6890">
              <w:rPr>
                <w:rFonts w:asciiTheme="minorHAnsi" w:hAnsiTheme="minorHAnsi"/>
              </w:rPr>
              <w:t>nál</w:t>
            </w:r>
            <w:proofErr w:type="spellEnd"/>
            <w:r w:rsidRPr="006A6890">
              <w:rPr>
                <w:rFonts w:asciiTheme="minorHAnsi" w:hAnsiTheme="minorHAnsi"/>
              </w:rPr>
              <w:t xml:space="preserve">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 xml:space="preserve">Felügyeleti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w:t>
            </w:r>
            <w:proofErr w:type="spellStart"/>
            <w:r w:rsidRPr="006A6890">
              <w:rPr>
                <w:rFonts w:asciiTheme="minorHAnsi" w:hAnsiTheme="minorHAnsi"/>
              </w:rPr>
              <w:t>anyagai</w:t>
            </w:r>
            <w:proofErr w:type="spellEnd"/>
            <w:r w:rsidRPr="006A6890">
              <w:rPr>
                <w:rFonts w:asciiTheme="minorHAnsi" w:hAnsiTheme="minorHAnsi"/>
              </w:rPr>
              <w:t xml:space="preserve">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w:t>
            </w:r>
            <w:proofErr w:type="spellStart"/>
            <w:r w:rsidRPr="006A6890">
              <w:rPr>
                <w:rFonts w:asciiTheme="minorHAnsi" w:hAnsiTheme="minorHAnsi"/>
              </w:rPr>
              <w:t>anyagai</w:t>
            </w:r>
            <w:proofErr w:type="spellEnd"/>
            <w:r w:rsidRPr="006A6890">
              <w:rPr>
                <w:rFonts w:asciiTheme="minorHAnsi" w:hAnsiTheme="minorHAnsi"/>
              </w:rPr>
              <w:t>,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 xml:space="preserve">számú melléklet: A befektetési vállalkozásoknál tipikusan előforduló működési kockázatok </w:t>
      </w:r>
      <w:proofErr w:type="spellStart"/>
      <w:r w:rsidRPr="006A6890">
        <w:rPr>
          <w:rFonts w:asciiTheme="minorHAnsi" w:hAnsiTheme="minorHAnsi"/>
          <w:lang w:val="hu-HU"/>
        </w:rPr>
        <w:t>tevékenységenkénti</w:t>
      </w:r>
      <w:proofErr w:type="spellEnd"/>
      <w:r w:rsidRPr="006A6890">
        <w:rPr>
          <w:rFonts w:asciiTheme="minorHAnsi" w:hAnsiTheme="minorHAnsi"/>
          <w:lang w:val="hu-HU"/>
        </w:rPr>
        <w:t xml:space="preserve">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 xml:space="preserve">dolgozói tévedés, hiba (ügyfélmegbízás hibás rögzítése, </w:t>
            </w:r>
            <w:proofErr w:type="spellStart"/>
            <w:r w:rsidRPr="006A6890">
              <w:rPr>
                <w:rFonts w:asciiTheme="minorHAnsi" w:hAnsiTheme="minorHAnsi"/>
              </w:rPr>
              <w:t>fat</w:t>
            </w:r>
            <w:proofErr w:type="spellEnd"/>
            <w:r w:rsidRPr="006A6890">
              <w:rPr>
                <w:rFonts w:asciiTheme="minorHAnsi" w:hAnsiTheme="minorHAnsi"/>
              </w:rPr>
              <w:t xml:space="preserve"> </w:t>
            </w:r>
            <w:proofErr w:type="spellStart"/>
            <w:r w:rsidRPr="006A6890">
              <w:rPr>
                <w:rFonts w:asciiTheme="minorHAnsi" w:hAnsiTheme="minorHAnsi"/>
              </w:rPr>
              <w:t>finger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w:t>
            </w:r>
            <w:proofErr w:type="spellStart"/>
            <w:r w:rsidRPr="006A6890">
              <w:rPr>
                <w:rFonts w:asciiTheme="minorHAnsi" w:hAnsiTheme="minorHAnsi"/>
              </w:rPr>
              <w:t>High-frequency</w:t>
            </w:r>
            <w:proofErr w:type="spellEnd"/>
            <w:r w:rsidRPr="006A6890">
              <w:rPr>
                <w:rFonts w:asciiTheme="minorHAnsi" w:hAnsiTheme="minorHAnsi"/>
              </w:rPr>
              <w:t xml:space="preserve"> </w:t>
            </w:r>
            <w:proofErr w:type="spellStart"/>
            <w:r w:rsidRPr="006A6890">
              <w:rPr>
                <w:rFonts w:asciiTheme="minorHAnsi" w:hAnsiTheme="minorHAnsi"/>
              </w:rPr>
              <w:t>Tradingnek</w:t>
            </w:r>
            <w:proofErr w:type="spellEnd"/>
            <w:r w:rsidRPr="006A6890">
              <w:rPr>
                <w:rFonts w:asciiTheme="minorHAnsi" w:hAnsiTheme="minorHAnsi"/>
              </w:rPr>
              <w:t xml:space="preserve"> (</w:t>
            </w:r>
            <w:proofErr w:type="spellStart"/>
            <w:r w:rsidRPr="006A6890">
              <w:rPr>
                <w:rFonts w:asciiTheme="minorHAnsi" w:hAnsiTheme="minorHAnsi"/>
              </w:rPr>
              <w:t>HFT</w:t>
            </w:r>
            <w:proofErr w:type="spellEnd"/>
            <w:r w:rsidRPr="006A6890">
              <w:rPr>
                <w:rFonts w:asciiTheme="minorHAnsi" w:hAnsiTheme="minorHAnsi"/>
              </w:rPr>
              <w: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w:t>
            </w:r>
            <w:proofErr w:type="spellStart"/>
            <w:r w:rsidRPr="006A6890">
              <w:rPr>
                <w:rFonts w:asciiTheme="minorHAnsi" w:hAnsiTheme="minorHAnsi"/>
              </w:rPr>
              <w:t>Rogue</w:t>
            </w:r>
            <w:proofErr w:type="spellEnd"/>
            <w:r w:rsidRPr="006A6890">
              <w:rPr>
                <w:rFonts w:asciiTheme="minorHAnsi" w:hAnsiTheme="minorHAnsi"/>
              </w:rPr>
              <w:t xml:space="preserve"> </w:t>
            </w:r>
            <w:proofErr w:type="spellStart"/>
            <w:r w:rsidRPr="006A6890">
              <w:rPr>
                <w:rFonts w:asciiTheme="minorHAnsi" w:hAnsiTheme="minorHAnsi"/>
              </w:rPr>
              <w:t>trader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w:t>
            </w:r>
            <w:proofErr w:type="spellStart"/>
            <w:r w:rsidRPr="006A6890">
              <w:rPr>
                <w:rFonts w:asciiTheme="minorHAnsi" w:hAnsiTheme="minorHAnsi"/>
              </w:rPr>
              <w:t>office</w:t>
            </w:r>
            <w:proofErr w:type="spellEnd"/>
            <w:r w:rsidRPr="006A6890">
              <w:rPr>
                <w:rFonts w:asciiTheme="minorHAnsi" w:hAnsiTheme="minorHAnsi"/>
              </w:rPr>
              <w:t xml:space="preserv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w:t>
            </w:r>
            <w:proofErr w:type="spellStart"/>
            <w:r w:rsidRPr="006A6890">
              <w:rPr>
                <w:rFonts w:asciiTheme="minorHAnsi" w:hAnsiTheme="minorHAnsi"/>
              </w:rPr>
              <w:t>office</w:t>
            </w:r>
            <w:proofErr w:type="spellEnd"/>
            <w:r w:rsidRPr="006A6890">
              <w:rPr>
                <w:rFonts w:asciiTheme="minorHAnsi" w:hAnsiTheme="minorHAnsi"/>
              </w:rPr>
              <w:t xml:space="preserv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 xml:space="preserve">függő számlák, átvezetési számlák, technikai számlák megnyitása, vezetése (indokolatlanul, </w:t>
            </w:r>
            <w:proofErr w:type="spellStart"/>
            <w:r w:rsidRPr="006A6890">
              <w:rPr>
                <w:rFonts w:asciiTheme="minorHAnsi" w:hAnsiTheme="minorHAnsi"/>
              </w:rPr>
              <w:t>kontrollálatlanul</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w:t>
            </w:r>
            <w:proofErr w:type="spellStart"/>
            <w:r w:rsidRPr="006A6890">
              <w:rPr>
                <w:rFonts w:asciiTheme="minorHAnsi" w:hAnsiTheme="minorHAnsi"/>
              </w:rPr>
              <w:t>office</w:t>
            </w:r>
            <w:proofErr w:type="spellEnd"/>
            <w:r w:rsidRPr="006A6890">
              <w:rPr>
                <w:rFonts w:asciiTheme="minorHAnsi" w:hAnsiTheme="minorHAnsi"/>
              </w:rPr>
              <w:t xml:space="preserv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w:t>
            </w:r>
            <w:proofErr w:type="spellStart"/>
            <w:r w:rsidRPr="006A6890">
              <w:rPr>
                <w:rFonts w:asciiTheme="minorHAnsi" w:hAnsiTheme="minorHAnsi"/>
              </w:rPr>
              <w:t>office</w:t>
            </w:r>
            <w:proofErr w:type="spellEnd"/>
            <w:r w:rsidRPr="006A6890">
              <w:rPr>
                <w:rFonts w:asciiTheme="minorHAnsi" w:hAnsiTheme="minorHAnsi"/>
              </w:rPr>
              <w:t xml:space="preserve"> és </w:t>
            </w:r>
            <w:proofErr w:type="spellStart"/>
            <w:r w:rsidRPr="006A6890">
              <w:rPr>
                <w:rFonts w:asciiTheme="minorHAnsi" w:hAnsiTheme="minorHAnsi"/>
              </w:rPr>
              <w:t>bakc-office</w:t>
            </w:r>
            <w:proofErr w:type="spellEnd"/>
            <w:r w:rsidRPr="006A6890">
              <w:rPr>
                <w:rFonts w:asciiTheme="minorHAnsi" w:hAnsiTheme="minorHAnsi"/>
              </w:rPr>
              <w:t xml:space="preserv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 back-</w:t>
            </w:r>
            <w:proofErr w:type="spellStart"/>
            <w:r w:rsidRPr="006A6890">
              <w:rPr>
                <w:rFonts w:asciiTheme="minorHAnsi" w:hAnsiTheme="minorHAnsi"/>
              </w:rPr>
              <w:t>office</w:t>
            </w:r>
            <w:proofErr w:type="spellEnd"/>
            <w:r w:rsidRPr="006A6890">
              <w:rPr>
                <w:rFonts w:asciiTheme="minorHAnsi" w:hAnsiTheme="minorHAnsi"/>
              </w:rPr>
              <w:t xml:space="preserv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 xml:space="preserve">kereskedők és kereskedési partnerek közötti kapcsolat felügyeletének, </w:t>
            </w:r>
            <w:proofErr w:type="spellStart"/>
            <w:r w:rsidRPr="006A6890">
              <w:rPr>
                <w:rFonts w:asciiTheme="minorHAnsi" w:hAnsiTheme="minorHAnsi"/>
              </w:rPr>
              <w:t>nyomonkövetésének</w:t>
            </w:r>
            <w:proofErr w:type="spellEnd"/>
            <w:r w:rsidRPr="006A6890">
              <w:rPr>
                <w:rFonts w:asciiTheme="minorHAnsi" w:hAnsiTheme="minorHAnsi"/>
              </w:rPr>
              <w:t xml:space="preserve">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727C1DE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Fluktuációs ráta</w:t>
      </w:r>
    </w:p>
    <w:p w14:paraId="363E37E1" w14:textId="1E94D674"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BF28E87" w14:textId="4EF3F363"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7FCCEF3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Beérkező panaszok száma</w:t>
      </w:r>
    </w:p>
    <w:p w14:paraId="42A0F23C" w14:textId="7402BB9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3CB03917"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7565FF7A" w14:textId="4F8B005F" w:rsidR="00D00D6A" w:rsidRPr="006A6890" w:rsidRDefault="00D00D6A" w:rsidP="0022464F">
      <w:pPr>
        <w:pStyle w:val="ListParagraph"/>
        <w:numPr>
          <w:ilvl w:val="0"/>
          <w:numId w:val="97"/>
        </w:numPr>
        <w:rPr>
          <w:rFonts w:asciiTheme="minorHAnsi" w:hAnsiTheme="minorHAnsi"/>
          <w:lang w:val="hu-HU"/>
        </w:rPr>
      </w:pPr>
      <w:proofErr w:type="spellStart"/>
      <w:r w:rsidRPr="006A6890">
        <w:rPr>
          <w:rFonts w:asciiTheme="minorHAnsi" w:hAnsiTheme="minorHAnsi"/>
          <w:lang w:val="hu-HU"/>
        </w:rPr>
        <w:t>HelpDesk</w:t>
      </w:r>
      <w:proofErr w:type="spellEnd"/>
      <w:r w:rsidRPr="006A6890">
        <w:rPr>
          <w:rFonts w:asciiTheme="minorHAnsi" w:hAnsiTheme="minorHAnsi"/>
          <w:lang w:val="hu-HU"/>
        </w:rPr>
        <w:t xml:space="preserve"> bejelentések száma</w:t>
      </w:r>
    </w:p>
    <w:p w14:paraId="6506D6EA" w14:textId="229A0E43" w:rsidR="00D00D6A" w:rsidRPr="006A6890" w:rsidRDefault="00D00D6A" w:rsidP="0022464F">
      <w:pPr>
        <w:pStyle w:val="ListParagraph"/>
        <w:numPr>
          <w:ilvl w:val="0"/>
          <w:numId w:val="97"/>
        </w:numPr>
        <w:rPr>
          <w:rFonts w:asciiTheme="minorHAnsi" w:hAnsiTheme="minorHAnsi"/>
          <w:lang w:val="hu-HU"/>
        </w:rPr>
      </w:pPr>
      <w:proofErr w:type="spellStart"/>
      <w:r w:rsidRPr="006A6890">
        <w:rPr>
          <w:rFonts w:asciiTheme="minorHAnsi" w:hAnsiTheme="minorHAnsi"/>
          <w:lang w:val="hu-HU"/>
        </w:rPr>
        <w:t>BCP</w:t>
      </w:r>
      <w:proofErr w:type="spellEnd"/>
      <w:r w:rsidRPr="006A6890">
        <w:rPr>
          <w:rFonts w:asciiTheme="minorHAnsi" w:hAnsiTheme="minorHAnsi"/>
          <w:lang w:val="hu-HU"/>
        </w:rPr>
        <w:t xml:space="preserve"> incidensek száma</w:t>
      </w:r>
    </w:p>
    <w:p w14:paraId="526FC8EA" w14:textId="0B21DA57"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Paragraph"/>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228F10A0" w:rsidR="00866060" w:rsidRPr="006A6890" w:rsidRDefault="00866060" w:rsidP="00D83C90">
      <w:pPr>
        <w:rPr>
          <w:rFonts w:asciiTheme="minorHAnsi" w:hAnsiTheme="minorHAnsi"/>
          <w:b/>
        </w:rPr>
      </w:pPr>
      <w:r w:rsidRPr="006A6890">
        <w:rPr>
          <w:rFonts w:asciiTheme="minorHAnsi" w:hAnsiTheme="minorHAnsi"/>
          <w:b/>
        </w:rPr>
        <w:t xml:space="preserve">Az MNB által megfontolásra javasolt, releváns </w:t>
      </w:r>
      <w:proofErr w:type="spellStart"/>
      <w:r w:rsidRPr="006A6890">
        <w:rPr>
          <w:rFonts w:asciiTheme="minorHAnsi" w:hAnsiTheme="minorHAnsi"/>
          <w:b/>
        </w:rPr>
        <w:t>szcernáriók</w:t>
      </w:r>
      <w:proofErr w:type="spellEnd"/>
      <w:r w:rsidRPr="006A6890">
        <w:rPr>
          <w:rFonts w:asciiTheme="minorHAnsi" w:hAnsiTheme="minorHAnsi"/>
          <w:b/>
        </w:rPr>
        <w:t xml:space="preserve"> listája</w:t>
      </w:r>
    </w:p>
    <w:p w14:paraId="657D83E5" w14:textId="216E171A"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24BD524F"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Nagyösszegű kártérítési per (ügyfél/partner/munkavállaló)</w:t>
      </w:r>
    </w:p>
    <w:p w14:paraId="2691C917" w14:textId="0E0B675C"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Hitelezési csalás</w:t>
      </w:r>
    </w:p>
    <w:p w14:paraId="46752886" w14:textId="6688F2E9"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Pénzforgalmi csalás</w:t>
      </w:r>
    </w:p>
    <w:p w14:paraId="786CF5DB" w14:textId="2EDBC138"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 xml:space="preserve">Jogosulatlan </w:t>
      </w:r>
      <w:proofErr w:type="spellStart"/>
      <w:r w:rsidRPr="006A6890">
        <w:rPr>
          <w:rFonts w:asciiTheme="minorHAnsi" w:hAnsiTheme="minorHAnsi"/>
          <w:lang w:val="hu-HU"/>
        </w:rPr>
        <w:t>treasury</w:t>
      </w:r>
      <w:proofErr w:type="spellEnd"/>
      <w:r w:rsidRPr="006A6890">
        <w:rPr>
          <w:rFonts w:asciiTheme="minorHAnsi" w:hAnsiTheme="minorHAnsi"/>
          <w:lang w:val="hu-HU"/>
        </w:rPr>
        <w:t xml:space="preserve"> tevékenység</w:t>
      </w:r>
    </w:p>
    <w:p w14:paraId="2BA38717" w14:textId="3F903C63"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IT biztonsági incidens (</w:t>
      </w:r>
      <w:proofErr w:type="spellStart"/>
      <w:r w:rsidRPr="006A6890">
        <w:rPr>
          <w:rFonts w:asciiTheme="minorHAnsi" w:hAnsiTheme="minorHAnsi"/>
          <w:lang w:val="hu-HU"/>
        </w:rPr>
        <w:t>hekkertámadás</w:t>
      </w:r>
      <w:proofErr w:type="spellEnd"/>
      <w:r w:rsidRPr="006A6890">
        <w:rPr>
          <w:rFonts w:asciiTheme="minorHAnsi" w:hAnsiTheme="minorHAnsi"/>
          <w:lang w:val="hu-HU"/>
        </w:rPr>
        <w:t>/</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Kulcs IT rendszer(</w:t>
      </w:r>
      <w:proofErr w:type="spellStart"/>
      <w:r w:rsidRPr="006A6890">
        <w:rPr>
          <w:rFonts w:asciiTheme="minorHAnsi" w:hAnsiTheme="minorHAnsi"/>
          <w:lang w:val="hu-HU"/>
        </w:rPr>
        <w:t>ek</w:t>
      </w:r>
      <w:proofErr w:type="spellEnd"/>
      <w:r w:rsidRPr="006A6890">
        <w:rPr>
          <w:rFonts w:asciiTheme="minorHAnsi" w:hAnsiTheme="minorHAnsi"/>
          <w:lang w:val="hu-HU"/>
        </w:rPr>
        <w:t>) vagy közüzemi szolgáltatások kiesése</w:t>
      </w:r>
    </w:p>
    <w:p w14:paraId="7656BDC7" w14:textId="21227B3C"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748A2596"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Természeti katasztrófa</w:t>
      </w:r>
    </w:p>
    <w:p w14:paraId="36360882" w14:textId="763FC367"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1FD777F9" w14:textId="77777777" w:rsidR="00D00D6A" w:rsidRPr="006A6890" w:rsidRDefault="00D00D6A" w:rsidP="00866060">
      <w:pPr>
        <w:pStyle w:val="ListParagraph"/>
        <w:ind w:left="708"/>
        <w:rPr>
          <w:rFonts w:asciiTheme="minorHAnsi" w:hAnsiTheme="minorHAnsi"/>
          <w:lang w:val="hu-HU"/>
        </w:rPr>
      </w:pPr>
    </w:p>
    <w:p w14:paraId="1DD04F96" w14:textId="77777777" w:rsidR="00D00D6A" w:rsidRPr="006A6890" w:rsidRDefault="00D00D6A" w:rsidP="0022464F">
      <w:pPr>
        <w:pStyle w:val="ListParagraph"/>
        <w:ind w:left="708"/>
        <w:rPr>
          <w:rFonts w:asciiTheme="minorHAnsi" w:hAnsiTheme="minorHAnsi"/>
        </w:rPr>
      </w:pPr>
    </w:p>
    <w:p w14:paraId="63B2ADE3" w14:textId="58C5B7AD" w:rsidR="00866060" w:rsidRPr="006A6890" w:rsidRDefault="00866060" w:rsidP="00D83C90">
      <w:pPr>
        <w:rPr>
          <w:rFonts w:asciiTheme="minorHAnsi" w:hAnsiTheme="minorHAnsi"/>
        </w:rPr>
      </w:pPr>
    </w:p>
    <w:p w14:paraId="34245C5D" w14:textId="71F82091" w:rsidR="00866060" w:rsidRPr="006A6890" w:rsidRDefault="00866060" w:rsidP="00D83C90">
      <w:pPr>
        <w:rPr>
          <w:rFonts w:asciiTheme="minorHAnsi" w:hAnsiTheme="minorHAnsi"/>
        </w:rPr>
      </w:pPr>
    </w:p>
    <w:p w14:paraId="57065123" w14:textId="77777777" w:rsidR="00866060" w:rsidRPr="006A6890" w:rsidRDefault="00866060" w:rsidP="00D83C90">
      <w:pPr>
        <w:rPr>
          <w:rFonts w:asciiTheme="minorHAnsi" w:hAnsiTheme="minorHAnsi"/>
          <w:b/>
          <w:i/>
        </w:rPr>
      </w:pPr>
    </w:p>
    <w:p w14:paraId="6C1681A2" w14:textId="6B2484CA" w:rsidR="00D83C90" w:rsidRPr="006A6890" w:rsidRDefault="00D83C90" w:rsidP="00D83C90">
      <w:pPr>
        <w:rPr>
          <w:rFonts w:asciiTheme="minorHAnsi" w:hAnsiTheme="minorHAnsi"/>
          <w:b/>
          <w:i/>
        </w:rPr>
      </w:pPr>
      <w:r w:rsidRPr="006A6890">
        <w:rPr>
          <w:rFonts w:asciiTheme="minorHAnsi" w:hAnsiTheme="minorHAnsi"/>
          <w:b/>
          <w:i/>
        </w:rPr>
        <w:t>1. Függelék.  Banki könyvi kamatkockázat tőkekövetelményének meghatározása az MNB benchmark modelljében</w:t>
      </w:r>
    </w:p>
    <w:p w14:paraId="2D7B60FC" w14:textId="77777777" w:rsidR="00D858B0" w:rsidRPr="006A6890" w:rsidRDefault="00D858B0" w:rsidP="00D858B0">
      <w:pPr>
        <w:rPr>
          <w:rFonts w:asciiTheme="minorHAnsi" w:hAnsiTheme="minorHAnsi"/>
        </w:rPr>
      </w:pPr>
      <w:r w:rsidRPr="006A6890">
        <w:rPr>
          <w:rFonts w:asciiTheme="minorHAnsi" w:hAnsiTheme="minorHAnsi"/>
        </w:rPr>
        <w:t xml:space="preserve">A banki könyvi kamatkockázat tőkekövetelménye a </w:t>
      </w:r>
      <w:proofErr w:type="spellStart"/>
      <w:r w:rsidRPr="006A6890">
        <w:rPr>
          <w:rFonts w:asciiTheme="minorHAnsi" w:hAnsiTheme="minorHAnsi"/>
        </w:rPr>
        <w:t>periódikusan</w:t>
      </w:r>
      <w:proofErr w:type="spellEnd"/>
      <w:r w:rsidRPr="006A6890">
        <w:rPr>
          <w:rFonts w:asciiTheme="minorHAnsi" w:hAnsiTheme="minorHAnsi"/>
        </w:rPr>
        <w:t xml:space="preserve"> (jellemzően hó végére) meghatározott tőkekövetelmények átlagos értéke és szórása összegzésével áll elő. </w:t>
      </w:r>
    </w:p>
    <w:p w14:paraId="71446CE6" w14:textId="1CCDF0D7" w:rsidR="00D858B0" w:rsidRPr="006A6890" w:rsidRDefault="00392C22" w:rsidP="00D858B0">
      <w:pPr>
        <w:rPr>
          <w:rFonts w:asciiTheme="minorHAnsi" w:hAnsiTheme="minorHAnsi"/>
        </w:rPr>
      </w:pPr>
      <w:r w:rsidRPr="006A6890">
        <w:rPr>
          <w:rFonts w:asciiTheme="minorHAnsi" w:hAnsiTheme="minorHAnsi"/>
          <w:noProof/>
        </w:rPr>
        <w:drawing>
          <wp:inline distT="0" distB="0" distL="0" distR="0" wp14:anchorId="701BDA2B" wp14:editId="1D4D7848">
            <wp:extent cx="4267200" cy="741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7200" cy="741045"/>
                    </a:xfrm>
                    <a:prstGeom prst="rect">
                      <a:avLst/>
                    </a:prstGeom>
                    <a:noFill/>
                    <a:ln>
                      <a:noFill/>
                    </a:ln>
                  </pic:spPr>
                </pic:pic>
              </a:graphicData>
            </a:graphic>
          </wp:inline>
        </w:drawing>
      </w:r>
    </w:p>
    <w:p w14:paraId="6912AD16" w14:textId="77777777" w:rsidR="00D858B0" w:rsidRPr="006A6890" w:rsidRDefault="00D858B0" w:rsidP="00D858B0">
      <w:pPr>
        <w:rPr>
          <w:rFonts w:asciiTheme="minorHAnsi" w:hAnsiTheme="minorHAnsi"/>
          <w:sz w:val="18"/>
        </w:rPr>
      </w:pPr>
      <w:r w:rsidRPr="006A6890">
        <w:rPr>
          <w:rFonts w:asciiTheme="minorHAnsi" w:hAnsiTheme="minorHAnsi"/>
          <w:sz w:val="18"/>
        </w:rPr>
        <w:t>ahol: Tsz(</w:t>
      </w:r>
      <w:proofErr w:type="spellStart"/>
      <w:r w:rsidRPr="006A6890">
        <w:rPr>
          <w:rFonts w:asciiTheme="minorHAnsi" w:hAnsiTheme="minorHAnsi"/>
          <w:sz w:val="18"/>
        </w:rPr>
        <w:t>eff</w:t>
      </w:r>
      <w:proofErr w:type="spellEnd"/>
      <w:r w:rsidRPr="006A6890">
        <w:rPr>
          <w:rFonts w:asciiTheme="minorHAnsi" w:hAnsiTheme="minorHAnsi"/>
          <w:sz w:val="18"/>
        </w:rPr>
        <w:t xml:space="preserve">) = effektív tőkeszükséglet; </w:t>
      </w:r>
      <w:proofErr w:type="spellStart"/>
      <w:r w:rsidRPr="006A6890">
        <w:rPr>
          <w:rFonts w:asciiTheme="minorHAnsi" w:hAnsiTheme="minorHAnsi"/>
          <w:sz w:val="18"/>
        </w:rPr>
        <w:t>TSz</w:t>
      </w:r>
      <w:proofErr w:type="spellEnd"/>
      <w:r w:rsidRPr="006A6890">
        <w:rPr>
          <w:rFonts w:asciiTheme="minorHAnsi" w:hAnsiTheme="minorHAnsi"/>
          <w:sz w:val="18"/>
        </w:rPr>
        <w:t>(p)= tőkeszükséglet a periódus végén,</w:t>
      </w:r>
    </w:p>
    <w:p w14:paraId="0C8716D0" w14:textId="2900CA4C" w:rsidR="00D858B0" w:rsidRPr="006A6890" w:rsidRDefault="00D858B0" w:rsidP="00D858B0">
      <w:pPr>
        <w:rPr>
          <w:rFonts w:asciiTheme="minorHAnsi" w:hAnsiTheme="minorHAnsi"/>
        </w:rPr>
      </w:pPr>
      <w:r w:rsidRPr="006A6890">
        <w:rPr>
          <w:rFonts w:asciiTheme="minorHAnsi" w:hAnsiTheme="minorHAnsi"/>
        </w:rPr>
        <w:t xml:space="preserve">A szórás figyelembe vételének a tőkeszükséglet meghatározásában az </w:t>
      </w:r>
      <w:r w:rsidR="00A7454E" w:rsidRPr="006A6890">
        <w:rPr>
          <w:rFonts w:asciiTheme="minorHAnsi" w:hAnsiTheme="minorHAnsi"/>
        </w:rPr>
        <w:t xml:space="preserve">a </w:t>
      </w:r>
      <w:r w:rsidRPr="006A6890">
        <w:rPr>
          <w:rFonts w:asciiTheme="minorHAnsi" w:hAnsiTheme="minorHAnsi"/>
        </w:rPr>
        <w:t>célja, hogy az időben stabil tőkekövetelményt preferálja és különbséget tegyen az azonos átlagos mértékű, de eltérő szórással rendelkező tőkekövetelmények között, a kisebb szórású javára.</w:t>
      </w:r>
    </w:p>
    <w:p w14:paraId="3582D9AB" w14:textId="4C3DDA4F" w:rsidR="00D858B0" w:rsidRPr="006A6890" w:rsidRDefault="00D858B0" w:rsidP="00D858B0">
      <w:pPr>
        <w:rPr>
          <w:rFonts w:asciiTheme="minorHAnsi" w:hAnsiTheme="minorHAnsi"/>
        </w:rPr>
      </w:pPr>
      <w:r w:rsidRPr="006A6890">
        <w:rPr>
          <w:rFonts w:asciiTheme="minorHAnsi" w:hAnsiTheme="minorHAnsi"/>
        </w:rPr>
        <w:t xml:space="preserve">Az adott periódus végére vonatkozóan meghatározott - strukturális - érzékenység a mérleg kamatkockázati profiljából, - leginkább az átárazási és a </w:t>
      </w:r>
      <w:proofErr w:type="spellStart"/>
      <w:r w:rsidRPr="006A6890">
        <w:rPr>
          <w:rFonts w:asciiTheme="minorHAnsi" w:hAnsiTheme="minorHAnsi"/>
        </w:rPr>
        <w:t>duration</w:t>
      </w:r>
      <w:proofErr w:type="spellEnd"/>
      <w:r w:rsidRPr="006A6890">
        <w:rPr>
          <w:rFonts w:asciiTheme="minorHAnsi" w:hAnsiTheme="minorHAnsi"/>
        </w:rPr>
        <w:t xml:space="preserve"> résekből - származik és két alapvető mutatószám a nettó kamatbevétel és tőke gazdasági értéke érzékenységének együttes figyelembe vételével </w:t>
      </w:r>
      <w:proofErr w:type="spellStart"/>
      <w:r w:rsidRPr="006A6890">
        <w:rPr>
          <w:rFonts w:asciiTheme="minorHAnsi" w:hAnsiTheme="minorHAnsi"/>
        </w:rPr>
        <w:t>határozódik</w:t>
      </w:r>
      <w:proofErr w:type="spellEnd"/>
      <w:r w:rsidRPr="006A6890">
        <w:rPr>
          <w:rFonts w:asciiTheme="minorHAnsi" w:hAnsiTheme="minorHAnsi"/>
        </w:rPr>
        <w:t xml:space="preserve"> meg. Mind a nettó kamatbevételnek, mind a tőke gazdasági értékének változása a releváns devizanemek szerint </w:t>
      </w:r>
      <w:proofErr w:type="spellStart"/>
      <w:r w:rsidRPr="006A6890">
        <w:rPr>
          <w:rFonts w:asciiTheme="minorHAnsi" w:hAnsiTheme="minorHAnsi"/>
        </w:rPr>
        <w:t>elkülönülten</w:t>
      </w:r>
      <w:proofErr w:type="spellEnd"/>
      <w:r w:rsidRPr="006A6890">
        <w:rPr>
          <w:rFonts w:asciiTheme="minorHAnsi" w:hAnsiTheme="minorHAnsi"/>
        </w:rPr>
        <w:t xml:space="preserve"> számítandó, </w:t>
      </w:r>
      <w:r w:rsidR="00943A76" w:rsidRPr="006A6890">
        <w:rPr>
          <w:rFonts w:asciiTheme="minorHAnsi" w:hAnsiTheme="minorHAnsi"/>
        </w:rPr>
        <w:t xml:space="preserve">az adott deviza </w:t>
      </w:r>
      <w:r w:rsidRPr="006A6890">
        <w:rPr>
          <w:rFonts w:asciiTheme="minorHAnsi" w:hAnsiTheme="minorHAnsi"/>
        </w:rPr>
        <w:t>érzékenység</w:t>
      </w:r>
      <w:r w:rsidR="009536E9" w:rsidRPr="006A6890">
        <w:rPr>
          <w:rFonts w:asciiTheme="minorHAnsi" w:hAnsiTheme="minorHAnsi"/>
        </w:rPr>
        <w:t>e</w:t>
      </w:r>
      <w:r w:rsidRPr="006A6890">
        <w:rPr>
          <w:rFonts w:asciiTheme="minorHAnsi" w:hAnsiTheme="minorHAnsi"/>
        </w:rPr>
        <w:t xml:space="preserve"> </w:t>
      </w:r>
      <w:r w:rsidR="009536E9" w:rsidRPr="006A6890">
        <w:rPr>
          <w:rFonts w:asciiTheme="minorHAnsi" w:hAnsiTheme="minorHAnsi"/>
        </w:rPr>
        <w:t xml:space="preserve">a jövedelem és a tőkeérték </w:t>
      </w:r>
      <w:r w:rsidRPr="006A6890">
        <w:rPr>
          <w:rFonts w:asciiTheme="minorHAnsi" w:hAnsiTheme="minorHAnsi"/>
        </w:rPr>
        <w:t>érzékenysége</w:t>
      </w:r>
      <w:r w:rsidR="009536E9" w:rsidRPr="006A6890">
        <w:rPr>
          <w:rFonts w:asciiTheme="minorHAnsi" w:hAnsiTheme="minorHAnsi"/>
        </w:rPr>
        <w:t>inek</w:t>
      </w:r>
      <w:r w:rsidRPr="006A6890">
        <w:rPr>
          <w:rFonts w:asciiTheme="minorHAnsi" w:hAnsiTheme="minorHAnsi"/>
        </w:rPr>
        <w:t xml:space="preserve"> súlyozott négyzetes közepe</w:t>
      </w:r>
      <w:r w:rsidRPr="006A6890">
        <w:rPr>
          <w:rStyle w:val="FootnoteReference"/>
          <w:rFonts w:asciiTheme="minorHAnsi" w:hAnsiTheme="minorHAnsi"/>
        </w:rPr>
        <w:footnoteReference w:id="112"/>
      </w:r>
      <w:r w:rsidRPr="006A6890">
        <w:rPr>
          <w:rFonts w:asciiTheme="minorHAnsi" w:hAnsiTheme="minorHAnsi"/>
        </w:rPr>
        <w:t xml:space="preserve"> lesz</w:t>
      </w:r>
      <w:r w:rsidR="009536E9" w:rsidRPr="006A6890">
        <w:rPr>
          <w:rFonts w:asciiTheme="minorHAnsi" w:hAnsiTheme="minorHAnsi"/>
        </w:rPr>
        <w:t>, majd a teljes érzékenységet (tőkekövetelményt)  a devizák szerinti érzékenységek egyszerű összege adja.</w:t>
      </w:r>
      <w:r w:rsidRPr="006A6890">
        <w:rPr>
          <w:rFonts w:asciiTheme="minorHAnsi" w:hAnsiTheme="minorHAnsi"/>
        </w:rPr>
        <w:t xml:space="preserve">    </w:t>
      </w:r>
    </w:p>
    <w:p w14:paraId="77E5401F" w14:textId="77777777" w:rsidR="00D858B0" w:rsidRPr="006A6890" w:rsidRDefault="00D858B0" w:rsidP="00D858B0">
      <w:pPr>
        <w:rPr>
          <w:rFonts w:asciiTheme="minorHAnsi" w:hAnsiTheme="minorHAnsi"/>
        </w:rPr>
      </w:pPr>
      <w:r w:rsidRPr="006A6890">
        <w:rPr>
          <w:rFonts w:asciiTheme="minorHAnsi" w:hAnsiTheme="minorHAnsi"/>
          <w:noProof/>
        </w:rPr>
        <w:drawing>
          <wp:inline distT="0" distB="0" distL="0" distR="0" wp14:anchorId="25745BEE" wp14:editId="7BF7758D">
            <wp:extent cx="52120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30D9DEA6" w14:textId="49974592" w:rsidR="00D858B0" w:rsidRPr="006A6890" w:rsidRDefault="00D858B0" w:rsidP="00D858B0">
      <w:pPr>
        <w:rPr>
          <w:rFonts w:asciiTheme="minorHAnsi" w:hAnsiTheme="minorHAnsi"/>
          <w:sz w:val="18"/>
        </w:rPr>
      </w:pPr>
      <w:bookmarkStart w:id="1665" w:name="_Hlk530382994"/>
      <w:r w:rsidRPr="006A6890">
        <w:rPr>
          <w:rFonts w:asciiTheme="minorHAnsi" w:hAnsiTheme="minorHAnsi"/>
          <w:sz w:val="18"/>
        </w:rPr>
        <w:t>ahol: ∆</w:t>
      </w:r>
      <w:proofErr w:type="spellStart"/>
      <w:r w:rsidRPr="006A6890">
        <w:rPr>
          <w:rFonts w:asciiTheme="minorHAnsi" w:hAnsiTheme="minorHAnsi"/>
          <w:sz w:val="18"/>
        </w:rPr>
        <w:t>NIIc</w:t>
      </w:r>
      <w:proofErr w:type="spellEnd"/>
      <w:r w:rsidRPr="006A6890">
        <w:rPr>
          <w:rFonts w:asciiTheme="minorHAnsi" w:hAnsiTheme="minorHAnsi"/>
          <w:sz w:val="18"/>
        </w:rPr>
        <w:t>= ’c’ deviza nettó kamatbevételének változása; ∆</w:t>
      </w:r>
      <w:proofErr w:type="spellStart"/>
      <w:r w:rsidRPr="006A6890">
        <w:rPr>
          <w:rFonts w:asciiTheme="minorHAnsi" w:hAnsiTheme="minorHAnsi"/>
          <w:sz w:val="18"/>
        </w:rPr>
        <w:t>EVE</w:t>
      </w:r>
      <w:r w:rsidRPr="006A6890">
        <w:rPr>
          <w:rFonts w:asciiTheme="minorHAnsi" w:hAnsiTheme="minorHAnsi"/>
          <w:sz w:val="18"/>
          <w:vertAlign w:val="subscript"/>
        </w:rPr>
        <w:t>c</w:t>
      </w:r>
      <w:proofErr w:type="spellEnd"/>
      <w:r w:rsidRPr="006A6890">
        <w:rPr>
          <w:rFonts w:asciiTheme="minorHAnsi" w:hAnsiTheme="minorHAnsi"/>
          <w:sz w:val="18"/>
        </w:rPr>
        <w:t xml:space="preserve">= ’c’ deviza tőkeértékének változása; </w:t>
      </w:r>
      <w:proofErr w:type="spellStart"/>
      <w:r w:rsidRPr="006A6890">
        <w:rPr>
          <w:rFonts w:asciiTheme="minorHAnsi" w:hAnsiTheme="minorHAnsi"/>
          <w:sz w:val="18"/>
        </w:rPr>
        <w:t>w</w:t>
      </w:r>
      <w:r w:rsidRPr="006A6890">
        <w:rPr>
          <w:rFonts w:asciiTheme="minorHAnsi" w:hAnsiTheme="minorHAnsi"/>
          <w:sz w:val="18"/>
          <w:vertAlign w:val="subscript"/>
        </w:rPr>
        <w:t>c</w:t>
      </w:r>
      <w:proofErr w:type="spellEnd"/>
      <w:r w:rsidRPr="006A6890">
        <w:rPr>
          <w:rFonts w:asciiTheme="minorHAnsi" w:hAnsiTheme="minorHAnsi"/>
          <w:sz w:val="18"/>
        </w:rPr>
        <w:t>=nettó kamatbevétel válto</w:t>
      </w:r>
      <w:bookmarkEnd w:id="1665"/>
      <w:r w:rsidRPr="006A6890">
        <w:rPr>
          <w:rFonts w:asciiTheme="minorHAnsi" w:hAnsiTheme="minorHAnsi"/>
          <w:sz w:val="18"/>
        </w:rPr>
        <w:t>zásának súlya ’c’ deviza esetén és 0 &lt; w &lt;=1</w:t>
      </w:r>
    </w:p>
    <w:p w14:paraId="313F43AC" w14:textId="77777777" w:rsidR="00D858B0" w:rsidRPr="006A6890" w:rsidRDefault="00D858B0" w:rsidP="00D858B0">
      <w:pPr>
        <w:rPr>
          <w:rFonts w:asciiTheme="minorHAnsi" w:hAnsiTheme="minorHAnsi"/>
        </w:rPr>
      </w:pPr>
      <w:r w:rsidRPr="006A6890">
        <w:rPr>
          <w:rFonts w:asciiTheme="minorHAnsi" w:hAnsiTheme="minorHAnsi"/>
        </w:rPr>
        <w:t>Az egyes devizák nettó kamatbevételének illetve tőkeértékének változása az adott deviza különböző forgatókönyvek</w:t>
      </w:r>
      <w:r w:rsidRPr="006A6890">
        <w:rPr>
          <w:rStyle w:val="FootnoteReference"/>
          <w:rFonts w:asciiTheme="minorHAnsi" w:hAnsiTheme="minorHAnsi"/>
        </w:rPr>
        <w:footnoteReference w:id="113"/>
      </w:r>
      <w:r w:rsidRPr="006A6890">
        <w:rPr>
          <w:rFonts w:asciiTheme="minorHAnsi" w:hAnsiTheme="minorHAnsi"/>
        </w:rPr>
        <w:t xml:space="preserve"> mellett számított változásai közül a legnagyobb negatív érték, maximum nulla.</w:t>
      </w:r>
    </w:p>
    <w:p w14:paraId="6313EE41" w14:textId="77777777" w:rsidR="00D858B0" w:rsidRPr="006A6890" w:rsidRDefault="00D858B0" w:rsidP="00D858B0">
      <w:pPr>
        <w:rPr>
          <w:rFonts w:asciiTheme="minorHAnsi" w:hAnsiTheme="minorHAnsi"/>
          <w:sz w:val="18"/>
        </w:rPr>
      </w:pPr>
      <w:r w:rsidRPr="006A6890">
        <w:rPr>
          <w:rFonts w:asciiTheme="minorHAnsi" w:hAnsiTheme="minorHAnsi"/>
          <w:noProof/>
        </w:rPr>
        <w:drawing>
          <wp:inline distT="0" distB="0" distL="0" distR="0" wp14:anchorId="5F6595FC" wp14:editId="5737D6D0">
            <wp:extent cx="5212080" cy="662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2080" cy="662940"/>
                    </a:xfrm>
                    <a:prstGeom prst="rect">
                      <a:avLst/>
                    </a:prstGeom>
                    <a:noFill/>
                    <a:ln>
                      <a:noFill/>
                    </a:ln>
                  </pic:spPr>
                </pic:pic>
              </a:graphicData>
            </a:graphic>
          </wp:inline>
        </w:drawing>
      </w:r>
    </w:p>
    <w:p w14:paraId="0EA82C7A" w14:textId="138B8B63" w:rsidR="00D858B0" w:rsidRPr="004B5D1A" w:rsidRDefault="00D858B0" w:rsidP="00D858B0">
      <w:pPr>
        <w:rPr>
          <w:rFonts w:asciiTheme="minorHAnsi" w:hAnsiTheme="minorHAnsi"/>
          <w:sz w:val="18"/>
        </w:rPr>
      </w:pPr>
      <w:r w:rsidRPr="006A6890">
        <w:rPr>
          <w:rFonts w:asciiTheme="minorHAnsi" w:hAnsiTheme="minorHAnsi"/>
          <w:sz w:val="18"/>
        </w:rPr>
        <w:t>ahol: ∆</w:t>
      </w:r>
      <w:proofErr w:type="spellStart"/>
      <w:r w:rsidRPr="006A6890">
        <w:rPr>
          <w:rFonts w:asciiTheme="minorHAnsi" w:hAnsiTheme="minorHAnsi"/>
          <w:sz w:val="18"/>
        </w:rPr>
        <w:t>NII</w:t>
      </w:r>
      <w:r w:rsidRPr="006A6890">
        <w:rPr>
          <w:rFonts w:asciiTheme="minorHAnsi" w:hAnsiTheme="minorHAnsi"/>
          <w:sz w:val="18"/>
          <w:vertAlign w:val="subscript"/>
        </w:rPr>
        <w:t>cn</w:t>
      </w:r>
      <w:proofErr w:type="spellEnd"/>
      <w:r w:rsidRPr="006A6890">
        <w:rPr>
          <w:rFonts w:asciiTheme="minorHAnsi" w:hAnsiTheme="minorHAnsi"/>
          <w:sz w:val="18"/>
        </w:rPr>
        <w:t>= ’c’ deviza nettó kamatbevételének változása az ’n’ forgatókönyvben; ∆</w:t>
      </w:r>
      <w:proofErr w:type="spellStart"/>
      <w:r w:rsidRPr="006A6890">
        <w:rPr>
          <w:rFonts w:asciiTheme="minorHAnsi" w:hAnsiTheme="minorHAnsi"/>
          <w:sz w:val="18"/>
        </w:rPr>
        <w:t>EVE</w:t>
      </w:r>
      <w:r w:rsidRPr="006A6890">
        <w:rPr>
          <w:rFonts w:asciiTheme="minorHAnsi" w:hAnsiTheme="minorHAnsi"/>
          <w:sz w:val="18"/>
          <w:vertAlign w:val="subscript"/>
        </w:rPr>
        <w:t>cn</w:t>
      </w:r>
      <w:proofErr w:type="spellEnd"/>
      <w:r w:rsidRPr="006A6890">
        <w:rPr>
          <w:rFonts w:asciiTheme="minorHAnsi" w:hAnsiTheme="minorHAnsi"/>
          <w:sz w:val="18"/>
        </w:rPr>
        <w:t xml:space="preserve">= ’c’ deviza tőkeértékének változása az ’n’ </w:t>
      </w:r>
      <w:proofErr w:type="spellStart"/>
      <w:r w:rsidRPr="006A6890">
        <w:rPr>
          <w:rFonts w:asciiTheme="minorHAnsi" w:hAnsiTheme="minorHAnsi"/>
          <w:sz w:val="18"/>
        </w:rPr>
        <w:t>forgatókönyben</w:t>
      </w:r>
      <w:proofErr w:type="spellEnd"/>
    </w:p>
    <w:p w14:paraId="6B6F15DA" w14:textId="4E48A54A" w:rsidR="00E33996" w:rsidRPr="006A6890" w:rsidRDefault="00E33996" w:rsidP="00D858B0">
      <w:pPr>
        <w:rPr>
          <w:rFonts w:asciiTheme="minorHAnsi" w:hAnsiTheme="minorHAnsi"/>
          <w:sz w:val="28"/>
        </w:rPr>
      </w:pPr>
      <w:r w:rsidRPr="006A6890">
        <w:rPr>
          <w:rFonts w:asciiTheme="minorHAnsi" w:hAnsiTheme="minorHAnsi"/>
        </w:rPr>
        <w:t xml:space="preserve">A fenti számításokban az </w:t>
      </w:r>
      <w:proofErr w:type="spellStart"/>
      <w:r w:rsidRPr="006A6890">
        <w:rPr>
          <w:rFonts w:asciiTheme="minorHAnsi" w:hAnsiTheme="minorHAnsi"/>
        </w:rPr>
        <w:t>NII</w:t>
      </w:r>
      <w:proofErr w:type="spellEnd"/>
      <w:r w:rsidRPr="006A6890">
        <w:rPr>
          <w:rFonts w:asciiTheme="minorHAnsi" w:hAnsiTheme="minorHAnsi"/>
        </w:rPr>
        <w:t xml:space="preserve"> és EVE érzékenységi mutatók </w:t>
      </w:r>
      <w:r w:rsidR="00DA31E2" w:rsidRPr="006A6890">
        <w:rPr>
          <w:rFonts w:asciiTheme="minorHAnsi" w:hAnsiTheme="minorHAnsi"/>
        </w:rPr>
        <w:t xml:space="preserve">egymástól elkülönült – bár </w:t>
      </w:r>
      <w:r w:rsidRPr="006A6890">
        <w:rPr>
          <w:rFonts w:asciiTheme="minorHAnsi" w:hAnsiTheme="minorHAnsi"/>
        </w:rPr>
        <w:t>tartalmuk</w:t>
      </w:r>
      <w:r w:rsidR="00DA31E2" w:rsidRPr="006A6890">
        <w:rPr>
          <w:rFonts w:asciiTheme="minorHAnsi" w:hAnsiTheme="minorHAnsi"/>
        </w:rPr>
        <w:t>ra nézve</w:t>
      </w:r>
      <w:r w:rsidRPr="006A6890">
        <w:rPr>
          <w:rFonts w:asciiTheme="minorHAnsi" w:hAnsiTheme="minorHAnsi"/>
        </w:rPr>
        <w:t xml:space="preserve"> </w:t>
      </w:r>
      <w:r w:rsidR="00DA31E2" w:rsidRPr="006A6890">
        <w:rPr>
          <w:rFonts w:asciiTheme="minorHAnsi" w:hAnsiTheme="minorHAnsi"/>
        </w:rPr>
        <w:t xml:space="preserve">komplementer – mérőszámoknak tekintendők. A gyakorlatban előfordulhat, hogy a két mutató más forgatókönyv mellett ad minimális (legnagyobb negatív) értékét, mind a feltételezett </w:t>
      </w:r>
      <w:proofErr w:type="spellStart"/>
      <w:r w:rsidR="00DA31E2" w:rsidRPr="006A6890">
        <w:rPr>
          <w:rFonts w:asciiTheme="minorHAnsi" w:hAnsiTheme="minorHAnsi"/>
        </w:rPr>
        <w:t>kamatelmozdulások</w:t>
      </w:r>
      <w:proofErr w:type="spellEnd"/>
      <w:r w:rsidR="00DA31E2" w:rsidRPr="006A6890">
        <w:rPr>
          <w:rFonts w:asciiTheme="minorHAnsi" w:hAnsiTheme="minorHAnsi"/>
        </w:rPr>
        <w:t xml:space="preserve"> nagyságát, mind irányát tekintve, ami azonban nem jelenti azt, hogy a számítás a két eltérő forgatókönyv egyidejű bekövetkezését feltételezi.</w:t>
      </w:r>
      <w:r w:rsidR="00542F0B" w:rsidRPr="006A6890">
        <w:rPr>
          <w:rFonts w:asciiTheme="minorHAnsi" w:hAnsiTheme="minorHAnsi"/>
        </w:rPr>
        <w:t xml:space="preserve"> Ugyanis nem az </w:t>
      </w:r>
      <w:proofErr w:type="spellStart"/>
      <w:r w:rsidR="00542F0B" w:rsidRPr="006A6890">
        <w:rPr>
          <w:rFonts w:asciiTheme="minorHAnsi" w:hAnsiTheme="minorHAnsi"/>
        </w:rPr>
        <w:t>NII</w:t>
      </w:r>
      <w:proofErr w:type="spellEnd"/>
      <w:r w:rsidR="00542F0B" w:rsidRPr="006A6890">
        <w:rPr>
          <w:rFonts w:asciiTheme="minorHAnsi" w:hAnsiTheme="minorHAnsi"/>
        </w:rPr>
        <w:t xml:space="preserve"> és EVE érzékenységek összegzése, hanem (súlyozott) átlagolása történik. Ebben a szemléletben nem az egyik vagy másik forgatókönyv következik be, hanem bizonyos valószínűséggel mindegyik. </w:t>
      </w:r>
      <w:r w:rsidR="00DA31E2" w:rsidRPr="006A6890">
        <w:rPr>
          <w:rFonts w:asciiTheme="minorHAnsi" w:hAnsiTheme="minorHAnsi"/>
        </w:rPr>
        <w:t xml:space="preserve"> </w:t>
      </w:r>
    </w:p>
    <w:p w14:paraId="64BEF745" w14:textId="77777777" w:rsidR="00D858B0" w:rsidRPr="006A6890" w:rsidRDefault="00D858B0" w:rsidP="00D858B0">
      <w:pPr>
        <w:spacing w:after="0"/>
        <w:jc w:val="left"/>
        <w:rPr>
          <w:rFonts w:asciiTheme="minorHAnsi" w:hAnsiTheme="minorHAnsi"/>
        </w:rPr>
      </w:pPr>
      <w:r w:rsidRPr="006A6890">
        <w:rPr>
          <w:rFonts w:asciiTheme="minorHAnsi" w:hAnsiTheme="minorHAnsi"/>
        </w:rPr>
        <w:lastRenderedPageBreak/>
        <w:t xml:space="preserve">A strukturális érzékenység számításában használt, a nettó kamatbevétel változás súlyát </w:t>
      </w:r>
      <w:proofErr w:type="spellStart"/>
      <w:r w:rsidRPr="006A6890">
        <w:rPr>
          <w:rFonts w:asciiTheme="minorHAnsi" w:hAnsiTheme="minorHAnsi"/>
        </w:rPr>
        <w:t>devizánként</w:t>
      </w:r>
      <w:proofErr w:type="spellEnd"/>
      <w:r w:rsidRPr="006A6890">
        <w:rPr>
          <w:rFonts w:asciiTheme="minorHAnsi" w:hAnsiTheme="minorHAnsi"/>
        </w:rPr>
        <w:t xml:space="preserve"> megadó ’</w:t>
      </w:r>
      <w:proofErr w:type="spellStart"/>
      <w:r w:rsidRPr="006A6890">
        <w:rPr>
          <w:rFonts w:asciiTheme="minorHAnsi" w:hAnsiTheme="minorHAnsi"/>
        </w:rPr>
        <w:t>w</w:t>
      </w:r>
      <w:r w:rsidRPr="006A6890">
        <w:rPr>
          <w:rFonts w:asciiTheme="minorHAnsi" w:hAnsiTheme="minorHAnsi"/>
          <w:vertAlign w:val="subscript"/>
        </w:rPr>
        <w:t>c</w:t>
      </w:r>
      <w:proofErr w:type="spellEnd"/>
      <w:r w:rsidRPr="006A6890">
        <w:rPr>
          <w:rFonts w:asciiTheme="minorHAnsi" w:hAnsiTheme="minorHAnsi"/>
        </w:rPr>
        <w:t>’ paraméter a számítást megelőző négy negyedévben az adott devizára meghatározott súlyok egyszerű számtani átlaga:</w:t>
      </w:r>
    </w:p>
    <w:p w14:paraId="0D20FFB1" w14:textId="77777777" w:rsidR="00D858B0" w:rsidRPr="006A6890" w:rsidRDefault="00D858B0" w:rsidP="00D858B0">
      <w:pPr>
        <w:spacing w:after="0"/>
        <w:jc w:val="left"/>
        <w:rPr>
          <w:rFonts w:asciiTheme="minorHAnsi" w:hAnsiTheme="minorHAnsi"/>
        </w:rPr>
      </w:pPr>
      <w:r w:rsidRPr="006A6890">
        <w:rPr>
          <w:rFonts w:asciiTheme="minorHAnsi" w:hAnsiTheme="minorHAnsi"/>
        </w:rPr>
        <w:t xml:space="preserve"> </w:t>
      </w:r>
      <w:r w:rsidRPr="006A6890">
        <w:rPr>
          <w:rFonts w:asciiTheme="minorHAnsi" w:hAnsiTheme="minorHAnsi"/>
          <w:noProof/>
        </w:rPr>
        <w:drawing>
          <wp:inline distT="0" distB="0" distL="0" distR="0" wp14:anchorId="1438C37B" wp14:editId="60AFF7F5">
            <wp:extent cx="52120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45FDD2D0" w14:textId="77777777" w:rsidR="00D858B0" w:rsidRPr="006A6890" w:rsidRDefault="00D858B0" w:rsidP="00D858B0">
      <w:pPr>
        <w:spacing w:after="0"/>
        <w:jc w:val="left"/>
        <w:rPr>
          <w:rFonts w:asciiTheme="minorHAnsi" w:hAnsiTheme="minorHAnsi"/>
          <w:sz w:val="18"/>
        </w:rPr>
      </w:pPr>
      <w:r w:rsidRPr="006A6890">
        <w:rPr>
          <w:rFonts w:asciiTheme="minorHAnsi" w:hAnsiTheme="minorHAnsi"/>
          <w:sz w:val="18"/>
        </w:rPr>
        <w:t xml:space="preserve">ahol: </w:t>
      </w:r>
      <w:proofErr w:type="spellStart"/>
      <w:r w:rsidRPr="006A6890">
        <w:rPr>
          <w:rFonts w:asciiTheme="minorHAnsi" w:hAnsiTheme="minorHAnsi"/>
          <w:sz w:val="18"/>
        </w:rPr>
        <w:t>w</w:t>
      </w:r>
      <w:r w:rsidRPr="006A6890">
        <w:rPr>
          <w:rFonts w:asciiTheme="minorHAnsi" w:hAnsiTheme="minorHAnsi"/>
          <w:sz w:val="18"/>
          <w:vertAlign w:val="subscript"/>
        </w:rPr>
        <w:t>q</w:t>
      </w:r>
      <w:proofErr w:type="spellEnd"/>
      <w:r w:rsidRPr="006A6890">
        <w:rPr>
          <w:rFonts w:asciiTheme="minorHAnsi" w:hAnsiTheme="minorHAnsi"/>
          <w:sz w:val="18"/>
        </w:rPr>
        <w:t xml:space="preserve">= adott deviza esetében a tárgyidőszakhoz képest ’q’ negyedévvel korábbi adatok alapján számított súly  </w:t>
      </w:r>
    </w:p>
    <w:p w14:paraId="358D412B" w14:textId="77777777" w:rsidR="00D858B0" w:rsidRPr="006A6890" w:rsidRDefault="00D858B0" w:rsidP="00D858B0">
      <w:pPr>
        <w:spacing w:after="0"/>
        <w:jc w:val="left"/>
        <w:rPr>
          <w:rFonts w:asciiTheme="minorHAnsi" w:hAnsiTheme="minorHAnsi"/>
        </w:rPr>
      </w:pPr>
    </w:p>
    <w:p w14:paraId="0709CCAA" w14:textId="77777777" w:rsidR="00D858B0" w:rsidRPr="006A6890" w:rsidRDefault="00D858B0" w:rsidP="00D858B0">
      <w:pPr>
        <w:spacing w:after="0"/>
        <w:rPr>
          <w:rFonts w:asciiTheme="minorHAnsi" w:hAnsiTheme="minorHAnsi"/>
        </w:rPr>
      </w:pPr>
      <w:r w:rsidRPr="006A6890">
        <w:rPr>
          <w:rFonts w:asciiTheme="minorHAnsi" w:hAnsiTheme="minorHAnsi"/>
        </w:rPr>
        <w:t xml:space="preserve">w= az átárazási rések nagysága alapján számszerűsített, 0,08 és 1 közé eső együttható, amelynek értéke az időben közelebb lévő (rövidebb tenorokban lévő) átárazási rések arányának növekedésével növekszik. </w:t>
      </w:r>
    </w:p>
    <w:p w14:paraId="1DFD5885" w14:textId="77777777" w:rsidR="00D858B0" w:rsidRPr="006A6890" w:rsidRDefault="00D858B0" w:rsidP="00D858B0">
      <w:pPr>
        <w:spacing w:after="0"/>
        <w:rPr>
          <w:rFonts w:asciiTheme="minorHAnsi" w:hAnsiTheme="minorHAnsi"/>
        </w:rPr>
      </w:pPr>
      <w:r w:rsidRPr="006A6890">
        <w:rPr>
          <w:rFonts w:asciiTheme="minorHAnsi" w:hAnsiTheme="minorHAnsi"/>
        </w:rPr>
        <w:t xml:space="preserve">A ’w’ paraméter meghatározása azon az elven alapszik, hogy az időben közelebb lévő átárazási rések az </w:t>
      </w:r>
      <w:proofErr w:type="spellStart"/>
      <w:r w:rsidRPr="006A6890">
        <w:rPr>
          <w:rFonts w:asciiTheme="minorHAnsi" w:hAnsiTheme="minorHAnsi"/>
        </w:rPr>
        <w:t>NII</w:t>
      </w:r>
      <w:proofErr w:type="spellEnd"/>
      <w:r w:rsidRPr="006A6890">
        <w:rPr>
          <w:rFonts w:asciiTheme="minorHAnsi" w:hAnsiTheme="minorHAnsi"/>
        </w:rPr>
        <w:t xml:space="preserve"> érzékenységet jobban befolyásolják, mint a későbbiek, azaz átlagosan minél közelebbiek a </w:t>
      </w:r>
      <w:proofErr w:type="spellStart"/>
      <w:r w:rsidRPr="006A6890">
        <w:rPr>
          <w:rFonts w:asciiTheme="minorHAnsi" w:hAnsiTheme="minorHAnsi"/>
        </w:rPr>
        <w:t>gap</w:t>
      </w:r>
      <w:proofErr w:type="spellEnd"/>
      <w:r w:rsidRPr="006A6890">
        <w:rPr>
          <w:rFonts w:asciiTheme="minorHAnsi" w:hAnsiTheme="minorHAnsi"/>
        </w:rPr>
        <w:t xml:space="preserve">-ek annál nagyobb az </w:t>
      </w:r>
      <w:proofErr w:type="spellStart"/>
      <w:r w:rsidRPr="006A6890">
        <w:rPr>
          <w:rFonts w:asciiTheme="minorHAnsi" w:hAnsiTheme="minorHAnsi"/>
        </w:rPr>
        <w:t>NII</w:t>
      </w:r>
      <w:proofErr w:type="spellEnd"/>
      <w:r w:rsidRPr="006A6890">
        <w:rPr>
          <w:rFonts w:asciiTheme="minorHAnsi" w:hAnsiTheme="minorHAnsi"/>
        </w:rPr>
        <w:t xml:space="preserve"> érzékenység súlya. Ugyanez az EVE érzékenységre vonatkozóan fordított módon igaz, vagyis az időben távolabb lévő átárazási rések az EVE érzékenységet jobban befolyásolják, mint a korábbiak, így minél távolabb vannak átlagosan a </w:t>
      </w:r>
      <w:proofErr w:type="spellStart"/>
      <w:r w:rsidRPr="006A6890">
        <w:rPr>
          <w:rFonts w:asciiTheme="minorHAnsi" w:hAnsiTheme="minorHAnsi"/>
        </w:rPr>
        <w:t>gap</w:t>
      </w:r>
      <w:proofErr w:type="spellEnd"/>
      <w:r w:rsidRPr="006A6890">
        <w:rPr>
          <w:rFonts w:asciiTheme="minorHAnsi" w:hAnsiTheme="minorHAnsi"/>
        </w:rPr>
        <w:t xml:space="preserve">-ek annál nagyobb az EVE érzékenység súlya. Az </w:t>
      </w:r>
      <w:proofErr w:type="spellStart"/>
      <w:r w:rsidRPr="006A6890">
        <w:rPr>
          <w:rFonts w:asciiTheme="minorHAnsi" w:hAnsiTheme="minorHAnsi"/>
        </w:rPr>
        <w:t>NII</w:t>
      </w:r>
      <w:proofErr w:type="spellEnd"/>
      <w:r w:rsidRPr="006A6890">
        <w:rPr>
          <w:rFonts w:asciiTheme="minorHAnsi" w:hAnsiTheme="minorHAnsi"/>
        </w:rPr>
        <w:t xml:space="preserve"> érzékenység végső súlya</w:t>
      </w:r>
      <w:r w:rsidRPr="006A6890">
        <w:rPr>
          <w:rStyle w:val="FootnoteReference"/>
          <w:rFonts w:asciiTheme="minorHAnsi" w:hAnsiTheme="minorHAnsi"/>
        </w:rPr>
        <w:footnoteReference w:id="114"/>
      </w:r>
      <w:r w:rsidRPr="006A6890">
        <w:rPr>
          <w:rFonts w:asciiTheme="minorHAnsi" w:hAnsiTheme="minorHAnsi"/>
        </w:rPr>
        <w:t xml:space="preserve"> kétféle súlyozási séma használatával kapott súlyok átlagaként áll elő.</w:t>
      </w:r>
    </w:p>
    <w:p w14:paraId="1B39BA17" w14:textId="77777777" w:rsidR="00D858B0" w:rsidRPr="006A6890" w:rsidRDefault="00D858B0" w:rsidP="00D858B0">
      <w:pPr>
        <w:spacing w:after="0"/>
        <w:jc w:val="left"/>
        <w:rPr>
          <w:rFonts w:asciiTheme="minorHAnsi" w:hAnsiTheme="minorHAnsi"/>
        </w:rPr>
      </w:pPr>
    </w:p>
    <w:p w14:paraId="10A4BAAF" w14:textId="77777777" w:rsidR="00D858B0" w:rsidRPr="006A6890" w:rsidRDefault="00D858B0" w:rsidP="00D858B0">
      <w:pPr>
        <w:spacing w:after="0"/>
        <w:jc w:val="left"/>
        <w:rPr>
          <w:rFonts w:asciiTheme="minorHAnsi" w:hAnsiTheme="minorHAnsi"/>
        </w:rPr>
      </w:pPr>
      <w:r w:rsidRPr="006A6890">
        <w:rPr>
          <w:rFonts w:asciiTheme="minorHAnsi" w:hAnsiTheme="minorHAnsi"/>
          <w:noProof/>
        </w:rPr>
        <w:drawing>
          <wp:inline distT="0" distB="0" distL="0" distR="0" wp14:anchorId="59C86DA2" wp14:editId="7922D4D0">
            <wp:extent cx="521208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2080" cy="213360"/>
                    </a:xfrm>
                    <a:prstGeom prst="rect">
                      <a:avLst/>
                    </a:prstGeom>
                    <a:noFill/>
                    <a:ln>
                      <a:noFill/>
                    </a:ln>
                  </pic:spPr>
                </pic:pic>
              </a:graphicData>
            </a:graphic>
          </wp:inline>
        </w:drawing>
      </w:r>
    </w:p>
    <w:p w14:paraId="1A9A7324" w14:textId="77777777" w:rsidR="00D858B0" w:rsidRPr="006A6890" w:rsidRDefault="00D858B0" w:rsidP="00D858B0">
      <w:pPr>
        <w:spacing w:after="0"/>
        <w:jc w:val="left"/>
        <w:rPr>
          <w:rFonts w:asciiTheme="minorHAnsi" w:hAnsiTheme="minorHAnsi"/>
        </w:rPr>
      </w:pPr>
    </w:p>
    <w:p w14:paraId="323FDBF5" w14:textId="77777777" w:rsidR="00D858B0" w:rsidRPr="006A6890" w:rsidRDefault="00D858B0" w:rsidP="004B5D1A">
      <w:pPr>
        <w:spacing w:after="0"/>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NII</w:t>
      </w:r>
      <w:proofErr w:type="spellEnd"/>
      <w:r w:rsidRPr="006A6890">
        <w:rPr>
          <w:rFonts w:asciiTheme="minorHAnsi" w:hAnsiTheme="minorHAnsi"/>
        </w:rPr>
        <w:t xml:space="preserve"> és EVE súlyozási séma az átárazási táblázatban megjelenő tenorokhoz rendelt, az </w:t>
      </w:r>
      <w:proofErr w:type="spellStart"/>
      <w:r w:rsidRPr="006A6890">
        <w:rPr>
          <w:rFonts w:asciiTheme="minorHAnsi" w:hAnsiTheme="minorHAnsi"/>
        </w:rPr>
        <w:t>NII</w:t>
      </w:r>
      <w:proofErr w:type="spellEnd"/>
      <w:r w:rsidRPr="006A6890">
        <w:rPr>
          <w:rFonts w:asciiTheme="minorHAnsi" w:hAnsiTheme="minorHAnsi"/>
        </w:rPr>
        <w:t xml:space="preserve"> illetve az EVE esetében a tenorok számához igazodó, lineárisan monoton növekvő illetve csökkenő súlyok sorozatát jelenti, amelyek kizárólag a </w:t>
      </w:r>
      <w:proofErr w:type="spellStart"/>
      <w:r w:rsidRPr="006A6890">
        <w:rPr>
          <w:rFonts w:asciiTheme="minorHAnsi" w:hAnsiTheme="minorHAnsi"/>
        </w:rPr>
        <w:t>NII</w:t>
      </w:r>
      <w:proofErr w:type="spellEnd"/>
      <w:r w:rsidRPr="006A6890">
        <w:rPr>
          <w:rFonts w:asciiTheme="minorHAnsi" w:hAnsiTheme="minorHAnsi"/>
        </w:rPr>
        <w:t xml:space="preserve"> és EVE érzékenységi súlyok meghatározásának kalibrációját szolgálják és nem a tényleges </w:t>
      </w:r>
      <w:proofErr w:type="spellStart"/>
      <w:r w:rsidRPr="006A6890">
        <w:rPr>
          <w:rFonts w:asciiTheme="minorHAnsi" w:hAnsiTheme="minorHAnsi"/>
        </w:rPr>
        <w:t>NII</w:t>
      </w:r>
      <w:proofErr w:type="spellEnd"/>
      <w:r w:rsidRPr="006A6890">
        <w:rPr>
          <w:rFonts w:asciiTheme="minorHAnsi" w:hAnsiTheme="minorHAnsi"/>
        </w:rPr>
        <w:t xml:space="preserve"> vagy EVE érzékenység számításának paraméterei. A két súlyozási séma alkalmazásával a súlyokat az alábbi összefüggések adják.</w:t>
      </w:r>
    </w:p>
    <w:p w14:paraId="56E62277" w14:textId="77777777" w:rsidR="00D858B0" w:rsidRPr="006A6890" w:rsidRDefault="00D858B0" w:rsidP="00D858B0">
      <w:pPr>
        <w:spacing w:after="0"/>
        <w:jc w:val="left"/>
        <w:rPr>
          <w:rFonts w:asciiTheme="minorHAnsi" w:hAnsiTheme="minorHAnsi"/>
        </w:rPr>
      </w:pPr>
    </w:p>
    <w:p w14:paraId="55C50E9D" w14:textId="77777777" w:rsidR="00D858B0" w:rsidRPr="006A6890" w:rsidRDefault="00D858B0" w:rsidP="00D858B0">
      <w:pPr>
        <w:spacing w:after="0"/>
        <w:jc w:val="left"/>
        <w:rPr>
          <w:rFonts w:asciiTheme="minorHAnsi" w:hAnsiTheme="minorHAnsi"/>
          <w:sz w:val="18"/>
        </w:rPr>
      </w:pPr>
      <w:r w:rsidRPr="006A6890">
        <w:rPr>
          <w:rFonts w:asciiTheme="minorHAnsi" w:hAnsiTheme="minorHAnsi"/>
          <w:noProof/>
        </w:rPr>
        <w:drawing>
          <wp:inline distT="0" distB="0" distL="0" distR="0" wp14:anchorId="484B1E28" wp14:editId="04D0C245">
            <wp:extent cx="5212080" cy="108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2080" cy="1082040"/>
                    </a:xfrm>
                    <a:prstGeom prst="rect">
                      <a:avLst/>
                    </a:prstGeom>
                    <a:noFill/>
                    <a:ln>
                      <a:noFill/>
                    </a:ln>
                  </pic:spPr>
                </pic:pic>
              </a:graphicData>
            </a:graphic>
          </wp:inline>
        </w:drawing>
      </w:r>
    </w:p>
    <w:p w14:paraId="03CE7FA5" w14:textId="77777777" w:rsidR="00D858B0" w:rsidRPr="006A6890" w:rsidRDefault="00D858B0" w:rsidP="00D858B0">
      <w:pPr>
        <w:spacing w:after="0"/>
        <w:jc w:val="left"/>
        <w:rPr>
          <w:rFonts w:asciiTheme="minorHAnsi" w:hAnsiTheme="minorHAnsi"/>
          <w:sz w:val="18"/>
        </w:rPr>
      </w:pPr>
    </w:p>
    <w:p w14:paraId="240391EB" w14:textId="77777777" w:rsidR="00D858B0" w:rsidRPr="006A6890" w:rsidRDefault="00D858B0" w:rsidP="00D858B0">
      <w:pPr>
        <w:spacing w:after="0"/>
        <w:jc w:val="left"/>
        <w:rPr>
          <w:rFonts w:asciiTheme="minorHAnsi" w:hAnsiTheme="minorHAnsi"/>
          <w:sz w:val="18"/>
        </w:rPr>
      </w:pPr>
      <w:r w:rsidRPr="006A6890">
        <w:rPr>
          <w:rFonts w:asciiTheme="minorHAnsi" w:hAnsiTheme="minorHAnsi"/>
          <w:sz w:val="18"/>
        </w:rPr>
        <w:t xml:space="preserve">ahol: </w:t>
      </w:r>
      <w:r w:rsidRPr="006A6890">
        <w:rPr>
          <w:rFonts w:asciiTheme="minorHAnsi" w:hAnsiTheme="minorHAnsi"/>
          <w:sz w:val="18"/>
        </w:rPr>
        <w:tab/>
      </w:r>
      <w:proofErr w:type="spellStart"/>
      <w:r w:rsidRPr="006A6890">
        <w:rPr>
          <w:rFonts w:asciiTheme="minorHAnsi" w:hAnsiTheme="minorHAnsi"/>
          <w:sz w:val="18"/>
        </w:rPr>
        <w:t>W</w:t>
      </w:r>
      <w:r w:rsidRPr="006A6890">
        <w:rPr>
          <w:rFonts w:asciiTheme="minorHAnsi" w:hAnsiTheme="minorHAnsi"/>
          <w:sz w:val="18"/>
          <w:vertAlign w:val="subscript"/>
        </w:rPr>
        <w:t>NII</w:t>
      </w:r>
      <w:proofErr w:type="spellEnd"/>
      <w:r w:rsidRPr="006A6890">
        <w:rPr>
          <w:rFonts w:asciiTheme="minorHAnsi" w:hAnsiTheme="minorHAnsi"/>
          <w:sz w:val="18"/>
        </w:rPr>
        <w:t xml:space="preserve"> az </w:t>
      </w:r>
      <w:proofErr w:type="spellStart"/>
      <w:r w:rsidRPr="006A6890">
        <w:rPr>
          <w:rFonts w:asciiTheme="minorHAnsi" w:hAnsiTheme="minorHAnsi"/>
          <w:sz w:val="18"/>
        </w:rPr>
        <w:t>NII</w:t>
      </w:r>
      <w:proofErr w:type="spellEnd"/>
      <w:r w:rsidRPr="006A6890">
        <w:rPr>
          <w:rFonts w:asciiTheme="minorHAnsi" w:hAnsiTheme="minorHAnsi"/>
          <w:sz w:val="18"/>
        </w:rPr>
        <w:t xml:space="preserve"> súlyozási séma alapján meghatározott (</w:t>
      </w:r>
      <w:proofErr w:type="spellStart"/>
      <w:r w:rsidRPr="006A6890">
        <w:rPr>
          <w:rFonts w:asciiTheme="minorHAnsi" w:hAnsiTheme="minorHAnsi"/>
          <w:sz w:val="18"/>
        </w:rPr>
        <w:t>NII</w:t>
      </w:r>
      <w:proofErr w:type="spellEnd"/>
      <w:r w:rsidRPr="006A6890">
        <w:rPr>
          <w:rFonts w:asciiTheme="minorHAnsi" w:hAnsiTheme="minorHAnsi"/>
          <w:sz w:val="18"/>
        </w:rPr>
        <w:t xml:space="preserve">) súly; </w:t>
      </w:r>
      <w:proofErr w:type="spellStart"/>
      <w:r w:rsidRPr="006A6890">
        <w:rPr>
          <w:rFonts w:asciiTheme="minorHAnsi" w:hAnsiTheme="minorHAnsi"/>
          <w:sz w:val="18"/>
        </w:rPr>
        <w:t>W</w:t>
      </w:r>
      <w:r w:rsidRPr="006A6890">
        <w:rPr>
          <w:rFonts w:asciiTheme="minorHAnsi" w:hAnsiTheme="minorHAnsi"/>
          <w:sz w:val="18"/>
          <w:vertAlign w:val="subscript"/>
        </w:rPr>
        <w:t>EVE</w:t>
      </w:r>
      <w:proofErr w:type="spellEnd"/>
      <w:r w:rsidRPr="006A6890">
        <w:rPr>
          <w:rFonts w:asciiTheme="minorHAnsi" w:hAnsiTheme="minorHAnsi"/>
          <w:sz w:val="18"/>
        </w:rPr>
        <w:t xml:space="preserve"> súlyozási séma alapján meghatározott (</w:t>
      </w:r>
      <w:proofErr w:type="spellStart"/>
      <w:r w:rsidRPr="006A6890">
        <w:rPr>
          <w:rFonts w:asciiTheme="minorHAnsi" w:hAnsiTheme="minorHAnsi"/>
          <w:sz w:val="18"/>
        </w:rPr>
        <w:t>NII</w:t>
      </w:r>
      <w:proofErr w:type="spellEnd"/>
      <w:r w:rsidRPr="006A6890">
        <w:rPr>
          <w:rFonts w:asciiTheme="minorHAnsi" w:hAnsiTheme="minorHAnsi"/>
          <w:sz w:val="18"/>
        </w:rPr>
        <w:t>) súly;</w:t>
      </w:r>
    </w:p>
    <w:p w14:paraId="3801A7F5" w14:textId="77777777" w:rsidR="00D858B0" w:rsidRPr="006A6890" w:rsidRDefault="00D858B0" w:rsidP="00D858B0">
      <w:pPr>
        <w:spacing w:after="0"/>
        <w:ind w:firstLine="709"/>
        <w:jc w:val="left"/>
        <w:rPr>
          <w:rFonts w:asciiTheme="minorHAnsi" w:hAnsiTheme="minorHAnsi"/>
          <w:sz w:val="18"/>
        </w:rPr>
      </w:pPr>
      <w:r w:rsidRPr="006A6890">
        <w:rPr>
          <w:rFonts w:asciiTheme="minorHAnsi" w:hAnsiTheme="minorHAnsi"/>
          <w:sz w:val="18"/>
        </w:rPr>
        <w:t>|</w:t>
      </w:r>
      <w:proofErr w:type="spellStart"/>
      <w:r w:rsidRPr="006A6890">
        <w:rPr>
          <w:rFonts w:asciiTheme="minorHAnsi" w:hAnsiTheme="minorHAnsi"/>
          <w:sz w:val="18"/>
        </w:rPr>
        <w:t>GAPi</w:t>
      </w:r>
      <w:proofErr w:type="spellEnd"/>
      <w:r w:rsidRPr="006A6890">
        <w:rPr>
          <w:rFonts w:asciiTheme="minorHAnsi" w:hAnsiTheme="minorHAnsi"/>
          <w:sz w:val="18"/>
        </w:rPr>
        <w:t>|= az ’i’-</w:t>
      </w:r>
      <w:proofErr w:type="spellStart"/>
      <w:r w:rsidRPr="006A6890">
        <w:rPr>
          <w:rFonts w:asciiTheme="minorHAnsi" w:hAnsiTheme="minorHAnsi"/>
          <w:sz w:val="18"/>
        </w:rPr>
        <w:t>edik</w:t>
      </w:r>
      <w:proofErr w:type="spellEnd"/>
      <w:r w:rsidRPr="006A6890">
        <w:rPr>
          <w:rFonts w:asciiTheme="minorHAnsi" w:hAnsiTheme="minorHAnsi"/>
          <w:sz w:val="18"/>
        </w:rPr>
        <w:t xml:space="preserve"> tenorban megjelenő átárazási rés abszolút értéke; </w:t>
      </w:r>
    </w:p>
    <w:p w14:paraId="329535B3" w14:textId="77777777" w:rsidR="00D858B0" w:rsidRPr="006A6890" w:rsidRDefault="00D858B0" w:rsidP="00D858B0">
      <w:pPr>
        <w:spacing w:after="0"/>
        <w:ind w:firstLine="709"/>
        <w:jc w:val="left"/>
        <w:rPr>
          <w:rFonts w:asciiTheme="minorHAnsi" w:hAnsiTheme="minorHAnsi"/>
          <w:sz w:val="18"/>
        </w:rPr>
      </w:pPr>
      <w:proofErr w:type="spellStart"/>
      <w:r w:rsidRPr="006A6890">
        <w:rPr>
          <w:rFonts w:asciiTheme="minorHAnsi" w:hAnsiTheme="minorHAnsi"/>
          <w:sz w:val="18"/>
        </w:rPr>
        <w:t>wGAPNII</w:t>
      </w:r>
      <w:r w:rsidRPr="006A6890">
        <w:rPr>
          <w:rFonts w:asciiTheme="minorHAnsi" w:hAnsiTheme="minorHAnsi"/>
          <w:sz w:val="18"/>
          <w:vertAlign w:val="subscript"/>
        </w:rPr>
        <w:t>i</w:t>
      </w:r>
      <w:proofErr w:type="spellEnd"/>
      <w:r w:rsidRPr="006A6890">
        <w:rPr>
          <w:rFonts w:asciiTheme="minorHAnsi" w:hAnsiTheme="minorHAnsi"/>
          <w:sz w:val="18"/>
          <w:vertAlign w:val="subscript"/>
        </w:rPr>
        <w:t xml:space="preserve"> </w:t>
      </w:r>
      <w:r w:rsidRPr="006A6890">
        <w:rPr>
          <w:rFonts w:asciiTheme="minorHAnsi" w:hAnsiTheme="minorHAnsi"/>
          <w:sz w:val="18"/>
        </w:rPr>
        <w:t xml:space="preserve">és </w:t>
      </w:r>
      <w:proofErr w:type="spellStart"/>
      <w:r w:rsidRPr="006A6890">
        <w:rPr>
          <w:rFonts w:asciiTheme="minorHAnsi" w:hAnsiTheme="minorHAnsi"/>
          <w:sz w:val="18"/>
        </w:rPr>
        <w:t>wGAPEVE</w:t>
      </w:r>
      <w:r w:rsidRPr="006A6890">
        <w:rPr>
          <w:rFonts w:asciiTheme="minorHAnsi" w:hAnsiTheme="minorHAnsi"/>
          <w:sz w:val="18"/>
          <w:vertAlign w:val="subscript"/>
        </w:rPr>
        <w:t>i</w:t>
      </w:r>
      <w:proofErr w:type="spellEnd"/>
      <w:r w:rsidRPr="006A6890">
        <w:rPr>
          <w:rFonts w:asciiTheme="minorHAnsi" w:hAnsiTheme="minorHAnsi"/>
          <w:sz w:val="18"/>
          <w:vertAlign w:val="subscript"/>
        </w:rPr>
        <w:t xml:space="preserve"> </w:t>
      </w:r>
      <w:r w:rsidRPr="006A6890">
        <w:rPr>
          <w:rFonts w:asciiTheme="minorHAnsi" w:hAnsiTheme="minorHAnsi"/>
          <w:sz w:val="18"/>
        </w:rPr>
        <w:t>= az ’i’-</w:t>
      </w:r>
      <w:proofErr w:type="spellStart"/>
      <w:r w:rsidRPr="006A6890">
        <w:rPr>
          <w:rFonts w:asciiTheme="minorHAnsi" w:hAnsiTheme="minorHAnsi"/>
          <w:sz w:val="18"/>
        </w:rPr>
        <w:t>edik</w:t>
      </w:r>
      <w:proofErr w:type="spellEnd"/>
      <w:r w:rsidRPr="006A6890">
        <w:rPr>
          <w:rFonts w:asciiTheme="minorHAnsi" w:hAnsiTheme="minorHAnsi"/>
          <w:sz w:val="18"/>
        </w:rPr>
        <w:t xml:space="preserve"> tenorhoz tartozó </w:t>
      </w:r>
      <w:proofErr w:type="spellStart"/>
      <w:r w:rsidRPr="006A6890">
        <w:rPr>
          <w:rFonts w:asciiTheme="minorHAnsi" w:hAnsiTheme="minorHAnsi"/>
          <w:sz w:val="18"/>
        </w:rPr>
        <w:t>NII</w:t>
      </w:r>
      <w:proofErr w:type="spellEnd"/>
      <w:r w:rsidRPr="006A6890">
        <w:rPr>
          <w:rFonts w:asciiTheme="minorHAnsi" w:hAnsiTheme="minorHAnsi"/>
          <w:sz w:val="18"/>
        </w:rPr>
        <w:t xml:space="preserve"> és EVE szerinti súly </w:t>
      </w:r>
    </w:p>
    <w:p w14:paraId="2139E9BF" w14:textId="77777777" w:rsidR="00D858B0" w:rsidRPr="006A6890" w:rsidRDefault="00D858B0" w:rsidP="00D858B0">
      <w:pPr>
        <w:spacing w:after="0"/>
        <w:ind w:firstLine="709"/>
        <w:jc w:val="left"/>
        <w:rPr>
          <w:rFonts w:asciiTheme="minorHAnsi" w:hAnsiTheme="minorHAnsi"/>
          <w:sz w:val="18"/>
        </w:rPr>
      </w:pPr>
    </w:p>
    <w:p w14:paraId="45C9166F" w14:textId="77777777" w:rsidR="00D858B0" w:rsidRPr="006A6890" w:rsidRDefault="00D858B0" w:rsidP="00D858B0">
      <w:pPr>
        <w:spacing w:after="0"/>
        <w:jc w:val="left"/>
        <w:rPr>
          <w:rFonts w:asciiTheme="minorHAnsi" w:hAnsiTheme="minorHAnsi"/>
        </w:rPr>
      </w:pPr>
      <w:r w:rsidRPr="006A6890">
        <w:rPr>
          <w:rFonts w:asciiTheme="minorHAnsi" w:hAnsiTheme="minorHAnsi"/>
        </w:rPr>
        <w:t xml:space="preserve">A (7) és (8) képletben használt az egyes tenorokhoz rendelt súlyok </w:t>
      </w:r>
      <w:proofErr w:type="spellStart"/>
      <w:r w:rsidRPr="006A6890">
        <w:rPr>
          <w:rFonts w:asciiTheme="minorHAnsi" w:hAnsiTheme="minorHAnsi"/>
        </w:rPr>
        <w:t>vektorai</w:t>
      </w:r>
      <w:proofErr w:type="spellEnd"/>
      <w:r w:rsidRPr="006A6890">
        <w:rPr>
          <w:rFonts w:asciiTheme="minorHAnsi" w:hAnsiTheme="minorHAnsi"/>
        </w:rPr>
        <w:t>:</w:t>
      </w:r>
    </w:p>
    <w:p w14:paraId="4E6E7631" w14:textId="77777777" w:rsidR="00D858B0" w:rsidRPr="006A6890" w:rsidRDefault="00D858B0" w:rsidP="00D858B0">
      <w:pPr>
        <w:spacing w:after="0"/>
        <w:jc w:val="left"/>
        <w:rPr>
          <w:rFonts w:asciiTheme="minorHAnsi" w:hAnsiTheme="minorHAnsi"/>
        </w:rPr>
      </w:pPr>
      <w:r w:rsidRPr="006A6890">
        <w:rPr>
          <w:rFonts w:asciiTheme="minorHAnsi" w:hAnsiTheme="minorHAnsi"/>
        </w:rPr>
        <w:t xml:space="preserve"> </w:t>
      </w:r>
    </w:p>
    <w:p w14:paraId="6DC4F185" w14:textId="7BECE71B" w:rsidR="006F1BAD" w:rsidRPr="006A6890" w:rsidRDefault="006F1BAD" w:rsidP="006F1BAD">
      <w:pPr>
        <w:spacing w:after="0"/>
        <w:jc w:val="left"/>
        <w:rPr>
          <w:rFonts w:asciiTheme="minorHAnsi" w:hAnsiTheme="minorHAnsi"/>
        </w:rPr>
      </w:pPr>
      <w:r w:rsidRPr="006A6890">
        <w:rPr>
          <w:rFonts w:asciiTheme="minorHAnsi" w:hAnsiTheme="minorHAnsi"/>
          <w:b/>
        </w:rPr>
        <w:t>wGAPNII</w:t>
      </w:r>
      <w:r w:rsidRPr="006A6890">
        <w:rPr>
          <w:rFonts w:asciiTheme="minorHAnsi" w:hAnsiTheme="minorHAnsi"/>
        </w:rPr>
        <w:t>=&lt;100%,95%,89%,84%,78%,73%,68%,62%,57%,51%,46%,40%,35%,30%,24%,19%,13%,8%&gt;</w:t>
      </w:r>
    </w:p>
    <w:p w14:paraId="377274DA" w14:textId="77777777" w:rsidR="006F1BAD" w:rsidRPr="006A6890" w:rsidRDefault="006F1BAD" w:rsidP="006F1BAD">
      <w:pPr>
        <w:spacing w:after="0"/>
        <w:jc w:val="left"/>
        <w:rPr>
          <w:rFonts w:asciiTheme="minorHAnsi" w:hAnsiTheme="minorHAnsi"/>
        </w:rPr>
      </w:pPr>
    </w:p>
    <w:p w14:paraId="3CF99AA6" w14:textId="77777777" w:rsidR="006F1BAD" w:rsidRPr="006A6890" w:rsidRDefault="006F1BAD" w:rsidP="006F1BAD">
      <w:pPr>
        <w:spacing w:after="0"/>
        <w:jc w:val="left"/>
        <w:rPr>
          <w:rFonts w:asciiTheme="minorHAnsi" w:hAnsiTheme="minorHAnsi"/>
        </w:rPr>
      </w:pPr>
      <w:r w:rsidRPr="006A6890">
        <w:rPr>
          <w:rFonts w:asciiTheme="minorHAnsi" w:hAnsiTheme="minorHAnsi"/>
          <w:b/>
        </w:rPr>
        <w:t>wGAPEVE</w:t>
      </w:r>
      <w:r w:rsidRPr="006A6890">
        <w:rPr>
          <w:rFonts w:asciiTheme="minorHAnsi" w:hAnsiTheme="minorHAnsi"/>
        </w:rPr>
        <w:t>=&lt;8%,13%,19%,24%,30%,35%,40%,46%,51%,57%,62%,68%,73%,78%,84%,89%,95%,100%&gt;</w:t>
      </w:r>
    </w:p>
    <w:p w14:paraId="4EAEA8C5" w14:textId="77777777" w:rsidR="006F1BAD" w:rsidRPr="006A6890" w:rsidRDefault="006F1BAD" w:rsidP="006F1BAD">
      <w:pPr>
        <w:spacing w:after="0"/>
        <w:jc w:val="left"/>
        <w:rPr>
          <w:rFonts w:asciiTheme="minorHAnsi" w:hAnsiTheme="minorHAnsi"/>
        </w:rPr>
      </w:pPr>
      <w:r w:rsidRPr="006A6890">
        <w:rPr>
          <w:rFonts w:asciiTheme="minorHAnsi" w:hAnsiTheme="minorHAnsi"/>
        </w:rPr>
        <w:t xml:space="preserve"> </w:t>
      </w:r>
    </w:p>
    <w:p w14:paraId="1D8D7EEF" w14:textId="77777777" w:rsidR="006F1BAD" w:rsidRPr="006A6890" w:rsidRDefault="006F1BAD" w:rsidP="006F1BAD">
      <w:pPr>
        <w:spacing w:after="0"/>
        <w:jc w:val="left"/>
        <w:rPr>
          <w:rFonts w:asciiTheme="minorHAnsi" w:hAnsiTheme="minorHAnsi"/>
        </w:rPr>
      </w:pPr>
      <w:r w:rsidRPr="006A6890">
        <w:rPr>
          <w:rFonts w:asciiTheme="minorHAnsi" w:hAnsiTheme="minorHAnsi"/>
        </w:rPr>
        <w:t xml:space="preserve">A súlyokat a 9R1 kamatkockázati felügyeleti jelentésben meghatározott – az ON kategória nélkül vett – 18 </w:t>
      </w:r>
      <w:proofErr w:type="spellStart"/>
      <w:r w:rsidRPr="006A6890">
        <w:rPr>
          <w:rFonts w:asciiTheme="minorHAnsi" w:hAnsiTheme="minorHAnsi"/>
        </w:rPr>
        <w:t>átarazási</w:t>
      </w:r>
      <w:proofErr w:type="spellEnd"/>
      <w:r w:rsidRPr="006A6890">
        <w:rPr>
          <w:rFonts w:asciiTheme="minorHAnsi" w:hAnsiTheme="minorHAnsi"/>
        </w:rPr>
        <w:t xml:space="preserve"> tenort figyelembe véve határoztuk meg. </w:t>
      </w:r>
    </w:p>
    <w:p w14:paraId="7EB915C8" w14:textId="53F9D522" w:rsidR="00D858B0" w:rsidRPr="006A6890" w:rsidRDefault="00D858B0" w:rsidP="00D858B0">
      <w:pPr>
        <w:spacing w:after="0"/>
        <w:jc w:val="left"/>
        <w:rPr>
          <w:rFonts w:asciiTheme="minorHAnsi" w:hAnsiTheme="minorHAnsi"/>
        </w:rPr>
      </w:pPr>
    </w:p>
    <w:p w14:paraId="1D858DA6" w14:textId="77777777" w:rsidR="00D858B0" w:rsidRPr="006A6890" w:rsidRDefault="00D858B0" w:rsidP="00D858B0">
      <w:pPr>
        <w:spacing w:after="0"/>
        <w:jc w:val="left"/>
        <w:rPr>
          <w:rFonts w:asciiTheme="minorHAnsi" w:hAnsiTheme="minorHAnsi"/>
        </w:rPr>
      </w:pPr>
    </w:p>
    <w:p w14:paraId="2797D3AD" w14:textId="77777777" w:rsidR="00D858B0" w:rsidRPr="006A6890" w:rsidRDefault="00D858B0" w:rsidP="00D858B0">
      <w:pPr>
        <w:spacing w:after="0"/>
        <w:jc w:val="left"/>
        <w:rPr>
          <w:rFonts w:asciiTheme="minorHAnsi" w:hAnsiTheme="minorHAnsi"/>
          <w:sz w:val="18"/>
        </w:rPr>
      </w:pPr>
    </w:p>
    <w:p w14:paraId="62CBA11E" w14:textId="55D3C808" w:rsidR="00D858B0" w:rsidRPr="006A6890" w:rsidRDefault="00D858B0" w:rsidP="00D858B0">
      <w:pPr>
        <w:rPr>
          <w:rFonts w:asciiTheme="minorHAnsi" w:hAnsiTheme="minorHAnsi"/>
          <w:b/>
          <w:i/>
        </w:rPr>
      </w:pPr>
      <w:r w:rsidRPr="006A6890">
        <w:rPr>
          <w:rFonts w:asciiTheme="minorHAnsi" w:hAnsiTheme="minorHAnsi"/>
        </w:rPr>
        <w:br w:type="page"/>
      </w:r>
      <w:r w:rsidRPr="006A6890">
        <w:rPr>
          <w:rFonts w:asciiTheme="minorHAnsi" w:hAnsiTheme="minorHAnsi"/>
          <w:b/>
          <w:i/>
        </w:rPr>
        <w:lastRenderedPageBreak/>
        <w:t>Függelék 2.  A kamatkockázati tőkekövetelmény meghatározásakor alkalmazott kamat forgatókönyvek az MNB benchmark modelljében</w:t>
      </w:r>
    </w:p>
    <w:p w14:paraId="77B4DA0D" w14:textId="3955CBC0" w:rsidR="001C50DA" w:rsidRPr="006A6890" w:rsidRDefault="001C50DA" w:rsidP="001C50DA">
      <w:pPr>
        <w:spacing w:after="0"/>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Bechmark</w:t>
      </w:r>
      <w:proofErr w:type="spellEnd"/>
      <w:r w:rsidRPr="006A6890">
        <w:rPr>
          <w:rFonts w:asciiTheme="minorHAnsi" w:hAnsiTheme="minorHAnsi"/>
        </w:rPr>
        <w:t xml:space="preserve"> modellben használt kamat forgatókönyvek a b</w:t>
      </w:r>
      <w:r w:rsidR="00A7454E" w:rsidRPr="006A6890">
        <w:rPr>
          <w:rFonts w:asciiTheme="minorHAnsi" w:hAnsiTheme="minorHAnsi"/>
        </w:rPr>
        <w:t>á</w:t>
      </w:r>
      <w:r w:rsidRPr="006A6890">
        <w:rPr>
          <w:rFonts w:asciiTheme="minorHAnsi" w:hAnsiTheme="minorHAnsi"/>
        </w:rPr>
        <w:t xml:space="preserve">zeli és </w:t>
      </w:r>
      <w:proofErr w:type="spellStart"/>
      <w:r w:rsidRPr="006A6890">
        <w:rPr>
          <w:rFonts w:asciiTheme="minorHAnsi" w:hAnsiTheme="minorHAnsi"/>
        </w:rPr>
        <w:t>EBA</w:t>
      </w:r>
      <w:proofErr w:type="spellEnd"/>
      <w:r w:rsidRPr="006A6890">
        <w:rPr>
          <w:rFonts w:asciiTheme="minorHAnsi" w:hAnsiTheme="minorHAnsi"/>
        </w:rPr>
        <w:t xml:space="preserve"> ajánlásokban megfogalm</w:t>
      </w:r>
      <w:r w:rsidR="00CF1B68" w:rsidRPr="006A6890">
        <w:rPr>
          <w:rFonts w:asciiTheme="minorHAnsi" w:hAnsiTheme="minorHAnsi"/>
        </w:rPr>
        <w:t>a</w:t>
      </w:r>
      <w:r w:rsidRPr="006A6890">
        <w:rPr>
          <w:rFonts w:asciiTheme="minorHAnsi" w:hAnsiTheme="minorHAnsi"/>
        </w:rPr>
        <w:t>zott eljárást követik, amelynek részletes leír</w:t>
      </w:r>
      <w:r w:rsidR="00081B56" w:rsidRPr="006A6890">
        <w:rPr>
          <w:rFonts w:asciiTheme="minorHAnsi" w:hAnsiTheme="minorHAnsi"/>
        </w:rPr>
        <w:t>á</w:t>
      </w:r>
      <w:r w:rsidRPr="006A6890">
        <w:rPr>
          <w:rFonts w:asciiTheme="minorHAnsi" w:hAnsiTheme="minorHAnsi"/>
        </w:rPr>
        <w:t xml:space="preserve">sa megtalálható az </w:t>
      </w:r>
      <w:proofErr w:type="spellStart"/>
      <w:r w:rsidRPr="006A6890">
        <w:rPr>
          <w:rFonts w:asciiTheme="minorHAnsi" w:hAnsiTheme="minorHAnsi"/>
        </w:rPr>
        <w:t>EBA</w:t>
      </w:r>
      <w:proofErr w:type="spellEnd"/>
      <w:r w:rsidRPr="006A6890">
        <w:rPr>
          <w:rFonts w:asciiTheme="minorHAnsi" w:hAnsiTheme="minorHAnsi"/>
        </w:rPr>
        <w:t xml:space="preserve"> 2019</w:t>
      </w:r>
      <w:r w:rsidR="00081B56" w:rsidRPr="006A6890">
        <w:rPr>
          <w:rFonts w:asciiTheme="minorHAnsi" w:hAnsiTheme="minorHAnsi"/>
        </w:rPr>
        <w:t>.</w:t>
      </w:r>
      <w:r w:rsidRPr="006A6890">
        <w:rPr>
          <w:rFonts w:asciiTheme="minorHAnsi" w:hAnsiTheme="minorHAnsi"/>
        </w:rPr>
        <w:t>06</w:t>
      </w:r>
      <w:r w:rsidR="00081B56" w:rsidRPr="006A6890">
        <w:rPr>
          <w:rFonts w:asciiTheme="minorHAnsi" w:hAnsiTheme="minorHAnsi"/>
        </w:rPr>
        <w:t>.</w:t>
      </w:r>
      <w:r w:rsidRPr="006A6890">
        <w:rPr>
          <w:rFonts w:asciiTheme="minorHAnsi" w:hAnsiTheme="minorHAnsi"/>
        </w:rPr>
        <w:t>30-tól hatályba lépő, újabb dokumentumának III.</w:t>
      </w:r>
      <w:r w:rsidR="00CF1B68" w:rsidRPr="006A6890">
        <w:rPr>
          <w:rFonts w:asciiTheme="minorHAnsi" w:hAnsiTheme="minorHAnsi"/>
        </w:rPr>
        <w:t xml:space="preserve"> </w:t>
      </w:r>
      <w:r w:rsidRPr="006A6890">
        <w:rPr>
          <w:rFonts w:asciiTheme="minorHAnsi" w:hAnsiTheme="minorHAnsi"/>
        </w:rPr>
        <w:t>számú függelékében (</w:t>
      </w:r>
      <w:proofErr w:type="spellStart"/>
      <w:r w:rsidRPr="006A6890">
        <w:rPr>
          <w:rFonts w:asciiTheme="minorHAnsi" w:hAnsiTheme="minorHAnsi"/>
        </w:rPr>
        <w:t>ld.EBA</w:t>
      </w:r>
      <w:proofErr w:type="spellEnd"/>
      <w:r w:rsidRPr="006A6890">
        <w:rPr>
          <w:rFonts w:asciiTheme="minorHAnsi" w:hAnsiTheme="minorHAnsi"/>
        </w:rPr>
        <w:t xml:space="preserve">: </w:t>
      </w:r>
      <w:proofErr w:type="spellStart"/>
      <w:r w:rsidRPr="006A6890">
        <w:rPr>
          <w:rFonts w:asciiTheme="minorHAnsi" w:hAnsiTheme="minorHAnsi"/>
        </w:rPr>
        <w:t>Guidelines</w:t>
      </w:r>
      <w:proofErr w:type="spellEnd"/>
      <w:r w:rsidRPr="006A6890">
        <w:rPr>
          <w:rFonts w:asciiTheme="minorHAnsi" w:hAnsiTheme="minorHAnsi"/>
        </w:rPr>
        <w:t xml:space="preserve"> on </w:t>
      </w:r>
      <w:proofErr w:type="spellStart"/>
      <w:r w:rsidRPr="006A6890">
        <w:rPr>
          <w:rFonts w:asciiTheme="minorHAnsi" w:hAnsiTheme="minorHAnsi"/>
        </w:rPr>
        <w:t>the</w:t>
      </w:r>
      <w:proofErr w:type="spellEnd"/>
      <w:r w:rsidRPr="006A6890">
        <w:rPr>
          <w:rFonts w:asciiTheme="minorHAnsi" w:hAnsiTheme="minorHAnsi"/>
        </w:rPr>
        <w:t xml:space="preserve"> </w:t>
      </w:r>
      <w:proofErr w:type="spellStart"/>
      <w:r w:rsidRPr="006A6890">
        <w:rPr>
          <w:rFonts w:asciiTheme="minorHAnsi" w:hAnsiTheme="minorHAnsi"/>
        </w:rPr>
        <w:t>manegement</w:t>
      </w:r>
      <w:proofErr w:type="spellEnd"/>
      <w:r w:rsidRPr="006A6890">
        <w:rPr>
          <w:rFonts w:asciiTheme="minorHAnsi" w:hAnsiTheme="minorHAnsi"/>
        </w:rPr>
        <w:t xml:space="preserve"> of interest </w:t>
      </w:r>
      <w:proofErr w:type="spellStart"/>
      <w:r w:rsidRPr="006A6890">
        <w:rPr>
          <w:rFonts w:asciiTheme="minorHAnsi" w:hAnsiTheme="minorHAnsi"/>
        </w:rPr>
        <w:t>rate</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arising</w:t>
      </w:r>
      <w:proofErr w:type="spellEnd"/>
      <w:r w:rsidRPr="006A6890">
        <w:rPr>
          <w:rFonts w:asciiTheme="minorHAnsi" w:hAnsiTheme="minorHAnsi"/>
        </w:rPr>
        <w:t xml:space="preserve"> </w:t>
      </w:r>
      <w:proofErr w:type="spellStart"/>
      <w:r w:rsidRPr="006A6890">
        <w:rPr>
          <w:rFonts w:asciiTheme="minorHAnsi" w:hAnsiTheme="minorHAnsi"/>
        </w:rPr>
        <w:t>from</w:t>
      </w:r>
      <w:proofErr w:type="spellEnd"/>
      <w:r w:rsidRPr="006A6890">
        <w:rPr>
          <w:rFonts w:asciiTheme="minorHAnsi" w:hAnsiTheme="minorHAnsi"/>
        </w:rPr>
        <w:t xml:space="preserve"> non-</w:t>
      </w:r>
      <w:proofErr w:type="spellStart"/>
      <w:r w:rsidRPr="006A6890">
        <w:rPr>
          <w:rFonts w:asciiTheme="minorHAnsi" w:hAnsiTheme="minorHAnsi"/>
        </w:rPr>
        <w:t>trading</w:t>
      </w:r>
      <w:proofErr w:type="spellEnd"/>
      <w:r w:rsidRPr="006A6890">
        <w:rPr>
          <w:rFonts w:asciiTheme="minorHAnsi" w:hAnsiTheme="minorHAnsi"/>
        </w:rPr>
        <w:t xml:space="preserve"> </w:t>
      </w:r>
      <w:proofErr w:type="spellStart"/>
      <w:r w:rsidRPr="006A6890">
        <w:rPr>
          <w:rFonts w:asciiTheme="minorHAnsi" w:hAnsiTheme="minorHAnsi"/>
        </w:rPr>
        <w:t>book</w:t>
      </w:r>
      <w:proofErr w:type="spellEnd"/>
      <w:r w:rsidRPr="006A6890">
        <w:rPr>
          <w:rFonts w:asciiTheme="minorHAnsi" w:hAnsiTheme="minorHAnsi"/>
        </w:rPr>
        <w:t xml:space="preserve"> </w:t>
      </w:r>
      <w:proofErr w:type="spellStart"/>
      <w:r w:rsidRPr="006A6890">
        <w:rPr>
          <w:rFonts w:asciiTheme="minorHAnsi" w:hAnsiTheme="minorHAnsi"/>
        </w:rPr>
        <w:t>activities</w:t>
      </w:r>
      <w:proofErr w:type="spellEnd"/>
      <w:r w:rsidRPr="006A6890">
        <w:rPr>
          <w:rFonts w:asciiTheme="minorHAnsi" w:hAnsiTheme="minorHAnsi"/>
        </w:rPr>
        <w:t xml:space="preserve">, </w:t>
      </w:r>
      <w:proofErr w:type="spellStart"/>
      <w:r w:rsidRPr="006A6890">
        <w:rPr>
          <w:rFonts w:asciiTheme="minorHAnsi" w:hAnsiTheme="minorHAnsi"/>
        </w:rPr>
        <w:t>Annex</w:t>
      </w:r>
      <w:proofErr w:type="spellEnd"/>
      <w:r w:rsidRPr="006A6890">
        <w:rPr>
          <w:rFonts w:asciiTheme="minorHAnsi" w:hAnsiTheme="minorHAnsi"/>
        </w:rPr>
        <w:t xml:space="preserve"> III. The </w:t>
      </w:r>
      <w:proofErr w:type="spellStart"/>
      <w:r w:rsidRPr="006A6890">
        <w:rPr>
          <w:rFonts w:asciiTheme="minorHAnsi" w:hAnsiTheme="minorHAnsi"/>
        </w:rPr>
        <w:t>standardized</w:t>
      </w:r>
      <w:proofErr w:type="spellEnd"/>
      <w:r w:rsidRPr="006A6890">
        <w:rPr>
          <w:rFonts w:asciiTheme="minorHAnsi" w:hAnsiTheme="minorHAnsi"/>
        </w:rPr>
        <w:t xml:space="preserve"> interest </w:t>
      </w:r>
      <w:proofErr w:type="spellStart"/>
      <w:r w:rsidRPr="006A6890">
        <w:rPr>
          <w:rFonts w:asciiTheme="minorHAnsi" w:hAnsiTheme="minorHAnsi"/>
        </w:rPr>
        <w:t>rate</w:t>
      </w:r>
      <w:proofErr w:type="spellEnd"/>
      <w:r w:rsidRPr="006A6890">
        <w:rPr>
          <w:rFonts w:asciiTheme="minorHAnsi" w:hAnsiTheme="minorHAnsi"/>
        </w:rPr>
        <w:t xml:space="preserve"> </w:t>
      </w:r>
      <w:proofErr w:type="spellStart"/>
      <w:r w:rsidRPr="006A6890">
        <w:rPr>
          <w:rFonts w:asciiTheme="minorHAnsi" w:hAnsiTheme="minorHAnsi"/>
        </w:rPr>
        <w:t>shock</w:t>
      </w:r>
      <w:proofErr w:type="spellEnd"/>
      <w:r w:rsidRPr="006A6890">
        <w:rPr>
          <w:rFonts w:asciiTheme="minorHAnsi" w:hAnsiTheme="minorHAnsi"/>
        </w:rPr>
        <w:t xml:space="preserve"> </w:t>
      </w:r>
      <w:proofErr w:type="spellStart"/>
      <w:r w:rsidRPr="006A6890">
        <w:rPr>
          <w:rFonts w:asciiTheme="minorHAnsi" w:hAnsiTheme="minorHAnsi"/>
        </w:rPr>
        <w:t>scenarios</w:t>
      </w:r>
      <w:proofErr w:type="spellEnd"/>
      <w:r w:rsidRPr="006A6890">
        <w:rPr>
          <w:rFonts w:asciiTheme="minorHAnsi" w:hAnsiTheme="minorHAnsi"/>
        </w:rPr>
        <w:t>).</w:t>
      </w:r>
    </w:p>
    <w:p w14:paraId="701E1004" w14:textId="6E6924F9" w:rsidR="001C50DA" w:rsidRPr="006A6890" w:rsidRDefault="001C50DA" w:rsidP="00DC02A8">
      <w:pPr>
        <w:spacing w:after="0"/>
        <w:rPr>
          <w:rFonts w:asciiTheme="minorHAnsi" w:hAnsiTheme="minorHAnsi"/>
        </w:rPr>
      </w:pPr>
      <w:r w:rsidRPr="006A6890">
        <w:rPr>
          <w:rFonts w:asciiTheme="minorHAnsi" w:hAnsiTheme="minorHAnsi"/>
        </w:rPr>
        <w:t xml:space="preserve">A hivatkozott </w:t>
      </w:r>
      <w:proofErr w:type="spellStart"/>
      <w:r w:rsidRPr="006A6890">
        <w:rPr>
          <w:rFonts w:asciiTheme="minorHAnsi" w:hAnsiTheme="minorHAnsi"/>
        </w:rPr>
        <w:t>EBA</w:t>
      </w:r>
      <w:proofErr w:type="spellEnd"/>
      <w:r w:rsidRPr="006A6890">
        <w:rPr>
          <w:rFonts w:asciiTheme="minorHAnsi" w:hAnsiTheme="minorHAnsi"/>
        </w:rPr>
        <w:t xml:space="preserve"> ajánlás a forint devizára alap sokk forgatókönyvként (a teljes hozamgörbét érintő, </w:t>
      </w:r>
      <w:proofErr w:type="spellStart"/>
      <w:r w:rsidRPr="006A6890">
        <w:rPr>
          <w:rFonts w:asciiTheme="minorHAnsi" w:hAnsiTheme="minorHAnsi"/>
        </w:rPr>
        <w:t>azonali</w:t>
      </w:r>
      <w:proofErr w:type="spellEnd"/>
      <w:r w:rsidRPr="006A6890">
        <w:rPr>
          <w:rFonts w:asciiTheme="minorHAnsi" w:hAnsiTheme="minorHAnsi"/>
        </w:rPr>
        <w:t xml:space="preserve">, párhuzamos sokk) </w:t>
      </w:r>
      <w:r w:rsidRPr="006A6890">
        <w:rPr>
          <w:rFonts w:asciiTheme="minorHAnsi" w:hAnsiTheme="minorHAnsi"/>
          <w:i/>
        </w:rPr>
        <w:t xml:space="preserve">300 bázispontos </w:t>
      </w:r>
      <w:r w:rsidRPr="006A6890">
        <w:rPr>
          <w:rFonts w:asciiTheme="minorHAnsi" w:hAnsiTheme="minorHAnsi"/>
        </w:rPr>
        <w:t xml:space="preserve">elmozdulást határoz meg, a hozamgörbe rövid végére ugyanez a mérték </w:t>
      </w:r>
      <w:r w:rsidRPr="006A6890">
        <w:rPr>
          <w:rFonts w:asciiTheme="minorHAnsi" w:hAnsiTheme="minorHAnsi"/>
          <w:i/>
        </w:rPr>
        <w:t>450 bázispont</w:t>
      </w:r>
      <w:r w:rsidRPr="006A6890">
        <w:rPr>
          <w:rFonts w:asciiTheme="minorHAnsi" w:hAnsiTheme="minorHAnsi"/>
        </w:rPr>
        <w:t xml:space="preserve">, a hosszabb végére vonatkozóan pedig </w:t>
      </w:r>
      <w:r w:rsidRPr="006A6890">
        <w:rPr>
          <w:rFonts w:asciiTheme="minorHAnsi" w:hAnsiTheme="minorHAnsi"/>
          <w:i/>
        </w:rPr>
        <w:t>200 bázispont</w:t>
      </w:r>
      <w:r w:rsidRPr="006A6890">
        <w:rPr>
          <w:rFonts w:asciiTheme="minorHAnsi" w:hAnsiTheme="minorHAnsi"/>
        </w:rPr>
        <w:t xml:space="preserve">. Ugyanakkor az ajánlás lehetőséget ad a helyi hatóságoknak - eltérő megfigyelési időszak alkalmazásával – ezen értékek felülvizsgálatára. </w:t>
      </w:r>
    </w:p>
    <w:p w14:paraId="4C596DDA" w14:textId="77777777" w:rsidR="001C50DA" w:rsidRPr="006A6890" w:rsidRDefault="001C50DA" w:rsidP="004B5D1A">
      <w:pPr>
        <w:spacing w:after="0"/>
        <w:rPr>
          <w:rFonts w:asciiTheme="minorHAnsi" w:hAnsiTheme="minorHAnsi"/>
        </w:rPr>
      </w:pPr>
      <w:r w:rsidRPr="006A6890">
        <w:rPr>
          <w:rFonts w:asciiTheme="minorHAnsi" w:hAnsiTheme="minorHAnsi"/>
        </w:rPr>
        <w:t xml:space="preserve">Az MNB a 2009-től 2018-ig tartó megfigyelési időszak adatainak felhasználásával a forintra vonatkozóan az alábbi </w:t>
      </w:r>
      <w:proofErr w:type="spellStart"/>
      <w:r w:rsidRPr="006A6890">
        <w:rPr>
          <w:rFonts w:asciiTheme="minorHAnsi" w:hAnsiTheme="minorHAnsi"/>
        </w:rPr>
        <w:t>kamatelmozdulásokat</w:t>
      </w:r>
      <w:proofErr w:type="spellEnd"/>
      <w:r w:rsidRPr="006A6890">
        <w:rPr>
          <w:rFonts w:asciiTheme="minorHAnsi" w:hAnsiTheme="minorHAnsi"/>
        </w:rPr>
        <w:t xml:space="preserve"> határozta meg, a benchmark számolás alapforgatókönyveiként.   </w:t>
      </w:r>
    </w:p>
    <w:p w14:paraId="1DD81C8A" w14:textId="77777777" w:rsidR="001C50DA" w:rsidRPr="006A6890" w:rsidRDefault="001C50DA" w:rsidP="001C50DA">
      <w:pPr>
        <w:spacing w:after="0"/>
        <w:jc w:val="left"/>
        <w:rPr>
          <w:rFonts w:asciiTheme="minorHAnsi" w:hAnsiTheme="minorHAnsi"/>
        </w:rPr>
      </w:pPr>
    </w:p>
    <w:p w14:paraId="06CB9388" w14:textId="77777777" w:rsidR="001C50DA" w:rsidRPr="006A6890" w:rsidRDefault="00527494" w:rsidP="001C50DA">
      <w:pPr>
        <w:pStyle w:val="Caption"/>
        <w:keepNext/>
        <w:rPr>
          <w:rFonts w:asciiTheme="minorHAnsi" w:hAnsiTheme="minorHAnsi"/>
        </w:rPr>
      </w:pPr>
      <w:r w:rsidRPr="006A6890">
        <w:rPr>
          <w:rFonts w:asciiTheme="minorHAnsi" w:hAnsiTheme="minorHAnsi"/>
          <w:noProof/>
        </w:rPr>
        <w:fldChar w:fldCharType="begin"/>
      </w:r>
      <w:r w:rsidRPr="006A6890">
        <w:rPr>
          <w:rFonts w:asciiTheme="minorHAnsi" w:hAnsiTheme="minorHAnsi"/>
          <w:noProof/>
        </w:rPr>
        <w:instrText xml:space="preserve"> SEQ táblázat \* ARABIC </w:instrText>
      </w:r>
      <w:r w:rsidRPr="006A6890">
        <w:rPr>
          <w:rFonts w:asciiTheme="minorHAnsi" w:hAnsiTheme="minorHAnsi"/>
          <w:noProof/>
        </w:rPr>
        <w:fldChar w:fldCharType="separate"/>
      </w:r>
      <w:r w:rsidR="001C50DA" w:rsidRPr="006A6890">
        <w:rPr>
          <w:rFonts w:asciiTheme="minorHAnsi" w:hAnsiTheme="minorHAnsi"/>
          <w:noProof/>
        </w:rPr>
        <w:t>1</w:t>
      </w:r>
      <w:r w:rsidRPr="006A6890">
        <w:rPr>
          <w:rFonts w:asciiTheme="minorHAnsi" w:hAnsiTheme="minorHAnsi"/>
          <w:noProof/>
        </w:rPr>
        <w:fldChar w:fldCharType="end"/>
      </w:r>
      <w:r w:rsidR="001C50DA" w:rsidRPr="006A6890">
        <w:rPr>
          <w:rFonts w:asciiTheme="minorHAnsi" w:hAnsiTheme="minorHAnsi"/>
        </w:rPr>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A6890"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A6890" w:rsidRDefault="001C50DA" w:rsidP="00DC02A8">
            <w:pPr>
              <w:spacing w:after="0"/>
              <w:jc w:val="center"/>
              <w:rPr>
                <w:rFonts w:asciiTheme="minorHAnsi" w:hAnsiTheme="minorHAnsi"/>
                <w:b/>
                <w:bCs/>
                <w:szCs w:val="24"/>
              </w:rPr>
            </w:pPr>
            <w:proofErr w:type="spellStart"/>
            <w:r w:rsidRPr="006A6890">
              <w:rPr>
                <w:rFonts w:asciiTheme="minorHAnsi" w:hAnsiTheme="minorHAnsi"/>
                <w:b/>
                <w:bCs/>
                <w:szCs w:val="24"/>
              </w:rPr>
              <w:t>Short</w:t>
            </w:r>
            <w:proofErr w:type="spellEnd"/>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Long</w:t>
            </w:r>
          </w:p>
        </w:tc>
      </w:tr>
      <w:tr w:rsidR="001C50DA" w:rsidRPr="006A6890"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1,60%</w:t>
            </w:r>
          </w:p>
        </w:tc>
      </w:tr>
    </w:tbl>
    <w:p w14:paraId="731F3367" w14:textId="77777777" w:rsidR="001C50DA" w:rsidRPr="006A6890" w:rsidRDefault="001C50DA" w:rsidP="001C50DA">
      <w:pPr>
        <w:spacing w:after="0"/>
        <w:jc w:val="left"/>
        <w:rPr>
          <w:rFonts w:asciiTheme="minorHAnsi" w:hAnsiTheme="minorHAnsi"/>
        </w:rPr>
      </w:pPr>
    </w:p>
    <w:p w14:paraId="404F026C" w14:textId="21159316" w:rsidR="006F1BAD" w:rsidRPr="006A6890" w:rsidRDefault="006F1BAD" w:rsidP="00D356CC">
      <w:pPr>
        <w:spacing w:after="0"/>
        <w:rPr>
          <w:rFonts w:asciiTheme="minorHAnsi" w:hAnsiTheme="minorHAnsi"/>
        </w:rPr>
      </w:pPr>
      <w:r w:rsidRPr="006A6890">
        <w:rPr>
          <w:rFonts w:asciiTheme="minorHAnsi" w:hAnsiTheme="minorHAnsi"/>
        </w:rPr>
        <w:t xml:space="preserve">A forinton kívüli egyéb devizanemek esetén az MNB az </w:t>
      </w:r>
      <w:proofErr w:type="spellStart"/>
      <w:r w:rsidRPr="006A6890">
        <w:rPr>
          <w:rFonts w:asciiTheme="minorHAnsi" w:hAnsiTheme="minorHAnsi"/>
        </w:rPr>
        <w:t>EBA</w:t>
      </w:r>
      <w:proofErr w:type="spellEnd"/>
      <w:r w:rsidRPr="006A6890">
        <w:rPr>
          <w:rFonts w:asciiTheme="minorHAnsi" w:hAnsiTheme="minorHAnsi"/>
        </w:rPr>
        <w:t xml:space="preserve"> ajánlás fenn hivatkozott III.</w:t>
      </w:r>
      <w:r w:rsidR="00CF1B68" w:rsidRPr="006A6890">
        <w:rPr>
          <w:rFonts w:asciiTheme="minorHAnsi" w:hAnsiTheme="minorHAnsi"/>
        </w:rPr>
        <w:t xml:space="preserve"> </w:t>
      </w:r>
      <w:r w:rsidRPr="006A6890">
        <w:rPr>
          <w:rFonts w:asciiTheme="minorHAnsi" w:hAnsiTheme="minorHAnsi"/>
        </w:rPr>
        <w:t>sz</w:t>
      </w:r>
      <w:r w:rsidR="00CF1B68" w:rsidRPr="006A6890">
        <w:rPr>
          <w:rFonts w:asciiTheme="minorHAnsi" w:hAnsiTheme="minorHAnsi"/>
        </w:rPr>
        <w:t>.</w:t>
      </w:r>
      <w:r w:rsidRPr="006A6890">
        <w:rPr>
          <w:rFonts w:asciiTheme="minorHAnsi" w:hAnsiTheme="minorHAnsi"/>
        </w:rPr>
        <w:t xml:space="preserve"> függelékében szereplő értékeket alkalmazza alap kamatsokk forgatókönyvként.   </w:t>
      </w:r>
    </w:p>
    <w:p w14:paraId="2EE9BFC0" w14:textId="69A614E6" w:rsidR="00623C74" w:rsidRPr="006A6890" w:rsidRDefault="001C50DA" w:rsidP="0022464F">
      <w:pPr>
        <w:spacing w:after="0"/>
        <w:rPr>
          <w:rFonts w:asciiTheme="minorHAnsi" w:hAnsiTheme="minorHAnsi"/>
        </w:rPr>
      </w:pPr>
      <w:r w:rsidRPr="006A6890">
        <w:rPr>
          <w:rFonts w:asciiTheme="minorHAnsi" w:hAnsiTheme="minorHAnsi"/>
        </w:rPr>
        <w:t>Az MNB a benchmark kamatkockázati számítások során a</w:t>
      </w:r>
      <w:r w:rsidR="004C6444" w:rsidRPr="006A6890">
        <w:rPr>
          <w:rFonts w:asciiTheme="minorHAnsi" w:hAnsiTheme="minorHAnsi"/>
        </w:rPr>
        <w:t xml:space="preserve">z </w:t>
      </w:r>
      <w:r w:rsidR="004C6444" w:rsidRPr="006A6890">
        <w:rPr>
          <w:rFonts w:asciiTheme="minorHAnsi" w:hAnsiTheme="minorHAnsi"/>
          <w:i/>
        </w:rPr>
        <w:t>ügyleti</w:t>
      </w:r>
      <w:r w:rsidRPr="006A6890">
        <w:rPr>
          <w:rFonts w:asciiTheme="minorHAnsi" w:hAnsiTheme="minorHAnsi"/>
        </w:rPr>
        <w:t xml:space="preserve"> kamatváltozásokra nulla kamatpadlót érvényesít</w:t>
      </w:r>
      <w:r w:rsidR="006F1BAD" w:rsidRPr="006A6890">
        <w:rPr>
          <w:rFonts w:asciiTheme="minorHAnsi" w:hAnsiTheme="minorHAnsi"/>
        </w:rPr>
        <w:t xml:space="preserve"> a </w:t>
      </w:r>
      <w:proofErr w:type="spellStart"/>
      <w:r w:rsidR="006F1BAD" w:rsidRPr="006A6890">
        <w:rPr>
          <w:rFonts w:asciiTheme="minorHAnsi" w:hAnsiTheme="minorHAnsi"/>
        </w:rPr>
        <w:t>spread</w:t>
      </w:r>
      <w:proofErr w:type="spellEnd"/>
      <w:r w:rsidR="006F1BAD" w:rsidRPr="006A6890">
        <w:rPr>
          <w:rFonts w:asciiTheme="minorHAnsi" w:hAnsiTheme="minorHAnsi"/>
        </w:rPr>
        <w:t xml:space="preserve"> változatlanságának feltételezése mellett, </w:t>
      </w:r>
      <w:r w:rsidRPr="006A6890">
        <w:rPr>
          <w:rFonts w:asciiTheme="minorHAnsi" w:hAnsiTheme="minorHAnsi"/>
        </w:rPr>
        <w:t xml:space="preserve">vagyis </w:t>
      </w:r>
      <w:r w:rsidR="00623C74" w:rsidRPr="006A6890">
        <w:rPr>
          <w:rFonts w:asciiTheme="minorHAnsi" w:hAnsiTheme="minorHAnsi"/>
        </w:rPr>
        <w:t>az ügyleti (termék)</w:t>
      </w:r>
      <w:r w:rsidRPr="006A6890">
        <w:rPr>
          <w:rFonts w:asciiTheme="minorHAnsi" w:hAnsiTheme="minorHAnsi"/>
        </w:rPr>
        <w:t xml:space="preserve"> kamatok lefelé történő elmozdulásának mértéke a hozamgörbe adott szintjétől függően korlátozott nagyságú. </w:t>
      </w:r>
      <w:r w:rsidR="00623C74" w:rsidRPr="006A6890">
        <w:rPr>
          <w:rFonts w:asciiTheme="minorHAnsi" w:hAnsiTheme="minorHAnsi"/>
        </w:rPr>
        <w:t xml:space="preserve">A piaci kamatváltozásoknál az MNB a nemzetközi ajánlásokban szereplő kamatpadlót érvényesíti a forint és az egyéb devizák esetében is. Eszerint a kamatcsökkenés olyan mértékű lehet, hogy a hozamgörbe legközelebbi pontján a hozam legalacsonyabb szintje -1%, a legtávolabbi pontján 0% lehet, a köztes pontok legalacsonyabb szintje pedig lineáris interpolációval adódik. </w:t>
      </w:r>
    </w:p>
    <w:p w14:paraId="0F03EB4F" w14:textId="7DA4B6B7" w:rsidR="001C50DA" w:rsidRPr="006A6890" w:rsidRDefault="001C50DA" w:rsidP="00D356CC">
      <w:pPr>
        <w:spacing w:after="0"/>
        <w:rPr>
          <w:rFonts w:asciiTheme="minorHAnsi" w:hAnsiTheme="minorHAnsi"/>
        </w:rPr>
      </w:pPr>
      <w:r w:rsidRPr="006A6890">
        <w:rPr>
          <w:rFonts w:asciiTheme="minorHAnsi" w:hAnsiTheme="minorHAnsi"/>
        </w:rPr>
        <w:t xml:space="preserve">(Megjegyzendő, hogy a lefelé irányuló elmozdulások mértéke a hozamgörbe pontok aktuális szintjétől </w:t>
      </w:r>
      <w:proofErr w:type="spellStart"/>
      <w:r w:rsidRPr="006A6890">
        <w:rPr>
          <w:rFonts w:asciiTheme="minorHAnsi" w:hAnsiTheme="minorHAnsi"/>
        </w:rPr>
        <w:t>függöen</w:t>
      </w:r>
      <w:proofErr w:type="spellEnd"/>
      <w:r w:rsidRPr="006A6890">
        <w:rPr>
          <w:rFonts w:asciiTheme="minorHAnsi" w:hAnsiTheme="minorHAnsi"/>
        </w:rPr>
        <w:t xml:space="preserve"> változik, ezért ezek rendszeres frissítése szükséges.)    </w:t>
      </w:r>
    </w:p>
    <w:p w14:paraId="2466F6F7" w14:textId="77777777" w:rsidR="001C50DA" w:rsidRPr="006A6890" w:rsidRDefault="001C50DA" w:rsidP="001C50DA">
      <w:pPr>
        <w:spacing w:after="0"/>
        <w:jc w:val="left"/>
        <w:rPr>
          <w:rFonts w:asciiTheme="minorHAnsi" w:hAnsiTheme="minorHAnsi"/>
        </w:rPr>
      </w:pPr>
    </w:p>
    <w:p w14:paraId="2ED4A860" w14:textId="77777777" w:rsidR="001C50DA" w:rsidRPr="006A6890" w:rsidRDefault="001C50DA" w:rsidP="001C50DA">
      <w:pPr>
        <w:spacing w:after="0"/>
        <w:jc w:val="left"/>
        <w:rPr>
          <w:rFonts w:asciiTheme="minorHAnsi" w:hAnsiTheme="minorHAnsi"/>
        </w:rPr>
      </w:pPr>
    </w:p>
    <w:p w14:paraId="4BD1A8D4" w14:textId="77777777" w:rsidR="00623C74" w:rsidRPr="006A6890" w:rsidRDefault="00623C74">
      <w:pPr>
        <w:spacing w:after="0"/>
        <w:jc w:val="left"/>
        <w:rPr>
          <w:rFonts w:asciiTheme="minorHAnsi" w:hAnsiTheme="minorHAnsi"/>
        </w:rPr>
      </w:pPr>
      <w:r w:rsidRPr="006A6890">
        <w:rPr>
          <w:rFonts w:asciiTheme="minorHAnsi" w:hAnsiTheme="minorHAnsi"/>
        </w:rPr>
        <w:br w:type="page"/>
      </w:r>
    </w:p>
    <w:p w14:paraId="2C7F3006" w14:textId="77777777" w:rsidR="00623C74" w:rsidRPr="006A6890" w:rsidRDefault="00623C74" w:rsidP="00623C74">
      <w:pPr>
        <w:rPr>
          <w:rFonts w:asciiTheme="minorHAnsi" w:hAnsiTheme="minorHAnsi"/>
          <w:b/>
          <w:i/>
        </w:rPr>
      </w:pPr>
      <w:r w:rsidRPr="006A6890">
        <w:rPr>
          <w:rFonts w:asciiTheme="minorHAnsi" w:hAnsiTheme="minorHAnsi"/>
          <w:b/>
          <w:i/>
        </w:rPr>
        <w:lastRenderedPageBreak/>
        <w:t>3. Függelék.  A látra szóló betétek modellezése a banki könyvi kamatkockázati benchmark modellben</w:t>
      </w:r>
    </w:p>
    <w:p w14:paraId="26622395" w14:textId="4EC660AB" w:rsidR="00623C74" w:rsidRPr="006A6890" w:rsidRDefault="00623C74" w:rsidP="00623C74">
      <w:pPr>
        <w:rPr>
          <w:rFonts w:asciiTheme="minorHAnsi" w:hAnsiTheme="minorHAnsi"/>
        </w:rPr>
      </w:pPr>
      <w:r w:rsidRPr="006A6890">
        <w:rPr>
          <w:rFonts w:asciiTheme="minorHAnsi" w:hAnsiTheme="minorHAnsi"/>
        </w:rPr>
        <w:t>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w:t>
      </w:r>
      <w:r w:rsidR="00493AF6" w:rsidRPr="006A6890">
        <w:rPr>
          <w:rFonts w:asciiTheme="minorHAnsi" w:hAnsiTheme="minorHAnsi"/>
        </w:rPr>
        <w:t xml:space="preserve"> fejlesztési irányaival </w:t>
      </w:r>
      <w:r w:rsidRPr="006A6890">
        <w:rPr>
          <w:rFonts w:asciiTheme="minorHAnsi" w:hAnsiTheme="minorHAnsi"/>
        </w:rPr>
        <w:t xml:space="preserve">szembeni elvárásokat ismerteti. </w:t>
      </w:r>
    </w:p>
    <w:p w14:paraId="1DFBD6F5" w14:textId="656CBE11" w:rsidR="00623C74" w:rsidRPr="006A6890" w:rsidRDefault="00623C74" w:rsidP="00623C74">
      <w:pPr>
        <w:rPr>
          <w:rFonts w:asciiTheme="minorHAnsi" w:hAnsiTheme="minorHAnsi"/>
          <w:b/>
          <w:i/>
        </w:rPr>
      </w:pPr>
      <w:r w:rsidRPr="006A6890">
        <w:rPr>
          <w:rFonts w:asciiTheme="minorHAnsi" w:hAnsiTheme="minorHAnsi"/>
        </w:rPr>
        <w:t>Tekintettel arra, hogy a látra szóló betétek állománya a Bankok mérlegének forrás oldalán meghatározó arányú, és így a kamatkockázati mérések eredményét jelentősen befolyásolja</w:t>
      </w:r>
      <w:r w:rsidR="004F0764" w:rsidRPr="006A6890">
        <w:rPr>
          <w:rFonts w:asciiTheme="minorHAnsi" w:hAnsiTheme="minorHAnsi"/>
        </w:rPr>
        <w:t>,</w:t>
      </w:r>
      <w:r w:rsidRPr="006A6890">
        <w:rPr>
          <w:rFonts w:asciiTheme="minorHAnsi" w:hAnsiTheme="minorHAnsi"/>
        </w:rPr>
        <w:t xml:space="preserve"> az MNB elvárja, hogy a Bankok rendelkezzenek ezen termékekre vonatkozóan olyan saját modellel, ami a termékek tényleges kockázati viselkedését megfelelően leírja. A megfelelő modell nem tekintheti a teljes állományt azonnal esedékesnek, nem sorolhatja a legrövidebb </w:t>
      </w:r>
      <w:proofErr w:type="spellStart"/>
      <w:r w:rsidRPr="006A6890">
        <w:rPr>
          <w:rFonts w:asciiTheme="minorHAnsi" w:hAnsiTheme="minorHAnsi"/>
        </w:rPr>
        <w:t>átárazódási</w:t>
      </w:r>
      <w:proofErr w:type="spellEnd"/>
      <w:r w:rsidRPr="006A6890">
        <w:rPr>
          <w:rFonts w:asciiTheme="minorHAnsi" w:hAnsiTheme="minorHAnsi"/>
        </w:rPr>
        <w:t xml:space="preserve"> kategóriába. Elvárás, hogy a modell </w:t>
      </w:r>
      <w:r w:rsidR="00493AF6" w:rsidRPr="006A6890">
        <w:rPr>
          <w:rFonts w:asciiTheme="minorHAnsi" w:hAnsiTheme="minorHAnsi"/>
        </w:rPr>
        <w:t xml:space="preserve">lehetőség szerint </w:t>
      </w:r>
      <w:r w:rsidRPr="006A6890">
        <w:rPr>
          <w:rFonts w:asciiTheme="minorHAnsi" w:hAnsiTheme="minorHAnsi"/>
        </w:rPr>
        <w:t xml:space="preserve">jelen függelékben szereplő elemeket tartalmazza, külön álló modellként vagy egy összetettebb modell részeként.  </w:t>
      </w:r>
    </w:p>
    <w:p w14:paraId="617247F3"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 xml:space="preserve">Szegmentáció </w:t>
      </w:r>
    </w:p>
    <w:p w14:paraId="783F1209" w14:textId="77777777" w:rsidR="00623C74" w:rsidRPr="006A6890" w:rsidRDefault="00623C74" w:rsidP="00623C74">
      <w:pPr>
        <w:rPr>
          <w:rFonts w:asciiTheme="minorHAnsi" w:hAnsiTheme="minorHAnsi"/>
        </w:rPr>
      </w:pPr>
      <w:r w:rsidRPr="006A6890">
        <w:rPr>
          <w:rFonts w:asciiTheme="minorHAnsi" w:hAnsiTheme="minorHAnsi"/>
        </w:rPr>
        <w:t xml:space="preserve">Az MNB elvárja, hogy a banki látra szóló betéti modellek minden jelentős állománnyal rendelkező devizanemre, de legalább a </w:t>
      </w:r>
      <w:r w:rsidRPr="006A6890">
        <w:rPr>
          <w:rFonts w:asciiTheme="minorHAnsi" w:hAnsiTheme="minorHAnsi"/>
          <w:i/>
        </w:rPr>
        <w:t>HUF</w:t>
      </w:r>
      <w:r w:rsidRPr="006A6890">
        <w:rPr>
          <w:rFonts w:asciiTheme="minorHAnsi" w:hAnsiTheme="minorHAnsi"/>
        </w:rPr>
        <w:t xml:space="preserve"> és az </w:t>
      </w:r>
      <w:r w:rsidRPr="006A6890">
        <w:rPr>
          <w:rFonts w:asciiTheme="minorHAnsi" w:hAnsiTheme="minorHAnsi"/>
          <w:i/>
        </w:rPr>
        <w:t>EUR</w:t>
      </w:r>
      <w:r w:rsidRPr="006A6890">
        <w:rPr>
          <w:rFonts w:asciiTheme="minorHAnsi" w:hAnsiTheme="minorHAnsi"/>
        </w:rPr>
        <w:t xml:space="preserve"> devizára vonatkozóan tartalmazzanak becsléseket. </w:t>
      </w:r>
    </w:p>
    <w:p w14:paraId="26A3DE87" w14:textId="77777777" w:rsidR="00623C74" w:rsidRPr="006A6890" w:rsidRDefault="00623C74" w:rsidP="00623C74">
      <w:pPr>
        <w:rPr>
          <w:rFonts w:asciiTheme="minorHAnsi" w:hAnsiTheme="minorHAnsi"/>
        </w:rPr>
      </w:pPr>
      <w:r w:rsidRPr="006A6890">
        <w:rPr>
          <w:rFonts w:asciiTheme="minorHAnsi" w:hAnsiTheme="minorHAnsi"/>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6A6890">
        <w:rPr>
          <w:rFonts w:asciiTheme="minorHAnsi" w:hAnsiTheme="minorHAnsi"/>
          <w:i/>
        </w:rPr>
        <w:t>lakossági</w:t>
      </w:r>
      <w:r w:rsidRPr="006A6890">
        <w:rPr>
          <w:rFonts w:asciiTheme="minorHAnsi" w:hAnsiTheme="minorHAnsi"/>
        </w:rPr>
        <w:t xml:space="preserve"> és </w:t>
      </w:r>
      <w:r w:rsidRPr="006A6890">
        <w:rPr>
          <w:rFonts w:asciiTheme="minorHAnsi" w:hAnsiTheme="minorHAnsi"/>
          <w:i/>
        </w:rPr>
        <w:t>vállalati</w:t>
      </w:r>
      <w:r w:rsidRPr="006A6890">
        <w:rPr>
          <w:rFonts w:asciiTheme="minorHAnsi" w:hAnsiTheme="minorHAnsi"/>
        </w:rPr>
        <w:t xml:space="preserve"> ügyfelekre vonatkozóan </w:t>
      </w:r>
      <w:proofErr w:type="spellStart"/>
      <w:r w:rsidRPr="006A6890">
        <w:rPr>
          <w:rFonts w:asciiTheme="minorHAnsi" w:hAnsiTheme="minorHAnsi"/>
        </w:rPr>
        <w:t>elkülönülten</w:t>
      </w:r>
      <w:proofErr w:type="spellEnd"/>
      <w:r w:rsidRPr="006A6890">
        <w:rPr>
          <w:rFonts w:asciiTheme="minorHAnsi" w:hAnsiTheme="minorHAnsi"/>
        </w:rPr>
        <w:t xml:space="preserve"> végezzenek becsléseket. </w:t>
      </w:r>
    </w:p>
    <w:p w14:paraId="779CB33C" w14:textId="77777777" w:rsidR="00623C74" w:rsidRPr="006A6890" w:rsidRDefault="00623C74" w:rsidP="00623C74">
      <w:pPr>
        <w:pStyle w:val="ListParagraph"/>
        <w:ind w:left="142"/>
        <w:rPr>
          <w:rFonts w:asciiTheme="minorHAnsi" w:hAnsiTheme="minorHAnsi"/>
          <w:b/>
          <w:i/>
          <w:sz w:val="22"/>
        </w:rPr>
      </w:pPr>
    </w:p>
    <w:p w14:paraId="51950EF7"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Felhasznált adatok</w:t>
      </w:r>
    </w:p>
    <w:p w14:paraId="5E6BF178" w14:textId="21169C25" w:rsidR="00623C74" w:rsidRPr="006A6890" w:rsidRDefault="00623C74" w:rsidP="00623C74">
      <w:pPr>
        <w:rPr>
          <w:rFonts w:asciiTheme="minorHAnsi" w:hAnsiTheme="minorHAnsi"/>
        </w:rPr>
      </w:pPr>
      <w:r w:rsidRPr="006A6890">
        <w:rPr>
          <w:rFonts w:asciiTheme="minorHAnsi" w:hAnsiTheme="minorHAnsi"/>
        </w:rPr>
        <w:t xml:space="preserve">Az MNB elvárja, hogy a bankok a látra szóló betéti modelljeik fejlesztése és működtetése során a rendelkezésükre álló minden lényeges, a látra szóló betétek paraméterei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6A6890">
        <w:rPr>
          <w:rFonts w:asciiTheme="minorHAnsi" w:hAnsiTheme="minorHAnsi"/>
          <w:i/>
        </w:rPr>
        <w:t>10 év adatát</w:t>
      </w:r>
      <w:r w:rsidRPr="006A6890">
        <w:rPr>
          <w:rFonts w:asciiTheme="minorHAnsi" w:hAnsiTheme="minorHAnsi"/>
        </w:rPr>
        <w:t xml:space="preserve"> kell tartalmaznia, legalább havi bontásban.</w:t>
      </w:r>
    </w:p>
    <w:p w14:paraId="6E1B7D54"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A modell részei</w:t>
      </w:r>
    </w:p>
    <w:p w14:paraId="2FA3FF92" w14:textId="77777777" w:rsidR="00623C74" w:rsidRPr="006A6890" w:rsidRDefault="00623C74" w:rsidP="00623C74">
      <w:pPr>
        <w:rPr>
          <w:rFonts w:asciiTheme="minorHAnsi" w:hAnsiTheme="minorHAnsi"/>
        </w:rPr>
      </w:pPr>
      <w:r w:rsidRPr="006A6890">
        <w:rPr>
          <w:rFonts w:asciiTheme="minorHAnsi" w:hAnsiTheme="minorHAnsi"/>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419047D9" w14:textId="53F3B9BD" w:rsidR="00623C74" w:rsidRPr="006A6890" w:rsidRDefault="00623C74" w:rsidP="00623C74">
      <w:pPr>
        <w:rPr>
          <w:rFonts w:asciiTheme="minorHAnsi" w:hAnsiTheme="minorHAnsi"/>
          <w:b/>
          <w:i/>
        </w:rPr>
      </w:pPr>
      <w:r w:rsidRPr="006A6890">
        <w:rPr>
          <w:rFonts w:asciiTheme="minorHAnsi" w:hAnsiTheme="minorHAnsi"/>
          <w:b/>
          <w:i/>
        </w:rPr>
        <w:t>Almodellek</w:t>
      </w:r>
    </w:p>
    <w:p w14:paraId="5721386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proofErr w:type="spellStart"/>
      <w:r w:rsidRPr="006A6890">
        <w:rPr>
          <w:rFonts w:asciiTheme="minorHAnsi" w:hAnsiTheme="minorHAnsi"/>
          <w:i/>
          <w:sz w:val="22"/>
        </w:rPr>
        <w:t>Core</w:t>
      </w:r>
      <w:proofErr w:type="spellEnd"/>
      <w:r w:rsidRPr="006A6890">
        <w:rPr>
          <w:rFonts w:asciiTheme="minorHAnsi" w:hAnsiTheme="minorHAnsi"/>
          <w:i/>
          <w:sz w:val="22"/>
        </w:rPr>
        <w:t xml:space="preserve"> állomány becslés</w:t>
      </w:r>
    </w:p>
    <w:p w14:paraId="307EC3A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Állomány becslés</w:t>
      </w:r>
    </w:p>
    <w:p w14:paraId="0A25BD63"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Kamatláb becslés</w:t>
      </w:r>
    </w:p>
    <w:p w14:paraId="64DF23E7"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Amortizáció, cash flow becslés</w:t>
      </w:r>
    </w:p>
    <w:p w14:paraId="5F7143CF"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 xml:space="preserve">Piaci forgatókönyvek </w:t>
      </w:r>
    </w:p>
    <w:p w14:paraId="174355D0" w14:textId="77777777" w:rsidR="00623C74" w:rsidRPr="006A6890" w:rsidRDefault="00623C74" w:rsidP="00623C74">
      <w:pPr>
        <w:rPr>
          <w:rFonts w:asciiTheme="minorHAnsi" w:hAnsiTheme="minorHAnsi"/>
          <w:b/>
          <w:i/>
        </w:rPr>
      </w:pPr>
    </w:p>
    <w:p w14:paraId="0D3FB879" w14:textId="77777777" w:rsidR="00623C74" w:rsidRPr="006A6890" w:rsidRDefault="00623C74" w:rsidP="00623C74">
      <w:pPr>
        <w:rPr>
          <w:rFonts w:asciiTheme="minorHAnsi" w:hAnsiTheme="minorHAnsi"/>
          <w:b/>
          <w:i/>
        </w:rPr>
      </w:pPr>
      <w:r w:rsidRPr="006A6890">
        <w:rPr>
          <w:rFonts w:asciiTheme="minorHAnsi" w:hAnsiTheme="minorHAnsi"/>
          <w:b/>
          <w:i/>
        </w:rPr>
        <w:t xml:space="preserve">C.1. </w:t>
      </w:r>
      <w:proofErr w:type="spellStart"/>
      <w:r w:rsidRPr="006A6890">
        <w:rPr>
          <w:rFonts w:asciiTheme="minorHAnsi" w:hAnsiTheme="minorHAnsi"/>
          <w:b/>
          <w:i/>
        </w:rPr>
        <w:t>Core</w:t>
      </w:r>
      <w:proofErr w:type="spellEnd"/>
      <w:r w:rsidRPr="006A6890">
        <w:rPr>
          <w:rFonts w:asciiTheme="minorHAnsi" w:hAnsiTheme="minorHAnsi"/>
          <w:b/>
          <w:i/>
        </w:rPr>
        <w:t xml:space="preserve"> állomány becslés</w:t>
      </w:r>
    </w:p>
    <w:p w14:paraId="6094BE5D" w14:textId="77777777" w:rsidR="00623C74" w:rsidRPr="006A6890" w:rsidRDefault="00623C74" w:rsidP="00623C74">
      <w:pPr>
        <w:pStyle w:val="ListParagraph"/>
        <w:ind w:left="1069"/>
        <w:rPr>
          <w:rFonts w:asciiTheme="minorHAnsi" w:hAnsiTheme="minorHAnsi"/>
          <w:sz w:val="22"/>
        </w:rPr>
      </w:pP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állománynak tekintjük a látra szóló betéti állomány azon részét, amely a kamatkörnyezettől függetlenül időben tartósan a bank rendelkezésére áll és kamatrugalmassága alacsony, vagyis </w:t>
      </w:r>
      <w:proofErr w:type="spellStart"/>
      <w:r w:rsidRPr="006A6890">
        <w:rPr>
          <w:rFonts w:asciiTheme="minorHAnsi" w:hAnsiTheme="minorHAnsi"/>
          <w:sz w:val="22"/>
        </w:rPr>
        <w:t>kamatának</w:t>
      </w:r>
      <w:proofErr w:type="spellEnd"/>
      <w:r w:rsidRPr="006A6890">
        <w:rPr>
          <w:rFonts w:asciiTheme="minorHAnsi" w:hAnsiTheme="minorHAnsi"/>
          <w:sz w:val="22"/>
        </w:rPr>
        <w:t xml:space="preserve"> változása nem, vagy csak kis mértékben követi a piaci kamatok változását. </w:t>
      </w:r>
    </w:p>
    <w:p w14:paraId="4557EFC5" w14:textId="48296DF0"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lastRenderedPageBreak/>
        <w:t xml:space="preserve">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állományok meghatározása a látra szóló betéti modellezés első lépése, ez az állomány jelenti a további becslések alapját. Az alábbiakban ismertetett állomány-</w:t>
      </w:r>
      <w:r w:rsidR="00D356CC" w:rsidRPr="006A6890">
        <w:rPr>
          <w:rFonts w:asciiTheme="minorHAnsi" w:hAnsiTheme="minorHAnsi"/>
          <w:sz w:val="22"/>
          <w:lang w:val="hu-HU"/>
        </w:rPr>
        <w:t xml:space="preserve"> </w:t>
      </w:r>
      <w:r w:rsidRPr="006A6890">
        <w:rPr>
          <w:rFonts w:asciiTheme="minorHAnsi" w:hAnsiTheme="minorHAnsi"/>
          <w:sz w:val="22"/>
        </w:rPr>
        <w:t xml:space="preserve">és kamatláb becslés, illetve cash flow előrejelzés 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állományra vonatkozik, a teljes állomány ezen állományon felüli része (</w:t>
      </w:r>
      <w:proofErr w:type="spellStart"/>
      <w:r w:rsidRPr="006A6890">
        <w:rPr>
          <w:rFonts w:asciiTheme="minorHAnsi" w:hAnsiTheme="minorHAnsi"/>
          <w:sz w:val="22"/>
        </w:rPr>
        <w:t>noncore</w:t>
      </w:r>
      <w:proofErr w:type="spellEnd"/>
      <w:r w:rsidRPr="006A6890">
        <w:rPr>
          <w:rFonts w:asciiTheme="minorHAnsi" w:hAnsiTheme="minorHAnsi"/>
          <w:sz w:val="22"/>
        </w:rPr>
        <w:t xml:space="preserve"> állomány) kamatérzékeny, a piaci kamatváltozásokra gyorsan reagáló terméknek tekintendő.</w:t>
      </w:r>
    </w:p>
    <w:p w14:paraId="59962751"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 meghatározása tehát egyrészt az ügyfelek magatartásából, másrészt a bank termékárazási gyakorlatából származó bizonytalanságok figyelembevételét jelenti, a változó kamat környezet mellett. A becslési módszer a hozzáférhető adatoktól függően többféle lehet:    </w:t>
      </w:r>
    </w:p>
    <w:p w14:paraId="706F2497"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pl. historikus állományi adatok elemzése, egyedi számla adatok feldolgozása, idősor elemzési eljárások (</w:t>
      </w:r>
      <w:proofErr w:type="spellStart"/>
      <w:r w:rsidRPr="006A6890">
        <w:rPr>
          <w:rFonts w:asciiTheme="minorHAnsi" w:hAnsiTheme="minorHAnsi"/>
          <w:sz w:val="22"/>
        </w:rPr>
        <w:t>ld.ARIMA</w:t>
      </w:r>
      <w:proofErr w:type="spellEnd"/>
      <w:r w:rsidRPr="006A6890">
        <w:rPr>
          <w:rFonts w:asciiTheme="minorHAnsi" w:hAnsiTheme="minorHAnsi"/>
          <w:sz w:val="22"/>
        </w:rPr>
        <w:t xml:space="preserve">) alkalmazása, szakértői becslés.  </w:t>
      </w:r>
    </w:p>
    <w:p w14:paraId="72DBB0B6" w14:textId="77777777" w:rsidR="00623C74" w:rsidRPr="006A6890" w:rsidRDefault="00623C74" w:rsidP="00623C74">
      <w:pPr>
        <w:ind w:left="709"/>
        <w:rPr>
          <w:rFonts w:asciiTheme="minorHAnsi" w:hAnsiTheme="minorHAnsi"/>
          <w:b/>
          <w:i/>
        </w:rPr>
      </w:pPr>
    </w:p>
    <w:p w14:paraId="711719B2" w14:textId="77777777" w:rsidR="00623C74" w:rsidRPr="006A6890" w:rsidRDefault="00623C74" w:rsidP="00623C74">
      <w:pPr>
        <w:ind w:left="360"/>
        <w:rPr>
          <w:rFonts w:asciiTheme="minorHAnsi" w:hAnsiTheme="minorHAnsi"/>
          <w:b/>
          <w:i/>
        </w:rPr>
      </w:pPr>
      <w:r w:rsidRPr="006A6890">
        <w:rPr>
          <w:rFonts w:asciiTheme="minorHAnsi" w:hAnsiTheme="minorHAnsi"/>
          <w:b/>
          <w:i/>
        </w:rPr>
        <w:t>C.2. Állomány becslés</w:t>
      </w:r>
    </w:p>
    <w:p w14:paraId="1E41AAF1" w14:textId="77777777" w:rsidR="00623C74" w:rsidRPr="006A6890" w:rsidRDefault="00623C74" w:rsidP="00623C74">
      <w:pPr>
        <w:pStyle w:val="ListParagraph"/>
        <w:ind w:left="1069"/>
        <w:rPr>
          <w:rFonts w:asciiTheme="minorHAnsi" w:hAnsiTheme="minorHAnsi"/>
          <w:b/>
          <w:i/>
          <w:sz w:val="22"/>
        </w:rPr>
      </w:pPr>
      <w:r w:rsidRPr="006A6890">
        <w:rPr>
          <w:rFonts w:asciiTheme="minorHAnsi" w:hAnsiTheme="minorHAnsi"/>
          <w:b/>
          <w:i/>
          <w:sz w:val="22"/>
        </w:rPr>
        <w:t xml:space="preserve"> </w:t>
      </w:r>
    </w:p>
    <w:p w14:paraId="58479AF8"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jövedelem érzékenységének becslésekor a kamatkockázati modell alap feltételezése a változatlan mérleg állomány és szerkezet, vagyis a lejáró állományok helyettesítése a 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 látra szóló betétek esetében bizonyos fokig feloldjuk. A jövedelem érzékenység becslésekor a látra szóló betéti állomány változatlansága helyett a lekötött betéteket is tartalmazó teljes betéti állomány változatlanságát feltételezzük, vagyis a betéti állományon belül megengedjük a lekötött és látra szóló betéti állománynak a teljes állományhoz viszonyított arányának változását.    </w:t>
      </w:r>
    </w:p>
    <w:p w14:paraId="4E10F781" w14:textId="77777777" w:rsidR="00623C74" w:rsidRPr="006A6890" w:rsidRDefault="00623C74" w:rsidP="00623C74">
      <w:pPr>
        <w:pStyle w:val="ListParagraph"/>
        <w:ind w:left="1069"/>
        <w:rPr>
          <w:rFonts w:asciiTheme="minorHAnsi" w:hAnsiTheme="minorHAnsi"/>
          <w:sz w:val="22"/>
        </w:rPr>
      </w:pPr>
      <w:bookmarkStart w:id="1666" w:name="_Hlk22221639"/>
      <w:r w:rsidRPr="006A6890">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666"/>
    <w:p w14:paraId="7BF400C7" w14:textId="77777777" w:rsidR="00623C74" w:rsidRPr="006A6890" w:rsidRDefault="00623C74" w:rsidP="00623C74">
      <w:pPr>
        <w:pStyle w:val="ListParagraph"/>
        <w:ind w:left="1069"/>
        <w:rPr>
          <w:rFonts w:asciiTheme="minorHAnsi" w:hAnsiTheme="minorHAnsi"/>
          <w:sz w:val="22"/>
        </w:rPr>
      </w:pPr>
    </w:p>
    <w:p w14:paraId="5ACEC83B" w14:textId="77777777" w:rsidR="00623C74" w:rsidRPr="006A6890" w:rsidRDefault="00623C74" w:rsidP="00623C74">
      <w:pPr>
        <w:ind w:left="360"/>
        <w:rPr>
          <w:rFonts w:asciiTheme="minorHAnsi" w:hAnsiTheme="minorHAnsi"/>
          <w:b/>
          <w:i/>
        </w:rPr>
      </w:pPr>
      <w:r w:rsidRPr="006A6890">
        <w:rPr>
          <w:rFonts w:asciiTheme="minorHAnsi" w:hAnsiTheme="minorHAnsi"/>
          <w:b/>
          <w:i/>
        </w:rPr>
        <w:t>C.3. Kamatláb becslés</w:t>
      </w:r>
    </w:p>
    <w:p w14:paraId="49E455AD" w14:textId="77777777" w:rsidR="00623C74" w:rsidRPr="006A6890" w:rsidRDefault="00623C74" w:rsidP="00623C74">
      <w:pPr>
        <w:ind w:left="1069"/>
        <w:rPr>
          <w:rFonts w:asciiTheme="minorHAnsi" w:hAnsiTheme="minorHAnsi"/>
        </w:rPr>
      </w:pPr>
      <w:r w:rsidRPr="006A6890">
        <w:rPr>
          <w:rFonts w:asciiTheme="minorHAnsi" w:hAnsiTheme="minorHAnsi"/>
        </w:rPr>
        <w:t xml:space="preserve">Látra szóló betétek kamatlábának becslésekor a cél a különböző piaci forgatókönyvekben előre jelezni e termékek kamatlábának 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57B7AA4F"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látra szóló betétek kamatlábának, illetve változásának előrejelzésére többféle módszer (jellemzően idősor elemzés, regresszió, </w:t>
      </w:r>
      <w:proofErr w:type="spellStart"/>
      <w:r w:rsidRPr="006A6890">
        <w:rPr>
          <w:rFonts w:asciiTheme="minorHAnsi" w:hAnsiTheme="minorHAnsi"/>
          <w:sz w:val="22"/>
        </w:rPr>
        <w:t>replikáló</w:t>
      </w:r>
      <w:proofErr w:type="spellEnd"/>
      <w:r w:rsidRPr="006A6890">
        <w:rPr>
          <w:rFonts w:asciiTheme="minorHAnsi" w:hAnsiTheme="minorHAnsi"/>
          <w:sz w:val="22"/>
        </w:rPr>
        <w:t xml:space="preserve">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3C0D7815" w14:textId="77777777" w:rsidR="00623C74" w:rsidRPr="006A6890" w:rsidRDefault="00623C74" w:rsidP="00623C74">
      <w:pPr>
        <w:pStyle w:val="ListParagraph"/>
        <w:ind w:left="1069"/>
        <w:rPr>
          <w:rFonts w:asciiTheme="minorHAnsi" w:hAnsiTheme="minorHAnsi"/>
          <w:b/>
          <w:i/>
          <w:sz w:val="22"/>
        </w:rPr>
      </w:pPr>
    </w:p>
    <w:p w14:paraId="6BC4A03B" w14:textId="77777777" w:rsidR="00623C74" w:rsidRPr="006A6890" w:rsidRDefault="00623C74" w:rsidP="00623C74">
      <w:pPr>
        <w:ind w:left="360"/>
        <w:rPr>
          <w:rFonts w:asciiTheme="minorHAnsi" w:hAnsiTheme="minorHAnsi"/>
          <w:b/>
          <w:i/>
        </w:rPr>
      </w:pPr>
      <w:r w:rsidRPr="006A6890">
        <w:rPr>
          <w:rFonts w:asciiTheme="minorHAnsi" w:hAnsiTheme="minorHAnsi"/>
          <w:b/>
          <w:i/>
        </w:rPr>
        <w:t xml:space="preserve">C.4. Amortizáció, cash flow becslés </w:t>
      </w:r>
    </w:p>
    <w:p w14:paraId="7143F922" w14:textId="77777777" w:rsidR="00623C74" w:rsidRPr="006A6890" w:rsidRDefault="00623C74" w:rsidP="00623C74">
      <w:pPr>
        <w:ind w:left="1069"/>
        <w:rPr>
          <w:rFonts w:asciiTheme="minorHAnsi" w:hAnsiTheme="minorHAnsi"/>
        </w:rPr>
      </w:pPr>
      <w:r w:rsidRPr="006A6890">
        <w:rPr>
          <w:rFonts w:asciiTheme="minorHAnsi" w:hAnsiTheme="minorHAnsi"/>
        </w:rPr>
        <w:t>A tőke gazdasági értékének becslésekor a látra szóló betétek esetében is az ún. ’</w:t>
      </w:r>
      <w:proofErr w:type="spellStart"/>
      <w:r w:rsidRPr="006A6890">
        <w:rPr>
          <w:rFonts w:asciiTheme="minorHAnsi" w:hAnsiTheme="minorHAnsi"/>
        </w:rPr>
        <w:t>run-off</w:t>
      </w:r>
      <w:proofErr w:type="spellEnd"/>
      <w:r w:rsidRPr="006A6890">
        <w:rPr>
          <w:rFonts w:asciiTheme="minorHAnsi" w:hAnsiTheme="minorHAnsi"/>
        </w:rPr>
        <w:t xml:space="preserve">’ megközelítés használjuk, azaz a mérlegben aktuálisan meglévő állomány amortizációjának becslése, illetve az amortizációs sémából származó tőke -és kamat pénzáramlások előrejelzése történik. Az így előre jelzett cash flow jelenértékének érzékenysége adja a látra szóló betétek </w:t>
      </w:r>
      <w:r w:rsidRPr="006A6890">
        <w:rPr>
          <w:rFonts w:asciiTheme="minorHAnsi" w:hAnsiTheme="minorHAnsi"/>
        </w:rPr>
        <w:lastRenderedPageBreak/>
        <w:t xml:space="preserve">hozzájárulását a teljes tőkeérték érzékenységhez. A különböző kamat 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57B97760" w14:textId="475B26A6" w:rsidR="00623C74" w:rsidRPr="006A6890" w:rsidRDefault="00623C74" w:rsidP="00623C74">
      <w:pPr>
        <w:ind w:left="1069"/>
        <w:rPr>
          <w:rFonts w:asciiTheme="minorHAnsi" w:hAnsiTheme="minorHAnsi"/>
        </w:rPr>
      </w:pPr>
      <w:r w:rsidRPr="006A6890">
        <w:rPr>
          <w:rFonts w:asciiTheme="minorHAnsi" w:hAnsiTheme="minorHAnsi"/>
        </w:rPr>
        <w:t xml:space="preserve">A betéti kamatlábak becslése külön almodellben történik (ld. előző pont). A lejárati idő és az amortizáció (tőke cash flow) becslése a </w:t>
      </w:r>
      <w:proofErr w:type="spellStart"/>
      <w:r w:rsidRPr="006A6890">
        <w:rPr>
          <w:rFonts w:asciiTheme="minorHAnsi" w:hAnsiTheme="minorHAnsi"/>
        </w:rPr>
        <w:t>replikáló</w:t>
      </w:r>
      <w:proofErr w:type="spellEnd"/>
      <w:r w:rsidRPr="006A6890">
        <w:rPr>
          <w:rFonts w:asciiTheme="minorHAnsi" w:hAnsiTheme="minorHAnsi"/>
        </w:rPr>
        <w:t xml:space="preserve"> portfólió eljárás alkalmazásával történik. A </w:t>
      </w:r>
      <w:proofErr w:type="spellStart"/>
      <w:r w:rsidRPr="006A6890">
        <w:rPr>
          <w:rFonts w:asciiTheme="minorHAnsi" w:hAnsiTheme="minorHAnsi"/>
        </w:rPr>
        <w:t>replikáló</w:t>
      </w:r>
      <w:proofErr w:type="spellEnd"/>
      <w:r w:rsidRPr="006A6890">
        <w:rPr>
          <w:rFonts w:asciiTheme="minorHAnsi" w:hAnsiTheme="minorHAnsi"/>
        </w:rPr>
        <w:t xml:space="preserve"> portfólió meghatározásakor az 1,</w:t>
      </w:r>
      <w:r w:rsidR="005F54F7" w:rsidRPr="006A6890">
        <w:rPr>
          <w:rFonts w:asciiTheme="minorHAnsi" w:hAnsiTheme="minorHAnsi"/>
        </w:rPr>
        <w:t xml:space="preserve"> </w:t>
      </w:r>
      <w:r w:rsidRPr="006A6890">
        <w:rPr>
          <w:rFonts w:asciiTheme="minorHAnsi" w:hAnsiTheme="minorHAnsi"/>
        </w:rPr>
        <w:t>3,</w:t>
      </w:r>
      <w:r w:rsidR="005F54F7" w:rsidRPr="006A6890">
        <w:rPr>
          <w:rFonts w:asciiTheme="minorHAnsi" w:hAnsiTheme="minorHAnsi"/>
        </w:rPr>
        <w:t xml:space="preserve"> </w:t>
      </w:r>
      <w:r w:rsidRPr="006A6890">
        <w:rPr>
          <w:rFonts w:asciiTheme="minorHAnsi" w:hAnsiTheme="minorHAnsi"/>
        </w:rPr>
        <w:t>6,</w:t>
      </w:r>
      <w:r w:rsidR="005F54F7" w:rsidRPr="006A6890">
        <w:rPr>
          <w:rFonts w:asciiTheme="minorHAnsi" w:hAnsiTheme="minorHAnsi"/>
        </w:rPr>
        <w:t xml:space="preserve"> </w:t>
      </w:r>
      <w:r w:rsidRPr="006A6890">
        <w:rPr>
          <w:rFonts w:asciiTheme="minorHAnsi" w:hAnsiTheme="minorHAnsi"/>
        </w:rPr>
        <w:t xml:space="preserve">12 hónapos és a 3, 5, 10 éves hozamgörbe pontokat szerepeltetjük a modellben azzal a megkötéssel, hogy az eredményként kapott portfólió átlagos futamideje nem lehet nagyobb mint 5 év. </w:t>
      </w:r>
      <w:r w:rsidR="00516D94">
        <w:rPr>
          <w:rFonts w:asciiTheme="minorHAnsi" w:hAnsiTheme="minorHAnsi"/>
        </w:rPr>
        <w:t xml:space="preserve">A </w:t>
      </w:r>
      <w:proofErr w:type="spellStart"/>
      <w:r w:rsidR="00516D94">
        <w:rPr>
          <w:rFonts w:asciiTheme="minorHAnsi" w:hAnsiTheme="minorHAnsi"/>
        </w:rPr>
        <w:t>replikáló</w:t>
      </w:r>
      <w:proofErr w:type="spellEnd"/>
      <w:r w:rsidR="00516D94">
        <w:rPr>
          <w:rFonts w:asciiTheme="minorHAnsi" w:hAnsiTheme="minorHAnsi"/>
        </w:rPr>
        <w:t xml:space="preserve"> eljárás a látra szóló betéti állomány </w:t>
      </w:r>
      <w:proofErr w:type="spellStart"/>
      <w:r w:rsidR="00516D94">
        <w:rPr>
          <w:rFonts w:asciiTheme="minorHAnsi" w:hAnsiTheme="minorHAnsi"/>
        </w:rPr>
        <w:t>core</w:t>
      </w:r>
      <w:proofErr w:type="spellEnd"/>
      <w:r w:rsidR="00516D94">
        <w:rPr>
          <w:rFonts w:asciiTheme="minorHAnsi" w:hAnsiTheme="minorHAnsi"/>
        </w:rPr>
        <w:t xml:space="preserve"> részét osztja optimális módon a kiemelt tenorokba, míg a betétek nem </w:t>
      </w:r>
      <w:proofErr w:type="spellStart"/>
      <w:r w:rsidR="00516D94">
        <w:rPr>
          <w:rFonts w:asciiTheme="minorHAnsi" w:hAnsiTheme="minorHAnsi"/>
        </w:rPr>
        <w:t>core</w:t>
      </w:r>
      <w:proofErr w:type="spellEnd"/>
      <w:r w:rsidR="00516D94">
        <w:rPr>
          <w:rFonts w:asciiTheme="minorHAnsi" w:hAnsiTheme="minorHAnsi"/>
        </w:rPr>
        <w:t xml:space="preserve"> része a rövid időn belüli esedékességet jelentő 1 hónapos kategóriába kerül. </w:t>
      </w:r>
      <w:r w:rsidRPr="006A6890">
        <w:rPr>
          <w:rFonts w:asciiTheme="minorHAnsi" w:hAnsiTheme="minorHAnsi"/>
        </w:rPr>
        <w:t xml:space="preserve">Az optimalizálandó célváltozó az ún. </w:t>
      </w:r>
      <w:proofErr w:type="spellStart"/>
      <w:r w:rsidRPr="006A6890">
        <w:rPr>
          <w:rFonts w:asciiTheme="minorHAnsi" w:hAnsiTheme="minorHAnsi"/>
        </w:rPr>
        <w:t>Sharpe</w:t>
      </w:r>
      <w:proofErr w:type="spellEnd"/>
      <w:r w:rsidRPr="006A6890">
        <w:rPr>
          <w:rFonts w:asciiTheme="minorHAnsi" w:hAnsiTheme="minorHAnsi"/>
        </w:rPr>
        <w:t xml:space="preserve"> ráta, azaz az egyes hozamgörbe pontoknak megfelelő befektetések súlyát a </w:t>
      </w:r>
      <w:proofErr w:type="spellStart"/>
      <w:r w:rsidRPr="006A6890">
        <w:rPr>
          <w:rFonts w:asciiTheme="minorHAnsi" w:hAnsiTheme="minorHAnsi"/>
        </w:rPr>
        <w:t>replikáló</w:t>
      </w:r>
      <w:proofErr w:type="spellEnd"/>
      <w:r w:rsidRPr="006A6890">
        <w:rPr>
          <w:rFonts w:asciiTheme="minorHAnsi" w:hAnsiTheme="minorHAnsi"/>
        </w:rPr>
        <w:t xml:space="preserve"> portfólió és a betéti kamat közötti </w:t>
      </w:r>
      <w:proofErr w:type="spellStart"/>
      <w:r w:rsidRPr="006A6890">
        <w:rPr>
          <w:rFonts w:asciiTheme="minorHAnsi" w:hAnsiTheme="minorHAnsi"/>
        </w:rPr>
        <w:t>marge</w:t>
      </w:r>
      <w:proofErr w:type="spellEnd"/>
      <w:r w:rsidRPr="006A6890">
        <w:rPr>
          <w:rFonts w:asciiTheme="minorHAnsi" w:hAnsiTheme="minorHAnsi"/>
        </w:rPr>
        <w:t xml:space="preserve"> és </w:t>
      </w:r>
      <w:r w:rsidR="005E2AD2" w:rsidRPr="006A6890">
        <w:rPr>
          <w:rFonts w:asciiTheme="minorHAnsi" w:hAnsiTheme="minorHAnsi"/>
        </w:rPr>
        <w:t>a</w:t>
      </w:r>
      <w:r w:rsidRPr="006A6890">
        <w:rPr>
          <w:rFonts w:asciiTheme="minorHAnsi" w:hAnsiTheme="minorHAnsi"/>
        </w:rPr>
        <w:t xml:space="preserve"> </w:t>
      </w:r>
      <w:proofErr w:type="spellStart"/>
      <w:r w:rsidRPr="006A6890">
        <w:rPr>
          <w:rFonts w:asciiTheme="minorHAnsi" w:hAnsiTheme="minorHAnsi"/>
        </w:rPr>
        <w:t>marge</w:t>
      </w:r>
      <w:proofErr w:type="spellEnd"/>
      <w:r w:rsidRPr="006A6890">
        <w:rPr>
          <w:rFonts w:asciiTheme="minorHAnsi" w:hAnsiTheme="minorHAnsi"/>
        </w:rPr>
        <w:t xml:space="preserve"> szórásának hányadosaként meghatározott mutató maximumának keresésével állítjuk be. </w:t>
      </w:r>
    </w:p>
    <w:p w14:paraId="0125789E" w14:textId="7B70F388" w:rsidR="00623C74" w:rsidRPr="006A6890" w:rsidRDefault="00623C74" w:rsidP="00623C74">
      <w:pPr>
        <w:ind w:left="1069"/>
        <w:rPr>
          <w:rFonts w:asciiTheme="minorHAnsi" w:hAnsiTheme="minorHAnsi"/>
        </w:rPr>
      </w:pPr>
      <w:r w:rsidRPr="006A6890">
        <w:rPr>
          <w:rFonts w:asciiTheme="minorHAnsi" w:hAnsiTheme="minorHAnsi"/>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stb. havi egyenlő összegekben amortizálódik. A teljes amortizációs séma ezen egyenletesen amortizálódó részösszegek összegzésével áll elő. </w:t>
      </w:r>
    </w:p>
    <w:p w14:paraId="1590F79A" w14:textId="77777777" w:rsidR="00623C74" w:rsidRPr="006A6890" w:rsidRDefault="00623C74" w:rsidP="00623C74">
      <w:pPr>
        <w:ind w:left="1069"/>
        <w:rPr>
          <w:rFonts w:asciiTheme="minorHAnsi" w:hAnsiTheme="minorHAnsi"/>
        </w:rPr>
      </w:pPr>
    </w:p>
    <w:p w14:paraId="75779D3E" w14:textId="77777777" w:rsidR="00623C74" w:rsidRPr="006A6890" w:rsidRDefault="00623C74" w:rsidP="00623C74">
      <w:pPr>
        <w:ind w:left="360"/>
        <w:rPr>
          <w:rFonts w:asciiTheme="minorHAnsi" w:hAnsiTheme="minorHAnsi"/>
          <w:b/>
          <w:i/>
        </w:rPr>
      </w:pPr>
      <w:r w:rsidRPr="006A6890">
        <w:rPr>
          <w:rFonts w:asciiTheme="minorHAnsi" w:hAnsiTheme="minorHAnsi"/>
          <w:b/>
          <w:i/>
        </w:rPr>
        <w:t>C.5. Piaci forgatókönyvek</w:t>
      </w:r>
    </w:p>
    <w:p w14:paraId="08D8581D" w14:textId="77777777" w:rsidR="00623C74" w:rsidRPr="006A6890" w:rsidRDefault="00623C74" w:rsidP="00623C74">
      <w:pPr>
        <w:pStyle w:val="ListParagraph"/>
        <w:ind w:left="1069"/>
        <w:rPr>
          <w:rFonts w:asciiTheme="minorHAnsi" w:hAnsiTheme="minorHAnsi"/>
          <w:b/>
          <w:i/>
          <w:sz w:val="22"/>
        </w:rPr>
      </w:pPr>
    </w:p>
    <w:p w14:paraId="6EB900B6" w14:textId="138411F1"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látra szóló betétek modellezésénél alkalmazott piaci sokk forgatókönyvek megegyeznek a bázeli, az </w:t>
      </w:r>
      <w:proofErr w:type="spellStart"/>
      <w:r w:rsidRPr="006A6890">
        <w:rPr>
          <w:rFonts w:asciiTheme="minorHAnsi" w:hAnsiTheme="minorHAnsi"/>
          <w:color w:val="000000"/>
          <w:sz w:val="22"/>
          <w:szCs w:val="22"/>
          <w:lang w:val="hu-HU" w:eastAsia="hu-HU"/>
        </w:rPr>
        <w:t>EBA</w:t>
      </w:r>
      <w:proofErr w:type="spellEnd"/>
      <w:r w:rsidRPr="006A6890">
        <w:rPr>
          <w:rFonts w:asciiTheme="minorHAnsi" w:hAnsiTheme="minorHAnsi"/>
          <w:color w:val="000000"/>
          <w:sz w:val="22"/>
          <w:szCs w:val="22"/>
          <w:lang w:val="hu-HU" w:eastAsia="hu-HU"/>
        </w:rPr>
        <w:t xml:space="preserve"> ajánlásokban megjelenő és az MNB által alkalmazott 6 forgatókönyvvel (ld. 2. függelék). Az egyes almodellekben használt előre jelzett jövőbeli kamatlábak az aktuális hozamgörbe felhasználásával számított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hozamokkal egyeznek meg. A hat azonnali kamatsokk által meghatározott hat </w:t>
      </w:r>
      <w:proofErr w:type="spellStart"/>
      <w:r w:rsidRPr="006A6890">
        <w:rPr>
          <w:rFonts w:asciiTheme="minorHAnsi" w:hAnsiTheme="minorHAnsi"/>
          <w:color w:val="000000"/>
          <w:sz w:val="22"/>
          <w:szCs w:val="22"/>
          <w:lang w:val="hu-HU" w:eastAsia="hu-HU"/>
        </w:rPr>
        <w:t>jelenbeli</w:t>
      </w:r>
      <w:proofErr w:type="spellEnd"/>
      <w:r w:rsidRPr="006A6890">
        <w:rPr>
          <w:rFonts w:asciiTheme="minorHAnsi" w:hAnsiTheme="minorHAnsi"/>
          <w:color w:val="000000"/>
          <w:sz w:val="22"/>
          <w:szCs w:val="22"/>
          <w:lang w:val="hu-HU" w:eastAsia="hu-HU"/>
        </w:rPr>
        <w:t xml:space="preserve"> hozamgörbe alapján a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 meghatározásával számszerűsítjük a sokkolt jövőbeli hozamokat.  </w:t>
      </w:r>
    </w:p>
    <w:p w14:paraId="4A5D3E74" w14:textId="77777777"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proofErr w:type="spellStart"/>
      <w:r w:rsidRPr="006A6890">
        <w:rPr>
          <w:rFonts w:asciiTheme="minorHAnsi" w:hAnsiTheme="minorHAnsi"/>
          <w:color w:val="000000"/>
          <w:sz w:val="22"/>
          <w:szCs w:val="22"/>
          <w:lang w:val="hu-HU" w:eastAsia="hu-HU"/>
        </w:rPr>
        <w:t>NII</w:t>
      </w:r>
      <w:proofErr w:type="spellEnd"/>
      <w:r w:rsidRPr="006A6890">
        <w:rPr>
          <w:rFonts w:asciiTheme="minorHAnsi" w:hAnsiTheme="minorHAnsi"/>
          <w:color w:val="000000"/>
          <w:sz w:val="22"/>
          <w:szCs w:val="22"/>
          <w:lang w:val="hu-HU" w:eastAsia="hu-HU"/>
        </w:rPr>
        <w:t xml:space="preserve"> és EVE érzékenység mérés révén - csak az egyes kamat forgatókönyvek közötti különbségek mérését, a potenciális változások kimutatását és nem a jövedelem vagy a tőke gazdasági értékének pontos meghatározását célozza.</w:t>
      </w:r>
    </w:p>
    <w:p w14:paraId="2C35312F" w14:textId="0EE68B72" w:rsidR="004E72FF" w:rsidRPr="006A6890" w:rsidRDefault="004E72FF" w:rsidP="00780492">
      <w:pPr>
        <w:spacing w:after="0"/>
        <w:rPr>
          <w:rFonts w:asciiTheme="minorHAnsi" w:hAnsiTheme="minorHAnsi"/>
        </w:rPr>
      </w:pPr>
    </w:p>
    <w:sectPr w:rsidR="004E72FF" w:rsidRPr="006A6890"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E9B2" w14:textId="77777777" w:rsidR="008F6FA6" w:rsidRDefault="008F6FA6" w:rsidP="00D10772">
      <w:r>
        <w:separator/>
      </w:r>
    </w:p>
  </w:endnote>
  <w:endnote w:type="continuationSeparator" w:id="0">
    <w:p w14:paraId="392CBE2E" w14:textId="77777777" w:rsidR="008F6FA6" w:rsidRDefault="008F6FA6" w:rsidP="00D10772">
      <w:r>
        <w:continuationSeparator/>
      </w:r>
    </w:p>
  </w:endnote>
  <w:endnote w:type="continuationNotice" w:id="1">
    <w:p w14:paraId="0E22A450" w14:textId="77777777" w:rsidR="008F6FA6" w:rsidRDefault="008F6F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2" w14:textId="77777777" w:rsidR="008F6FA6" w:rsidRDefault="008F6FA6" w:rsidP="00D107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B15AB3" w14:textId="77777777" w:rsidR="008F6FA6" w:rsidRDefault="008F6FA6" w:rsidP="00D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4" w14:textId="1F83258A" w:rsidR="008F6FA6" w:rsidRDefault="008F6FA6" w:rsidP="00E3405D">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DC2F" w14:textId="77777777" w:rsidR="008F6FA6" w:rsidRDefault="008F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6CF3" w14:textId="77777777" w:rsidR="008F6FA6" w:rsidRDefault="008F6FA6" w:rsidP="00D10772">
      <w:r>
        <w:separator/>
      </w:r>
    </w:p>
  </w:footnote>
  <w:footnote w:type="continuationSeparator" w:id="0">
    <w:p w14:paraId="556D3630" w14:textId="77777777" w:rsidR="008F6FA6" w:rsidRDefault="008F6FA6" w:rsidP="00D10772">
      <w:r>
        <w:continuationSeparator/>
      </w:r>
    </w:p>
  </w:footnote>
  <w:footnote w:type="continuationNotice" w:id="1">
    <w:p w14:paraId="690C158C" w14:textId="77777777" w:rsidR="008F6FA6" w:rsidRDefault="008F6FA6">
      <w:pPr>
        <w:spacing w:after="0"/>
      </w:pPr>
    </w:p>
  </w:footnote>
  <w:footnote w:id="2">
    <w:p w14:paraId="23FCEC4B" w14:textId="674DE6C2" w:rsidR="008F6FA6" w:rsidRPr="00EC7392" w:rsidRDefault="008F6FA6" w:rsidP="00745F2B">
      <w:pPr>
        <w:pStyle w:val="FootnoteText"/>
        <w:rPr>
          <w:lang w:val="hu-HU"/>
        </w:rPr>
      </w:pPr>
      <w:r>
        <w:rPr>
          <w:rStyle w:val="FootnoteReference"/>
        </w:rPr>
        <w:footnoteRef/>
      </w:r>
      <w:r>
        <w:t xml:space="preserve"> </w:t>
      </w:r>
      <w:proofErr w:type="spellStart"/>
      <w:r>
        <w:rPr>
          <w:lang w:val="hu-HU"/>
        </w:rPr>
        <w:t>Guidelines</w:t>
      </w:r>
      <w:proofErr w:type="spellEnd"/>
      <w:r>
        <w:rPr>
          <w:lang w:val="hu-HU"/>
        </w:rPr>
        <w:t xml:space="preserve"> on </w:t>
      </w:r>
      <w:proofErr w:type="spellStart"/>
      <w:r>
        <w:rPr>
          <w:lang w:val="hu-HU"/>
        </w:rPr>
        <w:t>common</w:t>
      </w:r>
      <w:proofErr w:type="spellEnd"/>
      <w:r>
        <w:rPr>
          <w:lang w:val="hu-HU"/>
        </w:rPr>
        <w:t xml:space="preserve"> </w:t>
      </w:r>
      <w:proofErr w:type="spellStart"/>
      <w:r>
        <w:rPr>
          <w:lang w:val="hu-HU"/>
        </w:rPr>
        <w:t>procedures</w:t>
      </w:r>
      <w:proofErr w:type="spellEnd"/>
      <w:r>
        <w:rPr>
          <w:lang w:val="hu-HU"/>
        </w:rPr>
        <w:t xml:space="preserve"> and </w:t>
      </w:r>
      <w:proofErr w:type="spellStart"/>
      <w:r>
        <w:rPr>
          <w:lang w:val="hu-HU"/>
        </w:rPr>
        <w:t>methodologies</w:t>
      </w:r>
      <w:proofErr w:type="spellEnd"/>
      <w:r>
        <w:rPr>
          <w:lang w:val="hu-HU"/>
        </w:rPr>
        <w:t xml:space="preserve"> </w:t>
      </w:r>
      <w:proofErr w:type="spellStart"/>
      <w:r>
        <w:rPr>
          <w:lang w:val="hu-HU"/>
        </w:rPr>
        <w:t>for</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supervisory</w:t>
      </w:r>
      <w:proofErr w:type="spellEnd"/>
      <w:r>
        <w:rPr>
          <w:lang w:val="hu-HU"/>
        </w:rPr>
        <w:t xml:space="preserve"> </w:t>
      </w:r>
      <w:proofErr w:type="spellStart"/>
      <w:r>
        <w:rPr>
          <w:lang w:val="hu-HU"/>
        </w:rPr>
        <w:t>review</w:t>
      </w:r>
      <w:proofErr w:type="spellEnd"/>
      <w:r>
        <w:rPr>
          <w:lang w:val="hu-HU"/>
        </w:rPr>
        <w:t xml:space="preserve"> and </w:t>
      </w:r>
      <w:proofErr w:type="spellStart"/>
      <w:r>
        <w:rPr>
          <w:lang w:val="hu-HU"/>
        </w:rPr>
        <w:t>evaluation</w:t>
      </w:r>
      <w:proofErr w:type="spellEnd"/>
      <w:r>
        <w:rPr>
          <w:lang w:val="hu-HU"/>
        </w:rPr>
        <w:t xml:space="preserve"> </w:t>
      </w:r>
      <w:proofErr w:type="spellStart"/>
      <w:r>
        <w:rPr>
          <w:lang w:val="hu-HU"/>
        </w:rPr>
        <w:t>process</w:t>
      </w:r>
      <w:proofErr w:type="spellEnd"/>
      <w:r>
        <w:rPr>
          <w:lang w:val="hu-HU"/>
        </w:rPr>
        <w:t xml:space="preserve"> (</w:t>
      </w:r>
      <w:proofErr w:type="spellStart"/>
      <w:r>
        <w:rPr>
          <w:lang w:val="hu-HU"/>
        </w:rPr>
        <w:t>SREP</w:t>
      </w:r>
      <w:proofErr w:type="spellEnd"/>
      <w:r>
        <w:rPr>
          <w:lang w:val="hu-HU"/>
        </w:rPr>
        <w:t xml:space="preserve">) and </w:t>
      </w:r>
      <w:r>
        <w:rPr>
          <w:rFonts w:cs="Arial"/>
          <w:color w:val="303030"/>
          <w:lang w:val="en"/>
        </w:rPr>
        <w:t>and supervisory stress testing</w:t>
      </w:r>
      <w:r>
        <w:rPr>
          <w:lang w:val="hu-HU"/>
        </w:rPr>
        <w:t xml:space="preserve">, </w:t>
      </w:r>
      <w:proofErr w:type="spellStart"/>
      <w:r>
        <w:rPr>
          <w:lang w:val="hu-HU"/>
        </w:rPr>
        <w:t>EBA</w:t>
      </w:r>
      <w:proofErr w:type="spellEnd"/>
      <w:r>
        <w:rPr>
          <w:lang w:val="hu-HU"/>
        </w:rPr>
        <w:t>/</w:t>
      </w:r>
      <w:proofErr w:type="spellStart"/>
      <w:r>
        <w:rPr>
          <w:lang w:val="hu-HU"/>
        </w:rPr>
        <w:t>GL</w:t>
      </w:r>
      <w:proofErr w:type="spellEnd"/>
      <w:r>
        <w:rPr>
          <w:lang w:val="hu-HU"/>
        </w:rPr>
        <w:t>/2014/13</w:t>
      </w:r>
    </w:p>
  </w:footnote>
  <w:footnote w:id="3">
    <w:p w14:paraId="66B15AB9" w14:textId="074ED825" w:rsidR="008F6FA6" w:rsidRPr="00C53018" w:rsidRDefault="008F6FA6" w:rsidP="006561DB">
      <w:pPr>
        <w:pStyle w:val="FootnoteText"/>
      </w:pPr>
      <w:r w:rsidRPr="0007489D">
        <w:rPr>
          <w:rStyle w:val="FootnoteReference"/>
        </w:rPr>
        <w:footnoteRef/>
      </w:r>
      <w:r w:rsidRPr="0007489D">
        <w:t xml:space="preserve"> </w:t>
      </w:r>
      <w:r>
        <w:t>A</w:t>
      </w:r>
      <w:r>
        <w:rPr>
          <w:lang w:val="hu-HU"/>
        </w:rPr>
        <w:t xml:space="preserve"> kézikönyv</w:t>
      </w:r>
      <w:r w:rsidRPr="00C53018">
        <w:t xml:space="preserve"> elsősorban a </w:t>
      </w:r>
      <w:proofErr w:type="spellStart"/>
      <w:r w:rsidRPr="00C53018">
        <w:t>CRD</w:t>
      </w:r>
      <w:proofErr w:type="spellEnd"/>
      <w:r>
        <w:t xml:space="preserve"> </w:t>
      </w:r>
      <w:r w:rsidRPr="00C53018">
        <w:t>IV/CRR</w:t>
      </w:r>
      <w:r>
        <w:rPr>
          <w:lang w:val="hu-HU"/>
        </w:rPr>
        <w:t xml:space="preserve"> rendelkezésein</w:t>
      </w:r>
      <w:r w:rsidRPr="00C53018">
        <w:t xml:space="preserve">, a Bázeli Bankfelügyeleti Bizottság ajánlásának vonatkozó cikkelyein és a European Banking </w:t>
      </w:r>
      <w:proofErr w:type="spellStart"/>
      <w:r w:rsidRPr="00C53018">
        <w:t>Authority</w:t>
      </w:r>
      <w:proofErr w:type="spellEnd"/>
      <w:r w:rsidRPr="00C53018">
        <w:t xml:space="preserve"> (</w:t>
      </w:r>
      <w:proofErr w:type="spellStart"/>
      <w:r w:rsidRPr="00C53018">
        <w:t>EBA</w:t>
      </w:r>
      <w:proofErr w:type="spellEnd"/>
      <w:r w:rsidRPr="00C53018">
        <w:t>)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w:t>
      </w:r>
      <w:proofErr w:type="spellStart"/>
      <w:r w:rsidRPr="00C53018">
        <w:t>anyagai</w:t>
      </w:r>
      <w:proofErr w:type="spellEnd"/>
      <w:r w:rsidRPr="00C53018">
        <w:t xml:space="preserve"> is. </w:t>
      </w:r>
    </w:p>
  </w:footnote>
  <w:footnote w:id="4">
    <w:p w14:paraId="56226393" w14:textId="329A7C91" w:rsidR="008F6FA6" w:rsidRPr="00780492" w:rsidRDefault="008F6FA6">
      <w:pPr>
        <w:pStyle w:val="FootnoteText"/>
        <w:rPr>
          <w:lang w:val="hu-HU"/>
        </w:rPr>
      </w:pPr>
      <w:r>
        <w:rPr>
          <w:rStyle w:val="FootnoteReference"/>
        </w:rPr>
        <w:footnoteRef/>
      </w:r>
      <w:r>
        <w:t xml:space="preserve"> </w:t>
      </w:r>
      <w:r>
        <w:rPr>
          <w:lang w:val="hu-HU"/>
        </w:rPr>
        <w:t xml:space="preserve">Jelenleg az </w:t>
      </w:r>
      <w:proofErr w:type="spellStart"/>
      <w:r>
        <w:rPr>
          <w:lang w:val="hu-HU"/>
        </w:rPr>
        <w:t>ILAAP</w:t>
      </w:r>
      <w:proofErr w:type="spellEnd"/>
      <w:r>
        <w:rPr>
          <w:lang w:val="hu-HU"/>
        </w:rPr>
        <w:t xml:space="preserve"> felülvizsgálatra vonatkozóan külön módszertani útmutató előkészítés alatt van, melynek kiadására várhatóan 2020. folyamán kerül sor. </w:t>
      </w:r>
    </w:p>
  </w:footnote>
  <w:footnote w:id="5">
    <w:p w14:paraId="386514F6" w14:textId="77777777" w:rsidR="008F6FA6" w:rsidRPr="00DD12FB" w:rsidRDefault="008F6FA6" w:rsidP="00E334C4">
      <w:pPr>
        <w:pStyle w:val="FootnoteText"/>
      </w:pPr>
      <w:r w:rsidRPr="00DD12FB">
        <w:rPr>
          <w:rStyle w:val="FootnoteReference"/>
        </w:rPr>
        <w:footnoteRef/>
      </w:r>
      <w:r w:rsidRPr="00DD12FB">
        <w:t xml:space="preserve"> 2013/36/EK 97-101. cikk</w:t>
      </w:r>
    </w:p>
  </w:footnote>
  <w:footnote w:id="6">
    <w:p w14:paraId="66B15ABA" w14:textId="2DF1A8DA" w:rsidR="008F6FA6" w:rsidRPr="00A72DD3" w:rsidRDefault="008F6FA6" w:rsidP="00D10772">
      <w:pPr>
        <w:pStyle w:val="FootnoteText"/>
        <w:rPr>
          <w:lang w:val="hu-HU"/>
        </w:rPr>
      </w:pPr>
      <w:r w:rsidRPr="00C53018">
        <w:rPr>
          <w:rStyle w:val="FootnoteReference"/>
        </w:rPr>
        <w:footnoteRef/>
      </w:r>
      <w:r w:rsidRPr="00C53018">
        <w:t xml:space="preserve"> </w:t>
      </w:r>
      <w:proofErr w:type="spellStart"/>
      <w:r>
        <w:rPr>
          <w:lang w:val="hu-HU"/>
        </w:rPr>
        <w:t>CRD</w:t>
      </w:r>
      <w:proofErr w:type="spellEnd"/>
      <w:r>
        <w:rPr>
          <w:lang w:val="hu-HU"/>
        </w:rPr>
        <w:t xml:space="preserve"> IV 73. cikke</w:t>
      </w:r>
    </w:p>
  </w:footnote>
  <w:footnote w:id="7">
    <w:p w14:paraId="66B15ABC" w14:textId="77777777" w:rsidR="008F6FA6" w:rsidRPr="00AA6587" w:rsidRDefault="008F6FA6" w:rsidP="00D10772">
      <w:pPr>
        <w:pStyle w:val="FootnoteText"/>
      </w:pPr>
      <w:r>
        <w:rPr>
          <w:rStyle w:val="FootnoteReference"/>
        </w:rPr>
        <w:footnoteRef/>
      </w:r>
      <w:r>
        <w:t xml:space="preserve"> A működési kockázatok esetében mind a várt, mind a nem várt veszteségekre is fedezetet kell nyújtania a tőkének</w:t>
      </w:r>
    </w:p>
  </w:footnote>
  <w:footnote w:id="8">
    <w:p w14:paraId="66B15ABD" w14:textId="0B4C1B4C" w:rsidR="008F6FA6" w:rsidRPr="009213D4" w:rsidRDefault="008F6FA6" w:rsidP="00D10772">
      <w:pPr>
        <w:pStyle w:val="FootnoteText"/>
      </w:pPr>
      <w:r w:rsidRPr="009213D4">
        <w:rPr>
          <w:rStyle w:val="FootnoteReference"/>
        </w:rPr>
        <w:footnoteRef/>
      </w:r>
      <w:r w:rsidRPr="009213D4">
        <w:t xml:space="preserve"> A kockázat fogalmát </w:t>
      </w:r>
      <w:proofErr w:type="spellStart"/>
      <w:r w:rsidRPr="009213D4">
        <w:t>explicite</w:t>
      </w:r>
      <w:proofErr w:type="spellEnd"/>
      <w:r w:rsidRPr="009213D4">
        <w:t xml:space="preserve"> a báz</w:t>
      </w:r>
      <w:r>
        <w:t>el</w:t>
      </w:r>
      <w:r w:rsidRPr="009213D4">
        <w:t>i ajánlás és a</w:t>
      </w:r>
      <w:r>
        <w:rPr>
          <w:lang w:val="hu-HU"/>
        </w:rPr>
        <w:t>z uniós jogszabályok</w:t>
      </w:r>
      <w:r w:rsidRPr="009213D4">
        <w:t xml:space="preserve"> sem definiálj</w:t>
      </w:r>
      <w:r>
        <w:rPr>
          <w:lang w:val="hu-HU"/>
        </w:rPr>
        <w:t>ák</w:t>
      </w:r>
      <w:r w:rsidRPr="009213D4">
        <w:t xml:space="preserve">, de általában a tőkével kapcsolatban a nem várt veszteséget értik alatta. Ettől függetlenül igaz azonban, hogy mind a tervezésnél, mind a tőkemegfelelés vizsgálatánál a teljes veszteséget kell </w:t>
      </w:r>
      <w:proofErr w:type="spellStart"/>
      <w:r w:rsidRPr="009213D4">
        <w:t>szembeállítani</w:t>
      </w:r>
      <w:proofErr w:type="spellEnd"/>
      <w:r w:rsidRPr="009213D4">
        <w:t xml:space="preserve">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8F6FA6" w:rsidRPr="0050673C" w:rsidRDefault="008F6FA6" w:rsidP="00D10772">
      <w:pPr>
        <w:pStyle w:val="FootnoteText"/>
        <w:rPr>
          <w:lang w:val="hu-HU"/>
        </w:rPr>
      </w:pPr>
      <w:r w:rsidRPr="00A4708A">
        <w:rPr>
          <w:rStyle w:val="FootnoteReference"/>
        </w:rPr>
        <w:footnoteRef/>
      </w:r>
      <w:r w:rsidRPr="00A4708A">
        <w:t xml:space="preserve"> lásd ICAAP megfelelés csoport-szinten c. fejezetet</w:t>
      </w:r>
      <w:r>
        <w:rPr>
          <w:lang w:val="hu-HU"/>
        </w:rPr>
        <w:t xml:space="preserve">, illetve a </w:t>
      </w:r>
      <w:proofErr w:type="spellStart"/>
      <w:r>
        <w:rPr>
          <w:lang w:val="hu-HU"/>
        </w:rPr>
        <w:t>CEBS</w:t>
      </w:r>
      <w:proofErr w:type="spellEnd"/>
      <w:r>
        <w:rPr>
          <w:lang w:val="hu-HU"/>
        </w:rPr>
        <w:t xml:space="preserve"> kiszervezésről szóló ajánlását (</w:t>
      </w:r>
      <w:proofErr w:type="spellStart"/>
      <w:r>
        <w:rPr>
          <w:lang w:val="hu-HU"/>
        </w:rPr>
        <w:t>Guideline</w:t>
      </w:r>
      <w:proofErr w:type="spellEnd"/>
      <w:r>
        <w:rPr>
          <w:lang w:val="hu-HU"/>
        </w:rPr>
        <w:t xml:space="preserve"> on </w:t>
      </w:r>
      <w:proofErr w:type="spellStart"/>
      <w:r>
        <w:rPr>
          <w:lang w:val="hu-HU"/>
        </w:rPr>
        <w:t>Outsourcing</w:t>
      </w:r>
      <w:proofErr w:type="spellEnd"/>
      <w:r>
        <w:rPr>
          <w:lang w:val="hu-HU"/>
        </w:rPr>
        <w:t xml:space="preserve"> – </w:t>
      </w:r>
      <w:proofErr w:type="spellStart"/>
      <w:r>
        <w:rPr>
          <w:lang w:val="hu-HU"/>
        </w:rPr>
        <w:t>CP</w:t>
      </w:r>
      <w:proofErr w:type="spellEnd"/>
      <w:r>
        <w:rPr>
          <w:lang w:val="hu-HU"/>
        </w:rPr>
        <w:t xml:space="preserve"> 02 </w:t>
      </w:r>
      <w:proofErr w:type="spellStart"/>
      <w:r>
        <w:rPr>
          <w:lang w:val="hu-HU"/>
        </w:rPr>
        <w:t>revised</w:t>
      </w:r>
      <w:proofErr w:type="spellEnd"/>
      <w:r>
        <w:rPr>
          <w:lang w:val="hu-HU"/>
        </w:rPr>
        <w:t xml:space="preserve">, </w:t>
      </w:r>
      <w:proofErr w:type="spellStart"/>
      <w:r>
        <w:rPr>
          <w:lang w:val="hu-HU"/>
        </w:rPr>
        <w:t>CEBS</w:t>
      </w:r>
      <w:proofErr w:type="spellEnd"/>
      <w:r>
        <w:rPr>
          <w:lang w:val="hu-HU"/>
        </w:rPr>
        <w:t xml:space="preserve"> 2006. december 14.)</w:t>
      </w:r>
    </w:p>
  </w:footnote>
  <w:footnote w:id="10">
    <w:p w14:paraId="07B94D31" w14:textId="508E7D7B" w:rsidR="008F6FA6" w:rsidRPr="00BF02D0" w:rsidRDefault="008F6FA6">
      <w:pPr>
        <w:pStyle w:val="FootnoteText"/>
        <w:rPr>
          <w:lang w:val="hu-HU"/>
        </w:rPr>
      </w:pPr>
      <w:r>
        <w:rPr>
          <w:rStyle w:val="FootnoteReference"/>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8F6FA6" w:rsidRPr="00CF5BB5" w:rsidRDefault="008F6FA6" w:rsidP="00D10772">
      <w:pPr>
        <w:pStyle w:val="FootnoteText"/>
      </w:pPr>
      <w:r w:rsidRPr="00CF5BB5">
        <w:rPr>
          <w:rStyle w:val="FootnoteReference"/>
        </w:rPr>
        <w:footnoteRef/>
      </w:r>
      <w:r w:rsidRPr="00CF5BB5">
        <w:t xml:space="preserve"> A továbbiakban az 1. pillér és a szabályozói pillér megjelöléseket szinonimaként használjuk. </w:t>
      </w:r>
    </w:p>
  </w:footnote>
  <w:footnote w:id="12">
    <w:p w14:paraId="66B15AC4" w14:textId="77777777" w:rsidR="008F6FA6" w:rsidRPr="00DF4A39" w:rsidRDefault="008F6FA6" w:rsidP="00D10772">
      <w:pPr>
        <w:rPr>
          <w:rStyle w:val="FootnoteTextChar"/>
        </w:rPr>
      </w:pPr>
      <w:r w:rsidRPr="003023ED">
        <w:rPr>
          <w:rStyle w:val="FootnoteReference"/>
          <w:sz w:val="16"/>
          <w:szCs w:val="16"/>
        </w:rPr>
        <w:footnoteRef/>
      </w:r>
      <w:r w:rsidRPr="003023ED">
        <w:t xml:space="preserve"> </w:t>
      </w:r>
      <w:r w:rsidRPr="00DF4A39">
        <w:rPr>
          <w:rStyle w:val="FootnoteTextChar"/>
        </w:rPr>
        <w:t xml:space="preserve">Ha az anyavállalat nem-EU országban (harmadik országban) bejegyzett, akkor a Hpt. 174. § (5)-(7), illetőleg a </w:t>
      </w:r>
      <w:proofErr w:type="spellStart"/>
      <w:r w:rsidRPr="00DF4A39">
        <w:rPr>
          <w:rStyle w:val="FootnoteTextChar"/>
        </w:rPr>
        <w:t>Bszt</w:t>
      </w:r>
      <w:proofErr w:type="spellEnd"/>
      <w:r w:rsidRPr="00DF4A39">
        <w:rPr>
          <w:rStyle w:val="FootnoteTextChar"/>
        </w:rPr>
        <w:t>. 161/B. § (5)-(7) szerint kell eljárni.</w:t>
      </w:r>
    </w:p>
  </w:footnote>
  <w:footnote w:id="13">
    <w:p w14:paraId="1B296567" w14:textId="279DF248" w:rsidR="008F6FA6" w:rsidRPr="0050673C" w:rsidRDefault="008F6FA6">
      <w:pPr>
        <w:pStyle w:val="FootnoteText"/>
        <w:rPr>
          <w:lang w:val="hu-HU"/>
        </w:rPr>
      </w:pPr>
      <w:r>
        <w:rPr>
          <w:rStyle w:val="FootnoteReference"/>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w:t>
      </w:r>
      <w:proofErr w:type="spellStart"/>
      <w:r w:rsidRPr="00561A6B">
        <w:t>értelmezendőek</w:t>
      </w:r>
      <w:proofErr w:type="spellEnd"/>
      <w:r w:rsidRPr="00561A6B">
        <w:t>,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8F6FA6" w:rsidRPr="00E709C5" w:rsidRDefault="008F6FA6" w:rsidP="00D10772">
      <w:pPr>
        <w:pStyle w:val="FootnoteText"/>
        <w:rPr>
          <w:lang w:val="hu-HU"/>
        </w:rPr>
      </w:pPr>
      <w:r>
        <w:rPr>
          <w:rStyle w:val="FootnoteReference"/>
        </w:rPr>
        <w:footnoteRef/>
      </w:r>
      <w:r>
        <w:t xml:space="preserve"> Az MNB kötelező jelleggel az intézmény ICAAP</w:t>
      </w:r>
      <w:r>
        <w:rPr>
          <w:lang w:val="hu-HU"/>
        </w:rPr>
        <w:t xml:space="preserve"> és </w:t>
      </w:r>
      <w:proofErr w:type="spellStart"/>
      <w:r>
        <w:rPr>
          <w:lang w:val="hu-HU"/>
        </w:rPr>
        <w:t>ILAAP</w:t>
      </w:r>
      <w:proofErr w:type="spellEnd"/>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proofErr w:type="spellStart"/>
      <w:r>
        <w:t>hez</w:t>
      </w:r>
      <w:proofErr w:type="spellEnd"/>
      <w:r>
        <w:t xml:space="preserve"> benyújtott teljes ICAAP </w:t>
      </w:r>
      <w:r>
        <w:rPr>
          <w:lang w:val="hu-HU"/>
        </w:rPr>
        <w:t xml:space="preserve">és </w:t>
      </w:r>
      <w:proofErr w:type="spellStart"/>
      <w:r>
        <w:rPr>
          <w:lang w:val="hu-HU"/>
        </w:rPr>
        <w:t>ILAAP</w:t>
      </w:r>
      <w:proofErr w:type="spellEnd"/>
      <w:r>
        <w:rPr>
          <w:lang w:val="hu-HU"/>
        </w:rPr>
        <w:t xml:space="preserve"> </w:t>
      </w:r>
      <w:r>
        <w:t>dokumentáció ilyen minősítéssel rendelkez</w:t>
      </w:r>
      <w:r>
        <w:rPr>
          <w:lang w:val="hu-HU"/>
        </w:rPr>
        <w:t>zen</w:t>
      </w:r>
      <w:r>
        <w:t>.</w:t>
      </w:r>
    </w:p>
  </w:footnote>
  <w:footnote w:id="15">
    <w:p w14:paraId="45B86207" w14:textId="312B85DB" w:rsidR="008F6FA6" w:rsidRPr="0050673C" w:rsidRDefault="008F6FA6">
      <w:pPr>
        <w:pStyle w:val="FootnoteText"/>
        <w:rPr>
          <w:lang w:val="hu-HU"/>
        </w:rPr>
      </w:pPr>
      <w:r>
        <w:rPr>
          <w:rStyle w:val="FootnoteReference"/>
        </w:rPr>
        <w:footnoteRef/>
      </w:r>
      <w:r>
        <w:t xml:space="preserve"> </w:t>
      </w:r>
      <w:proofErr w:type="spellStart"/>
      <w:r>
        <w:rPr>
          <w:lang w:val="hu-HU"/>
        </w:rPr>
        <w:t>EBA</w:t>
      </w:r>
      <w:proofErr w:type="spellEnd"/>
      <w:r>
        <w:rPr>
          <w:lang w:val="hu-HU"/>
        </w:rPr>
        <w:t>/</w:t>
      </w:r>
      <w:proofErr w:type="spellStart"/>
      <w:r>
        <w:rPr>
          <w:lang w:val="hu-HU"/>
        </w:rPr>
        <w:t>GL</w:t>
      </w:r>
      <w:proofErr w:type="spellEnd"/>
      <w:r>
        <w:rPr>
          <w:lang w:val="hu-HU"/>
        </w:rPr>
        <w:t>/2016/10 ajánlás</w:t>
      </w:r>
    </w:p>
  </w:footnote>
  <w:footnote w:id="16">
    <w:p w14:paraId="66B15ACB" w14:textId="77777777" w:rsidR="008F6FA6" w:rsidRPr="00EC7392" w:rsidRDefault="008F6FA6" w:rsidP="008C22D5">
      <w:pPr>
        <w:rPr>
          <w:sz w:val="16"/>
          <w:szCs w:val="16"/>
          <w:lang w:val="x-none" w:eastAsia="x-none"/>
        </w:rPr>
      </w:pPr>
      <w:r>
        <w:rPr>
          <w:rStyle w:val="FootnoteReference"/>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8F6FA6" w:rsidRPr="00EC7392" w:rsidRDefault="008F6FA6">
      <w:pPr>
        <w:pStyle w:val="FootnoteText"/>
        <w:rPr>
          <w:lang w:val="hu-HU"/>
        </w:rPr>
      </w:pPr>
    </w:p>
  </w:footnote>
  <w:footnote w:id="17">
    <w:p w14:paraId="66B15ACD" w14:textId="71648C7E" w:rsidR="008F6FA6" w:rsidRDefault="008F6FA6" w:rsidP="00D10772">
      <w:pPr>
        <w:pStyle w:val="FootnoteText"/>
      </w:pPr>
      <w:r>
        <w:rPr>
          <w:rStyle w:val="FootnoteReference"/>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8F6FA6" w:rsidRPr="00B36496" w:rsidRDefault="008F6FA6">
      <w:pPr>
        <w:pStyle w:val="FootnoteText"/>
        <w:rPr>
          <w:lang w:val="hu-HU"/>
        </w:rPr>
      </w:pPr>
      <w:r>
        <w:rPr>
          <w:rStyle w:val="FootnoteReference"/>
        </w:rPr>
        <w:footnoteRef/>
      </w:r>
      <w:r>
        <w:t xml:space="preserve"> </w:t>
      </w:r>
      <w:r>
        <w:rPr>
          <w:lang w:val="hu-HU"/>
        </w:rPr>
        <w:t>T</w:t>
      </w:r>
      <w:proofErr w:type="spellStart"/>
      <w:r>
        <w:t>ekintettel</w:t>
      </w:r>
      <w:proofErr w:type="spellEnd"/>
      <w:r>
        <w:t xml:space="preserve"> a likviditási helyzet változékonyságára a többlet-követelmény nem kerül </w:t>
      </w:r>
      <w:proofErr w:type="spellStart"/>
      <w:r>
        <w:rPr>
          <w:lang w:val="hu-HU"/>
        </w:rPr>
        <w:t>előremutatóan</w:t>
      </w:r>
      <w:proofErr w:type="spellEnd"/>
      <w:r>
        <w:t xml:space="preserve"> rögzítésre</w:t>
      </w:r>
    </w:p>
  </w:footnote>
  <w:footnote w:id="19">
    <w:p w14:paraId="66B15ACE" w14:textId="77777777" w:rsidR="008F6FA6" w:rsidRPr="00AF0089" w:rsidRDefault="008F6FA6" w:rsidP="00AB47CB">
      <w:pPr>
        <w:pStyle w:val="ListParagraph"/>
        <w:ind w:left="0"/>
        <w:rPr>
          <w:lang w:val="hu-HU"/>
        </w:rPr>
      </w:pPr>
      <w:r w:rsidRPr="00620AEB">
        <w:rPr>
          <w:rStyle w:val="FootnoteTextChar"/>
          <w:vertAlign w:val="superscript"/>
        </w:rPr>
        <w:footnoteRef/>
      </w:r>
      <w:r w:rsidRPr="00620AEB">
        <w:rPr>
          <w:rStyle w:val="FootnoteTextChar"/>
          <w:vertAlign w:val="superscript"/>
        </w:rPr>
        <w:t xml:space="preserve"> </w:t>
      </w:r>
      <w:r w:rsidRPr="00CA5D24">
        <w:rPr>
          <w:rStyle w:val="FootnoteTextChar"/>
        </w:rPr>
        <w:t xml:space="preserve">Ha a hitelintézet összevont alapú felügyelet alá tartozik, illetve a hitelintézetre az összevont alapú felügyelet kiterjed, az MNB a vele szemben alkalmazandó kivételes intézkedés előtt – az alábbi kivétellel - előzetesen egyeztet azon </w:t>
      </w:r>
      <w:proofErr w:type="spellStart"/>
      <w:r w:rsidRPr="00CA5D24">
        <w:rPr>
          <w:rStyle w:val="FootnoteTextChar"/>
        </w:rPr>
        <w:t>EGT</w:t>
      </w:r>
      <w:proofErr w:type="spellEnd"/>
      <w:r w:rsidRPr="00CA5D24">
        <w:rPr>
          <w:rStyle w:val="FootnoteTextChar"/>
        </w:rPr>
        <w:t xml:space="preserve">-állam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w:t>
      </w:r>
      <w:proofErr w:type="spellStart"/>
      <w:r w:rsidRPr="00CA5D24">
        <w:rPr>
          <w:rStyle w:val="FootnoteTextChar"/>
        </w:rPr>
        <w:t>EGT</w:t>
      </w:r>
      <w:proofErr w:type="spellEnd"/>
      <w:r w:rsidRPr="00CA5D24">
        <w:rPr>
          <w:rStyle w:val="FootnoteTextChar"/>
        </w:rPr>
        <w:t xml:space="preserve">-állam illetékes felügyeleti hatóságával, ha az egyeztetéshez szükséges időtartam veszélyezteti a határozat végrehajthatóságát. Ebben az esetben a határozat meghozataláról az MNB a másik </w:t>
      </w:r>
      <w:proofErr w:type="spellStart"/>
      <w:r w:rsidRPr="00CA5D24">
        <w:rPr>
          <w:rStyle w:val="FootnoteTextChar"/>
        </w:rPr>
        <w:t>EGT</w:t>
      </w:r>
      <w:proofErr w:type="spellEnd"/>
      <w:r w:rsidRPr="00CA5D24">
        <w:rPr>
          <w:rStyle w:val="FootnoteTextChar"/>
        </w:rPr>
        <w:t>-állam illetékes felügyeleti hatósá</w:t>
      </w:r>
      <w:r>
        <w:rPr>
          <w:rStyle w:val="FootnoteTextChar"/>
        </w:rPr>
        <w:t>gát haladéktalanul tájékoztatja</w:t>
      </w:r>
      <w:r>
        <w:rPr>
          <w:rStyle w:val="FootnoteTextChar"/>
          <w:lang w:val="hu-HU"/>
        </w:rPr>
        <w:t>.</w:t>
      </w:r>
    </w:p>
  </w:footnote>
  <w:footnote w:id="20">
    <w:p w14:paraId="66B15ACF" w14:textId="77777777" w:rsidR="008F6FA6" w:rsidRPr="00F53223" w:rsidRDefault="008F6FA6" w:rsidP="00D10772">
      <w:pPr>
        <w:pStyle w:val="FootnoteText"/>
      </w:pPr>
      <w:r>
        <w:rPr>
          <w:rStyle w:val="FootnoteReference"/>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8F6FA6" w:rsidRPr="001839F4" w:rsidRDefault="008F6FA6" w:rsidP="00D10772">
      <w:pPr>
        <w:pStyle w:val="FootnoteText"/>
      </w:pPr>
      <w:r w:rsidRPr="001839F4">
        <w:rPr>
          <w:rStyle w:val="FootnoteReference"/>
        </w:rPr>
        <w:footnoteRef/>
      </w:r>
      <w:r w:rsidRPr="001839F4">
        <w:t xml:space="preserve"> </w:t>
      </w:r>
      <w:proofErr w:type="spellStart"/>
      <w:r w:rsidRPr="001839F4">
        <w:t>Bszt</w:t>
      </w:r>
      <w:proofErr w:type="spellEnd"/>
      <w:r w:rsidRPr="001839F4">
        <w:t xml:space="preserve">.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8F6FA6" w:rsidRPr="00B10F85" w:rsidRDefault="008F6FA6" w:rsidP="00D10772">
      <w:pPr>
        <w:pStyle w:val="FootnoteText"/>
      </w:pPr>
      <w:r w:rsidRPr="00B10F85">
        <w:rPr>
          <w:rStyle w:val="FootnoteReference"/>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8F6FA6" w:rsidRPr="004028C0" w:rsidRDefault="008F6FA6" w:rsidP="00073510">
      <w:pPr>
        <w:pStyle w:val="FootnoteText"/>
      </w:pPr>
      <w:r>
        <w:rPr>
          <w:rStyle w:val="FootnoteReference"/>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8F6FA6" w:rsidRDefault="008F6FA6" w:rsidP="00D10772">
      <w:pPr>
        <w:pStyle w:val="FootnoteText"/>
      </w:pPr>
      <w:r>
        <w:rPr>
          <w:rStyle w:val="FootnoteReference"/>
        </w:rPr>
        <w:footnoteRef/>
      </w:r>
      <w:r>
        <w:t xml:space="preserve"> A kitűzött terveket és tényeket megfelelő időközönként</w:t>
      </w:r>
      <w:r>
        <w:rPr>
          <w:lang w:val="hu-HU"/>
        </w:rPr>
        <w:t xml:space="preserve"> össze kell </w:t>
      </w:r>
      <w:proofErr w:type="spellStart"/>
      <w:r>
        <w:rPr>
          <w:lang w:val="hu-HU"/>
        </w:rPr>
        <w:t>vetn</w:t>
      </w:r>
      <w:proofErr w:type="spellEnd"/>
      <w:r>
        <w:t>i.</w:t>
      </w:r>
    </w:p>
  </w:footnote>
  <w:footnote w:id="25">
    <w:p w14:paraId="2D5FC1F9" w14:textId="77777777" w:rsidR="008F6FA6" w:rsidRPr="00C35EE6" w:rsidRDefault="008F6FA6" w:rsidP="00D10772">
      <w:pPr>
        <w:pStyle w:val="FootnoteText"/>
      </w:pPr>
      <w:r w:rsidRPr="00C35EE6">
        <w:rPr>
          <w:rStyle w:val="FootnoteReference"/>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8F6FA6" w:rsidRPr="00C35EE6" w:rsidRDefault="008F6FA6" w:rsidP="00D10772">
      <w:pPr>
        <w:pStyle w:val="FootnoteText"/>
      </w:pPr>
      <w:r w:rsidRPr="00C35EE6">
        <w:rPr>
          <w:rStyle w:val="FootnoteReference"/>
        </w:rPr>
        <w:footnoteRef/>
      </w:r>
      <w:r w:rsidRPr="00C35EE6">
        <w:t xml:space="preserve"> Tulajdonképpen ezért nem fogadható el szabályozási célra</w:t>
      </w:r>
      <w:r>
        <w:rPr>
          <w:lang w:val="hu-HU"/>
        </w:rPr>
        <w:t xml:space="preserve"> (csak legfeljebb 2. pillérben)</w:t>
      </w:r>
      <w:r w:rsidRPr="00C35EE6">
        <w:t>.</w:t>
      </w:r>
    </w:p>
  </w:footnote>
  <w:footnote w:id="27">
    <w:p w14:paraId="66B15AD8" w14:textId="77777777" w:rsidR="008F6FA6" w:rsidRPr="00705E1D" w:rsidRDefault="008F6FA6" w:rsidP="004F0500">
      <w:pPr>
        <w:spacing w:after="0"/>
        <w:rPr>
          <w:rStyle w:val="FootnoteTextChar"/>
        </w:rPr>
      </w:pPr>
      <w:r w:rsidRPr="00C35EE6">
        <w:rPr>
          <w:rStyle w:val="FootnoteReference"/>
          <w:sz w:val="16"/>
          <w:szCs w:val="16"/>
        </w:rPr>
        <w:footnoteRef/>
      </w:r>
      <w:r w:rsidRPr="00C35EE6">
        <w:t xml:space="preserve"> </w:t>
      </w:r>
      <w:r w:rsidRPr="00705E1D">
        <w:rPr>
          <w:rStyle w:val="FootnoteTextChar"/>
        </w:rPr>
        <w:t xml:space="preserve">A nemteljesítési ráták szórásával kapcsolatban általános empirikus tény, hogy a gazdaság állapotára való érzékenység a nemteljesítési valószínűség növekedésével csökken. A </w:t>
      </w:r>
      <w:proofErr w:type="spellStart"/>
      <w:r w:rsidRPr="00705E1D">
        <w:rPr>
          <w:rStyle w:val="FootnoteTextChar"/>
        </w:rPr>
        <w:t>Creditrisk</w:t>
      </w:r>
      <w:proofErr w:type="spellEnd"/>
      <w:r w:rsidRPr="00705E1D">
        <w:rPr>
          <w:rStyle w:val="FootnoteTextChar"/>
        </w:rPr>
        <w:t xml:space="preserve">+ modellben ezért célszerű lehet a relatív szórást eltérőnek választani az egyes PD-sávokban. </w:t>
      </w:r>
    </w:p>
  </w:footnote>
  <w:footnote w:id="28">
    <w:p w14:paraId="7C50EFF1" w14:textId="1989B717" w:rsidR="008F6FA6" w:rsidRPr="00185637" w:rsidRDefault="008F6FA6">
      <w:pPr>
        <w:pStyle w:val="FootnoteText"/>
        <w:rPr>
          <w:lang w:val="hu-HU"/>
        </w:rPr>
      </w:pPr>
      <w:r>
        <w:rPr>
          <w:rStyle w:val="FootnoteReference"/>
        </w:rPr>
        <w:footnoteRef/>
      </w:r>
      <w:r>
        <w:t xml:space="preserve"> </w:t>
      </w:r>
      <w:r>
        <w:rPr>
          <w:lang w:val="hu-HU"/>
        </w:rPr>
        <w:t>CRR 142. cikk 1) bekezdés 1. pontja szerinti minősítő rendszer</w:t>
      </w:r>
    </w:p>
  </w:footnote>
  <w:footnote w:id="29">
    <w:p w14:paraId="17FC68D1" w14:textId="79B36937" w:rsidR="008F6FA6" w:rsidRPr="00185637" w:rsidRDefault="008F6FA6">
      <w:pPr>
        <w:pStyle w:val="FootnoteText"/>
        <w:rPr>
          <w:lang w:val="hu-HU"/>
        </w:rPr>
      </w:pPr>
      <w:r>
        <w:rPr>
          <w:rStyle w:val="FootnoteReference"/>
        </w:rPr>
        <w:footnoteRef/>
      </w:r>
      <w:r>
        <w:t xml:space="preserve"> </w:t>
      </w:r>
      <w:r>
        <w:rPr>
          <w:lang w:val="en-GB"/>
        </w:rPr>
        <w:t xml:space="preserve">Guidelines on the PD, </w:t>
      </w:r>
      <w:proofErr w:type="spellStart"/>
      <w:r>
        <w:rPr>
          <w:lang w:val="en-GB"/>
        </w:rPr>
        <w:t>LGD</w:t>
      </w:r>
      <w:proofErr w:type="spellEnd"/>
      <w:r>
        <w:rPr>
          <w:lang w:val="en-GB"/>
        </w:rPr>
        <w:t xml:space="preserve"> and defaulted assets; </w:t>
      </w:r>
      <w:proofErr w:type="spellStart"/>
      <w:r>
        <w:rPr>
          <w:lang w:val="en-GB"/>
        </w:rPr>
        <w:t>RTS_Assessment</w:t>
      </w:r>
      <w:proofErr w:type="spellEnd"/>
      <w:r>
        <w:rPr>
          <w:lang w:val="en-GB"/>
        </w:rPr>
        <w:t xml:space="preserve"> methodology to use IRB approach</w:t>
      </w:r>
    </w:p>
  </w:footnote>
  <w:footnote w:id="30">
    <w:p w14:paraId="0D1DC43F" w14:textId="152A71A2" w:rsidR="008F6FA6" w:rsidRPr="00185637" w:rsidRDefault="008F6FA6">
      <w:pPr>
        <w:pStyle w:val="FootnoteText"/>
        <w:rPr>
          <w:lang w:val="hu-HU"/>
        </w:rPr>
      </w:pPr>
      <w:r>
        <w:rPr>
          <w:rStyle w:val="FootnoteReference"/>
        </w:rPr>
        <w:footnoteRef/>
      </w:r>
      <w:r>
        <w:rPr>
          <w:lang w:val="hu-HU"/>
        </w:rPr>
        <w:t xml:space="preserve"> </w:t>
      </w:r>
      <w:r w:rsidRPr="00186E9D">
        <w:t>https://www.bankingsupervision.europa.eu/ecb/pub/pdf/trim_guide.en.pdf</w:t>
      </w:r>
    </w:p>
  </w:footnote>
  <w:footnote w:id="31">
    <w:p w14:paraId="6498E578" w14:textId="101E6F5B" w:rsidR="008F6FA6" w:rsidRPr="00185637" w:rsidRDefault="008F6FA6">
      <w:pPr>
        <w:pStyle w:val="FootnoteText"/>
        <w:rPr>
          <w:lang w:val="hu-HU"/>
        </w:rPr>
      </w:pPr>
      <w:r>
        <w:rPr>
          <w:rStyle w:val="FootnoteReference"/>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8F6FA6" w:rsidRPr="00636B53" w:rsidRDefault="008F6FA6">
      <w:pPr>
        <w:pStyle w:val="FootnoteText"/>
        <w:rPr>
          <w:lang w:val="hu-HU"/>
        </w:rPr>
      </w:pPr>
      <w:r w:rsidRPr="000A6A50">
        <w:rPr>
          <w:rStyle w:val="FootnoteReference"/>
        </w:rPr>
        <w:footnoteRef/>
      </w:r>
      <w:r w:rsidRPr="00C6548F">
        <w:t xml:space="preserve"> </w:t>
      </w:r>
      <w:r w:rsidRPr="00CD03A9">
        <w:rPr>
          <w:lang w:val="hu-HU"/>
        </w:rPr>
        <w:t xml:space="preserve">Az </w:t>
      </w:r>
      <w:proofErr w:type="spellStart"/>
      <w:r w:rsidRPr="00CD03A9">
        <w:rPr>
          <w:lang w:val="hu-HU"/>
        </w:rPr>
        <w:t>EBA</w:t>
      </w:r>
      <w:proofErr w:type="spellEnd"/>
      <w:r w:rsidRPr="00CD03A9">
        <w:rPr>
          <w:lang w:val="hu-HU"/>
        </w:rPr>
        <w:t xml:space="preserve"> kiad</w:t>
      </w:r>
      <w:r>
        <w:rPr>
          <w:lang w:val="hu-HU"/>
        </w:rPr>
        <w:t>ta</w:t>
      </w:r>
      <w:r w:rsidRPr="00CD03A9">
        <w:rPr>
          <w:lang w:val="hu-HU"/>
        </w:rPr>
        <w:t xml:space="preserve"> a CRR szerinti nemteljesítési definíció megfelelő alkalmazás</w:t>
      </w:r>
      <w:r>
        <w:rPr>
          <w:lang w:val="hu-HU"/>
        </w:rPr>
        <w:t>áról szóló ajánlását (</w:t>
      </w:r>
      <w:proofErr w:type="spellStart"/>
      <w:r w:rsidRPr="00B23E44">
        <w:rPr>
          <w:lang w:val="hu-HU"/>
        </w:rPr>
        <w:t>EBA</w:t>
      </w:r>
      <w:proofErr w:type="spellEnd"/>
      <w:r w:rsidRPr="00B23E44">
        <w:rPr>
          <w:lang w:val="hu-HU"/>
        </w:rPr>
        <w:t>/</w:t>
      </w:r>
      <w:proofErr w:type="spellStart"/>
      <w:r w:rsidRPr="00B23E44">
        <w:rPr>
          <w:lang w:val="hu-HU"/>
        </w:rPr>
        <w:t>GL</w:t>
      </w:r>
      <w:proofErr w:type="spellEnd"/>
      <w:r w:rsidRPr="00B23E44">
        <w:rPr>
          <w:lang w:val="hu-HU"/>
        </w:rPr>
        <w:t>/2016/07</w:t>
      </w:r>
      <w:r>
        <w:rPr>
          <w:lang w:val="hu-HU"/>
        </w:rPr>
        <w:t>)</w:t>
      </w:r>
      <w:r w:rsidRPr="00CD03A9">
        <w:rPr>
          <w:lang w:val="hu-HU"/>
        </w:rPr>
        <w:t>.</w:t>
      </w:r>
      <w:r>
        <w:rPr>
          <w:lang w:val="hu-HU"/>
        </w:rPr>
        <w:t xml:space="preserve"> </w:t>
      </w:r>
    </w:p>
  </w:footnote>
  <w:footnote w:id="33">
    <w:p w14:paraId="23649F37" w14:textId="7EB4E30E" w:rsidR="008F6FA6" w:rsidRPr="0050673C" w:rsidRDefault="008F6FA6">
      <w:pPr>
        <w:pStyle w:val="FootnoteText"/>
        <w:rPr>
          <w:lang w:val="hu-HU"/>
        </w:rPr>
      </w:pPr>
      <w:r>
        <w:rPr>
          <w:rStyle w:val="FootnoteReference"/>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4">
    <w:p w14:paraId="158DF35C" w14:textId="5D39030A" w:rsidR="008F6FA6" w:rsidRPr="0050673C" w:rsidRDefault="008F6FA6">
      <w:pPr>
        <w:pStyle w:val="FootnoteText"/>
        <w:rPr>
          <w:lang w:val="hu-HU"/>
        </w:rPr>
      </w:pPr>
      <w:r>
        <w:rPr>
          <w:rStyle w:val="FootnoteReference"/>
        </w:rPr>
        <w:footnoteRef/>
      </w:r>
      <w:r>
        <w:t xml:space="preserve"> </w:t>
      </w:r>
      <w:proofErr w:type="spellStart"/>
      <w:r>
        <w:rPr>
          <w:lang w:val="hu-HU"/>
        </w:rPr>
        <w:t>likely</w:t>
      </w:r>
      <w:proofErr w:type="spellEnd"/>
      <w:r>
        <w:rPr>
          <w:lang w:val="hu-HU"/>
        </w:rPr>
        <w:t xml:space="preserve"> </w:t>
      </w:r>
      <w:proofErr w:type="spellStart"/>
      <w:r>
        <w:rPr>
          <w:lang w:val="hu-HU"/>
        </w:rPr>
        <w:t>range</w:t>
      </w:r>
      <w:proofErr w:type="spellEnd"/>
      <w:r>
        <w:rPr>
          <w:lang w:val="hu-HU"/>
        </w:rPr>
        <w:t xml:space="preserve"> of </w:t>
      </w:r>
      <w:proofErr w:type="spellStart"/>
      <w:r>
        <w:rPr>
          <w:lang w:val="hu-HU"/>
        </w:rPr>
        <w:t>variability</w:t>
      </w:r>
      <w:proofErr w:type="spellEnd"/>
      <w:r>
        <w:rPr>
          <w:lang w:val="hu-HU"/>
        </w:rPr>
        <w:t xml:space="preserve"> of default </w:t>
      </w:r>
      <w:proofErr w:type="spellStart"/>
      <w:r>
        <w:rPr>
          <w:lang w:val="hu-HU"/>
        </w:rPr>
        <w:t>rates</w:t>
      </w:r>
      <w:proofErr w:type="spellEnd"/>
    </w:p>
  </w:footnote>
  <w:footnote w:id="35">
    <w:p w14:paraId="200A4C87" w14:textId="50294698" w:rsidR="008F6FA6" w:rsidRPr="000F0CB0" w:rsidRDefault="008F6FA6">
      <w:pPr>
        <w:pStyle w:val="FootnoteText"/>
        <w:rPr>
          <w:lang w:val="hu-HU"/>
        </w:rPr>
      </w:pPr>
      <w:r>
        <w:rPr>
          <w:rStyle w:val="FootnoteReference"/>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6">
    <w:p w14:paraId="36631865" w14:textId="594D2358" w:rsidR="008F6FA6" w:rsidRPr="004F0500" w:rsidRDefault="008F6FA6">
      <w:pPr>
        <w:pStyle w:val="FootnoteText"/>
        <w:rPr>
          <w:lang w:val="hu-HU"/>
        </w:rPr>
      </w:pPr>
      <w:r>
        <w:rPr>
          <w:rStyle w:val="FootnoteReference"/>
        </w:rPr>
        <w:footnoteRef/>
      </w:r>
      <w:r>
        <w:t xml:space="preserve"> </w:t>
      </w:r>
      <w:r w:rsidRPr="00D164B7">
        <w:t>https://www.bis.org/bcbs/publ/d362.pdf</w:t>
      </w:r>
    </w:p>
  </w:footnote>
  <w:footnote w:id="37">
    <w:p w14:paraId="79117305" w14:textId="77777777" w:rsidR="008F6FA6" w:rsidRPr="00C800F3" w:rsidRDefault="008F6FA6" w:rsidP="00A70964">
      <w:pPr>
        <w:pStyle w:val="FootnoteText"/>
        <w:rPr>
          <w:lang w:val="hu-HU"/>
        </w:rPr>
      </w:pPr>
      <w:r>
        <w:rPr>
          <w:rStyle w:val="FootnoteReference"/>
        </w:rPr>
        <w:footnoteRef/>
      </w:r>
      <w:r>
        <w:t xml:space="preserve"> </w:t>
      </w:r>
      <w:r w:rsidRPr="00CA31B5">
        <w:t>https://www.bis.org/bcbs/publ/d424.pdf</w:t>
      </w:r>
    </w:p>
  </w:footnote>
  <w:footnote w:id="38">
    <w:p w14:paraId="2434DE6D" w14:textId="4CDD567A" w:rsidR="008F6FA6" w:rsidRPr="00F74630" w:rsidRDefault="008F6FA6">
      <w:pPr>
        <w:pStyle w:val="FootnoteText"/>
        <w:rPr>
          <w:lang w:val="hu-HU"/>
        </w:rPr>
      </w:pPr>
      <w:r>
        <w:rPr>
          <w:rStyle w:val="FootnoteReference"/>
        </w:rPr>
        <w:footnoteRef/>
      </w:r>
      <w:r>
        <w:t xml:space="preserve"> </w:t>
      </w:r>
      <w:r>
        <w:rPr>
          <w:lang w:val="hu-HU"/>
        </w:rPr>
        <w:t xml:space="preserve">Az </w:t>
      </w:r>
      <w:proofErr w:type="spellStart"/>
      <w:r>
        <w:rPr>
          <w:lang w:val="hu-HU"/>
        </w:rPr>
        <w:t>EBA</w:t>
      </w:r>
      <w:proofErr w:type="spellEnd"/>
      <w:r>
        <w:rPr>
          <w:lang w:val="hu-HU"/>
        </w:rPr>
        <w:t xml:space="preserve"> default definícióra vonatkozó </w:t>
      </w:r>
      <w:proofErr w:type="spellStart"/>
      <w:r>
        <w:rPr>
          <w:lang w:val="hu-HU"/>
        </w:rPr>
        <w:t>RTS</w:t>
      </w:r>
      <w:proofErr w:type="spellEnd"/>
      <w:r>
        <w:rPr>
          <w:lang w:val="hu-HU"/>
        </w:rPr>
        <w:t xml:space="preserve">-e és a hozzá kapcsolódó MNB rendelet alkalmazása, valamint a késedelmes hitelkötelezettség lényegességi határértékéről szóló MNB ajánlás várhatóan lecsökkenti a Bankok közti, módszertanból fakadó különbségeket, amennyiben a Bankok képesek lesznek megbízhatóan, hosszú távra visszamenőleg megbecsülni, hogy mekkora lett volna a default rátájuk, ha mindig is az új default definíciót alkalmazták volna. </w:t>
      </w:r>
    </w:p>
  </w:footnote>
  <w:footnote w:id="39">
    <w:p w14:paraId="3B5DF2A4" w14:textId="02754D58" w:rsidR="008F6FA6" w:rsidRPr="00780492" w:rsidRDefault="008F6FA6">
      <w:pPr>
        <w:pStyle w:val="FootnoteText"/>
        <w:rPr>
          <w:lang w:val="hu-HU"/>
        </w:rPr>
      </w:pPr>
      <w:r>
        <w:rPr>
          <w:rStyle w:val="FootnoteReference"/>
        </w:rPr>
        <w:footnoteRef/>
      </w:r>
      <w:r>
        <w:t xml:space="preserve"> </w:t>
      </w:r>
      <w:r w:rsidRPr="000F616B">
        <w:t>https://eba.europa.eu/eba-releases-its-annual-assessment-of-the-consistency-of-internal-model-outcom-1</w:t>
      </w:r>
    </w:p>
  </w:footnote>
  <w:footnote w:id="40">
    <w:p w14:paraId="4B7A9382" w14:textId="57FEF1AC" w:rsidR="008F6FA6" w:rsidRPr="0050673C" w:rsidRDefault="008F6FA6">
      <w:pPr>
        <w:pStyle w:val="FootnoteText"/>
        <w:rPr>
          <w:lang w:val="hu-HU"/>
        </w:rPr>
      </w:pPr>
      <w:r>
        <w:rPr>
          <w:rStyle w:val="FootnoteReference"/>
        </w:rPr>
        <w:footnoteRef/>
      </w:r>
      <w:r>
        <w:t xml:space="preserve"> </w:t>
      </w:r>
      <w:r>
        <w:rPr>
          <w:lang w:val="hu-HU"/>
        </w:rPr>
        <w:t xml:space="preserve"> A fedezeti </w:t>
      </w:r>
      <w:proofErr w:type="spellStart"/>
      <w:r>
        <w:rPr>
          <w:lang w:val="hu-HU"/>
        </w:rPr>
        <w:t>megtérülések</w:t>
      </w:r>
      <w:proofErr w:type="spellEnd"/>
      <w:r>
        <w:rPr>
          <w:lang w:val="hu-HU"/>
        </w:rPr>
        <w:t xml:space="preserve"> gyűjtésére az intézményt a </w:t>
      </w:r>
      <w:r w:rsidRPr="007F6167">
        <w:t>40/2016. (X. 11.) MNB rendelet</w:t>
      </w:r>
      <w:r>
        <w:rPr>
          <w:lang w:val="hu-HU"/>
        </w:rPr>
        <w:t xml:space="preserve"> 16.§ (2) g) is kötelezi</w:t>
      </w:r>
    </w:p>
  </w:footnote>
  <w:footnote w:id="41">
    <w:p w14:paraId="00F76769" w14:textId="6FAFF2DB" w:rsidR="008F6FA6" w:rsidRPr="00185637" w:rsidRDefault="008F6FA6">
      <w:pPr>
        <w:pStyle w:val="FootnoteText"/>
        <w:rPr>
          <w:lang w:val="hu-HU"/>
        </w:rPr>
      </w:pPr>
      <w:r>
        <w:rPr>
          <w:rStyle w:val="FootnoteReference"/>
        </w:rPr>
        <w:footnoteRef/>
      </w:r>
      <w:r>
        <w:t xml:space="preserve"> </w:t>
      </w:r>
      <w:r>
        <w:rPr>
          <w:lang w:val="hu-HU"/>
        </w:rPr>
        <w:t xml:space="preserve">Az </w:t>
      </w:r>
      <w:proofErr w:type="spellStart"/>
      <w:r>
        <w:rPr>
          <w:lang w:val="hu-HU"/>
        </w:rPr>
        <w:t>EBA</w:t>
      </w:r>
      <w:proofErr w:type="spellEnd"/>
      <w:r>
        <w:rPr>
          <w:lang w:val="hu-HU"/>
        </w:rPr>
        <w:t xml:space="preserve"> jelenleg tervezi a downturn koncepció kidolgozását. Az uniós szabályozás megjelenéséig az MNB az ICAAP kézikönyvben és a Validációs kézikönyvben előírtakat tekinti irányadónak. </w:t>
      </w:r>
    </w:p>
  </w:footnote>
  <w:footnote w:id="42">
    <w:p w14:paraId="66B15ADB" w14:textId="6A8A3F3B" w:rsidR="008F6FA6" w:rsidRPr="00635DA9" w:rsidRDefault="008F6FA6" w:rsidP="00D10772">
      <w:pPr>
        <w:pStyle w:val="FootnoteText"/>
      </w:pPr>
      <w:r w:rsidRPr="00635DA9">
        <w:rPr>
          <w:rStyle w:val="FootnoteReference"/>
        </w:rPr>
        <w:footnoteRef/>
      </w:r>
      <w:r w:rsidRPr="00635DA9">
        <w:t xml:space="preserve"> A tőke</w:t>
      </w:r>
      <w:r>
        <w:rPr>
          <w:lang w:val="hu-HU"/>
        </w:rPr>
        <w:t>követelmény-</w:t>
      </w:r>
      <w:r w:rsidRPr="00635DA9">
        <w:t xml:space="preserve">számítás során az </w:t>
      </w:r>
      <w:proofErr w:type="spellStart"/>
      <w:r w:rsidRPr="00635DA9">
        <w:t>LGD</w:t>
      </w:r>
      <w:proofErr w:type="spellEnd"/>
      <w:r w:rsidRPr="00635DA9">
        <w:t xml:space="preserve">-t érintő korrekció hiányával összhangban indokolt lehet a bemeneti PD-k arányos csökkentése.    </w:t>
      </w:r>
    </w:p>
  </w:footnote>
  <w:footnote w:id="43">
    <w:p w14:paraId="66B15ADC" w14:textId="77777777" w:rsidR="008F6FA6" w:rsidRPr="00635DA9" w:rsidRDefault="008F6FA6" w:rsidP="00B93A43">
      <w:pPr>
        <w:pStyle w:val="FootnoteText"/>
      </w:pPr>
      <w:r w:rsidRPr="00635DA9">
        <w:rPr>
          <w:rStyle w:val="FootnoteReference"/>
        </w:rPr>
        <w:footnoteRef/>
      </w:r>
      <w:r w:rsidRPr="00635DA9">
        <w:t xml:space="preserve"> Lásd a 2013. évi CCXXXVII. törvény (Hpt.) 84. §-</w:t>
      </w:r>
      <w:proofErr w:type="spellStart"/>
      <w:r w:rsidRPr="00635DA9">
        <w:t>ának</w:t>
      </w:r>
      <w:proofErr w:type="spellEnd"/>
      <w:r w:rsidRPr="00635DA9">
        <w:t xml:space="preserve"> és 250/2000. (XII.24.) Kormányrendelet VI. fejezetének vonatkozó rendelkezéseit.  </w:t>
      </w:r>
    </w:p>
  </w:footnote>
  <w:footnote w:id="44">
    <w:p w14:paraId="109B166F" w14:textId="07B0AA49" w:rsidR="008F6FA6" w:rsidRPr="007E4E5B" w:rsidRDefault="008F6FA6">
      <w:pPr>
        <w:pStyle w:val="FootnoteText"/>
        <w:rPr>
          <w:lang w:val="hu-HU"/>
        </w:rPr>
      </w:pPr>
      <w:r>
        <w:rPr>
          <w:rStyle w:val="FootnoteReference"/>
        </w:rPr>
        <w:footnoteRef/>
      </w:r>
      <w:r>
        <w:t xml:space="preserve"> </w:t>
      </w:r>
      <w:r>
        <w:rPr>
          <w:lang w:val="hu-HU"/>
        </w:rPr>
        <w:t xml:space="preserve">CRR-ben meghatározott alap IRB módszerre vonatkozó </w:t>
      </w:r>
      <w:proofErr w:type="spellStart"/>
      <w:r>
        <w:rPr>
          <w:lang w:val="hu-HU"/>
        </w:rPr>
        <w:t>LGD</w:t>
      </w:r>
      <w:proofErr w:type="spellEnd"/>
      <w:r>
        <w:rPr>
          <w:lang w:val="hu-HU"/>
        </w:rPr>
        <w:t xml:space="preserve"> értékek</w:t>
      </w:r>
    </w:p>
  </w:footnote>
  <w:footnote w:id="45">
    <w:p w14:paraId="59A99943" w14:textId="77777777" w:rsidR="008F6FA6" w:rsidRPr="0050673C" w:rsidRDefault="008F6FA6" w:rsidP="00DF266C">
      <w:pPr>
        <w:pStyle w:val="FootnoteText"/>
        <w:rPr>
          <w:lang w:val="hu-HU"/>
        </w:rPr>
      </w:pPr>
      <w:r>
        <w:rPr>
          <w:rStyle w:val="FootnoteReference"/>
        </w:rPr>
        <w:footnoteRef/>
      </w:r>
      <w:r>
        <w:t xml:space="preserve"> </w:t>
      </w:r>
      <w:r>
        <w:rPr>
          <w:lang w:val="hu-HU"/>
        </w:rPr>
        <w:t xml:space="preserve">A CRR rendelkezéseinek értelmezését segíti Seregdi László: A szavatoló tőke szerepe a hitelintézetek </w:t>
      </w:r>
      <w:proofErr w:type="spellStart"/>
      <w:r>
        <w:rPr>
          <w:lang w:val="hu-HU"/>
        </w:rPr>
        <w:t>prudenciális</w:t>
      </w:r>
      <w:proofErr w:type="spellEnd"/>
      <w:r>
        <w:rPr>
          <w:lang w:val="hu-HU"/>
        </w:rPr>
        <w:t xml:space="preserve"> szabályozásában című </w:t>
      </w:r>
      <w:proofErr w:type="spellStart"/>
      <w:r>
        <w:rPr>
          <w:lang w:val="hu-HU"/>
        </w:rPr>
        <w:t>anyaga</w:t>
      </w:r>
      <w:proofErr w:type="spellEnd"/>
      <w:r>
        <w:rPr>
          <w:lang w:val="hu-HU"/>
        </w:rPr>
        <w:t>.</w:t>
      </w:r>
    </w:p>
  </w:footnote>
  <w:footnote w:id="46">
    <w:p w14:paraId="1B51067F" w14:textId="795F88C6" w:rsidR="008F6FA6" w:rsidRPr="00185637" w:rsidRDefault="008F6FA6" w:rsidP="00BD54BA">
      <w:pPr>
        <w:pStyle w:val="FootnoteText"/>
        <w:rPr>
          <w:lang w:val="hu-HU"/>
        </w:rPr>
      </w:pPr>
      <w:r>
        <w:rPr>
          <w:rStyle w:val="FootnoteReference"/>
        </w:rPr>
        <w:footnoteRef/>
      </w:r>
      <w:r>
        <w:t xml:space="preserve"> </w:t>
      </w:r>
      <w:bookmarkStart w:id="736"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36"/>
    </w:p>
  </w:footnote>
  <w:footnote w:id="47">
    <w:p w14:paraId="3FBAE751" w14:textId="3854E9F2" w:rsidR="008F6FA6" w:rsidRPr="000F0CB0" w:rsidRDefault="008F6FA6">
      <w:pPr>
        <w:pStyle w:val="FootnoteText"/>
        <w:rPr>
          <w:lang w:val="hu-HU"/>
        </w:rPr>
      </w:pPr>
      <w:r>
        <w:rPr>
          <w:rStyle w:val="FootnoteReference"/>
        </w:rPr>
        <w:footnoteRef/>
      </w:r>
      <w:r>
        <w:t xml:space="preserve"> </w:t>
      </w:r>
      <w:r w:rsidRPr="006E0409">
        <w:t xml:space="preserve">Projektek esetén </w:t>
      </w:r>
      <w:proofErr w:type="spellStart"/>
      <w:r w:rsidRPr="006E0409">
        <w:t>használhatóak</w:t>
      </w:r>
      <w:proofErr w:type="spellEnd"/>
      <w:r w:rsidRPr="006E0409">
        <w:t xml:space="preserve"> a projekt tárgya (jellege), épülő vagy kész projekt, a szponzorok minősége, tapasztalata, a felvállalt devizális kockázatok, a projekt által teljesített vagy becsült cash-flow-k érzékenysége (pl. kamatokra, </w:t>
      </w:r>
      <w:proofErr w:type="spellStart"/>
      <w:r w:rsidRPr="006E0409">
        <w:t>opexre</w:t>
      </w:r>
      <w:proofErr w:type="spellEnd"/>
      <w:r w:rsidRPr="006E0409">
        <w:t xml:space="preserve">, árfolyamra, </w:t>
      </w:r>
      <w:proofErr w:type="spellStart"/>
      <w:r w:rsidRPr="006E0409">
        <w:t>stb</w:t>
      </w:r>
      <w:proofErr w:type="spellEnd"/>
      <w:r w:rsidRPr="006E0409">
        <w:t>). Ezek sokkal stabilabb változók, igaz 100%-ban nem mondhat</w:t>
      </w:r>
      <w:r>
        <w:rPr>
          <w:lang w:val="hu-HU"/>
        </w:rPr>
        <w:t>ó</w:t>
      </w:r>
      <w:r w:rsidRPr="006E0409">
        <w:t xml:space="preserve"> rájuk, hogy nem ciklikusak.</w:t>
      </w:r>
    </w:p>
  </w:footnote>
  <w:footnote w:id="48">
    <w:p w14:paraId="0E72FAED" w14:textId="77777777" w:rsidR="008F6FA6" w:rsidRPr="00185637" w:rsidRDefault="008F6FA6">
      <w:pPr>
        <w:pStyle w:val="FootnoteText"/>
        <w:rPr>
          <w:lang w:val="hu-HU"/>
        </w:rPr>
      </w:pPr>
      <w:r>
        <w:rPr>
          <w:rStyle w:val="FootnoteReference"/>
        </w:rPr>
        <w:footnoteRef/>
      </w:r>
      <w:r>
        <w:t xml:space="preserve"> </w:t>
      </w:r>
      <w:r>
        <w:rPr>
          <w:lang w:val="hu-HU"/>
        </w:rPr>
        <w:t xml:space="preserve">A témával kapcsolatosan lásd a következő Hitelintézeti szemle cikket: </w:t>
      </w:r>
      <w:hyperlink r:id="rId2" w:history="1">
        <w:r w:rsidRPr="00071979">
          <w:rPr>
            <w:rStyle w:val="Hyperlink"/>
            <w:lang w:val="hu-HU"/>
          </w:rPr>
          <w:t>http://www.hitelintezetiszemle.hu/letoltes/szenes-mark-tomsics-andras-kutasi-david.pdf</w:t>
        </w:r>
      </w:hyperlink>
      <w:r>
        <w:rPr>
          <w:lang w:val="hu-HU"/>
        </w:rPr>
        <w:t xml:space="preserve"> </w:t>
      </w:r>
    </w:p>
  </w:footnote>
  <w:footnote w:id="49">
    <w:p w14:paraId="235A5B8B" w14:textId="7D7425BD" w:rsidR="008F6FA6" w:rsidRPr="00185637" w:rsidRDefault="008F6FA6">
      <w:pPr>
        <w:pStyle w:val="FootnoteText"/>
        <w:rPr>
          <w:lang w:val="hu-HU"/>
        </w:rPr>
      </w:pPr>
      <w:r>
        <w:rPr>
          <w:rStyle w:val="FootnoteReference"/>
        </w:rPr>
        <w:footnoteRef/>
      </w:r>
      <w:r>
        <w:t xml:space="preserve"> </w:t>
      </w:r>
      <w:hyperlink r:id="rId3" w:history="1">
        <w:r w:rsidRPr="00086A86">
          <w:rPr>
            <w:rStyle w:val="Hyperlink"/>
          </w:rPr>
          <w:t>http://www.eba.europa.eu/single-rule-book-qa/-/qna/view/publicId/2013_666</w:t>
        </w:r>
      </w:hyperlink>
    </w:p>
  </w:footnote>
  <w:footnote w:id="50">
    <w:p w14:paraId="6F518D1D" w14:textId="5BA1C206" w:rsidR="008F6FA6" w:rsidRPr="00185637" w:rsidRDefault="008F6FA6">
      <w:pPr>
        <w:pStyle w:val="FootnoteText"/>
        <w:rPr>
          <w:lang w:val="hu-HU"/>
        </w:rPr>
      </w:pPr>
      <w:r>
        <w:rPr>
          <w:rStyle w:val="FootnoteReference"/>
        </w:rPr>
        <w:footnoteRef/>
      </w:r>
      <w:r>
        <w:t xml:space="preserve"> </w:t>
      </w:r>
      <w:hyperlink r:id="rId4" w:history="1">
        <w:r w:rsidRPr="00086A86">
          <w:rPr>
            <w:rStyle w:val="Hyperlink"/>
          </w:rPr>
          <w:t>http://www.eba.europa.eu/single-rule-book-qa/-/qna/view/publicId/2015_2195</w:t>
        </w:r>
      </w:hyperlink>
    </w:p>
  </w:footnote>
  <w:footnote w:id="51">
    <w:p w14:paraId="4DAADFF9" w14:textId="6FD8731F" w:rsidR="008F6FA6" w:rsidRPr="00185637" w:rsidRDefault="008F6FA6">
      <w:pPr>
        <w:pStyle w:val="FootnoteText"/>
        <w:rPr>
          <w:lang w:val="hu-HU"/>
        </w:rPr>
      </w:pPr>
      <w:r>
        <w:rPr>
          <w:rStyle w:val="FootnoteReference"/>
        </w:rPr>
        <w:footnoteRef/>
      </w:r>
      <w:r>
        <w:t xml:space="preserve"> </w:t>
      </w:r>
      <w:hyperlink r:id="rId5" w:history="1">
        <w:r w:rsidRPr="00086A86">
          <w:rPr>
            <w:rStyle w:val="Hyperlink"/>
          </w:rPr>
          <w:t>http://www.eba.europa.eu/single-rule-book-qa/-/qna/view/publicId/2014_907</w:t>
        </w:r>
      </w:hyperlink>
    </w:p>
  </w:footnote>
  <w:footnote w:id="52">
    <w:p w14:paraId="0AFC9A78" w14:textId="73839B99" w:rsidR="008F6FA6" w:rsidRPr="00185637" w:rsidRDefault="008F6FA6">
      <w:pPr>
        <w:pStyle w:val="FootnoteText"/>
        <w:rPr>
          <w:lang w:val="hu-HU"/>
        </w:rPr>
      </w:pPr>
      <w:r>
        <w:rPr>
          <w:rStyle w:val="FootnoteReference"/>
        </w:rPr>
        <w:footnoteRef/>
      </w:r>
      <w:r>
        <w:t xml:space="preserve"> </w:t>
      </w:r>
      <w:hyperlink r:id="rId6" w:history="1">
        <w:r w:rsidRPr="004A28F8">
          <w:rPr>
            <w:rStyle w:val="Hyperlink"/>
          </w:rPr>
          <w:t>http://www.bis.org/publ/bcbs254.htm</w:t>
        </w:r>
      </w:hyperlink>
    </w:p>
  </w:footnote>
  <w:footnote w:id="53">
    <w:p w14:paraId="40EBF8B6" w14:textId="637245E9" w:rsidR="008F6FA6" w:rsidRPr="0050673C" w:rsidRDefault="008F6FA6">
      <w:pPr>
        <w:pStyle w:val="FootnoteText"/>
        <w:rPr>
          <w:lang w:val="hu-HU"/>
        </w:rPr>
      </w:pPr>
      <w:r>
        <w:rPr>
          <w:rStyle w:val="FootnoteReference"/>
        </w:rPr>
        <w:footnoteRef/>
      </w:r>
      <w:r>
        <w:t xml:space="preserve"> </w:t>
      </w:r>
      <w:r>
        <w:rPr>
          <w:lang w:val="hu-HU"/>
        </w:rPr>
        <w:t xml:space="preserve">A CRR jelenleg érvényben lévő előírásai szerint a </w:t>
      </w:r>
      <w:proofErr w:type="spellStart"/>
      <w:r>
        <w:rPr>
          <w:lang w:val="hu-HU"/>
        </w:rPr>
        <w:t>CVA</w:t>
      </w:r>
      <w:proofErr w:type="spellEnd"/>
      <w:r>
        <w:rPr>
          <w:lang w:val="hu-HU"/>
        </w:rPr>
        <w:t xml:space="preserve"> kitettség számításakor az ügyfél </w:t>
      </w:r>
      <w:proofErr w:type="spellStart"/>
      <w:r>
        <w:rPr>
          <w:lang w:val="hu-HU"/>
        </w:rPr>
        <w:t>tipusok</w:t>
      </w:r>
      <w:proofErr w:type="spellEnd"/>
      <w:r>
        <w:rPr>
          <w:lang w:val="hu-HU"/>
        </w:rPr>
        <w:t xml:space="preserve"> tekintetében szűkített, (kivételeket tartalmazó) hatály alkalmazandó.</w:t>
      </w:r>
    </w:p>
  </w:footnote>
  <w:footnote w:id="54">
    <w:p w14:paraId="66B15AE0" w14:textId="77777777" w:rsidR="008F6FA6" w:rsidRPr="00173EDD" w:rsidRDefault="008F6FA6" w:rsidP="004F0500">
      <w:pPr>
        <w:autoSpaceDE w:val="0"/>
        <w:autoSpaceDN w:val="0"/>
        <w:adjustRightInd w:val="0"/>
        <w:spacing w:after="0"/>
        <w:rPr>
          <w:sz w:val="16"/>
          <w:szCs w:val="16"/>
        </w:rPr>
      </w:pPr>
      <w:r w:rsidRPr="00173EDD">
        <w:rPr>
          <w:rStyle w:val="FootnoteReference"/>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5">
    <w:p w14:paraId="6C10FFD5" w14:textId="77777777" w:rsidR="008F6FA6" w:rsidRPr="0050673C" w:rsidRDefault="008F6FA6">
      <w:pPr>
        <w:pStyle w:val="FootnoteText"/>
        <w:rPr>
          <w:lang w:val="hu-HU"/>
        </w:rPr>
      </w:pPr>
      <w:r>
        <w:rPr>
          <w:rStyle w:val="FootnoteReference"/>
        </w:rPr>
        <w:footnoteRef/>
      </w:r>
      <w:r>
        <w:t xml:space="preserve"> </w:t>
      </w:r>
      <w:r>
        <w:rPr>
          <w:lang w:val="hu-HU"/>
        </w:rPr>
        <w:t>Összhangban a CRR 181. cikk (1) bekezdés c) pontjával.</w:t>
      </w:r>
    </w:p>
  </w:footnote>
  <w:footnote w:id="56">
    <w:p w14:paraId="63336EE2" w14:textId="0B20517F" w:rsidR="008F6FA6" w:rsidRPr="00BE6D5A" w:rsidRDefault="008F6FA6">
      <w:pPr>
        <w:pStyle w:val="FootnoteText"/>
        <w:rPr>
          <w:lang w:val="hu-HU"/>
        </w:rPr>
      </w:pPr>
      <w:r>
        <w:rPr>
          <w:rStyle w:val="FootnoteReference"/>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7">
    <w:p w14:paraId="014E28D2" w14:textId="463CC709" w:rsidR="008F6FA6" w:rsidRPr="00BE6D5A" w:rsidRDefault="008F6FA6">
      <w:pPr>
        <w:pStyle w:val="FootnoteText"/>
        <w:rPr>
          <w:lang w:val="hu-HU"/>
        </w:rPr>
      </w:pPr>
      <w:r>
        <w:rPr>
          <w:rStyle w:val="FootnoteReference"/>
        </w:rPr>
        <w:footnoteRef/>
      </w:r>
      <w:r>
        <w:t xml:space="preserve"> </w:t>
      </w:r>
      <w:proofErr w:type="spellStart"/>
      <w:r>
        <w:rPr>
          <w:lang w:val="hu-HU"/>
        </w:rPr>
        <w:t>SD</w:t>
      </w:r>
      <w:proofErr w:type="spellEnd"/>
      <w:r>
        <w:rPr>
          <w:lang w:val="hu-HU"/>
        </w:rPr>
        <w:t xml:space="preserve"> = </w:t>
      </w:r>
      <w:proofErr w:type="spellStart"/>
      <w:r>
        <w:rPr>
          <w:lang w:val="hu-HU"/>
        </w:rPr>
        <w:t>Settlement</w:t>
      </w:r>
      <w:proofErr w:type="spellEnd"/>
      <w:r>
        <w:rPr>
          <w:lang w:val="hu-HU"/>
        </w:rPr>
        <w:t xml:space="preserve"> </w:t>
      </w:r>
      <w:proofErr w:type="spellStart"/>
      <w:r>
        <w:rPr>
          <w:lang w:val="hu-HU"/>
        </w:rPr>
        <w:t>Date</w:t>
      </w:r>
      <w:proofErr w:type="spellEnd"/>
      <w:r>
        <w:rPr>
          <w:lang w:val="hu-HU"/>
        </w:rPr>
        <w:t>, a teljesítés napja</w:t>
      </w:r>
    </w:p>
  </w:footnote>
  <w:footnote w:id="58">
    <w:p w14:paraId="66B15AE2" w14:textId="70A34A57" w:rsidR="008F6FA6" w:rsidRPr="00BE4137" w:rsidRDefault="008F6FA6" w:rsidP="003F7941">
      <w:pPr>
        <w:pStyle w:val="FootnoteText"/>
      </w:pPr>
      <w:r w:rsidRPr="00DA4686">
        <w:rPr>
          <w:rStyle w:val="FootnoteReference"/>
        </w:rPr>
        <w:footnoteRef/>
      </w:r>
      <w:r w:rsidRPr="00BE4137">
        <w:t xml:space="preserve"> Az elszámolásokhoz kapcsolódóan piaci szereplők különböző mértékű kockázatot vállalnak attól függően, hogy az adott ügylet elszámolása garantált-e (</w:t>
      </w:r>
      <w:proofErr w:type="spellStart"/>
      <w:r w:rsidRPr="00BE4137">
        <w:t>CCP</w:t>
      </w:r>
      <w:proofErr w:type="spellEnd"/>
      <w:r w:rsidRPr="00BE4137">
        <w:t xml:space="preserve"> részvételével zajlik)</w:t>
      </w:r>
      <w:r>
        <w:rPr>
          <w:lang w:val="hu-HU"/>
        </w:rPr>
        <w:t>.</w:t>
      </w:r>
      <w:r w:rsidRPr="00BE4137">
        <w:t xml:space="preserve"> </w:t>
      </w:r>
    </w:p>
  </w:footnote>
  <w:footnote w:id="59">
    <w:p w14:paraId="5EC6009A" w14:textId="77777777" w:rsidR="008F6FA6" w:rsidRPr="00B620E2" w:rsidRDefault="008F6FA6" w:rsidP="003A7131">
      <w:pPr>
        <w:pStyle w:val="FootnoteText"/>
      </w:pPr>
      <w:r w:rsidRPr="00B620E2">
        <w:rPr>
          <w:rStyle w:val="FootnoteReference"/>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0">
    <w:p w14:paraId="6D11F99F" w14:textId="77777777" w:rsidR="008F6FA6" w:rsidRPr="00D04451" w:rsidRDefault="008F6FA6" w:rsidP="003A7131">
      <w:pPr>
        <w:pStyle w:val="FootnoteText"/>
        <w:rPr>
          <w:lang w:val="hu-HU"/>
        </w:rPr>
      </w:pPr>
      <w:r>
        <w:rPr>
          <w:rStyle w:val="FootnoteReference"/>
        </w:rPr>
        <w:footnoteRef/>
      </w:r>
      <w:r>
        <w:t xml:space="preserve"> </w:t>
      </w:r>
      <w:r>
        <w:rPr>
          <w:lang w:val="hu-HU"/>
        </w:rPr>
        <w:t xml:space="preserve">A forint 2015. novemberben csatlakozott a </w:t>
      </w:r>
      <w:proofErr w:type="spellStart"/>
      <w:r>
        <w:rPr>
          <w:lang w:val="hu-HU"/>
        </w:rPr>
        <w:t>CLS</w:t>
      </w:r>
      <w:proofErr w:type="spellEnd"/>
      <w:r>
        <w:rPr>
          <w:lang w:val="hu-HU"/>
        </w:rPr>
        <w:t xml:space="preserve"> rendszeréhez. A </w:t>
      </w:r>
      <w:proofErr w:type="spellStart"/>
      <w:r>
        <w:rPr>
          <w:lang w:val="hu-HU"/>
        </w:rPr>
        <w:t>CLS</w:t>
      </w:r>
      <w:proofErr w:type="spellEnd"/>
      <w:r>
        <w:rPr>
          <w:lang w:val="hu-HU"/>
        </w:rPr>
        <w:t xml:space="preserve"> (</w:t>
      </w:r>
      <w:proofErr w:type="spellStart"/>
      <w:r>
        <w:rPr>
          <w:lang w:val="hu-HU"/>
        </w:rPr>
        <w:t>Continuous</w:t>
      </w:r>
      <w:proofErr w:type="spellEnd"/>
      <w:r>
        <w:rPr>
          <w:lang w:val="hu-HU"/>
        </w:rPr>
        <w:t xml:space="preserve"> Linked </w:t>
      </w:r>
      <w:proofErr w:type="spellStart"/>
      <w:r>
        <w:rPr>
          <w:lang w:val="hu-HU"/>
        </w:rPr>
        <w:t>Settlement</w:t>
      </w:r>
      <w:proofErr w:type="spellEnd"/>
      <w:r>
        <w:rPr>
          <w:lang w:val="hu-HU"/>
        </w:rPr>
        <w:t xml:space="preserve">) rendszer a fizetés </w:t>
      </w:r>
      <w:proofErr w:type="spellStart"/>
      <w:r>
        <w:rPr>
          <w:lang w:val="hu-HU"/>
        </w:rPr>
        <w:t>fizetés</w:t>
      </w:r>
      <w:proofErr w:type="spellEnd"/>
      <w:r>
        <w:rPr>
          <w:lang w:val="hu-HU"/>
        </w:rPr>
        <w:t xml:space="preserve"> ellenében (</w:t>
      </w:r>
      <w:proofErr w:type="spellStart"/>
      <w:r>
        <w:rPr>
          <w:lang w:val="hu-HU"/>
        </w:rPr>
        <w:t>Payment</w:t>
      </w:r>
      <w:proofErr w:type="spellEnd"/>
      <w:r>
        <w:rPr>
          <w:lang w:val="hu-HU"/>
        </w:rPr>
        <w:t xml:space="preserve"> </w:t>
      </w:r>
      <w:proofErr w:type="spellStart"/>
      <w:r>
        <w:rPr>
          <w:lang w:val="hu-HU"/>
        </w:rPr>
        <w:t>versus</w:t>
      </w:r>
      <w:proofErr w:type="spellEnd"/>
      <w:r>
        <w:rPr>
          <w:lang w:val="hu-HU"/>
        </w:rPr>
        <w:t xml:space="preserve"> </w:t>
      </w:r>
      <w:proofErr w:type="spellStart"/>
      <w:r>
        <w:rPr>
          <w:lang w:val="hu-HU"/>
        </w:rPr>
        <w:t>Payment</w:t>
      </w:r>
      <w:proofErr w:type="spellEnd"/>
      <w:r>
        <w:rPr>
          <w:lang w:val="hu-HU"/>
        </w:rPr>
        <w:t xml:space="preserve"> – </w:t>
      </w:r>
      <w:proofErr w:type="spellStart"/>
      <w:r>
        <w:rPr>
          <w:lang w:val="hu-HU"/>
        </w:rPr>
        <w:t>PvP</w:t>
      </w:r>
      <w:proofErr w:type="spellEnd"/>
      <w:r>
        <w:rPr>
          <w:lang w:val="hu-HU"/>
        </w:rPr>
        <w:t xml:space="preserve">) megközelítés alapján működve kezeli az elszámolási kockázat. A rendszert a </w:t>
      </w:r>
      <w:proofErr w:type="spellStart"/>
      <w:r>
        <w:rPr>
          <w:lang w:val="hu-HU"/>
        </w:rPr>
        <w:t>CLS</w:t>
      </w:r>
      <w:proofErr w:type="spellEnd"/>
      <w:r>
        <w:rPr>
          <w:lang w:val="hu-HU"/>
        </w:rPr>
        <w:t xml:space="preserve"> Bank üzemelteti, ami azonban nem számít központi szerződő félnek, ugyanis nem veszi át a tranzakciós partnerek jogait és kötelezettségeit.</w:t>
      </w:r>
    </w:p>
  </w:footnote>
  <w:footnote w:id="61">
    <w:p w14:paraId="66B15AE7" w14:textId="44AD5D6E" w:rsidR="008F6FA6" w:rsidRPr="0050673C" w:rsidRDefault="008F6FA6" w:rsidP="00D04A5F">
      <w:pPr>
        <w:pStyle w:val="FootnoteText"/>
        <w:rPr>
          <w:lang w:val="hu-HU"/>
        </w:rPr>
      </w:pPr>
      <w:r>
        <w:rPr>
          <w:rStyle w:val="FootnoteReference"/>
        </w:rPr>
        <w:footnoteRef/>
      </w:r>
      <w:r>
        <w:t xml:space="preserve"> Az </w:t>
      </w:r>
      <w:proofErr w:type="spellStart"/>
      <w:r>
        <w:t>értékpapírosítás</w:t>
      </w:r>
      <w:proofErr w:type="spellEnd"/>
      <w:r>
        <w:t xml:space="preserve"> témakörével a CRR 5. fejezete,</w:t>
      </w:r>
      <w:r>
        <w:rPr>
          <w:lang w:val="hu-HU"/>
        </w:rPr>
        <w:t xml:space="preserve"> </w:t>
      </w:r>
      <w:r>
        <w:t xml:space="preserve">a kapcsolódó másodszintű jogszabályok, illetve az </w:t>
      </w:r>
      <w:proofErr w:type="spellStart"/>
      <w:r>
        <w:t>EBA</w:t>
      </w:r>
      <w:proofErr w:type="spellEnd"/>
      <w:r>
        <w:t xml:space="preserve"> által kiadott iránymutatások foglalkoznak részletesen, valamint a </w:t>
      </w:r>
      <w:proofErr w:type="spellStart"/>
      <w:r>
        <w:t>CRD</w:t>
      </w:r>
      <w:proofErr w:type="spellEnd"/>
      <w:r>
        <w:t xml:space="preserve"> IV 82. cikke</w:t>
      </w:r>
      <w:r>
        <w:rPr>
          <w:lang w:val="hu-HU"/>
        </w:rPr>
        <w:t xml:space="preserve">, és az </w:t>
      </w:r>
      <w:proofErr w:type="spellStart"/>
      <w:r>
        <w:rPr>
          <w:lang w:val="hu-HU"/>
        </w:rPr>
        <w:t>EBA</w:t>
      </w:r>
      <w:proofErr w:type="spellEnd"/>
      <w:r>
        <w:rPr>
          <w:lang w:val="hu-HU"/>
        </w:rPr>
        <w:t xml:space="preserve"> </w:t>
      </w:r>
      <w:proofErr w:type="spellStart"/>
      <w:r>
        <w:rPr>
          <w:lang w:val="hu-HU"/>
        </w:rPr>
        <w:t>SREP</w:t>
      </w:r>
      <w:proofErr w:type="spellEnd"/>
      <w:r>
        <w:rPr>
          <w:lang w:val="hu-HU"/>
        </w:rPr>
        <w:t xml:space="preserve"> Ajánlás 155-157. bekezdései</w:t>
      </w:r>
    </w:p>
  </w:footnote>
  <w:footnote w:id="62">
    <w:p w14:paraId="60A15287" w14:textId="450D4AA4" w:rsidR="008F6FA6" w:rsidRPr="008847AC" w:rsidRDefault="008F6FA6" w:rsidP="004F0500">
      <w:pPr>
        <w:pStyle w:val="FootnoteText"/>
        <w:jc w:val="left"/>
        <w:rPr>
          <w:lang w:val="hu-HU"/>
        </w:rPr>
      </w:pPr>
      <w:r>
        <w:rPr>
          <w:rStyle w:val="FootnoteReference"/>
        </w:rPr>
        <w:footnoteRef/>
      </w:r>
      <w:r>
        <w:t xml:space="preserve"> </w:t>
      </w:r>
      <w:hyperlink r:id="rId7" w:history="1">
        <w:r w:rsidRPr="007445A2">
          <w:rPr>
            <w:rStyle w:val="Hyperlink"/>
          </w:rPr>
          <w:t>http://eur-lex.europa.eu/legal-content/EN/TXT/?uri=OJ:JOL_2015_263_R_0005</w:t>
        </w:r>
      </w:hyperlink>
      <w:r>
        <w:rPr>
          <w:lang w:val="hu-HU"/>
        </w:rPr>
        <w:t xml:space="preserve">; </w:t>
      </w:r>
      <w:r w:rsidRPr="00D72467">
        <w:t>http://eur-lex.europa.eu/legal-content/EN-HU/TXT/?uri=CELEX:32014R0602&amp;from=EN</w:t>
      </w:r>
    </w:p>
  </w:footnote>
  <w:footnote w:id="63">
    <w:p w14:paraId="66B15AE9" w14:textId="4D996F84" w:rsidR="008F6FA6" w:rsidRPr="00422DAB" w:rsidRDefault="008F6FA6" w:rsidP="0050673C">
      <w:r w:rsidRPr="00422DAB">
        <w:rPr>
          <w:rStyle w:val="FootnoteReference"/>
          <w:sz w:val="16"/>
          <w:szCs w:val="16"/>
        </w:rPr>
        <w:footnoteRef/>
      </w:r>
      <w:r w:rsidRPr="00422DAB">
        <w:rPr>
          <w:sz w:val="16"/>
          <w:szCs w:val="16"/>
        </w:rPr>
        <w:t xml:space="preserve"> </w:t>
      </w:r>
      <w:r w:rsidRPr="00422DAB">
        <w:rPr>
          <w:sz w:val="16"/>
          <w:szCs w:val="16"/>
          <w:lang w:val="x-none" w:eastAsia="x-none"/>
        </w:rPr>
        <w:t xml:space="preserve">A 2010. december 31-én megjelent, a </w:t>
      </w:r>
      <w:proofErr w:type="spellStart"/>
      <w:r w:rsidRPr="00422DAB">
        <w:rPr>
          <w:sz w:val="16"/>
          <w:szCs w:val="16"/>
          <w:lang w:val="x-none" w:eastAsia="x-none"/>
        </w:rPr>
        <w:t>CRD</w:t>
      </w:r>
      <w:proofErr w:type="spellEnd"/>
      <w:r w:rsidRPr="00422DAB">
        <w:rPr>
          <w:sz w:val="16"/>
          <w:szCs w:val="16"/>
          <w:lang w:val="x-none" w:eastAsia="x-none"/>
        </w:rPr>
        <w:t xml:space="preserve"> (2009/111/EK irányelv) 122a. cikkének alkalmazásáról szóló </w:t>
      </w:r>
      <w:proofErr w:type="spellStart"/>
      <w:r w:rsidRPr="00422DAB">
        <w:rPr>
          <w:sz w:val="16"/>
          <w:szCs w:val="16"/>
          <w:lang w:val="x-none" w:eastAsia="x-none"/>
        </w:rPr>
        <w:t>CEBS</w:t>
      </w:r>
      <w:proofErr w:type="spellEnd"/>
      <w:r w:rsidRPr="00422DAB">
        <w:rPr>
          <w:sz w:val="16"/>
          <w:szCs w:val="16"/>
          <w:lang w:val="x-none" w:eastAsia="x-none"/>
        </w:rPr>
        <w:t xml:space="preserve"> iránymutatások</w:t>
      </w:r>
      <w:r>
        <w:rPr>
          <w:sz w:val="16"/>
          <w:szCs w:val="16"/>
          <w:lang w:eastAsia="x-none"/>
        </w:rPr>
        <w:t>,</w:t>
      </w:r>
      <w:r w:rsidRPr="00422DAB">
        <w:rPr>
          <w:sz w:val="16"/>
          <w:szCs w:val="16"/>
          <w:lang w:val="x-none" w:eastAsia="x-none"/>
        </w:rPr>
        <w:t xml:space="preserve"> a 2014. júl. 7-én megjelent, CRR 243. és 244. cikkeiben meghatározott jelentős hitelkockázat átruházásáról szóló </w:t>
      </w:r>
      <w:proofErr w:type="spellStart"/>
      <w:r w:rsidRPr="00422DAB">
        <w:rPr>
          <w:sz w:val="16"/>
          <w:szCs w:val="16"/>
          <w:lang w:val="x-none" w:eastAsia="x-none"/>
        </w:rPr>
        <w:t>EBA</w:t>
      </w:r>
      <w:proofErr w:type="spellEnd"/>
      <w:r w:rsidRPr="00422DAB">
        <w:rPr>
          <w:sz w:val="16"/>
          <w:szCs w:val="16"/>
          <w:lang w:val="x-none" w:eastAsia="x-none"/>
        </w:rPr>
        <w:t xml:space="preserve"> iránymutatások (</w:t>
      </w:r>
      <w:proofErr w:type="spellStart"/>
      <w:r w:rsidRPr="00422DAB">
        <w:rPr>
          <w:sz w:val="16"/>
          <w:szCs w:val="16"/>
          <w:lang w:val="x-none" w:eastAsia="x-none"/>
        </w:rPr>
        <w:t>EBA</w:t>
      </w:r>
      <w:proofErr w:type="spellEnd"/>
      <w:r w:rsidRPr="00422DAB">
        <w:rPr>
          <w:sz w:val="16"/>
          <w:szCs w:val="16"/>
          <w:lang w:val="x-none" w:eastAsia="x-none"/>
        </w:rPr>
        <w:t>/</w:t>
      </w:r>
      <w:proofErr w:type="spellStart"/>
      <w:r w:rsidRPr="00422DAB">
        <w:rPr>
          <w:sz w:val="16"/>
          <w:szCs w:val="16"/>
          <w:lang w:val="x-none" w:eastAsia="x-none"/>
        </w:rPr>
        <w:t>GL</w:t>
      </w:r>
      <w:proofErr w:type="spellEnd"/>
      <w:r w:rsidRPr="00422DAB">
        <w:rPr>
          <w:sz w:val="16"/>
          <w:szCs w:val="16"/>
          <w:lang w:val="x-none" w:eastAsia="x-none"/>
        </w:rPr>
        <w:t xml:space="preserve">/2014/05) </w:t>
      </w:r>
      <w:r>
        <w:rPr>
          <w:sz w:val="16"/>
          <w:szCs w:val="16"/>
          <w:lang w:eastAsia="x-none"/>
        </w:rPr>
        <w:t xml:space="preserve">(melyek </w:t>
      </w:r>
      <w:r w:rsidRPr="00422DAB">
        <w:rPr>
          <w:sz w:val="16"/>
          <w:szCs w:val="16"/>
          <w:lang w:val="x-none" w:eastAsia="x-none"/>
        </w:rPr>
        <w:t xml:space="preserve">követelményeket határoznak meg azon kezdeményező intézmények számára, akik az értékpapírosított kitettségekhez tartozó jelentős mértékű hitelkockázatot harmadik félre kívánják átruházni, illetve </w:t>
      </w:r>
      <w:r>
        <w:rPr>
          <w:sz w:val="16"/>
          <w:szCs w:val="16"/>
          <w:lang w:eastAsia="x-none"/>
        </w:rPr>
        <w:t xml:space="preserve">- </w:t>
      </w:r>
      <w:r w:rsidRPr="00422DAB">
        <w:rPr>
          <w:sz w:val="16"/>
          <w:szCs w:val="16"/>
          <w:lang w:val="x-none" w:eastAsia="x-none"/>
        </w:rPr>
        <w:t>a CRR 243. cikk (4) bekezdése és a 244. cikk (4) bekezdésében meghatározottak szerint</w:t>
      </w:r>
      <w:r>
        <w:rPr>
          <w:sz w:val="16"/>
          <w:szCs w:val="16"/>
          <w:lang w:eastAsia="x-none"/>
        </w:rPr>
        <w:t xml:space="preserve"> - </w:t>
      </w:r>
      <w:r w:rsidRPr="00422DAB">
        <w:rPr>
          <w:sz w:val="16"/>
          <w:szCs w:val="16"/>
          <w:lang w:val="x-none" w:eastAsia="x-none"/>
        </w:rPr>
        <w:t>bizonyítani kívánják, hogy a szavatoló tőke követelmények csökkentését a hitelkockázat harmadik félre történő átruházása indokolja</w:t>
      </w:r>
      <w:r>
        <w:rPr>
          <w:sz w:val="16"/>
          <w:szCs w:val="16"/>
          <w:lang w:eastAsia="x-none"/>
        </w:rPr>
        <w:t xml:space="preserve">), valamint a 2016. november 24-én megjelent, az </w:t>
      </w:r>
      <w:proofErr w:type="spellStart"/>
      <w:r>
        <w:rPr>
          <w:sz w:val="16"/>
          <w:szCs w:val="16"/>
          <w:lang w:eastAsia="x-none"/>
        </w:rPr>
        <w:t>értékpapírosítási</w:t>
      </w:r>
      <w:proofErr w:type="spellEnd"/>
      <w:r>
        <w:rPr>
          <w:sz w:val="16"/>
          <w:szCs w:val="16"/>
          <w:lang w:eastAsia="x-none"/>
        </w:rPr>
        <w:t xml:space="preserve"> ügyletek burkolt támogatásáról szóló </w:t>
      </w:r>
      <w:proofErr w:type="spellStart"/>
      <w:r>
        <w:rPr>
          <w:sz w:val="16"/>
          <w:szCs w:val="16"/>
          <w:lang w:eastAsia="x-none"/>
        </w:rPr>
        <w:t>EBA</w:t>
      </w:r>
      <w:proofErr w:type="spellEnd"/>
      <w:r>
        <w:rPr>
          <w:sz w:val="16"/>
          <w:szCs w:val="16"/>
          <w:lang w:eastAsia="x-none"/>
        </w:rPr>
        <w:t xml:space="preserve"> iránymutatás (</w:t>
      </w:r>
      <w:proofErr w:type="spellStart"/>
      <w:r w:rsidRPr="00A373D2">
        <w:rPr>
          <w:sz w:val="16"/>
          <w:szCs w:val="16"/>
          <w:lang w:eastAsia="x-none"/>
        </w:rPr>
        <w:t>EBA</w:t>
      </w:r>
      <w:proofErr w:type="spellEnd"/>
      <w:r w:rsidRPr="00A373D2">
        <w:rPr>
          <w:sz w:val="16"/>
          <w:szCs w:val="16"/>
          <w:lang w:eastAsia="x-none"/>
        </w:rPr>
        <w:t>/</w:t>
      </w:r>
      <w:proofErr w:type="spellStart"/>
      <w:r w:rsidRPr="00A373D2">
        <w:rPr>
          <w:sz w:val="16"/>
          <w:szCs w:val="16"/>
          <w:lang w:eastAsia="x-none"/>
        </w:rPr>
        <w:t>GL</w:t>
      </w:r>
      <w:proofErr w:type="spellEnd"/>
      <w:r w:rsidRPr="00A373D2">
        <w:rPr>
          <w:sz w:val="16"/>
          <w:szCs w:val="16"/>
          <w:lang w:eastAsia="x-none"/>
        </w:rPr>
        <w:t>/2016/08</w:t>
      </w:r>
      <w:r>
        <w:rPr>
          <w:sz w:val="16"/>
          <w:szCs w:val="16"/>
          <w:lang w:eastAsia="x-none"/>
        </w:rPr>
        <w:t>)</w:t>
      </w:r>
      <w:r w:rsidRPr="00422DAB">
        <w:rPr>
          <w:sz w:val="16"/>
          <w:szCs w:val="16"/>
          <w:lang w:val="x-none" w:eastAsia="x-none"/>
        </w:rPr>
        <w:t>.</w:t>
      </w:r>
    </w:p>
  </w:footnote>
  <w:footnote w:id="64">
    <w:p w14:paraId="1905AA17" w14:textId="77777777" w:rsidR="008F6FA6" w:rsidRDefault="008F6FA6" w:rsidP="008847AC">
      <w:pPr>
        <w:pStyle w:val="FootnoteText"/>
      </w:pPr>
      <w:r>
        <w:rPr>
          <w:rStyle w:val="FootnoteReference"/>
        </w:rPr>
        <w:footnoteRef/>
      </w:r>
      <w:r>
        <w:t xml:space="preserve"> </w:t>
      </w:r>
      <w:r w:rsidRPr="006252DE">
        <w:t>https://www.eba.europa.eu/regulation-and-policy/securitisation-and-covered-bonds/cebs-guidelines-on-the-application-of-article-122a-of-the-crd</w:t>
      </w:r>
    </w:p>
  </w:footnote>
  <w:footnote w:id="65">
    <w:p w14:paraId="484A7F97" w14:textId="77777777" w:rsidR="008F6FA6" w:rsidRDefault="008F6FA6" w:rsidP="00B30147">
      <w:pPr>
        <w:pStyle w:val="FootnoteText"/>
      </w:pPr>
      <w:r>
        <w:rPr>
          <w:rStyle w:val="FootnoteReference"/>
        </w:rPr>
        <w:footnoteRef/>
      </w:r>
      <w:r>
        <w:t xml:space="preserve"> </w:t>
      </w:r>
      <w:hyperlink r:id="rId8" w:history="1">
        <w:r w:rsidRPr="005D787D">
          <w:rPr>
            <w:rStyle w:val="Hyperlink"/>
          </w:rPr>
          <w:t>https://www.eba.europa.eu/documents/10180/1672271/Guidelines+on+implicit+support+for+securitisation+transactions+%28EBA-GL-2016-08%29_HU.pdf/c66b1d41-be92-45d9-b7f5-f119c6c3afbe</w:t>
        </w:r>
      </w:hyperlink>
    </w:p>
    <w:p w14:paraId="6D0D9813" w14:textId="77777777" w:rsidR="008F6FA6" w:rsidRDefault="008F6FA6" w:rsidP="00B30147">
      <w:pPr>
        <w:pStyle w:val="FootnoteText"/>
      </w:pPr>
    </w:p>
  </w:footnote>
  <w:footnote w:id="66">
    <w:p w14:paraId="66B15AEA" w14:textId="77777777" w:rsidR="008F6FA6" w:rsidRDefault="008F6FA6" w:rsidP="003F7941">
      <w:pPr>
        <w:pStyle w:val="FootnoteText"/>
      </w:pPr>
      <w:r w:rsidRPr="00523B0D">
        <w:rPr>
          <w:rStyle w:val="FootnoteReference"/>
        </w:rPr>
        <w:footnoteRef/>
      </w:r>
      <w:r w:rsidRPr="00523B0D">
        <w:t xml:space="preserve"> Ennek megfelelően a koncentrációs kockázat nem teljes egészében a 2. pillérben lefedett kockázatnak tekinthető.</w:t>
      </w:r>
    </w:p>
  </w:footnote>
  <w:footnote w:id="67">
    <w:p w14:paraId="66B15AEB" w14:textId="77777777" w:rsidR="008F6FA6" w:rsidRDefault="008F6FA6" w:rsidP="003F7941">
      <w:pPr>
        <w:pStyle w:val="FootnoteText"/>
      </w:pPr>
      <w:r>
        <w:rPr>
          <w:rStyle w:val="FootnoteReference"/>
        </w:rPr>
        <w:footnoteRef/>
      </w:r>
      <w:r>
        <w:t xml:space="preserve"> </w:t>
      </w:r>
      <w:proofErr w:type="spellStart"/>
      <w:r>
        <w:t>Lsd</w:t>
      </w:r>
      <w:proofErr w:type="spellEnd"/>
      <w:r>
        <w:t>. CRR 4. cikk (1) bekezdés 39.</w:t>
      </w:r>
    </w:p>
  </w:footnote>
  <w:footnote w:id="68">
    <w:p w14:paraId="66B15AEC" w14:textId="77777777" w:rsidR="008F6FA6" w:rsidRDefault="008F6FA6" w:rsidP="003F7941">
      <w:pPr>
        <w:pStyle w:val="FootnoteText"/>
      </w:pPr>
      <w:r>
        <w:rPr>
          <w:rStyle w:val="FootnoteReference"/>
        </w:rPr>
        <w:footnoteRef/>
      </w:r>
      <w:r>
        <w:t xml:space="preserve"> A CRR 395. cikke szabályozza a nagykockázat vállalását.</w:t>
      </w:r>
    </w:p>
  </w:footnote>
  <w:footnote w:id="69">
    <w:p w14:paraId="0F46229F" w14:textId="77777777" w:rsidR="008F6FA6" w:rsidRDefault="008F6FA6" w:rsidP="00D10A36">
      <w:pPr>
        <w:pStyle w:val="FootnoteText"/>
      </w:pPr>
      <w:r>
        <w:rPr>
          <w:rStyle w:val="FootnoteReference"/>
        </w:rPr>
        <w:footnoteRef/>
      </w:r>
      <w:r>
        <w:t xml:space="preserve"> </w:t>
      </w:r>
      <w:proofErr w:type="spellStart"/>
      <w:r>
        <w:t>Moody’s</w:t>
      </w:r>
      <w:proofErr w:type="spellEnd"/>
      <w:r>
        <w:t xml:space="preserve">, Standard and </w:t>
      </w:r>
      <w:proofErr w:type="spellStart"/>
      <w:r>
        <w:t>Poor’s</w:t>
      </w:r>
      <w:proofErr w:type="spellEnd"/>
      <w:r>
        <w:t xml:space="preserve">, </w:t>
      </w:r>
      <w:proofErr w:type="spellStart"/>
      <w:r>
        <w:t>Fitch</w:t>
      </w:r>
      <w:proofErr w:type="spellEnd"/>
      <w:r>
        <w:t xml:space="preserve"> </w:t>
      </w:r>
      <w:proofErr w:type="spellStart"/>
      <w:r>
        <w:t>Ratings</w:t>
      </w:r>
      <w:proofErr w:type="spellEnd"/>
    </w:p>
  </w:footnote>
  <w:footnote w:id="70">
    <w:p w14:paraId="118F9D4B" w14:textId="5BB53706" w:rsidR="008F6FA6" w:rsidRPr="0022464F" w:rsidRDefault="008F6FA6">
      <w:pPr>
        <w:pStyle w:val="FootnoteText"/>
        <w:rPr>
          <w:lang w:val="hu-HU"/>
        </w:rPr>
      </w:pPr>
      <w:r>
        <w:rPr>
          <w:rStyle w:val="FootnoteReference"/>
        </w:rPr>
        <w:footnoteRef/>
      </w:r>
      <w:r>
        <w:t xml:space="preserve"> </w:t>
      </w:r>
      <w:r>
        <w:rPr>
          <w:lang w:val="hu-HU"/>
        </w:rPr>
        <w:t xml:space="preserve">A </w:t>
      </w:r>
      <w:proofErr w:type="spellStart"/>
      <w:r>
        <w:rPr>
          <w:lang w:val="hu-HU"/>
        </w:rPr>
        <w:t>FIRB</w:t>
      </w:r>
      <w:proofErr w:type="spellEnd"/>
      <w:r>
        <w:rPr>
          <w:lang w:val="hu-HU"/>
        </w:rPr>
        <w:t xml:space="preserve"> tőkekövetelmény számszerűsítéséhez szükséges további paramétereket az alábbi módon határozzuk meg: rövid futamidő (legfeljebb 3 hónap) esetén M=1; hosszú futamidő (3 hónap fölött) esetén M=2,5. A CRR 153 cikk (2) bekezdése alapján a nagyméretű pénzügyi </w:t>
      </w:r>
      <w:proofErr w:type="spellStart"/>
      <w:r>
        <w:rPr>
          <w:lang w:val="hu-HU"/>
        </w:rPr>
        <w:t>ágazatbeli</w:t>
      </w:r>
      <w:proofErr w:type="spellEnd"/>
      <w:r>
        <w:rPr>
          <w:lang w:val="hu-HU"/>
        </w:rPr>
        <w:t xml:space="preserve"> szervezetek esetében a nagyvállalati eszközkorreláció 1,25-szeresét vettük.</w:t>
      </w:r>
    </w:p>
  </w:footnote>
  <w:footnote w:id="71">
    <w:p w14:paraId="36DAF188" w14:textId="0D99B0C5" w:rsidR="008F6FA6" w:rsidRPr="0022464F" w:rsidRDefault="008F6FA6">
      <w:pPr>
        <w:pStyle w:val="FootnoteText"/>
        <w:rPr>
          <w:lang w:val="hu-HU"/>
        </w:rPr>
      </w:pPr>
      <w:r>
        <w:rPr>
          <w:rStyle w:val="FootnoteReference"/>
        </w:rPr>
        <w:footnoteRef/>
      </w:r>
      <w:r>
        <w:t xml:space="preserve"> </w:t>
      </w:r>
      <w:r>
        <w:rPr>
          <w:lang w:val="hu-HU"/>
        </w:rPr>
        <w:t>a granularitási limit a bank teljesítő hitelállományának méretétől függően, szakértői alapon kerül meghatározásra</w:t>
      </w:r>
    </w:p>
  </w:footnote>
  <w:footnote w:id="72">
    <w:p w14:paraId="20461A9D" w14:textId="4C6480BC" w:rsidR="008F6FA6" w:rsidRPr="000F0CB0" w:rsidRDefault="008F6FA6">
      <w:pPr>
        <w:pStyle w:val="FootnoteText"/>
        <w:rPr>
          <w:lang w:val="hu-HU"/>
        </w:rPr>
      </w:pPr>
      <w:r>
        <w:rPr>
          <w:rStyle w:val="FootnoteReference"/>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3">
    <w:p w14:paraId="66B15AED" w14:textId="4367D2C8" w:rsidR="008F6FA6" w:rsidRPr="008F31AB" w:rsidRDefault="008F6FA6" w:rsidP="00D10772">
      <w:pPr>
        <w:pStyle w:val="FootnoteText"/>
        <w:rPr>
          <w:lang w:val="hu-HU"/>
        </w:rPr>
      </w:pPr>
      <w:r w:rsidRPr="0084556F">
        <w:rPr>
          <w:rStyle w:val="FootnoteReference"/>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74">
    <w:p w14:paraId="121ACB3E" w14:textId="51CEE917" w:rsidR="008F6FA6" w:rsidRPr="0050673C" w:rsidRDefault="008F6FA6">
      <w:pPr>
        <w:pStyle w:val="FootnoteText"/>
        <w:rPr>
          <w:lang w:val="hu-HU"/>
        </w:rPr>
      </w:pPr>
      <w:r>
        <w:rPr>
          <w:rStyle w:val="FootnoteReference"/>
        </w:rPr>
        <w:footnoteRef/>
      </w:r>
      <w:r>
        <w:t xml:space="preserve"> </w:t>
      </w:r>
      <w:r>
        <w:rPr>
          <w:lang w:val="hu-HU"/>
        </w:rPr>
        <w:t>Piaci Hitelprogram</w:t>
      </w:r>
    </w:p>
  </w:footnote>
  <w:footnote w:id="75">
    <w:p w14:paraId="783B63FB" w14:textId="07C154D1" w:rsidR="008F6FA6" w:rsidRPr="0050673C" w:rsidRDefault="008F6FA6">
      <w:pPr>
        <w:pStyle w:val="FootnoteText"/>
        <w:rPr>
          <w:lang w:val="hu-HU"/>
        </w:rPr>
      </w:pPr>
      <w:r>
        <w:rPr>
          <w:rStyle w:val="FootnoteReference"/>
        </w:rPr>
        <w:footnoteRef/>
      </w:r>
      <w:r>
        <w:t xml:space="preserve"> </w:t>
      </w:r>
      <w:r>
        <w:rPr>
          <w:lang w:val="hu-HU"/>
        </w:rPr>
        <w:t>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relevancia, stb.)</w:t>
      </w:r>
    </w:p>
  </w:footnote>
  <w:footnote w:id="76">
    <w:p w14:paraId="3A2A0B20" w14:textId="77777777" w:rsidR="008F6FA6" w:rsidRPr="0050673C" w:rsidRDefault="008F6FA6" w:rsidP="000A7275">
      <w:pPr>
        <w:pStyle w:val="FootnoteText"/>
        <w:rPr>
          <w:lang w:val="hu-HU"/>
        </w:rPr>
      </w:pPr>
      <w:r>
        <w:rPr>
          <w:rStyle w:val="FootnoteReference"/>
        </w:rPr>
        <w:footnoteRef/>
      </w:r>
      <w:r>
        <w:t xml:space="preserve"> </w:t>
      </w:r>
      <w:r>
        <w:rPr>
          <w:lang w:val="hu-HU"/>
        </w:rPr>
        <w:t xml:space="preserve">Például jutalékrendszerben értékesített termékek esetén az ügyintéző és az ügyfél (pl. magasabb jutalék </w:t>
      </w:r>
      <w:proofErr w:type="spellStart"/>
      <w:r>
        <w:rPr>
          <w:lang w:val="hu-HU"/>
        </w:rPr>
        <w:t>vs</w:t>
      </w:r>
      <w:proofErr w:type="spellEnd"/>
      <w:r>
        <w:rPr>
          <w:lang w:val="hu-HU"/>
        </w:rPr>
        <w:t xml:space="preserve">. szükségletek alapján elvárt termék), valamint az ügyintéző és az intézmény vezetése (pl. magasabb jutalék </w:t>
      </w:r>
      <w:proofErr w:type="spellStart"/>
      <w:r>
        <w:rPr>
          <w:lang w:val="hu-HU"/>
        </w:rPr>
        <w:t>vs</w:t>
      </w:r>
      <w:proofErr w:type="spellEnd"/>
      <w:r>
        <w:rPr>
          <w:lang w:val="hu-HU"/>
        </w:rPr>
        <w:t>. magasabb ügyfél elégedettségi szint elérése) között felmerülő ellentétes érdekek.</w:t>
      </w:r>
    </w:p>
  </w:footnote>
  <w:footnote w:id="77">
    <w:p w14:paraId="4EBBA794" w14:textId="7E3D9ED5" w:rsidR="008F6FA6" w:rsidRPr="004753B5" w:rsidRDefault="008F6FA6">
      <w:pPr>
        <w:pStyle w:val="FootnoteText"/>
        <w:rPr>
          <w:lang w:val="hu-HU"/>
        </w:rPr>
      </w:pPr>
      <w:r>
        <w:rPr>
          <w:rStyle w:val="FootnoteReference"/>
        </w:rPr>
        <w:footnoteRef/>
      </w:r>
      <w:r>
        <w:t xml:space="preserve"> </w:t>
      </w:r>
      <w:r>
        <w:rPr>
          <w:lang w:val="hu-HU"/>
        </w:rPr>
        <w:t>Lásd a felügyeleti felülvizsgálati és értékelési eljárás (</w:t>
      </w:r>
      <w:proofErr w:type="spellStart"/>
      <w:r>
        <w:rPr>
          <w:lang w:val="hu-HU"/>
        </w:rPr>
        <w:t>SREP</w:t>
      </w:r>
      <w:proofErr w:type="spellEnd"/>
      <w:r>
        <w:rPr>
          <w:lang w:val="hu-HU"/>
        </w:rPr>
        <w:t xml:space="preserve">) során végzendő </w:t>
      </w:r>
      <w:proofErr w:type="spellStart"/>
      <w:r>
        <w:rPr>
          <w:lang w:val="hu-HU"/>
        </w:rPr>
        <w:t>IKT</w:t>
      </w:r>
      <w:proofErr w:type="spellEnd"/>
      <w:r>
        <w:rPr>
          <w:lang w:val="hu-HU"/>
        </w:rPr>
        <w:t xml:space="preserve">-kockázat értékeléséről szóló </w:t>
      </w:r>
      <w:proofErr w:type="spellStart"/>
      <w:r>
        <w:rPr>
          <w:lang w:val="hu-HU"/>
        </w:rPr>
        <w:t>EBA</w:t>
      </w:r>
      <w:proofErr w:type="spellEnd"/>
      <w:r>
        <w:rPr>
          <w:lang w:val="hu-HU"/>
        </w:rPr>
        <w:t xml:space="preserve"> ajánlás (</w:t>
      </w:r>
      <w:proofErr w:type="spellStart"/>
      <w:r>
        <w:rPr>
          <w:lang w:val="hu-HU"/>
        </w:rPr>
        <w:t>EBA</w:t>
      </w:r>
      <w:proofErr w:type="spellEnd"/>
      <w:r>
        <w:rPr>
          <w:lang w:val="hu-HU"/>
        </w:rPr>
        <w:t>/</w:t>
      </w:r>
      <w:proofErr w:type="spellStart"/>
      <w:r>
        <w:rPr>
          <w:lang w:val="hu-HU"/>
        </w:rPr>
        <w:t>GL</w:t>
      </w:r>
      <w:proofErr w:type="spellEnd"/>
      <w:r>
        <w:rPr>
          <w:lang w:val="hu-HU"/>
        </w:rPr>
        <w:t>/2017/05)</w:t>
      </w:r>
    </w:p>
  </w:footnote>
  <w:footnote w:id="78">
    <w:p w14:paraId="66B15AF0" w14:textId="77777777" w:rsidR="008F6FA6" w:rsidRPr="0034042C" w:rsidRDefault="008F6FA6" w:rsidP="00D10772">
      <w:pPr>
        <w:pStyle w:val="FootnoteText"/>
      </w:pPr>
      <w:r w:rsidRPr="0034042C">
        <w:rPr>
          <w:rStyle w:val="FootnoteReference"/>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79">
    <w:p w14:paraId="4731D281" w14:textId="77777777" w:rsidR="008F6FA6" w:rsidRPr="009065F3" w:rsidRDefault="008F6FA6" w:rsidP="00D10772">
      <w:pPr>
        <w:pStyle w:val="FootnoteText"/>
      </w:pPr>
      <w:r w:rsidRPr="009065F3">
        <w:rPr>
          <w:rStyle w:val="FootnoteReference"/>
        </w:rPr>
        <w:footnoteRef/>
      </w:r>
      <w:r w:rsidRPr="009065F3">
        <w:t xml:space="preserve"> Az </w:t>
      </w:r>
      <w:proofErr w:type="spellStart"/>
      <w:r w:rsidRPr="009065F3">
        <w:t>illikviditás</w:t>
      </w:r>
      <w:proofErr w:type="spellEnd"/>
      <w:r w:rsidRPr="009065F3">
        <w:t xml:space="preserve"> származhat piaci tökéletlenségből, de akár az intézmény maga is előidézheti, pl. túlzottan koncentrált portfólió tartásával.</w:t>
      </w:r>
    </w:p>
  </w:footnote>
  <w:footnote w:id="80">
    <w:p w14:paraId="66B15AF3" w14:textId="77777777" w:rsidR="008F6FA6" w:rsidRPr="009065F3" w:rsidRDefault="008F6FA6" w:rsidP="00D10772">
      <w:pPr>
        <w:pStyle w:val="FootnoteText"/>
      </w:pPr>
      <w:r w:rsidRPr="009065F3">
        <w:rPr>
          <w:rStyle w:val="FootnoteReference"/>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81">
    <w:p w14:paraId="66B15AF4" w14:textId="241B233F" w:rsidR="008F6FA6" w:rsidRPr="009065F3" w:rsidRDefault="008F6FA6" w:rsidP="00D10772">
      <w:pPr>
        <w:pStyle w:val="FootnoteText"/>
      </w:pPr>
      <w:r w:rsidRPr="009065F3">
        <w:rPr>
          <w:rStyle w:val="FootnoteReference"/>
        </w:rPr>
        <w:footnoteRef/>
      </w:r>
      <w:r w:rsidRPr="009065F3">
        <w:t xml:space="preserve"> Pl. tartási periódus, konfidencia intervallum, korrekciós tényező, </w:t>
      </w:r>
      <w:proofErr w:type="spellStart"/>
      <w:r w:rsidRPr="009065F3">
        <w:t>stb</w:t>
      </w:r>
      <w:proofErr w:type="spellEnd"/>
    </w:p>
  </w:footnote>
  <w:footnote w:id="82">
    <w:p w14:paraId="66B15AF5" w14:textId="359D1C2D" w:rsidR="008F6FA6" w:rsidRPr="00EC7392" w:rsidRDefault="008F6FA6">
      <w:pPr>
        <w:pStyle w:val="FootnoteText"/>
        <w:rPr>
          <w:lang w:val="hu-HU"/>
        </w:rPr>
      </w:pPr>
    </w:p>
  </w:footnote>
  <w:footnote w:id="83">
    <w:p w14:paraId="03F350E9" w14:textId="2430F820" w:rsidR="008F6FA6" w:rsidRPr="004753B5" w:rsidRDefault="008F6FA6">
      <w:pPr>
        <w:pStyle w:val="FootnoteText"/>
        <w:rPr>
          <w:lang w:val="hu-HU"/>
        </w:rPr>
      </w:pPr>
      <w:r>
        <w:rPr>
          <w:rStyle w:val="FootnoteReference"/>
        </w:rPr>
        <w:footnoteRef/>
      </w:r>
      <w:r>
        <w:t xml:space="preserve"> </w:t>
      </w:r>
      <w:proofErr w:type="spellStart"/>
      <w:r>
        <w:rPr>
          <w:lang w:val="hu-HU"/>
        </w:rPr>
        <w:t>EBA</w:t>
      </w:r>
      <w:proofErr w:type="spellEnd"/>
      <w:r>
        <w:rPr>
          <w:lang w:val="hu-HU"/>
        </w:rPr>
        <w:t xml:space="preserve"> iránymutatása a stresszhelyzeti kockáztatott értékről (</w:t>
      </w:r>
      <w:proofErr w:type="spellStart"/>
      <w:r>
        <w:rPr>
          <w:lang w:val="hu-HU"/>
        </w:rPr>
        <w:t>EBA</w:t>
      </w:r>
      <w:proofErr w:type="spellEnd"/>
      <w:r>
        <w:rPr>
          <w:lang w:val="hu-HU"/>
        </w:rPr>
        <w:t>/</w:t>
      </w:r>
      <w:proofErr w:type="spellStart"/>
      <w:r>
        <w:rPr>
          <w:lang w:val="hu-HU"/>
        </w:rPr>
        <w:t>GL</w:t>
      </w:r>
      <w:proofErr w:type="spellEnd"/>
      <w:r>
        <w:rPr>
          <w:lang w:val="hu-HU"/>
        </w:rPr>
        <w:t>/2012/2)</w:t>
      </w:r>
    </w:p>
  </w:footnote>
  <w:footnote w:id="84">
    <w:p w14:paraId="3B8605D5" w14:textId="77777777" w:rsidR="008F6FA6" w:rsidRPr="00426E9D" w:rsidRDefault="008F6FA6" w:rsidP="000572C4">
      <w:pPr>
        <w:pStyle w:val="FootnoteText"/>
        <w:rPr>
          <w:lang w:val="hu-HU"/>
        </w:rPr>
      </w:pPr>
      <w:r>
        <w:rPr>
          <w:rStyle w:val="FootnoteReference"/>
        </w:rPr>
        <w:footnoteRef/>
      </w:r>
      <w:r>
        <w:t xml:space="preserve"> </w:t>
      </w:r>
      <w:r>
        <w:rPr>
          <w:lang w:val="hu-HU"/>
        </w:rPr>
        <w:t xml:space="preserve">Az 1,5-szeres szorzó az </w:t>
      </w:r>
      <w:proofErr w:type="spellStart"/>
      <w:r>
        <w:rPr>
          <w:lang w:val="hu-HU"/>
        </w:rPr>
        <w:t>FRTB</w:t>
      </w:r>
      <w:proofErr w:type="spellEnd"/>
      <w:r>
        <w:rPr>
          <w:lang w:val="hu-HU"/>
        </w:rPr>
        <w:t xml:space="preserve"> </w:t>
      </w:r>
      <w:proofErr w:type="spellStart"/>
      <w:r>
        <w:rPr>
          <w:lang w:val="hu-HU"/>
        </w:rPr>
        <w:t>Expected</w:t>
      </w:r>
      <w:proofErr w:type="spellEnd"/>
      <w:r>
        <w:rPr>
          <w:lang w:val="hu-HU"/>
        </w:rPr>
        <w:t xml:space="preserve"> </w:t>
      </w:r>
      <w:proofErr w:type="spellStart"/>
      <w:r>
        <w:rPr>
          <w:lang w:val="hu-HU"/>
        </w:rPr>
        <w:t>Shortfall</w:t>
      </w:r>
      <w:proofErr w:type="spellEnd"/>
      <w:r>
        <w:rPr>
          <w:lang w:val="hu-HU"/>
        </w:rPr>
        <w:t xml:space="preserve"> esetében alkalmazott szintnek felel meg. Mivel </w:t>
      </w:r>
      <w:proofErr w:type="spellStart"/>
      <w:r>
        <w:rPr>
          <w:lang w:val="hu-HU"/>
        </w:rPr>
        <w:t>tartalmilag</w:t>
      </w:r>
      <w:proofErr w:type="spellEnd"/>
      <w:r>
        <w:rPr>
          <w:lang w:val="hu-HU"/>
        </w:rPr>
        <w:t xml:space="preserve"> a stresszelt </w:t>
      </w:r>
      <w:proofErr w:type="spellStart"/>
      <w:r>
        <w:rPr>
          <w:lang w:val="hu-HU"/>
        </w:rPr>
        <w:t>vaR</w:t>
      </w:r>
      <w:proofErr w:type="spellEnd"/>
      <w:r>
        <w:rPr>
          <w:lang w:val="hu-HU"/>
        </w:rPr>
        <w:t xml:space="preserve"> is extrém értékeket igyekszik megragadni, valamint egy fixált, magas volatilitású időszakra való kalibrálás esetén túllépések nem várhatók a visszamérések során, a normál </w:t>
      </w:r>
      <w:proofErr w:type="spellStart"/>
      <w:r>
        <w:rPr>
          <w:lang w:val="hu-HU"/>
        </w:rPr>
        <w:t>VaR</w:t>
      </w:r>
      <w:proofErr w:type="spellEnd"/>
      <w:r>
        <w:rPr>
          <w:lang w:val="hu-HU"/>
        </w:rPr>
        <w:t xml:space="preserve"> esetében alkalmazott 3-as szorzónál a 1,5-szörös szorzót is elégségesnek találjuk, hogy lefedje a modellkockázatból, valamint a napon belüli kitettségváltozások figyelmen kívül hagyásából eredő bizonytalanságot.</w:t>
      </w:r>
    </w:p>
  </w:footnote>
  <w:footnote w:id="85">
    <w:p w14:paraId="55404C18" w14:textId="0C358661" w:rsidR="008F6FA6" w:rsidRPr="00BE3993" w:rsidRDefault="008F6FA6">
      <w:pPr>
        <w:pStyle w:val="FootnoteText"/>
        <w:rPr>
          <w:lang w:val="hu-HU"/>
        </w:rPr>
      </w:pPr>
      <w:r>
        <w:rPr>
          <w:rStyle w:val="FootnoteReference"/>
        </w:rPr>
        <w:footnoteRef/>
      </w:r>
      <w:r>
        <w:t xml:space="preserve"> </w:t>
      </w:r>
      <w:proofErr w:type="spellStart"/>
      <w:r>
        <w:rPr>
          <w:lang w:val="hu-HU"/>
        </w:rPr>
        <w:t>ld</w:t>
      </w:r>
      <w:proofErr w:type="spellEnd"/>
      <w:r>
        <w:rPr>
          <w:lang w:val="hu-HU"/>
        </w:rPr>
        <w:t xml:space="preserve">, </w:t>
      </w:r>
      <w:proofErr w:type="spellStart"/>
      <w:r>
        <w:rPr>
          <w:lang w:val="hu-HU"/>
        </w:rPr>
        <w:t>BCBS</w:t>
      </w:r>
      <w:proofErr w:type="spellEnd"/>
      <w:r>
        <w:rPr>
          <w:lang w:val="hu-HU"/>
        </w:rPr>
        <w:t xml:space="preserve">: Standard: </w:t>
      </w:r>
      <w:proofErr w:type="spellStart"/>
      <w:r>
        <w:rPr>
          <w:lang w:val="hu-HU"/>
        </w:rPr>
        <w:t>Intererest</w:t>
      </w:r>
      <w:proofErr w:type="spellEnd"/>
      <w:r>
        <w:rPr>
          <w:lang w:val="hu-HU"/>
        </w:rPr>
        <w:t xml:space="preserve"> </w:t>
      </w:r>
      <w:proofErr w:type="spellStart"/>
      <w:r>
        <w:rPr>
          <w:lang w:val="hu-HU"/>
        </w:rPr>
        <w:t>rate</w:t>
      </w:r>
      <w:proofErr w:type="spellEnd"/>
      <w:r>
        <w:rPr>
          <w:lang w:val="hu-HU"/>
        </w:rPr>
        <w:t xml:space="preserve"> </w:t>
      </w:r>
      <w:proofErr w:type="spellStart"/>
      <w:r>
        <w:rPr>
          <w:lang w:val="hu-HU"/>
        </w:rPr>
        <w:t>risk</w:t>
      </w:r>
      <w:proofErr w:type="spellEnd"/>
      <w:r>
        <w:rPr>
          <w:lang w:val="hu-HU"/>
        </w:rPr>
        <w:t xml:space="preserve"> in </w:t>
      </w:r>
      <w:proofErr w:type="spellStart"/>
      <w:r>
        <w:rPr>
          <w:lang w:val="hu-HU"/>
        </w:rPr>
        <w:t>the</w:t>
      </w:r>
      <w:proofErr w:type="spellEnd"/>
      <w:r>
        <w:rPr>
          <w:lang w:val="hu-HU"/>
        </w:rPr>
        <w:t xml:space="preserve"> banking </w:t>
      </w:r>
      <w:proofErr w:type="spellStart"/>
      <w:r>
        <w:rPr>
          <w:lang w:val="hu-HU"/>
        </w:rPr>
        <w:t>book</w:t>
      </w:r>
      <w:proofErr w:type="spellEnd"/>
      <w:r>
        <w:rPr>
          <w:lang w:val="hu-HU"/>
        </w:rPr>
        <w:t xml:space="preserve">; </w:t>
      </w:r>
      <w:proofErr w:type="spellStart"/>
      <w:r>
        <w:rPr>
          <w:lang w:val="hu-HU"/>
        </w:rPr>
        <w:t>EBA</w:t>
      </w:r>
      <w:proofErr w:type="spellEnd"/>
      <w:r>
        <w:rPr>
          <w:lang w:val="hu-HU"/>
        </w:rPr>
        <w:t xml:space="preserve">: </w:t>
      </w:r>
      <w:proofErr w:type="spellStart"/>
      <w:r>
        <w:rPr>
          <w:lang w:val="hu-HU"/>
        </w:rPr>
        <w:t>Guidelines</w:t>
      </w:r>
      <w:proofErr w:type="spellEnd"/>
      <w:r>
        <w:rPr>
          <w:lang w:val="hu-HU"/>
        </w:rPr>
        <w:t xml:space="preserve"> on </w:t>
      </w:r>
      <w:proofErr w:type="spellStart"/>
      <w:r>
        <w:rPr>
          <w:lang w:val="hu-HU"/>
        </w:rPr>
        <w:t>the</w:t>
      </w:r>
      <w:proofErr w:type="spellEnd"/>
      <w:r>
        <w:rPr>
          <w:lang w:val="hu-HU"/>
        </w:rPr>
        <w:t xml:space="preserve"> management of interest </w:t>
      </w:r>
      <w:proofErr w:type="spellStart"/>
      <w:r>
        <w:rPr>
          <w:lang w:val="hu-HU"/>
        </w:rPr>
        <w:t>rate</w:t>
      </w:r>
      <w:proofErr w:type="spellEnd"/>
      <w:r>
        <w:rPr>
          <w:lang w:val="hu-HU"/>
        </w:rPr>
        <w:t xml:space="preserve"> </w:t>
      </w:r>
      <w:proofErr w:type="spellStart"/>
      <w:r>
        <w:rPr>
          <w:lang w:val="hu-HU"/>
        </w:rPr>
        <w:t>risk</w:t>
      </w:r>
      <w:proofErr w:type="spellEnd"/>
      <w:r>
        <w:rPr>
          <w:lang w:val="hu-HU"/>
        </w:rPr>
        <w:t xml:space="preserve"> </w:t>
      </w:r>
      <w:proofErr w:type="spellStart"/>
      <w:r>
        <w:rPr>
          <w:lang w:val="hu-HU"/>
        </w:rPr>
        <w:t>arising</w:t>
      </w:r>
      <w:proofErr w:type="spellEnd"/>
      <w:r>
        <w:rPr>
          <w:lang w:val="hu-HU"/>
        </w:rPr>
        <w:t xml:space="preserve"> </w:t>
      </w:r>
      <w:proofErr w:type="spellStart"/>
      <w:r>
        <w:rPr>
          <w:lang w:val="hu-HU"/>
        </w:rPr>
        <w:t>from</w:t>
      </w:r>
      <w:proofErr w:type="spellEnd"/>
      <w:r>
        <w:rPr>
          <w:lang w:val="hu-HU"/>
        </w:rPr>
        <w:t xml:space="preserve"> non-</w:t>
      </w:r>
      <w:proofErr w:type="spellStart"/>
      <w:r>
        <w:rPr>
          <w:lang w:val="hu-HU"/>
        </w:rPr>
        <w:t>trading</w:t>
      </w:r>
      <w:proofErr w:type="spellEnd"/>
      <w:r>
        <w:rPr>
          <w:lang w:val="hu-HU"/>
        </w:rPr>
        <w:t xml:space="preserve"> </w:t>
      </w:r>
      <w:proofErr w:type="spellStart"/>
      <w:r>
        <w:rPr>
          <w:lang w:val="hu-HU"/>
        </w:rPr>
        <w:t>book</w:t>
      </w:r>
      <w:proofErr w:type="spellEnd"/>
      <w:r>
        <w:rPr>
          <w:lang w:val="hu-HU"/>
        </w:rPr>
        <w:t xml:space="preserve"> </w:t>
      </w:r>
      <w:proofErr w:type="spellStart"/>
      <w:r>
        <w:rPr>
          <w:lang w:val="hu-HU"/>
        </w:rPr>
        <w:t>activities</w:t>
      </w:r>
      <w:proofErr w:type="spellEnd"/>
    </w:p>
  </w:footnote>
  <w:footnote w:id="86">
    <w:p w14:paraId="67325496" w14:textId="35E4EA9D" w:rsidR="008F6FA6" w:rsidRPr="007F60B7" w:rsidRDefault="008F6FA6">
      <w:pPr>
        <w:pStyle w:val="FootnoteText"/>
        <w:rPr>
          <w:lang w:val="hu-HU"/>
        </w:rPr>
      </w:pPr>
      <w:r>
        <w:rPr>
          <w:rStyle w:val="FootnoteReference"/>
        </w:rPr>
        <w:footnoteRef/>
      </w:r>
      <w:r>
        <w:t xml:space="preserve"> </w:t>
      </w:r>
      <w:hyperlink r:id="rId9" w:history="1">
        <w:r w:rsidRPr="00436D8E">
          <w:rPr>
            <w:rStyle w:val="Hyperlink"/>
          </w:rPr>
          <w:t>https://www.bis.org/bcbs/publ/d368.htm</w:t>
        </w:r>
      </w:hyperlink>
    </w:p>
  </w:footnote>
  <w:footnote w:id="87">
    <w:p w14:paraId="51E79879" w14:textId="27E9D549" w:rsidR="008F6FA6" w:rsidRPr="00D4061E" w:rsidRDefault="008F6FA6" w:rsidP="00436D8E">
      <w:pPr>
        <w:pStyle w:val="FootnoteText"/>
        <w:rPr>
          <w:lang w:val="hu-HU"/>
        </w:rPr>
      </w:pPr>
      <w:r>
        <w:rPr>
          <w:rStyle w:val="FootnoteReference"/>
        </w:rPr>
        <w:footnoteRef/>
      </w:r>
      <w:r w:rsidRPr="00C57685">
        <w:t>https://eba.europa.eu/documents/10180/2282655/Guidelines+on+the+management+of+interest+rate+risk+arising+from+non-trading+activities+%28EBA-GL-2018-02%29.pdf</w:t>
      </w:r>
    </w:p>
  </w:footnote>
  <w:footnote w:id="88">
    <w:p w14:paraId="4E214759" w14:textId="1504FEA4" w:rsidR="008F6FA6" w:rsidRPr="0050673C" w:rsidRDefault="008F6FA6">
      <w:pPr>
        <w:pStyle w:val="FootnoteText"/>
        <w:rPr>
          <w:lang w:val="hu-HU"/>
        </w:rPr>
      </w:pPr>
      <w:r>
        <w:rPr>
          <w:rStyle w:val="FootnoteReference"/>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89">
    <w:p w14:paraId="0BFDF6DC" w14:textId="77777777" w:rsidR="008F6FA6" w:rsidRPr="00457EDB" w:rsidRDefault="008F6FA6" w:rsidP="00213618">
      <w:pPr>
        <w:pStyle w:val="FootnoteText"/>
      </w:pPr>
      <w:r w:rsidRPr="00457EDB">
        <w:rPr>
          <w:rStyle w:val="FootnoteReference"/>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90">
    <w:p w14:paraId="28F40607" w14:textId="77777777" w:rsidR="008F6FA6" w:rsidRPr="009F7C08" w:rsidRDefault="008F6FA6" w:rsidP="00213618">
      <w:pPr>
        <w:pStyle w:val="FootnoteText"/>
      </w:pPr>
      <w:r w:rsidRPr="00457EDB">
        <w:rPr>
          <w:rStyle w:val="FootnoteReference"/>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91">
    <w:p w14:paraId="3498058C" w14:textId="77777777" w:rsidR="008F6FA6" w:rsidRDefault="008F6FA6" w:rsidP="00213618">
      <w:pPr>
        <w:pStyle w:val="FootnoteText"/>
      </w:pPr>
      <w:r>
        <w:rPr>
          <w:rStyle w:val="FootnoteReference"/>
        </w:rPr>
        <w:footnoteRef/>
      </w:r>
      <w:r>
        <w:t xml:space="preserve"> A nemlineáris kockázati kapcsolatok léte miatt az MNB hasznosnak tartja különböző súlyosságú és valószínűségű stresszhelyzetek vizsgálatát.</w:t>
      </w:r>
    </w:p>
  </w:footnote>
  <w:footnote w:id="92">
    <w:p w14:paraId="517BD97B" w14:textId="6924DEC4" w:rsidR="008F6FA6" w:rsidRDefault="008F6FA6" w:rsidP="002E348F">
      <w:pPr>
        <w:pStyle w:val="FootnoteText"/>
      </w:pPr>
      <w:r>
        <w:rPr>
          <w:rStyle w:val="FootnoteReference"/>
        </w:rPr>
        <w:footnoteRef/>
      </w:r>
      <w:r>
        <w:t xml:space="preserve"> Az Európai Bankhatóság a felülvizsgált </w:t>
      </w:r>
      <w:proofErr w:type="spellStart"/>
      <w:r>
        <w:rPr>
          <w:rFonts w:asciiTheme="minorHAnsi" w:hAnsiTheme="minorHAnsi"/>
        </w:rPr>
        <w:t>EBA</w:t>
      </w:r>
      <w:proofErr w:type="spellEnd"/>
      <w:r>
        <w:rPr>
          <w:rFonts w:asciiTheme="minorHAnsi" w:hAnsiTheme="minorHAnsi"/>
        </w:rPr>
        <w:t xml:space="preserve"> </w:t>
      </w:r>
      <w:proofErr w:type="spellStart"/>
      <w:r>
        <w:rPr>
          <w:rFonts w:asciiTheme="minorHAnsi" w:hAnsiTheme="minorHAnsi"/>
        </w:rPr>
        <w:t>SREP</w:t>
      </w:r>
      <w:proofErr w:type="spellEnd"/>
      <w:r>
        <w:rPr>
          <w:rFonts w:asciiTheme="minorHAnsi" w:hAnsiTheme="minorHAnsi"/>
        </w:rPr>
        <w:t xml:space="preserve"> Ajánlásba</w:t>
      </w:r>
      <w:r>
        <w:t xml:space="preserve"> 2018-ban beemelte a </w:t>
      </w:r>
      <w:proofErr w:type="spellStart"/>
      <w:r>
        <w:t>Pillar</w:t>
      </w:r>
      <w:proofErr w:type="spellEnd"/>
      <w:r>
        <w:t xml:space="preserve"> 2 </w:t>
      </w:r>
      <w:proofErr w:type="spellStart"/>
      <w:r>
        <w:t>Guidance-et</w:t>
      </w:r>
      <w:proofErr w:type="spellEnd"/>
      <w:r>
        <w:t xml:space="preserve"> (P2G), mint a stressz teszt közvetlen tőkeelvárás vonzatát. A P2G a </w:t>
      </w:r>
      <w:proofErr w:type="spellStart"/>
      <w:r>
        <w:t>CRD</w:t>
      </w:r>
      <w:proofErr w:type="spellEnd"/>
      <w:r>
        <w:t xml:space="preserve"> V-</w:t>
      </w:r>
      <w:proofErr w:type="spellStart"/>
      <w:r>
        <w:t>nek</w:t>
      </w:r>
      <w:proofErr w:type="spellEnd"/>
      <w:r>
        <w:t xml:space="preserve"> is része lesz.</w:t>
      </w:r>
    </w:p>
  </w:footnote>
  <w:footnote w:id="93">
    <w:p w14:paraId="175323AC" w14:textId="77777777" w:rsidR="008F6FA6" w:rsidRDefault="008F6FA6" w:rsidP="002E348F">
      <w:pPr>
        <w:pStyle w:val="FootnoteText"/>
      </w:pPr>
      <w:r>
        <w:rPr>
          <w:rStyle w:val="FootnoteReference"/>
        </w:rPr>
        <w:footnoteRef/>
      </w:r>
      <w:r>
        <w:t xml:space="preserve"> 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94">
    <w:p w14:paraId="6B8C3BBF" w14:textId="77777777" w:rsidR="008F6FA6" w:rsidRDefault="008F6FA6" w:rsidP="002E348F">
      <w:pPr>
        <w:pStyle w:val="FootnoteText"/>
      </w:pPr>
      <w:r>
        <w:rPr>
          <w:rStyle w:val="FootnoteReference"/>
        </w:rPr>
        <w:footnoteRef/>
      </w:r>
      <w:r>
        <w:t xml:space="preserve"> Szuverén/önkormányzat, pénzügyi intézmény, nagyvállalat, </w:t>
      </w:r>
      <w:proofErr w:type="spellStart"/>
      <w:r>
        <w:t>mikro</w:t>
      </w:r>
      <w:proofErr w:type="spellEnd"/>
      <w:r>
        <w:t>-, kis- és középvállalat, projekt, fedezett lakossági, fedezetlen lakossági</w:t>
      </w:r>
    </w:p>
  </w:footnote>
  <w:footnote w:id="95">
    <w:p w14:paraId="7DDD0C6A" w14:textId="77777777" w:rsidR="008F6FA6" w:rsidRDefault="008F6FA6" w:rsidP="002E348F">
      <w:pPr>
        <w:pStyle w:val="FootnoteText"/>
      </w:pPr>
      <w:r>
        <w:rPr>
          <w:rStyle w:val="FootnoteReference"/>
        </w:rPr>
        <w:footnoteRef/>
      </w:r>
      <w:r>
        <w:t xml:space="preserve"> Pl.: Beruházás, GDP, Munkanélküliség, Infláció, Árfolyam, Nettó export, Bérek, Háztartások megtakarítása</w:t>
      </w:r>
    </w:p>
  </w:footnote>
  <w:footnote w:id="96">
    <w:p w14:paraId="1C764BE8" w14:textId="7C4B98ED" w:rsidR="008F6FA6" w:rsidRDefault="008F6FA6" w:rsidP="00D10772">
      <w:pPr>
        <w:pStyle w:val="FootnoteText"/>
      </w:pPr>
      <w:r>
        <w:rPr>
          <w:rStyle w:val="FootnoteReference"/>
        </w:rPr>
        <w:footnoteRef/>
      </w:r>
      <w:r>
        <w:t xml:space="preserve"> Ez az egyik leglényegesebb különbség. Az 1.</w:t>
      </w:r>
      <w:r>
        <w:rPr>
          <w:lang w:val="hu-HU"/>
        </w:rPr>
        <w:t xml:space="preserve"> </w:t>
      </w:r>
      <w:r>
        <w:t xml:space="preserve">pillérben a hitelkockázatra nem lehet a diverzifikációs hatásokat is </w:t>
      </w:r>
      <w:proofErr w:type="spellStart"/>
      <w:r>
        <w:t>figyelembevevő</w:t>
      </w:r>
      <w:proofErr w:type="spellEnd"/>
      <w:r>
        <w:t xml:space="preserve"> belső modellt alkalmazni.</w:t>
      </w:r>
    </w:p>
  </w:footnote>
  <w:footnote w:id="97">
    <w:p w14:paraId="66B15AFD" w14:textId="77777777" w:rsidR="008F6FA6" w:rsidRDefault="008F6FA6" w:rsidP="00D10772">
      <w:pPr>
        <w:pStyle w:val="FootnoteText"/>
      </w:pPr>
      <w:r>
        <w:rPr>
          <w:rStyle w:val="FootnoteReference"/>
        </w:rPr>
        <w:footnoteRef/>
      </w:r>
      <w:r>
        <w:t xml:space="preserve"> A gyakorlatban ez a legelterjedtebb megoldás, az időtáv tipikusan 1 év, de bizonyos esetekben lehet hosszabb is.</w:t>
      </w:r>
    </w:p>
  </w:footnote>
  <w:footnote w:id="98">
    <w:p w14:paraId="66B15AFE" w14:textId="77777777" w:rsidR="008F6FA6" w:rsidRPr="008F31AB" w:rsidRDefault="008F6FA6">
      <w:pPr>
        <w:pStyle w:val="FootnoteText"/>
        <w:rPr>
          <w:lang w:val="hu-HU"/>
        </w:rPr>
      </w:pPr>
      <w:r>
        <w:rPr>
          <w:rStyle w:val="FootnoteReference"/>
        </w:rPr>
        <w:footnoteRef/>
      </w:r>
      <w:r>
        <w:t xml:space="preserve"> Az 1. pillérben előírt konfidenciaszintek inkább a szigorúbb felszámolási szemléletnek felelnek meg</w:t>
      </w:r>
    </w:p>
  </w:footnote>
  <w:footnote w:id="99">
    <w:p w14:paraId="21E56017" w14:textId="28CC2E3A" w:rsidR="008F6FA6" w:rsidRPr="00185637" w:rsidRDefault="008F6FA6">
      <w:pPr>
        <w:pStyle w:val="FootnoteText"/>
        <w:rPr>
          <w:lang w:val="hu-HU"/>
        </w:rPr>
      </w:pPr>
      <w:r>
        <w:rPr>
          <w:rStyle w:val="FootnoteReference"/>
        </w:rPr>
        <w:footnoteRef/>
      </w:r>
      <w:r>
        <w:t xml:space="preserve"> </w:t>
      </w:r>
      <w:r>
        <w:rPr>
          <w:lang w:val="hu-HU"/>
        </w:rPr>
        <w:t xml:space="preserve">Az MNB elvárása összhangban van az </w:t>
      </w:r>
      <w:proofErr w:type="spellStart"/>
      <w:r>
        <w:rPr>
          <w:lang w:val="hu-HU"/>
        </w:rPr>
        <w:t>EBA</w:t>
      </w:r>
      <w:proofErr w:type="spellEnd"/>
      <w:r>
        <w:rPr>
          <w:lang w:val="hu-HU"/>
        </w:rPr>
        <w:t xml:space="preserve"> </w:t>
      </w:r>
      <w:proofErr w:type="spellStart"/>
      <w:r>
        <w:rPr>
          <w:lang w:val="hu-HU"/>
        </w:rPr>
        <w:t>SREP</w:t>
      </w:r>
      <w:proofErr w:type="spellEnd"/>
      <w:r>
        <w:rPr>
          <w:lang w:val="hu-HU"/>
        </w:rPr>
        <w:t xml:space="preserve"> Ajánlással. </w:t>
      </w:r>
    </w:p>
  </w:footnote>
  <w:footnote w:id="100">
    <w:p w14:paraId="014ACDEA" w14:textId="7E5E1067" w:rsidR="008F6FA6" w:rsidRDefault="008F6FA6" w:rsidP="00D10772">
      <w:pPr>
        <w:pStyle w:val="FootnoteText"/>
      </w:pPr>
      <w:r>
        <w:rPr>
          <w:rStyle w:val="FootnoteReference"/>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01">
    <w:p w14:paraId="001E7F62" w14:textId="351279AC" w:rsidR="008F6FA6" w:rsidRPr="005978F7" w:rsidRDefault="008F6FA6" w:rsidP="00BE6A34">
      <w:pPr>
        <w:pStyle w:val="FootnoteText"/>
        <w:rPr>
          <w:lang w:val="hu-HU"/>
        </w:rPr>
      </w:pPr>
      <w:r>
        <w:rPr>
          <w:rStyle w:val="FootnoteReference"/>
        </w:rPr>
        <w:footnoteRef/>
      </w:r>
      <w:r>
        <w:t xml:space="preserve"> </w:t>
      </w:r>
      <w:r>
        <w:rPr>
          <w:lang w:val="hu-HU"/>
        </w:rPr>
        <w:t>K</w:t>
      </w:r>
      <w:proofErr w:type="spellStart"/>
      <w:r w:rsidRPr="00B2679D">
        <w:t>ontingencia</w:t>
      </w:r>
      <w:proofErr w:type="spellEnd"/>
      <w:r w:rsidRPr="00B2679D">
        <w:t xml:space="preserve"> terv, vészhelyzeti vagy üzletmenet folytonossági terv</w:t>
      </w:r>
      <w:r>
        <w:rPr>
          <w:lang w:val="hu-HU"/>
        </w:rPr>
        <w:t xml:space="preserve"> - </w:t>
      </w:r>
      <w:r>
        <w:t>A jogszabályi rendelkezések eltérő fogalmakat használnak</w:t>
      </w:r>
      <w:r>
        <w:rPr>
          <w:lang w:val="hu-HU"/>
        </w:rPr>
        <w:t>.</w:t>
      </w:r>
    </w:p>
  </w:footnote>
  <w:footnote w:id="102">
    <w:p w14:paraId="66B15B01" w14:textId="6F08B2C0" w:rsidR="008F6FA6" w:rsidRPr="00B16C16" w:rsidRDefault="008F6FA6" w:rsidP="00B16C16">
      <w:pPr>
        <w:pStyle w:val="FootnoteText"/>
        <w:rPr>
          <w:lang w:val="hu-HU"/>
        </w:rPr>
      </w:pPr>
      <w:r>
        <w:rPr>
          <w:rStyle w:val="FootnoteReference"/>
        </w:rPr>
        <w:footnoteRef/>
      </w:r>
      <w:r>
        <w:t xml:space="preserve"> </w:t>
      </w:r>
      <w:r w:rsidRPr="00561A6B">
        <w:t xml:space="preserve">Az európai elvárásoknak </w:t>
      </w:r>
      <w:r w:rsidRPr="00561A6B">
        <w:rPr>
          <w:bCs/>
          <w:iCs/>
        </w:rPr>
        <w:t>(</w:t>
      </w:r>
      <w:proofErr w:type="spellStart"/>
      <w:r w:rsidRPr="00561A6B">
        <w:rPr>
          <w:bCs/>
          <w:iCs/>
        </w:rPr>
        <w:t>CRD</w:t>
      </w:r>
      <w:proofErr w:type="spellEnd"/>
      <w:r w:rsidRPr="00561A6B">
        <w:rPr>
          <w:bCs/>
          <w:iCs/>
        </w:rPr>
        <w:t xml:space="preserve">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03">
    <w:p w14:paraId="66B15B02" w14:textId="77777777" w:rsidR="008F6FA6" w:rsidRPr="00EC76E2" w:rsidRDefault="008F6FA6" w:rsidP="003F29E3">
      <w:pPr>
        <w:pStyle w:val="Default"/>
        <w:rPr>
          <w:rFonts w:ascii="Calibri" w:hAnsi="Calibri"/>
          <w:sz w:val="16"/>
          <w:szCs w:val="16"/>
        </w:rPr>
      </w:pPr>
      <w:r w:rsidRPr="00EC76E2">
        <w:rPr>
          <w:rStyle w:val="FootnoteReference"/>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04">
    <w:p w14:paraId="66B15B03" w14:textId="77777777" w:rsidR="008F6FA6" w:rsidRPr="00EC76E2" w:rsidRDefault="008F6FA6" w:rsidP="00D10772">
      <w:pPr>
        <w:pStyle w:val="FootnoteText"/>
      </w:pPr>
      <w:r w:rsidRPr="00EC76E2">
        <w:rPr>
          <w:rStyle w:val="FootnoteReference"/>
        </w:rPr>
        <w:footnoteRef/>
      </w:r>
      <w:r w:rsidRPr="00EC76E2">
        <w:t xml:space="preserve"> nettó stabil forrás ellátottsági mutató</w:t>
      </w:r>
    </w:p>
  </w:footnote>
  <w:footnote w:id="105">
    <w:p w14:paraId="66B15B04" w14:textId="77777777" w:rsidR="008F6FA6" w:rsidRPr="0034406D" w:rsidRDefault="008F6FA6" w:rsidP="00D10772">
      <w:pPr>
        <w:pStyle w:val="FootnoteText"/>
      </w:pPr>
      <w:r w:rsidRPr="0034406D">
        <w:rPr>
          <w:rStyle w:val="FootnoteReference"/>
        </w:rPr>
        <w:footnoteRef/>
      </w:r>
      <w:r w:rsidRPr="0034406D">
        <w:t xml:space="preserve"> </w:t>
      </w:r>
      <w:proofErr w:type="spellStart"/>
      <w:r>
        <w:t>I</w:t>
      </w:r>
      <w:r w:rsidRPr="0034406D">
        <w:t>ntergiro</w:t>
      </w:r>
      <w:proofErr w:type="spellEnd"/>
    </w:p>
  </w:footnote>
  <w:footnote w:id="106">
    <w:p w14:paraId="25AFCC55" w14:textId="77777777" w:rsidR="008F6FA6" w:rsidRPr="001E5734" w:rsidRDefault="008F6FA6" w:rsidP="00064978">
      <w:pPr>
        <w:pStyle w:val="FootnoteText"/>
      </w:pPr>
      <w:r>
        <w:rPr>
          <w:rStyle w:val="FootnoteReference"/>
        </w:rPr>
        <w:footnoteRef/>
      </w:r>
      <w:r>
        <w:t xml:space="preserve"> Az MNB megítélése szerint általános szabályként egy 20 százalékos túlteljesítés szükséges a követelmények „mindenkori teljesítéshez”. De ettől lehetnek eltérések, például a </w:t>
      </w:r>
      <w:proofErr w:type="spellStart"/>
      <w:r>
        <w:t>JMM</w:t>
      </w:r>
      <w:proofErr w:type="spellEnd"/>
      <w:r>
        <w:t xml:space="preserve"> esetében a pontosan </w:t>
      </w:r>
      <w:proofErr w:type="spellStart"/>
      <w:r>
        <w:t>előrejelezhető</w:t>
      </w:r>
      <w:proofErr w:type="spellEnd"/>
      <w:r>
        <w:t xml:space="preserve">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07">
    <w:p w14:paraId="66B15B05" w14:textId="77777777" w:rsidR="008F6FA6" w:rsidRPr="008D3680" w:rsidRDefault="008F6FA6" w:rsidP="00D10772">
      <w:pPr>
        <w:pStyle w:val="FootnoteText"/>
      </w:pPr>
      <w:r w:rsidRPr="00D20F0E">
        <w:rPr>
          <w:rStyle w:val="FootnoteReference"/>
        </w:rPr>
        <w:footnoteRef/>
      </w:r>
      <w:r w:rsidRPr="00D20F0E">
        <w:t xml:space="preserve"> </w:t>
      </w:r>
      <w:proofErr w:type="spellStart"/>
      <w:r w:rsidRPr="00D20F0E">
        <w:t>MCO</w:t>
      </w:r>
      <w:proofErr w:type="spellEnd"/>
      <w:r w:rsidRPr="00D20F0E">
        <w:t xml:space="preserve"> = maximum cash outflow</w:t>
      </w:r>
    </w:p>
  </w:footnote>
  <w:footnote w:id="108">
    <w:p w14:paraId="08B20F01" w14:textId="20D28A76" w:rsidR="008F6FA6" w:rsidRPr="001E3A50" w:rsidRDefault="008F6FA6">
      <w:pPr>
        <w:pStyle w:val="FootnoteText"/>
        <w:rPr>
          <w:lang w:val="hu-HU"/>
        </w:rPr>
      </w:pPr>
      <w:r>
        <w:rPr>
          <w:rStyle w:val="FootnoteReference"/>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w:t>
      </w:r>
      <w:proofErr w:type="spellStart"/>
      <w:r>
        <w:rPr>
          <w:lang w:val="hu-HU"/>
        </w:rPr>
        <w:t>összeadhatóak</w:t>
      </w:r>
      <w:proofErr w:type="spellEnd"/>
      <w:r>
        <w:rPr>
          <w:lang w:val="hu-HU"/>
        </w:rPr>
        <w:t xml:space="preserve">, addig az </w:t>
      </w:r>
      <w:proofErr w:type="spellStart"/>
      <w:r>
        <w:rPr>
          <w:lang w:val="hu-HU"/>
        </w:rPr>
        <w:t>ILAAP</w:t>
      </w:r>
      <w:proofErr w:type="spellEnd"/>
      <w:r>
        <w:rPr>
          <w:lang w:val="hu-HU"/>
        </w:rPr>
        <w:t xml:space="preserve">-ben erre csak bizonyos esetekben van lehetőség pl. </w:t>
      </w:r>
      <w:proofErr w:type="spellStart"/>
      <w:r>
        <w:rPr>
          <w:lang w:val="hu-HU"/>
        </w:rPr>
        <w:t>LCR</w:t>
      </w:r>
      <w:proofErr w:type="spellEnd"/>
      <w:r>
        <w:rPr>
          <w:lang w:val="hu-HU"/>
        </w:rPr>
        <w:t xml:space="preserve"> és </w:t>
      </w:r>
      <w:proofErr w:type="spellStart"/>
      <w:r>
        <w:rPr>
          <w:lang w:val="hu-HU"/>
        </w:rPr>
        <w:t>DMM</w:t>
      </w:r>
      <w:proofErr w:type="spellEnd"/>
      <w:r>
        <w:rPr>
          <w:lang w:val="hu-HU"/>
        </w:rPr>
        <w:t xml:space="preserve"> többlet-követelmények nem </w:t>
      </w:r>
      <w:proofErr w:type="spellStart"/>
      <w:r>
        <w:rPr>
          <w:lang w:val="hu-HU"/>
        </w:rPr>
        <w:t>adhatóak</w:t>
      </w:r>
      <w:proofErr w:type="spellEnd"/>
      <w:r>
        <w:rPr>
          <w:lang w:val="hu-HU"/>
        </w:rPr>
        <w:t xml:space="preserve"> össze. Továbbá egy kockázat több módon is kezelhető pl. </w:t>
      </w:r>
      <w:proofErr w:type="spellStart"/>
      <w:r>
        <w:rPr>
          <w:lang w:val="hu-HU"/>
        </w:rPr>
        <w:t>LCR</w:t>
      </w:r>
      <w:proofErr w:type="spellEnd"/>
      <w:r>
        <w:rPr>
          <w:lang w:val="hu-HU"/>
        </w:rPr>
        <w:t xml:space="preserve">-ben magasabb kiáramlás, </w:t>
      </w:r>
      <w:proofErr w:type="spellStart"/>
      <w:r>
        <w:rPr>
          <w:lang w:val="hu-HU"/>
        </w:rPr>
        <w:t>NSFR</w:t>
      </w:r>
      <w:proofErr w:type="spellEnd"/>
      <w:r>
        <w:rPr>
          <w:lang w:val="hu-HU"/>
        </w:rPr>
        <w:t xml:space="preserve">-ben alacsonyabb </w:t>
      </w:r>
      <w:proofErr w:type="spellStart"/>
      <w:r>
        <w:rPr>
          <w:lang w:val="hu-HU"/>
        </w:rPr>
        <w:t>ASF</w:t>
      </w:r>
      <w:proofErr w:type="spellEnd"/>
      <w:r>
        <w:rPr>
          <w:lang w:val="hu-HU"/>
        </w:rPr>
        <w:t xml:space="preserve"> szorzó hozzárendelésével.</w:t>
      </w:r>
    </w:p>
  </w:footnote>
  <w:footnote w:id="109">
    <w:p w14:paraId="630613BB" w14:textId="48169594" w:rsidR="008F6FA6" w:rsidRPr="001E3A50" w:rsidRDefault="008F6FA6">
      <w:pPr>
        <w:pStyle w:val="FootnoteText"/>
        <w:rPr>
          <w:lang w:val="hu-HU"/>
        </w:rPr>
      </w:pPr>
      <w:r>
        <w:rPr>
          <w:rStyle w:val="FootnoteReference"/>
        </w:rPr>
        <w:footnoteRef/>
      </w:r>
      <w:r>
        <w:t xml:space="preserve"> </w:t>
      </w:r>
      <w:r>
        <w:rPr>
          <w:lang w:val="hu-HU"/>
        </w:rPr>
        <w:t>2019 február.</w:t>
      </w:r>
    </w:p>
  </w:footnote>
  <w:footnote w:id="110">
    <w:p w14:paraId="721ABB32" w14:textId="77777777" w:rsidR="008F6FA6" w:rsidRDefault="008F6FA6" w:rsidP="002E348F">
      <w:pPr>
        <w:pStyle w:val="FootnoteText"/>
        <w:rPr>
          <w:color w:val="auto"/>
          <w:sz w:val="20"/>
        </w:rPr>
      </w:pPr>
      <w:r>
        <w:rPr>
          <w:rStyle w:val="FootnoteReference"/>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11">
    <w:p w14:paraId="66B15B0A" w14:textId="77777777" w:rsidR="008F6FA6" w:rsidRPr="00426B4F" w:rsidRDefault="008F6FA6" w:rsidP="00D10772">
      <w:pPr>
        <w:pStyle w:val="FootnoteText"/>
      </w:pPr>
      <w:r w:rsidRPr="00426B4F">
        <w:rPr>
          <w:rStyle w:val="FootnoteReference"/>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12">
    <w:p w14:paraId="0AC87601" w14:textId="77777777" w:rsidR="008F6FA6" w:rsidRDefault="008F6FA6" w:rsidP="00D858B0">
      <w:pPr>
        <w:pStyle w:val="FootnoteText"/>
      </w:pPr>
      <w:r>
        <w:rPr>
          <w:rStyle w:val="FootnoteReference"/>
        </w:rPr>
        <w:footnoteRef/>
      </w:r>
      <w:r>
        <w:t xml:space="preserve"> A négyzetes közép alkalmazását egyrészt a negatív előjeles eredmények kezelése indokolja, másrészt az abszolút értékek számtani közepéhez viszonyítva – a súlyozástól függően - magasabb értéket ad. </w:t>
      </w:r>
    </w:p>
  </w:footnote>
  <w:footnote w:id="113">
    <w:p w14:paraId="4763B272" w14:textId="77777777" w:rsidR="008F6FA6" w:rsidRDefault="008F6FA6" w:rsidP="00D858B0">
      <w:pPr>
        <w:pStyle w:val="FootnoteText"/>
      </w:pPr>
      <w:r>
        <w:rPr>
          <w:rStyle w:val="FootnoteReference"/>
        </w:rPr>
        <w:footnoteRef/>
      </w:r>
      <w:r>
        <w:t xml:space="preserve"> Az alkalmazott forgatókönyveket és azok meghatározásának módját a 2. függelék tartalmazza</w:t>
      </w:r>
    </w:p>
  </w:footnote>
  <w:footnote w:id="114">
    <w:p w14:paraId="56C18E16" w14:textId="77777777" w:rsidR="008F6FA6" w:rsidRDefault="008F6FA6" w:rsidP="00D858B0">
      <w:pPr>
        <w:pStyle w:val="FootnoteText"/>
      </w:pPr>
      <w:r>
        <w:rPr>
          <w:rStyle w:val="FootnoteReference"/>
        </w:rPr>
        <w:footnoteRef/>
      </w:r>
      <w:r>
        <w:t xml:space="preserve"> Ugyanez az eljárás az </w:t>
      </w:r>
      <w:proofErr w:type="spellStart"/>
      <w:r>
        <w:t>NII</w:t>
      </w:r>
      <w:proofErr w:type="spellEnd"/>
      <w:r>
        <w:t xml:space="preserve"> és az EVE érzékenység szerepének megcserélésével az EVE érzékenység súlyának meghatározására is alkalmazható. (Tekintve, hogy </w:t>
      </w:r>
      <w:proofErr w:type="spellStart"/>
      <w:r>
        <w:t>NII</w:t>
      </w:r>
      <w:proofErr w:type="spellEnd"/>
      <w:r>
        <w:t xml:space="preserve"> súly = 1- EVE súly az </w:t>
      </w:r>
      <w:proofErr w:type="spellStart"/>
      <w:r>
        <w:t>eredményül</w:t>
      </w:r>
      <w:proofErr w:type="spellEnd"/>
      <w:r>
        <w:t xml:space="preserve"> kapott végső </w:t>
      </w:r>
      <w:proofErr w:type="spellStart"/>
      <w:r>
        <w:t>NII</w:t>
      </w:r>
      <w:proofErr w:type="spellEnd"/>
      <w:r>
        <w:t xml:space="preserve"> és EVE érzékenységi súlyok azonosak mindkét esetben.)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00B5" w14:textId="77777777" w:rsidR="008F6FA6" w:rsidRDefault="008F6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CA86" w14:textId="77777777" w:rsidR="008F6FA6" w:rsidRDefault="008F6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00EB" w14:textId="77777777" w:rsidR="008F6FA6" w:rsidRDefault="008F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9"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2"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9"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0"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2D4740"/>
    <w:multiLevelType w:val="multilevel"/>
    <w:tmpl w:val="520E45AC"/>
    <w:lvl w:ilvl="0">
      <w:start w:val="1"/>
      <w:numFmt w:val="upperRoman"/>
      <w:pStyle w:val="Heading1"/>
      <w:lvlText w:val="%1."/>
      <w:lvlJc w:val="right"/>
      <w:pPr>
        <w:ind w:left="360" w:hanging="360"/>
      </w:pPr>
    </w:lvl>
    <w:lvl w:ilvl="1">
      <w:start w:val="1"/>
      <w:numFmt w:val="decimal"/>
      <w:pStyle w:val="Heading2"/>
      <w:lvlText w:val="%1.%2"/>
      <w:lvlJc w:val="left"/>
      <w:pPr>
        <w:ind w:left="7664" w:hanging="576"/>
      </w:pPr>
      <w:rPr>
        <w:b/>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5"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46"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0"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1"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53" w15:restartNumberingAfterBreak="0">
    <w:nsid w:val="48B22761"/>
    <w:multiLevelType w:val="hybridMultilevel"/>
    <w:tmpl w:val="2D706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9"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1"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3"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64"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9"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71"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2"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5"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9"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5"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63"/>
  </w:num>
  <w:num w:numId="2">
    <w:abstractNumId w:val="36"/>
  </w:num>
  <w:num w:numId="3">
    <w:abstractNumId w:val="29"/>
  </w:num>
  <w:num w:numId="4">
    <w:abstractNumId w:val="30"/>
  </w:num>
  <w:num w:numId="5">
    <w:abstractNumId w:val="32"/>
  </w:num>
  <w:num w:numId="6">
    <w:abstractNumId w:val="58"/>
  </w:num>
  <w:num w:numId="7">
    <w:abstractNumId w:val="64"/>
  </w:num>
  <w:num w:numId="8">
    <w:abstractNumId w:val="65"/>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47"/>
  </w:num>
  <w:num w:numId="13">
    <w:abstractNumId w:val="17"/>
  </w:num>
  <w:num w:numId="14">
    <w:abstractNumId w:val="6"/>
  </w:num>
  <w:num w:numId="15">
    <w:abstractNumId w:val="23"/>
  </w:num>
  <w:num w:numId="16">
    <w:abstractNumId w:val="16"/>
  </w:num>
  <w:num w:numId="17">
    <w:abstractNumId w:val="86"/>
  </w:num>
  <w:num w:numId="18">
    <w:abstractNumId w:val="57"/>
  </w:num>
  <w:num w:numId="19">
    <w:abstractNumId w:val="78"/>
  </w:num>
  <w:num w:numId="20">
    <w:abstractNumId w:val="45"/>
  </w:num>
  <w:num w:numId="21">
    <w:abstractNumId w:val="49"/>
  </w:num>
  <w:num w:numId="22">
    <w:abstractNumId w:val="66"/>
  </w:num>
  <w:num w:numId="23">
    <w:abstractNumId w:val="74"/>
  </w:num>
  <w:num w:numId="24">
    <w:abstractNumId w:val="13"/>
  </w:num>
  <w:num w:numId="25">
    <w:abstractNumId w:val="11"/>
  </w:num>
  <w:num w:numId="26">
    <w:abstractNumId w:val="20"/>
  </w:num>
  <w:num w:numId="27">
    <w:abstractNumId w:val="76"/>
  </w:num>
  <w:num w:numId="28">
    <w:abstractNumId w:val="53"/>
  </w:num>
  <w:num w:numId="29">
    <w:abstractNumId w:val="39"/>
  </w:num>
  <w:num w:numId="30">
    <w:abstractNumId w:val="73"/>
  </w:num>
  <w:num w:numId="31">
    <w:abstractNumId w:val="10"/>
  </w:num>
  <w:num w:numId="32">
    <w:abstractNumId w:val="24"/>
  </w:num>
  <w:num w:numId="33">
    <w:abstractNumId w:val="67"/>
  </w:num>
  <w:num w:numId="34">
    <w:abstractNumId w:val="9"/>
  </w:num>
  <w:num w:numId="35">
    <w:abstractNumId w:val="31"/>
  </w:num>
  <w:num w:numId="36">
    <w:abstractNumId w:val="26"/>
  </w:num>
  <w:num w:numId="37">
    <w:abstractNumId w:val="59"/>
  </w:num>
  <w:num w:numId="38">
    <w:abstractNumId w:val="81"/>
  </w:num>
  <w:num w:numId="39">
    <w:abstractNumId w:val="56"/>
  </w:num>
  <w:num w:numId="40">
    <w:abstractNumId w:val="55"/>
  </w:num>
  <w:num w:numId="41">
    <w:abstractNumId w:val="42"/>
  </w:num>
  <w:num w:numId="42">
    <w:abstractNumId w:val="87"/>
  </w:num>
  <w:num w:numId="43">
    <w:abstractNumId w:val="69"/>
  </w:num>
  <w:num w:numId="44">
    <w:abstractNumId w:val="34"/>
  </w:num>
  <w:num w:numId="45">
    <w:abstractNumId w:val="28"/>
  </w:num>
  <w:num w:numId="46">
    <w:abstractNumId w:val="77"/>
  </w:num>
  <w:num w:numId="47">
    <w:abstractNumId w:val="71"/>
  </w:num>
  <w:num w:numId="48">
    <w:abstractNumId w:val="88"/>
  </w:num>
  <w:num w:numId="49">
    <w:abstractNumId w:val="82"/>
  </w:num>
  <w:num w:numId="50">
    <w:abstractNumId w:val="35"/>
  </w:num>
  <w:num w:numId="51">
    <w:abstractNumId w:val="68"/>
  </w:num>
  <w:num w:numId="52">
    <w:abstractNumId w:val="84"/>
  </w:num>
  <w:num w:numId="53">
    <w:abstractNumId w:val="4"/>
  </w:num>
  <w:num w:numId="54">
    <w:abstractNumId w:val="25"/>
  </w:num>
  <w:num w:numId="55">
    <w:abstractNumId w:val="2"/>
  </w:num>
  <w:num w:numId="56">
    <w:abstractNumId w:val="19"/>
  </w:num>
  <w:num w:numId="57">
    <w:abstractNumId w:val="52"/>
  </w:num>
  <w:num w:numId="58">
    <w:abstractNumId w:val="60"/>
  </w:num>
  <w:num w:numId="59">
    <w:abstractNumId w:val="5"/>
  </w:num>
  <w:num w:numId="60">
    <w:abstractNumId w:val="8"/>
  </w:num>
  <w:num w:numId="61">
    <w:abstractNumId w:val="21"/>
  </w:num>
  <w:num w:numId="62">
    <w:abstractNumId w:val="72"/>
  </w:num>
  <w:num w:numId="63">
    <w:abstractNumId w:val="75"/>
  </w:num>
  <w:num w:numId="64">
    <w:abstractNumId w:val="79"/>
  </w:num>
  <w:num w:numId="65">
    <w:abstractNumId w:val="51"/>
  </w:num>
  <w:num w:numId="66">
    <w:abstractNumId w:val="61"/>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43"/>
  </w:num>
  <w:num w:numId="73">
    <w:abstractNumId w:val="32"/>
  </w:num>
  <w:num w:numId="74">
    <w:abstractNumId w:val="38"/>
  </w:num>
  <w:num w:numId="75">
    <w:abstractNumId w:val="83"/>
  </w:num>
  <w:num w:numId="76">
    <w:abstractNumId w:val="32"/>
  </w:num>
  <w:num w:numId="77">
    <w:abstractNumId w:val="54"/>
  </w:num>
  <w:num w:numId="78">
    <w:abstractNumId w:val="50"/>
  </w:num>
  <w:num w:numId="79">
    <w:abstractNumId w:val="37"/>
  </w:num>
  <w:num w:numId="80">
    <w:abstractNumId w:val="0"/>
  </w:num>
  <w:num w:numId="81">
    <w:abstractNumId w:val="80"/>
  </w:num>
  <w:num w:numId="82">
    <w:abstractNumId w:val="46"/>
  </w:num>
  <w:num w:numId="83">
    <w:abstractNumId w:val="32"/>
  </w:num>
  <w:num w:numId="84">
    <w:abstractNumId w:val="32"/>
  </w:num>
  <w:num w:numId="85">
    <w:abstractNumId w:val="85"/>
  </w:num>
  <w:num w:numId="86">
    <w:abstractNumId w:val="33"/>
  </w:num>
  <w:num w:numId="87">
    <w:abstractNumId w:val="44"/>
  </w:num>
  <w:num w:numId="88">
    <w:abstractNumId w:val="18"/>
  </w:num>
  <w:num w:numId="89">
    <w:abstractNumId w:val="3"/>
  </w:num>
  <w:num w:numId="90">
    <w:abstractNumId w:val="48"/>
    <w:lvlOverride w:ilvl="0">
      <w:startOverride w:val="1"/>
    </w:lvlOverride>
  </w:num>
  <w:num w:numId="91">
    <w:abstractNumId w:val="12"/>
  </w:num>
  <w:num w:numId="92">
    <w:abstractNumId w:val="40"/>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 w:numId="96">
    <w:abstractNumId w:val="27"/>
  </w:num>
  <w:num w:numId="97">
    <w:abstractNumId w:val="15"/>
  </w:num>
  <w:num w:numId="98">
    <w:abstractNumId w:val="62"/>
  </w:num>
  <w:num w:numId="99">
    <w:abstractNumId w:val="22"/>
  </w:num>
  <w:num w:numId="100">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DC1"/>
    <w:rsid w:val="000025BF"/>
    <w:rsid w:val="00002D0C"/>
    <w:rsid w:val="000035EB"/>
    <w:rsid w:val="00003744"/>
    <w:rsid w:val="000060E3"/>
    <w:rsid w:val="00010D07"/>
    <w:rsid w:val="00014101"/>
    <w:rsid w:val="00015046"/>
    <w:rsid w:val="00015366"/>
    <w:rsid w:val="0001662E"/>
    <w:rsid w:val="00016FE9"/>
    <w:rsid w:val="00017B08"/>
    <w:rsid w:val="00022190"/>
    <w:rsid w:val="00022991"/>
    <w:rsid w:val="00023F48"/>
    <w:rsid w:val="000242DC"/>
    <w:rsid w:val="00024A69"/>
    <w:rsid w:val="00024C4D"/>
    <w:rsid w:val="00024E85"/>
    <w:rsid w:val="00025683"/>
    <w:rsid w:val="00025E27"/>
    <w:rsid w:val="000268E3"/>
    <w:rsid w:val="00026B30"/>
    <w:rsid w:val="00031416"/>
    <w:rsid w:val="00031E1E"/>
    <w:rsid w:val="00033402"/>
    <w:rsid w:val="00034883"/>
    <w:rsid w:val="00034DF6"/>
    <w:rsid w:val="00035E60"/>
    <w:rsid w:val="000366EE"/>
    <w:rsid w:val="0003682E"/>
    <w:rsid w:val="00037775"/>
    <w:rsid w:val="00040A30"/>
    <w:rsid w:val="000410F0"/>
    <w:rsid w:val="00041DED"/>
    <w:rsid w:val="000425C5"/>
    <w:rsid w:val="00042A3D"/>
    <w:rsid w:val="00043570"/>
    <w:rsid w:val="0004362D"/>
    <w:rsid w:val="000466CF"/>
    <w:rsid w:val="000467EF"/>
    <w:rsid w:val="00046B36"/>
    <w:rsid w:val="0004769B"/>
    <w:rsid w:val="000476EE"/>
    <w:rsid w:val="00047DD4"/>
    <w:rsid w:val="00051461"/>
    <w:rsid w:val="000515A8"/>
    <w:rsid w:val="00053374"/>
    <w:rsid w:val="000534A7"/>
    <w:rsid w:val="00053678"/>
    <w:rsid w:val="000542A7"/>
    <w:rsid w:val="000555F0"/>
    <w:rsid w:val="00056BB3"/>
    <w:rsid w:val="00056CCC"/>
    <w:rsid w:val="000572C4"/>
    <w:rsid w:val="00057D73"/>
    <w:rsid w:val="00064978"/>
    <w:rsid w:val="0006733A"/>
    <w:rsid w:val="00070EB0"/>
    <w:rsid w:val="0007245F"/>
    <w:rsid w:val="00072FCE"/>
    <w:rsid w:val="0007324E"/>
    <w:rsid w:val="00073510"/>
    <w:rsid w:val="000750D1"/>
    <w:rsid w:val="00075157"/>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A86"/>
    <w:rsid w:val="00087303"/>
    <w:rsid w:val="00090249"/>
    <w:rsid w:val="000906F1"/>
    <w:rsid w:val="00091BC5"/>
    <w:rsid w:val="00093788"/>
    <w:rsid w:val="000937F9"/>
    <w:rsid w:val="00093A94"/>
    <w:rsid w:val="00093F22"/>
    <w:rsid w:val="00094167"/>
    <w:rsid w:val="00094D59"/>
    <w:rsid w:val="00096BA1"/>
    <w:rsid w:val="00097B7C"/>
    <w:rsid w:val="00097CAE"/>
    <w:rsid w:val="000A019D"/>
    <w:rsid w:val="000A09F7"/>
    <w:rsid w:val="000A2041"/>
    <w:rsid w:val="000A4F8E"/>
    <w:rsid w:val="000A567A"/>
    <w:rsid w:val="000A6500"/>
    <w:rsid w:val="000A68C3"/>
    <w:rsid w:val="000A69B2"/>
    <w:rsid w:val="000A6A50"/>
    <w:rsid w:val="000A71F0"/>
    <w:rsid w:val="000A7275"/>
    <w:rsid w:val="000A7A3D"/>
    <w:rsid w:val="000B07C3"/>
    <w:rsid w:val="000B0CF6"/>
    <w:rsid w:val="000B0FBC"/>
    <w:rsid w:val="000B1B01"/>
    <w:rsid w:val="000B1F57"/>
    <w:rsid w:val="000B226F"/>
    <w:rsid w:val="000B321C"/>
    <w:rsid w:val="000B352E"/>
    <w:rsid w:val="000B53CC"/>
    <w:rsid w:val="000B6C81"/>
    <w:rsid w:val="000B7E31"/>
    <w:rsid w:val="000C14FE"/>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7115"/>
    <w:rsid w:val="000E08E2"/>
    <w:rsid w:val="000E1579"/>
    <w:rsid w:val="000E1E7D"/>
    <w:rsid w:val="000E2057"/>
    <w:rsid w:val="000E3670"/>
    <w:rsid w:val="000E3FB9"/>
    <w:rsid w:val="000E4CEE"/>
    <w:rsid w:val="000E4CF5"/>
    <w:rsid w:val="000E5B22"/>
    <w:rsid w:val="000E7049"/>
    <w:rsid w:val="000E776E"/>
    <w:rsid w:val="000F0ACE"/>
    <w:rsid w:val="000F0CB0"/>
    <w:rsid w:val="000F14DC"/>
    <w:rsid w:val="000F1A4A"/>
    <w:rsid w:val="000F2731"/>
    <w:rsid w:val="000F2858"/>
    <w:rsid w:val="000F34DD"/>
    <w:rsid w:val="000F4621"/>
    <w:rsid w:val="000F503E"/>
    <w:rsid w:val="000F616B"/>
    <w:rsid w:val="000F64D0"/>
    <w:rsid w:val="000F6D84"/>
    <w:rsid w:val="000F6E72"/>
    <w:rsid w:val="00100692"/>
    <w:rsid w:val="00100BB3"/>
    <w:rsid w:val="0010138D"/>
    <w:rsid w:val="0010414D"/>
    <w:rsid w:val="001064F6"/>
    <w:rsid w:val="001069F6"/>
    <w:rsid w:val="00106A0E"/>
    <w:rsid w:val="00107187"/>
    <w:rsid w:val="0010737E"/>
    <w:rsid w:val="00111243"/>
    <w:rsid w:val="001137F6"/>
    <w:rsid w:val="00113EA4"/>
    <w:rsid w:val="001140AE"/>
    <w:rsid w:val="001167E4"/>
    <w:rsid w:val="001176B8"/>
    <w:rsid w:val="00120220"/>
    <w:rsid w:val="00120354"/>
    <w:rsid w:val="00120DA0"/>
    <w:rsid w:val="00121525"/>
    <w:rsid w:val="00121DA4"/>
    <w:rsid w:val="00123206"/>
    <w:rsid w:val="00123EC1"/>
    <w:rsid w:val="0012480B"/>
    <w:rsid w:val="00125697"/>
    <w:rsid w:val="00125E1A"/>
    <w:rsid w:val="00126529"/>
    <w:rsid w:val="00127AD4"/>
    <w:rsid w:val="001305C0"/>
    <w:rsid w:val="001321A0"/>
    <w:rsid w:val="001344E9"/>
    <w:rsid w:val="00134B85"/>
    <w:rsid w:val="001352E0"/>
    <w:rsid w:val="00135319"/>
    <w:rsid w:val="001359F2"/>
    <w:rsid w:val="00135ACE"/>
    <w:rsid w:val="001373CC"/>
    <w:rsid w:val="00137D76"/>
    <w:rsid w:val="0014015A"/>
    <w:rsid w:val="0014218C"/>
    <w:rsid w:val="00143C57"/>
    <w:rsid w:val="00144C1E"/>
    <w:rsid w:val="00144D2F"/>
    <w:rsid w:val="0014509A"/>
    <w:rsid w:val="0015018C"/>
    <w:rsid w:val="001510EC"/>
    <w:rsid w:val="00152686"/>
    <w:rsid w:val="00152E5A"/>
    <w:rsid w:val="00153970"/>
    <w:rsid w:val="00154185"/>
    <w:rsid w:val="001547F9"/>
    <w:rsid w:val="00154847"/>
    <w:rsid w:val="00155CB3"/>
    <w:rsid w:val="001566D2"/>
    <w:rsid w:val="00161250"/>
    <w:rsid w:val="0016265D"/>
    <w:rsid w:val="00162AF1"/>
    <w:rsid w:val="00162D18"/>
    <w:rsid w:val="00163159"/>
    <w:rsid w:val="001648D3"/>
    <w:rsid w:val="00164F34"/>
    <w:rsid w:val="001651DB"/>
    <w:rsid w:val="001652BC"/>
    <w:rsid w:val="00170021"/>
    <w:rsid w:val="001706AA"/>
    <w:rsid w:val="0017108A"/>
    <w:rsid w:val="00172059"/>
    <w:rsid w:val="00172C60"/>
    <w:rsid w:val="001738B2"/>
    <w:rsid w:val="00173EDD"/>
    <w:rsid w:val="00173F45"/>
    <w:rsid w:val="00174EFA"/>
    <w:rsid w:val="00175385"/>
    <w:rsid w:val="00175A5A"/>
    <w:rsid w:val="0017614A"/>
    <w:rsid w:val="001761CF"/>
    <w:rsid w:val="00177FE9"/>
    <w:rsid w:val="00181755"/>
    <w:rsid w:val="00181DC0"/>
    <w:rsid w:val="00181DD4"/>
    <w:rsid w:val="00182AAE"/>
    <w:rsid w:val="00182B4E"/>
    <w:rsid w:val="001833CF"/>
    <w:rsid w:val="001834BC"/>
    <w:rsid w:val="00185637"/>
    <w:rsid w:val="001856B8"/>
    <w:rsid w:val="00185A5E"/>
    <w:rsid w:val="00186B09"/>
    <w:rsid w:val="00186E9D"/>
    <w:rsid w:val="001877FB"/>
    <w:rsid w:val="001904FA"/>
    <w:rsid w:val="00190A6A"/>
    <w:rsid w:val="00192898"/>
    <w:rsid w:val="00192FD4"/>
    <w:rsid w:val="00193D83"/>
    <w:rsid w:val="00193E76"/>
    <w:rsid w:val="001941C5"/>
    <w:rsid w:val="00194BBE"/>
    <w:rsid w:val="00194F28"/>
    <w:rsid w:val="00195DF9"/>
    <w:rsid w:val="00195E0E"/>
    <w:rsid w:val="001965CB"/>
    <w:rsid w:val="001A05BB"/>
    <w:rsid w:val="001A0B48"/>
    <w:rsid w:val="001A1644"/>
    <w:rsid w:val="001A1A08"/>
    <w:rsid w:val="001A25C4"/>
    <w:rsid w:val="001A51CE"/>
    <w:rsid w:val="001A580F"/>
    <w:rsid w:val="001A5C89"/>
    <w:rsid w:val="001A5CBE"/>
    <w:rsid w:val="001A7470"/>
    <w:rsid w:val="001B0FD9"/>
    <w:rsid w:val="001B1700"/>
    <w:rsid w:val="001B3170"/>
    <w:rsid w:val="001B5F55"/>
    <w:rsid w:val="001C00CB"/>
    <w:rsid w:val="001C30EE"/>
    <w:rsid w:val="001C397D"/>
    <w:rsid w:val="001C44E8"/>
    <w:rsid w:val="001C4DF8"/>
    <w:rsid w:val="001C50DA"/>
    <w:rsid w:val="001C5AFC"/>
    <w:rsid w:val="001C5E2E"/>
    <w:rsid w:val="001C6619"/>
    <w:rsid w:val="001C6A52"/>
    <w:rsid w:val="001C6CFF"/>
    <w:rsid w:val="001C7769"/>
    <w:rsid w:val="001D0AF6"/>
    <w:rsid w:val="001D104C"/>
    <w:rsid w:val="001D1C2B"/>
    <w:rsid w:val="001D2681"/>
    <w:rsid w:val="001D3838"/>
    <w:rsid w:val="001D3BDB"/>
    <w:rsid w:val="001D3EB3"/>
    <w:rsid w:val="001D6132"/>
    <w:rsid w:val="001D65B5"/>
    <w:rsid w:val="001D6902"/>
    <w:rsid w:val="001D6BCC"/>
    <w:rsid w:val="001D6E01"/>
    <w:rsid w:val="001E0771"/>
    <w:rsid w:val="001E1742"/>
    <w:rsid w:val="001E2407"/>
    <w:rsid w:val="001E3371"/>
    <w:rsid w:val="001E3A50"/>
    <w:rsid w:val="001E4C69"/>
    <w:rsid w:val="001E659E"/>
    <w:rsid w:val="001E7DD7"/>
    <w:rsid w:val="001F06F8"/>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5F27"/>
    <w:rsid w:val="002077EB"/>
    <w:rsid w:val="002077FB"/>
    <w:rsid w:val="00210431"/>
    <w:rsid w:val="002119F1"/>
    <w:rsid w:val="00212001"/>
    <w:rsid w:val="00212C3C"/>
    <w:rsid w:val="00213618"/>
    <w:rsid w:val="00213651"/>
    <w:rsid w:val="002157AD"/>
    <w:rsid w:val="00216775"/>
    <w:rsid w:val="002169BD"/>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A2F"/>
    <w:rsid w:val="002424F0"/>
    <w:rsid w:val="00243208"/>
    <w:rsid w:val="0024394E"/>
    <w:rsid w:val="00243CD2"/>
    <w:rsid w:val="0024432D"/>
    <w:rsid w:val="002462AB"/>
    <w:rsid w:val="00246875"/>
    <w:rsid w:val="00247390"/>
    <w:rsid w:val="002478DD"/>
    <w:rsid w:val="002512FF"/>
    <w:rsid w:val="002518ED"/>
    <w:rsid w:val="00251AEF"/>
    <w:rsid w:val="00251CC1"/>
    <w:rsid w:val="00251E4F"/>
    <w:rsid w:val="00251E8B"/>
    <w:rsid w:val="00251EA3"/>
    <w:rsid w:val="0025294A"/>
    <w:rsid w:val="00253911"/>
    <w:rsid w:val="00253978"/>
    <w:rsid w:val="00253A81"/>
    <w:rsid w:val="00255938"/>
    <w:rsid w:val="00255B21"/>
    <w:rsid w:val="00256599"/>
    <w:rsid w:val="0025666E"/>
    <w:rsid w:val="00260322"/>
    <w:rsid w:val="00260EB1"/>
    <w:rsid w:val="002610E5"/>
    <w:rsid w:val="0026533F"/>
    <w:rsid w:val="00267047"/>
    <w:rsid w:val="002671CC"/>
    <w:rsid w:val="00270DAD"/>
    <w:rsid w:val="00270EA9"/>
    <w:rsid w:val="00271AC8"/>
    <w:rsid w:val="00273AE4"/>
    <w:rsid w:val="00274C60"/>
    <w:rsid w:val="00274E3A"/>
    <w:rsid w:val="00274E9B"/>
    <w:rsid w:val="00275765"/>
    <w:rsid w:val="00275B2F"/>
    <w:rsid w:val="0027641C"/>
    <w:rsid w:val="00277F4A"/>
    <w:rsid w:val="0028091F"/>
    <w:rsid w:val="00280E47"/>
    <w:rsid w:val="00281BE6"/>
    <w:rsid w:val="002828ED"/>
    <w:rsid w:val="00282E08"/>
    <w:rsid w:val="00283417"/>
    <w:rsid w:val="0028649C"/>
    <w:rsid w:val="00286615"/>
    <w:rsid w:val="002870FA"/>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8A3"/>
    <w:rsid w:val="002A7A9B"/>
    <w:rsid w:val="002B4C88"/>
    <w:rsid w:val="002B5167"/>
    <w:rsid w:val="002B55ED"/>
    <w:rsid w:val="002B5C0A"/>
    <w:rsid w:val="002B5C75"/>
    <w:rsid w:val="002B5C92"/>
    <w:rsid w:val="002B7E0B"/>
    <w:rsid w:val="002C0EDD"/>
    <w:rsid w:val="002C30A8"/>
    <w:rsid w:val="002C3E60"/>
    <w:rsid w:val="002C4CAC"/>
    <w:rsid w:val="002C567F"/>
    <w:rsid w:val="002C6723"/>
    <w:rsid w:val="002C6E87"/>
    <w:rsid w:val="002C6F61"/>
    <w:rsid w:val="002C7094"/>
    <w:rsid w:val="002C7143"/>
    <w:rsid w:val="002C7188"/>
    <w:rsid w:val="002D0C5A"/>
    <w:rsid w:val="002D253C"/>
    <w:rsid w:val="002D3AED"/>
    <w:rsid w:val="002D500B"/>
    <w:rsid w:val="002D7458"/>
    <w:rsid w:val="002D7655"/>
    <w:rsid w:val="002E1153"/>
    <w:rsid w:val="002E2FC9"/>
    <w:rsid w:val="002E348F"/>
    <w:rsid w:val="002E3859"/>
    <w:rsid w:val="002E452A"/>
    <w:rsid w:val="002E4AB1"/>
    <w:rsid w:val="002E5CDC"/>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B26"/>
    <w:rsid w:val="00316DA6"/>
    <w:rsid w:val="003172E9"/>
    <w:rsid w:val="00321810"/>
    <w:rsid w:val="0032237B"/>
    <w:rsid w:val="00322930"/>
    <w:rsid w:val="00323C6B"/>
    <w:rsid w:val="00323FB3"/>
    <w:rsid w:val="003248E9"/>
    <w:rsid w:val="003249E6"/>
    <w:rsid w:val="00324C44"/>
    <w:rsid w:val="0032567D"/>
    <w:rsid w:val="00326782"/>
    <w:rsid w:val="003302AA"/>
    <w:rsid w:val="0033034F"/>
    <w:rsid w:val="00332530"/>
    <w:rsid w:val="00333C2F"/>
    <w:rsid w:val="00333FF1"/>
    <w:rsid w:val="003340FD"/>
    <w:rsid w:val="00335A29"/>
    <w:rsid w:val="00337C85"/>
    <w:rsid w:val="003417F4"/>
    <w:rsid w:val="0034313F"/>
    <w:rsid w:val="00343170"/>
    <w:rsid w:val="0034383E"/>
    <w:rsid w:val="00344E25"/>
    <w:rsid w:val="00345D56"/>
    <w:rsid w:val="00347860"/>
    <w:rsid w:val="00347B26"/>
    <w:rsid w:val="00347DBF"/>
    <w:rsid w:val="0035006D"/>
    <w:rsid w:val="003510DA"/>
    <w:rsid w:val="0035647E"/>
    <w:rsid w:val="0035659B"/>
    <w:rsid w:val="003576C1"/>
    <w:rsid w:val="00357973"/>
    <w:rsid w:val="00361648"/>
    <w:rsid w:val="00362982"/>
    <w:rsid w:val="003646BB"/>
    <w:rsid w:val="00364972"/>
    <w:rsid w:val="00366C3F"/>
    <w:rsid w:val="00370124"/>
    <w:rsid w:val="00373E9C"/>
    <w:rsid w:val="003740BE"/>
    <w:rsid w:val="00375906"/>
    <w:rsid w:val="00380465"/>
    <w:rsid w:val="003812BE"/>
    <w:rsid w:val="003815F7"/>
    <w:rsid w:val="00382675"/>
    <w:rsid w:val="003826DA"/>
    <w:rsid w:val="00382918"/>
    <w:rsid w:val="00382AD3"/>
    <w:rsid w:val="003841D3"/>
    <w:rsid w:val="00384A73"/>
    <w:rsid w:val="0038615A"/>
    <w:rsid w:val="00386525"/>
    <w:rsid w:val="00386BDB"/>
    <w:rsid w:val="00386C5F"/>
    <w:rsid w:val="0038713E"/>
    <w:rsid w:val="00387577"/>
    <w:rsid w:val="0038768D"/>
    <w:rsid w:val="00387E25"/>
    <w:rsid w:val="00387E6B"/>
    <w:rsid w:val="003910A0"/>
    <w:rsid w:val="00391E34"/>
    <w:rsid w:val="003922B2"/>
    <w:rsid w:val="00392323"/>
    <w:rsid w:val="00392C22"/>
    <w:rsid w:val="00395093"/>
    <w:rsid w:val="0039545E"/>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53B9"/>
    <w:rsid w:val="003A5D8A"/>
    <w:rsid w:val="003A6D7C"/>
    <w:rsid w:val="003A7094"/>
    <w:rsid w:val="003A7131"/>
    <w:rsid w:val="003A7546"/>
    <w:rsid w:val="003B07C4"/>
    <w:rsid w:val="003B1C57"/>
    <w:rsid w:val="003B2153"/>
    <w:rsid w:val="003B21EC"/>
    <w:rsid w:val="003B32D4"/>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F0173"/>
    <w:rsid w:val="003F10F0"/>
    <w:rsid w:val="003F11C9"/>
    <w:rsid w:val="003F18D6"/>
    <w:rsid w:val="003F1E41"/>
    <w:rsid w:val="003F28CA"/>
    <w:rsid w:val="003F29E3"/>
    <w:rsid w:val="003F55A3"/>
    <w:rsid w:val="003F5A97"/>
    <w:rsid w:val="003F6071"/>
    <w:rsid w:val="003F7299"/>
    <w:rsid w:val="003F7941"/>
    <w:rsid w:val="003F7B19"/>
    <w:rsid w:val="003F7D3F"/>
    <w:rsid w:val="00401B1A"/>
    <w:rsid w:val="00402081"/>
    <w:rsid w:val="004036AB"/>
    <w:rsid w:val="0040383A"/>
    <w:rsid w:val="00403ABE"/>
    <w:rsid w:val="00404C14"/>
    <w:rsid w:val="00406046"/>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2197"/>
    <w:rsid w:val="004323AA"/>
    <w:rsid w:val="00432D90"/>
    <w:rsid w:val="00433073"/>
    <w:rsid w:val="0043357D"/>
    <w:rsid w:val="004335F3"/>
    <w:rsid w:val="00433BAF"/>
    <w:rsid w:val="0043406C"/>
    <w:rsid w:val="0043512F"/>
    <w:rsid w:val="004351D3"/>
    <w:rsid w:val="00435A67"/>
    <w:rsid w:val="00436CB7"/>
    <w:rsid w:val="00436D8E"/>
    <w:rsid w:val="00437181"/>
    <w:rsid w:val="00437DF0"/>
    <w:rsid w:val="00440A62"/>
    <w:rsid w:val="00441144"/>
    <w:rsid w:val="00441A10"/>
    <w:rsid w:val="00441EFF"/>
    <w:rsid w:val="00442F8A"/>
    <w:rsid w:val="00444570"/>
    <w:rsid w:val="00444FB4"/>
    <w:rsid w:val="0044622D"/>
    <w:rsid w:val="00446EEF"/>
    <w:rsid w:val="00447B28"/>
    <w:rsid w:val="0045048B"/>
    <w:rsid w:val="0045209B"/>
    <w:rsid w:val="0045356E"/>
    <w:rsid w:val="00453A7E"/>
    <w:rsid w:val="004547BB"/>
    <w:rsid w:val="00455242"/>
    <w:rsid w:val="00455B2C"/>
    <w:rsid w:val="00455C12"/>
    <w:rsid w:val="00455DD2"/>
    <w:rsid w:val="00456E98"/>
    <w:rsid w:val="004609BA"/>
    <w:rsid w:val="00461076"/>
    <w:rsid w:val="00461238"/>
    <w:rsid w:val="004614E8"/>
    <w:rsid w:val="00461676"/>
    <w:rsid w:val="00461900"/>
    <w:rsid w:val="00463CC4"/>
    <w:rsid w:val="00467A7D"/>
    <w:rsid w:val="00467BDA"/>
    <w:rsid w:val="00470BBA"/>
    <w:rsid w:val="00471B20"/>
    <w:rsid w:val="00471C8C"/>
    <w:rsid w:val="00471F6F"/>
    <w:rsid w:val="004738D9"/>
    <w:rsid w:val="004746B1"/>
    <w:rsid w:val="00474AA0"/>
    <w:rsid w:val="00474EC8"/>
    <w:rsid w:val="004753B5"/>
    <w:rsid w:val="00477563"/>
    <w:rsid w:val="00477C75"/>
    <w:rsid w:val="00477FEB"/>
    <w:rsid w:val="00480FE5"/>
    <w:rsid w:val="00481D30"/>
    <w:rsid w:val="00481E47"/>
    <w:rsid w:val="00482794"/>
    <w:rsid w:val="0048647B"/>
    <w:rsid w:val="00486673"/>
    <w:rsid w:val="0048686D"/>
    <w:rsid w:val="00486B11"/>
    <w:rsid w:val="00486DEB"/>
    <w:rsid w:val="00487A7E"/>
    <w:rsid w:val="004917BD"/>
    <w:rsid w:val="004923C4"/>
    <w:rsid w:val="00492D3A"/>
    <w:rsid w:val="00493ABE"/>
    <w:rsid w:val="00493AF6"/>
    <w:rsid w:val="00494EC0"/>
    <w:rsid w:val="004955AB"/>
    <w:rsid w:val="004957A7"/>
    <w:rsid w:val="00495E5D"/>
    <w:rsid w:val="00495F5E"/>
    <w:rsid w:val="00496710"/>
    <w:rsid w:val="00496947"/>
    <w:rsid w:val="0049763B"/>
    <w:rsid w:val="004A0E24"/>
    <w:rsid w:val="004A235D"/>
    <w:rsid w:val="004A28F8"/>
    <w:rsid w:val="004A30D7"/>
    <w:rsid w:val="004A421A"/>
    <w:rsid w:val="004A5C65"/>
    <w:rsid w:val="004A76BB"/>
    <w:rsid w:val="004A7B9E"/>
    <w:rsid w:val="004A7CB9"/>
    <w:rsid w:val="004B0A97"/>
    <w:rsid w:val="004B11F8"/>
    <w:rsid w:val="004B3145"/>
    <w:rsid w:val="004B4372"/>
    <w:rsid w:val="004B47CB"/>
    <w:rsid w:val="004B5D1A"/>
    <w:rsid w:val="004B5E63"/>
    <w:rsid w:val="004B6E80"/>
    <w:rsid w:val="004B74AE"/>
    <w:rsid w:val="004B7E48"/>
    <w:rsid w:val="004C00DC"/>
    <w:rsid w:val="004C07A5"/>
    <w:rsid w:val="004C15B7"/>
    <w:rsid w:val="004C402E"/>
    <w:rsid w:val="004C60BC"/>
    <w:rsid w:val="004C6444"/>
    <w:rsid w:val="004C65DF"/>
    <w:rsid w:val="004C6A55"/>
    <w:rsid w:val="004D05D0"/>
    <w:rsid w:val="004D1282"/>
    <w:rsid w:val="004D1401"/>
    <w:rsid w:val="004D1E56"/>
    <w:rsid w:val="004D1FF0"/>
    <w:rsid w:val="004D544B"/>
    <w:rsid w:val="004D593F"/>
    <w:rsid w:val="004D6790"/>
    <w:rsid w:val="004D7153"/>
    <w:rsid w:val="004E0090"/>
    <w:rsid w:val="004E015C"/>
    <w:rsid w:val="004E069F"/>
    <w:rsid w:val="004E084F"/>
    <w:rsid w:val="004E0D54"/>
    <w:rsid w:val="004E1745"/>
    <w:rsid w:val="004E21EE"/>
    <w:rsid w:val="004E3B21"/>
    <w:rsid w:val="004E3CBE"/>
    <w:rsid w:val="004E44B0"/>
    <w:rsid w:val="004E4EC7"/>
    <w:rsid w:val="004E5D57"/>
    <w:rsid w:val="004E72FF"/>
    <w:rsid w:val="004E7350"/>
    <w:rsid w:val="004E77F5"/>
    <w:rsid w:val="004F0108"/>
    <w:rsid w:val="004F042B"/>
    <w:rsid w:val="004F0500"/>
    <w:rsid w:val="004F0764"/>
    <w:rsid w:val="004F1AE4"/>
    <w:rsid w:val="004F1FB0"/>
    <w:rsid w:val="004F23D6"/>
    <w:rsid w:val="004F403F"/>
    <w:rsid w:val="004F461B"/>
    <w:rsid w:val="004F4B52"/>
    <w:rsid w:val="004F715E"/>
    <w:rsid w:val="005004CD"/>
    <w:rsid w:val="00500867"/>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465"/>
    <w:rsid w:val="0051247D"/>
    <w:rsid w:val="00512A9C"/>
    <w:rsid w:val="00512DD5"/>
    <w:rsid w:val="00513A4F"/>
    <w:rsid w:val="00514074"/>
    <w:rsid w:val="00514E02"/>
    <w:rsid w:val="00515450"/>
    <w:rsid w:val="0051553D"/>
    <w:rsid w:val="00516D94"/>
    <w:rsid w:val="00517162"/>
    <w:rsid w:val="005200BE"/>
    <w:rsid w:val="00520F07"/>
    <w:rsid w:val="00521748"/>
    <w:rsid w:val="00521B30"/>
    <w:rsid w:val="005227B4"/>
    <w:rsid w:val="005230E4"/>
    <w:rsid w:val="005236D0"/>
    <w:rsid w:val="00524D58"/>
    <w:rsid w:val="0052582E"/>
    <w:rsid w:val="0052597F"/>
    <w:rsid w:val="00526EFB"/>
    <w:rsid w:val="00527494"/>
    <w:rsid w:val="0053007E"/>
    <w:rsid w:val="005315EA"/>
    <w:rsid w:val="00531A1D"/>
    <w:rsid w:val="00531EE6"/>
    <w:rsid w:val="0053246F"/>
    <w:rsid w:val="00532A9C"/>
    <w:rsid w:val="0053314E"/>
    <w:rsid w:val="0053410B"/>
    <w:rsid w:val="00534305"/>
    <w:rsid w:val="00537118"/>
    <w:rsid w:val="00537232"/>
    <w:rsid w:val="00537290"/>
    <w:rsid w:val="00537768"/>
    <w:rsid w:val="00537E82"/>
    <w:rsid w:val="00540601"/>
    <w:rsid w:val="00540EC2"/>
    <w:rsid w:val="0054155A"/>
    <w:rsid w:val="00541E50"/>
    <w:rsid w:val="00542A9C"/>
    <w:rsid w:val="00542F0B"/>
    <w:rsid w:val="00543F79"/>
    <w:rsid w:val="00544188"/>
    <w:rsid w:val="0054446E"/>
    <w:rsid w:val="00544B6E"/>
    <w:rsid w:val="00544D9F"/>
    <w:rsid w:val="00545EAB"/>
    <w:rsid w:val="005468DF"/>
    <w:rsid w:val="00547ADD"/>
    <w:rsid w:val="00550708"/>
    <w:rsid w:val="0055259B"/>
    <w:rsid w:val="00552A78"/>
    <w:rsid w:val="0055344A"/>
    <w:rsid w:val="00553A85"/>
    <w:rsid w:val="00554995"/>
    <w:rsid w:val="00555012"/>
    <w:rsid w:val="0055563D"/>
    <w:rsid w:val="0055738A"/>
    <w:rsid w:val="005577C3"/>
    <w:rsid w:val="00560BA5"/>
    <w:rsid w:val="00560DF5"/>
    <w:rsid w:val="00561A6B"/>
    <w:rsid w:val="0056521E"/>
    <w:rsid w:val="005666C6"/>
    <w:rsid w:val="00567067"/>
    <w:rsid w:val="00567C0A"/>
    <w:rsid w:val="005709D8"/>
    <w:rsid w:val="00571550"/>
    <w:rsid w:val="0057283C"/>
    <w:rsid w:val="00572CE4"/>
    <w:rsid w:val="00573205"/>
    <w:rsid w:val="00573396"/>
    <w:rsid w:val="00575610"/>
    <w:rsid w:val="005757B4"/>
    <w:rsid w:val="00575D8D"/>
    <w:rsid w:val="0057698F"/>
    <w:rsid w:val="00577438"/>
    <w:rsid w:val="005804BF"/>
    <w:rsid w:val="00582E7E"/>
    <w:rsid w:val="0058369F"/>
    <w:rsid w:val="005856D2"/>
    <w:rsid w:val="005860C4"/>
    <w:rsid w:val="0058704E"/>
    <w:rsid w:val="005876A8"/>
    <w:rsid w:val="005878F5"/>
    <w:rsid w:val="00587F57"/>
    <w:rsid w:val="00591CAE"/>
    <w:rsid w:val="00591E58"/>
    <w:rsid w:val="00592384"/>
    <w:rsid w:val="00593824"/>
    <w:rsid w:val="005942F6"/>
    <w:rsid w:val="0059569A"/>
    <w:rsid w:val="0059648E"/>
    <w:rsid w:val="00596DBE"/>
    <w:rsid w:val="005A0D7F"/>
    <w:rsid w:val="005A1117"/>
    <w:rsid w:val="005A2595"/>
    <w:rsid w:val="005A30A2"/>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461"/>
    <w:rsid w:val="005C4A53"/>
    <w:rsid w:val="005C5D1A"/>
    <w:rsid w:val="005C65E5"/>
    <w:rsid w:val="005C66E4"/>
    <w:rsid w:val="005C695F"/>
    <w:rsid w:val="005C7F0A"/>
    <w:rsid w:val="005D188C"/>
    <w:rsid w:val="005D2A88"/>
    <w:rsid w:val="005D2ADC"/>
    <w:rsid w:val="005D2B95"/>
    <w:rsid w:val="005D375D"/>
    <w:rsid w:val="005D37CB"/>
    <w:rsid w:val="005D3A91"/>
    <w:rsid w:val="005D4ECF"/>
    <w:rsid w:val="005D5056"/>
    <w:rsid w:val="005D568D"/>
    <w:rsid w:val="005D6278"/>
    <w:rsid w:val="005D67F5"/>
    <w:rsid w:val="005E11DA"/>
    <w:rsid w:val="005E15EE"/>
    <w:rsid w:val="005E1B45"/>
    <w:rsid w:val="005E2AD2"/>
    <w:rsid w:val="005E3CC5"/>
    <w:rsid w:val="005E416C"/>
    <w:rsid w:val="005E50D1"/>
    <w:rsid w:val="005E6EF8"/>
    <w:rsid w:val="005E767A"/>
    <w:rsid w:val="005F1F15"/>
    <w:rsid w:val="005F213D"/>
    <w:rsid w:val="005F2B19"/>
    <w:rsid w:val="005F2E46"/>
    <w:rsid w:val="005F5123"/>
    <w:rsid w:val="005F53B5"/>
    <w:rsid w:val="005F54F7"/>
    <w:rsid w:val="005F595F"/>
    <w:rsid w:val="005F6CEC"/>
    <w:rsid w:val="005F6EFE"/>
    <w:rsid w:val="005F6FF2"/>
    <w:rsid w:val="00601153"/>
    <w:rsid w:val="006015F3"/>
    <w:rsid w:val="006017E0"/>
    <w:rsid w:val="00602504"/>
    <w:rsid w:val="00603FDF"/>
    <w:rsid w:val="00604827"/>
    <w:rsid w:val="00605303"/>
    <w:rsid w:val="006053A3"/>
    <w:rsid w:val="006054A2"/>
    <w:rsid w:val="00605F63"/>
    <w:rsid w:val="00606CAE"/>
    <w:rsid w:val="00607378"/>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4E5"/>
    <w:rsid w:val="00620677"/>
    <w:rsid w:val="006209C0"/>
    <w:rsid w:val="00620D5E"/>
    <w:rsid w:val="006210AC"/>
    <w:rsid w:val="00621674"/>
    <w:rsid w:val="00621EFE"/>
    <w:rsid w:val="006222C9"/>
    <w:rsid w:val="006237F9"/>
    <w:rsid w:val="00623AE3"/>
    <w:rsid w:val="00623C74"/>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2276"/>
    <w:rsid w:val="006323BB"/>
    <w:rsid w:val="006340AB"/>
    <w:rsid w:val="006346DA"/>
    <w:rsid w:val="006367B6"/>
    <w:rsid w:val="00636B53"/>
    <w:rsid w:val="00637067"/>
    <w:rsid w:val="006371F7"/>
    <w:rsid w:val="0063754C"/>
    <w:rsid w:val="006418C7"/>
    <w:rsid w:val="00641C17"/>
    <w:rsid w:val="006420CF"/>
    <w:rsid w:val="00642F5F"/>
    <w:rsid w:val="006432F1"/>
    <w:rsid w:val="0064349E"/>
    <w:rsid w:val="00644305"/>
    <w:rsid w:val="00644805"/>
    <w:rsid w:val="00644A5F"/>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15A1"/>
    <w:rsid w:val="00662FFE"/>
    <w:rsid w:val="006636DD"/>
    <w:rsid w:val="00663A64"/>
    <w:rsid w:val="00664BC0"/>
    <w:rsid w:val="00664D5A"/>
    <w:rsid w:val="00665EE7"/>
    <w:rsid w:val="0066676E"/>
    <w:rsid w:val="006668C3"/>
    <w:rsid w:val="006707DF"/>
    <w:rsid w:val="0067132C"/>
    <w:rsid w:val="006731AE"/>
    <w:rsid w:val="006732A8"/>
    <w:rsid w:val="006734CE"/>
    <w:rsid w:val="00673840"/>
    <w:rsid w:val="00673AEE"/>
    <w:rsid w:val="00673C11"/>
    <w:rsid w:val="00675061"/>
    <w:rsid w:val="006759B5"/>
    <w:rsid w:val="00676EC1"/>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4312"/>
    <w:rsid w:val="006947CD"/>
    <w:rsid w:val="0069492F"/>
    <w:rsid w:val="00694B37"/>
    <w:rsid w:val="006951F9"/>
    <w:rsid w:val="00695BE5"/>
    <w:rsid w:val="00696745"/>
    <w:rsid w:val="00696764"/>
    <w:rsid w:val="0069677A"/>
    <w:rsid w:val="006968FB"/>
    <w:rsid w:val="00696CCE"/>
    <w:rsid w:val="006A0743"/>
    <w:rsid w:val="006A08BA"/>
    <w:rsid w:val="006A2138"/>
    <w:rsid w:val="006A4182"/>
    <w:rsid w:val="006A462E"/>
    <w:rsid w:val="006A4E0E"/>
    <w:rsid w:val="006A5C40"/>
    <w:rsid w:val="006A60C7"/>
    <w:rsid w:val="006A689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562C"/>
    <w:rsid w:val="006C669F"/>
    <w:rsid w:val="006C6B2E"/>
    <w:rsid w:val="006C6FF7"/>
    <w:rsid w:val="006D02CF"/>
    <w:rsid w:val="006D1008"/>
    <w:rsid w:val="006D24E0"/>
    <w:rsid w:val="006D4F56"/>
    <w:rsid w:val="006D55E7"/>
    <w:rsid w:val="006D60FA"/>
    <w:rsid w:val="006D6B65"/>
    <w:rsid w:val="006D77D3"/>
    <w:rsid w:val="006E0409"/>
    <w:rsid w:val="006E0496"/>
    <w:rsid w:val="006E05F6"/>
    <w:rsid w:val="006E1975"/>
    <w:rsid w:val="006E1B53"/>
    <w:rsid w:val="006E35C3"/>
    <w:rsid w:val="006E50F8"/>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5AAD"/>
    <w:rsid w:val="00705E1D"/>
    <w:rsid w:val="00706B30"/>
    <w:rsid w:val="00706CB4"/>
    <w:rsid w:val="007073D3"/>
    <w:rsid w:val="00707405"/>
    <w:rsid w:val="00707970"/>
    <w:rsid w:val="00714DBB"/>
    <w:rsid w:val="0071509E"/>
    <w:rsid w:val="00715108"/>
    <w:rsid w:val="00715796"/>
    <w:rsid w:val="007176F8"/>
    <w:rsid w:val="00717A64"/>
    <w:rsid w:val="00720EEF"/>
    <w:rsid w:val="00721261"/>
    <w:rsid w:val="00721B70"/>
    <w:rsid w:val="0072209C"/>
    <w:rsid w:val="0072398B"/>
    <w:rsid w:val="0072572B"/>
    <w:rsid w:val="00725F72"/>
    <w:rsid w:val="00726A4E"/>
    <w:rsid w:val="00732758"/>
    <w:rsid w:val="007327A8"/>
    <w:rsid w:val="00734CDC"/>
    <w:rsid w:val="00735823"/>
    <w:rsid w:val="00735917"/>
    <w:rsid w:val="007371F0"/>
    <w:rsid w:val="00737B3F"/>
    <w:rsid w:val="007406E5"/>
    <w:rsid w:val="00743459"/>
    <w:rsid w:val="007441F6"/>
    <w:rsid w:val="00744C91"/>
    <w:rsid w:val="00745563"/>
    <w:rsid w:val="00745F2B"/>
    <w:rsid w:val="007463EB"/>
    <w:rsid w:val="00746905"/>
    <w:rsid w:val="00747411"/>
    <w:rsid w:val="007479E6"/>
    <w:rsid w:val="00750390"/>
    <w:rsid w:val="00750487"/>
    <w:rsid w:val="007514BB"/>
    <w:rsid w:val="007519A2"/>
    <w:rsid w:val="00751F48"/>
    <w:rsid w:val="00752247"/>
    <w:rsid w:val="007529AA"/>
    <w:rsid w:val="007550D9"/>
    <w:rsid w:val="0075527B"/>
    <w:rsid w:val="0075653C"/>
    <w:rsid w:val="00757D4E"/>
    <w:rsid w:val="007600C8"/>
    <w:rsid w:val="00761C69"/>
    <w:rsid w:val="00762B82"/>
    <w:rsid w:val="00763C74"/>
    <w:rsid w:val="00764F7C"/>
    <w:rsid w:val="00766739"/>
    <w:rsid w:val="007672C1"/>
    <w:rsid w:val="007674A5"/>
    <w:rsid w:val="00767AA3"/>
    <w:rsid w:val="00767CAB"/>
    <w:rsid w:val="00770AC4"/>
    <w:rsid w:val="00771801"/>
    <w:rsid w:val="00771A9E"/>
    <w:rsid w:val="00771F76"/>
    <w:rsid w:val="007732C9"/>
    <w:rsid w:val="00774A7B"/>
    <w:rsid w:val="00775512"/>
    <w:rsid w:val="007759D3"/>
    <w:rsid w:val="00777457"/>
    <w:rsid w:val="007775BD"/>
    <w:rsid w:val="00777836"/>
    <w:rsid w:val="00780492"/>
    <w:rsid w:val="00780738"/>
    <w:rsid w:val="007819A4"/>
    <w:rsid w:val="00781ABF"/>
    <w:rsid w:val="00781B82"/>
    <w:rsid w:val="00782207"/>
    <w:rsid w:val="00783991"/>
    <w:rsid w:val="0078653E"/>
    <w:rsid w:val="00786EAC"/>
    <w:rsid w:val="00786EF5"/>
    <w:rsid w:val="007870BA"/>
    <w:rsid w:val="00791BFD"/>
    <w:rsid w:val="00792176"/>
    <w:rsid w:val="00792BC5"/>
    <w:rsid w:val="007935CA"/>
    <w:rsid w:val="00794A0B"/>
    <w:rsid w:val="0079586C"/>
    <w:rsid w:val="00797AF0"/>
    <w:rsid w:val="007A1154"/>
    <w:rsid w:val="007A19CF"/>
    <w:rsid w:val="007A19D6"/>
    <w:rsid w:val="007A236D"/>
    <w:rsid w:val="007A2779"/>
    <w:rsid w:val="007A2F89"/>
    <w:rsid w:val="007A3A12"/>
    <w:rsid w:val="007A3C6A"/>
    <w:rsid w:val="007A3CC2"/>
    <w:rsid w:val="007A5B66"/>
    <w:rsid w:val="007A61AE"/>
    <w:rsid w:val="007A66E3"/>
    <w:rsid w:val="007A770C"/>
    <w:rsid w:val="007A7FF5"/>
    <w:rsid w:val="007B1818"/>
    <w:rsid w:val="007B274F"/>
    <w:rsid w:val="007B2D9A"/>
    <w:rsid w:val="007B32D3"/>
    <w:rsid w:val="007B481C"/>
    <w:rsid w:val="007B4AB5"/>
    <w:rsid w:val="007B4C30"/>
    <w:rsid w:val="007B654E"/>
    <w:rsid w:val="007C0707"/>
    <w:rsid w:val="007C10E8"/>
    <w:rsid w:val="007C1584"/>
    <w:rsid w:val="007C1883"/>
    <w:rsid w:val="007C1A66"/>
    <w:rsid w:val="007C2C32"/>
    <w:rsid w:val="007C3965"/>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E12AF"/>
    <w:rsid w:val="007E2525"/>
    <w:rsid w:val="007E2FC4"/>
    <w:rsid w:val="007E3798"/>
    <w:rsid w:val="007E3A7B"/>
    <w:rsid w:val="007E4E5B"/>
    <w:rsid w:val="007E5B84"/>
    <w:rsid w:val="007E6910"/>
    <w:rsid w:val="007F00D0"/>
    <w:rsid w:val="007F0680"/>
    <w:rsid w:val="007F12F4"/>
    <w:rsid w:val="007F19F7"/>
    <w:rsid w:val="007F4DAA"/>
    <w:rsid w:val="007F60B7"/>
    <w:rsid w:val="007F6167"/>
    <w:rsid w:val="007F62B1"/>
    <w:rsid w:val="0080060B"/>
    <w:rsid w:val="00800AD8"/>
    <w:rsid w:val="00801494"/>
    <w:rsid w:val="00804C2E"/>
    <w:rsid w:val="0080500C"/>
    <w:rsid w:val="00805BD3"/>
    <w:rsid w:val="00806632"/>
    <w:rsid w:val="00807723"/>
    <w:rsid w:val="008125B9"/>
    <w:rsid w:val="00812EC9"/>
    <w:rsid w:val="00813C8C"/>
    <w:rsid w:val="00814E58"/>
    <w:rsid w:val="00817370"/>
    <w:rsid w:val="00817411"/>
    <w:rsid w:val="00820805"/>
    <w:rsid w:val="00822D50"/>
    <w:rsid w:val="00823E80"/>
    <w:rsid w:val="00824831"/>
    <w:rsid w:val="00826E50"/>
    <w:rsid w:val="00830472"/>
    <w:rsid w:val="0083055B"/>
    <w:rsid w:val="00832314"/>
    <w:rsid w:val="0083270E"/>
    <w:rsid w:val="00832ADA"/>
    <w:rsid w:val="008374B6"/>
    <w:rsid w:val="008408EC"/>
    <w:rsid w:val="008410C7"/>
    <w:rsid w:val="00841105"/>
    <w:rsid w:val="00844180"/>
    <w:rsid w:val="008451DC"/>
    <w:rsid w:val="0084598B"/>
    <w:rsid w:val="008459E7"/>
    <w:rsid w:val="00846280"/>
    <w:rsid w:val="00846BCA"/>
    <w:rsid w:val="008504B6"/>
    <w:rsid w:val="00851F37"/>
    <w:rsid w:val="008536E1"/>
    <w:rsid w:val="00853BE0"/>
    <w:rsid w:val="00854133"/>
    <w:rsid w:val="008547B3"/>
    <w:rsid w:val="00857A9B"/>
    <w:rsid w:val="008602ED"/>
    <w:rsid w:val="00860965"/>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1382"/>
    <w:rsid w:val="00882301"/>
    <w:rsid w:val="00882D23"/>
    <w:rsid w:val="00883E07"/>
    <w:rsid w:val="0088445D"/>
    <w:rsid w:val="008845FE"/>
    <w:rsid w:val="008847AC"/>
    <w:rsid w:val="0088491B"/>
    <w:rsid w:val="00884ACE"/>
    <w:rsid w:val="00885955"/>
    <w:rsid w:val="00886202"/>
    <w:rsid w:val="00886E23"/>
    <w:rsid w:val="0088730C"/>
    <w:rsid w:val="0088793F"/>
    <w:rsid w:val="00887B4F"/>
    <w:rsid w:val="00887EC6"/>
    <w:rsid w:val="00891004"/>
    <w:rsid w:val="00891792"/>
    <w:rsid w:val="00892603"/>
    <w:rsid w:val="008931E1"/>
    <w:rsid w:val="0089346B"/>
    <w:rsid w:val="008964E9"/>
    <w:rsid w:val="00896C30"/>
    <w:rsid w:val="00897D3D"/>
    <w:rsid w:val="008A1FE4"/>
    <w:rsid w:val="008A2643"/>
    <w:rsid w:val="008A27E8"/>
    <w:rsid w:val="008A3CE7"/>
    <w:rsid w:val="008A429C"/>
    <w:rsid w:val="008A49F1"/>
    <w:rsid w:val="008A4B35"/>
    <w:rsid w:val="008A513B"/>
    <w:rsid w:val="008A7B7A"/>
    <w:rsid w:val="008B085A"/>
    <w:rsid w:val="008B1C15"/>
    <w:rsid w:val="008B1D16"/>
    <w:rsid w:val="008B47F7"/>
    <w:rsid w:val="008B4C37"/>
    <w:rsid w:val="008B5119"/>
    <w:rsid w:val="008B5637"/>
    <w:rsid w:val="008B7083"/>
    <w:rsid w:val="008C1553"/>
    <w:rsid w:val="008C17D3"/>
    <w:rsid w:val="008C2186"/>
    <w:rsid w:val="008C22D5"/>
    <w:rsid w:val="008C34BF"/>
    <w:rsid w:val="008C5E97"/>
    <w:rsid w:val="008C6FB0"/>
    <w:rsid w:val="008D1935"/>
    <w:rsid w:val="008D1A1D"/>
    <w:rsid w:val="008D1A5C"/>
    <w:rsid w:val="008D2904"/>
    <w:rsid w:val="008D3194"/>
    <w:rsid w:val="008D32CA"/>
    <w:rsid w:val="008D3E11"/>
    <w:rsid w:val="008D4580"/>
    <w:rsid w:val="008D471A"/>
    <w:rsid w:val="008D50CF"/>
    <w:rsid w:val="008D512E"/>
    <w:rsid w:val="008D745B"/>
    <w:rsid w:val="008D7D57"/>
    <w:rsid w:val="008E003F"/>
    <w:rsid w:val="008E164B"/>
    <w:rsid w:val="008E2516"/>
    <w:rsid w:val="008E37DC"/>
    <w:rsid w:val="008E3862"/>
    <w:rsid w:val="008E4106"/>
    <w:rsid w:val="008E4778"/>
    <w:rsid w:val="008E505D"/>
    <w:rsid w:val="008E5DC9"/>
    <w:rsid w:val="008E63D3"/>
    <w:rsid w:val="008E64CC"/>
    <w:rsid w:val="008E74C5"/>
    <w:rsid w:val="008E75B0"/>
    <w:rsid w:val="008E7961"/>
    <w:rsid w:val="008E7BFE"/>
    <w:rsid w:val="008F1E30"/>
    <w:rsid w:val="008F294C"/>
    <w:rsid w:val="008F2D8B"/>
    <w:rsid w:val="008F31AB"/>
    <w:rsid w:val="008F3BDF"/>
    <w:rsid w:val="008F4B17"/>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6901"/>
    <w:rsid w:val="00916D79"/>
    <w:rsid w:val="00916F25"/>
    <w:rsid w:val="009170D1"/>
    <w:rsid w:val="009176D5"/>
    <w:rsid w:val="0091788D"/>
    <w:rsid w:val="00917AD9"/>
    <w:rsid w:val="00920F30"/>
    <w:rsid w:val="00922D0D"/>
    <w:rsid w:val="00924B06"/>
    <w:rsid w:val="00924F40"/>
    <w:rsid w:val="00924F58"/>
    <w:rsid w:val="00926E09"/>
    <w:rsid w:val="0092777C"/>
    <w:rsid w:val="009309B4"/>
    <w:rsid w:val="009319E7"/>
    <w:rsid w:val="009322DF"/>
    <w:rsid w:val="00932B35"/>
    <w:rsid w:val="00934073"/>
    <w:rsid w:val="0093447D"/>
    <w:rsid w:val="009400E5"/>
    <w:rsid w:val="00940552"/>
    <w:rsid w:val="00941DCF"/>
    <w:rsid w:val="0094382D"/>
    <w:rsid w:val="00943A76"/>
    <w:rsid w:val="00943C3D"/>
    <w:rsid w:val="0094403A"/>
    <w:rsid w:val="009447A5"/>
    <w:rsid w:val="0094566C"/>
    <w:rsid w:val="009460B5"/>
    <w:rsid w:val="00950015"/>
    <w:rsid w:val="009501AF"/>
    <w:rsid w:val="00950303"/>
    <w:rsid w:val="009503B6"/>
    <w:rsid w:val="009508E8"/>
    <w:rsid w:val="0095162F"/>
    <w:rsid w:val="0095195D"/>
    <w:rsid w:val="00952895"/>
    <w:rsid w:val="00953505"/>
    <w:rsid w:val="00953525"/>
    <w:rsid w:val="009536E9"/>
    <w:rsid w:val="00954ABD"/>
    <w:rsid w:val="0095666C"/>
    <w:rsid w:val="00956F8F"/>
    <w:rsid w:val="00957A0E"/>
    <w:rsid w:val="00957D38"/>
    <w:rsid w:val="00961AC6"/>
    <w:rsid w:val="00962470"/>
    <w:rsid w:val="00962BF2"/>
    <w:rsid w:val="00964406"/>
    <w:rsid w:val="00964789"/>
    <w:rsid w:val="00964EAA"/>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7AE"/>
    <w:rsid w:val="009B7D7E"/>
    <w:rsid w:val="009C0339"/>
    <w:rsid w:val="009C2492"/>
    <w:rsid w:val="009C2C9F"/>
    <w:rsid w:val="009C5005"/>
    <w:rsid w:val="009C573D"/>
    <w:rsid w:val="009C59AC"/>
    <w:rsid w:val="009C5CAD"/>
    <w:rsid w:val="009C6837"/>
    <w:rsid w:val="009C75C1"/>
    <w:rsid w:val="009D0789"/>
    <w:rsid w:val="009D092B"/>
    <w:rsid w:val="009D26FA"/>
    <w:rsid w:val="009D3208"/>
    <w:rsid w:val="009D3BDF"/>
    <w:rsid w:val="009D4836"/>
    <w:rsid w:val="009D4B40"/>
    <w:rsid w:val="009D4E8E"/>
    <w:rsid w:val="009D5C71"/>
    <w:rsid w:val="009D5EFC"/>
    <w:rsid w:val="009D616C"/>
    <w:rsid w:val="009D65E3"/>
    <w:rsid w:val="009D69A1"/>
    <w:rsid w:val="009D78D2"/>
    <w:rsid w:val="009E125A"/>
    <w:rsid w:val="009E2B8D"/>
    <w:rsid w:val="009E3318"/>
    <w:rsid w:val="009E35DE"/>
    <w:rsid w:val="009E62EE"/>
    <w:rsid w:val="009E63CE"/>
    <w:rsid w:val="009E7A22"/>
    <w:rsid w:val="009F2154"/>
    <w:rsid w:val="009F2CF2"/>
    <w:rsid w:val="009F2D01"/>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640"/>
    <w:rsid w:val="00A1074D"/>
    <w:rsid w:val="00A10DCA"/>
    <w:rsid w:val="00A10F1D"/>
    <w:rsid w:val="00A1214E"/>
    <w:rsid w:val="00A129DC"/>
    <w:rsid w:val="00A16D54"/>
    <w:rsid w:val="00A205E4"/>
    <w:rsid w:val="00A20AC4"/>
    <w:rsid w:val="00A21121"/>
    <w:rsid w:val="00A2138B"/>
    <w:rsid w:val="00A21E60"/>
    <w:rsid w:val="00A2334D"/>
    <w:rsid w:val="00A240A1"/>
    <w:rsid w:val="00A257C1"/>
    <w:rsid w:val="00A25938"/>
    <w:rsid w:val="00A26424"/>
    <w:rsid w:val="00A26947"/>
    <w:rsid w:val="00A26BBA"/>
    <w:rsid w:val="00A2763B"/>
    <w:rsid w:val="00A27FDC"/>
    <w:rsid w:val="00A30417"/>
    <w:rsid w:val="00A305BD"/>
    <w:rsid w:val="00A317A0"/>
    <w:rsid w:val="00A327CB"/>
    <w:rsid w:val="00A33AF1"/>
    <w:rsid w:val="00A33C72"/>
    <w:rsid w:val="00A33D8F"/>
    <w:rsid w:val="00A33F86"/>
    <w:rsid w:val="00A33FBA"/>
    <w:rsid w:val="00A35BBF"/>
    <w:rsid w:val="00A36061"/>
    <w:rsid w:val="00A37337"/>
    <w:rsid w:val="00A3780C"/>
    <w:rsid w:val="00A4040E"/>
    <w:rsid w:val="00A4103A"/>
    <w:rsid w:val="00A413C9"/>
    <w:rsid w:val="00A42077"/>
    <w:rsid w:val="00A42689"/>
    <w:rsid w:val="00A4304E"/>
    <w:rsid w:val="00A431B0"/>
    <w:rsid w:val="00A43513"/>
    <w:rsid w:val="00A43799"/>
    <w:rsid w:val="00A445B0"/>
    <w:rsid w:val="00A44BB9"/>
    <w:rsid w:val="00A473D2"/>
    <w:rsid w:val="00A50938"/>
    <w:rsid w:val="00A50A2A"/>
    <w:rsid w:val="00A50AE4"/>
    <w:rsid w:val="00A51171"/>
    <w:rsid w:val="00A516EF"/>
    <w:rsid w:val="00A51E5B"/>
    <w:rsid w:val="00A52D22"/>
    <w:rsid w:val="00A5371C"/>
    <w:rsid w:val="00A542B6"/>
    <w:rsid w:val="00A552FA"/>
    <w:rsid w:val="00A5581A"/>
    <w:rsid w:val="00A562A9"/>
    <w:rsid w:val="00A56AD3"/>
    <w:rsid w:val="00A57B84"/>
    <w:rsid w:val="00A601C1"/>
    <w:rsid w:val="00A61167"/>
    <w:rsid w:val="00A62962"/>
    <w:rsid w:val="00A63D6F"/>
    <w:rsid w:val="00A64697"/>
    <w:rsid w:val="00A66B3A"/>
    <w:rsid w:val="00A70964"/>
    <w:rsid w:val="00A70DE5"/>
    <w:rsid w:val="00A70E14"/>
    <w:rsid w:val="00A72DD3"/>
    <w:rsid w:val="00A72F99"/>
    <w:rsid w:val="00A737DA"/>
    <w:rsid w:val="00A743F1"/>
    <w:rsid w:val="00A744EF"/>
    <w:rsid w:val="00A7454E"/>
    <w:rsid w:val="00A763E4"/>
    <w:rsid w:val="00A767D8"/>
    <w:rsid w:val="00A77B63"/>
    <w:rsid w:val="00A8026F"/>
    <w:rsid w:val="00A81F32"/>
    <w:rsid w:val="00A824E3"/>
    <w:rsid w:val="00A82A54"/>
    <w:rsid w:val="00A846D1"/>
    <w:rsid w:val="00A8489E"/>
    <w:rsid w:val="00A84B6F"/>
    <w:rsid w:val="00A94899"/>
    <w:rsid w:val="00A948D3"/>
    <w:rsid w:val="00A9499B"/>
    <w:rsid w:val="00A95195"/>
    <w:rsid w:val="00A9781D"/>
    <w:rsid w:val="00A97DF5"/>
    <w:rsid w:val="00AA00C4"/>
    <w:rsid w:val="00AA1DF3"/>
    <w:rsid w:val="00AA258E"/>
    <w:rsid w:val="00AA4425"/>
    <w:rsid w:val="00AA523C"/>
    <w:rsid w:val="00AA541B"/>
    <w:rsid w:val="00AA57CA"/>
    <w:rsid w:val="00AA6BFA"/>
    <w:rsid w:val="00AA6EAA"/>
    <w:rsid w:val="00AA796D"/>
    <w:rsid w:val="00AB08C5"/>
    <w:rsid w:val="00AB1273"/>
    <w:rsid w:val="00AB1BC5"/>
    <w:rsid w:val="00AB1F99"/>
    <w:rsid w:val="00AB269E"/>
    <w:rsid w:val="00AB2703"/>
    <w:rsid w:val="00AB2AE1"/>
    <w:rsid w:val="00AB3211"/>
    <w:rsid w:val="00AB3781"/>
    <w:rsid w:val="00AB432B"/>
    <w:rsid w:val="00AB4797"/>
    <w:rsid w:val="00AB47CB"/>
    <w:rsid w:val="00AB47F0"/>
    <w:rsid w:val="00AB4B9B"/>
    <w:rsid w:val="00AB59C0"/>
    <w:rsid w:val="00AB64F2"/>
    <w:rsid w:val="00AB6C88"/>
    <w:rsid w:val="00AC0907"/>
    <w:rsid w:val="00AC20B0"/>
    <w:rsid w:val="00AC3BA7"/>
    <w:rsid w:val="00AC5A93"/>
    <w:rsid w:val="00AC5EDD"/>
    <w:rsid w:val="00AC61B5"/>
    <w:rsid w:val="00AC633D"/>
    <w:rsid w:val="00AC6617"/>
    <w:rsid w:val="00AC7504"/>
    <w:rsid w:val="00AD124D"/>
    <w:rsid w:val="00AD1B0C"/>
    <w:rsid w:val="00AD1D3A"/>
    <w:rsid w:val="00AD2303"/>
    <w:rsid w:val="00AD3F4F"/>
    <w:rsid w:val="00AD40DC"/>
    <w:rsid w:val="00AD43B4"/>
    <w:rsid w:val="00AD43F8"/>
    <w:rsid w:val="00AD4DF5"/>
    <w:rsid w:val="00AD5DAB"/>
    <w:rsid w:val="00AE0400"/>
    <w:rsid w:val="00AE0C2E"/>
    <w:rsid w:val="00AE1605"/>
    <w:rsid w:val="00AE18B6"/>
    <w:rsid w:val="00AE19EC"/>
    <w:rsid w:val="00AE371D"/>
    <w:rsid w:val="00AE4021"/>
    <w:rsid w:val="00AE40E7"/>
    <w:rsid w:val="00AE5C34"/>
    <w:rsid w:val="00AE6CD9"/>
    <w:rsid w:val="00AE75BD"/>
    <w:rsid w:val="00AE7CFE"/>
    <w:rsid w:val="00AF045E"/>
    <w:rsid w:val="00AF1DEF"/>
    <w:rsid w:val="00AF2B3E"/>
    <w:rsid w:val="00AF4358"/>
    <w:rsid w:val="00AF583A"/>
    <w:rsid w:val="00AF5F02"/>
    <w:rsid w:val="00AF6273"/>
    <w:rsid w:val="00AF67D1"/>
    <w:rsid w:val="00AF6A57"/>
    <w:rsid w:val="00B0264B"/>
    <w:rsid w:val="00B02FA2"/>
    <w:rsid w:val="00B03303"/>
    <w:rsid w:val="00B0474A"/>
    <w:rsid w:val="00B04FCB"/>
    <w:rsid w:val="00B059F6"/>
    <w:rsid w:val="00B06394"/>
    <w:rsid w:val="00B06A5C"/>
    <w:rsid w:val="00B07AD9"/>
    <w:rsid w:val="00B10D0C"/>
    <w:rsid w:val="00B10FEC"/>
    <w:rsid w:val="00B12566"/>
    <w:rsid w:val="00B12C89"/>
    <w:rsid w:val="00B15018"/>
    <w:rsid w:val="00B15238"/>
    <w:rsid w:val="00B15E91"/>
    <w:rsid w:val="00B166E6"/>
    <w:rsid w:val="00B16BF5"/>
    <w:rsid w:val="00B16C16"/>
    <w:rsid w:val="00B16F5E"/>
    <w:rsid w:val="00B17100"/>
    <w:rsid w:val="00B17273"/>
    <w:rsid w:val="00B17BDE"/>
    <w:rsid w:val="00B17CC8"/>
    <w:rsid w:val="00B17FFA"/>
    <w:rsid w:val="00B206C7"/>
    <w:rsid w:val="00B21A9F"/>
    <w:rsid w:val="00B21C9F"/>
    <w:rsid w:val="00B21FFA"/>
    <w:rsid w:val="00B225B4"/>
    <w:rsid w:val="00B227F4"/>
    <w:rsid w:val="00B238A3"/>
    <w:rsid w:val="00B239EB"/>
    <w:rsid w:val="00B23E44"/>
    <w:rsid w:val="00B2474E"/>
    <w:rsid w:val="00B2494D"/>
    <w:rsid w:val="00B2636C"/>
    <w:rsid w:val="00B278C2"/>
    <w:rsid w:val="00B27A47"/>
    <w:rsid w:val="00B27B5D"/>
    <w:rsid w:val="00B30147"/>
    <w:rsid w:val="00B31809"/>
    <w:rsid w:val="00B3203B"/>
    <w:rsid w:val="00B33623"/>
    <w:rsid w:val="00B33CFB"/>
    <w:rsid w:val="00B33F1C"/>
    <w:rsid w:val="00B35724"/>
    <w:rsid w:val="00B35776"/>
    <w:rsid w:val="00B3599C"/>
    <w:rsid w:val="00B36496"/>
    <w:rsid w:val="00B36752"/>
    <w:rsid w:val="00B3770C"/>
    <w:rsid w:val="00B40F1A"/>
    <w:rsid w:val="00B415B3"/>
    <w:rsid w:val="00B45AC7"/>
    <w:rsid w:val="00B46B1D"/>
    <w:rsid w:val="00B477FE"/>
    <w:rsid w:val="00B50216"/>
    <w:rsid w:val="00B5049D"/>
    <w:rsid w:val="00B5166A"/>
    <w:rsid w:val="00B51F44"/>
    <w:rsid w:val="00B535A9"/>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695E"/>
    <w:rsid w:val="00B672CC"/>
    <w:rsid w:val="00B729EB"/>
    <w:rsid w:val="00B72AEC"/>
    <w:rsid w:val="00B735C1"/>
    <w:rsid w:val="00B7372B"/>
    <w:rsid w:val="00B73A02"/>
    <w:rsid w:val="00B73F9D"/>
    <w:rsid w:val="00B7487B"/>
    <w:rsid w:val="00B74B66"/>
    <w:rsid w:val="00B7657B"/>
    <w:rsid w:val="00B8064E"/>
    <w:rsid w:val="00B80E2C"/>
    <w:rsid w:val="00B822F7"/>
    <w:rsid w:val="00B829B3"/>
    <w:rsid w:val="00B82E2D"/>
    <w:rsid w:val="00B82F43"/>
    <w:rsid w:val="00B863D6"/>
    <w:rsid w:val="00B900A5"/>
    <w:rsid w:val="00B9051A"/>
    <w:rsid w:val="00B91415"/>
    <w:rsid w:val="00B919AD"/>
    <w:rsid w:val="00B91B79"/>
    <w:rsid w:val="00B934A4"/>
    <w:rsid w:val="00B93A43"/>
    <w:rsid w:val="00B94260"/>
    <w:rsid w:val="00B946CC"/>
    <w:rsid w:val="00B9499A"/>
    <w:rsid w:val="00B951C7"/>
    <w:rsid w:val="00B95E10"/>
    <w:rsid w:val="00B965B3"/>
    <w:rsid w:val="00B97715"/>
    <w:rsid w:val="00BA1427"/>
    <w:rsid w:val="00BA218C"/>
    <w:rsid w:val="00BA3082"/>
    <w:rsid w:val="00BA3156"/>
    <w:rsid w:val="00BA33A5"/>
    <w:rsid w:val="00BA4C99"/>
    <w:rsid w:val="00BA5B0A"/>
    <w:rsid w:val="00BB0AB5"/>
    <w:rsid w:val="00BB21B3"/>
    <w:rsid w:val="00BB2873"/>
    <w:rsid w:val="00BB6A08"/>
    <w:rsid w:val="00BB7CF9"/>
    <w:rsid w:val="00BC0371"/>
    <w:rsid w:val="00BC0E07"/>
    <w:rsid w:val="00BC227B"/>
    <w:rsid w:val="00BC2327"/>
    <w:rsid w:val="00BC2656"/>
    <w:rsid w:val="00BC41B2"/>
    <w:rsid w:val="00BC57E8"/>
    <w:rsid w:val="00BC5CF5"/>
    <w:rsid w:val="00BC6023"/>
    <w:rsid w:val="00BD0148"/>
    <w:rsid w:val="00BD0668"/>
    <w:rsid w:val="00BD09B9"/>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B30"/>
    <w:rsid w:val="00BE1C78"/>
    <w:rsid w:val="00BE2506"/>
    <w:rsid w:val="00BE2A8E"/>
    <w:rsid w:val="00BE3993"/>
    <w:rsid w:val="00BE3C83"/>
    <w:rsid w:val="00BE41EC"/>
    <w:rsid w:val="00BE49C4"/>
    <w:rsid w:val="00BE4B8F"/>
    <w:rsid w:val="00BE512A"/>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22C2"/>
    <w:rsid w:val="00C02BFD"/>
    <w:rsid w:val="00C02E02"/>
    <w:rsid w:val="00C03B5E"/>
    <w:rsid w:val="00C04B56"/>
    <w:rsid w:val="00C04D28"/>
    <w:rsid w:val="00C04F39"/>
    <w:rsid w:val="00C055FD"/>
    <w:rsid w:val="00C056BC"/>
    <w:rsid w:val="00C06305"/>
    <w:rsid w:val="00C06D88"/>
    <w:rsid w:val="00C10814"/>
    <w:rsid w:val="00C10FF9"/>
    <w:rsid w:val="00C1121F"/>
    <w:rsid w:val="00C11DCB"/>
    <w:rsid w:val="00C135D2"/>
    <w:rsid w:val="00C13D21"/>
    <w:rsid w:val="00C13E32"/>
    <w:rsid w:val="00C13EE5"/>
    <w:rsid w:val="00C14200"/>
    <w:rsid w:val="00C169DA"/>
    <w:rsid w:val="00C1721A"/>
    <w:rsid w:val="00C216A7"/>
    <w:rsid w:val="00C22087"/>
    <w:rsid w:val="00C22FFC"/>
    <w:rsid w:val="00C230F3"/>
    <w:rsid w:val="00C239EF"/>
    <w:rsid w:val="00C249A1"/>
    <w:rsid w:val="00C24B86"/>
    <w:rsid w:val="00C25823"/>
    <w:rsid w:val="00C25E79"/>
    <w:rsid w:val="00C26F9A"/>
    <w:rsid w:val="00C27A27"/>
    <w:rsid w:val="00C30828"/>
    <w:rsid w:val="00C32848"/>
    <w:rsid w:val="00C32F3E"/>
    <w:rsid w:val="00C34CE8"/>
    <w:rsid w:val="00C3695D"/>
    <w:rsid w:val="00C37BCF"/>
    <w:rsid w:val="00C42EB4"/>
    <w:rsid w:val="00C43B79"/>
    <w:rsid w:val="00C440DA"/>
    <w:rsid w:val="00C44FDB"/>
    <w:rsid w:val="00C46103"/>
    <w:rsid w:val="00C47431"/>
    <w:rsid w:val="00C474B8"/>
    <w:rsid w:val="00C47A0F"/>
    <w:rsid w:val="00C538FC"/>
    <w:rsid w:val="00C53F8F"/>
    <w:rsid w:val="00C54E26"/>
    <w:rsid w:val="00C560A0"/>
    <w:rsid w:val="00C57685"/>
    <w:rsid w:val="00C60005"/>
    <w:rsid w:val="00C61D19"/>
    <w:rsid w:val="00C62EBA"/>
    <w:rsid w:val="00C63206"/>
    <w:rsid w:val="00C640DB"/>
    <w:rsid w:val="00C645A0"/>
    <w:rsid w:val="00C6513B"/>
    <w:rsid w:val="00C651A1"/>
    <w:rsid w:val="00C6548F"/>
    <w:rsid w:val="00C66490"/>
    <w:rsid w:val="00C66E81"/>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467D"/>
    <w:rsid w:val="00C8577C"/>
    <w:rsid w:val="00C8599E"/>
    <w:rsid w:val="00C85D13"/>
    <w:rsid w:val="00C85E79"/>
    <w:rsid w:val="00C8646C"/>
    <w:rsid w:val="00C86E63"/>
    <w:rsid w:val="00C87649"/>
    <w:rsid w:val="00C92B1D"/>
    <w:rsid w:val="00C92CA9"/>
    <w:rsid w:val="00C92F46"/>
    <w:rsid w:val="00C94CFC"/>
    <w:rsid w:val="00CA04E9"/>
    <w:rsid w:val="00CA0515"/>
    <w:rsid w:val="00CA05A5"/>
    <w:rsid w:val="00CA1CC7"/>
    <w:rsid w:val="00CA6451"/>
    <w:rsid w:val="00CA67D6"/>
    <w:rsid w:val="00CA6F9A"/>
    <w:rsid w:val="00CA779C"/>
    <w:rsid w:val="00CB02B1"/>
    <w:rsid w:val="00CB19DD"/>
    <w:rsid w:val="00CB1D8D"/>
    <w:rsid w:val="00CB2D67"/>
    <w:rsid w:val="00CB2F23"/>
    <w:rsid w:val="00CB405C"/>
    <w:rsid w:val="00CB5B8E"/>
    <w:rsid w:val="00CB70CB"/>
    <w:rsid w:val="00CB72F9"/>
    <w:rsid w:val="00CB74BA"/>
    <w:rsid w:val="00CB7FAA"/>
    <w:rsid w:val="00CC0359"/>
    <w:rsid w:val="00CC0707"/>
    <w:rsid w:val="00CC10A3"/>
    <w:rsid w:val="00CC191B"/>
    <w:rsid w:val="00CC1EA3"/>
    <w:rsid w:val="00CC2CCB"/>
    <w:rsid w:val="00CC3E33"/>
    <w:rsid w:val="00CC4055"/>
    <w:rsid w:val="00CC4F41"/>
    <w:rsid w:val="00CC67BA"/>
    <w:rsid w:val="00CC72DB"/>
    <w:rsid w:val="00CC7D51"/>
    <w:rsid w:val="00CD03A9"/>
    <w:rsid w:val="00CD0EBB"/>
    <w:rsid w:val="00CD13C2"/>
    <w:rsid w:val="00CD19CE"/>
    <w:rsid w:val="00CD22D8"/>
    <w:rsid w:val="00CD359C"/>
    <w:rsid w:val="00CD4B76"/>
    <w:rsid w:val="00CD4CD9"/>
    <w:rsid w:val="00CD4F88"/>
    <w:rsid w:val="00CD5591"/>
    <w:rsid w:val="00CD594B"/>
    <w:rsid w:val="00CD77FF"/>
    <w:rsid w:val="00CE047D"/>
    <w:rsid w:val="00CE0BD0"/>
    <w:rsid w:val="00CE1BEB"/>
    <w:rsid w:val="00CE2356"/>
    <w:rsid w:val="00CE29ED"/>
    <w:rsid w:val="00CE5128"/>
    <w:rsid w:val="00CE5260"/>
    <w:rsid w:val="00CE5993"/>
    <w:rsid w:val="00CE61F0"/>
    <w:rsid w:val="00CE6414"/>
    <w:rsid w:val="00CE6B1F"/>
    <w:rsid w:val="00CF1B68"/>
    <w:rsid w:val="00CF3A34"/>
    <w:rsid w:val="00CF3C3F"/>
    <w:rsid w:val="00CF41A7"/>
    <w:rsid w:val="00CF4577"/>
    <w:rsid w:val="00CF51A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534D"/>
    <w:rsid w:val="00D15548"/>
    <w:rsid w:val="00D17378"/>
    <w:rsid w:val="00D17587"/>
    <w:rsid w:val="00D176C5"/>
    <w:rsid w:val="00D2061B"/>
    <w:rsid w:val="00D21019"/>
    <w:rsid w:val="00D2126A"/>
    <w:rsid w:val="00D21BB7"/>
    <w:rsid w:val="00D22073"/>
    <w:rsid w:val="00D22CF9"/>
    <w:rsid w:val="00D231C5"/>
    <w:rsid w:val="00D243BD"/>
    <w:rsid w:val="00D246BE"/>
    <w:rsid w:val="00D25417"/>
    <w:rsid w:val="00D259FE"/>
    <w:rsid w:val="00D26956"/>
    <w:rsid w:val="00D270D8"/>
    <w:rsid w:val="00D27702"/>
    <w:rsid w:val="00D30C37"/>
    <w:rsid w:val="00D317EE"/>
    <w:rsid w:val="00D3418F"/>
    <w:rsid w:val="00D3428D"/>
    <w:rsid w:val="00D347BF"/>
    <w:rsid w:val="00D34A4C"/>
    <w:rsid w:val="00D356CC"/>
    <w:rsid w:val="00D36CD1"/>
    <w:rsid w:val="00D37144"/>
    <w:rsid w:val="00D40DA0"/>
    <w:rsid w:val="00D41A8D"/>
    <w:rsid w:val="00D42C25"/>
    <w:rsid w:val="00D43242"/>
    <w:rsid w:val="00D44BCC"/>
    <w:rsid w:val="00D46142"/>
    <w:rsid w:val="00D463B2"/>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605DD"/>
    <w:rsid w:val="00D61431"/>
    <w:rsid w:val="00D61BEA"/>
    <w:rsid w:val="00D61CA8"/>
    <w:rsid w:val="00D61FDB"/>
    <w:rsid w:val="00D630AC"/>
    <w:rsid w:val="00D638D6"/>
    <w:rsid w:val="00D647EA"/>
    <w:rsid w:val="00D671A5"/>
    <w:rsid w:val="00D67DFD"/>
    <w:rsid w:val="00D71239"/>
    <w:rsid w:val="00D716AB"/>
    <w:rsid w:val="00D72204"/>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FF1"/>
    <w:rsid w:val="00D90682"/>
    <w:rsid w:val="00D90728"/>
    <w:rsid w:val="00D90D8D"/>
    <w:rsid w:val="00D91DFF"/>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30C1"/>
    <w:rsid w:val="00DD3F57"/>
    <w:rsid w:val="00DD4330"/>
    <w:rsid w:val="00DD48A4"/>
    <w:rsid w:val="00DD494F"/>
    <w:rsid w:val="00DD5066"/>
    <w:rsid w:val="00DD50D9"/>
    <w:rsid w:val="00DD6FA9"/>
    <w:rsid w:val="00DD7F2D"/>
    <w:rsid w:val="00DE0123"/>
    <w:rsid w:val="00DE1162"/>
    <w:rsid w:val="00DE18DF"/>
    <w:rsid w:val="00DE1E4A"/>
    <w:rsid w:val="00DE2211"/>
    <w:rsid w:val="00DE3390"/>
    <w:rsid w:val="00DE3A07"/>
    <w:rsid w:val="00DE4739"/>
    <w:rsid w:val="00DE4858"/>
    <w:rsid w:val="00DE570E"/>
    <w:rsid w:val="00DE5E60"/>
    <w:rsid w:val="00DE5FA4"/>
    <w:rsid w:val="00DE6CF8"/>
    <w:rsid w:val="00DE6E3B"/>
    <w:rsid w:val="00DE70A0"/>
    <w:rsid w:val="00DE7342"/>
    <w:rsid w:val="00DE7A6C"/>
    <w:rsid w:val="00DF0CE4"/>
    <w:rsid w:val="00DF266C"/>
    <w:rsid w:val="00DF2C9F"/>
    <w:rsid w:val="00DF3A3A"/>
    <w:rsid w:val="00DF45B3"/>
    <w:rsid w:val="00DF4680"/>
    <w:rsid w:val="00DF4A39"/>
    <w:rsid w:val="00DF5922"/>
    <w:rsid w:val="00DF5E4A"/>
    <w:rsid w:val="00DF6282"/>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AE6"/>
    <w:rsid w:val="00E10C0F"/>
    <w:rsid w:val="00E1294E"/>
    <w:rsid w:val="00E12BAF"/>
    <w:rsid w:val="00E13005"/>
    <w:rsid w:val="00E1383E"/>
    <w:rsid w:val="00E138F0"/>
    <w:rsid w:val="00E13F25"/>
    <w:rsid w:val="00E14C90"/>
    <w:rsid w:val="00E1674A"/>
    <w:rsid w:val="00E169B0"/>
    <w:rsid w:val="00E1746B"/>
    <w:rsid w:val="00E20EC8"/>
    <w:rsid w:val="00E21E86"/>
    <w:rsid w:val="00E22691"/>
    <w:rsid w:val="00E22DE4"/>
    <w:rsid w:val="00E249AD"/>
    <w:rsid w:val="00E24E04"/>
    <w:rsid w:val="00E25394"/>
    <w:rsid w:val="00E264AF"/>
    <w:rsid w:val="00E26985"/>
    <w:rsid w:val="00E26F58"/>
    <w:rsid w:val="00E2705A"/>
    <w:rsid w:val="00E30D12"/>
    <w:rsid w:val="00E334C4"/>
    <w:rsid w:val="00E33996"/>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71E8"/>
    <w:rsid w:val="00E50508"/>
    <w:rsid w:val="00E50E1F"/>
    <w:rsid w:val="00E50FDE"/>
    <w:rsid w:val="00E51789"/>
    <w:rsid w:val="00E525CC"/>
    <w:rsid w:val="00E52CD5"/>
    <w:rsid w:val="00E53975"/>
    <w:rsid w:val="00E539AE"/>
    <w:rsid w:val="00E554C2"/>
    <w:rsid w:val="00E56135"/>
    <w:rsid w:val="00E577A1"/>
    <w:rsid w:val="00E57D75"/>
    <w:rsid w:val="00E57E8B"/>
    <w:rsid w:val="00E6018B"/>
    <w:rsid w:val="00E6063A"/>
    <w:rsid w:val="00E61500"/>
    <w:rsid w:val="00E62EEA"/>
    <w:rsid w:val="00E63C9B"/>
    <w:rsid w:val="00E64E59"/>
    <w:rsid w:val="00E66E05"/>
    <w:rsid w:val="00E67E1D"/>
    <w:rsid w:val="00E7005B"/>
    <w:rsid w:val="00E70460"/>
    <w:rsid w:val="00E70938"/>
    <w:rsid w:val="00E709C5"/>
    <w:rsid w:val="00E7166F"/>
    <w:rsid w:val="00E71D3F"/>
    <w:rsid w:val="00E73482"/>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2AF7"/>
    <w:rsid w:val="00E93309"/>
    <w:rsid w:val="00E935C2"/>
    <w:rsid w:val="00E935C8"/>
    <w:rsid w:val="00E94029"/>
    <w:rsid w:val="00E941E9"/>
    <w:rsid w:val="00E95F15"/>
    <w:rsid w:val="00E9632E"/>
    <w:rsid w:val="00E97E24"/>
    <w:rsid w:val="00EA0537"/>
    <w:rsid w:val="00EA0541"/>
    <w:rsid w:val="00EA0664"/>
    <w:rsid w:val="00EA083C"/>
    <w:rsid w:val="00EA09FC"/>
    <w:rsid w:val="00EA2425"/>
    <w:rsid w:val="00EA453A"/>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4D0"/>
    <w:rsid w:val="00EB6398"/>
    <w:rsid w:val="00EC0E43"/>
    <w:rsid w:val="00EC1477"/>
    <w:rsid w:val="00EC1CB0"/>
    <w:rsid w:val="00EC2508"/>
    <w:rsid w:val="00EC32C2"/>
    <w:rsid w:val="00EC32FD"/>
    <w:rsid w:val="00EC5C23"/>
    <w:rsid w:val="00EC5F6D"/>
    <w:rsid w:val="00EC6779"/>
    <w:rsid w:val="00EC7392"/>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E269E"/>
    <w:rsid w:val="00EE2C0E"/>
    <w:rsid w:val="00EE3725"/>
    <w:rsid w:val="00EE3D7E"/>
    <w:rsid w:val="00EE490C"/>
    <w:rsid w:val="00EE4C3B"/>
    <w:rsid w:val="00EE5968"/>
    <w:rsid w:val="00EE6A2E"/>
    <w:rsid w:val="00EF0330"/>
    <w:rsid w:val="00EF0F0F"/>
    <w:rsid w:val="00EF153F"/>
    <w:rsid w:val="00EF222D"/>
    <w:rsid w:val="00EF2A79"/>
    <w:rsid w:val="00EF34A7"/>
    <w:rsid w:val="00EF4252"/>
    <w:rsid w:val="00EF4866"/>
    <w:rsid w:val="00EF5763"/>
    <w:rsid w:val="00EF6845"/>
    <w:rsid w:val="00EF6C6A"/>
    <w:rsid w:val="00EF7DDB"/>
    <w:rsid w:val="00F00A0F"/>
    <w:rsid w:val="00F00AC0"/>
    <w:rsid w:val="00F01393"/>
    <w:rsid w:val="00F02DE4"/>
    <w:rsid w:val="00F02ED0"/>
    <w:rsid w:val="00F02F62"/>
    <w:rsid w:val="00F04284"/>
    <w:rsid w:val="00F057BD"/>
    <w:rsid w:val="00F06406"/>
    <w:rsid w:val="00F100CA"/>
    <w:rsid w:val="00F10750"/>
    <w:rsid w:val="00F109A4"/>
    <w:rsid w:val="00F10D05"/>
    <w:rsid w:val="00F10FEF"/>
    <w:rsid w:val="00F114D1"/>
    <w:rsid w:val="00F141FB"/>
    <w:rsid w:val="00F142D3"/>
    <w:rsid w:val="00F15341"/>
    <w:rsid w:val="00F1642C"/>
    <w:rsid w:val="00F16502"/>
    <w:rsid w:val="00F16AD4"/>
    <w:rsid w:val="00F16E2D"/>
    <w:rsid w:val="00F176B4"/>
    <w:rsid w:val="00F20753"/>
    <w:rsid w:val="00F21896"/>
    <w:rsid w:val="00F21C76"/>
    <w:rsid w:val="00F22F4A"/>
    <w:rsid w:val="00F2335D"/>
    <w:rsid w:val="00F24227"/>
    <w:rsid w:val="00F24432"/>
    <w:rsid w:val="00F246B2"/>
    <w:rsid w:val="00F24903"/>
    <w:rsid w:val="00F24A64"/>
    <w:rsid w:val="00F24E7B"/>
    <w:rsid w:val="00F30219"/>
    <w:rsid w:val="00F30460"/>
    <w:rsid w:val="00F33251"/>
    <w:rsid w:val="00F3429A"/>
    <w:rsid w:val="00F347E4"/>
    <w:rsid w:val="00F356DD"/>
    <w:rsid w:val="00F35B7D"/>
    <w:rsid w:val="00F36374"/>
    <w:rsid w:val="00F40CAC"/>
    <w:rsid w:val="00F41A99"/>
    <w:rsid w:val="00F42892"/>
    <w:rsid w:val="00F4370C"/>
    <w:rsid w:val="00F4378F"/>
    <w:rsid w:val="00F44850"/>
    <w:rsid w:val="00F47EFB"/>
    <w:rsid w:val="00F47FBB"/>
    <w:rsid w:val="00F507D8"/>
    <w:rsid w:val="00F50B00"/>
    <w:rsid w:val="00F51C81"/>
    <w:rsid w:val="00F57467"/>
    <w:rsid w:val="00F57A1B"/>
    <w:rsid w:val="00F6188C"/>
    <w:rsid w:val="00F61DFC"/>
    <w:rsid w:val="00F61EC8"/>
    <w:rsid w:val="00F6244F"/>
    <w:rsid w:val="00F6344D"/>
    <w:rsid w:val="00F639BF"/>
    <w:rsid w:val="00F65D4E"/>
    <w:rsid w:val="00F65E8C"/>
    <w:rsid w:val="00F661F6"/>
    <w:rsid w:val="00F66D67"/>
    <w:rsid w:val="00F6713E"/>
    <w:rsid w:val="00F71424"/>
    <w:rsid w:val="00F71CE6"/>
    <w:rsid w:val="00F73F96"/>
    <w:rsid w:val="00F740B6"/>
    <w:rsid w:val="00F743A5"/>
    <w:rsid w:val="00F74630"/>
    <w:rsid w:val="00F74820"/>
    <w:rsid w:val="00F74E56"/>
    <w:rsid w:val="00F74E8E"/>
    <w:rsid w:val="00F751B0"/>
    <w:rsid w:val="00F77009"/>
    <w:rsid w:val="00F80E30"/>
    <w:rsid w:val="00F812CC"/>
    <w:rsid w:val="00F812F4"/>
    <w:rsid w:val="00F81CCF"/>
    <w:rsid w:val="00F822ED"/>
    <w:rsid w:val="00F82CAA"/>
    <w:rsid w:val="00F83C7A"/>
    <w:rsid w:val="00F83CB8"/>
    <w:rsid w:val="00F842DE"/>
    <w:rsid w:val="00F84771"/>
    <w:rsid w:val="00F86310"/>
    <w:rsid w:val="00F87B13"/>
    <w:rsid w:val="00F90150"/>
    <w:rsid w:val="00F90B14"/>
    <w:rsid w:val="00F90DF2"/>
    <w:rsid w:val="00F911CC"/>
    <w:rsid w:val="00F915D2"/>
    <w:rsid w:val="00F92295"/>
    <w:rsid w:val="00F92CCD"/>
    <w:rsid w:val="00F92ED1"/>
    <w:rsid w:val="00F92ED6"/>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54EA"/>
    <w:rsid w:val="00FB5DA8"/>
    <w:rsid w:val="00FB60AB"/>
    <w:rsid w:val="00FB6B5A"/>
    <w:rsid w:val="00FB6DF3"/>
    <w:rsid w:val="00FC0D88"/>
    <w:rsid w:val="00FC12E9"/>
    <w:rsid w:val="00FC1C41"/>
    <w:rsid w:val="00FC232E"/>
    <w:rsid w:val="00FC270B"/>
    <w:rsid w:val="00FC4ABC"/>
    <w:rsid w:val="00FC7A15"/>
    <w:rsid w:val="00FD4705"/>
    <w:rsid w:val="00FD4AC2"/>
    <w:rsid w:val="00FD6A3E"/>
    <w:rsid w:val="00FD75AD"/>
    <w:rsid w:val="00FE0B6D"/>
    <w:rsid w:val="00FE0E08"/>
    <w:rsid w:val="00FE1114"/>
    <w:rsid w:val="00FE1A7E"/>
    <w:rsid w:val="00FE1AF2"/>
    <w:rsid w:val="00FE26E1"/>
    <w:rsid w:val="00FE3AF5"/>
    <w:rsid w:val="00FE477C"/>
    <w:rsid w:val="00FE51FB"/>
    <w:rsid w:val="00FE624C"/>
    <w:rsid w:val="00FE728A"/>
    <w:rsid w:val="00FE730E"/>
    <w:rsid w:val="00FF0CBC"/>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Heading2">
    <w:name w:val="heading 2"/>
    <w:basedOn w:val="Normal"/>
    <w:next w:val="Normal"/>
    <w:link w:val="Heading2Char"/>
    <w:autoRedefine/>
    <w:qFormat/>
    <w:rsid w:val="008F2D8B"/>
    <w:pPr>
      <w:keepNext/>
      <w:numPr>
        <w:ilvl w:val="1"/>
        <w:numId w:val="5"/>
      </w:numPr>
      <w:spacing w:after="240"/>
      <w:ind w:left="0" w:firstLine="0"/>
      <w:outlineLvl w:val="1"/>
    </w:pPr>
    <w:rPr>
      <w:b/>
      <w:bCs/>
      <w:iCs/>
      <w:lang w:val="x-none" w:eastAsia="x-none"/>
    </w:rPr>
  </w:style>
  <w:style w:type="paragraph" w:styleId="Heading3">
    <w:name w:val="heading 3"/>
    <w:basedOn w:val="Normal"/>
    <w:next w:val="Normal"/>
    <w:link w:val="Heading3Char"/>
    <w:qFormat/>
    <w:rsid w:val="003F29E3"/>
    <w:pPr>
      <w:keepNext/>
      <w:numPr>
        <w:ilvl w:val="2"/>
        <w:numId w:val="5"/>
      </w:numPr>
      <w:outlineLvl w:val="2"/>
    </w:pPr>
    <w:rPr>
      <w:b/>
      <w:bCs/>
      <w:i/>
      <w:color w:val="auto"/>
      <w:lang w:val="x-none" w:eastAsia="x-none"/>
    </w:rPr>
  </w:style>
  <w:style w:type="paragraph" w:styleId="Heading4">
    <w:name w:val="heading 4"/>
    <w:basedOn w:val="Normal"/>
    <w:next w:val="Normal"/>
    <w:link w:val="Heading4Char"/>
    <w:unhideWhenUsed/>
    <w:qFormat/>
    <w:rsid w:val="00274C60"/>
    <w:pPr>
      <w:keepNext/>
      <w:keepLines/>
      <w:numPr>
        <w:ilvl w:val="3"/>
        <w:numId w:val="5"/>
      </w:numPr>
      <w:spacing w:before="200"/>
      <w:outlineLvl w:val="3"/>
    </w:pPr>
    <w:rPr>
      <w:b/>
      <w:bCs/>
      <w:i/>
      <w:iCs/>
      <w:color w:val="auto"/>
      <w:lang w:val="x-none" w:eastAsia="x-none"/>
    </w:rPr>
  </w:style>
  <w:style w:type="paragraph" w:styleId="Heading5">
    <w:name w:val="heading 5"/>
    <w:basedOn w:val="Normal"/>
    <w:next w:val="Normal"/>
    <w:link w:val="Heading5Char"/>
    <w:unhideWhenUsed/>
    <w:qFormat/>
    <w:rsid w:val="003F29E3"/>
    <w:pPr>
      <w:keepNext/>
      <w:keepLines/>
      <w:numPr>
        <w:ilvl w:val="4"/>
        <w:numId w:val="5"/>
      </w:numPr>
      <w:spacing w:before="200"/>
      <w:outlineLvl w:val="4"/>
    </w:pPr>
    <w:rPr>
      <w:b/>
      <w:color w:val="auto"/>
      <w:lang w:val="x-none" w:eastAsia="x-none"/>
    </w:rPr>
  </w:style>
  <w:style w:type="paragraph" w:styleId="Heading6">
    <w:name w:val="heading 6"/>
    <w:basedOn w:val="Normal"/>
    <w:next w:val="Normal"/>
    <w:link w:val="Heading6Char"/>
    <w:unhideWhenUsed/>
    <w:qFormat/>
    <w:rsid w:val="003F29E3"/>
    <w:pPr>
      <w:numPr>
        <w:ilvl w:val="5"/>
        <w:numId w:val="5"/>
      </w:numPr>
      <w:spacing w:before="240" w:after="60"/>
      <w:outlineLvl w:val="5"/>
    </w:pPr>
    <w:rPr>
      <w:b/>
      <w:bCs/>
      <w:lang w:val="x-none" w:eastAsia="x-none"/>
    </w:rPr>
  </w:style>
  <w:style w:type="paragraph" w:styleId="Heading7">
    <w:name w:val="heading 7"/>
    <w:basedOn w:val="Normal"/>
    <w:next w:val="Normal"/>
    <w:link w:val="Heading7Char"/>
    <w:semiHidden/>
    <w:unhideWhenUsed/>
    <w:qFormat/>
    <w:rsid w:val="003F29E3"/>
    <w:pPr>
      <w:numPr>
        <w:ilvl w:val="6"/>
        <w:numId w:val="5"/>
      </w:numPr>
      <w:spacing w:before="240" w:after="60"/>
      <w:outlineLvl w:val="6"/>
    </w:pPr>
    <w:rPr>
      <w:lang w:val="x-none" w:eastAsia="x-none"/>
    </w:rPr>
  </w:style>
  <w:style w:type="paragraph" w:styleId="Heading8">
    <w:name w:val="heading 8"/>
    <w:basedOn w:val="Normal"/>
    <w:next w:val="Normal"/>
    <w:link w:val="Heading8Char"/>
    <w:semiHidden/>
    <w:unhideWhenUsed/>
    <w:qFormat/>
    <w:rsid w:val="003F29E3"/>
    <w:pPr>
      <w:numPr>
        <w:ilvl w:val="7"/>
        <w:numId w:val="5"/>
      </w:numPr>
      <w:spacing w:before="240" w:after="60"/>
      <w:outlineLvl w:val="7"/>
    </w:pPr>
    <w:rPr>
      <w:i/>
      <w:iCs/>
      <w:lang w:val="x-none" w:eastAsia="x-none"/>
    </w:rPr>
  </w:style>
  <w:style w:type="paragraph" w:styleId="Heading9">
    <w:name w:val="heading 9"/>
    <w:basedOn w:val="Normal"/>
    <w:next w:val="Normal"/>
    <w:link w:val="Heading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3CC"/>
    <w:rPr>
      <w:rFonts w:eastAsia="Times New Roman" w:cs="Arial"/>
      <w:b/>
      <w:bCs/>
      <w:color w:val="000000"/>
      <w:kern w:val="32"/>
      <w:sz w:val="22"/>
      <w:szCs w:val="22"/>
    </w:rPr>
  </w:style>
  <w:style w:type="character" w:customStyle="1" w:styleId="Heading2Char">
    <w:name w:val="Heading 2 Char"/>
    <w:link w:val="Heading2"/>
    <w:rsid w:val="008F2D8B"/>
    <w:rPr>
      <w:rFonts w:eastAsia="Times New Roman"/>
      <w:b/>
      <w:bCs/>
      <w:iCs/>
      <w:color w:val="000000"/>
      <w:sz w:val="22"/>
      <w:szCs w:val="22"/>
      <w:lang w:val="x-none" w:eastAsia="x-none"/>
    </w:rPr>
  </w:style>
  <w:style w:type="character" w:customStyle="1" w:styleId="Heading3Char">
    <w:name w:val="Heading 3 Char"/>
    <w:link w:val="Heading3"/>
    <w:rsid w:val="003F29E3"/>
    <w:rPr>
      <w:rFonts w:eastAsia="Times New Roman"/>
      <w:b/>
      <w:bCs/>
      <w:i/>
      <w:sz w:val="22"/>
      <w:szCs w:val="22"/>
      <w:lang w:val="x-none" w:eastAsia="x-none"/>
    </w:rPr>
  </w:style>
  <w:style w:type="character" w:customStyle="1" w:styleId="Heading4Char">
    <w:name w:val="Heading 4 Char"/>
    <w:link w:val="Heading4"/>
    <w:rsid w:val="00274C60"/>
    <w:rPr>
      <w:rFonts w:eastAsia="Times New Roman"/>
      <w:b/>
      <w:bCs/>
      <w:i/>
      <w:iCs/>
      <w:sz w:val="22"/>
      <w:szCs w:val="22"/>
      <w:lang w:val="x-none" w:eastAsia="x-none"/>
    </w:rPr>
  </w:style>
  <w:style w:type="character" w:customStyle="1" w:styleId="Heading5Char">
    <w:name w:val="Heading 5 Char"/>
    <w:link w:val="Heading5"/>
    <w:rsid w:val="003F29E3"/>
    <w:rPr>
      <w:rFonts w:eastAsia="Times New Roman"/>
      <w:b/>
      <w:sz w:val="22"/>
      <w:szCs w:val="22"/>
      <w:lang w:val="x-none" w:eastAsia="x-none"/>
    </w:rPr>
  </w:style>
  <w:style w:type="character" w:customStyle="1" w:styleId="Heading6Char">
    <w:name w:val="Heading 6 Char"/>
    <w:link w:val="Heading6"/>
    <w:rsid w:val="003F29E3"/>
    <w:rPr>
      <w:rFonts w:eastAsia="Times New Roman"/>
      <w:b/>
      <w:bCs/>
      <w:color w:val="000000"/>
      <w:sz w:val="22"/>
      <w:szCs w:val="22"/>
      <w:lang w:val="x-none" w:eastAsia="x-none"/>
    </w:rPr>
  </w:style>
  <w:style w:type="character" w:customStyle="1" w:styleId="Heading7Char">
    <w:name w:val="Heading 7 Char"/>
    <w:link w:val="Heading7"/>
    <w:semiHidden/>
    <w:rsid w:val="003F29E3"/>
    <w:rPr>
      <w:rFonts w:eastAsia="Times New Roman"/>
      <w:color w:val="000000"/>
      <w:sz w:val="22"/>
      <w:szCs w:val="22"/>
      <w:lang w:val="x-none" w:eastAsia="x-none"/>
    </w:rPr>
  </w:style>
  <w:style w:type="character" w:customStyle="1" w:styleId="Heading8Char">
    <w:name w:val="Heading 8 Char"/>
    <w:link w:val="Heading8"/>
    <w:semiHidden/>
    <w:rsid w:val="003F29E3"/>
    <w:rPr>
      <w:rFonts w:eastAsia="Times New Roman"/>
      <w:i/>
      <w:iCs/>
      <w:color w:val="000000"/>
      <w:sz w:val="22"/>
      <w:szCs w:val="22"/>
      <w:lang w:val="x-none" w:eastAsia="x-none"/>
    </w:rPr>
  </w:style>
  <w:style w:type="character" w:customStyle="1" w:styleId="Heading9Char">
    <w:name w:val="Heading 9 Char"/>
    <w:link w:val="Heading9"/>
    <w:semiHidden/>
    <w:rsid w:val="003F29E3"/>
    <w:rPr>
      <w:rFonts w:ascii="Cambria" w:eastAsia="Times New Roman" w:hAnsi="Cambria"/>
      <w:color w:val="000000"/>
      <w:sz w:val="22"/>
      <w:szCs w:val="22"/>
      <w:lang w:val="x-none" w:eastAsia="x-none"/>
    </w:rPr>
  </w:style>
  <w:style w:type="paragraph" w:styleId="FootnoteText">
    <w:name w:val="footnote text"/>
    <w:aliases w:val="lábléc,Footnote Text Char1 Char,Footnote Text Char Char Char,lábléc Char Char Char,lábléc Char1 Char,Footnote Text Char1,Footnote Text Char Char,lábléc Char Char,lábléc Char1,Lábjegyzet szöveg"/>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aliases w:val="lábléc Char,Footnote Text Char1 Char Char,Footnote Text Char Char Char Char,lábléc Char Char Char Char,lábléc Char1 Char Char,Footnote Text Char1 Char1,Footnote Text Char Char Char1,lábléc Char Char Char1,lábléc Char1 Char1"/>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aliases w:val="Footnote Reference Number,Footnote Reference_LVL6,Footnote Reference_LVL61,Footnote Reference_LVL62,Footnote Reference_LVL63,Footnote Reference_LVL64, Char1,Char1,Lábjegyzet hivatkozás"/>
    <w:uiPriority w:val="99"/>
    <w:qFormat/>
    <w:rsid w:val="00080094"/>
    <w:rPr>
      <w:vertAlign w:val="superscript"/>
    </w:rPr>
  </w:style>
  <w:style w:type="paragraph" w:customStyle="1" w:styleId="Norml1">
    <w:name w:val="Normál1"/>
    <w:basedOn w:val="Normal"/>
    <w:next w:val="Normal"/>
    <w:autoRedefine/>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semiHidden/>
    <w:rsid w:val="003F29E3"/>
    <w:rPr>
      <w:rFonts w:ascii="Tahoma" w:hAnsi="Tahoma" w:cs="Tahoma"/>
      <w:sz w:val="16"/>
      <w:szCs w:val="16"/>
    </w:rPr>
  </w:style>
  <w:style w:type="character" w:customStyle="1" w:styleId="BalloonTextChar">
    <w:name w:val="Balloon Text Char"/>
    <w:link w:val="BalloonText"/>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rsid w:val="003F29E3"/>
    <w:rPr>
      <w:sz w:val="16"/>
      <w:szCs w:val="16"/>
    </w:rPr>
  </w:style>
  <w:style w:type="paragraph" w:styleId="CommentText">
    <w:name w:val="annotation text"/>
    <w:basedOn w:val="Normal"/>
    <w:link w:val="CommentTextChar"/>
    <w:rsid w:val="003F29E3"/>
    <w:rPr>
      <w:sz w:val="20"/>
      <w:szCs w:val="20"/>
    </w:rPr>
  </w:style>
  <w:style w:type="character" w:customStyle="1" w:styleId="CommentTextChar">
    <w:name w:val="Comment Text Char"/>
    <w:link w:val="CommentText"/>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rsid w:val="003F29E3"/>
    <w:pPr>
      <w:spacing w:line="480" w:lineRule="auto"/>
      <w:ind w:left="283"/>
    </w:pPr>
    <w:rPr>
      <w:bCs/>
    </w:rPr>
  </w:style>
  <w:style w:type="character" w:customStyle="1" w:styleId="BodyTextIndent2Char">
    <w:name w:val="Body Text Indent 2 Char"/>
    <w:link w:val="BodyTextIndent2"/>
    <w:rsid w:val="003F29E3"/>
    <w:rPr>
      <w:rFonts w:ascii="Calibri" w:eastAsia="Times New Roman" w:hAnsi="Calibri" w:cs="Times New Roman"/>
      <w:bCs/>
      <w:color w:val="000000"/>
      <w:lang w:eastAsia="hu-HU"/>
    </w:rPr>
  </w:style>
  <w:style w:type="paragraph" w:styleId="Footer">
    <w:name w:val="footer"/>
    <w:basedOn w:val="Normal"/>
    <w:link w:val="FooterChar"/>
    <w:rsid w:val="003F29E3"/>
    <w:pPr>
      <w:tabs>
        <w:tab w:val="center" w:pos="4536"/>
        <w:tab w:val="right" w:pos="9072"/>
      </w:tabs>
    </w:pPr>
  </w:style>
  <w:style w:type="character" w:customStyle="1" w:styleId="FooterChar">
    <w:name w:val="Footer Char"/>
    <w:link w:val="Footer"/>
    <w:rsid w:val="003F29E3"/>
    <w:rPr>
      <w:rFonts w:ascii="Calibri" w:eastAsia="Times New Roman" w:hAnsi="Calibri" w:cs="Times New Roman"/>
      <w:color w:val="000000"/>
      <w:lang w:eastAsia="hu-HU"/>
    </w:rPr>
  </w:style>
  <w:style w:type="character" w:styleId="PageNumber">
    <w:name w:val="page number"/>
    <w:basedOn w:val="DefaultParagraphFont"/>
    <w:rsid w:val="003F29E3"/>
  </w:style>
  <w:style w:type="paragraph" w:styleId="Title">
    <w:name w:val="Title"/>
    <w:basedOn w:val="Normal"/>
    <w:link w:val="TitleChar"/>
    <w:qFormat/>
    <w:rsid w:val="003F29E3"/>
    <w:pPr>
      <w:jc w:val="center"/>
    </w:pPr>
    <w:rPr>
      <w:b/>
    </w:rPr>
  </w:style>
  <w:style w:type="character" w:customStyle="1" w:styleId="TitleChar">
    <w:name w:val="Title Char"/>
    <w:link w:val="Title"/>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Strong">
    <w:name w:val="Strong"/>
    <w:qFormat/>
    <w:rsid w:val="003F29E3"/>
    <w:rPr>
      <w:b/>
      <w:bCs/>
    </w:rPr>
  </w:style>
  <w:style w:type="paragraph" w:styleId="CommentSubject">
    <w:name w:val="annotation subject"/>
    <w:basedOn w:val="CommentText"/>
    <w:next w:val="CommentText"/>
    <w:link w:val="CommentSubjectChar"/>
    <w:rsid w:val="003F29E3"/>
    <w:rPr>
      <w:rFonts w:ascii="Times New Roman" w:hAnsi="Times New Roman"/>
      <w:b/>
      <w:bCs/>
      <w:color w:val="auto"/>
      <w:lang w:val="x-none" w:eastAsia="x-none"/>
    </w:rPr>
  </w:style>
  <w:style w:type="character" w:customStyle="1" w:styleId="CommentSubjectChar">
    <w:name w:val="Comment Subject Char"/>
    <w:link w:val="CommentSubject"/>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rsid w:val="003F29E3"/>
  </w:style>
  <w:style w:type="character" w:styleId="Emphasis">
    <w:name w:val="Emphasis"/>
    <w:uiPriority w:val="20"/>
    <w:qFormat/>
    <w:rsid w:val="003F29E3"/>
    <w:rPr>
      <w:i/>
      <w:iCs/>
    </w:rPr>
  </w:style>
  <w:style w:type="paragraph" w:customStyle="1" w:styleId="cm10">
    <w:name w:val="cm10"/>
    <w:basedOn w:val="Normal"/>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rsid w:val="003F29E3"/>
    <w:pPr>
      <w:tabs>
        <w:tab w:val="center" w:pos="4536"/>
        <w:tab w:val="right" w:pos="9072"/>
      </w:tabs>
    </w:pPr>
  </w:style>
  <w:style w:type="character" w:customStyle="1" w:styleId="HeaderChar">
    <w:name w:val="Header Char"/>
    <w:link w:val="Header"/>
    <w:rsid w:val="003F29E3"/>
    <w:rPr>
      <w:rFonts w:ascii="Calibri" w:eastAsia="Times New Roman" w:hAnsi="Calibri" w:cs="Times New Roman"/>
      <w:color w:val="000000"/>
      <w:lang w:eastAsia="hu-HU"/>
    </w:rPr>
  </w:style>
  <w:style w:type="character" w:styleId="FollowedHyperlink">
    <w:name w:val="FollowedHyperlink"/>
    <w:rsid w:val="003F29E3"/>
    <w:rPr>
      <w:color w:val="800080"/>
      <w:u w:val="single"/>
    </w:rPr>
  </w:style>
  <w:style w:type="paragraph" w:styleId="ListParagraph">
    <w:name w:val="List Paragraph"/>
    <w:basedOn w:val="Normal"/>
    <w:link w:val="ListParagraph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Heading3"/>
    <w:link w:val="Stlus2Char"/>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rsid w:val="003F29E3"/>
  </w:style>
  <w:style w:type="paragraph" w:styleId="TOC4">
    <w:name w:val="toc 4"/>
    <w:basedOn w:val="Normal"/>
    <w:next w:val="Normal"/>
    <w:autoRedefine/>
    <w:uiPriority w:val="39"/>
    <w:rsid w:val="003F29E3"/>
    <w:pPr>
      <w:spacing w:after="100"/>
      <w:ind w:left="720"/>
    </w:pPr>
  </w:style>
  <w:style w:type="paragraph" w:styleId="TOC5">
    <w:name w:val="toc 5"/>
    <w:basedOn w:val="Normal"/>
    <w:next w:val="Normal"/>
    <w:autoRedefine/>
    <w:uiPriority w:val="39"/>
    <w:unhideWhenUsed/>
    <w:rsid w:val="003F29E3"/>
    <w:pPr>
      <w:spacing w:after="100" w:line="276" w:lineRule="auto"/>
      <w:ind w:left="880"/>
      <w:jc w:val="left"/>
    </w:pPr>
  </w:style>
  <w:style w:type="paragraph" w:styleId="TOC6">
    <w:name w:val="toc 6"/>
    <w:basedOn w:val="Normal"/>
    <w:next w:val="Normal"/>
    <w:autoRedefine/>
    <w:uiPriority w:val="39"/>
    <w:unhideWhenUsed/>
    <w:rsid w:val="003F29E3"/>
    <w:pPr>
      <w:spacing w:after="100" w:line="276" w:lineRule="auto"/>
      <w:ind w:left="1100"/>
      <w:jc w:val="left"/>
    </w:pPr>
  </w:style>
  <w:style w:type="paragraph" w:styleId="TOC7">
    <w:name w:val="toc 7"/>
    <w:basedOn w:val="Normal"/>
    <w:next w:val="Normal"/>
    <w:autoRedefine/>
    <w:uiPriority w:val="39"/>
    <w:unhideWhenUsed/>
    <w:rsid w:val="003F29E3"/>
    <w:pPr>
      <w:spacing w:after="100" w:line="276" w:lineRule="auto"/>
      <w:ind w:left="1320"/>
      <w:jc w:val="left"/>
    </w:pPr>
  </w:style>
  <w:style w:type="paragraph" w:styleId="TOC8">
    <w:name w:val="toc 8"/>
    <w:basedOn w:val="Normal"/>
    <w:next w:val="Normal"/>
    <w:autoRedefine/>
    <w:uiPriority w:val="39"/>
    <w:unhideWhenUsed/>
    <w:rsid w:val="003F29E3"/>
    <w:pPr>
      <w:spacing w:after="100" w:line="276" w:lineRule="auto"/>
      <w:ind w:left="1540"/>
      <w:jc w:val="left"/>
    </w:pPr>
  </w:style>
  <w:style w:type="paragraph" w:styleId="TOC9">
    <w:name w:val="toc 9"/>
    <w:basedOn w:val="Normal"/>
    <w:next w:val="Normal"/>
    <w:autoRedefine/>
    <w:uiPriority w:val="3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rsid w:val="003F29E3"/>
    <w:rPr>
      <w:rFonts w:ascii="Cambria" w:eastAsia="Times New Roman" w:hAnsi="Cambria" w:cs="Times New Roman"/>
      <w:sz w:val="24"/>
      <w:szCs w:val="24"/>
      <w:lang w:val="x-none" w:eastAsia="x-none"/>
    </w:rPr>
  </w:style>
  <w:style w:type="table" w:styleId="TableGrid">
    <w:name w:val="Table Grid"/>
    <w:basedOn w:val="TableNormal"/>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a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Paragraph"/>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a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Paragraph"/>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Paragraph"/>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ParagraphChar"/>
    <w:link w:val="Listaszerbekezds2szint"/>
    <w:uiPriority w:val="4"/>
    <w:rsid w:val="003D2120"/>
    <w:rPr>
      <w:rFonts w:ascii="Times New Roman" w:eastAsiaTheme="minorHAnsi" w:hAnsi="Times New Roman" w:cstheme="minorBidi"/>
      <w:sz w:val="24"/>
      <w:szCs w:val="22"/>
      <w:lang w:val="x-none" w:eastAsia="x-none"/>
    </w:rPr>
  </w:style>
  <w:style w:type="paragraph" w:styleId="EndnoteText">
    <w:name w:val="endnote text"/>
    <w:basedOn w:val="Normal"/>
    <w:link w:val="EndnoteTextChar"/>
    <w:uiPriority w:val="99"/>
    <w:semiHidden/>
    <w:unhideWhenUsed/>
    <w:rsid w:val="001C4DF8"/>
    <w:pPr>
      <w:spacing w:after="0"/>
    </w:pPr>
    <w:rPr>
      <w:sz w:val="20"/>
      <w:szCs w:val="20"/>
    </w:rPr>
  </w:style>
  <w:style w:type="character" w:customStyle="1" w:styleId="EndnoteTextChar">
    <w:name w:val="Endnote Text Char"/>
    <w:basedOn w:val="DefaultParagraphFont"/>
    <w:link w:val="EndnoteText"/>
    <w:uiPriority w:val="99"/>
    <w:semiHidden/>
    <w:rsid w:val="001C4DF8"/>
    <w:rPr>
      <w:rFonts w:eastAsia="Times New Roman"/>
      <w:color w:val="000000"/>
    </w:rPr>
  </w:style>
  <w:style w:type="character" w:styleId="EndnoteReference">
    <w:name w:val="endnote reference"/>
    <w:basedOn w:val="DefaultParagraphFont"/>
    <w:uiPriority w:val="99"/>
    <w:semiHidden/>
    <w:unhideWhenUsed/>
    <w:rsid w:val="001C4DF8"/>
    <w:rPr>
      <w:vertAlign w:val="superscript"/>
    </w:rPr>
  </w:style>
  <w:style w:type="paragraph" w:styleId="Caption">
    <w:name w:val="caption"/>
    <w:basedOn w:val="Normal"/>
    <w:next w:val="Norma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DefaultParagraphFont"/>
    <w:uiPriority w:val="99"/>
    <w:semiHidden/>
    <w:unhideWhenUsed/>
    <w:rsid w:val="00086A86"/>
    <w:rPr>
      <w:color w:val="808080"/>
      <w:shd w:val="clear" w:color="auto" w:fill="E6E6E6"/>
    </w:rPr>
  </w:style>
  <w:style w:type="paragraph" w:customStyle="1" w:styleId="Bekezds1">
    <w:name w:val="Bekezdés1"/>
    <w:basedOn w:val="Norma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DefaultParagraphFont"/>
    <w:link w:val="Bekezds1"/>
    <w:rsid w:val="00615CB9"/>
    <w:rPr>
      <w:rFonts w:asciiTheme="minorHAnsi" w:hAnsiTheme="minorHAnsi"/>
      <w:color w:val="002060"/>
      <w:lang w:eastAsia="en-US"/>
    </w:rPr>
  </w:style>
  <w:style w:type="paragraph" w:customStyle="1" w:styleId="Lbjegyzet">
    <w:name w:val="Lábjegyzet"/>
    <w:basedOn w:val="FootnoteText"/>
    <w:link w:val="LbjegyzetChar"/>
    <w:qFormat/>
    <w:rsid w:val="00615CB9"/>
    <w:pPr>
      <w:jc w:val="left"/>
    </w:pPr>
    <w:rPr>
      <w:color w:val="17365D" w:themeColor="text2" w:themeShade="BF"/>
      <w:sz w:val="18"/>
      <w:lang w:eastAsia="en-US"/>
    </w:rPr>
  </w:style>
  <w:style w:type="character" w:customStyle="1" w:styleId="LbjegyzetChar">
    <w:name w:val="Lábjegyzet Char"/>
    <w:basedOn w:val="FootnoteText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Paragraph"/>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DefaultParagraphFont"/>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DefaultParagraphFont"/>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PlaceholderText">
    <w:name w:val="Placeholder Text"/>
    <w:basedOn w:val="DefaultParagraphFont"/>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Heading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UnresolvedMention">
    <w:name w:val="Unresolved Mention"/>
    <w:basedOn w:val="DefaultParagraphFont"/>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footer" Target="footer1.xml"/><Relationship Id="rId47" Type="http://schemas.openxmlformats.org/officeDocument/2006/relationships/image" Target="media/image4.emf"/><Relationship Id="rId50"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chart" Target="charts/chart1.xml"/><Relationship Id="rId46"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footer" Target="footer2.xml"/><Relationship Id="rId48" Type="http://schemas.openxmlformats.org/officeDocument/2006/relationships/image" Target="media/image5.emf"/><Relationship Id="rId8" Type="http://schemas.openxmlformats.org/officeDocument/2006/relationships/settings" Target="settings.xml"/><Relationship Id="rId51" Type="http://schemas.openxmlformats.org/officeDocument/2006/relationships/image" Target="media/image8.emf"/></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1672271/Guidelines+on+implicit+support+for+securitisation+transactions+%28EBA-GL-2016-08%29_HU.pdf/c66b1d41-be92-45d9-b7f5-f119c6c3afbe" TargetMode="External"/><Relationship Id="rId3" Type="http://schemas.openxmlformats.org/officeDocument/2006/relationships/hyperlink" Target="http://www.eba.europa.eu/single-rule-book-qa/-/qna/view/publicId/2013_666" TargetMode="External"/><Relationship Id="rId7" Type="http://schemas.openxmlformats.org/officeDocument/2006/relationships/hyperlink" Target="http://eur-lex.europa.eu/legal-content/EN/TXT/?uri=OJ:JOL_2015_263_R_0005" TargetMode="External"/><Relationship Id="rId2" Type="http://schemas.openxmlformats.org/officeDocument/2006/relationships/hyperlink" Target="http://www.hitelintezetiszemle.hu/letoltes/szenes-mark-tomsics-andras-kutasi-david.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bis.org/publ/bcbs254.htm" TargetMode="External"/><Relationship Id="rId5" Type="http://schemas.openxmlformats.org/officeDocument/2006/relationships/hyperlink" Target="http://www.eba.europa.eu/single-rule-book-qa/-/qna/view/publicId/2014_907" TargetMode="External"/><Relationship Id="rId4" Type="http://schemas.openxmlformats.org/officeDocument/2006/relationships/hyperlink" Target="http://www.eba.europa.eu/single-rule-book-qa/-/qna/view/publicId/2015_2195" TargetMode="External"/><Relationship Id="rId9" Type="http://schemas.openxmlformats.org/officeDocument/2006/relationships/hyperlink" Target="https://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131593344"/>
        <c:axId val="138377088"/>
      </c:lineChart>
      <c:catAx>
        <c:axId val="131593344"/>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138377088"/>
        <c:crosses val="autoZero"/>
        <c:auto val="1"/>
        <c:lblAlgn val="ctr"/>
        <c:lblOffset val="100"/>
        <c:tickLblSkip val="10"/>
        <c:tickMarkSkip val="10"/>
        <c:noMultiLvlLbl val="0"/>
      </c:catAx>
      <c:valAx>
        <c:axId val="138377088"/>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131593344"/>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2.xml><?xml version="1.0" encoding="utf-8"?>
<ds:datastoreItem xmlns:ds="http://schemas.openxmlformats.org/officeDocument/2006/customXml" ds:itemID="{CDD39AFB-2F53-48DE-874B-0BC9247D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25C8B19-7C09-4145-8773-00217C2F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166</Pages>
  <Words>65653</Words>
  <Characters>453009</Characters>
  <Application>Microsoft Office Word</Application>
  <DocSecurity>0</DocSecurity>
  <Lines>3775</Lines>
  <Paragraphs>1035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517627</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Dabi Zsófia Borbála</cp:lastModifiedBy>
  <cp:revision>15</cp:revision>
  <cp:lastPrinted>2018-07-26T14:09:00Z</cp:lastPrinted>
  <dcterms:created xsi:type="dcterms:W3CDTF">2019-12-10T12:29:00Z</dcterms:created>
  <dcterms:modified xsi:type="dcterms:W3CDTF">2019-12-14T08:45:00Z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0x01010040DCE0BF1F888A428F6BA9F0F49672A7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