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E5B4" w14:textId="77777777" w:rsidR="008A78E3" w:rsidRDefault="008A78E3" w:rsidP="00D10772">
      <w:pPr>
        <w:rPr>
          <w:rFonts w:asciiTheme="minorHAnsi" w:hAnsiTheme="minorHAnsi"/>
        </w:rPr>
      </w:pPr>
    </w:p>
    <w:p w14:paraId="7FFFE5B5" w14:textId="77777777" w:rsidR="008A78E3" w:rsidRDefault="008A78E3" w:rsidP="00D10772">
      <w:pPr>
        <w:rPr>
          <w:rFonts w:asciiTheme="minorHAnsi" w:hAnsiTheme="minorHAnsi"/>
        </w:rPr>
      </w:pPr>
    </w:p>
    <w:p w14:paraId="7FFFE5B6" w14:textId="77777777" w:rsidR="008A78E3" w:rsidRPr="006A6890" w:rsidRDefault="008A78E3" w:rsidP="00D10772">
      <w:pPr>
        <w:rPr>
          <w:rFonts w:asciiTheme="minorHAnsi" w:hAnsiTheme="minorHAnsi"/>
        </w:rPr>
      </w:pPr>
    </w:p>
    <w:p w14:paraId="7FFFE5B7" w14:textId="77777777" w:rsidR="008A78E3" w:rsidRPr="006A6890" w:rsidRDefault="008A78E3" w:rsidP="00D10772">
      <w:pPr>
        <w:rPr>
          <w:rFonts w:asciiTheme="minorHAnsi" w:hAnsiTheme="minorHAnsi"/>
        </w:rPr>
      </w:pPr>
    </w:p>
    <w:p w14:paraId="7FFFE5B8" w14:textId="77777777" w:rsidR="008A78E3" w:rsidRPr="006A6890" w:rsidRDefault="008A78E3" w:rsidP="00D10772">
      <w:pPr>
        <w:rPr>
          <w:rFonts w:asciiTheme="minorHAnsi" w:hAnsiTheme="minorHAnsi"/>
        </w:rPr>
      </w:pPr>
    </w:p>
    <w:p w14:paraId="7FFFE5B9" w14:textId="77777777" w:rsidR="008A78E3" w:rsidRPr="006A6890" w:rsidRDefault="008A78E3" w:rsidP="00FF0CBC">
      <w:pPr>
        <w:jc w:val="center"/>
        <w:rPr>
          <w:rFonts w:asciiTheme="minorHAnsi" w:hAnsiTheme="minorHAnsi"/>
        </w:rPr>
      </w:pPr>
    </w:p>
    <w:p w14:paraId="7FFFE5BA" w14:textId="77777777" w:rsidR="008A78E3" w:rsidRPr="006A6890" w:rsidRDefault="008A78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7FFFE5BB" w14:textId="77777777" w:rsidR="008A78E3" w:rsidRPr="006A6890" w:rsidRDefault="008A78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7FFFE5BC" w14:textId="77777777" w:rsidR="008A78E3" w:rsidRPr="006A6890" w:rsidRDefault="008A78E3" w:rsidP="00FF0CBC">
      <w:pPr>
        <w:jc w:val="center"/>
        <w:rPr>
          <w:rFonts w:asciiTheme="minorHAnsi" w:hAnsiTheme="minorHAnsi"/>
          <w:sz w:val="28"/>
          <w:szCs w:val="28"/>
        </w:rPr>
      </w:pPr>
      <w:r w:rsidRPr="006A6890">
        <w:rPr>
          <w:rFonts w:asciiTheme="minorHAnsi" w:hAnsiTheme="minorHAnsi"/>
          <w:sz w:val="28"/>
          <w:szCs w:val="28"/>
        </w:rPr>
        <w:t>(ILAAP)</w:t>
      </w:r>
    </w:p>
    <w:p w14:paraId="7FFFE5BD" w14:textId="77777777" w:rsidR="008A78E3" w:rsidRPr="006A6890" w:rsidRDefault="008A78E3" w:rsidP="00FF0CBC">
      <w:pPr>
        <w:jc w:val="center"/>
        <w:rPr>
          <w:rFonts w:asciiTheme="minorHAnsi" w:hAnsiTheme="minorHAnsi"/>
          <w:sz w:val="28"/>
          <w:szCs w:val="28"/>
        </w:rPr>
      </w:pPr>
      <w:r w:rsidRPr="006A6890">
        <w:rPr>
          <w:rFonts w:asciiTheme="minorHAnsi" w:hAnsiTheme="minorHAnsi"/>
          <w:sz w:val="28"/>
          <w:szCs w:val="28"/>
        </w:rPr>
        <w:t>és felügyeleti felülvizsgálatuk, valamint az üzleti modell elemzés (BMA)</w:t>
      </w:r>
    </w:p>
    <w:p w14:paraId="7FFFE5BE" w14:textId="77777777" w:rsidR="008A78E3" w:rsidRPr="006A6890" w:rsidRDefault="008A78E3" w:rsidP="00FF0CBC">
      <w:pPr>
        <w:jc w:val="center"/>
        <w:rPr>
          <w:rFonts w:asciiTheme="minorHAnsi" w:hAnsiTheme="minorHAnsi"/>
        </w:rPr>
      </w:pPr>
    </w:p>
    <w:p w14:paraId="7FFFE5BF" w14:textId="77777777" w:rsidR="008A78E3" w:rsidRPr="006A6890" w:rsidRDefault="008A78E3" w:rsidP="00FF0CBC">
      <w:pPr>
        <w:jc w:val="center"/>
        <w:rPr>
          <w:rFonts w:asciiTheme="minorHAnsi" w:hAnsiTheme="minorHAnsi"/>
        </w:rPr>
      </w:pPr>
    </w:p>
    <w:p w14:paraId="7FFFE5C0" w14:textId="77777777" w:rsidR="008A78E3" w:rsidRPr="006A6890" w:rsidRDefault="008A78E3" w:rsidP="00FF0CBC">
      <w:pPr>
        <w:jc w:val="center"/>
        <w:rPr>
          <w:rFonts w:asciiTheme="minorHAnsi" w:hAnsiTheme="minorHAnsi"/>
        </w:rPr>
      </w:pPr>
    </w:p>
    <w:p w14:paraId="7FFFE5C1" w14:textId="77777777" w:rsidR="008A78E3" w:rsidRPr="006A6890" w:rsidRDefault="008A78E3" w:rsidP="00FF0CBC">
      <w:pPr>
        <w:jc w:val="center"/>
        <w:rPr>
          <w:rFonts w:asciiTheme="minorHAnsi" w:hAnsiTheme="minorHAnsi"/>
        </w:rPr>
      </w:pPr>
    </w:p>
    <w:p w14:paraId="7FFFE5C2" w14:textId="77777777" w:rsidR="008A78E3" w:rsidRPr="006A6890" w:rsidRDefault="008A78E3" w:rsidP="00FF0CBC">
      <w:pPr>
        <w:jc w:val="center"/>
        <w:rPr>
          <w:rFonts w:asciiTheme="minorHAnsi" w:hAnsiTheme="minorHAnsi"/>
        </w:rPr>
      </w:pPr>
      <w:r w:rsidRPr="006A6890">
        <w:rPr>
          <w:rFonts w:asciiTheme="minorHAnsi" w:hAnsiTheme="minorHAnsi"/>
        </w:rPr>
        <w:t>MÓDSZERTANI KÉZIKÖNYV A FELÜGYELT INTÉZMÉNYEK RÉSZÉRE</w:t>
      </w:r>
    </w:p>
    <w:p w14:paraId="7FFFE5C3" w14:textId="77777777" w:rsidR="008A78E3" w:rsidRPr="006A6890" w:rsidRDefault="008A78E3" w:rsidP="00FF0CBC">
      <w:pPr>
        <w:jc w:val="center"/>
        <w:rPr>
          <w:rFonts w:asciiTheme="minorHAnsi" w:hAnsiTheme="minorHAnsi"/>
        </w:rPr>
      </w:pPr>
    </w:p>
    <w:p w14:paraId="7FFFE5C4" w14:textId="77777777" w:rsidR="008A78E3" w:rsidRPr="006A6890" w:rsidRDefault="008A78E3" w:rsidP="00FF0CBC">
      <w:pPr>
        <w:jc w:val="center"/>
        <w:rPr>
          <w:rFonts w:asciiTheme="minorHAnsi" w:hAnsiTheme="minorHAnsi"/>
        </w:rPr>
      </w:pPr>
    </w:p>
    <w:p w14:paraId="7FFFE5C5" w14:textId="77777777" w:rsidR="008A78E3" w:rsidRPr="006A6890" w:rsidRDefault="008A78E3" w:rsidP="00D10772">
      <w:pPr>
        <w:rPr>
          <w:rFonts w:asciiTheme="minorHAnsi" w:hAnsiTheme="minorHAnsi"/>
        </w:rPr>
      </w:pPr>
    </w:p>
    <w:p w14:paraId="7FFFE5C6" w14:textId="77777777" w:rsidR="008A78E3" w:rsidRPr="006A6890" w:rsidRDefault="008A78E3" w:rsidP="00D10772">
      <w:pPr>
        <w:rPr>
          <w:rFonts w:asciiTheme="minorHAnsi" w:hAnsiTheme="minorHAnsi"/>
        </w:rPr>
      </w:pPr>
    </w:p>
    <w:p w14:paraId="7FFFE5C7" w14:textId="77777777" w:rsidR="008A78E3" w:rsidRPr="006A6890" w:rsidRDefault="008A78E3" w:rsidP="00D10772">
      <w:pPr>
        <w:rPr>
          <w:rFonts w:asciiTheme="minorHAnsi" w:hAnsiTheme="minorHAnsi"/>
        </w:rPr>
      </w:pPr>
    </w:p>
    <w:p w14:paraId="7FFFE5C8" w14:textId="77777777" w:rsidR="008A78E3" w:rsidRPr="006A6890" w:rsidRDefault="008A78E3" w:rsidP="00D10772">
      <w:pPr>
        <w:rPr>
          <w:rFonts w:asciiTheme="minorHAnsi" w:hAnsiTheme="minorHAnsi"/>
        </w:rPr>
      </w:pPr>
    </w:p>
    <w:p w14:paraId="7FFFE5C9" w14:textId="77777777" w:rsidR="008A78E3" w:rsidRPr="006A6890" w:rsidRDefault="008A78E3" w:rsidP="00D10772">
      <w:pPr>
        <w:rPr>
          <w:rFonts w:asciiTheme="minorHAnsi" w:hAnsiTheme="minorHAnsi"/>
        </w:rPr>
      </w:pPr>
    </w:p>
    <w:p w14:paraId="7FFFE5CA" w14:textId="77777777" w:rsidR="008A78E3" w:rsidRPr="006A6890" w:rsidRDefault="008A78E3" w:rsidP="00D10772">
      <w:pPr>
        <w:rPr>
          <w:rFonts w:asciiTheme="minorHAnsi" w:hAnsiTheme="minorHAnsi"/>
        </w:rPr>
      </w:pPr>
    </w:p>
    <w:p w14:paraId="7FFFE5CB" w14:textId="77777777" w:rsidR="008A78E3" w:rsidRPr="006A6890" w:rsidRDefault="008A78E3" w:rsidP="00D10772">
      <w:pPr>
        <w:rPr>
          <w:rFonts w:asciiTheme="minorHAnsi" w:hAnsiTheme="minorHAnsi"/>
        </w:rPr>
      </w:pPr>
    </w:p>
    <w:p w14:paraId="7FFFE5CC" w14:textId="77777777" w:rsidR="008A78E3" w:rsidRPr="006A6890" w:rsidRDefault="008A78E3" w:rsidP="00D10772">
      <w:pPr>
        <w:rPr>
          <w:rFonts w:asciiTheme="minorHAnsi" w:hAnsiTheme="minorHAnsi"/>
        </w:rPr>
      </w:pPr>
    </w:p>
    <w:p w14:paraId="7FFFE5CD" w14:textId="77777777" w:rsidR="008A78E3" w:rsidRPr="006A6890" w:rsidRDefault="008A78E3" w:rsidP="00D10772">
      <w:pPr>
        <w:rPr>
          <w:rFonts w:asciiTheme="minorHAnsi" w:hAnsiTheme="minorHAnsi"/>
        </w:rPr>
      </w:pPr>
    </w:p>
    <w:p w14:paraId="7FFFE5CE" w14:textId="77777777" w:rsidR="008A78E3" w:rsidRPr="006A6890" w:rsidRDefault="008A78E3" w:rsidP="00D10772">
      <w:pPr>
        <w:rPr>
          <w:rFonts w:asciiTheme="minorHAnsi" w:hAnsiTheme="minorHAnsi"/>
        </w:rPr>
      </w:pPr>
    </w:p>
    <w:p w14:paraId="7FFFE5CF" w14:textId="77777777" w:rsidR="008A78E3" w:rsidRPr="006A6890" w:rsidRDefault="008A78E3" w:rsidP="00D10772">
      <w:pPr>
        <w:rPr>
          <w:rFonts w:asciiTheme="minorHAnsi" w:hAnsiTheme="minorHAnsi"/>
        </w:rPr>
      </w:pPr>
    </w:p>
    <w:p w14:paraId="7FFFE5D0" w14:textId="77777777" w:rsidR="008A78E3" w:rsidRPr="006A6890" w:rsidRDefault="008A78E3" w:rsidP="00D10772">
      <w:pPr>
        <w:rPr>
          <w:rFonts w:asciiTheme="minorHAnsi" w:hAnsiTheme="minorHAnsi"/>
        </w:rPr>
      </w:pPr>
    </w:p>
    <w:p w14:paraId="7FFFE5D1" w14:textId="77777777" w:rsidR="008A78E3" w:rsidRPr="006A6890" w:rsidRDefault="008A78E3" w:rsidP="00D10772">
      <w:pPr>
        <w:rPr>
          <w:rFonts w:asciiTheme="minorHAnsi" w:hAnsiTheme="minorHAnsi"/>
        </w:rPr>
      </w:pPr>
    </w:p>
    <w:p w14:paraId="7FFFE5D2" w14:textId="77777777" w:rsidR="008A78E3" w:rsidRPr="006A6890" w:rsidRDefault="008A78E3" w:rsidP="00D10772">
      <w:pPr>
        <w:rPr>
          <w:rFonts w:asciiTheme="minorHAnsi" w:hAnsiTheme="minorHAnsi"/>
        </w:rPr>
      </w:pPr>
    </w:p>
    <w:p w14:paraId="7FFFE5D3" w14:textId="77777777" w:rsidR="008A78E3" w:rsidRDefault="008A78E3" w:rsidP="00D10772">
      <w:pPr>
        <w:rPr>
          <w:rFonts w:asciiTheme="minorHAnsi" w:hAnsiTheme="minorHAnsi"/>
        </w:rPr>
      </w:pPr>
    </w:p>
    <w:p w14:paraId="7FFFE5D4" w14:textId="7D052737" w:rsidR="008A78E3" w:rsidRPr="006A6890" w:rsidRDefault="008A78E3" w:rsidP="00D10772">
      <w:pPr>
        <w:rPr>
          <w:rFonts w:asciiTheme="minorHAnsi" w:hAnsiTheme="minorHAnsi"/>
        </w:rPr>
      </w:pPr>
      <w:r w:rsidRPr="009E44CA">
        <w:rPr>
          <w:rFonts w:asciiTheme="minorHAnsi" w:hAnsiTheme="minorHAnsi"/>
        </w:rPr>
        <w:t xml:space="preserve">Utolsó felülvizsgálat: </w:t>
      </w:r>
      <w:r>
        <w:rPr>
          <w:rFonts w:asciiTheme="minorHAnsi" w:hAnsiTheme="minorHAnsi"/>
        </w:rPr>
        <w:t xml:space="preserve">2024. </w:t>
      </w:r>
      <w:r w:rsidR="009D2DEA">
        <w:rPr>
          <w:rFonts w:asciiTheme="minorHAnsi" w:hAnsiTheme="minorHAnsi"/>
        </w:rPr>
        <w:t>április</w:t>
      </w:r>
    </w:p>
    <w:p w14:paraId="7FFFE5D5" w14:textId="77777777" w:rsidR="008A78E3" w:rsidRPr="006A6890" w:rsidRDefault="008A78E3" w:rsidP="00D10772">
      <w:pPr>
        <w:rPr>
          <w:rFonts w:asciiTheme="minorHAnsi" w:hAnsiTheme="minorHAnsi"/>
        </w:rPr>
      </w:pPr>
    </w:p>
    <w:p w14:paraId="7FFFE5D6" w14:textId="77777777" w:rsidR="008A78E3" w:rsidRPr="006A6890" w:rsidRDefault="008A78E3" w:rsidP="00D10772">
      <w:pPr>
        <w:rPr>
          <w:rFonts w:asciiTheme="minorHAnsi" w:hAnsiTheme="minorHAnsi"/>
        </w:rPr>
      </w:pPr>
      <w:r w:rsidRPr="006A6890">
        <w:rPr>
          <w:rFonts w:asciiTheme="minorHAnsi" w:hAnsiTheme="minorHAnsi"/>
        </w:rPr>
        <w:br w:type="page"/>
      </w:r>
    </w:p>
    <w:p w14:paraId="7FFFE5D7" w14:textId="77777777" w:rsidR="008A78E3" w:rsidRPr="006A6890" w:rsidRDefault="008A78E3" w:rsidP="00D10772">
      <w:pPr>
        <w:pStyle w:val="Alcm"/>
        <w:rPr>
          <w:rFonts w:asciiTheme="minorHAnsi" w:hAnsiTheme="minorHAns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45119912"/>
      <w:bookmarkStart w:id="13" w:name="_Toc58512195"/>
      <w:bookmarkStart w:id="14" w:name="_Toc158036616"/>
      <w:bookmarkStart w:id="15" w:name="_Toc142877731"/>
      <w:r w:rsidRPr="006A6890">
        <w:rPr>
          <w:rFonts w:asciiTheme="minorHAnsi" w:hAnsiTheme="minorHAnsi"/>
          <w:b/>
        </w:rPr>
        <w:lastRenderedPageBreak/>
        <w:t>Tartalomjegyzék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FFFE5D8" w14:textId="77777777" w:rsidR="008A78E3" w:rsidRDefault="008A78E3" w:rsidP="009F4CDA">
      <w:pPr>
        <w:pStyle w:val="TJ2"/>
        <w:rPr>
          <w:rFonts w:asciiTheme="minorHAnsi" w:eastAsiaTheme="minorEastAsia" w:hAnsiTheme="minorHAnsi" w:cstheme="minorBidi"/>
          <w:color w:val="auto"/>
          <w:kern w:val="2"/>
          <w14:ligatures w14:val="standardContextual"/>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158036616" w:history="1">
        <w:r w:rsidRPr="00ED635F">
          <w:rPr>
            <w:rStyle w:val="Hiperhivatkozs"/>
            <w:b/>
          </w:rPr>
          <w:t>Tartalomjegyzék</w:t>
        </w:r>
        <w:r>
          <w:rPr>
            <w:webHidden/>
          </w:rPr>
          <w:tab/>
        </w:r>
        <w:r>
          <w:rPr>
            <w:webHidden/>
          </w:rPr>
          <w:fldChar w:fldCharType="begin"/>
        </w:r>
        <w:r>
          <w:rPr>
            <w:webHidden/>
          </w:rPr>
          <w:instrText xml:space="preserve"> PAGEREF _Toc158036616 \h </w:instrText>
        </w:r>
        <w:r>
          <w:rPr>
            <w:webHidden/>
          </w:rPr>
        </w:r>
        <w:r>
          <w:rPr>
            <w:webHidden/>
          </w:rPr>
          <w:fldChar w:fldCharType="separate"/>
        </w:r>
        <w:r>
          <w:rPr>
            <w:webHidden/>
          </w:rPr>
          <w:t>2</w:t>
        </w:r>
        <w:r>
          <w:rPr>
            <w:webHidden/>
          </w:rPr>
          <w:fldChar w:fldCharType="end"/>
        </w:r>
      </w:hyperlink>
    </w:p>
    <w:p w14:paraId="7FFFE5D9"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617" w:history="1">
        <w:r w:rsidR="008A78E3" w:rsidRPr="00ED635F">
          <w:rPr>
            <w:rStyle w:val="Hiperhivatkozs"/>
          </w:rPr>
          <w:t>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Bevezetés</w:t>
        </w:r>
        <w:r w:rsidR="008A78E3">
          <w:rPr>
            <w:webHidden/>
          </w:rPr>
          <w:tab/>
        </w:r>
        <w:r w:rsidR="008A78E3">
          <w:rPr>
            <w:webHidden/>
          </w:rPr>
          <w:fldChar w:fldCharType="begin"/>
        </w:r>
        <w:r w:rsidR="008A78E3">
          <w:rPr>
            <w:webHidden/>
          </w:rPr>
          <w:instrText xml:space="preserve"> PAGEREF _Toc158036617 \h </w:instrText>
        </w:r>
        <w:r w:rsidR="008A78E3">
          <w:rPr>
            <w:webHidden/>
          </w:rPr>
        </w:r>
        <w:r w:rsidR="008A78E3">
          <w:rPr>
            <w:webHidden/>
          </w:rPr>
          <w:fldChar w:fldCharType="separate"/>
        </w:r>
        <w:r w:rsidR="008A78E3">
          <w:rPr>
            <w:webHidden/>
          </w:rPr>
          <w:t>9</w:t>
        </w:r>
        <w:r w:rsidR="008A78E3">
          <w:rPr>
            <w:webHidden/>
          </w:rPr>
          <w:fldChar w:fldCharType="end"/>
        </w:r>
      </w:hyperlink>
    </w:p>
    <w:p w14:paraId="7FFFE5DA"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18" w:history="1">
        <w:r w:rsidR="008A78E3" w:rsidRPr="00ED635F">
          <w:rPr>
            <w:rStyle w:val="Hiperhivatkozs"/>
          </w:rPr>
          <w:t>I.1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az ILAAP és a BMA vizsgálat a SREP folyamat tükrében</w:t>
        </w:r>
        <w:r w:rsidR="008A78E3">
          <w:rPr>
            <w:webHidden/>
          </w:rPr>
          <w:tab/>
        </w:r>
        <w:r w:rsidR="008A78E3">
          <w:rPr>
            <w:webHidden/>
          </w:rPr>
          <w:fldChar w:fldCharType="begin"/>
        </w:r>
        <w:r w:rsidR="008A78E3">
          <w:rPr>
            <w:webHidden/>
          </w:rPr>
          <w:instrText xml:space="preserve"> PAGEREF _Toc158036618 \h </w:instrText>
        </w:r>
        <w:r w:rsidR="008A78E3">
          <w:rPr>
            <w:webHidden/>
          </w:rPr>
        </w:r>
        <w:r w:rsidR="008A78E3">
          <w:rPr>
            <w:webHidden/>
          </w:rPr>
          <w:fldChar w:fldCharType="separate"/>
        </w:r>
        <w:r w:rsidR="008A78E3">
          <w:rPr>
            <w:webHidden/>
          </w:rPr>
          <w:t>9</w:t>
        </w:r>
        <w:r w:rsidR="008A78E3">
          <w:rPr>
            <w:webHidden/>
          </w:rPr>
          <w:fldChar w:fldCharType="end"/>
        </w:r>
      </w:hyperlink>
    </w:p>
    <w:p w14:paraId="7FFFE5DB"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19" w:history="1">
        <w:r w:rsidR="008A78E3" w:rsidRPr="00ED635F">
          <w:rPr>
            <w:rStyle w:val="Hiperhivatkozs"/>
          </w:rPr>
          <w:t>I.2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tőkemegfelelés belső értékelési folyamata (ICAAP)</w:t>
        </w:r>
        <w:r w:rsidR="008A78E3">
          <w:rPr>
            <w:webHidden/>
          </w:rPr>
          <w:tab/>
        </w:r>
        <w:r w:rsidR="008A78E3">
          <w:rPr>
            <w:webHidden/>
          </w:rPr>
          <w:fldChar w:fldCharType="begin"/>
        </w:r>
        <w:r w:rsidR="008A78E3">
          <w:rPr>
            <w:webHidden/>
          </w:rPr>
          <w:instrText xml:space="preserve"> PAGEREF _Toc158036619 \h </w:instrText>
        </w:r>
        <w:r w:rsidR="008A78E3">
          <w:rPr>
            <w:webHidden/>
          </w:rPr>
        </w:r>
        <w:r w:rsidR="008A78E3">
          <w:rPr>
            <w:webHidden/>
          </w:rPr>
          <w:fldChar w:fldCharType="separate"/>
        </w:r>
        <w:r w:rsidR="008A78E3">
          <w:rPr>
            <w:webHidden/>
          </w:rPr>
          <w:t>11</w:t>
        </w:r>
        <w:r w:rsidR="008A78E3">
          <w:rPr>
            <w:webHidden/>
          </w:rPr>
          <w:fldChar w:fldCharType="end"/>
        </w:r>
      </w:hyperlink>
    </w:p>
    <w:p w14:paraId="7FFFE5DC"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20" w:history="1">
        <w:r w:rsidR="008A78E3" w:rsidRPr="00ED635F">
          <w:rPr>
            <w:rStyle w:val="Hiperhivatkozs"/>
            <w:noProof/>
          </w:rPr>
          <w:t>I.2.1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ICAAP kialakítására vonatkozó felügyeleti alapelvek</w:t>
        </w:r>
        <w:r w:rsidR="008A78E3">
          <w:rPr>
            <w:noProof/>
            <w:webHidden/>
          </w:rPr>
          <w:tab/>
        </w:r>
        <w:r w:rsidR="008A78E3">
          <w:rPr>
            <w:noProof/>
            <w:webHidden/>
          </w:rPr>
          <w:fldChar w:fldCharType="begin"/>
        </w:r>
        <w:r w:rsidR="008A78E3">
          <w:rPr>
            <w:noProof/>
            <w:webHidden/>
          </w:rPr>
          <w:instrText xml:space="preserve"> PAGEREF _Toc158036620 \h </w:instrText>
        </w:r>
        <w:r w:rsidR="008A78E3">
          <w:rPr>
            <w:noProof/>
            <w:webHidden/>
          </w:rPr>
        </w:r>
        <w:r w:rsidR="008A78E3">
          <w:rPr>
            <w:noProof/>
            <w:webHidden/>
          </w:rPr>
          <w:fldChar w:fldCharType="separate"/>
        </w:r>
        <w:r w:rsidR="008A78E3">
          <w:rPr>
            <w:noProof/>
            <w:webHidden/>
          </w:rPr>
          <w:t>12</w:t>
        </w:r>
        <w:r w:rsidR="008A78E3">
          <w:rPr>
            <w:noProof/>
            <w:webHidden/>
          </w:rPr>
          <w:fldChar w:fldCharType="end"/>
        </w:r>
      </w:hyperlink>
    </w:p>
    <w:p w14:paraId="7FFFE5DD"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21" w:history="1">
        <w:r w:rsidR="008A78E3" w:rsidRPr="00ED635F">
          <w:rPr>
            <w:rStyle w:val="Hiperhivatkozs"/>
          </w:rPr>
          <w:t>I.3</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likviditás megfelelőségének belső értékelési folyamata (ILAAP)</w:t>
        </w:r>
        <w:r w:rsidR="008A78E3">
          <w:rPr>
            <w:webHidden/>
          </w:rPr>
          <w:tab/>
        </w:r>
        <w:r w:rsidR="008A78E3">
          <w:rPr>
            <w:webHidden/>
          </w:rPr>
          <w:fldChar w:fldCharType="begin"/>
        </w:r>
        <w:r w:rsidR="008A78E3">
          <w:rPr>
            <w:webHidden/>
          </w:rPr>
          <w:instrText xml:space="preserve"> PAGEREF _Toc158036621 \h </w:instrText>
        </w:r>
        <w:r w:rsidR="008A78E3">
          <w:rPr>
            <w:webHidden/>
          </w:rPr>
        </w:r>
        <w:r w:rsidR="008A78E3">
          <w:rPr>
            <w:webHidden/>
          </w:rPr>
          <w:fldChar w:fldCharType="separate"/>
        </w:r>
        <w:r w:rsidR="008A78E3">
          <w:rPr>
            <w:webHidden/>
          </w:rPr>
          <w:t>15</w:t>
        </w:r>
        <w:r w:rsidR="008A78E3">
          <w:rPr>
            <w:webHidden/>
          </w:rPr>
          <w:fldChar w:fldCharType="end"/>
        </w:r>
      </w:hyperlink>
    </w:p>
    <w:p w14:paraId="7FFFE5DE"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22" w:history="1">
        <w:r w:rsidR="008A78E3" w:rsidRPr="00ED635F">
          <w:rPr>
            <w:rStyle w:val="Hiperhivatkozs"/>
            <w:noProof/>
          </w:rPr>
          <w:t>I.3.1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ILAAP kialakítására vonatkozó felügyeleti alapelvek</w:t>
        </w:r>
        <w:r w:rsidR="008A78E3">
          <w:rPr>
            <w:noProof/>
            <w:webHidden/>
          </w:rPr>
          <w:tab/>
        </w:r>
        <w:r w:rsidR="008A78E3">
          <w:rPr>
            <w:noProof/>
            <w:webHidden/>
          </w:rPr>
          <w:fldChar w:fldCharType="begin"/>
        </w:r>
        <w:r w:rsidR="008A78E3">
          <w:rPr>
            <w:noProof/>
            <w:webHidden/>
          </w:rPr>
          <w:instrText xml:space="preserve"> PAGEREF _Toc158036622 \h </w:instrText>
        </w:r>
        <w:r w:rsidR="008A78E3">
          <w:rPr>
            <w:noProof/>
            <w:webHidden/>
          </w:rPr>
        </w:r>
        <w:r w:rsidR="008A78E3">
          <w:rPr>
            <w:noProof/>
            <w:webHidden/>
          </w:rPr>
          <w:fldChar w:fldCharType="separate"/>
        </w:r>
        <w:r w:rsidR="008A78E3">
          <w:rPr>
            <w:noProof/>
            <w:webHidden/>
          </w:rPr>
          <w:t>16</w:t>
        </w:r>
        <w:r w:rsidR="008A78E3">
          <w:rPr>
            <w:noProof/>
            <w:webHidden/>
          </w:rPr>
          <w:fldChar w:fldCharType="end"/>
        </w:r>
      </w:hyperlink>
    </w:p>
    <w:p w14:paraId="7FFFE5DF"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23" w:history="1">
        <w:r w:rsidR="008A78E3" w:rsidRPr="00ED635F">
          <w:rPr>
            <w:rStyle w:val="Hiperhivatkozs"/>
          </w:rPr>
          <w:t>I.4</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Üzleti modell elemzés (BMA)</w:t>
        </w:r>
        <w:r w:rsidR="008A78E3">
          <w:rPr>
            <w:webHidden/>
          </w:rPr>
          <w:tab/>
        </w:r>
        <w:r w:rsidR="008A78E3">
          <w:rPr>
            <w:webHidden/>
          </w:rPr>
          <w:fldChar w:fldCharType="begin"/>
        </w:r>
        <w:r w:rsidR="008A78E3">
          <w:rPr>
            <w:webHidden/>
          </w:rPr>
          <w:instrText xml:space="preserve"> PAGEREF _Toc158036623 \h </w:instrText>
        </w:r>
        <w:r w:rsidR="008A78E3">
          <w:rPr>
            <w:webHidden/>
          </w:rPr>
        </w:r>
        <w:r w:rsidR="008A78E3">
          <w:rPr>
            <w:webHidden/>
          </w:rPr>
          <w:fldChar w:fldCharType="separate"/>
        </w:r>
        <w:r w:rsidR="008A78E3">
          <w:rPr>
            <w:webHidden/>
          </w:rPr>
          <w:t>17</w:t>
        </w:r>
        <w:r w:rsidR="008A78E3">
          <w:rPr>
            <w:webHidden/>
          </w:rPr>
          <w:fldChar w:fldCharType="end"/>
        </w:r>
      </w:hyperlink>
    </w:p>
    <w:p w14:paraId="7FFFE5E0"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24" w:history="1">
        <w:r w:rsidR="008A78E3" w:rsidRPr="00ED635F">
          <w:rPr>
            <w:rStyle w:val="Hiperhivatkozs"/>
          </w:rPr>
          <w:t>I.5</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és az ILAAP felülvizsgálatok során érvényesítendő általános alapelvek</w:t>
        </w:r>
        <w:r w:rsidR="008A78E3">
          <w:rPr>
            <w:webHidden/>
          </w:rPr>
          <w:tab/>
        </w:r>
        <w:r w:rsidR="008A78E3">
          <w:rPr>
            <w:webHidden/>
          </w:rPr>
          <w:fldChar w:fldCharType="begin"/>
        </w:r>
        <w:r w:rsidR="008A78E3">
          <w:rPr>
            <w:webHidden/>
          </w:rPr>
          <w:instrText xml:space="preserve"> PAGEREF _Toc158036624 \h </w:instrText>
        </w:r>
        <w:r w:rsidR="008A78E3">
          <w:rPr>
            <w:webHidden/>
          </w:rPr>
        </w:r>
        <w:r w:rsidR="008A78E3">
          <w:rPr>
            <w:webHidden/>
          </w:rPr>
          <w:fldChar w:fldCharType="separate"/>
        </w:r>
        <w:r w:rsidR="008A78E3">
          <w:rPr>
            <w:webHidden/>
          </w:rPr>
          <w:t>17</w:t>
        </w:r>
        <w:r w:rsidR="008A78E3">
          <w:rPr>
            <w:webHidden/>
          </w:rPr>
          <w:fldChar w:fldCharType="end"/>
        </w:r>
      </w:hyperlink>
    </w:p>
    <w:p w14:paraId="7FFFE5E1"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25" w:history="1">
        <w:r w:rsidR="008A78E3" w:rsidRPr="00ED635F">
          <w:rPr>
            <w:rStyle w:val="Hiperhivatkozs"/>
            <w:noProof/>
          </w:rPr>
          <w:t>I.5.1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Nemzetközileg elfogadott alapelvek</w:t>
        </w:r>
        <w:r w:rsidR="008A78E3">
          <w:rPr>
            <w:noProof/>
            <w:webHidden/>
          </w:rPr>
          <w:tab/>
        </w:r>
        <w:r w:rsidR="008A78E3">
          <w:rPr>
            <w:noProof/>
            <w:webHidden/>
          </w:rPr>
          <w:fldChar w:fldCharType="begin"/>
        </w:r>
        <w:r w:rsidR="008A78E3">
          <w:rPr>
            <w:noProof/>
            <w:webHidden/>
          </w:rPr>
          <w:instrText xml:space="preserve"> PAGEREF _Toc158036625 \h </w:instrText>
        </w:r>
        <w:r w:rsidR="008A78E3">
          <w:rPr>
            <w:noProof/>
            <w:webHidden/>
          </w:rPr>
        </w:r>
        <w:r w:rsidR="008A78E3">
          <w:rPr>
            <w:noProof/>
            <w:webHidden/>
          </w:rPr>
          <w:fldChar w:fldCharType="separate"/>
        </w:r>
        <w:r w:rsidR="008A78E3">
          <w:rPr>
            <w:noProof/>
            <w:webHidden/>
          </w:rPr>
          <w:t>17</w:t>
        </w:r>
        <w:r w:rsidR="008A78E3">
          <w:rPr>
            <w:noProof/>
            <w:webHidden/>
          </w:rPr>
          <w:fldChar w:fldCharType="end"/>
        </w:r>
      </w:hyperlink>
    </w:p>
    <w:p w14:paraId="7FFFE5E2"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26" w:history="1">
        <w:r w:rsidR="008A78E3" w:rsidRPr="00ED635F">
          <w:rPr>
            <w:rStyle w:val="Hiperhivatkozs"/>
            <w:noProof/>
          </w:rPr>
          <w:t>I.5.2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MNB által lefolytatott felülvizsgálati folyamatok során alkalmazott általános alapelvek</w:t>
        </w:r>
        <w:r w:rsidR="008A78E3">
          <w:rPr>
            <w:noProof/>
            <w:webHidden/>
          </w:rPr>
          <w:tab/>
        </w:r>
        <w:r w:rsidR="008A78E3">
          <w:rPr>
            <w:noProof/>
            <w:webHidden/>
          </w:rPr>
          <w:tab/>
        </w:r>
        <w:r w:rsidR="008A78E3">
          <w:rPr>
            <w:noProof/>
            <w:webHidden/>
          </w:rPr>
          <w:fldChar w:fldCharType="begin"/>
        </w:r>
        <w:r w:rsidR="008A78E3">
          <w:rPr>
            <w:noProof/>
            <w:webHidden/>
          </w:rPr>
          <w:instrText xml:space="preserve"> PAGEREF _Toc158036626 \h </w:instrText>
        </w:r>
        <w:r w:rsidR="008A78E3">
          <w:rPr>
            <w:noProof/>
            <w:webHidden/>
          </w:rPr>
        </w:r>
        <w:r w:rsidR="008A78E3">
          <w:rPr>
            <w:noProof/>
            <w:webHidden/>
          </w:rPr>
          <w:fldChar w:fldCharType="separate"/>
        </w:r>
        <w:r w:rsidR="008A78E3">
          <w:rPr>
            <w:noProof/>
            <w:webHidden/>
          </w:rPr>
          <w:t>18</w:t>
        </w:r>
        <w:r w:rsidR="008A78E3">
          <w:rPr>
            <w:noProof/>
            <w:webHidden/>
          </w:rPr>
          <w:fldChar w:fldCharType="end"/>
        </w:r>
      </w:hyperlink>
    </w:p>
    <w:p w14:paraId="7FFFE5E3"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627" w:history="1">
        <w:r w:rsidR="008A78E3" w:rsidRPr="00ED635F">
          <w:rPr>
            <w:rStyle w:val="Hiperhivatkozs"/>
          </w:rPr>
          <w:t>II.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ICAAP, az ILAAP és felügyeleti felülvizsgálatuk hatálya</w:t>
        </w:r>
        <w:r w:rsidR="008A78E3">
          <w:rPr>
            <w:webHidden/>
          </w:rPr>
          <w:tab/>
        </w:r>
        <w:r w:rsidR="008A78E3">
          <w:rPr>
            <w:webHidden/>
          </w:rPr>
          <w:fldChar w:fldCharType="begin"/>
        </w:r>
        <w:r w:rsidR="008A78E3">
          <w:rPr>
            <w:webHidden/>
          </w:rPr>
          <w:instrText xml:space="preserve"> PAGEREF _Toc158036627 \h </w:instrText>
        </w:r>
        <w:r w:rsidR="008A78E3">
          <w:rPr>
            <w:webHidden/>
          </w:rPr>
        </w:r>
        <w:r w:rsidR="008A78E3">
          <w:rPr>
            <w:webHidden/>
          </w:rPr>
          <w:fldChar w:fldCharType="separate"/>
        </w:r>
        <w:r w:rsidR="008A78E3">
          <w:rPr>
            <w:webHidden/>
          </w:rPr>
          <w:t>20</w:t>
        </w:r>
        <w:r w:rsidR="008A78E3">
          <w:rPr>
            <w:webHidden/>
          </w:rPr>
          <w:fldChar w:fldCharType="end"/>
        </w:r>
      </w:hyperlink>
    </w:p>
    <w:p w14:paraId="7FFFE5E4"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28" w:history="1">
        <w:r w:rsidR="008A78E3" w:rsidRPr="00ED635F">
          <w:rPr>
            <w:rStyle w:val="Hiperhivatkozs"/>
          </w:rPr>
          <w:t>II.1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ICAAP és ILAAP megfelelés és felügyeleti felülvizsgálat egyedi szinten</w:t>
        </w:r>
        <w:r w:rsidR="008A78E3">
          <w:rPr>
            <w:webHidden/>
          </w:rPr>
          <w:tab/>
        </w:r>
        <w:r w:rsidR="008A78E3">
          <w:rPr>
            <w:webHidden/>
          </w:rPr>
          <w:fldChar w:fldCharType="begin"/>
        </w:r>
        <w:r w:rsidR="008A78E3">
          <w:rPr>
            <w:webHidden/>
          </w:rPr>
          <w:instrText xml:space="preserve"> PAGEREF _Toc158036628 \h </w:instrText>
        </w:r>
        <w:r w:rsidR="008A78E3">
          <w:rPr>
            <w:webHidden/>
          </w:rPr>
        </w:r>
        <w:r w:rsidR="008A78E3">
          <w:rPr>
            <w:webHidden/>
          </w:rPr>
          <w:fldChar w:fldCharType="separate"/>
        </w:r>
        <w:r w:rsidR="008A78E3">
          <w:rPr>
            <w:webHidden/>
          </w:rPr>
          <w:t>20</w:t>
        </w:r>
        <w:r w:rsidR="008A78E3">
          <w:rPr>
            <w:webHidden/>
          </w:rPr>
          <w:fldChar w:fldCharType="end"/>
        </w:r>
      </w:hyperlink>
    </w:p>
    <w:p w14:paraId="7FFFE5E5"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29" w:history="1">
        <w:r w:rsidR="008A78E3" w:rsidRPr="00ED635F">
          <w:rPr>
            <w:rStyle w:val="Hiperhivatkozs"/>
          </w:rPr>
          <w:t>II.2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ICAAP és ILAAP megfelelés és felügyeleti felülvizsgálat csoport szinten</w:t>
        </w:r>
        <w:r w:rsidR="008A78E3">
          <w:rPr>
            <w:webHidden/>
          </w:rPr>
          <w:tab/>
        </w:r>
        <w:r w:rsidR="008A78E3">
          <w:rPr>
            <w:webHidden/>
          </w:rPr>
          <w:fldChar w:fldCharType="begin"/>
        </w:r>
        <w:r w:rsidR="008A78E3">
          <w:rPr>
            <w:webHidden/>
          </w:rPr>
          <w:instrText xml:space="preserve"> PAGEREF _Toc158036629 \h </w:instrText>
        </w:r>
        <w:r w:rsidR="008A78E3">
          <w:rPr>
            <w:webHidden/>
          </w:rPr>
        </w:r>
        <w:r w:rsidR="008A78E3">
          <w:rPr>
            <w:webHidden/>
          </w:rPr>
          <w:fldChar w:fldCharType="separate"/>
        </w:r>
        <w:r w:rsidR="008A78E3">
          <w:rPr>
            <w:webHidden/>
          </w:rPr>
          <w:t>21</w:t>
        </w:r>
        <w:r w:rsidR="008A78E3">
          <w:rPr>
            <w:webHidden/>
          </w:rPr>
          <w:fldChar w:fldCharType="end"/>
        </w:r>
      </w:hyperlink>
    </w:p>
    <w:p w14:paraId="7FFFE5E6"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630" w:history="1">
        <w:r w:rsidR="008A78E3" w:rsidRPr="00ED635F">
          <w:rPr>
            <w:rStyle w:val="Hiperhivatkozs"/>
          </w:rPr>
          <w:t>III.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ICAAP vizsgálat fokozatai és a felügyelt intézmények csoportosítása</w:t>
        </w:r>
        <w:r w:rsidR="008A78E3">
          <w:rPr>
            <w:webHidden/>
          </w:rPr>
          <w:tab/>
        </w:r>
        <w:r w:rsidR="008A78E3">
          <w:rPr>
            <w:webHidden/>
          </w:rPr>
          <w:fldChar w:fldCharType="begin"/>
        </w:r>
        <w:r w:rsidR="008A78E3">
          <w:rPr>
            <w:webHidden/>
          </w:rPr>
          <w:instrText xml:space="preserve"> PAGEREF _Toc158036630 \h </w:instrText>
        </w:r>
        <w:r w:rsidR="008A78E3">
          <w:rPr>
            <w:webHidden/>
          </w:rPr>
        </w:r>
        <w:r w:rsidR="008A78E3">
          <w:rPr>
            <w:webHidden/>
          </w:rPr>
          <w:fldChar w:fldCharType="separate"/>
        </w:r>
        <w:r w:rsidR="008A78E3">
          <w:rPr>
            <w:webHidden/>
          </w:rPr>
          <w:t>24</w:t>
        </w:r>
        <w:r w:rsidR="008A78E3">
          <w:rPr>
            <w:webHidden/>
          </w:rPr>
          <w:fldChar w:fldCharType="end"/>
        </w:r>
      </w:hyperlink>
    </w:p>
    <w:p w14:paraId="7FFFE5E7"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631" w:history="1">
        <w:r w:rsidR="008A78E3" w:rsidRPr="00ED635F">
          <w:rPr>
            <w:rStyle w:val="Hiperhivatkozs"/>
          </w:rPr>
          <w:t>IV.</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ICAAP, az ILAAP és a BMA vizsgálat folyamata</w:t>
        </w:r>
        <w:r w:rsidR="008A78E3">
          <w:rPr>
            <w:webHidden/>
          </w:rPr>
          <w:tab/>
        </w:r>
        <w:r w:rsidR="008A78E3">
          <w:rPr>
            <w:webHidden/>
          </w:rPr>
          <w:fldChar w:fldCharType="begin"/>
        </w:r>
        <w:r w:rsidR="008A78E3">
          <w:rPr>
            <w:webHidden/>
          </w:rPr>
          <w:instrText xml:space="preserve"> PAGEREF _Toc158036631 \h </w:instrText>
        </w:r>
        <w:r w:rsidR="008A78E3">
          <w:rPr>
            <w:webHidden/>
          </w:rPr>
        </w:r>
        <w:r w:rsidR="008A78E3">
          <w:rPr>
            <w:webHidden/>
          </w:rPr>
          <w:fldChar w:fldCharType="separate"/>
        </w:r>
        <w:r w:rsidR="008A78E3">
          <w:rPr>
            <w:webHidden/>
          </w:rPr>
          <w:t>24</w:t>
        </w:r>
        <w:r w:rsidR="008A78E3">
          <w:rPr>
            <w:webHidden/>
          </w:rPr>
          <w:fldChar w:fldCharType="end"/>
        </w:r>
      </w:hyperlink>
    </w:p>
    <w:p w14:paraId="7FFFE5E8"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2" w:history="1">
        <w:r w:rsidR="008A78E3" w:rsidRPr="00ED635F">
          <w:rPr>
            <w:rStyle w:val="Hiperhivatkozs"/>
          </w:rPr>
          <w:t>IV.1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az ILAAP és a BMA vizsgálat előkészítése</w:t>
        </w:r>
        <w:r w:rsidR="008A78E3">
          <w:rPr>
            <w:webHidden/>
          </w:rPr>
          <w:tab/>
        </w:r>
        <w:r w:rsidR="008A78E3">
          <w:rPr>
            <w:webHidden/>
          </w:rPr>
          <w:fldChar w:fldCharType="begin"/>
        </w:r>
        <w:r w:rsidR="008A78E3">
          <w:rPr>
            <w:webHidden/>
          </w:rPr>
          <w:instrText xml:space="preserve"> PAGEREF _Toc158036632 \h </w:instrText>
        </w:r>
        <w:r w:rsidR="008A78E3">
          <w:rPr>
            <w:webHidden/>
          </w:rPr>
        </w:r>
        <w:r w:rsidR="008A78E3">
          <w:rPr>
            <w:webHidden/>
          </w:rPr>
          <w:fldChar w:fldCharType="separate"/>
        </w:r>
        <w:r w:rsidR="008A78E3">
          <w:rPr>
            <w:webHidden/>
          </w:rPr>
          <w:t>24</w:t>
        </w:r>
        <w:r w:rsidR="008A78E3">
          <w:rPr>
            <w:webHidden/>
          </w:rPr>
          <w:fldChar w:fldCharType="end"/>
        </w:r>
      </w:hyperlink>
    </w:p>
    <w:p w14:paraId="7FFFE5E9"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3" w:history="1">
        <w:r w:rsidR="008A78E3" w:rsidRPr="00ED635F">
          <w:rPr>
            <w:rStyle w:val="Hiperhivatkozs"/>
          </w:rPr>
          <w:t>IV.2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az ILAAP és a BMA vizsgálatok dokumentációjának bekérése</w:t>
        </w:r>
        <w:r w:rsidR="008A78E3">
          <w:rPr>
            <w:webHidden/>
          </w:rPr>
          <w:tab/>
        </w:r>
        <w:r w:rsidR="008A78E3">
          <w:rPr>
            <w:webHidden/>
          </w:rPr>
          <w:fldChar w:fldCharType="begin"/>
        </w:r>
        <w:r w:rsidR="008A78E3">
          <w:rPr>
            <w:webHidden/>
          </w:rPr>
          <w:instrText xml:space="preserve"> PAGEREF _Toc158036633 \h </w:instrText>
        </w:r>
        <w:r w:rsidR="008A78E3">
          <w:rPr>
            <w:webHidden/>
          </w:rPr>
        </w:r>
        <w:r w:rsidR="008A78E3">
          <w:rPr>
            <w:webHidden/>
          </w:rPr>
          <w:fldChar w:fldCharType="separate"/>
        </w:r>
        <w:r w:rsidR="008A78E3">
          <w:rPr>
            <w:webHidden/>
          </w:rPr>
          <w:t>25</w:t>
        </w:r>
        <w:r w:rsidR="008A78E3">
          <w:rPr>
            <w:webHidden/>
          </w:rPr>
          <w:fldChar w:fldCharType="end"/>
        </w:r>
      </w:hyperlink>
    </w:p>
    <w:p w14:paraId="7FFFE5EA"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4" w:history="1">
        <w:r w:rsidR="008A78E3" w:rsidRPr="00ED635F">
          <w:rPr>
            <w:rStyle w:val="Hiperhivatkozs"/>
          </w:rPr>
          <w:t>IV.3</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az ILAAP és a BMA vizsgálat felügyeleti értékelése</w:t>
        </w:r>
        <w:r w:rsidR="008A78E3">
          <w:rPr>
            <w:webHidden/>
          </w:rPr>
          <w:tab/>
        </w:r>
        <w:r w:rsidR="008A78E3">
          <w:rPr>
            <w:webHidden/>
          </w:rPr>
          <w:fldChar w:fldCharType="begin"/>
        </w:r>
        <w:r w:rsidR="008A78E3">
          <w:rPr>
            <w:webHidden/>
          </w:rPr>
          <w:instrText xml:space="preserve"> PAGEREF _Toc158036634 \h </w:instrText>
        </w:r>
        <w:r w:rsidR="008A78E3">
          <w:rPr>
            <w:webHidden/>
          </w:rPr>
        </w:r>
        <w:r w:rsidR="008A78E3">
          <w:rPr>
            <w:webHidden/>
          </w:rPr>
          <w:fldChar w:fldCharType="separate"/>
        </w:r>
        <w:r w:rsidR="008A78E3">
          <w:rPr>
            <w:webHidden/>
          </w:rPr>
          <w:t>26</w:t>
        </w:r>
        <w:r w:rsidR="008A78E3">
          <w:rPr>
            <w:webHidden/>
          </w:rPr>
          <w:fldChar w:fldCharType="end"/>
        </w:r>
      </w:hyperlink>
    </w:p>
    <w:p w14:paraId="7FFFE5EB"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5" w:history="1">
        <w:r w:rsidR="008A78E3" w:rsidRPr="00ED635F">
          <w:rPr>
            <w:rStyle w:val="Hiperhivatkozs"/>
          </w:rPr>
          <w:t>IV.4</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kockázatcsökkentő intézkedések és a gazdasági tőkeszükséglet, valamint a likviditási többlettartalék meghatározása</w:t>
        </w:r>
        <w:r w:rsidR="008A78E3">
          <w:rPr>
            <w:webHidden/>
          </w:rPr>
          <w:tab/>
        </w:r>
        <w:r w:rsidR="008A78E3">
          <w:rPr>
            <w:webHidden/>
          </w:rPr>
          <w:fldChar w:fldCharType="begin"/>
        </w:r>
        <w:r w:rsidR="008A78E3">
          <w:rPr>
            <w:webHidden/>
          </w:rPr>
          <w:instrText xml:space="preserve"> PAGEREF _Toc158036635 \h </w:instrText>
        </w:r>
        <w:r w:rsidR="008A78E3">
          <w:rPr>
            <w:webHidden/>
          </w:rPr>
        </w:r>
        <w:r w:rsidR="008A78E3">
          <w:rPr>
            <w:webHidden/>
          </w:rPr>
          <w:fldChar w:fldCharType="separate"/>
        </w:r>
        <w:r w:rsidR="008A78E3">
          <w:rPr>
            <w:webHidden/>
          </w:rPr>
          <w:t>27</w:t>
        </w:r>
        <w:r w:rsidR="008A78E3">
          <w:rPr>
            <w:webHidden/>
          </w:rPr>
          <w:fldChar w:fldCharType="end"/>
        </w:r>
      </w:hyperlink>
    </w:p>
    <w:p w14:paraId="7FFFE5EC"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6" w:history="1">
        <w:r w:rsidR="008A78E3" w:rsidRPr="00ED635F">
          <w:rPr>
            <w:rStyle w:val="Hiperhivatkozs"/>
          </w:rPr>
          <w:t>IV.5</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Közös kockázatértékelés és együttdöntési eljárás</w:t>
        </w:r>
        <w:r w:rsidR="008A78E3">
          <w:rPr>
            <w:webHidden/>
          </w:rPr>
          <w:tab/>
        </w:r>
        <w:r w:rsidR="008A78E3">
          <w:rPr>
            <w:webHidden/>
          </w:rPr>
          <w:fldChar w:fldCharType="begin"/>
        </w:r>
        <w:r w:rsidR="008A78E3">
          <w:rPr>
            <w:webHidden/>
          </w:rPr>
          <w:instrText xml:space="preserve"> PAGEREF _Toc158036636 \h </w:instrText>
        </w:r>
        <w:r w:rsidR="008A78E3">
          <w:rPr>
            <w:webHidden/>
          </w:rPr>
        </w:r>
        <w:r w:rsidR="008A78E3">
          <w:rPr>
            <w:webHidden/>
          </w:rPr>
          <w:fldChar w:fldCharType="separate"/>
        </w:r>
        <w:r w:rsidR="008A78E3">
          <w:rPr>
            <w:webHidden/>
          </w:rPr>
          <w:t>27</w:t>
        </w:r>
        <w:r w:rsidR="008A78E3">
          <w:rPr>
            <w:webHidden/>
          </w:rPr>
          <w:fldChar w:fldCharType="end"/>
        </w:r>
      </w:hyperlink>
    </w:p>
    <w:p w14:paraId="7FFFE5ED"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7" w:history="1">
        <w:r w:rsidR="008A78E3" w:rsidRPr="00ED635F">
          <w:rPr>
            <w:rStyle w:val="Hiperhivatkozs"/>
          </w:rPr>
          <w:t>IV.6</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Az ICAAP, az ILAAP és a BMA vizsgálatok lezárása, felügyeleti intézkedések</w:t>
        </w:r>
        <w:r w:rsidR="008A78E3">
          <w:rPr>
            <w:webHidden/>
          </w:rPr>
          <w:tab/>
        </w:r>
        <w:r w:rsidR="008A78E3">
          <w:rPr>
            <w:webHidden/>
          </w:rPr>
          <w:fldChar w:fldCharType="begin"/>
        </w:r>
        <w:r w:rsidR="008A78E3">
          <w:rPr>
            <w:webHidden/>
          </w:rPr>
          <w:instrText xml:space="preserve"> PAGEREF _Toc158036637 \h </w:instrText>
        </w:r>
        <w:r w:rsidR="008A78E3">
          <w:rPr>
            <w:webHidden/>
          </w:rPr>
        </w:r>
        <w:r w:rsidR="008A78E3">
          <w:rPr>
            <w:webHidden/>
          </w:rPr>
          <w:fldChar w:fldCharType="separate"/>
        </w:r>
        <w:r w:rsidR="008A78E3">
          <w:rPr>
            <w:webHidden/>
          </w:rPr>
          <w:t>28</w:t>
        </w:r>
        <w:r w:rsidR="008A78E3">
          <w:rPr>
            <w:webHidden/>
          </w:rPr>
          <w:fldChar w:fldCharType="end"/>
        </w:r>
      </w:hyperlink>
    </w:p>
    <w:p w14:paraId="7FFFE5EE"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38" w:history="1">
        <w:r w:rsidR="008A78E3" w:rsidRPr="00ED635F">
          <w:rPr>
            <w:rStyle w:val="Hiperhivatkozs"/>
            <w:noProof/>
          </w:rPr>
          <w:t>IV.6.1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teljes felügyeleti felülvizsgálati folyamathoz (SREP) kapcsolódó intézkedések alkalmazásának esetkörei a hitelintézetekkel szemben</w:t>
        </w:r>
        <w:r w:rsidR="008A78E3">
          <w:rPr>
            <w:noProof/>
            <w:webHidden/>
          </w:rPr>
          <w:tab/>
        </w:r>
        <w:r w:rsidR="008A78E3">
          <w:rPr>
            <w:noProof/>
            <w:webHidden/>
          </w:rPr>
          <w:fldChar w:fldCharType="begin"/>
        </w:r>
        <w:r w:rsidR="008A78E3">
          <w:rPr>
            <w:noProof/>
            <w:webHidden/>
          </w:rPr>
          <w:instrText xml:space="preserve"> PAGEREF _Toc158036638 \h </w:instrText>
        </w:r>
        <w:r w:rsidR="008A78E3">
          <w:rPr>
            <w:noProof/>
            <w:webHidden/>
          </w:rPr>
        </w:r>
        <w:r w:rsidR="008A78E3">
          <w:rPr>
            <w:noProof/>
            <w:webHidden/>
          </w:rPr>
          <w:fldChar w:fldCharType="separate"/>
        </w:r>
        <w:r w:rsidR="008A78E3">
          <w:rPr>
            <w:noProof/>
            <w:webHidden/>
          </w:rPr>
          <w:t>29</w:t>
        </w:r>
        <w:r w:rsidR="008A78E3">
          <w:rPr>
            <w:noProof/>
            <w:webHidden/>
          </w:rPr>
          <w:fldChar w:fldCharType="end"/>
        </w:r>
      </w:hyperlink>
    </w:p>
    <w:p w14:paraId="7FFFE5EF"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39" w:history="1">
        <w:r w:rsidR="008A78E3" w:rsidRPr="00ED635F">
          <w:rPr>
            <w:rStyle w:val="Hiperhivatkozs"/>
          </w:rPr>
          <w:t>IV.7</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Éves értékelés a teljes SREP folyamat tapasztalatairól a intézmények részére</w:t>
        </w:r>
        <w:r w:rsidR="008A78E3">
          <w:rPr>
            <w:webHidden/>
          </w:rPr>
          <w:tab/>
        </w:r>
        <w:r w:rsidR="008A78E3">
          <w:rPr>
            <w:webHidden/>
          </w:rPr>
          <w:fldChar w:fldCharType="begin"/>
        </w:r>
        <w:r w:rsidR="008A78E3">
          <w:rPr>
            <w:webHidden/>
          </w:rPr>
          <w:instrText xml:space="preserve"> PAGEREF _Toc158036639 \h </w:instrText>
        </w:r>
        <w:r w:rsidR="008A78E3">
          <w:rPr>
            <w:webHidden/>
          </w:rPr>
        </w:r>
        <w:r w:rsidR="008A78E3">
          <w:rPr>
            <w:webHidden/>
          </w:rPr>
          <w:fldChar w:fldCharType="separate"/>
        </w:r>
        <w:r w:rsidR="008A78E3">
          <w:rPr>
            <w:webHidden/>
          </w:rPr>
          <w:t>33</w:t>
        </w:r>
        <w:r w:rsidR="008A78E3">
          <w:rPr>
            <w:webHidden/>
          </w:rPr>
          <w:fldChar w:fldCharType="end"/>
        </w:r>
      </w:hyperlink>
    </w:p>
    <w:p w14:paraId="7FFFE5F0"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640" w:history="1">
        <w:r w:rsidR="008A78E3" w:rsidRPr="00ED635F">
          <w:rPr>
            <w:rStyle w:val="Hiperhivatkozs"/>
          </w:rPr>
          <w:t>V.</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ICAAP összetevői és felügyeleti felülvizsgálata</w:t>
        </w:r>
        <w:r w:rsidR="008A78E3">
          <w:rPr>
            <w:webHidden/>
          </w:rPr>
          <w:tab/>
        </w:r>
        <w:r w:rsidR="008A78E3">
          <w:rPr>
            <w:webHidden/>
          </w:rPr>
          <w:fldChar w:fldCharType="begin"/>
        </w:r>
        <w:r w:rsidR="008A78E3">
          <w:rPr>
            <w:webHidden/>
          </w:rPr>
          <w:instrText xml:space="preserve"> PAGEREF _Toc158036640 \h </w:instrText>
        </w:r>
        <w:r w:rsidR="008A78E3">
          <w:rPr>
            <w:webHidden/>
          </w:rPr>
        </w:r>
        <w:r w:rsidR="008A78E3">
          <w:rPr>
            <w:webHidden/>
          </w:rPr>
          <w:fldChar w:fldCharType="separate"/>
        </w:r>
        <w:r w:rsidR="008A78E3">
          <w:rPr>
            <w:webHidden/>
          </w:rPr>
          <w:t>34</w:t>
        </w:r>
        <w:r w:rsidR="008A78E3">
          <w:rPr>
            <w:webHidden/>
          </w:rPr>
          <w:fldChar w:fldCharType="end"/>
        </w:r>
      </w:hyperlink>
    </w:p>
    <w:p w14:paraId="7FFFE5F1"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41" w:history="1">
        <w:r w:rsidR="008A78E3" w:rsidRPr="00ED635F">
          <w:rPr>
            <w:rStyle w:val="Hiperhivatkozs"/>
          </w:rPr>
          <w:t>V.1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ICAAP irányítás és kontrollrendszerek – kockázatkezelés</w:t>
        </w:r>
        <w:r w:rsidR="008A78E3">
          <w:rPr>
            <w:webHidden/>
          </w:rPr>
          <w:tab/>
        </w:r>
        <w:r w:rsidR="008A78E3">
          <w:rPr>
            <w:webHidden/>
          </w:rPr>
          <w:fldChar w:fldCharType="begin"/>
        </w:r>
        <w:r w:rsidR="008A78E3">
          <w:rPr>
            <w:webHidden/>
          </w:rPr>
          <w:instrText xml:space="preserve"> PAGEREF _Toc158036641 \h </w:instrText>
        </w:r>
        <w:r w:rsidR="008A78E3">
          <w:rPr>
            <w:webHidden/>
          </w:rPr>
        </w:r>
        <w:r w:rsidR="008A78E3">
          <w:rPr>
            <w:webHidden/>
          </w:rPr>
          <w:fldChar w:fldCharType="separate"/>
        </w:r>
        <w:r w:rsidR="008A78E3">
          <w:rPr>
            <w:webHidden/>
          </w:rPr>
          <w:t>34</w:t>
        </w:r>
        <w:r w:rsidR="008A78E3">
          <w:rPr>
            <w:webHidden/>
          </w:rPr>
          <w:fldChar w:fldCharType="end"/>
        </w:r>
      </w:hyperlink>
    </w:p>
    <w:p w14:paraId="7FFFE5F2"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42" w:history="1">
        <w:r w:rsidR="008A78E3" w:rsidRPr="00ED635F">
          <w:rPr>
            <w:rStyle w:val="Hiperhivatkozs"/>
            <w:noProof/>
          </w:rPr>
          <w:t>V.1.1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ICAAP tudatosság</w:t>
        </w:r>
        <w:r w:rsidR="008A78E3">
          <w:rPr>
            <w:noProof/>
            <w:webHidden/>
          </w:rPr>
          <w:tab/>
        </w:r>
        <w:r w:rsidR="008A78E3">
          <w:rPr>
            <w:noProof/>
            <w:webHidden/>
          </w:rPr>
          <w:fldChar w:fldCharType="begin"/>
        </w:r>
        <w:r w:rsidR="008A78E3">
          <w:rPr>
            <w:noProof/>
            <w:webHidden/>
          </w:rPr>
          <w:instrText xml:space="preserve"> PAGEREF _Toc158036642 \h </w:instrText>
        </w:r>
        <w:r w:rsidR="008A78E3">
          <w:rPr>
            <w:noProof/>
            <w:webHidden/>
          </w:rPr>
        </w:r>
        <w:r w:rsidR="008A78E3">
          <w:rPr>
            <w:noProof/>
            <w:webHidden/>
          </w:rPr>
          <w:fldChar w:fldCharType="separate"/>
        </w:r>
        <w:r w:rsidR="008A78E3">
          <w:rPr>
            <w:noProof/>
            <w:webHidden/>
          </w:rPr>
          <w:t>34</w:t>
        </w:r>
        <w:r w:rsidR="008A78E3">
          <w:rPr>
            <w:noProof/>
            <w:webHidden/>
          </w:rPr>
          <w:fldChar w:fldCharType="end"/>
        </w:r>
      </w:hyperlink>
    </w:p>
    <w:p w14:paraId="7FFFE5F3"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43" w:history="1">
        <w:r w:rsidR="008A78E3" w:rsidRPr="00ED635F">
          <w:rPr>
            <w:rStyle w:val="Hiperhivatkozs"/>
            <w:noProof/>
          </w:rPr>
          <w:t>V.1.2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ICAAP szabályozottság, vállalatirányítás és belső ellenőrzés</w:t>
        </w:r>
        <w:r w:rsidR="008A78E3">
          <w:rPr>
            <w:noProof/>
            <w:webHidden/>
          </w:rPr>
          <w:tab/>
        </w:r>
        <w:r w:rsidR="008A78E3">
          <w:rPr>
            <w:noProof/>
            <w:webHidden/>
          </w:rPr>
          <w:fldChar w:fldCharType="begin"/>
        </w:r>
        <w:r w:rsidR="008A78E3">
          <w:rPr>
            <w:noProof/>
            <w:webHidden/>
          </w:rPr>
          <w:instrText xml:space="preserve"> PAGEREF _Toc158036643 \h </w:instrText>
        </w:r>
        <w:r w:rsidR="008A78E3">
          <w:rPr>
            <w:noProof/>
            <w:webHidden/>
          </w:rPr>
        </w:r>
        <w:r w:rsidR="008A78E3">
          <w:rPr>
            <w:noProof/>
            <w:webHidden/>
          </w:rPr>
          <w:fldChar w:fldCharType="separate"/>
        </w:r>
        <w:r w:rsidR="008A78E3">
          <w:rPr>
            <w:noProof/>
            <w:webHidden/>
          </w:rPr>
          <w:t>35</w:t>
        </w:r>
        <w:r w:rsidR="008A78E3">
          <w:rPr>
            <w:noProof/>
            <w:webHidden/>
          </w:rPr>
          <w:fldChar w:fldCharType="end"/>
        </w:r>
      </w:hyperlink>
    </w:p>
    <w:p w14:paraId="7FFFE5F4"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44" w:history="1">
        <w:r w:rsidR="008A78E3" w:rsidRPr="00ED635F">
          <w:rPr>
            <w:rStyle w:val="Hiperhivatkozs"/>
            <w:noProof/>
          </w:rPr>
          <w:t>V.1.3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tőkemegfelelés belső értékelési eljárására kialakított keretrendszer</w:t>
        </w:r>
        <w:r w:rsidR="008A78E3">
          <w:rPr>
            <w:noProof/>
            <w:webHidden/>
          </w:rPr>
          <w:tab/>
        </w:r>
        <w:r w:rsidR="008A78E3">
          <w:rPr>
            <w:noProof/>
            <w:webHidden/>
          </w:rPr>
          <w:fldChar w:fldCharType="begin"/>
        </w:r>
        <w:r w:rsidR="008A78E3">
          <w:rPr>
            <w:noProof/>
            <w:webHidden/>
          </w:rPr>
          <w:instrText xml:space="preserve"> PAGEREF _Toc158036644 \h </w:instrText>
        </w:r>
        <w:r w:rsidR="008A78E3">
          <w:rPr>
            <w:noProof/>
            <w:webHidden/>
          </w:rPr>
        </w:r>
        <w:r w:rsidR="008A78E3">
          <w:rPr>
            <w:noProof/>
            <w:webHidden/>
          </w:rPr>
          <w:fldChar w:fldCharType="separate"/>
        </w:r>
        <w:r w:rsidR="008A78E3">
          <w:rPr>
            <w:noProof/>
            <w:webHidden/>
          </w:rPr>
          <w:t>36</w:t>
        </w:r>
        <w:r w:rsidR="008A78E3">
          <w:rPr>
            <w:noProof/>
            <w:webHidden/>
          </w:rPr>
          <w:fldChar w:fldCharType="end"/>
        </w:r>
      </w:hyperlink>
    </w:p>
    <w:p w14:paraId="7FFFE5F5"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45" w:history="1">
        <w:r w:rsidR="008A78E3" w:rsidRPr="00ED635F">
          <w:rPr>
            <w:rStyle w:val="Hiperhivatkozs"/>
            <w:noProof/>
          </w:rPr>
          <w:t>V.1.4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ICAAP integráltsága</w:t>
        </w:r>
        <w:r w:rsidR="008A78E3">
          <w:rPr>
            <w:noProof/>
            <w:webHidden/>
          </w:rPr>
          <w:tab/>
        </w:r>
        <w:r w:rsidR="008A78E3">
          <w:rPr>
            <w:noProof/>
            <w:webHidden/>
          </w:rPr>
          <w:fldChar w:fldCharType="begin"/>
        </w:r>
        <w:r w:rsidR="008A78E3">
          <w:rPr>
            <w:noProof/>
            <w:webHidden/>
          </w:rPr>
          <w:instrText xml:space="preserve"> PAGEREF _Toc158036645 \h </w:instrText>
        </w:r>
        <w:r w:rsidR="008A78E3">
          <w:rPr>
            <w:noProof/>
            <w:webHidden/>
          </w:rPr>
        </w:r>
        <w:r w:rsidR="008A78E3">
          <w:rPr>
            <w:noProof/>
            <w:webHidden/>
          </w:rPr>
          <w:fldChar w:fldCharType="separate"/>
        </w:r>
        <w:r w:rsidR="008A78E3">
          <w:rPr>
            <w:noProof/>
            <w:webHidden/>
          </w:rPr>
          <w:t>37</w:t>
        </w:r>
        <w:r w:rsidR="008A78E3">
          <w:rPr>
            <w:noProof/>
            <w:webHidden/>
          </w:rPr>
          <w:fldChar w:fldCharType="end"/>
        </w:r>
      </w:hyperlink>
    </w:p>
    <w:p w14:paraId="7FFFE5F6"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46" w:history="1">
        <w:r w:rsidR="008A78E3" w:rsidRPr="00ED635F">
          <w:rPr>
            <w:rStyle w:val="Hiperhivatkozs"/>
            <w:noProof/>
          </w:rPr>
          <w:t>V.1.5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Kockázati stratégia</w:t>
        </w:r>
        <w:r w:rsidR="008A78E3">
          <w:rPr>
            <w:noProof/>
            <w:webHidden/>
          </w:rPr>
          <w:tab/>
        </w:r>
        <w:r w:rsidR="008A78E3">
          <w:rPr>
            <w:noProof/>
            <w:webHidden/>
          </w:rPr>
          <w:fldChar w:fldCharType="begin"/>
        </w:r>
        <w:r w:rsidR="008A78E3">
          <w:rPr>
            <w:noProof/>
            <w:webHidden/>
          </w:rPr>
          <w:instrText xml:space="preserve"> PAGEREF _Toc158036646 \h </w:instrText>
        </w:r>
        <w:r w:rsidR="008A78E3">
          <w:rPr>
            <w:noProof/>
            <w:webHidden/>
          </w:rPr>
        </w:r>
        <w:r w:rsidR="008A78E3">
          <w:rPr>
            <w:noProof/>
            <w:webHidden/>
          </w:rPr>
          <w:fldChar w:fldCharType="separate"/>
        </w:r>
        <w:r w:rsidR="008A78E3">
          <w:rPr>
            <w:noProof/>
            <w:webHidden/>
          </w:rPr>
          <w:t>37</w:t>
        </w:r>
        <w:r w:rsidR="008A78E3">
          <w:rPr>
            <w:noProof/>
            <w:webHidden/>
          </w:rPr>
          <w:fldChar w:fldCharType="end"/>
        </w:r>
      </w:hyperlink>
    </w:p>
    <w:p w14:paraId="7FFFE5F7"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47" w:history="1">
        <w:r w:rsidR="008A78E3" w:rsidRPr="00ED635F">
          <w:rPr>
            <w:rStyle w:val="Hiperhivatkozs"/>
            <w:noProof/>
          </w:rPr>
          <w:t>V.1.5.1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Kockázatvállalási politika</w:t>
        </w:r>
        <w:r w:rsidR="008A78E3">
          <w:rPr>
            <w:noProof/>
            <w:webHidden/>
          </w:rPr>
          <w:tab/>
        </w:r>
        <w:r w:rsidR="008A78E3">
          <w:rPr>
            <w:noProof/>
            <w:webHidden/>
          </w:rPr>
          <w:fldChar w:fldCharType="begin"/>
        </w:r>
        <w:r w:rsidR="008A78E3">
          <w:rPr>
            <w:noProof/>
            <w:webHidden/>
          </w:rPr>
          <w:instrText xml:space="preserve"> PAGEREF _Toc158036647 \h </w:instrText>
        </w:r>
        <w:r w:rsidR="008A78E3">
          <w:rPr>
            <w:noProof/>
            <w:webHidden/>
          </w:rPr>
        </w:r>
        <w:r w:rsidR="008A78E3">
          <w:rPr>
            <w:noProof/>
            <w:webHidden/>
          </w:rPr>
          <w:fldChar w:fldCharType="separate"/>
        </w:r>
        <w:r w:rsidR="008A78E3">
          <w:rPr>
            <w:noProof/>
            <w:webHidden/>
          </w:rPr>
          <w:t>38</w:t>
        </w:r>
        <w:r w:rsidR="008A78E3">
          <w:rPr>
            <w:noProof/>
            <w:webHidden/>
          </w:rPr>
          <w:fldChar w:fldCharType="end"/>
        </w:r>
      </w:hyperlink>
    </w:p>
    <w:p w14:paraId="7FFFE5F8"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48" w:history="1">
        <w:r w:rsidR="008A78E3" w:rsidRPr="00ED635F">
          <w:rPr>
            <w:rStyle w:val="Hiperhivatkozs"/>
            <w:noProof/>
          </w:rPr>
          <w:t>V.1.5.2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Kockázati étvágy, kockázatvállalási hajlandóság megfogalmazása</w:t>
        </w:r>
        <w:r w:rsidR="008A78E3">
          <w:rPr>
            <w:noProof/>
            <w:webHidden/>
          </w:rPr>
          <w:tab/>
        </w:r>
        <w:r w:rsidR="008A78E3">
          <w:rPr>
            <w:noProof/>
            <w:webHidden/>
          </w:rPr>
          <w:fldChar w:fldCharType="begin"/>
        </w:r>
        <w:r w:rsidR="008A78E3">
          <w:rPr>
            <w:noProof/>
            <w:webHidden/>
          </w:rPr>
          <w:instrText xml:space="preserve"> PAGEREF _Toc158036648 \h </w:instrText>
        </w:r>
        <w:r w:rsidR="008A78E3">
          <w:rPr>
            <w:noProof/>
            <w:webHidden/>
          </w:rPr>
        </w:r>
        <w:r w:rsidR="008A78E3">
          <w:rPr>
            <w:noProof/>
            <w:webHidden/>
          </w:rPr>
          <w:fldChar w:fldCharType="separate"/>
        </w:r>
        <w:r w:rsidR="008A78E3">
          <w:rPr>
            <w:noProof/>
            <w:webHidden/>
          </w:rPr>
          <w:t>38</w:t>
        </w:r>
        <w:r w:rsidR="008A78E3">
          <w:rPr>
            <w:noProof/>
            <w:webHidden/>
          </w:rPr>
          <w:fldChar w:fldCharType="end"/>
        </w:r>
      </w:hyperlink>
    </w:p>
    <w:p w14:paraId="7FFFE5F9"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49" w:history="1">
        <w:r w:rsidR="008A78E3" w:rsidRPr="00ED635F">
          <w:rPr>
            <w:rStyle w:val="Hiperhivatkozs"/>
            <w:noProof/>
          </w:rPr>
          <w:t>V.1.5.3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Elérni kívánt kockázati szerkezet</w:t>
        </w:r>
        <w:r w:rsidR="008A78E3">
          <w:rPr>
            <w:noProof/>
            <w:webHidden/>
          </w:rPr>
          <w:tab/>
        </w:r>
        <w:r w:rsidR="008A78E3">
          <w:rPr>
            <w:noProof/>
            <w:webHidden/>
          </w:rPr>
          <w:fldChar w:fldCharType="begin"/>
        </w:r>
        <w:r w:rsidR="008A78E3">
          <w:rPr>
            <w:noProof/>
            <w:webHidden/>
          </w:rPr>
          <w:instrText xml:space="preserve"> PAGEREF _Toc158036649 \h </w:instrText>
        </w:r>
        <w:r w:rsidR="008A78E3">
          <w:rPr>
            <w:noProof/>
            <w:webHidden/>
          </w:rPr>
        </w:r>
        <w:r w:rsidR="008A78E3">
          <w:rPr>
            <w:noProof/>
            <w:webHidden/>
          </w:rPr>
          <w:fldChar w:fldCharType="separate"/>
        </w:r>
        <w:r w:rsidR="008A78E3">
          <w:rPr>
            <w:noProof/>
            <w:webHidden/>
          </w:rPr>
          <w:t>39</w:t>
        </w:r>
        <w:r w:rsidR="008A78E3">
          <w:rPr>
            <w:noProof/>
            <w:webHidden/>
          </w:rPr>
          <w:fldChar w:fldCharType="end"/>
        </w:r>
      </w:hyperlink>
    </w:p>
    <w:p w14:paraId="7FFFE5FA"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0" w:history="1">
        <w:r w:rsidR="008A78E3" w:rsidRPr="00ED635F">
          <w:rPr>
            <w:rStyle w:val="Hiperhivatkozs"/>
            <w:noProof/>
          </w:rPr>
          <w:t>V.1.5.4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Kockázatkezelési folyamat lépései</w:t>
        </w:r>
        <w:r w:rsidR="008A78E3">
          <w:rPr>
            <w:noProof/>
            <w:webHidden/>
          </w:rPr>
          <w:tab/>
        </w:r>
        <w:r w:rsidR="008A78E3">
          <w:rPr>
            <w:noProof/>
            <w:webHidden/>
          </w:rPr>
          <w:fldChar w:fldCharType="begin"/>
        </w:r>
        <w:r w:rsidR="008A78E3">
          <w:rPr>
            <w:noProof/>
            <w:webHidden/>
          </w:rPr>
          <w:instrText xml:space="preserve"> PAGEREF _Toc158036650 \h </w:instrText>
        </w:r>
        <w:r w:rsidR="008A78E3">
          <w:rPr>
            <w:noProof/>
            <w:webHidden/>
          </w:rPr>
        </w:r>
        <w:r w:rsidR="008A78E3">
          <w:rPr>
            <w:noProof/>
            <w:webHidden/>
          </w:rPr>
          <w:fldChar w:fldCharType="separate"/>
        </w:r>
        <w:r w:rsidR="008A78E3">
          <w:rPr>
            <w:noProof/>
            <w:webHidden/>
          </w:rPr>
          <w:t>39</w:t>
        </w:r>
        <w:r w:rsidR="008A78E3">
          <w:rPr>
            <w:noProof/>
            <w:webHidden/>
          </w:rPr>
          <w:fldChar w:fldCharType="end"/>
        </w:r>
      </w:hyperlink>
    </w:p>
    <w:p w14:paraId="7FFFE5FB"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51" w:history="1">
        <w:r w:rsidR="008A78E3" w:rsidRPr="00ED635F">
          <w:rPr>
            <w:rStyle w:val="Hiperhivatkozs"/>
          </w:rPr>
          <w:t>V.2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Lényeges kockázatok értékelése</w:t>
        </w:r>
        <w:r w:rsidR="008A78E3">
          <w:rPr>
            <w:webHidden/>
          </w:rPr>
          <w:tab/>
        </w:r>
        <w:r w:rsidR="008A78E3">
          <w:rPr>
            <w:webHidden/>
          </w:rPr>
          <w:fldChar w:fldCharType="begin"/>
        </w:r>
        <w:r w:rsidR="008A78E3">
          <w:rPr>
            <w:webHidden/>
          </w:rPr>
          <w:instrText xml:space="preserve"> PAGEREF _Toc158036651 \h </w:instrText>
        </w:r>
        <w:r w:rsidR="008A78E3">
          <w:rPr>
            <w:webHidden/>
          </w:rPr>
        </w:r>
        <w:r w:rsidR="008A78E3">
          <w:rPr>
            <w:webHidden/>
          </w:rPr>
          <w:fldChar w:fldCharType="separate"/>
        </w:r>
        <w:r w:rsidR="008A78E3">
          <w:rPr>
            <w:webHidden/>
          </w:rPr>
          <w:t>41</w:t>
        </w:r>
        <w:r w:rsidR="008A78E3">
          <w:rPr>
            <w:webHidden/>
          </w:rPr>
          <w:fldChar w:fldCharType="end"/>
        </w:r>
      </w:hyperlink>
    </w:p>
    <w:p w14:paraId="7FFFE5FC"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52" w:history="1">
        <w:r w:rsidR="008A78E3" w:rsidRPr="00ED635F">
          <w:rPr>
            <w:rStyle w:val="Hiperhivatkozs"/>
            <w:noProof/>
          </w:rPr>
          <w:t>V.2.1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Hitelkockázat</w:t>
        </w:r>
        <w:r w:rsidR="008A78E3">
          <w:rPr>
            <w:noProof/>
            <w:webHidden/>
          </w:rPr>
          <w:tab/>
        </w:r>
        <w:r w:rsidR="008A78E3">
          <w:rPr>
            <w:noProof/>
            <w:webHidden/>
          </w:rPr>
          <w:fldChar w:fldCharType="begin"/>
        </w:r>
        <w:r w:rsidR="008A78E3">
          <w:rPr>
            <w:noProof/>
            <w:webHidden/>
          </w:rPr>
          <w:instrText xml:space="preserve"> PAGEREF _Toc158036652 \h </w:instrText>
        </w:r>
        <w:r w:rsidR="008A78E3">
          <w:rPr>
            <w:noProof/>
            <w:webHidden/>
          </w:rPr>
        </w:r>
        <w:r w:rsidR="008A78E3">
          <w:rPr>
            <w:noProof/>
            <w:webHidden/>
          </w:rPr>
          <w:fldChar w:fldCharType="separate"/>
        </w:r>
        <w:r w:rsidR="008A78E3">
          <w:rPr>
            <w:noProof/>
            <w:webHidden/>
          </w:rPr>
          <w:t>42</w:t>
        </w:r>
        <w:r w:rsidR="008A78E3">
          <w:rPr>
            <w:noProof/>
            <w:webHidden/>
          </w:rPr>
          <w:fldChar w:fldCharType="end"/>
        </w:r>
      </w:hyperlink>
    </w:p>
    <w:p w14:paraId="7FFFE5FD"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3" w:history="1">
        <w:r w:rsidR="008A78E3" w:rsidRPr="00ED635F">
          <w:rPr>
            <w:rStyle w:val="Hiperhivatkozs"/>
            <w:noProof/>
          </w:rPr>
          <w:t>V.2.1.1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hitelkockázati modell feltevései</w:t>
        </w:r>
        <w:r w:rsidR="008A78E3">
          <w:rPr>
            <w:noProof/>
            <w:webHidden/>
          </w:rPr>
          <w:tab/>
        </w:r>
        <w:r w:rsidR="008A78E3">
          <w:rPr>
            <w:noProof/>
            <w:webHidden/>
          </w:rPr>
          <w:fldChar w:fldCharType="begin"/>
        </w:r>
        <w:r w:rsidR="008A78E3">
          <w:rPr>
            <w:noProof/>
            <w:webHidden/>
          </w:rPr>
          <w:instrText xml:space="preserve"> PAGEREF _Toc158036653 \h </w:instrText>
        </w:r>
        <w:r w:rsidR="008A78E3">
          <w:rPr>
            <w:noProof/>
            <w:webHidden/>
          </w:rPr>
        </w:r>
        <w:r w:rsidR="008A78E3">
          <w:rPr>
            <w:noProof/>
            <w:webHidden/>
          </w:rPr>
          <w:fldChar w:fldCharType="separate"/>
        </w:r>
        <w:r w:rsidR="008A78E3">
          <w:rPr>
            <w:noProof/>
            <w:webHidden/>
          </w:rPr>
          <w:t>44</w:t>
        </w:r>
        <w:r w:rsidR="008A78E3">
          <w:rPr>
            <w:noProof/>
            <w:webHidden/>
          </w:rPr>
          <w:fldChar w:fldCharType="end"/>
        </w:r>
      </w:hyperlink>
    </w:p>
    <w:p w14:paraId="7FFFE5FE"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4" w:history="1">
        <w:r w:rsidR="008A78E3" w:rsidRPr="00ED635F">
          <w:rPr>
            <w:rStyle w:val="Hiperhivatkozs"/>
            <w:noProof/>
          </w:rPr>
          <w:t>V.2.1.2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Modellekkel és minősítő rendszerekkel kapcsolatos alapvető elvárások</w:t>
        </w:r>
        <w:r w:rsidR="008A78E3">
          <w:rPr>
            <w:noProof/>
            <w:webHidden/>
          </w:rPr>
          <w:tab/>
        </w:r>
        <w:r w:rsidR="008A78E3">
          <w:rPr>
            <w:noProof/>
            <w:webHidden/>
          </w:rPr>
          <w:fldChar w:fldCharType="begin"/>
        </w:r>
        <w:r w:rsidR="008A78E3">
          <w:rPr>
            <w:noProof/>
            <w:webHidden/>
          </w:rPr>
          <w:instrText xml:space="preserve"> PAGEREF _Toc158036654 \h </w:instrText>
        </w:r>
        <w:r w:rsidR="008A78E3">
          <w:rPr>
            <w:noProof/>
            <w:webHidden/>
          </w:rPr>
        </w:r>
        <w:r w:rsidR="008A78E3">
          <w:rPr>
            <w:noProof/>
            <w:webHidden/>
          </w:rPr>
          <w:fldChar w:fldCharType="separate"/>
        </w:r>
        <w:r w:rsidR="008A78E3">
          <w:rPr>
            <w:noProof/>
            <w:webHidden/>
          </w:rPr>
          <w:t>46</w:t>
        </w:r>
        <w:r w:rsidR="008A78E3">
          <w:rPr>
            <w:noProof/>
            <w:webHidden/>
          </w:rPr>
          <w:fldChar w:fldCharType="end"/>
        </w:r>
      </w:hyperlink>
    </w:p>
    <w:p w14:paraId="7FFFE5FF"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5" w:history="1">
        <w:r w:rsidR="008A78E3" w:rsidRPr="00ED635F">
          <w:rPr>
            <w:rStyle w:val="Hiperhivatkozs"/>
            <w:noProof/>
          </w:rPr>
          <w:t>V.2.1.3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Rating modellek</w:t>
        </w:r>
        <w:r w:rsidR="008A78E3">
          <w:rPr>
            <w:noProof/>
            <w:webHidden/>
          </w:rPr>
          <w:tab/>
        </w:r>
        <w:r w:rsidR="008A78E3">
          <w:rPr>
            <w:noProof/>
            <w:webHidden/>
          </w:rPr>
          <w:fldChar w:fldCharType="begin"/>
        </w:r>
        <w:r w:rsidR="008A78E3">
          <w:rPr>
            <w:noProof/>
            <w:webHidden/>
          </w:rPr>
          <w:instrText xml:space="preserve"> PAGEREF _Toc158036655 \h </w:instrText>
        </w:r>
        <w:r w:rsidR="008A78E3">
          <w:rPr>
            <w:noProof/>
            <w:webHidden/>
          </w:rPr>
        </w:r>
        <w:r w:rsidR="008A78E3">
          <w:rPr>
            <w:noProof/>
            <w:webHidden/>
          </w:rPr>
          <w:fldChar w:fldCharType="separate"/>
        </w:r>
        <w:r w:rsidR="008A78E3">
          <w:rPr>
            <w:noProof/>
            <w:webHidden/>
          </w:rPr>
          <w:t>46</w:t>
        </w:r>
        <w:r w:rsidR="008A78E3">
          <w:rPr>
            <w:noProof/>
            <w:webHidden/>
          </w:rPr>
          <w:fldChar w:fldCharType="end"/>
        </w:r>
      </w:hyperlink>
    </w:p>
    <w:p w14:paraId="7FFFE600"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6" w:history="1">
        <w:r w:rsidR="008A78E3" w:rsidRPr="00ED635F">
          <w:rPr>
            <w:rStyle w:val="Hiperhivatkozs"/>
            <w:noProof/>
          </w:rPr>
          <w:t>V.2.1.4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Nemteljesítési valószínűség becslése</w:t>
        </w:r>
        <w:r w:rsidR="008A78E3">
          <w:rPr>
            <w:noProof/>
            <w:webHidden/>
          </w:rPr>
          <w:tab/>
        </w:r>
        <w:r w:rsidR="008A78E3">
          <w:rPr>
            <w:noProof/>
            <w:webHidden/>
          </w:rPr>
          <w:fldChar w:fldCharType="begin"/>
        </w:r>
        <w:r w:rsidR="008A78E3">
          <w:rPr>
            <w:noProof/>
            <w:webHidden/>
          </w:rPr>
          <w:instrText xml:space="preserve"> PAGEREF _Toc158036656 \h </w:instrText>
        </w:r>
        <w:r w:rsidR="008A78E3">
          <w:rPr>
            <w:noProof/>
            <w:webHidden/>
          </w:rPr>
        </w:r>
        <w:r w:rsidR="008A78E3">
          <w:rPr>
            <w:noProof/>
            <w:webHidden/>
          </w:rPr>
          <w:fldChar w:fldCharType="separate"/>
        </w:r>
        <w:r w:rsidR="008A78E3">
          <w:rPr>
            <w:noProof/>
            <w:webHidden/>
          </w:rPr>
          <w:t>47</w:t>
        </w:r>
        <w:r w:rsidR="008A78E3">
          <w:rPr>
            <w:noProof/>
            <w:webHidden/>
          </w:rPr>
          <w:fldChar w:fldCharType="end"/>
        </w:r>
      </w:hyperlink>
    </w:p>
    <w:p w14:paraId="7FFFE601"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7" w:history="1">
        <w:r w:rsidR="008A78E3" w:rsidRPr="00ED635F">
          <w:rPr>
            <w:rStyle w:val="Hiperhivatkozs"/>
            <w:noProof/>
          </w:rPr>
          <w:t>V.2.1.5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TTC (Through the Cycle) PD</w:t>
        </w:r>
        <w:r w:rsidR="008A78E3">
          <w:rPr>
            <w:noProof/>
            <w:webHidden/>
          </w:rPr>
          <w:tab/>
        </w:r>
        <w:r w:rsidR="008A78E3">
          <w:rPr>
            <w:noProof/>
            <w:webHidden/>
          </w:rPr>
          <w:fldChar w:fldCharType="begin"/>
        </w:r>
        <w:r w:rsidR="008A78E3">
          <w:rPr>
            <w:noProof/>
            <w:webHidden/>
          </w:rPr>
          <w:instrText xml:space="preserve"> PAGEREF _Toc158036657 \h </w:instrText>
        </w:r>
        <w:r w:rsidR="008A78E3">
          <w:rPr>
            <w:noProof/>
            <w:webHidden/>
          </w:rPr>
        </w:r>
        <w:r w:rsidR="008A78E3">
          <w:rPr>
            <w:noProof/>
            <w:webHidden/>
          </w:rPr>
          <w:fldChar w:fldCharType="separate"/>
        </w:r>
        <w:r w:rsidR="008A78E3">
          <w:rPr>
            <w:noProof/>
            <w:webHidden/>
          </w:rPr>
          <w:t>48</w:t>
        </w:r>
        <w:r w:rsidR="008A78E3">
          <w:rPr>
            <w:noProof/>
            <w:webHidden/>
          </w:rPr>
          <w:fldChar w:fldCharType="end"/>
        </w:r>
      </w:hyperlink>
    </w:p>
    <w:p w14:paraId="7FFFE602"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8" w:history="1">
        <w:r w:rsidR="008A78E3" w:rsidRPr="00ED635F">
          <w:rPr>
            <w:rStyle w:val="Hiperhivatkozs"/>
            <w:noProof/>
          </w:rPr>
          <w:t>V.2.1.6</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Lakossági TTC PD – felügyeleti benchmark</w:t>
        </w:r>
        <w:r w:rsidR="008A78E3">
          <w:rPr>
            <w:noProof/>
            <w:webHidden/>
          </w:rPr>
          <w:tab/>
        </w:r>
        <w:r w:rsidR="008A78E3">
          <w:rPr>
            <w:noProof/>
            <w:webHidden/>
          </w:rPr>
          <w:fldChar w:fldCharType="begin"/>
        </w:r>
        <w:r w:rsidR="008A78E3">
          <w:rPr>
            <w:noProof/>
            <w:webHidden/>
          </w:rPr>
          <w:instrText xml:space="preserve"> PAGEREF _Toc158036658 \h </w:instrText>
        </w:r>
        <w:r w:rsidR="008A78E3">
          <w:rPr>
            <w:noProof/>
            <w:webHidden/>
          </w:rPr>
        </w:r>
        <w:r w:rsidR="008A78E3">
          <w:rPr>
            <w:noProof/>
            <w:webHidden/>
          </w:rPr>
          <w:fldChar w:fldCharType="separate"/>
        </w:r>
        <w:r w:rsidR="008A78E3">
          <w:rPr>
            <w:noProof/>
            <w:webHidden/>
          </w:rPr>
          <w:t>50</w:t>
        </w:r>
        <w:r w:rsidR="008A78E3">
          <w:rPr>
            <w:noProof/>
            <w:webHidden/>
          </w:rPr>
          <w:fldChar w:fldCharType="end"/>
        </w:r>
      </w:hyperlink>
    </w:p>
    <w:p w14:paraId="7FFFE603"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59" w:history="1">
        <w:r w:rsidR="008A78E3" w:rsidRPr="00ED635F">
          <w:rPr>
            <w:rStyle w:val="Hiperhivatkozs"/>
            <w:noProof/>
          </w:rPr>
          <w:t>V.2.1.7</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Vállalati PD – felügyeleti benchmark</w:t>
        </w:r>
        <w:r w:rsidR="008A78E3">
          <w:rPr>
            <w:noProof/>
            <w:webHidden/>
          </w:rPr>
          <w:tab/>
        </w:r>
        <w:r w:rsidR="008A78E3">
          <w:rPr>
            <w:noProof/>
            <w:webHidden/>
          </w:rPr>
          <w:fldChar w:fldCharType="begin"/>
        </w:r>
        <w:r w:rsidR="008A78E3">
          <w:rPr>
            <w:noProof/>
            <w:webHidden/>
          </w:rPr>
          <w:instrText xml:space="preserve"> PAGEREF _Toc158036659 \h </w:instrText>
        </w:r>
        <w:r w:rsidR="008A78E3">
          <w:rPr>
            <w:noProof/>
            <w:webHidden/>
          </w:rPr>
        </w:r>
        <w:r w:rsidR="008A78E3">
          <w:rPr>
            <w:noProof/>
            <w:webHidden/>
          </w:rPr>
          <w:fldChar w:fldCharType="separate"/>
        </w:r>
        <w:r w:rsidR="008A78E3">
          <w:rPr>
            <w:noProof/>
            <w:webHidden/>
          </w:rPr>
          <w:t>51</w:t>
        </w:r>
        <w:r w:rsidR="008A78E3">
          <w:rPr>
            <w:noProof/>
            <w:webHidden/>
          </w:rPr>
          <w:fldChar w:fldCharType="end"/>
        </w:r>
      </w:hyperlink>
    </w:p>
    <w:p w14:paraId="7FFFE604"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0" w:history="1">
        <w:r w:rsidR="008A78E3" w:rsidRPr="00ED635F">
          <w:rPr>
            <w:rStyle w:val="Hiperhivatkozs"/>
            <w:noProof/>
          </w:rPr>
          <w:t>V.2.1.8</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EU benchmark PD-k alkalmazása</w:t>
        </w:r>
        <w:r w:rsidR="008A78E3">
          <w:rPr>
            <w:noProof/>
            <w:webHidden/>
          </w:rPr>
          <w:tab/>
        </w:r>
        <w:r w:rsidR="008A78E3">
          <w:rPr>
            <w:noProof/>
            <w:webHidden/>
          </w:rPr>
          <w:fldChar w:fldCharType="begin"/>
        </w:r>
        <w:r w:rsidR="008A78E3">
          <w:rPr>
            <w:noProof/>
            <w:webHidden/>
          </w:rPr>
          <w:instrText xml:space="preserve"> PAGEREF _Toc158036660 \h </w:instrText>
        </w:r>
        <w:r w:rsidR="008A78E3">
          <w:rPr>
            <w:noProof/>
            <w:webHidden/>
          </w:rPr>
        </w:r>
        <w:r w:rsidR="008A78E3">
          <w:rPr>
            <w:noProof/>
            <w:webHidden/>
          </w:rPr>
          <w:fldChar w:fldCharType="separate"/>
        </w:r>
        <w:r w:rsidR="008A78E3">
          <w:rPr>
            <w:noProof/>
            <w:webHidden/>
          </w:rPr>
          <w:t>51</w:t>
        </w:r>
        <w:r w:rsidR="008A78E3">
          <w:rPr>
            <w:noProof/>
            <w:webHidden/>
          </w:rPr>
          <w:fldChar w:fldCharType="end"/>
        </w:r>
      </w:hyperlink>
    </w:p>
    <w:p w14:paraId="7FFFE605"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1" w:history="1">
        <w:r w:rsidR="008A78E3" w:rsidRPr="00ED635F">
          <w:rPr>
            <w:rStyle w:val="Hiperhivatkozs"/>
            <w:noProof/>
          </w:rPr>
          <w:t>V.2.1.9</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Szuverén floor alkalmazása</w:t>
        </w:r>
        <w:r w:rsidR="008A78E3">
          <w:rPr>
            <w:noProof/>
            <w:webHidden/>
          </w:rPr>
          <w:tab/>
        </w:r>
        <w:r w:rsidR="008A78E3">
          <w:rPr>
            <w:noProof/>
            <w:webHidden/>
          </w:rPr>
          <w:fldChar w:fldCharType="begin"/>
        </w:r>
        <w:r w:rsidR="008A78E3">
          <w:rPr>
            <w:noProof/>
            <w:webHidden/>
          </w:rPr>
          <w:instrText xml:space="preserve"> PAGEREF _Toc158036661 \h </w:instrText>
        </w:r>
        <w:r w:rsidR="008A78E3">
          <w:rPr>
            <w:noProof/>
            <w:webHidden/>
          </w:rPr>
        </w:r>
        <w:r w:rsidR="008A78E3">
          <w:rPr>
            <w:noProof/>
            <w:webHidden/>
          </w:rPr>
          <w:fldChar w:fldCharType="separate"/>
        </w:r>
        <w:r w:rsidR="008A78E3">
          <w:rPr>
            <w:noProof/>
            <w:webHidden/>
          </w:rPr>
          <w:t>52</w:t>
        </w:r>
        <w:r w:rsidR="008A78E3">
          <w:rPr>
            <w:noProof/>
            <w:webHidden/>
          </w:rPr>
          <w:fldChar w:fldCharType="end"/>
        </w:r>
      </w:hyperlink>
    </w:p>
    <w:p w14:paraId="7FFFE606"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2" w:history="1">
        <w:r w:rsidR="008A78E3" w:rsidRPr="00ED635F">
          <w:rPr>
            <w:rStyle w:val="Hiperhivatkozs"/>
            <w:noProof/>
          </w:rPr>
          <w:t>V.2.1.10</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KKV szorzó alkalmazása</w:t>
        </w:r>
        <w:r w:rsidR="008A78E3">
          <w:rPr>
            <w:noProof/>
            <w:webHidden/>
          </w:rPr>
          <w:tab/>
        </w:r>
        <w:r w:rsidR="008A78E3">
          <w:rPr>
            <w:noProof/>
            <w:webHidden/>
          </w:rPr>
          <w:fldChar w:fldCharType="begin"/>
        </w:r>
        <w:r w:rsidR="008A78E3">
          <w:rPr>
            <w:noProof/>
            <w:webHidden/>
          </w:rPr>
          <w:instrText xml:space="preserve"> PAGEREF _Toc158036662 \h </w:instrText>
        </w:r>
        <w:r w:rsidR="008A78E3">
          <w:rPr>
            <w:noProof/>
            <w:webHidden/>
          </w:rPr>
        </w:r>
        <w:r w:rsidR="008A78E3">
          <w:rPr>
            <w:noProof/>
            <w:webHidden/>
          </w:rPr>
          <w:fldChar w:fldCharType="separate"/>
        </w:r>
        <w:r w:rsidR="008A78E3">
          <w:rPr>
            <w:noProof/>
            <w:webHidden/>
          </w:rPr>
          <w:t>52</w:t>
        </w:r>
        <w:r w:rsidR="008A78E3">
          <w:rPr>
            <w:noProof/>
            <w:webHidden/>
          </w:rPr>
          <w:fldChar w:fldCharType="end"/>
        </w:r>
      </w:hyperlink>
    </w:p>
    <w:p w14:paraId="7FFFE607"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3" w:history="1">
        <w:r w:rsidR="008A78E3" w:rsidRPr="00ED635F">
          <w:rPr>
            <w:rStyle w:val="Hiperhivatkozs"/>
            <w:noProof/>
          </w:rPr>
          <w:t>V.2.1.11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MNB Növekedési Kötvényprogram keretében kibocsátott értékpapírok tőkekövetelménye</w:t>
        </w:r>
        <w:r w:rsidR="008A78E3">
          <w:rPr>
            <w:noProof/>
            <w:webHidden/>
          </w:rPr>
          <w:tab/>
        </w:r>
        <w:r w:rsidR="008A78E3">
          <w:rPr>
            <w:noProof/>
            <w:webHidden/>
          </w:rPr>
          <w:fldChar w:fldCharType="begin"/>
        </w:r>
        <w:r w:rsidR="008A78E3">
          <w:rPr>
            <w:noProof/>
            <w:webHidden/>
          </w:rPr>
          <w:instrText xml:space="preserve"> PAGEREF _Toc158036663 \h </w:instrText>
        </w:r>
        <w:r w:rsidR="008A78E3">
          <w:rPr>
            <w:noProof/>
            <w:webHidden/>
          </w:rPr>
        </w:r>
        <w:r w:rsidR="008A78E3">
          <w:rPr>
            <w:noProof/>
            <w:webHidden/>
          </w:rPr>
          <w:fldChar w:fldCharType="separate"/>
        </w:r>
        <w:r w:rsidR="008A78E3">
          <w:rPr>
            <w:noProof/>
            <w:webHidden/>
          </w:rPr>
          <w:t>52</w:t>
        </w:r>
        <w:r w:rsidR="008A78E3">
          <w:rPr>
            <w:noProof/>
            <w:webHidden/>
          </w:rPr>
          <w:fldChar w:fldCharType="end"/>
        </w:r>
      </w:hyperlink>
    </w:p>
    <w:p w14:paraId="7FFFE608"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4" w:history="1">
        <w:r w:rsidR="008A78E3" w:rsidRPr="00ED635F">
          <w:rPr>
            <w:rStyle w:val="Hiperhivatkozs"/>
            <w:noProof/>
          </w:rPr>
          <w:t>V.2.1.12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nemteljesítéskori veszteségráta becslése</w:t>
        </w:r>
        <w:r w:rsidR="008A78E3">
          <w:rPr>
            <w:noProof/>
            <w:webHidden/>
          </w:rPr>
          <w:tab/>
        </w:r>
        <w:r w:rsidR="008A78E3">
          <w:rPr>
            <w:noProof/>
            <w:webHidden/>
          </w:rPr>
          <w:fldChar w:fldCharType="begin"/>
        </w:r>
        <w:r w:rsidR="008A78E3">
          <w:rPr>
            <w:noProof/>
            <w:webHidden/>
          </w:rPr>
          <w:instrText xml:space="preserve"> PAGEREF _Toc158036664 \h </w:instrText>
        </w:r>
        <w:r w:rsidR="008A78E3">
          <w:rPr>
            <w:noProof/>
            <w:webHidden/>
          </w:rPr>
        </w:r>
        <w:r w:rsidR="008A78E3">
          <w:rPr>
            <w:noProof/>
            <w:webHidden/>
          </w:rPr>
          <w:fldChar w:fldCharType="separate"/>
        </w:r>
        <w:r w:rsidR="008A78E3">
          <w:rPr>
            <w:noProof/>
            <w:webHidden/>
          </w:rPr>
          <w:t>52</w:t>
        </w:r>
        <w:r w:rsidR="008A78E3">
          <w:rPr>
            <w:noProof/>
            <w:webHidden/>
          </w:rPr>
          <w:fldChar w:fldCharType="end"/>
        </w:r>
      </w:hyperlink>
    </w:p>
    <w:p w14:paraId="7FFFE609"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5" w:history="1">
        <w:r w:rsidR="008A78E3" w:rsidRPr="00ED635F">
          <w:rPr>
            <w:rStyle w:val="Hiperhivatkozs"/>
            <w:noProof/>
          </w:rPr>
          <w:t>V.2.1.13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Lakossági jelzálog LGD – felügyeleti benchmark</w:t>
        </w:r>
        <w:r w:rsidR="008A78E3">
          <w:rPr>
            <w:noProof/>
            <w:webHidden/>
          </w:rPr>
          <w:tab/>
        </w:r>
        <w:r w:rsidR="008A78E3">
          <w:rPr>
            <w:noProof/>
            <w:webHidden/>
          </w:rPr>
          <w:fldChar w:fldCharType="begin"/>
        </w:r>
        <w:r w:rsidR="008A78E3">
          <w:rPr>
            <w:noProof/>
            <w:webHidden/>
          </w:rPr>
          <w:instrText xml:space="preserve"> PAGEREF _Toc158036665 \h </w:instrText>
        </w:r>
        <w:r w:rsidR="008A78E3">
          <w:rPr>
            <w:noProof/>
            <w:webHidden/>
          </w:rPr>
        </w:r>
        <w:r w:rsidR="008A78E3">
          <w:rPr>
            <w:noProof/>
            <w:webHidden/>
          </w:rPr>
          <w:fldChar w:fldCharType="separate"/>
        </w:r>
        <w:r w:rsidR="008A78E3">
          <w:rPr>
            <w:noProof/>
            <w:webHidden/>
          </w:rPr>
          <w:t>54</w:t>
        </w:r>
        <w:r w:rsidR="008A78E3">
          <w:rPr>
            <w:noProof/>
            <w:webHidden/>
          </w:rPr>
          <w:fldChar w:fldCharType="end"/>
        </w:r>
      </w:hyperlink>
    </w:p>
    <w:p w14:paraId="7FFFE60A"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6" w:history="1">
        <w:r w:rsidR="008A78E3" w:rsidRPr="00ED635F">
          <w:rPr>
            <w:rStyle w:val="Hiperhivatkozs"/>
            <w:noProof/>
          </w:rPr>
          <w:t>V.2.1.14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Nemteljesítő tételek, várható veszteség és értékvesztés</w:t>
        </w:r>
        <w:r w:rsidR="008A78E3">
          <w:rPr>
            <w:noProof/>
            <w:webHidden/>
          </w:rPr>
          <w:tab/>
        </w:r>
        <w:r w:rsidR="008A78E3">
          <w:rPr>
            <w:noProof/>
            <w:webHidden/>
          </w:rPr>
          <w:fldChar w:fldCharType="begin"/>
        </w:r>
        <w:r w:rsidR="008A78E3">
          <w:rPr>
            <w:noProof/>
            <w:webHidden/>
          </w:rPr>
          <w:instrText xml:space="preserve"> PAGEREF _Toc158036666 \h </w:instrText>
        </w:r>
        <w:r w:rsidR="008A78E3">
          <w:rPr>
            <w:noProof/>
            <w:webHidden/>
          </w:rPr>
        </w:r>
        <w:r w:rsidR="008A78E3">
          <w:rPr>
            <w:noProof/>
            <w:webHidden/>
          </w:rPr>
          <w:fldChar w:fldCharType="separate"/>
        </w:r>
        <w:r w:rsidR="008A78E3">
          <w:rPr>
            <w:noProof/>
            <w:webHidden/>
          </w:rPr>
          <w:t>55</w:t>
        </w:r>
        <w:r w:rsidR="008A78E3">
          <w:rPr>
            <w:noProof/>
            <w:webHidden/>
          </w:rPr>
          <w:fldChar w:fldCharType="end"/>
        </w:r>
      </w:hyperlink>
    </w:p>
    <w:p w14:paraId="7FFFE60B"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7" w:history="1">
        <w:r w:rsidR="008A78E3" w:rsidRPr="00ED635F">
          <w:rPr>
            <w:rStyle w:val="Hiperhivatkozs"/>
            <w:noProof/>
          </w:rPr>
          <w:t>V.2.1.15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Részesedések (Részvényjellegű kitettségek)</w:t>
        </w:r>
        <w:r w:rsidR="008A78E3">
          <w:rPr>
            <w:noProof/>
            <w:webHidden/>
          </w:rPr>
          <w:tab/>
        </w:r>
        <w:r w:rsidR="008A78E3">
          <w:rPr>
            <w:noProof/>
            <w:webHidden/>
          </w:rPr>
          <w:fldChar w:fldCharType="begin"/>
        </w:r>
        <w:r w:rsidR="008A78E3">
          <w:rPr>
            <w:noProof/>
            <w:webHidden/>
          </w:rPr>
          <w:instrText xml:space="preserve"> PAGEREF _Toc158036667 \h </w:instrText>
        </w:r>
        <w:r w:rsidR="008A78E3">
          <w:rPr>
            <w:noProof/>
            <w:webHidden/>
          </w:rPr>
        </w:r>
        <w:r w:rsidR="008A78E3">
          <w:rPr>
            <w:noProof/>
            <w:webHidden/>
          </w:rPr>
          <w:fldChar w:fldCharType="separate"/>
        </w:r>
        <w:r w:rsidR="008A78E3">
          <w:rPr>
            <w:noProof/>
            <w:webHidden/>
          </w:rPr>
          <w:t>56</w:t>
        </w:r>
        <w:r w:rsidR="008A78E3">
          <w:rPr>
            <w:noProof/>
            <w:webHidden/>
          </w:rPr>
          <w:fldChar w:fldCharType="end"/>
        </w:r>
      </w:hyperlink>
    </w:p>
    <w:p w14:paraId="7FFFE60C"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8" w:history="1">
        <w:r w:rsidR="008A78E3" w:rsidRPr="00ED635F">
          <w:rPr>
            <w:rStyle w:val="Hiperhivatkozs"/>
            <w:noProof/>
          </w:rPr>
          <w:t>V.2.1.16</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Speciális hitelezési kitettségek</w:t>
        </w:r>
        <w:r w:rsidR="008A78E3">
          <w:rPr>
            <w:noProof/>
            <w:webHidden/>
          </w:rPr>
          <w:tab/>
        </w:r>
        <w:r w:rsidR="008A78E3">
          <w:rPr>
            <w:noProof/>
            <w:webHidden/>
          </w:rPr>
          <w:fldChar w:fldCharType="begin"/>
        </w:r>
        <w:r w:rsidR="008A78E3">
          <w:rPr>
            <w:noProof/>
            <w:webHidden/>
          </w:rPr>
          <w:instrText xml:space="preserve"> PAGEREF _Toc158036668 \h </w:instrText>
        </w:r>
        <w:r w:rsidR="008A78E3">
          <w:rPr>
            <w:noProof/>
            <w:webHidden/>
          </w:rPr>
        </w:r>
        <w:r w:rsidR="008A78E3">
          <w:rPr>
            <w:noProof/>
            <w:webHidden/>
          </w:rPr>
          <w:fldChar w:fldCharType="separate"/>
        </w:r>
        <w:r w:rsidR="008A78E3">
          <w:rPr>
            <w:noProof/>
            <w:webHidden/>
          </w:rPr>
          <w:t>57</w:t>
        </w:r>
        <w:r w:rsidR="008A78E3">
          <w:rPr>
            <w:noProof/>
            <w:webHidden/>
          </w:rPr>
          <w:fldChar w:fldCharType="end"/>
        </w:r>
      </w:hyperlink>
    </w:p>
    <w:p w14:paraId="7FFFE60D"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69" w:history="1">
        <w:r w:rsidR="008A78E3" w:rsidRPr="00ED635F">
          <w:rPr>
            <w:rStyle w:val="Hiperhivatkozs"/>
            <w:noProof/>
          </w:rPr>
          <w:t>V.2.1.17</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Ingatlanfinanszírozási projekt tőkekövetelmény és várható veszteség – felügyeleti benchmark</w:t>
        </w:r>
        <w:r w:rsidR="008A78E3">
          <w:rPr>
            <w:noProof/>
            <w:webHidden/>
          </w:rPr>
          <w:tab/>
        </w:r>
        <w:r w:rsidR="008A78E3">
          <w:rPr>
            <w:noProof/>
            <w:webHidden/>
          </w:rPr>
          <w:tab/>
        </w:r>
        <w:r w:rsidR="008A78E3">
          <w:rPr>
            <w:noProof/>
            <w:webHidden/>
          </w:rPr>
          <w:fldChar w:fldCharType="begin"/>
        </w:r>
        <w:r w:rsidR="008A78E3">
          <w:rPr>
            <w:noProof/>
            <w:webHidden/>
          </w:rPr>
          <w:instrText xml:space="preserve"> PAGEREF _Toc158036669 \h </w:instrText>
        </w:r>
        <w:r w:rsidR="008A78E3">
          <w:rPr>
            <w:noProof/>
            <w:webHidden/>
          </w:rPr>
        </w:r>
        <w:r w:rsidR="008A78E3">
          <w:rPr>
            <w:noProof/>
            <w:webHidden/>
          </w:rPr>
          <w:fldChar w:fldCharType="separate"/>
        </w:r>
        <w:r w:rsidR="008A78E3">
          <w:rPr>
            <w:noProof/>
            <w:webHidden/>
          </w:rPr>
          <w:t>60</w:t>
        </w:r>
        <w:r w:rsidR="008A78E3">
          <w:rPr>
            <w:noProof/>
            <w:webHidden/>
          </w:rPr>
          <w:fldChar w:fldCharType="end"/>
        </w:r>
      </w:hyperlink>
    </w:p>
    <w:p w14:paraId="7FFFE60E"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0" w:history="1">
        <w:r w:rsidR="008A78E3" w:rsidRPr="00ED635F">
          <w:rPr>
            <w:rStyle w:val="Hiperhivatkozs"/>
            <w:noProof/>
          </w:rPr>
          <w:t>V.2.1.18</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Mérlegen kívüli tételek kezelése</w:t>
        </w:r>
        <w:r w:rsidR="008A78E3">
          <w:rPr>
            <w:noProof/>
            <w:webHidden/>
          </w:rPr>
          <w:tab/>
        </w:r>
        <w:r w:rsidR="008A78E3">
          <w:rPr>
            <w:noProof/>
            <w:webHidden/>
          </w:rPr>
          <w:fldChar w:fldCharType="begin"/>
        </w:r>
        <w:r w:rsidR="008A78E3">
          <w:rPr>
            <w:noProof/>
            <w:webHidden/>
          </w:rPr>
          <w:instrText xml:space="preserve"> PAGEREF _Toc158036670 \h </w:instrText>
        </w:r>
        <w:r w:rsidR="008A78E3">
          <w:rPr>
            <w:noProof/>
            <w:webHidden/>
          </w:rPr>
        </w:r>
        <w:r w:rsidR="008A78E3">
          <w:rPr>
            <w:noProof/>
            <w:webHidden/>
          </w:rPr>
          <w:fldChar w:fldCharType="separate"/>
        </w:r>
        <w:r w:rsidR="008A78E3">
          <w:rPr>
            <w:noProof/>
            <w:webHidden/>
          </w:rPr>
          <w:t>61</w:t>
        </w:r>
        <w:r w:rsidR="008A78E3">
          <w:rPr>
            <w:noProof/>
            <w:webHidden/>
          </w:rPr>
          <w:fldChar w:fldCharType="end"/>
        </w:r>
      </w:hyperlink>
    </w:p>
    <w:p w14:paraId="7FFFE60F"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1" w:history="1">
        <w:r w:rsidR="008A78E3" w:rsidRPr="00ED635F">
          <w:rPr>
            <w:rStyle w:val="Hiperhivatkozs"/>
            <w:noProof/>
          </w:rPr>
          <w:t>V.2.1.19</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Partnerkockázat</w:t>
        </w:r>
        <w:r w:rsidR="008A78E3">
          <w:rPr>
            <w:noProof/>
            <w:webHidden/>
          </w:rPr>
          <w:tab/>
        </w:r>
        <w:r w:rsidR="008A78E3">
          <w:rPr>
            <w:noProof/>
            <w:webHidden/>
          </w:rPr>
          <w:fldChar w:fldCharType="begin"/>
        </w:r>
        <w:r w:rsidR="008A78E3">
          <w:rPr>
            <w:noProof/>
            <w:webHidden/>
          </w:rPr>
          <w:instrText xml:space="preserve"> PAGEREF _Toc158036671 \h </w:instrText>
        </w:r>
        <w:r w:rsidR="008A78E3">
          <w:rPr>
            <w:noProof/>
            <w:webHidden/>
          </w:rPr>
        </w:r>
        <w:r w:rsidR="008A78E3">
          <w:rPr>
            <w:noProof/>
            <w:webHidden/>
          </w:rPr>
          <w:fldChar w:fldCharType="separate"/>
        </w:r>
        <w:r w:rsidR="008A78E3">
          <w:rPr>
            <w:noProof/>
            <w:webHidden/>
          </w:rPr>
          <w:t>62</w:t>
        </w:r>
        <w:r w:rsidR="008A78E3">
          <w:rPr>
            <w:noProof/>
            <w:webHidden/>
          </w:rPr>
          <w:fldChar w:fldCharType="end"/>
        </w:r>
      </w:hyperlink>
    </w:p>
    <w:p w14:paraId="7FFFE610"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2" w:history="1">
        <w:r w:rsidR="008A78E3" w:rsidRPr="00ED635F">
          <w:rPr>
            <w:rStyle w:val="Hiperhivatkozs"/>
            <w:noProof/>
          </w:rPr>
          <w:t>V.2.1.20</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Hitelértékelési korrekciós kockázat (CVA)</w:t>
        </w:r>
        <w:r w:rsidR="008A78E3">
          <w:rPr>
            <w:noProof/>
            <w:webHidden/>
          </w:rPr>
          <w:tab/>
        </w:r>
        <w:r w:rsidR="008A78E3">
          <w:rPr>
            <w:noProof/>
            <w:webHidden/>
          </w:rPr>
          <w:fldChar w:fldCharType="begin"/>
        </w:r>
        <w:r w:rsidR="008A78E3">
          <w:rPr>
            <w:noProof/>
            <w:webHidden/>
          </w:rPr>
          <w:instrText xml:space="preserve"> PAGEREF _Toc158036672 \h </w:instrText>
        </w:r>
        <w:r w:rsidR="008A78E3">
          <w:rPr>
            <w:noProof/>
            <w:webHidden/>
          </w:rPr>
        </w:r>
        <w:r w:rsidR="008A78E3">
          <w:rPr>
            <w:noProof/>
            <w:webHidden/>
          </w:rPr>
          <w:fldChar w:fldCharType="separate"/>
        </w:r>
        <w:r w:rsidR="008A78E3">
          <w:rPr>
            <w:noProof/>
            <w:webHidden/>
          </w:rPr>
          <w:t>64</w:t>
        </w:r>
        <w:r w:rsidR="008A78E3">
          <w:rPr>
            <w:noProof/>
            <w:webHidden/>
          </w:rPr>
          <w:fldChar w:fldCharType="end"/>
        </w:r>
      </w:hyperlink>
    </w:p>
    <w:p w14:paraId="7FFFE611"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3" w:history="1">
        <w:r w:rsidR="008A78E3" w:rsidRPr="00ED635F">
          <w:rPr>
            <w:rStyle w:val="Hiperhivatkozs"/>
            <w:noProof/>
          </w:rPr>
          <w:t>V.2.1.21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Devizahitelezés kockázata</w:t>
        </w:r>
        <w:r w:rsidR="008A78E3">
          <w:rPr>
            <w:noProof/>
            <w:webHidden/>
          </w:rPr>
          <w:tab/>
        </w:r>
        <w:r w:rsidR="008A78E3">
          <w:rPr>
            <w:noProof/>
            <w:webHidden/>
          </w:rPr>
          <w:fldChar w:fldCharType="begin"/>
        </w:r>
        <w:r w:rsidR="008A78E3">
          <w:rPr>
            <w:noProof/>
            <w:webHidden/>
          </w:rPr>
          <w:instrText xml:space="preserve"> PAGEREF _Toc158036673 \h </w:instrText>
        </w:r>
        <w:r w:rsidR="008A78E3">
          <w:rPr>
            <w:noProof/>
            <w:webHidden/>
          </w:rPr>
        </w:r>
        <w:r w:rsidR="008A78E3">
          <w:rPr>
            <w:noProof/>
            <w:webHidden/>
          </w:rPr>
          <w:fldChar w:fldCharType="separate"/>
        </w:r>
        <w:r w:rsidR="008A78E3">
          <w:rPr>
            <w:noProof/>
            <w:webHidden/>
          </w:rPr>
          <w:t>65</w:t>
        </w:r>
        <w:r w:rsidR="008A78E3">
          <w:rPr>
            <w:noProof/>
            <w:webHidden/>
          </w:rPr>
          <w:fldChar w:fldCharType="end"/>
        </w:r>
      </w:hyperlink>
    </w:p>
    <w:p w14:paraId="7FFFE612"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4" w:history="1">
        <w:r w:rsidR="008A78E3" w:rsidRPr="00ED635F">
          <w:rPr>
            <w:rStyle w:val="Hiperhivatkozs"/>
            <w:noProof/>
          </w:rPr>
          <w:t>V.2.1.22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Reziduális kockázat</w:t>
        </w:r>
        <w:r w:rsidR="008A78E3">
          <w:rPr>
            <w:noProof/>
            <w:webHidden/>
          </w:rPr>
          <w:tab/>
        </w:r>
        <w:r w:rsidR="008A78E3">
          <w:rPr>
            <w:noProof/>
            <w:webHidden/>
          </w:rPr>
          <w:fldChar w:fldCharType="begin"/>
        </w:r>
        <w:r w:rsidR="008A78E3">
          <w:rPr>
            <w:noProof/>
            <w:webHidden/>
          </w:rPr>
          <w:instrText xml:space="preserve"> PAGEREF _Toc158036674 \h </w:instrText>
        </w:r>
        <w:r w:rsidR="008A78E3">
          <w:rPr>
            <w:noProof/>
            <w:webHidden/>
          </w:rPr>
        </w:r>
        <w:r w:rsidR="008A78E3">
          <w:rPr>
            <w:noProof/>
            <w:webHidden/>
          </w:rPr>
          <w:fldChar w:fldCharType="separate"/>
        </w:r>
        <w:r w:rsidR="008A78E3">
          <w:rPr>
            <w:noProof/>
            <w:webHidden/>
          </w:rPr>
          <w:t>67</w:t>
        </w:r>
        <w:r w:rsidR="008A78E3">
          <w:rPr>
            <w:noProof/>
            <w:webHidden/>
          </w:rPr>
          <w:fldChar w:fldCharType="end"/>
        </w:r>
      </w:hyperlink>
    </w:p>
    <w:p w14:paraId="7FFFE613"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5" w:history="1">
        <w:r w:rsidR="008A78E3" w:rsidRPr="00ED635F">
          <w:rPr>
            <w:rStyle w:val="Hiperhivatkozs"/>
            <w:noProof/>
          </w:rPr>
          <w:t>V.2.1.23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Elszámolási/szállítási kockázat (settlement risk)</w:t>
        </w:r>
        <w:r w:rsidR="008A78E3">
          <w:rPr>
            <w:noProof/>
            <w:webHidden/>
          </w:rPr>
          <w:tab/>
        </w:r>
        <w:r w:rsidR="008A78E3">
          <w:rPr>
            <w:noProof/>
            <w:webHidden/>
          </w:rPr>
          <w:fldChar w:fldCharType="begin"/>
        </w:r>
        <w:r w:rsidR="008A78E3">
          <w:rPr>
            <w:noProof/>
            <w:webHidden/>
          </w:rPr>
          <w:instrText xml:space="preserve"> PAGEREF _Toc158036675 \h </w:instrText>
        </w:r>
        <w:r w:rsidR="008A78E3">
          <w:rPr>
            <w:noProof/>
            <w:webHidden/>
          </w:rPr>
        </w:r>
        <w:r w:rsidR="008A78E3">
          <w:rPr>
            <w:noProof/>
            <w:webHidden/>
          </w:rPr>
          <w:fldChar w:fldCharType="separate"/>
        </w:r>
        <w:r w:rsidR="008A78E3">
          <w:rPr>
            <w:noProof/>
            <w:webHidden/>
          </w:rPr>
          <w:t>69</w:t>
        </w:r>
        <w:r w:rsidR="008A78E3">
          <w:rPr>
            <w:noProof/>
            <w:webHidden/>
          </w:rPr>
          <w:fldChar w:fldCharType="end"/>
        </w:r>
      </w:hyperlink>
    </w:p>
    <w:p w14:paraId="7FFFE614"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6" w:history="1">
        <w:r w:rsidR="008A78E3" w:rsidRPr="00ED635F">
          <w:rPr>
            <w:rStyle w:val="Hiperhivatkozs"/>
            <w:noProof/>
          </w:rPr>
          <w:t>V.2.1.24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Nyitva szállítás</w:t>
        </w:r>
        <w:r w:rsidR="008A78E3">
          <w:rPr>
            <w:noProof/>
            <w:webHidden/>
          </w:rPr>
          <w:tab/>
        </w:r>
        <w:r w:rsidR="008A78E3">
          <w:rPr>
            <w:noProof/>
            <w:webHidden/>
          </w:rPr>
          <w:fldChar w:fldCharType="begin"/>
        </w:r>
        <w:r w:rsidR="008A78E3">
          <w:rPr>
            <w:noProof/>
            <w:webHidden/>
          </w:rPr>
          <w:instrText xml:space="preserve"> PAGEREF _Toc158036676 \h </w:instrText>
        </w:r>
        <w:r w:rsidR="008A78E3">
          <w:rPr>
            <w:noProof/>
            <w:webHidden/>
          </w:rPr>
        </w:r>
        <w:r w:rsidR="008A78E3">
          <w:rPr>
            <w:noProof/>
            <w:webHidden/>
          </w:rPr>
          <w:fldChar w:fldCharType="separate"/>
        </w:r>
        <w:r w:rsidR="008A78E3">
          <w:rPr>
            <w:noProof/>
            <w:webHidden/>
          </w:rPr>
          <w:t>70</w:t>
        </w:r>
        <w:r w:rsidR="008A78E3">
          <w:rPr>
            <w:noProof/>
            <w:webHidden/>
          </w:rPr>
          <w:fldChar w:fldCharType="end"/>
        </w:r>
      </w:hyperlink>
    </w:p>
    <w:p w14:paraId="7FFFE615"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7" w:history="1">
        <w:r w:rsidR="008A78E3" w:rsidRPr="00ED635F">
          <w:rPr>
            <w:rStyle w:val="Hiperhivatkozs"/>
            <w:noProof/>
          </w:rPr>
          <w:t>V.2.1.25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Értékpapírosítás kockázata</w:t>
        </w:r>
        <w:r w:rsidR="008A78E3">
          <w:rPr>
            <w:noProof/>
            <w:webHidden/>
          </w:rPr>
          <w:tab/>
        </w:r>
        <w:r w:rsidR="008A78E3">
          <w:rPr>
            <w:noProof/>
            <w:webHidden/>
          </w:rPr>
          <w:fldChar w:fldCharType="begin"/>
        </w:r>
        <w:r w:rsidR="008A78E3">
          <w:rPr>
            <w:noProof/>
            <w:webHidden/>
          </w:rPr>
          <w:instrText xml:space="preserve"> PAGEREF _Toc158036677 \h </w:instrText>
        </w:r>
        <w:r w:rsidR="008A78E3">
          <w:rPr>
            <w:noProof/>
            <w:webHidden/>
          </w:rPr>
        </w:r>
        <w:r w:rsidR="008A78E3">
          <w:rPr>
            <w:noProof/>
            <w:webHidden/>
          </w:rPr>
          <w:fldChar w:fldCharType="separate"/>
        </w:r>
        <w:r w:rsidR="008A78E3">
          <w:rPr>
            <w:noProof/>
            <w:webHidden/>
          </w:rPr>
          <w:t>71</w:t>
        </w:r>
        <w:r w:rsidR="008A78E3">
          <w:rPr>
            <w:noProof/>
            <w:webHidden/>
          </w:rPr>
          <w:fldChar w:fldCharType="end"/>
        </w:r>
      </w:hyperlink>
    </w:p>
    <w:p w14:paraId="7FFFE616"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8" w:history="1">
        <w:r w:rsidR="008A78E3" w:rsidRPr="00ED635F">
          <w:rPr>
            <w:rStyle w:val="Hiperhivatkozs"/>
            <w:noProof/>
          </w:rPr>
          <w:t>V.2.1.26</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Koncentrációs kockázat</w:t>
        </w:r>
        <w:r w:rsidR="008A78E3">
          <w:rPr>
            <w:noProof/>
            <w:webHidden/>
          </w:rPr>
          <w:tab/>
        </w:r>
        <w:r w:rsidR="008A78E3">
          <w:rPr>
            <w:noProof/>
            <w:webHidden/>
          </w:rPr>
          <w:fldChar w:fldCharType="begin"/>
        </w:r>
        <w:r w:rsidR="008A78E3">
          <w:rPr>
            <w:noProof/>
            <w:webHidden/>
          </w:rPr>
          <w:instrText xml:space="preserve"> PAGEREF _Toc158036678 \h </w:instrText>
        </w:r>
        <w:r w:rsidR="008A78E3">
          <w:rPr>
            <w:noProof/>
            <w:webHidden/>
          </w:rPr>
        </w:r>
        <w:r w:rsidR="008A78E3">
          <w:rPr>
            <w:noProof/>
            <w:webHidden/>
          </w:rPr>
          <w:fldChar w:fldCharType="separate"/>
        </w:r>
        <w:r w:rsidR="008A78E3">
          <w:rPr>
            <w:noProof/>
            <w:webHidden/>
          </w:rPr>
          <w:t>73</w:t>
        </w:r>
        <w:r w:rsidR="008A78E3">
          <w:rPr>
            <w:noProof/>
            <w:webHidden/>
          </w:rPr>
          <w:fldChar w:fldCharType="end"/>
        </w:r>
      </w:hyperlink>
    </w:p>
    <w:p w14:paraId="7FFFE617"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79" w:history="1">
        <w:r w:rsidR="008A78E3" w:rsidRPr="00ED635F">
          <w:rPr>
            <w:rStyle w:val="Hiperhivatkozs"/>
            <w:noProof/>
          </w:rPr>
          <w:t>V.2.1.27</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Országkockázat</w:t>
        </w:r>
        <w:r w:rsidR="008A78E3">
          <w:rPr>
            <w:noProof/>
            <w:webHidden/>
          </w:rPr>
          <w:tab/>
        </w:r>
        <w:r w:rsidR="008A78E3">
          <w:rPr>
            <w:noProof/>
            <w:webHidden/>
          </w:rPr>
          <w:fldChar w:fldCharType="begin"/>
        </w:r>
        <w:r w:rsidR="008A78E3">
          <w:rPr>
            <w:noProof/>
            <w:webHidden/>
          </w:rPr>
          <w:instrText xml:space="preserve"> PAGEREF _Toc158036679 \h </w:instrText>
        </w:r>
        <w:r w:rsidR="008A78E3">
          <w:rPr>
            <w:noProof/>
            <w:webHidden/>
          </w:rPr>
        </w:r>
        <w:r w:rsidR="008A78E3">
          <w:rPr>
            <w:noProof/>
            <w:webHidden/>
          </w:rPr>
          <w:fldChar w:fldCharType="separate"/>
        </w:r>
        <w:r w:rsidR="008A78E3">
          <w:rPr>
            <w:noProof/>
            <w:webHidden/>
          </w:rPr>
          <w:t>79</w:t>
        </w:r>
        <w:r w:rsidR="008A78E3">
          <w:rPr>
            <w:noProof/>
            <w:webHidden/>
          </w:rPr>
          <w:fldChar w:fldCharType="end"/>
        </w:r>
      </w:hyperlink>
    </w:p>
    <w:p w14:paraId="7FFFE618"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80" w:history="1">
        <w:r w:rsidR="008A78E3" w:rsidRPr="00ED635F">
          <w:rPr>
            <w:rStyle w:val="Hiperhivatkozs"/>
            <w:noProof/>
          </w:rPr>
          <w:t>V.2.1.28</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Egyéb eszközök kockázatai</w:t>
        </w:r>
        <w:r w:rsidR="008A78E3">
          <w:rPr>
            <w:noProof/>
            <w:webHidden/>
          </w:rPr>
          <w:tab/>
        </w:r>
        <w:r w:rsidR="008A78E3">
          <w:rPr>
            <w:noProof/>
            <w:webHidden/>
          </w:rPr>
          <w:fldChar w:fldCharType="begin"/>
        </w:r>
        <w:r w:rsidR="008A78E3">
          <w:rPr>
            <w:noProof/>
            <w:webHidden/>
          </w:rPr>
          <w:instrText xml:space="preserve"> PAGEREF _Toc158036680 \h </w:instrText>
        </w:r>
        <w:r w:rsidR="008A78E3">
          <w:rPr>
            <w:noProof/>
            <w:webHidden/>
          </w:rPr>
        </w:r>
        <w:r w:rsidR="008A78E3">
          <w:rPr>
            <w:noProof/>
            <w:webHidden/>
          </w:rPr>
          <w:fldChar w:fldCharType="separate"/>
        </w:r>
        <w:r w:rsidR="008A78E3">
          <w:rPr>
            <w:noProof/>
            <w:webHidden/>
          </w:rPr>
          <w:t>80</w:t>
        </w:r>
        <w:r w:rsidR="008A78E3">
          <w:rPr>
            <w:noProof/>
            <w:webHidden/>
          </w:rPr>
          <w:fldChar w:fldCharType="end"/>
        </w:r>
      </w:hyperlink>
    </w:p>
    <w:p w14:paraId="7FFFE619"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81" w:history="1">
        <w:r w:rsidR="008A78E3" w:rsidRPr="00ED635F">
          <w:rPr>
            <w:rStyle w:val="Hiperhivatkozs"/>
            <w:noProof/>
          </w:rPr>
          <w:t>V.2.1.29</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Hitelkockázati tőkekövetelmény számítása</w:t>
        </w:r>
        <w:r w:rsidR="008A78E3">
          <w:rPr>
            <w:noProof/>
            <w:webHidden/>
          </w:rPr>
          <w:tab/>
        </w:r>
        <w:r w:rsidR="008A78E3">
          <w:rPr>
            <w:noProof/>
            <w:webHidden/>
          </w:rPr>
          <w:fldChar w:fldCharType="begin"/>
        </w:r>
        <w:r w:rsidR="008A78E3">
          <w:rPr>
            <w:noProof/>
            <w:webHidden/>
          </w:rPr>
          <w:instrText xml:space="preserve"> PAGEREF _Toc158036681 \h </w:instrText>
        </w:r>
        <w:r w:rsidR="008A78E3">
          <w:rPr>
            <w:noProof/>
            <w:webHidden/>
          </w:rPr>
        </w:r>
        <w:r w:rsidR="008A78E3">
          <w:rPr>
            <w:noProof/>
            <w:webHidden/>
          </w:rPr>
          <w:fldChar w:fldCharType="separate"/>
        </w:r>
        <w:r w:rsidR="008A78E3">
          <w:rPr>
            <w:noProof/>
            <w:webHidden/>
          </w:rPr>
          <w:t>81</w:t>
        </w:r>
        <w:r w:rsidR="008A78E3">
          <w:rPr>
            <w:noProof/>
            <w:webHidden/>
          </w:rPr>
          <w:fldChar w:fldCharType="end"/>
        </w:r>
      </w:hyperlink>
    </w:p>
    <w:p w14:paraId="7FFFE61A"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82" w:history="1">
        <w:r w:rsidR="008A78E3" w:rsidRPr="00ED635F">
          <w:rPr>
            <w:rStyle w:val="Hiperhivatkozs"/>
            <w:noProof/>
          </w:rPr>
          <w:t>V.2.1.30</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MNB által nyújtott tőkekövetelmény kedvezmények</w:t>
        </w:r>
        <w:r w:rsidR="008A78E3">
          <w:rPr>
            <w:noProof/>
            <w:webHidden/>
          </w:rPr>
          <w:tab/>
        </w:r>
        <w:r w:rsidR="008A78E3">
          <w:rPr>
            <w:noProof/>
            <w:webHidden/>
          </w:rPr>
          <w:fldChar w:fldCharType="begin"/>
        </w:r>
        <w:r w:rsidR="008A78E3">
          <w:rPr>
            <w:noProof/>
            <w:webHidden/>
          </w:rPr>
          <w:instrText xml:space="preserve"> PAGEREF _Toc158036682 \h </w:instrText>
        </w:r>
        <w:r w:rsidR="008A78E3">
          <w:rPr>
            <w:noProof/>
            <w:webHidden/>
          </w:rPr>
        </w:r>
        <w:r w:rsidR="008A78E3">
          <w:rPr>
            <w:noProof/>
            <w:webHidden/>
          </w:rPr>
          <w:fldChar w:fldCharType="separate"/>
        </w:r>
        <w:r w:rsidR="008A78E3">
          <w:rPr>
            <w:noProof/>
            <w:webHidden/>
          </w:rPr>
          <w:t>81</w:t>
        </w:r>
        <w:r w:rsidR="008A78E3">
          <w:rPr>
            <w:noProof/>
            <w:webHidden/>
          </w:rPr>
          <w:fldChar w:fldCharType="end"/>
        </w:r>
      </w:hyperlink>
    </w:p>
    <w:p w14:paraId="7FFFE61B"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83" w:history="1">
        <w:r w:rsidR="008A78E3" w:rsidRPr="00ED635F">
          <w:rPr>
            <w:rStyle w:val="Hiperhivatkozs"/>
            <w:noProof/>
          </w:rPr>
          <w:t>V.2.1.31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Veszteségplafon mellett nyújtott (viszont)garancia tőkekövetelmény csökkentő hatásának érvényesítése</w:t>
        </w:r>
        <w:r w:rsidR="008A78E3">
          <w:rPr>
            <w:noProof/>
            <w:webHidden/>
          </w:rPr>
          <w:tab/>
        </w:r>
        <w:r w:rsidR="008A78E3">
          <w:rPr>
            <w:noProof/>
            <w:webHidden/>
          </w:rPr>
          <w:fldChar w:fldCharType="begin"/>
        </w:r>
        <w:r w:rsidR="008A78E3">
          <w:rPr>
            <w:noProof/>
            <w:webHidden/>
          </w:rPr>
          <w:instrText xml:space="preserve"> PAGEREF _Toc158036683 \h </w:instrText>
        </w:r>
        <w:r w:rsidR="008A78E3">
          <w:rPr>
            <w:noProof/>
            <w:webHidden/>
          </w:rPr>
        </w:r>
        <w:r w:rsidR="008A78E3">
          <w:rPr>
            <w:noProof/>
            <w:webHidden/>
          </w:rPr>
          <w:fldChar w:fldCharType="separate"/>
        </w:r>
        <w:r w:rsidR="008A78E3">
          <w:rPr>
            <w:noProof/>
            <w:webHidden/>
          </w:rPr>
          <w:t>84</w:t>
        </w:r>
        <w:r w:rsidR="008A78E3">
          <w:rPr>
            <w:noProof/>
            <w:webHidden/>
          </w:rPr>
          <w:fldChar w:fldCharType="end"/>
        </w:r>
      </w:hyperlink>
    </w:p>
    <w:p w14:paraId="7FFFE61C"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4" w:history="1">
        <w:r w:rsidR="008A78E3" w:rsidRPr="00ED635F">
          <w:rPr>
            <w:rStyle w:val="Hiperhivatkozs"/>
            <w:noProof/>
          </w:rPr>
          <w:t>V.2.2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Működési jellegű kockázatok</w:t>
        </w:r>
        <w:r w:rsidR="008A78E3">
          <w:rPr>
            <w:noProof/>
            <w:webHidden/>
          </w:rPr>
          <w:tab/>
        </w:r>
        <w:r w:rsidR="008A78E3">
          <w:rPr>
            <w:noProof/>
            <w:webHidden/>
          </w:rPr>
          <w:fldChar w:fldCharType="begin"/>
        </w:r>
        <w:r w:rsidR="008A78E3">
          <w:rPr>
            <w:noProof/>
            <w:webHidden/>
          </w:rPr>
          <w:instrText xml:space="preserve"> PAGEREF _Toc158036684 \h </w:instrText>
        </w:r>
        <w:r w:rsidR="008A78E3">
          <w:rPr>
            <w:noProof/>
            <w:webHidden/>
          </w:rPr>
        </w:r>
        <w:r w:rsidR="008A78E3">
          <w:rPr>
            <w:noProof/>
            <w:webHidden/>
          </w:rPr>
          <w:fldChar w:fldCharType="separate"/>
        </w:r>
        <w:r w:rsidR="008A78E3">
          <w:rPr>
            <w:noProof/>
            <w:webHidden/>
          </w:rPr>
          <w:t>84</w:t>
        </w:r>
        <w:r w:rsidR="008A78E3">
          <w:rPr>
            <w:noProof/>
            <w:webHidden/>
          </w:rPr>
          <w:fldChar w:fldCharType="end"/>
        </w:r>
      </w:hyperlink>
    </w:p>
    <w:p w14:paraId="7FFFE61D"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5" w:history="1">
        <w:r w:rsidR="008A78E3" w:rsidRPr="00ED635F">
          <w:rPr>
            <w:rStyle w:val="Hiperhivatkozs"/>
            <w:noProof/>
          </w:rPr>
          <w:t xml:space="preserve">V.2.2.1 </w:t>
        </w:r>
        <w:r w:rsidR="008A78E3" w:rsidRPr="00ED635F">
          <w:rPr>
            <w:rStyle w:val="Hiperhivatkozs"/>
            <w:iCs/>
            <w:noProof/>
          </w:rPr>
          <w:t>Működési kockázat</w:t>
        </w:r>
        <w:r w:rsidR="008A78E3">
          <w:rPr>
            <w:noProof/>
            <w:webHidden/>
          </w:rPr>
          <w:tab/>
        </w:r>
        <w:r w:rsidR="008A78E3">
          <w:rPr>
            <w:noProof/>
            <w:webHidden/>
          </w:rPr>
          <w:fldChar w:fldCharType="begin"/>
        </w:r>
        <w:r w:rsidR="008A78E3">
          <w:rPr>
            <w:noProof/>
            <w:webHidden/>
          </w:rPr>
          <w:instrText xml:space="preserve"> PAGEREF _Toc158036685 \h </w:instrText>
        </w:r>
        <w:r w:rsidR="008A78E3">
          <w:rPr>
            <w:noProof/>
            <w:webHidden/>
          </w:rPr>
        </w:r>
        <w:r w:rsidR="008A78E3">
          <w:rPr>
            <w:noProof/>
            <w:webHidden/>
          </w:rPr>
          <w:fldChar w:fldCharType="separate"/>
        </w:r>
        <w:r w:rsidR="008A78E3">
          <w:rPr>
            <w:noProof/>
            <w:webHidden/>
          </w:rPr>
          <w:t>84</w:t>
        </w:r>
        <w:r w:rsidR="008A78E3">
          <w:rPr>
            <w:noProof/>
            <w:webHidden/>
          </w:rPr>
          <w:fldChar w:fldCharType="end"/>
        </w:r>
      </w:hyperlink>
    </w:p>
    <w:p w14:paraId="7FFFE61E"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6" w:history="1">
        <w:r w:rsidR="008A78E3" w:rsidRPr="00ED635F">
          <w:rPr>
            <w:rStyle w:val="Hiperhivatkozs"/>
            <w:noProof/>
          </w:rPr>
          <w:t>V.2.2.1.1 Jogi kockázatok és az üzletvitel kockázata</w:t>
        </w:r>
        <w:r w:rsidR="008A78E3">
          <w:rPr>
            <w:noProof/>
            <w:webHidden/>
          </w:rPr>
          <w:tab/>
        </w:r>
        <w:r w:rsidR="008A78E3">
          <w:rPr>
            <w:noProof/>
            <w:webHidden/>
          </w:rPr>
          <w:fldChar w:fldCharType="begin"/>
        </w:r>
        <w:r w:rsidR="008A78E3">
          <w:rPr>
            <w:noProof/>
            <w:webHidden/>
          </w:rPr>
          <w:instrText xml:space="preserve"> PAGEREF _Toc158036686 \h </w:instrText>
        </w:r>
        <w:r w:rsidR="008A78E3">
          <w:rPr>
            <w:noProof/>
            <w:webHidden/>
          </w:rPr>
        </w:r>
        <w:r w:rsidR="008A78E3">
          <w:rPr>
            <w:noProof/>
            <w:webHidden/>
          </w:rPr>
          <w:fldChar w:fldCharType="separate"/>
        </w:r>
        <w:r w:rsidR="008A78E3">
          <w:rPr>
            <w:noProof/>
            <w:webHidden/>
          </w:rPr>
          <w:t>91</w:t>
        </w:r>
        <w:r w:rsidR="008A78E3">
          <w:rPr>
            <w:noProof/>
            <w:webHidden/>
          </w:rPr>
          <w:fldChar w:fldCharType="end"/>
        </w:r>
      </w:hyperlink>
    </w:p>
    <w:p w14:paraId="7FFFE61F"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7" w:history="1">
        <w:r w:rsidR="008A78E3" w:rsidRPr="00ED635F">
          <w:rPr>
            <w:rStyle w:val="Hiperhivatkozs"/>
            <w:noProof/>
          </w:rPr>
          <w:t>V.2.2.1. ICAAP felülvizsgálat</w:t>
        </w:r>
        <w:r w:rsidR="008A78E3">
          <w:rPr>
            <w:noProof/>
            <w:webHidden/>
          </w:rPr>
          <w:tab/>
        </w:r>
        <w:r w:rsidR="008A78E3">
          <w:rPr>
            <w:noProof/>
            <w:webHidden/>
          </w:rPr>
          <w:fldChar w:fldCharType="begin"/>
        </w:r>
        <w:r w:rsidR="008A78E3">
          <w:rPr>
            <w:noProof/>
            <w:webHidden/>
          </w:rPr>
          <w:instrText xml:space="preserve"> PAGEREF _Toc158036687 \h </w:instrText>
        </w:r>
        <w:r w:rsidR="008A78E3">
          <w:rPr>
            <w:noProof/>
            <w:webHidden/>
          </w:rPr>
        </w:r>
        <w:r w:rsidR="008A78E3">
          <w:rPr>
            <w:noProof/>
            <w:webHidden/>
          </w:rPr>
          <w:fldChar w:fldCharType="separate"/>
        </w:r>
        <w:r w:rsidR="008A78E3">
          <w:rPr>
            <w:noProof/>
            <w:webHidden/>
          </w:rPr>
          <w:t>94</w:t>
        </w:r>
        <w:r w:rsidR="008A78E3">
          <w:rPr>
            <w:noProof/>
            <w:webHidden/>
          </w:rPr>
          <w:fldChar w:fldCharType="end"/>
        </w:r>
      </w:hyperlink>
    </w:p>
    <w:p w14:paraId="7FFFE620"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8" w:history="1">
        <w:r w:rsidR="008A78E3" w:rsidRPr="00ED635F">
          <w:rPr>
            <w:rStyle w:val="Hiperhivatkozs"/>
            <w:noProof/>
          </w:rPr>
          <w:t>V.2.2.2 Reputációs kockázat</w:t>
        </w:r>
        <w:r w:rsidR="008A78E3">
          <w:rPr>
            <w:noProof/>
            <w:webHidden/>
          </w:rPr>
          <w:tab/>
        </w:r>
        <w:r w:rsidR="008A78E3">
          <w:rPr>
            <w:noProof/>
            <w:webHidden/>
          </w:rPr>
          <w:fldChar w:fldCharType="begin"/>
        </w:r>
        <w:r w:rsidR="008A78E3">
          <w:rPr>
            <w:noProof/>
            <w:webHidden/>
          </w:rPr>
          <w:instrText xml:space="preserve"> PAGEREF _Toc158036688 \h </w:instrText>
        </w:r>
        <w:r w:rsidR="008A78E3">
          <w:rPr>
            <w:noProof/>
            <w:webHidden/>
          </w:rPr>
        </w:r>
        <w:r w:rsidR="008A78E3">
          <w:rPr>
            <w:noProof/>
            <w:webHidden/>
          </w:rPr>
          <w:fldChar w:fldCharType="separate"/>
        </w:r>
        <w:r w:rsidR="008A78E3">
          <w:rPr>
            <w:noProof/>
            <w:webHidden/>
          </w:rPr>
          <w:t>95</w:t>
        </w:r>
        <w:r w:rsidR="008A78E3">
          <w:rPr>
            <w:noProof/>
            <w:webHidden/>
          </w:rPr>
          <w:fldChar w:fldCharType="end"/>
        </w:r>
      </w:hyperlink>
    </w:p>
    <w:p w14:paraId="7FFFE621"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89" w:history="1">
        <w:r w:rsidR="008A78E3" w:rsidRPr="00ED635F">
          <w:rPr>
            <w:rStyle w:val="Hiperhivatkozs"/>
            <w:noProof/>
          </w:rPr>
          <w:t>V.2.3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Piaci kockázat</w:t>
        </w:r>
        <w:r w:rsidR="008A78E3">
          <w:rPr>
            <w:noProof/>
            <w:webHidden/>
          </w:rPr>
          <w:tab/>
        </w:r>
        <w:r w:rsidR="008A78E3">
          <w:rPr>
            <w:noProof/>
            <w:webHidden/>
          </w:rPr>
          <w:fldChar w:fldCharType="begin"/>
        </w:r>
        <w:r w:rsidR="008A78E3">
          <w:rPr>
            <w:noProof/>
            <w:webHidden/>
          </w:rPr>
          <w:instrText xml:space="preserve"> PAGEREF _Toc158036689 \h </w:instrText>
        </w:r>
        <w:r w:rsidR="008A78E3">
          <w:rPr>
            <w:noProof/>
            <w:webHidden/>
          </w:rPr>
        </w:r>
        <w:r w:rsidR="008A78E3">
          <w:rPr>
            <w:noProof/>
            <w:webHidden/>
          </w:rPr>
          <w:fldChar w:fldCharType="separate"/>
        </w:r>
        <w:r w:rsidR="008A78E3">
          <w:rPr>
            <w:noProof/>
            <w:webHidden/>
          </w:rPr>
          <w:t>97</w:t>
        </w:r>
        <w:r w:rsidR="008A78E3">
          <w:rPr>
            <w:noProof/>
            <w:webHidden/>
          </w:rPr>
          <w:fldChar w:fldCharType="end"/>
        </w:r>
      </w:hyperlink>
    </w:p>
    <w:p w14:paraId="7FFFE622"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0" w:history="1">
        <w:r w:rsidR="008A78E3" w:rsidRPr="00ED635F">
          <w:rPr>
            <w:rStyle w:val="Hiperhivatkozs"/>
            <w:iCs/>
            <w:noProof/>
          </w:rPr>
          <w:t>V.2.4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iCs/>
            <w:noProof/>
          </w:rPr>
          <w:t>Banki könyv kamatlábkockázata</w:t>
        </w:r>
        <w:r w:rsidR="008A78E3">
          <w:rPr>
            <w:noProof/>
            <w:webHidden/>
          </w:rPr>
          <w:tab/>
        </w:r>
        <w:r w:rsidR="008A78E3">
          <w:rPr>
            <w:noProof/>
            <w:webHidden/>
          </w:rPr>
          <w:fldChar w:fldCharType="begin"/>
        </w:r>
        <w:r w:rsidR="008A78E3">
          <w:rPr>
            <w:noProof/>
            <w:webHidden/>
          </w:rPr>
          <w:instrText xml:space="preserve"> PAGEREF _Toc158036690 \h </w:instrText>
        </w:r>
        <w:r w:rsidR="008A78E3">
          <w:rPr>
            <w:noProof/>
            <w:webHidden/>
          </w:rPr>
        </w:r>
        <w:r w:rsidR="008A78E3">
          <w:rPr>
            <w:noProof/>
            <w:webHidden/>
          </w:rPr>
          <w:fldChar w:fldCharType="separate"/>
        </w:r>
        <w:r w:rsidR="008A78E3">
          <w:rPr>
            <w:noProof/>
            <w:webHidden/>
          </w:rPr>
          <w:t>102</w:t>
        </w:r>
        <w:r w:rsidR="008A78E3">
          <w:rPr>
            <w:noProof/>
            <w:webHidden/>
          </w:rPr>
          <w:fldChar w:fldCharType="end"/>
        </w:r>
      </w:hyperlink>
    </w:p>
    <w:p w14:paraId="7FFFE623"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1" w:history="1">
        <w:r w:rsidR="008A78E3" w:rsidRPr="00ED635F">
          <w:rPr>
            <w:rStyle w:val="Hiperhivatkozs"/>
            <w:noProof/>
          </w:rPr>
          <w:t>V.2.5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Modellkockázat</w:t>
        </w:r>
        <w:r w:rsidR="008A78E3">
          <w:rPr>
            <w:noProof/>
            <w:webHidden/>
          </w:rPr>
          <w:tab/>
        </w:r>
        <w:r w:rsidR="008A78E3">
          <w:rPr>
            <w:noProof/>
            <w:webHidden/>
          </w:rPr>
          <w:fldChar w:fldCharType="begin"/>
        </w:r>
        <w:r w:rsidR="008A78E3">
          <w:rPr>
            <w:noProof/>
            <w:webHidden/>
          </w:rPr>
          <w:instrText xml:space="preserve"> PAGEREF _Toc158036691 \h </w:instrText>
        </w:r>
        <w:r w:rsidR="008A78E3">
          <w:rPr>
            <w:noProof/>
            <w:webHidden/>
          </w:rPr>
        </w:r>
        <w:r w:rsidR="008A78E3">
          <w:rPr>
            <w:noProof/>
            <w:webHidden/>
          </w:rPr>
          <w:fldChar w:fldCharType="separate"/>
        </w:r>
        <w:r w:rsidR="008A78E3">
          <w:rPr>
            <w:noProof/>
            <w:webHidden/>
          </w:rPr>
          <w:t>110</w:t>
        </w:r>
        <w:r w:rsidR="008A78E3">
          <w:rPr>
            <w:noProof/>
            <w:webHidden/>
          </w:rPr>
          <w:fldChar w:fldCharType="end"/>
        </w:r>
      </w:hyperlink>
    </w:p>
    <w:p w14:paraId="7FFFE624"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2" w:history="1">
        <w:r w:rsidR="008A78E3" w:rsidRPr="00ED635F">
          <w:rPr>
            <w:rStyle w:val="Hiperhivatkozs"/>
            <w:iCs/>
            <w:noProof/>
          </w:rPr>
          <w:t>V.2.6</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iCs/>
            <w:noProof/>
          </w:rPr>
          <w:t>Kockázatos portfóliók</w:t>
        </w:r>
        <w:r w:rsidR="008A78E3">
          <w:rPr>
            <w:noProof/>
            <w:webHidden/>
          </w:rPr>
          <w:tab/>
        </w:r>
        <w:r w:rsidR="008A78E3">
          <w:rPr>
            <w:noProof/>
            <w:webHidden/>
          </w:rPr>
          <w:fldChar w:fldCharType="begin"/>
        </w:r>
        <w:r w:rsidR="008A78E3">
          <w:rPr>
            <w:noProof/>
            <w:webHidden/>
          </w:rPr>
          <w:instrText xml:space="preserve"> PAGEREF _Toc158036692 \h </w:instrText>
        </w:r>
        <w:r w:rsidR="008A78E3">
          <w:rPr>
            <w:noProof/>
            <w:webHidden/>
          </w:rPr>
        </w:r>
        <w:r w:rsidR="008A78E3">
          <w:rPr>
            <w:noProof/>
            <w:webHidden/>
          </w:rPr>
          <w:fldChar w:fldCharType="separate"/>
        </w:r>
        <w:r w:rsidR="008A78E3">
          <w:rPr>
            <w:noProof/>
            <w:webHidden/>
          </w:rPr>
          <w:t>112</w:t>
        </w:r>
        <w:r w:rsidR="008A78E3">
          <w:rPr>
            <w:noProof/>
            <w:webHidden/>
          </w:rPr>
          <w:fldChar w:fldCharType="end"/>
        </w:r>
      </w:hyperlink>
    </w:p>
    <w:p w14:paraId="7FFFE625"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3" w:history="1">
        <w:r w:rsidR="008A78E3" w:rsidRPr="00ED635F">
          <w:rPr>
            <w:rStyle w:val="Hiperhivatkozs"/>
            <w:iCs/>
            <w:noProof/>
          </w:rPr>
          <w:t>V.2.7</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iCs/>
            <w:noProof/>
          </w:rPr>
          <w:t>A túlzott tőkeáttételi kockázat</w:t>
        </w:r>
        <w:r w:rsidR="008A78E3">
          <w:rPr>
            <w:noProof/>
            <w:webHidden/>
          </w:rPr>
          <w:tab/>
        </w:r>
        <w:r w:rsidR="008A78E3">
          <w:rPr>
            <w:noProof/>
            <w:webHidden/>
          </w:rPr>
          <w:fldChar w:fldCharType="begin"/>
        </w:r>
        <w:r w:rsidR="008A78E3">
          <w:rPr>
            <w:noProof/>
            <w:webHidden/>
          </w:rPr>
          <w:instrText xml:space="preserve"> PAGEREF _Toc158036693 \h </w:instrText>
        </w:r>
        <w:r w:rsidR="008A78E3">
          <w:rPr>
            <w:noProof/>
            <w:webHidden/>
          </w:rPr>
        </w:r>
        <w:r w:rsidR="008A78E3">
          <w:rPr>
            <w:noProof/>
            <w:webHidden/>
          </w:rPr>
          <w:fldChar w:fldCharType="separate"/>
        </w:r>
        <w:r w:rsidR="008A78E3">
          <w:rPr>
            <w:noProof/>
            <w:webHidden/>
          </w:rPr>
          <w:t>112</w:t>
        </w:r>
        <w:r w:rsidR="008A78E3">
          <w:rPr>
            <w:noProof/>
            <w:webHidden/>
          </w:rPr>
          <w:fldChar w:fldCharType="end"/>
        </w:r>
      </w:hyperlink>
    </w:p>
    <w:p w14:paraId="7FFFE626"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4" w:history="1">
        <w:r w:rsidR="008A78E3" w:rsidRPr="00ED635F">
          <w:rPr>
            <w:rStyle w:val="Hiperhivatkozs"/>
            <w:iCs/>
            <w:noProof/>
          </w:rPr>
          <w:t>V.2.8</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iCs/>
            <w:noProof/>
          </w:rPr>
          <w:t>Egyéb lényeges kockázatok</w:t>
        </w:r>
        <w:r w:rsidR="008A78E3">
          <w:rPr>
            <w:noProof/>
            <w:webHidden/>
          </w:rPr>
          <w:tab/>
        </w:r>
        <w:r w:rsidR="008A78E3">
          <w:rPr>
            <w:noProof/>
            <w:webHidden/>
          </w:rPr>
          <w:fldChar w:fldCharType="begin"/>
        </w:r>
        <w:r w:rsidR="008A78E3">
          <w:rPr>
            <w:noProof/>
            <w:webHidden/>
          </w:rPr>
          <w:instrText xml:space="preserve"> PAGEREF _Toc158036694 \h </w:instrText>
        </w:r>
        <w:r w:rsidR="008A78E3">
          <w:rPr>
            <w:noProof/>
            <w:webHidden/>
          </w:rPr>
        </w:r>
        <w:r w:rsidR="008A78E3">
          <w:rPr>
            <w:noProof/>
            <w:webHidden/>
          </w:rPr>
          <w:fldChar w:fldCharType="separate"/>
        </w:r>
        <w:r w:rsidR="008A78E3">
          <w:rPr>
            <w:noProof/>
            <w:webHidden/>
          </w:rPr>
          <w:t>113</w:t>
        </w:r>
        <w:r w:rsidR="008A78E3">
          <w:rPr>
            <w:noProof/>
            <w:webHidden/>
          </w:rPr>
          <w:fldChar w:fldCharType="end"/>
        </w:r>
      </w:hyperlink>
    </w:p>
    <w:p w14:paraId="7FFFE627"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695" w:history="1">
        <w:r w:rsidR="008A78E3" w:rsidRPr="00ED635F">
          <w:rPr>
            <w:rStyle w:val="Hiperhivatkozs"/>
            <w:noProof/>
          </w:rPr>
          <w:t>V.2.8.1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Szabályozói környezetből adódó kockázat</w:t>
        </w:r>
        <w:r w:rsidR="008A78E3">
          <w:rPr>
            <w:noProof/>
            <w:webHidden/>
          </w:rPr>
          <w:tab/>
        </w:r>
        <w:r w:rsidR="008A78E3">
          <w:rPr>
            <w:noProof/>
            <w:webHidden/>
          </w:rPr>
          <w:fldChar w:fldCharType="begin"/>
        </w:r>
        <w:r w:rsidR="008A78E3">
          <w:rPr>
            <w:noProof/>
            <w:webHidden/>
          </w:rPr>
          <w:instrText xml:space="preserve"> PAGEREF _Toc158036695 \h </w:instrText>
        </w:r>
        <w:r w:rsidR="008A78E3">
          <w:rPr>
            <w:noProof/>
            <w:webHidden/>
          </w:rPr>
        </w:r>
        <w:r w:rsidR="008A78E3">
          <w:rPr>
            <w:noProof/>
            <w:webHidden/>
          </w:rPr>
          <w:fldChar w:fldCharType="separate"/>
        </w:r>
        <w:r w:rsidR="008A78E3">
          <w:rPr>
            <w:noProof/>
            <w:webHidden/>
          </w:rPr>
          <w:t>113</w:t>
        </w:r>
        <w:r w:rsidR="008A78E3">
          <w:rPr>
            <w:noProof/>
            <w:webHidden/>
          </w:rPr>
          <w:fldChar w:fldCharType="end"/>
        </w:r>
      </w:hyperlink>
    </w:p>
    <w:p w14:paraId="7FFFE628"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696" w:history="1">
        <w:r w:rsidR="008A78E3" w:rsidRPr="00ED635F">
          <w:rPr>
            <w:rStyle w:val="Hiperhivatkozs"/>
          </w:rPr>
          <w:t>V.3</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Stressztesztek</w:t>
        </w:r>
        <w:r w:rsidR="008A78E3">
          <w:rPr>
            <w:webHidden/>
          </w:rPr>
          <w:tab/>
        </w:r>
        <w:r w:rsidR="008A78E3">
          <w:rPr>
            <w:webHidden/>
          </w:rPr>
          <w:fldChar w:fldCharType="begin"/>
        </w:r>
        <w:r w:rsidR="008A78E3">
          <w:rPr>
            <w:webHidden/>
          </w:rPr>
          <w:instrText xml:space="preserve"> PAGEREF _Toc158036696 \h </w:instrText>
        </w:r>
        <w:r w:rsidR="008A78E3">
          <w:rPr>
            <w:webHidden/>
          </w:rPr>
        </w:r>
        <w:r w:rsidR="008A78E3">
          <w:rPr>
            <w:webHidden/>
          </w:rPr>
          <w:fldChar w:fldCharType="separate"/>
        </w:r>
        <w:r w:rsidR="008A78E3">
          <w:rPr>
            <w:webHidden/>
          </w:rPr>
          <w:t>114</w:t>
        </w:r>
        <w:r w:rsidR="008A78E3">
          <w:rPr>
            <w:webHidden/>
          </w:rPr>
          <w:fldChar w:fldCharType="end"/>
        </w:r>
      </w:hyperlink>
    </w:p>
    <w:p w14:paraId="7FFFE629"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7" w:history="1">
        <w:r w:rsidR="008A78E3" w:rsidRPr="00ED635F">
          <w:rPr>
            <w:rStyle w:val="Hiperhivatkozs"/>
            <w:noProof/>
          </w:rPr>
          <w:t>V.3.1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alkalmazott kockázati modellek megbízhatósága</w:t>
        </w:r>
        <w:r w:rsidR="008A78E3">
          <w:rPr>
            <w:noProof/>
            <w:webHidden/>
          </w:rPr>
          <w:tab/>
        </w:r>
        <w:r w:rsidR="008A78E3">
          <w:rPr>
            <w:noProof/>
            <w:webHidden/>
          </w:rPr>
          <w:fldChar w:fldCharType="begin"/>
        </w:r>
        <w:r w:rsidR="008A78E3">
          <w:rPr>
            <w:noProof/>
            <w:webHidden/>
          </w:rPr>
          <w:instrText xml:space="preserve"> PAGEREF _Toc158036697 \h </w:instrText>
        </w:r>
        <w:r w:rsidR="008A78E3">
          <w:rPr>
            <w:noProof/>
            <w:webHidden/>
          </w:rPr>
        </w:r>
        <w:r w:rsidR="008A78E3">
          <w:rPr>
            <w:noProof/>
            <w:webHidden/>
          </w:rPr>
          <w:fldChar w:fldCharType="separate"/>
        </w:r>
        <w:r w:rsidR="008A78E3">
          <w:rPr>
            <w:noProof/>
            <w:webHidden/>
          </w:rPr>
          <w:t>116</w:t>
        </w:r>
        <w:r w:rsidR="008A78E3">
          <w:rPr>
            <w:noProof/>
            <w:webHidden/>
          </w:rPr>
          <w:fldChar w:fldCharType="end"/>
        </w:r>
      </w:hyperlink>
    </w:p>
    <w:p w14:paraId="7FFFE62A"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8" w:history="1">
        <w:r w:rsidR="008A78E3" w:rsidRPr="00ED635F">
          <w:rPr>
            <w:rStyle w:val="Hiperhivatkozs"/>
            <w:noProof/>
          </w:rPr>
          <w:t>V.3.2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Integrált kockázatkezelési szemlélet érvényesítése</w:t>
        </w:r>
        <w:r w:rsidR="008A78E3">
          <w:rPr>
            <w:noProof/>
            <w:webHidden/>
          </w:rPr>
          <w:tab/>
        </w:r>
        <w:r w:rsidR="008A78E3">
          <w:rPr>
            <w:noProof/>
            <w:webHidden/>
          </w:rPr>
          <w:fldChar w:fldCharType="begin"/>
        </w:r>
        <w:r w:rsidR="008A78E3">
          <w:rPr>
            <w:noProof/>
            <w:webHidden/>
          </w:rPr>
          <w:instrText xml:space="preserve"> PAGEREF _Toc158036698 \h </w:instrText>
        </w:r>
        <w:r w:rsidR="008A78E3">
          <w:rPr>
            <w:noProof/>
            <w:webHidden/>
          </w:rPr>
        </w:r>
        <w:r w:rsidR="008A78E3">
          <w:rPr>
            <w:noProof/>
            <w:webHidden/>
          </w:rPr>
          <w:fldChar w:fldCharType="separate"/>
        </w:r>
        <w:r w:rsidR="008A78E3">
          <w:rPr>
            <w:noProof/>
            <w:webHidden/>
          </w:rPr>
          <w:t>117</w:t>
        </w:r>
        <w:r w:rsidR="008A78E3">
          <w:rPr>
            <w:noProof/>
            <w:webHidden/>
          </w:rPr>
          <w:fldChar w:fldCharType="end"/>
        </w:r>
      </w:hyperlink>
    </w:p>
    <w:p w14:paraId="7FFFE62B"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699" w:history="1">
        <w:r w:rsidR="008A78E3" w:rsidRPr="00ED635F">
          <w:rPr>
            <w:rStyle w:val="Hiperhivatkozs"/>
            <w:noProof/>
          </w:rPr>
          <w:t>V.3.3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Felügyeleti minimumkövetelmények az intézmények belső stressztesztjére vonatkozóan</w:t>
        </w:r>
        <w:r w:rsidR="008A78E3">
          <w:rPr>
            <w:noProof/>
            <w:webHidden/>
          </w:rPr>
          <w:tab/>
        </w:r>
        <w:r w:rsidR="008A78E3">
          <w:rPr>
            <w:noProof/>
            <w:webHidden/>
          </w:rPr>
          <w:tab/>
        </w:r>
        <w:r w:rsidR="008A78E3">
          <w:rPr>
            <w:noProof/>
            <w:webHidden/>
          </w:rPr>
          <w:fldChar w:fldCharType="begin"/>
        </w:r>
        <w:r w:rsidR="008A78E3">
          <w:rPr>
            <w:noProof/>
            <w:webHidden/>
          </w:rPr>
          <w:instrText xml:space="preserve"> PAGEREF _Toc158036699 \h </w:instrText>
        </w:r>
        <w:r w:rsidR="008A78E3">
          <w:rPr>
            <w:noProof/>
            <w:webHidden/>
          </w:rPr>
        </w:r>
        <w:r w:rsidR="008A78E3">
          <w:rPr>
            <w:noProof/>
            <w:webHidden/>
          </w:rPr>
          <w:fldChar w:fldCharType="separate"/>
        </w:r>
        <w:r w:rsidR="008A78E3">
          <w:rPr>
            <w:noProof/>
            <w:webHidden/>
          </w:rPr>
          <w:t>117</w:t>
        </w:r>
        <w:r w:rsidR="008A78E3">
          <w:rPr>
            <w:noProof/>
            <w:webHidden/>
          </w:rPr>
          <w:fldChar w:fldCharType="end"/>
        </w:r>
      </w:hyperlink>
    </w:p>
    <w:p w14:paraId="7FFFE62C"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00" w:history="1">
        <w:r w:rsidR="008A78E3" w:rsidRPr="00ED635F">
          <w:rPr>
            <w:rStyle w:val="Hiperhivatkozs"/>
            <w:noProof/>
          </w:rPr>
          <w:t>V.3.4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Arányosság elvének gyakorlati megjelenése kis intézmények esetén</w:t>
        </w:r>
        <w:r w:rsidR="008A78E3">
          <w:rPr>
            <w:noProof/>
            <w:webHidden/>
          </w:rPr>
          <w:tab/>
        </w:r>
        <w:r w:rsidR="008A78E3">
          <w:rPr>
            <w:noProof/>
            <w:webHidden/>
          </w:rPr>
          <w:fldChar w:fldCharType="begin"/>
        </w:r>
        <w:r w:rsidR="008A78E3">
          <w:rPr>
            <w:noProof/>
            <w:webHidden/>
          </w:rPr>
          <w:instrText xml:space="preserve"> PAGEREF _Toc158036700 \h </w:instrText>
        </w:r>
        <w:r w:rsidR="008A78E3">
          <w:rPr>
            <w:noProof/>
            <w:webHidden/>
          </w:rPr>
        </w:r>
        <w:r w:rsidR="008A78E3">
          <w:rPr>
            <w:noProof/>
            <w:webHidden/>
          </w:rPr>
          <w:fldChar w:fldCharType="separate"/>
        </w:r>
        <w:r w:rsidR="008A78E3">
          <w:rPr>
            <w:noProof/>
            <w:webHidden/>
          </w:rPr>
          <w:t>119</w:t>
        </w:r>
        <w:r w:rsidR="008A78E3">
          <w:rPr>
            <w:noProof/>
            <w:webHidden/>
          </w:rPr>
          <w:fldChar w:fldCharType="end"/>
        </w:r>
      </w:hyperlink>
    </w:p>
    <w:p w14:paraId="7FFFE62D"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01" w:history="1">
        <w:r w:rsidR="008A78E3" w:rsidRPr="00ED635F">
          <w:rPr>
            <w:rStyle w:val="Hiperhivatkozs"/>
          </w:rPr>
          <w:t>V.4</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Felügyeleti tőkeajánlás (P2G) meghatározásához használt stresszteszt keretrendszer bemutatása</w:t>
        </w:r>
        <w:r w:rsidR="008A78E3">
          <w:rPr>
            <w:webHidden/>
          </w:rPr>
          <w:tab/>
        </w:r>
        <w:r w:rsidR="008A78E3">
          <w:rPr>
            <w:webHidden/>
          </w:rPr>
          <w:fldChar w:fldCharType="begin"/>
        </w:r>
        <w:r w:rsidR="008A78E3">
          <w:rPr>
            <w:webHidden/>
          </w:rPr>
          <w:instrText xml:space="preserve"> PAGEREF _Toc158036701 \h </w:instrText>
        </w:r>
        <w:r w:rsidR="008A78E3">
          <w:rPr>
            <w:webHidden/>
          </w:rPr>
        </w:r>
        <w:r w:rsidR="008A78E3">
          <w:rPr>
            <w:webHidden/>
          </w:rPr>
          <w:fldChar w:fldCharType="separate"/>
        </w:r>
        <w:r w:rsidR="008A78E3">
          <w:rPr>
            <w:webHidden/>
          </w:rPr>
          <w:t>120</w:t>
        </w:r>
        <w:r w:rsidR="008A78E3">
          <w:rPr>
            <w:webHidden/>
          </w:rPr>
          <w:fldChar w:fldCharType="end"/>
        </w:r>
      </w:hyperlink>
    </w:p>
    <w:p w14:paraId="7FFFE62E"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02" w:history="1">
        <w:r w:rsidR="008A78E3" w:rsidRPr="00ED635F">
          <w:rPr>
            <w:rStyle w:val="Hiperhivatkozs"/>
          </w:rPr>
          <w:t>V.5</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túlzott tőkeáttétel kockázatára vonatkozó 2. pillér szerinti tőkeajánlás (P2G-LR)</w:t>
        </w:r>
        <w:r w:rsidR="008A78E3">
          <w:rPr>
            <w:webHidden/>
          </w:rPr>
          <w:tab/>
        </w:r>
        <w:r w:rsidR="008A78E3">
          <w:rPr>
            <w:webHidden/>
          </w:rPr>
          <w:fldChar w:fldCharType="begin"/>
        </w:r>
        <w:r w:rsidR="008A78E3">
          <w:rPr>
            <w:webHidden/>
          </w:rPr>
          <w:instrText xml:space="preserve"> PAGEREF _Toc158036702 \h </w:instrText>
        </w:r>
        <w:r w:rsidR="008A78E3">
          <w:rPr>
            <w:webHidden/>
          </w:rPr>
        </w:r>
        <w:r w:rsidR="008A78E3">
          <w:rPr>
            <w:webHidden/>
          </w:rPr>
          <w:fldChar w:fldCharType="separate"/>
        </w:r>
        <w:r w:rsidR="008A78E3">
          <w:rPr>
            <w:webHidden/>
          </w:rPr>
          <w:t>125</w:t>
        </w:r>
        <w:r w:rsidR="008A78E3">
          <w:rPr>
            <w:webHidden/>
          </w:rPr>
          <w:fldChar w:fldCharType="end"/>
        </w:r>
      </w:hyperlink>
    </w:p>
    <w:p w14:paraId="7FFFE62F"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03" w:history="1">
        <w:r w:rsidR="008A78E3" w:rsidRPr="00ED635F">
          <w:rPr>
            <w:rStyle w:val="Hiperhivatkozs"/>
          </w:rPr>
          <w:t>V.6</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Tőkekövetelmény és tőkeajánlás meghatározása</w:t>
        </w:r>
        <w:r w:rsidR="008A78E3">
          <w:rPr>
            <w:webHidden/>
          </w:rPr>
          <w:tab/>
        </w:r>
        <w:r w:rsidR="008A78E3">
          <w:rPr>
            <w:webHidden/>
          </w:rPr>
          <w:fldChar w:fldCharType="begin"/>
        </w:r>
        <w:r w:rsidR="008A78E3">
          <w:rPr>
            <w:webHidden/>
          </w:rPr>
          <w:instrText xml:space="preserve"> PAGEREF _Toc158036703 \h </w:instrText>
        </w:r>
        <w:r w:rsidR="008A78E3">
          <w:rPr>
            <w:webHidden/>
          </w:rPr>
        </w:r>
        <w:r w:rsidR="008A78E3">
          <w:rPr>
            <w:webHidden/>
          </w:rPr>
          <w:fldChar w:fldCharType="separate"/>
        </w:r>
        <w:r w:rsidR="008A78E3">
          <w:rPr>
            <w:webHidden/>
          </w:rPr>
          <w:t>125</w:t>
        </w:r>
        <w:r w:rsidR="008A78E3">
          <w:rPr>
            <w:webHidden/>
          </w:rPr>
          <w:fldChar w:fldCharType="end"/>
        </w:r>
      </w:hyperlink>
    </w:p>
    <w:p w14:paraId="7FFFE630"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04" w:history="1">
        <w:r w:rsidR="008A78E3" w:rsidRPr="00ED635F">
          <w:rPr>
            <w:rStyle w:val="Hiperhivatkozs"/>
            <w:noProof/>
          </w:rPr>
          <w:t>V.6.1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Különbségek az alkalmazott módszerek kifinomultságában</w:t>
        </w:r>
        <w:r w:rsidR="008A78E3">
          <w:rPr>
            <w:noProof/>
            <w:webHidden/>
          </w:rPr>
          <w:tab/>
        </w:r>
        <w:r w:rsidR="008A78E3">
          <w:rPr>
            <w:noProof/>
            <w:webHidden/>
          </w:rPr>
          <w:fldChar w:fldCharType="begin"/>
        </w:r>
        <w:r w:rsidR="008A78E3">
          <w:rPr>
            <w:noProof/>
            <w:webHidden/>
          </w:rPr>
          <w:instrText xml:space="preserve"> PAGEREF _Toc158036704 \h </w:instrText>
        </w:r>
        <w:r w:rsidR="008A78E3">
          <w:rPr>
            <w:noProof/>
            <w:webHidden/>
          </w:rPr>
        </w:r>
        <w:r w:rsidR="008A78E3">
          <w:rPr>
            <w:noProof/>
            <w:webHidden/>
          </w:rPr>
          <w:fldChar w:fldCharType="separate"/>
        </w:r>
        <w:r w:rsidR="008A78E3">
          <w:rPr>
            <w:noProof/>
            <w:webHidden/>
          </w:rPr>
          <w:t>126</w:t>
        </w:r>
        <w:r w:rsidR="008A78E3">
          <w:rPr>
            <w:noProof/>
            <w:webHidden/>
          </w:rPr>
          <w:fldChar w:fldCharType="end"/>
        </w:r>
      </w:hyperlink>
    </w:p>
    <w:p w14:paraId="7FFFE631"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05" w:history="1">
        <w:r w:rsidR="008A78E3" w:rsidRPr="00ED635F">
          <w:rPr>
            <w:rStyle w:val="Hiperhivatkozs"/>
            <w:noProof/>
          </w:rPr>
          <w:t>V.6.2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Lehetséges eltérések az 1. és 2. pillér között</w:t>
        </w:r>
        <w:r w:rsidR="008A78E3">
          <w:rPr>
            <w:noProof/>
            <w:webHidden/>
          </w:rPr>
          <w:tab/>
        </w:r>
        <w:r w:rsidR="008A78E3">
          <w:rPr>
            <w:noProof/>
            <w:webHidden/>
          </w:rPr>
          <w:fldChar w:fldCharType="begin"/>
        </w:r>
        <w:r w:rsidR="008A78E3">
          <w:rPr>
            <w:noProof/>
            <w:webHidden/>
          </w:rPr>
          <w:instrText xml:space="preserve"> PAGEREF _Toc158036705 \h </w:instrText>
        </w:r>
        <w:r w:rsidR="008A78E3">
          <w:rPr>
            <w:noProof/>
            <w:webHidden/>
          </w:rPr>
        </w:r>
        <w:r w:rsidR="008A78E3">
          <w:rPr>
            <w:noProof/>
            <w:webHidden/>
          </w:rPr>
          <w:fldChar w:fldCharType="separate"/>
        </w:r>
        <w:r w:rsidR="008A78E3">
          <w:rPr>
            <w:noProof/>
            <w:webHidden/>
          </w:rPr>
          <w:t>126</w:t>
        </w:r>
        <w:r w:rsidR="008A78E3">
          <w:rPr>
            <w:noProof/>
            <w:webHidden/>
          </w:rPr>
          <w:fldChar w:fldCharType="end"/>
        </w:r>
      </w:hyperlink>
    </w:p>
    <w:p w14:paraId="7FFFE632"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06" w:history="1">
        <w:r w:rsidR="008A78E3" w:rsidRPr="00ED635F">
          <w:rPr>
            <w:rStyle w:val="Hiperhivatkozs"/>
            <w:noProof/>
          </w:rPr>
          <w:t>V.6.3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Tőkeallokáció</w:t>
        </w:r>
        <w:r w:rsidR="008A78E3">
          <w:rPr>
            <w:noProof/>
            <w:webHidden/>
          </w:rPr>
          <w:tab/>
        </w:r>
        <w:r w:rsidR="008A78E3">
          <w:rPr>
            <w:noProof/>
            <w:webHidden/>
          </w:rPr>
          <w:fldChar w:fldCharType="begin"/>
        </w:r>
        <w:r w:rsidR="008A78E3">
          <w:rPr>
            <w:noProof/>
            <w:webHidden/>
          </w:rPr>
          <w:instrText xml:space="preserve"> PAGEREF _Toc158036706 \h </w:instrText>
        </w:r>
        <w:r w:rsidR="008A78E3">
          <w:rPr>
            <w:noProof/>
            <w:webHidden/>
          </w:rPr>
        </w:r>
        <w:r w:rsidR="008A78E3">
          <w:rPr>
            <w:noProof/>
            <w:webHidden/>
          </w:rPr>
          <w:fldChar w:fldCharType="separate"/>
        </w:r>
        <w:r w:rsidR="008A78E3">
          <w:rPr>
            <w:noProof/>
            <w:webHidden/>
          </w:rPr>
          <w:t>128</w:t>
        </w:r>
        <w:r w:rsidR="008A78E3">
          <w:rPr>
            <w:noProof/>
            <w:webHidden/>
          </w:rPr>
          <w:fldChar w:fldCharType="end"/>
        </w:r>
      </w:hyperlink>
    </w:p>
    <w:p w14:paraId="7FFFE633"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07" w:history="1">
        <w:r w:rsidR="008A78E3" w:rsidRPr="00ED635F">
          <w:rPr>
            <w:rStyle w:val="Hiperhivatkozs"/>
            <w:noProof/>
          </w:rPr>
          <w:t>V.6.4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tőkeszükséglet megállapítása a felügyeleti felülvizsgálat után</w:t>
        </w:r>
        <w:r w:rsidR="008A78E3">
          <w:rPr>
            <w:noProof/>
            <w:webHidden/>
          </w:rPr>
          <w:tab/>
        </w:r>
        <w:r w:rsidR="008A78E3">
          <w:rPr>
            <w:noProof/>
            <w:webHidden/>
          </w:rPr>
          <w:fldChar w:fldCharType="begin"/>
        </w:r>
        <w:r w:rsidR="008A78E3">
          <w:rPr>
            <w:noProof/>
            <w:webHidden/>
          </w:rPr>
          <w:instrText xml:space="preserve"> PAGEREF _Toc158036707 \h </w:instrText>
        </w:r>
        <w:r w:rsidR="008A78E3">
          <w:rPr>
            <w:noProof/>
            <w:webHidden/>
          </w:rPr>
        </w:r>
        <w:r w:rsidR="008A78E3">
          <w:rPr>
            <w:noProof/>
            <w:webHidden/>
          </w:rPr>
          <w:fldChar w:fldCharType="separate"/>
        </w:r>
        <w:r w:rsidR="008A78E3">
          <w:rPr>
            <w:noProof/>
            <w:webHidden/>
          </w:rPr>
          <w:t>128</w:t>
        </w:r>
        <w:r w:rsidR="008A78E3">
          <w:rPr>
            <w:noProof/>
            <w:webHidden/>
          </w:rPr>
          <w:fldChar w:fldCharType="end"/>
        </w:r>
      </w:hyperlink>
    </w:p>
    <w:p w14:paraId="7FFFE634"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08" w:history="1">
        <w:r w:rsidR="008A78E3" w:rsidRPr="00ED635F">
          <w:rPr>
            <w:rStyle w:val="Hiperhivatkozs"/>
            <w:noProof/>
          </w:rPr>
          <w:t>V.6.4.1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Pótlólagos többlet-tőkekövetelmény meghatározása</w:t>
        </w:r>
        <w:r w:rsidR="008A78E3">
          <w:rPr>
            <w:noProof/>
            <w:webHidden/>
          </w:rPr>
          <w:tab/>
        </w:r>
        <w:r w:rsidR="008A78E3">
          <w:rPr>
            <w:noProof/>
            <w:webHidden/>
          </w:rPr>
          <w:fldChar w:fldCharType="begin"/>
        </w:r>
        <w:r w:rsidR="008A78E3">
          <w:rPr>
            <w:noProof/>
            <w:webHidden/>
          </w:rPr>
          <w:instrText xml:space="preserve"> PAGEREF _Toc158036708 \h </w:instrText>
        </w:r>
        <w:r w:rsidR="008A78E3">
          <w:rPr>
            <w:noProof/>
            <w:webHidden/>
          </w:rPr>
        </w:r>
        <w:r w:rsidR="008A78E3">
          <w:rPr>
            <w:noProof/>
            <w:webHidden/>
          </w:rPr>
          <w:fldChar w:fldCharType="separate"/>
        </w:r>
        <w:r w:rsidR="008A78E3">
          <w:rPr>
            <w:noProof/>
            <w:webHidden/>
          </w:rPr>
          <w:t>128</w:t>
        </w:r>
        <w:r w:rsidR="008A78E3">
          <w:rPr>
            <w:noProof/>
            <w:webHidden/>
          </w:rPr>
          <w:fldChar w:fldCharType="end"/>
        </w:r>
      </w:hyperlink>
    </w:p>
    <w:p w14:paraId="7FFFE635"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09" w:history="1">
        <w:r w:rsidR="008A78E3" w:rsidRPr="00ED635F">
          <w:rPr>
            <w:rStyle w:val="Hiperhivatkozs"/>
            <w:noProof/>
          </w:rPr>
          <w:t>V.6.4.2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SREP tőkekövetelmény (TSCR)</w:t>
        </w:r>
        <w:r w:rsidR="008A78E3">
          <w:rPr>
            <w:noProof/>
            <w:webHidden/>
          </w:rPr>
          <w:tab/>
        </w:r>
        <w:r w:rsidR="008A78E3">
          <w:rPr>
            <w:noProof/>
            <w:webHidden/>
          </w:rPr>
          <w:fldChar w:fldCharType="begin"/>
        </w:r>
        <w:r w:rsidR="008A78E3">
          <w:rPr>
            <w:noProof/>
            <w:webHidden/>
          </w:rPr>
          <w:instrText xml:space="preserve"> PAGEREF _Toc158036709 \h </w:instrText>
        </w:r>
        <w:r w:rsidR="008A78E3">
          <w:rPr>
            <w:noProof/>
            <w:webHidden/>
          </w:rPr>
        </w:r>
        <w:r w:rsidR="008A78E3">
          <w:rPr>
            <w:noProof/>
            <w:webHidden/>
          </w:rPr>
          <w:fldChar w:fldCharType="separate"/>
        </w:r>
        <w:r w:rsidR="008A78E3">
          <w:rPr>
            <w:noProof/>
            <w:webHidden/>
          </w:rPr>
          <w:t>130</w:t>
        </w:r>
        <w:r w:rsidR="008A78E3">
          <w:rPr>
            <w:noProof/>
            <w:webHidden/>
          </w:rPr>
          <w:fldChar w:fldCharType="end"/>
        </w:r>
      </w:hyperlink>
    </w:p>
    <w:p w14:paraId="7FFFE636"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0" w:history="1">
        <w:r w:rsidR="008A78E3" w:rsidRPr="00ED635F">
          <w:rPr>
            <w:rStyle w:val="Hiperhivatkozs"/>
            <w:noProof/>
          </w:rPr>
          <w:t>V.6.4.3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SREP tőkekövetelmény mutató</w:t>
        </w:r>
        <w:r w:rsidR="008A78E3">
          <w:rPr>
            <w:noProof/>
            <w:webHidden/>
          </w:rPr>
          <w:tab/>
        </w:r>
        <w:r w:rsidR="008A78E3">
          <w:rPr>
            <w:noProof/>
            <w:webHidden/>
          </w:rPr>
          <w:fldChar w:fldCharType="begin"/>
        </w:r>
        <w:r w:rsidR="008A78E3">
          <w:rPr>
            <w:noProof/>
            <w:webHidden/>
          </w:rPr>
          <w:instrText xml:space="preserve"> PAGEREF _Toc158036710 \h </w:instrText>
        </w:r>
        <w:r w:rsidR="008A78E3">
          <w:rPr>
            <w:noProof/>
            <w:webHidden/>
          </w:rPr>
        </w:r>
        <w:r w:rsidR="008A78E3">
          <w:rPr>
            <w:noProof/>
            <w:webHidden/>
          </w:rPr>
          <w:fldChar w:fldCharType="separate"/>
        </w:r>
        <w:r w:rsidR="008A78E3">
          <w:rPr>
            <w:noProof/>
            <w:webHidden/>
          </w:rPr>
          <w:t>131</w:t>
        </w:r>
        <w:r w:rsidR="008A78E3">
          <w:rPr>
            <w:noProof/>
            <w:webHidden/>
          </w:rPr>
          <w:fldChar w:fldCharType="end"/>
        </w:r>
      </w:hyperlink>
    </w:p>
    <w:p w14:paraId="7FFFE637"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1" w:history="1">
        <w:r w:rsidR="008A78E3" w:rsidRPr="00ED635F">
          <w:rPr>
            <w:rStyle w:val="Hiperhivatkozs"/>
            <w:noProof/>
          </w:rPr>
          <w:t>V.6.4.4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Kombinált tőkepuffer-követelmény</w:t>
        </w:r>
        <w:r w:rsidR="008A78E3">
          <w:rPr>
            <w:noProof/>
            <w:webHidden/>
          </w:rPr>
          <w:tab/>
        </w:r>
        <w:r w:rsidR="008A78E3">
          <w:rPr>
            <w:noProof/>
            <w:webHidden/>
          </w:rPr>
          <w:fldChar w:fldCharType="begin"/>
        </w:r>
        <w:r w:rsidR="008A78E3">
          <w:rPr>
            <w:noProof/>
            <w:webHidden/>
          </w:rPr>
          <w:instrText xml:space="preserve"> PAGEREF _Toc158036711 \h </w:instrText>
        </w:r>
        <w:r w:rsidR="008A78E3">
          <w:rPr>
            <w:noProof/>
            <w:webHidden/>
          </w:rPr>
        </w:r>
        <w:r w:rsidR="008A78E3">
          <w:rPr>
            <w:noProof/>
            <w:webHidden/>
          </w:rPr>
          <w:fldChar w:fldCharType="separate"/>
        </w:r>
        <w:r w:rsidR="008A78E3">
          <w:rPr>
            <w:noProof/>
            <w:webHidden/>
          </w:rPr>
          <w:t>131</w:t>
        </w:r>
        <w:r w:rsidR="008A78E3">
          <w:rPr>
            <w:noProof/>
            <w:webHidden/>
          </w:rPr>
          <w:fldChar w:fldCharType="end"/>
        </w:r>
      </w:hyperlink>
    </w:p>
    <w:p w14:paraId="7FFFE638"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2" w:history="1">
        <w:r w:rsidR="008A78E3" w:rsidRPr="00ED635F">
          <w:rPr>
            <w:rStyle w:val="Hiperhivatkozs"/>
            <w:noProof/>
          </w:rPr>
          <w:t>V.6.4.5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Teljes tőkekövetelmény (OCR)</w:t>
        </w:r>
        <w:r w:rsidR="008A78E3">
          <w:rPr>
            <w:noProof/>
            <w:webHidden/>
          </w:rPr>
          <w:tab/>
        </w:r>
        <w:r w:rsidR="008A78E3">
          <w:rPr>
            <w:noProof/>
            <w:webHidden/>
          </w:rPr>
          <w:fldChar w:fldCharType="begin"/>
        </w:r>
        <w:r w:rsidR="008A78E3">
          <w:rPr>
            <w:noProof/>
            <w:webHidden/>
          </w:rPr>
          <w:instrText xml:space="preserve"> PAGEREF _Toc158036712 \h </w:instrText>
        </w:r>
        <w:r w:rsidR="008A78E3">
          <w:rPr>
            <w:noProof/>
            <w:webHidden/>
          </w:rPr>
        </w:r>
        <w:r w:rsidR="008A78E3">
          <w:rPr>
            <w:noProof/>
            <w:webHidden/>
          </w:rPr>
          <w:fldChar w:fldCharType="separate"/>
        </w:r>
        <w:r w:rsidR="008A78E3">
          <w:rPr>
            <w:noProof/>
            <w:webHidden/>
          </w:rPr>
          <w:t>132</w:t>
        </w:r>
        <w:r w:rsidR="008A78E3">
          <w:rPr>
            <w:noProof/>
            <w:webHidden/>
          </w:rPr>
          <w:fldChar w:fldCharType="end"/>
        </w:r>
      </w:hyperlink>
    </w:p>
    <w:p w14:paraId="7FFFE639"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3" w:history="1">
        <w:r w:rsidR="008A78E3" w:rsidRPr="00ED635F">
          <w:rPr>
            <w:rStyle w:val="Hiperhivatkozs"/>
            <w:noProof/>
          </w:rPr>
          <w:t>V.6.4.6</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Felügyeleti tőkeajánlás (P2G)</w:t>
        </w:r>
        <w:r w:rsidR="008A78E3">
          <w:rPr>
            <w:noProof/>
            <w:webHidden/>
          </w:rPr>
          <w:tab/>
        </w:r>
        <w:r w:rsidR="008A78E3">
          <w:rPr>
            <w:noProof/>
            <w:webHidden/>
          </w:rPr>
          <w:fldChar w:fldCharType="begin"/>
        </w:r>
        <w:r w:rsidR="008A78E3">
          <w:rPr>
            <w:noProof/>
            <w:webHidden/>
          </w:rPr>
          <w:instrText xml:space="preserve"> PAGEREF _Toc158036713 \h </w:instrText>
        </w:r>
        <w:r w:rsidR="008A78E3">
          <w:rPr>
            <w:noProof/>
            <w:webHidden/>
          </w:rPr>
        </w:r>
        <w:r w:rsidR="008A78E3">
          <w:rPr>
            <w:noProof/>
            <w:webHidden/>
          </w:rPr>
          <w:fldChar w:fldCharType="separate"/>
        </w:r>
        <w:r w:rsidR="008A78E3">
          <w:rPr>
            <w:noProof/>
            <w:webHidden/>
          </w:rPr>
          <w:t>132</w:t>
        </w:r>
        <w:r w:rsidR="008A78E3">
          <w:rPr>
            <w:noProof/>
            <w:webHidden/>
          </w:rPr>
          <w:fldChar w:fldCharType="end"/>
        </w:r>
      </w:hyperlink>
    </w:p>
    <w:p w14:paraId="7FFFE63A"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4" w:history="1">
        <w:r w:rsidR="008A78E3" w:rsidRPr="00ED635F">
          <w:rPr>
            <w:rStyle w:val="Hiperhivatkozs"/>
            <w:noProof/>
          </w:rPr>
          <w:t>V.6.4.7</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túlzott tőkeáttételi kockázatra vonatkozó 2. pillér szerinti tőkekövetelmény (P2R-LR)</w:t>
        </w:r>
        <w:r w:rsidR="008A78E3">
          <w:rPr>
            <w:noProof/>
            <w:webHidden/>
          </w:rPr>
          <w:tab/>
        </w:r>
        <w:r w:rsidR="008A78E3">
          <w:rPr>
            <w:noProof/>
            <w:webHidden/>
          </w:rPr>
          <w:tab/>
        </w:r>
        <w:r w:rsidR="008A78E3">
          <w:rPr>
            <w:noProof/>
            <w:webHidden/>
          </w:rPr>
          <w:fldChar w:fldCharType="begin"/>
        </w:r>
        <w:r w:rsidR="008A78E3">
          <w:rPr>
            <w:noProof/>
            <w:webHidden/>
          </w:rPr>
          <w:instrText xml:space="preserve"> PAGEREF _Toc158036714 \h </w:instrText>
        </w:r>
        <w:r w:rsidR="008A78E3">
          <w:rPr>
            <w:noProof/>
            <w:webHidden/>
          </w:rPr>
        </w:r>
        <w:r w:rsidR="008A78E3">
          <w:rPr>
            <w:noProof/>
            <w:webHidden/>
          </w:rPr>
          <w:fldChar w:fldCharType="separate"/>
        </w:r>
        <w:r w:rsidR="008A78E3">
          <w:rPr>
            <w:noProof/>
            <w:webHidden/>
          </w:rPr>
          <w:t>133</w:t>
        </w:r>
        <w:r w:rsidR="008A78E3">
          <w:rPr>
            <w:noProof/>
            <w:webHidden/>
          </w:rPr>
          <w:fldChar w:fldCharType="end"/>
        </w:r>
      </w:hyperlink>
    </w:p>
    <w:p w14:paraId="7FFFE63B"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5" w:history="1">
        <w:r w:rsidR="008A78E3" w:rsidRPr="00ED635F">
          <w:rPr>
            <w:rStyle w:val="Hiperhivatkozs"/>
            <w:noProof/>
          </w:rPr>
          <w:t>V.6.4.8</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teljes SREP tőkeáttételimutató-követelmény (TSLRR)</w:t>
        </w:r>
        <w:r w:rsidR="008A78E3">
          <w:rPr>
            <w:noProof/>
            <w:webHidden/>
          </w:rPr>
          <w:tab/>
        </w:r>
        <w:r w:rsidR="008A78E3">
          <w:rPr>
            <w:noProof/>
            <w:webHidden/>
          </w:rPr>
          <w:fldChar w:fldCharType="begin"/>
        </w:r>
        <w:r w:rsidR="008A78E3">
          <w:rPr>
            <w:noProof/>
            <w:webHidden/>
          </w:rPr>
          <w:instrText xml:space="preserve"> PAGEREF _Toc158036715 \h </w:instrText>
        </w:r>
        <w:r w:rsidR="008A78E3">
          <w:rPr>
            <w:noProof/>
            <w:webHidden/>
          </w:rPr>
        </w:r>
        <w:r w:rsidR="008A78E3">
          <w:rPr>
            <w:noProof/>
            <w:webHidden/>
          </w:rPr>
          <w:fldChar w:fldCharType="separate"/>
        </w:r>
        <w:r w:rsidR="008A78E3">
          <w:rPr>
            <w:noProof/>
            <w:webHidden/>
          </w:rPr>
          <w:t>133</w:t>
        </w:r>
        <w:r w:rsidR="008A78E3">
          <w:rPr>
            <w:noProof/>
            <w:webHidden/>
          </w:rPr>
          <w:fldChar w:fldCharType="end"/>
        </w:r>
      </w:hyperlink>
    </w:p>
    <w:p w14:paraId="7FFFE63C"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6" w:history="1">
        <w:r w:rsidR="008A78E3" w:rsidRPr="00ED635F">
          <w:rPr>
            <w:rStyle w:val="Hiperhivatkozs"/>
            <w:noProof/>
          </w:rPr>
          <w:t>V.6.4.9</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tőkeáttételre vonatkozó teljes követelmény (OLRR)</w:t>
        </w:r>
        <w:r w:rsidR="008A78E3">
          <w:rPr>
            <w:noProof/>
            <w:webHidden/>
          </w:rPr>
          <w:tab/>
        </w:r>
        <w:r w:rsidR="008A78E3">
          <w:rPr>
            <w:noProof/>
            <w:webHidden/>
          </w:rPr>
          <w:fldChar w:fldCharType="begin"/>
        </w:r>
        <w:r w:rsidR="008A78E3">
          <w:rPr>
            <w:noProof/>
            <w:webHidden/>
          </w:rPr>
          <w:instrText xml:space="preserve"> PAGEREF _Toc158036716 \h </w:instrText>
        </w:r>
        <w:r w:rsidR="008A78E3">
          <w:rPr>
            <w:noProof/>
            <w:webHidden/>
          </w:rPr>
        </w:r>
        <w:r w:rsidR="008A78E3">
          <w:rPr>
            <w:noProof/>
            <w:webHidden/>
          </w:rPr>
          <w:fldChar w:fldCharType="separate"/>
        </w:r>
        <w:r w:rsidR="008A78E3">
          <w:rPr>
            <w:noProof/>
            <w:webHidden/>
          </w:rPr>
          <w:t>133</w:t>
        </w:r>
        <w:r w:rsidR="008A78E3">
          <w:rPr>
            <w:noProof/>
            <w:webHidden/>
          </w:rPr>
          <w:fldChar w:fldCharType="end"/>
        </w:r>
      </w:hyperlink>
    </w:p>
    <w:p w14:paraId="7FFFE63D" w14:textId="77777777" w:rsidR="008A78E3" w:rsidRDefault="009D2DEA">
      <w:pPr>
        <w:pStyle w:val="TJ4"/>
        <w:rPr>
          <w:rFonts w:asciiTheme="minorHAnsi" w:eastAsiaTheme="minorEastAsia" w:hAnsiTheme="minorHAnsi" w:cstheme="minorBidi"/>
          <w:noProof/>
          <w:color w:val="auto"/>
          <w:kern w:val="2"/>
          <w14:ligatures w14:val="standardContextual"/>
        </w:rPr>
      </w:pPr>
      <w:hyperlink w:anchor="_Toc158036717" w:history="1">
        <w:r w:rsidR="008A78E3" w:rsidRPr="00ED635F">
          <w:rPr>
            <w:rStyle w:val="Hiperhivatkozs"/>
            <w:noProof/>
          </w:rPr>
          <w:t>V.6.4.10</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túlzott tőkeáttétel kockázatára vonatkozó 2. pillér szerinti tőkeajánlás (P2G-LR)</w:t>
        </w:r>
        <w:r w:rsidR="008A78E3">
          <w:rPr>
            <w:noProof/>
            <w:webHidden/>
          </w:rPr>
          <w:tab/>
        </w:r>
        <w:r w:rsidR="008A78E3">
          <w:rPr>
            <w:noProof/>
            <w:webHidden/>
          </w:rPr>
          <w:fldChar w:fldCharType="begin"/>
        </w:r>
        <w:r w:rsidR="008A78E3">
          <w:rPr>
            <w:noProof/>
            <w:webHidden/>
          </w:rPr>
          <w:instrText xml:space="preserve"> PAGEREF _Toc158036717 \h </w:instrText>
        </w:r>
        <w:r w:rsidR="008A78E3">
          <w:rPr>
            <w:noProof/>
            <w:webHidden/>
          </w:rPr>
        </w:r>
        <w:r w:rsidR="008A78E3">
          <w:rPr>
            <w:noProof/>
            <w:webHidden/>
          </w:rPr>
          <w:fldChar w:fldCharType="separate"/>
        </w:r>
        <w:r w:rsidR="008A78E3">
          <w:rPr>
            <w:noProof/>
            <w:webHidden/>
          </w:rPr>
          <w:t>133</w:t>
        </w:r>
        <w:r w:rsidR="008A78E3">
          <w:rPr>
            <w:noProof/>
            <w:webHidden/>
          </w:rPr>
          <w:fldChar w:fldCharType="end"/>
        </w:r>
      </w:hyperlink>
    </w:p>
    <w:p w14:paraId="7FFFE63E"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18" w:history="1">
        <w:r w:rsidR="008A78E3" w:rsidRPr="00ED635F">
          <w:rPr>
            <w:rStyle w:val="Hiperhivatkozs"/>
          </w:rPr>
          <w:t>VI.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ILAAP összetevői és felügyeleti felülvizsgálata</w:t>
        </w:r>
        <w:r w:rsidR="008A78E3">
          <w:rPr>
            <w:webHidden/>
          </w:rPr>
          <w:tab/>
        </w:r>
        <w:r w:rsidR="008A78E3">
          <w:rPr>
            <w:webHidden/>
          </w:rPr>
          <w:fldChar w:fldCharType="begin"/>
        </w:r>
        <w:r w:rsidR="008A78E3">
          <w:rPr>
            <w:webHidden/>
          </w:rPr>
          <w:instrText xml:space="preserve"> PAGEREF _Toc158036718 \h </w:instrText>
        </w:r>
        <w:r w:rsidR="008A78E3">
          <w:rPr>
            <w:webHidden/>
          </w:rPr>
        </w:r>
        <w:r w:rsidR="008A78E3">
          <w:rPr>
            <w:webHidden/>
          </w:rPr>
          <w:fldChar w:fldCharType="separate"/>
        </w:r>
        <w:r w:rsidR="008A78E3">
          <w:rPr>
            <w:webHidden/>
          </w:rPr>
          <w:t>134</w:t>
        </w:r>
        <w:r w:rsidR="008A78E3">
          <w:rPr>
            <w:webHidden/>
          </w:rPr>
          <w:fldChar w:fldCharType="end"/>
        </w:r>
      </w:hyperlink>
    </w:p>
    <w:p w14:paraId="7FFFE63F"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19" w:history="1">
        <w:r w:rsidR="008A78E3" w:rsidRPr="00ED635F">
          <w:rPr>
            <w:rStyle w:val="Hiperhivatkozs"/>
          </w:rPr>
          <w:t>VI.1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likviditási és finanszírozási kockázat belső, intézmény általi értékelése</w:t>
        </w:r>
        <w:r w:rsidR="008A78E3">
          <w:rPr>
            <w:webHidden/>
          </w:rPr>
          <w:tab/>
        </w:r>
        <w:r w:rsidR="008A78E3">
          <w:rPr>
            <w:webHidden/>
          </w:rPr>
          <w:fldChar w:fldCharType="begin"/>
        </w:r>
        <w:r w:rsidR="008A78E3">
          <w:rPr>
            <w:webHidden/>
          </w:rPr>
          <w:instrText xml:space="preserve"> PAGEREF _Toc158036719 \h </w:instrText>
        </w:r>
        <w:r w:rsidR="008A78E3">
          <w:rPr>
            <w:webHidden/>
          </w:rPr>
        </w:r>
        <w:r w:rsidR="008A78E3">
          <w:rPr>
            <w:webHidden/>
          </w:rPr>
          <w:fldChar w:fldCharType="separate"/>
        </w:r>
        <w:r w:rsidR="008A78E3">
          <w:rPr>
            <w:webHidden/>
          </w:rPr>
          <w:t>134</w:t>
        </w:r>
        <w:r w:rsidR="008A78E3">
          <w:rPr>
            <w:webHidden/>
          </w:rPr>
          <w:fldChar w:fldCharType="end"/>
        </w:r>
      </w:hyperlink>
    </w:p>
    <w:p w14:paraId="7FFFE640"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20" w:history="1">
        <w:r w:rsidR="008A78E3" w:rsidRPr="00ED635F">
          <w:rPr>
            <w:rStyle w:val="Hiperhivatkozs"/>
          </w:rPr>
          <w:t>VI.2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likviditás megfelelőségének felügyeleti felülvizsgálati folyamata</w:t>
        </w:r>
        <w:r w:rsidR="008A78E3">
          <w:rPr>
            <w:webHidden/>
          </w:rPr>
          <w:tab/>
        </w:r>
        <w:r w:rsidR="008A78E3">
          <w:rPr>
            <w:webHidden/>
          </w:rPr>
          <w:fldChar w:fldCharType="begin"/>
        </w:r>
        <w:r w:rsidR="008A78E3">
          <w:rPr>
            <w:webHidden/>
          </w:rPr>
          <w:instrText xml:space="preserve"> PAGEREF _Toc158036720 \h </w:instrText>
        </w:r>
        <w:r w:rsidR="008A78E3">
          <w:rPr>
            <w:webHidden/>
          </w:rPr>
        </w:r>
        <w:r w:rsidR="008A78E3">
          <w:rPr>
            <w:webHidden/>
          </w:rPr>
          <w:fldChar w:fldCharType="separate"/>
        </w:r>
        <w:r w:rsidR="008A78E3">
          <w:rPr>
            <w:webHidden/>
          </w:rPr>
          <w:t>137</w:t>
        </w:r>
        <w:r w:rsidR="008A78E3">
          <w:rPr>
            <w:webHidden/>
          </w:rPr>
          <w:fldChar w:fldCharType="end"/>
        </w:r>
      </w:hyperlink>
    </w:p>
    <w:p w14:paraId="7FFFE641"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21" w:history="1">
        <w:r w:rsidR="008A78E3" w:rsidRPr="00ED635F">
          <w:rPr>
            <w:rStyle w:val="Hiperhivatkozs"/>
            <w:noProof/>
          </w:rPr>
          <w:t>VI.2.1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likviditási és finanszírozási kockázatok átfogó értékelése</w:t>
        </w:r>
        <w:r w:rsidR="008A78E3">
          <w:rPr>
            <w:noProof/>
            <w:webHidden/>
          </w:rPr>
          <w:tab/>
        </w:r>
        <w:r w:rsidR="008A78E3">
          <w:rPr>
            <w:noProof/>
            <w:webHidden/>
          </w:rPr>
          <w:fldChar w:fldCharType="begin"/>
        </w:r>
        <w:r w:rsidR="008A78E3">
          <w:rPr>
            <w:noProof/>
            <w:webHidden/>
          </w:rPr>
          <w:instrText xml:space="preserve"> PAGEREF _Toc158036721 \h </w:instrText>
        </w:r>
        <w:r w:rsidR="008A78E3">
          <w:rPr>
            <w:noProof/>
            <w:webHidden/>
          </w:rPr>
        </w:r>
        <w:r w:rsidR="008A78E3">
          <w:rPr>
            <w:noProof/>
            <w:webHidden/>
          </w:rPr>
          <w:fldChar w:fldCharType="separate"/>
        </w:r>
        <w:r w:rsidR="008A78E3">
          <w:rPr>
            <w:noProof/>
            <w:webHidden/>
          </w:rPr>
          <w:t>137</w:t>
        </w:r>
        <w:r w:rsidR="008A78E3">
          <w:rPr>
            <w:noProof/>
            <w:webHidden/>
          </w:rPr>
          <w:fldChar w:fldCharType="end"/>
        </w:r>
      </w:hyperlink>
    </w:p>
    <w:p w14:paraId="7FFFE642"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22" w:history="1">
        <w:r w:rsidR="008A78E3" w:rsidRPr="00ED635F">
          <w:rPr>
            <w:rStyle w:val="Hiperhivatkozs"/>
            <w:noProof/>
          </w:rPr>
          <w:t>VI.2.2</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Kockázatkezelési hiányosságok miatti többlet-követelmények</w:t>
        </w:r>
        <w:r w:rsidR="008A78E3">
          <w:rPr>
            <w:noProof/>
            <w:webHidden/>
          </w:rPr>
          <w:tab/>
        </w:r>
        <w:r w:rsidR="008A78E3">
          <w:rPr>
            <w:noProof/>
            <w:webHidden/>
          </w:rPr>
          <w:fldChar w:fldCharType="begin"/>
        </w:r>
        <w:r w:rsidR="008A78E3">
          <w:rPr>
            <w:noProof/>
            <w:webHidden/>
          </w:rPr>
          <w:instrText xml:space="preserve"> PAGEREF _Toc158036722 \h </w:instrText>
        </w:r>
        <w:r w:rsidR="008A78E3">
          <w:rPr>
            <w:noProof/>
            <w:webHidden/>
          </w:rPr>
        </w:r>
        <w:r w:rsidR="008A78E3">
          <w:rPr>
            <w:noProof/>
            <w:webHidden/>
          </w:rPr>
          <w:fldChar w:fldCharType="separate"/>
        </w:r>
        <w:r w:rsidR="008A78E3">
          <w:rPr>
            <w:noProof/>
            <w:webHidden/>
          </w:rPr>
          <w:t>139</w:t>
        </w:r>
        <w:r w:rsidR="008A78E3">
          <w:rPr>
            <w:noProof/>
            <w:webHidden/>
          </w:rPr>
          <w:fldChar w:fldCharType="end"/>
        </w:r>
      </w:hyperlink>
    </w:p>
    <w:p w14:paraId="7FFFE643"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23" w:history="1">
        <w:r w:rsidR="008A78E3" w:rsidRPr="00ED635F">
          <w:rPr>
            <w:rStyle w:val="Hiperhivatkozs"/>
            <w:noProof/>
          </w:rPr>
          <w:t>VI.2.3</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Az I. pilléres követelmény számításának kiemelt részei</w:t>
        </w:r>
        <w:r w:rsidR="008A78E3">
          <w:rPr>
            <w:noProof/>
            <w:webHidden/>
          </w:rPr>
          <w:tab/>
        </w:r>
        <w:r w:rsidR="008A78E3">
          <w:rPr>
            <w:noProof/>
            <w:webHidden/>
          </w:rPr>
          <w:fldChar w:fldCharType="begin"/>
        </w:r>
        <w:r w:rsidR="008A78E3">
          <w:rPr>
            <w:noProof/>
            <w:webHidden/>
          </w:rPr>
          <w:instrText xml:space="preserve"> PAGEREF _Toc158036723 \h </w:instrText>
        </w:r>
        <w:r w:rsidR="008A78E3">
          <w:rPr>
            <w:noProof/>
            <w:webHidden/>
          </w:rPr>
        </w:r>
        <w:r w:rsidR="008A78E3">
          <w:rPr>
            <w:noProof/>
            <w:webHidden/>
          </w:rPr>
          <w:fldChar w:fldCharType="separate"/>
        </w:r>
        <w:r w:rsidR="008A78E3">
          <w:rPr>
            <w:noProof/>
            <w:webHidden/>
          </w:rPr>
          <w:t>139</w:t>
        </w:r>
        <w:r w:rsidR="008A78E3">
          <w:rPr>
            <w:noProof/>
            <w:webHidden/>
          </w:rPr>
          <w:fldChar w:fldCharType="end"/>
        </w:r>
      </w:hyperlink>
    </w:p>
    <w:p w14:paraId="7FFFE644"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24" w:history="1">
        <w:r w:rsidR="008A78E3" w:rsidRPr="00ED635F">
          <w:rPr>
            <w:rStyle w:val="Hiperhivatkozs"/>
            <w:noProof/>
          </w:rPr>
          <w:t>VI.2.4</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Likviditási szempontból kockázatos portfóliók</w:t>
        </w:r>
        <w:r w:rsidR="008A78E3">
          <w:rPr>
            <w:noProof/>
            <w:webHidden/>
          </w:rPr>
          <w:tab/>
        </w:r>
        <w:r w:rsidR="008A78E3">
          <w:rPr>
            <w:noProof/>
            <w:webHidden/>
          </w:rPr>
          <w:fldChar w:fldCharType="begin"/>
        </w:r>
        <w:r w:rsidR="008A78E3">
          <w:rPr>
            <w:noProof/>
            <w:webHidden/>
          </w:rPr>
          <w:instrText xml:space="preserve"> PAGEREF _Toc158036724 \h </w:instrText>
        </w:r>
        <w:r w:rsidR="008A78E3">
          <w:rPr>
            <w:noProof/>
            <w:webHidden/>
          </w:rPr>
        </w:r>
        <w:r w:rsidR="008A78E3">
          <w:rPr>
            <w:noProof/>
            <w:webHidden/>
          </w:rPr>
          <w:fldChar w:fldCharType="separate"/>
        </w:r>
        <w:r w:rsidR="008A78E3">
          <w:rPr>
            <w:noProof/>
            <w:webHidden/>
          </w:rPr>
          <w:t>139</w:t>
        </w:r>
        <w:r w:rsidR="008A78E3">
          <w:rPr>
            <w:noProof/>
            <w:webHidden/>
          </w:rPr>
          <w:fldChar w:fldCharType="end"/>
        </w:r>
      </w:hyperlink>
    </w:p>
    <w:p w14:paraId="7FFFE645"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25" w:history="1">
        <w:r w:rsidR="008A78E3" w:rsidRPr="00ED635F">
          <w:rPr>
            <w:rStyle w:val="Hiperhivatkozs"/>
            <w:noProof/>
          </w:rPr>
          <w:t>VI.2.5</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A II. pilléres likviditási követelmény számítása és teljesítése</w:t>
        </w:r>
        <w:r w:rsidR="008A78E3">
          <w:rPr>
            <w:noProof/>
            <w:webHidden/>
          </w:rPr>
          <w:tab/>
        </w:r>
        <w:r w:rsidR="008A78E3">
          <w:rPr>
            <w:noProof/>
            <w:webHidden/>
          </w:rPr>
          <w:fldChar w:fldCharType="begin"/>
        </w:r>
        <w:r w:rsidR="008A78E3">
          <w:rPr>
            <w:noProof/>
            <w:webHidden/>
          </w:rPr>
          <w:instrText xml:space="preserve"> PAGEREF _Toc158036725 \h </w:instrText>
        </w:r>
        <w:r w:rsidR="008A78E3">
          <w:rPr>
            <w:noProof/>
            <w:webHidden/>
          </w:rPr>
        </w:r>
        <w:r w:rsidR="008A78E3">
          <w:rPr>
            <w:noProof/>
            <w:webHidden/>
          </w:rPr>
          <w:fldChar w:fldCharType="separate"/>
        </w:r>
        <w:r w:rsidR="008A78E3">
          <w:rPr>
            <w:noProof/>
            <w:webHidden/>
          </w:rPr>
          <w:t>140</w:t>
        </w:r>
        <w:r w:rsidR="008A78E3">
          <w:rPr>
            <w:noProof/>
            <w:webHidden/>
          </w:rPr>
          <w:fldChar w:fldCharType="end"/>
        </w:r>
      </w:hyperlink>
    </w:p>
    <w:p w14:paraId="7FFFE646"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26" w:history="1">
        <w:r w:rsidR="008A78E3" w:rsidRPr="00ED635F">
          <w:rPr>
            <w:rStyle w:val="Hiperhivatkozs"/>
          </w:rPr>
          <w:t>VII.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üzleti modell elemzés</w:t>
        </w:r>
        <w:r w:rsidR="008A78E3">
          <w:rPr>
            <w:webHidden/>
          </w:rPr>
          <w:tab/>
        </w:r>
        <w:r w:rsidR="008A78E3">
          <w:rPr>
            <w:webHidden/>
          </w:rPr>
          <w:fldChar w:fldCharType="begin"/>
        </w:r>
        <w:r w:rsidR="008A78E3">
          <w:rPr>
            <w:webHidden/>
          </w:rPr>
          <w:instrText xml:space="preserve"> PAGEREF _Toc158036726 \h </w:instrText>
        </w:r>
        <w:r w:rsidR="008A78E3">
          <w:rPr>
            <w:webHidden/>
          </w:rPr>
        </w:r>
        <w:r w:rsidR="008A78E3">
          <w:rPr>
            <w:webHidden/>
          </w:rPr>
          <w:fldChar w:fldCharType="separate"/>
        </w:r>
        <w:r w:rsidR="008A78E3">
          <w:rPr>
            <w:webHidden/>
          </w:rPr>
          <w:t>140</w:t>
        </w:r>
        <w:r w:rsidR="008A78E3">
          <w:rPr>
            <w:webHidden/>
          </w:rPr>
          <w:fldChar w:fldCharType="end"/>
        </w:r>
      </w:hyperlink>
    </w:p>
    <w:p w14:paraId="7FFFE647"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27" w:history="1">
        <w:r w:rsidR="008A78E3" w:rsidRPr="00ED635F">
          <w:rPr>
            <w:rStyle w:val="Hiperhivatkozs"/>
          </w:rPr>
          <w:t>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Az üzleti modell elemzés</w:t>
        </w:r>
        <w:r w:rsidR="008A78E3">
          <w:rPr>
            <w:webHidden/>
          </w:rPr>
          <w:tab/>
        </w:r>
        <w:r w:rsidR="008A78E3">
          <w:rPr>
            <w:webHidden/>
          </w:rPr>
          <w:fldChar w:fldCharType="begin"/>
        </w:r>
        <w:r w:rsidR="008A78E3">
          <w:rPr>
            <w:webHidden/>
          </w:rPr>
          <w:instrText xml:space="preserve"> PAGEREF _Toc158036727 \h </w:instrText>
        </w:r>
        <w:r w:rsidR="008A78E3">
          <w:rPr>
            <w:webHidden/>
          </w:rPr>
        </w:r>
        <w:r w:rsidR="008A78E3">
          <w:rPr>
            <w:webHidden/>
          </w:rPr>
          <w:fldChar w:fldCharType="separate"/>
        </w:r>
        <w:r w:rsidR="008A78E3">
          <w:rPr>
            <w:webHidden/>
          </w:rPr>
          <w:t>140</w:t>
        </w:r>
        <w:r w:rsidR="008A78E3">
          <w:rPr>
            <w:webHidden/>
          </w:rPr>
          <w:fldChar w:fldCharType="end"/>
        </w:r>
      </w:hyperlink>
    </w:p>
    <w:p w14:paraId="7FFFE648"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28" w:history="1">
        <w:r w:rsidR="008A78E3" w:rsidRPr="00ED635F">
          <w:rPr>
            <w:rStyle w:val="Hiperhivatkozs"/>
          </w:rPr>
          <w:t>II.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A kis intézmények belső tőkeszükséglet-számítására, likviditás megfelelőségére vonatkozó felügyeleti elvárások és a vonatkozó felügyeleti felülvizsgálati folyamat</w:t>
        </w:r>
        <w:r w:rsidR="008A78E3">
          <w:rPr>
            <w:webHidden/>
          </w:rPr>
          <w:tab/>
        </w:r>
        <w:r w:rsidR="008A78E3">
          <w:rPr>
            <w:webHidden/>
          </w:rPr>
          <w:fldChar w:fldCharType="begin"/>
        </w:r>
        <w:r w:rsidR="008A78E3">
          <w:rPr>
            <w:webHidden/>
          </w:rPr>
          <w:instrText xml:space="preserve"> PAGEREF _Toc158036728 \h </w:instrText>
        </w:r>
        <w:r w:rsidR="008A78E3">
          <w:rPr>
            <w:webHidden/>
          </w:rPr>
        </w:r>
        <w:r w:rsidR="008A78E3">
          <w:rPr>
            <w:webHidden/>
          </w:rPr>
          <w:fldChar w:fldCharType="separate"/>
        </w:r>
        <w:r w:rsidR="008A78E3">
          <w:rPr>
            <w:webHidden/>
          </w:rPr>
          <w:t>143</w:t>
        </w:r>
        <w:r w:rsidR="008A78E3">
          <w:rPr>
            <w:webHidden/>
          </w:rPr>
          <w:fldChar w:fldCharType="end"/>
        </w:r>
      </w:hyperlink>
    </w:p>
    <w:p w14:paraId="7FFFE649"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29" w:history="1">
        <w:r w:rsidR="008A78E3" w:rsidRPr="00ED635F">
          <w:rPr>
            <w:rStyle w:val="Hiperhivatkozs"/>
          </w:rPr>
          <w:t>II.1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Arányosság elvének alkalmazása</w:t>
        </w:r>
        <w:r w:rsidR="008A78E3">
          <w:rPr>
            <w:webHidden/>
          </w:rPr>
          <w:tab/>
        </w:r>
        <w:r w:rsidR="008A78E3">
          <w:rPr>
            <w:webHidden/>
          </w:rPr>
          <w:fldChar w:fldCharType="begin"/>
        </w:r>
        <w:r w:rsidR="008A78E3">
          <w:rPr>
            <w:webHidden/>
          </w:rPr>
          <w:instrText xml:space="preserve"> PAGEREF _Toc158036729 \h </w:instrText>
        </w:r>
        <w:r w:rsidR="008A78E3">
          <w:rPr>
            <w:webHidden/>
          </w:rPr>
        </w:r>
        <w:r w:rsidR="008A78E3">
          <w:rPr>
            <w:webHidden/>
          </w:rPr>
          <w:fldChar w:fldCharType="separate"/>
        </w:r>
        <w:r w:rsidR="008A78E3">
          <w:rPr>
            <w:webHidden/>
          </w:rPr>
          <w:t>143</w:t>
        </w:r>
        <w:r w:rsidR="008A78E3">
          <w:rPr>
            <w:webHidden/>
          </w:rPr>
          <w:fldChar w:fldCharType="end"/>
        </w:r>
      </w:hyperlink>
    </w:p>
    <w:p w14:paraId="7FFFE64A"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0" w:history="1">
        <w:r w:rsidR="008A78E3" w:rsidRPr="00ED635F">
          <w:rPr>
            <w:rStyle w:val="Hiperhivatkozs"/>
          </w:rPr>
          <w:t>II.2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kis intézmény meghatározása</w:t>
        </w:r>
        <w:r w:rsidR="008A78E3">
          <w:rPr>
            <w:webHidden/>
          </w:rPr>
          <w:tab/>
        </w:r>
        <w:r w:rsidR="008A78E3">
          <w:rPr>
            <w:webHidden/>
          </w:rPr>
          <w:fldChar w:fldCharType="begin"/>
        </w:r>
        <w:r w:rsidR="008A78E3">
          <w:rPr>
            <w:webHidden/>
          </w:rPr>
          <w:instrText xml:space="preserve"> PAGEREF _Toc158036730 \h </w:instrText>
        </w:r>
        <w:r w:rsidR="008A78E3">
          <w:rPr>
            <w:webHidden/>
          </w:rPr>
        </w:r>
        <w:r w:rsidR="008A78E3">
          <w:rPr>
            <w:webHidden/>
          </w:rPr>
          <w:fldChar w:fldCharType="separate"/>
        </w:r>
        <w:r w:rsidR="008A78E3">
          <w:rPr>
            <w:webHidden/>
          </w:rPr>
          <w:t>143</w:t>
        </w:r>
        <w:r w:rsidR="008A78E3">
          <w:rPr>
            <w:webHidden/>
          </w:rPr>
          <w:fldChar w:fldCharType="end"/>
        </w:r>
      </w:hyperlink>
    </w:p>
    <w:p w14:paraId="7FFFE64B"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1" w:history="1">
        <w:r w:rsidR="008A78E3" w:rsidRPr="00ED635F">
          <w:rPr>
            <w:rStyle w:val="Hiperhivatkozs"/>
          </w:rPr>
          <w:t>II.3</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Kis intézmények belső tőkeszükséglet-számítására vonatkozó felügyeleti elvárások</w:t>
        </w:r>
        <w:r w:rsidR="008A78E3">
          <w:rPr>
            <w:webHidden/>
          </w:rPr>
          <w:tab/>
        </w:r>
        <w:r w:rsidR="008A78E3">
          <w:rPr>
            <w:webHidden/>
          </w:rPr>
          <w:fldChar w:fldCharType="begin"/>
        </w:r>
        <w:r w:rsidR="008A78E3">
          <w:rPr>
            <w:webHidden/>
          </w:rPr>
          <w:instrText xml:space="preserve"> PAGEREF _Toc158036731 \h </w:instrText>
        </w:r>
        <w:r w:rsidR="008A78E3">
          <w:rPr>
            <w:webHidden/>
          </w:rPr>
        </w:r>
        <w:r w:rsidR="008A78E3">
          <w:rPr>
            <w:webHidden/>
          </w:rPr>
          <w:fldChar w:fldCharType="separate"/>
        </w:r>
        <w:r w:rsidR="008A78E3">
          <w:rPr>
            <w:webHidden/>
          </w:rPr>
          <w:t>143</w:t>
        </w:r>
        <w:r w:rsidR="008A78E3">
          <w:rPr>
            <w:webHidden/>
          </w:rPr>
          <w:fldChar w:fldCharType="end"/>
        </w:r>
      </w:hyperlink>
    </w:p>
    <w:p w14:paraId="7FFFE64C"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2" w:history="1">
        <w:r w:rsidR="008A78E3" w:rsidRPr="00ED635F">
          <w:rPr>
            <w:rStyle w:val="Hiperhivatkozs"/>
          </w:rPr>
          <w:t>II.4</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Egyszerűsített ICAAP felülvizsgálat alá tartozó intézmények által alkalmazott módszertanok</w:t>
        </w:r>
        <w:r w:rsidR="008A78E3">
          <w:rPr>
            <w:webHidden/>
          </w:rPr>
          <w:tab/>
        </w:r>
        <w:r w:rsidR="008A78E3">
          <w:rPr>
            <w:webHidden/>
          </w:rPr>
          <w:fldChar w:fldCharType="begin"/>
        </w:r>
        <w:r w:rsidR="008A78E3">
          <w:rPr>
            <w:webHidden/>
          </w:rPr>
          <w:instrText xml:space="preserve"> PAGEREF _Toc158036732 \h </w:instrText>
        </w:r>
        <w:r w:rsidR="008A78E3">
          <w:rPr>
            <w:webHidden/>
          </w:rPr>
        </w:r>
        <w:r w:rsidR="008A78E3">
          <w:rPr>
            <w:webHidden/>
          </w:rPr>
          <w:fldChar w:fldCharType="separate"/>
        </w:r>
        <w:r w:rsidR="008A78E3">
          <w:rPr>
            <w:webHidden/>
          </w:rPr>
          <w:t>144</w:t>
        </w:r>
        <w:r w:rsidR="008A78E3">
          <w:rPr>
            <w:webHidden/>
          </w:rPr>
          <w:fldChar w:fldCharType="end"/>
        </w:r>
      </w:hyperlink>
    </w:p>
    <w:p w14:paraId="7FFFE64D"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3" w:history="1">
        <w:r w:rsidR="008A78E3" w:rsidRPr="00ED635F">
          <w:rPr>
            <w:rStyle w:val="Hiperhivatkozs"/>
          </w:rPr>
          <w:t>II.5</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belső tőkeszükséglet-számítás lépései</w:t>
        </w:r>
        <w:r w:rsidR="008A78E3">
          <w:rPr>
            <w:webHidden/>
          </w:rPr>
          <w:tab/>
        </w:r>
        <w:r w:rsidR="008A78E3">
          <w:rPr>
            <w:webHidden/>
          </w:rPr>
          <w:fldChar w:fldCharType="begin"/>
        </w:r>
        <w:r w:rsidR="008A78E3">
          <w:rPr>
            <w:webHidden/>
          </w:rPr>
          <w:instrText xml:space="preserve"> PAGEREF _Toc158036733 \h </w:instrText>
        </w:r>
        <w:r w:rsidR="008A78E3">
          <w:rPr>
            <w:webHidden/>
          </w:rPr>
        </w:r>
        <w:r w:rsidR="008A78E3">
          <w:rPr>
            <w:webHidden/>
          </w:rPr>
          <w:fldChar w:fldCharType="separate"/>
        </w:r>
        <w:r w:rsidR="008A78E3">
          <w:rPr>
            <w:webHidden/>
          </w:rPr>
          <w:t>144</w:t>
        </w:r>
        <w:r w:rsidR="008A78E3">
          <w:rPr>
            <w:webHidden/>
          </w:rPr>
          <w:fldChar w:fldCharType="end"/>
        </w:r>
      </w:hyperlink>
    </w:p>
    <w:p w14:paraId="7FFFE64E"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4" w:history="1">
        <w:r w:rsidR="008A78E3" w:rsidRPr="00ED635F">
          <w:rPr>
            <w:rStyle w:val="Hiperhivatkozs"/>
          </w:rPr>
          <w:t>II.6</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Kis hitelintézetek tipikus kockázatai</w:t>
        </w:r>
        <w:r w:rsidR="008A78E3">
          <w:rPr>
            <w:webHidden/>
          </w:rPr>
          <w:tab/>
        </w:r>
        <w:r w:rsidR="008A78E3">
          <w:rPr>
            <w:webHidden/>
          </w:rPr>
          <w:fldChar w:fldCharType="begin"/>
        </w:r>
        <w:r w:rsidR="008A78E3">
          <w:rPr>
            <w:webHidden/>
          </w:rPr>
          <w:instrText xml:space="preserve"> PAGEREF _Toc158036734 \h </w:instrText>
        </w:r>
        <w:r w:rsidR="008A78E3">
          <w:rPr>
            <w:webHidden/>
          </w:rPr>
        </w:r>
        <w:r w:rsidR="008A78E3">
          <w:rPr>
            <w:webHidden/>
          </w:rPr>
          <w:fldChar w:fldCharType="separate"/>
        </w:r>
        <w:r w:rsidR="008A78E3">
          <w:rPr>
            <w:webHidden/>
          </w:rPr>
          <w:t>145</w:t>
        </w:r>
        <w:r w:rsidR="008A78E3">
          <w:rPr>
            <w:webHidden/>
          </w:rPr>
          <w:fldChar w:fldCharType="end"/>
        </w:r>
      </w:hyperlink>
    </w:p>
    <w:p w14:paraId="7FFFE64F"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5" w:history="1">
        <w:r w:rsidR="008A78E3" w:rsidRPr="00ED635F">
          <w:rPr>
            <w:rStyle w:val="Hiperhivatkozs"/>
          </w:rPr>
          <w:t>II.7</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Felügyeleti felülvizsgálatok a kis intézményeknél</w:t>
        </w:r>
        <w:r w:rsidR="008A78E3">
          <w:rPr>
            <w:webHidden/>
          </w:rPr>
          <w:tab/>
        </w:r>
        <w:r w:rsidR="008A78E3">
          <w:rPr>
            <w:webHidden/>
          </w:rPr>
          <w:fldChar w:fldCharType="begin"/>
        </w:r>
        <w:r w:rsidR="008A78E3">
          <w:rPr>
            <w:webHidden/>
          </w:rPr>
          <w:instrText xml:space="preserve"> PAGEREF _Toc158036735 \h </w:instrText>
        </w:r>
        <w:r w:rsidR="008A78E3">
          <w:rPr>
            <w:webHidden/>
          </w:rPr>
        </w:r>
        <w:r w:rsidR="008A78E3">
          <w:rPr>
            <w:webHidden/>
          </w:rPr>
          <w:fldChar w:fldCharType="separate"/>
        </w:r>
        <w:r w:rsidR="008A78E3">
          <w:rPr>
            <w:webHidden/>
          </w:rPr>
          <w:t>145</w:t>
        </w:r>
        <w:r w:rsidR="008A78E3">
          <w:rPr>
            <w:webHidden/>
          </w:rPr>
          <w:fldChar w:fldCharType="end"/>
        </w:r>
      </w:hyperlink>
    </w:p>
    <w:p w14:paraId="7FFFE650"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6" w:history="1">
        <w:r w:rsidR="008A78E3" w:rsidRPr="00ED635F">
          <w:rPr>
            <w:rStyle w:val="Hiperhivatkozs"/>
          </w:rPr>
          <w:t>II.8</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Felügyeleti intézkedések a kis intézményekkel szemben</w:t>
        </w:r>
        <w:r w:rsidR="008A78E3">
          <w:rPr>
            <w:webHidden/>
          </w:rPr>
          <w:tab/>
        </w:r>
        <w:r w:rsidR="008A78E3">
          <w:rPr>
            <w:webHidden/>
          </w:rPr>
          <w:fldChar w:fldCharType="begin"/>
        </w:r>
        <w:r w:rsidR="008A78E3">
          <w:rPr>
            <w:webHidden/>
          </w:rPr>
          <w:instrText xml:space="preserve"> PAGEREF _Toc158036736 \h </w:instrText>
        </w:r>
        <w:r w:rsidR="008A78E3">
          <w:rPr>
            <w:webHidden/>
          </w:rPr>
        </w:r>
        <w:r w:rsidR="008A78E3">
          <w:rPr>
            <w:webHidden/>
          </w:rPr>
          <w:fldChar w:fldCharType="separate"/>
        </w:r>
        <w:r w:rsidR="008A78E3">
          <w:rPr>
            <w:webHidden/>
          </w:rPr>
          <w:t>146</w:t>
        </w:r>
        <w:r w:rsidR="008A78E3">
          <w:rPr>
            <w:webHidden/>
          </w:rPr>
          <w:fldChar w:fldCharType="end"/>
        </w:r>
      </w:hyperlink>
    </w:p>
    <w:p w14:paraId="7FFFE651" w14:textId="77777777" w:rsidR="008A78E3" w:rsidRDefault="009D2DEA">
      <w:pPr>
        <w:pStyle w:val="TJ3"/>
        <w:rPr>
          <w:rFonts w:asciiTheme="minorHAnsi" w:eastAsiaTheme="minorEastAsia" w:hAnsiTheme="minorHAnsi" w:cstheme="minorBidi"/>
          <w:noProof/>
          <w:color w:val="auto"/>
          <w:kern w:val="2"/>
          <w14:ligatures w14:val="standardContextual"/>
        </w:rPr>
      </w:pPr>
      <w:hyperlink w:anchor="_Toc158036737" w:history="1">
        <w:r w:rsidR="008A78E3" w:rsidRPr="00ED635F">
          <w:rPr>
            <w:rStyle w:val="Hiperhivatkozs"/>
            <w:noProof/>
          </w:rPr>
          <w:t>II.8.1</w:t>
        </w:r>
        <w:r w:rsidR="008A78E3">
          <w:rPr>
            <w:rFonts w:asciiTheme="minorHAnsi" w:eastAsiaTheme="minorEastAsia" w:hAnsiTheme="minorHAnsi" w:cstheme="minorBidi"/>
            <w:noProof/>
            <w:color w:val="auto"/>
            <w:kern w:val="2"/>
            <w14:ligatures w14:val="standardContextual"/>
          </w:rPr>
          <w:tab/>
        </w:r>
        <w:r w:rsidR="008A78E3" w:rsidRPr="00ED635F">
          <w:rPr>
            <w:rStyle w:val="Hiperhivatkozs"/>
            <w:noProof/>
          </w:rPr>
          <w:t>Felügyeleti intézkedések kis hitelintézeteknél</w:t>
        </w:r>
        <w:r w:rsidR="008A78E3">
          <w:rPr>
            <w:noProof/>
            <w:webHidden/>
          </w:rPr>
          <w:tab/>
        </w:r>
        <w:r w:rsidR="008A78E3">
          <w:rPr>
            <w:noProof/>
            <w:webHidden/>
          </w:rPr>
          <w:fldChar w:fldCharType="begin"/>
        </w:r>
        <w:r w:rsidR="008A78E3">
          <w:rPr>
            <w:noProof/>
            <w:webHidden/>
          </w:rPr>
          <w:instrText xml:space="preserve"> PAGEREF _Toc158036737 \h </w:instrText>
        </w:r>
        <w:r w:rsidR="008A78E3">
          <w:rPr>
            <w:noProof/>
            <w:webHidden/>
          </w:rPr>
        </w:r>
        <w:r w:rsidR="008A78E3">
          <w:rPr>
            <w:noProof/>
            <w:webHidden/>
          </w:rPr>
          <w:fldChar w:fldCharType="separate"/>
        </w:r>
        <w:r w:rsidR="008A78E3">
          <w:rPr>
            <w:noProof/>
            <w:webHidden/>
          </w:rPr>
          <w:t>146</w:t>
        </w:r>
        <w:r w:rsidR="008A78E3">
          <w:rPr>
            <w:noProof/>
            <w:webHidden/>
          </w:rPr>
          <w:fldChar w:fldCharType="end"/>
        </w:r>
      </w:hyperlink>
    </w:p>
    <w:p w14:paraId="7FFFE652"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38" w:history="1">
        <w:r w:rsidR="008A78E3" w:rsidRPr="00ED635F">
          <w:rPr>
            <w:rStyle w:val="Hiperhivatkozs"/>
          </w:rPr>
          <w:t>II.9</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felügyeleti felülvizsgálat lezárása</w:t>
        </w:r>
        <w:r w:rsidR="008A78E3">
          <w:rPr>
            <w:webHidden/>
          </w:rPr>
          <w:tab/>
        </w:r>
        <w:r w:rsidR="008A78E3">
          <w:rPr>
            <w:webHidden/>
          </w:rPr>
          <w:fldChar w:fldCharType="begin"/>
        </w:r>
        <w:r w:rsidR="008A78E3">
          <w:rPr>
            <w:webHidden/>
          </w:rPr>
          <w:instrText xml:space="preserve"> PAGEREF _Toc158036738 \h </w:instrText>
        </w:r>
        <w:r w:rsidR="008A78E3">
          <w:rPr>
            <w:webHidden/>
          </w:rPr>
        </w:r>
        <w:r w:rsidR="008A78E3">
          <w:rPr>
            <w:webHidden/>
          </w:rPr>
          <w:fldChar w:fldCharType="separate"/>
        </w:r>
        <w:r w:rsidR="008A78E3">
          <w:rPr>
            <w:webHidden/>
          </w:rPr>
          <w:t>147</w:t>
        </w:r>
        <w:r w:rsidR="008A78E3">
          <w:rPr>
            <w:webHidden/>
          </w:rPr>
          <w:fldChar w:fldCharType="end"/>
        </w:r>
      </w:hyperlink>
    </w:p>
    <w:p w14:paraId="7FFFE653"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39" w:history="1">
        <w:r w:rsidR="008A78E3" w:rsidRPr="00ED635F">
          <w:rPr>
            <w:rStyle w:val="Hiperhivatkozs"/>
          </w:rPr>
          <w:t>Dokumentum-lista</w:t>
        </w:r>
        <w:r w:rsidR="008A78E3">
          <w:rPr>
            <w:webHidden/>
          </w:rPr>
          <w:tab/>
        </w:r>
        <w:r w:rsidR="008A78E3">
          <w:rPr>
            <w:webHidden/>
          </w:rPr>
          <w:fldChar w:fldCharType="begin"/>
        </w:r>
        <w:r w:rsidR="008A78E3">
          <w:rPr>
            <w:webHidden/>
          </w:rPr>
          <w:instrText xml:space="preserve"> PAGEREF _Toc158036739 \h </w:instrText>
        </w:r>
        <w:r w:rsidR="008A78E3">
          <w:rPr>
            <w:webHidden/>
          </w:rPr>
        </w:r>
        <w:r w:rsidR="008A78E3">
          <w:rPr>
            <w:webHidden/>
          </w:rPr>
          <w:fldChar w:fldCharType="separate"/>
        </w:r>
        <w:r w:rsidR="008A78E3">
          <w:rPr>
            <w:webHidden/>
          </w:rPr>
          <w:t>148</w:t>
        </w:r>
        <w:r w:rsidR="008A78E3">
          <w:rPr>
            <w:webHidden/>
          </w:rPr>
          <w:fldChar w:fldCharType="end"/>
        </w:r>
      </w:hyperlink>
    </w:p>
    <w:p w14:paraId="7FFFE654"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40" w:history="1">
        <w:r w:rsidR="008A78E3" w:rsidRPr="00ED635F">
          <w:rPr>
            <w:rStyle w:val="Hiperhivatkozs"/>
          </w:rPr>
          <w:t>II.10</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Összefoglaló</w:t>
        </w:r>
        <w:r w:rsidR="008A78E3">
          <w:rPr>
            <w:webHidden/>
          </w:rPr>
          <w:tab/>
        </w:r>
        <w:r w:rsidR="008A78E3">
          <w:rPr>
            <w:webHidden/>
          </w:rPr>
          <w:fldChar w:fldCharType="begin"/>
        </w:r>
        <w:r w:rsidR="008A78E3">
          <w:rPr>
            <w:webHidden/>
          </w:rPr>
          <w:instrText xml:space="preserve"> PAGEREF _Toc158036740 \h </w:instrText>
        </w:r>
        <w:r w:rsidR="008A78E3">
          <w:rPr>
            <w:webHidden/>
          </w:rPr>
        </w:r>
        <w:r w:rsidR="008A78E3">
          <w:rPr>
            <w:webHidden/>
          </w:rPr>
          <w:fldChar w:fldCharType="separate"/>
        </w:r>
        <w:r w:rsidR="008A78E3">
          <w:rPr>
            <w:webHidden/>
          </w:rPr>
          <w:t>148</w:t>
        </w:r>
        <w:r w:rsidR="008A78E3">
          <w:rPr>
            <w:webHidden/>
          </w:rPr>
          <w:fldChar w:fldCharType="end"/>
        </w:r>
      </w:hyperlink>
    </w:p>
    <w:p w14:paraId="7FFFE655"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41" w:history="1">
        <w:r w:rsidR="008A78E3" w:rsidRPr="00ED635F">
          <w:rPr>
            <w:rStyle w:val="Hiperhivatkozs"/>
          </w:rPr>
          <w:t>II.11</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jelenlegi és a tervezett tőkehelyzet bemutatása</w:t>
        </w:r>
        <w:r w:rsidR="008A78E3">
          <w:rPr>
            <w:webHidden/>
          </w:rPr>
          <w:tab/>
        </w:r>
        <w:r w:rsidR="008A78E3">
          <w:rPr>
            <w:webHidden/>
          </w:rPr>
          <w:fldChar w:fldCharType="begin"/>
        </w:r>
        <w:r w:rsidR="008A78E3">
          <w:rPr>
            <w:webHidden/>
          </w:rPr>
          <w:instrText xml:space="preserve"> PAGEREF _Toc158036741 \h </w:instrText>
        </w:r>
        <w:r w:rsidR="008A78E3">
          <w:rPr>
            <w:webHidden/>
          </w:rPr>
        </w:r>
        <w:r w:rsidR="008A78E3">
          <w:rPr>
            <w:webHidden/>
          </w:rPr>
          <w:fldChar w:fldCharType="separate"/>
        </w:r>
        <w:r w:rsidR="008A78E3">
          <w:rPr>
            <w:webHidden/>
          </w:rPr>
          <w:t>148</w:t>
        </w:r>
        <w:r w:rsidR="008A78E3">
          <w:rPr>
            <w:webHidden/>
          </w:rPr>
          <w:fldChar w:fldCharType="end"/>
        </w:r>
      </w:hyperlink>
    </w:p>
    <w:p w14:paraId="7FFFE656"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42" w:history="1">
        <w:r w:rsidR="008A78E3" w:rsidRPr="00ED635F">
          <w:rPr>
            <w:rStyle w:val="Hiperhivatkozs"/>
          </w:rPr>
          <w:t>II.12</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Tőkemegfelelési számítás részletes ismertetése</w:t>
        </w:r>
        <w:r w:rsidR="008A78E3">
          <w:rPr>
            <w:webHidden/>
          </w:rPr>
          <w:tab/>
        </w:r>
        <w:r w:rsidR="008A78E3">
          <w:rPr>
            <w:webHidden/>
          </w:rPr>
          <w:fldChar w:fldCharType="begin"/>
        </w:r>
        <w:r w:rsidR="008A78E3">
          <w:rPr>
            <w:webHidden/>
          </w:rPr>
          <w:instrText xml:space="preserve"> PAGEREF _Toc158036742 \h </w:instrText>
        </w:r>
        <w:r w:rsidR="008A78E3">
          <w:rPr>
            <w:webHidden/>
          </w:rPr>
        </w:r>
        <w:r w:rsidR="008A78E3">
          <w:rPr>
            <w:webHidden/>
          </w:rPr>
          <w:fldChar w:fldCharType="separate"/>
        </w:r>
        <w:r w:rsidR="008A78E3">
          <w:rPr>
            <w:webHidden/>
          </w:rPr>
          <w:t>149</w:t>
        </w:r>
        <w:r w:rsidR="008A78E3">
          <w:rPr>
            <w:webHidden/>
          </w:rPr>
          <w:fldChar w:fldCharType="end"/>
        </w:r>
      </w:hyperlink>
    </w:p>
    <w:p w14:paraId="7FFFE657"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43" w:history="1">
        <w:r w:rsidR="008A78E3" w:rsidRPr="00ED635F">
          <w:rPr>
            <w:rStyle w:val="Hiperhivatkozs"/>
          </w:rPr>
          <w:t>II.13</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belső tőkeszükséglet-számítási módszertan beépülése a folyamatokba</w:t>
        </w:r>
        <w:r w:rsidR="008A78E3">
          <w:rPr>
            <w:webHidden/>
          </w:rPr>
          <w:tab/>
        </w:r>
        <w:r w:rsidR="008A78E3">
          <w:rPr>
            <w:webHidden/>
          </w:rPr>
          <w:fldChar w:fldCharType="begin"/>
        </w:r>
        <w:r w:rsidR="008A78E3">
          <w:rPr>
            <w:webHidden/>
          </w:rPr>
          <w:instrText xml:space="preserve"> PAGEREF _Toc158036743 \h </w:instrText>
        </w:r>
        <w:r w:rsidR="008A78E3">
          <w:rPr>
            <w:webHidden/>
          </w:rPr>
        </w:r>
        <w:r w:rsidR="008A78E3">
          <w:rPr>
            <w:webHidden/>
          </w:rPr>
          <w:fldChar w:fldCharType="separate"/>
        </w:r>
        <w:r w:rsidR="008A78E3">
          <w:rPr>
            <w:webHidden/>
          </w:rPr>
          <w:t>149</w:t>
        </w:r>
        <w:r w:rsidR="008A78E3">
          <w:rPr>
            <w:webHidden/>
          </w:rPr>
          <w:fldChar w:fldCharType="end"/>
        </w:r>
      </w:hyperlink>
    </w:p>
    <w:p w14:paraId="7FFFE658" w14:textId="77777777" w:rsidR="008A78E3" w:rsidRDefault="009D2DEA" w:rsidP="009F4CDA">
      <w:pPr>
        <w:pStyle w:val="TJ2"/>
        <w:rPr>
          <w:rFonts w:asciiTheme="minorHAnsi" w:eastAsiaTheme="minorEastAsia" w:hAnsiTheme="minorHAnsi" w:cstheme="minorBidi"/>
          <w:color w:val="auto"/>
          <w:kern w:val="2"/>
          <w14:ligatures w14:val="standardContextual"/>
        </w:rPr>
      </w:pPr>
      <w:hyperlink w:anchor="_Toc158036744" w:history="1">
        <w:r w:rsidR="008A78E3" w:rsidRPr="00ED635F">
          <w:rPr>
            <w:rStyle w:val="Hiperhivatkozs"/>
          </w:rPr>
          <w:t>II.14</w:t>
        </w:r>
        <w:r w:rsidR="008A78E3">
          <w:rPr>
            <w:rFonts w:asciiTheme="minorHAnsi" w:eastAsiaTheme="minorEastAsia" w:hAnsiTheme="minorHAnsi" w:cstheme="minorBidi"/>
            <w:color w:val="auto"/>
            <w:kern w:val="2"/>
            <w14:ligatures w14:val="standardContextual"/>
          </w:rPr>
          <w:tab/>
        </w:r>
        <w:r w:rsidR="008A78E3" w:rsidRPr="00ED635F">
          <w:rPr>
            <w:rStyle w:val="Hiperhivatkozs"/>
          </w:rPr>
          <w:t>A likviditás megfelelőségének belső értékelési folyamatának ismertetése</w:t>
        </w:r>
        <w:r w:rsidR="008A78E3">
          <w:rPr>
            <w:webHidden/>
          </w:rPr>
          <w:tab/>
        </w:r>
        <w:r w:rsidR="008A78E3">
          <w:rPr>
            <w:webHidden/>
          </w:rPr>
          <w:fldChar w:fldCharType="begin"/>
        </w:r>
        <w:r w:rsidR="008A78E3">
          <w:rPr>
            <w:webHidden/>
          </w:rPr>
          <w:instrText xml:space="preserve"> PAGEREF _Toc158036744 \h </w:instrText>
        </w:r>
        <w:r w:rsidR="008A78E3">
          <w:rPr>
            <w:webHidden/>
          </w:rPr>
        </w:r>
        <w:r w:rsidR="008A78E3">
          <w:rPr>
            <w:webHidden/>
          </w:rPr>
          <w:fldChar w:fldCharType="separate"/>
        </w:r>
        <w:r w:rsidR="008A78E3">
          <w:rPr>
            <w:webHidden/>
          </w:rPr>
          <w:t>149</w:t>
        </w:r>
        <w:r w:rsidR="008A78E3">
          <w:rPr>
            <w:webHidden/>
          </w:rPr>
          <w:fldChar w:fldCharType="end"/>
        </w:r>
      </w:hyperlink>
    </w:p>
    <w:p w14:paraId="7FFFE659" w14:textId="77777777" w:rsidR="008A78E3" w:rsidRDefault="009D2DEA">
      <w:pPr>
        <w:pStyle w:val="TJ1"/>
        <w:rPr>
          <w:rFonts w:asciiTheme="minorHAnsi" w:eastAsiaTheme="minorEastAsia" w:hAnsiTheme="minorHAnsi" w:cstheme="minorBidi"/>
          <w:b w:val="0"/>
          <w:color w:val="auto"/>
          <w:kern w:val="2"/>
          <w14:ligatures w14:val="standardContextual"/>
        </w:rPr>
      </w:pPr>
      <w:hyperlink w:anchor="_Toc158036745" w:history="1">
        <w:r w:rsidR="008A78E3" w:rsidRPr="00ED635F">
          <w:rPr>
            <w:rStyle w:val="Hiperhivatkozs"/>
          </w:rPr>
          <w:t>III.</w:t>
        </w:r>
        <w:r w:rsidR="008A78E3">
          <w:rPr>
            <w:rFonts w:asciiTheme="minorHAnsi" w:eastAsiaTheme="minorEastAsia" w:hAnsiTheme="minorHAnsi" w:cstheme="minorBidi"/>
            <w:b w:val="0"/>
            <w:color w:val="auto"/>
            <w:kern w:val="2"/>
            <w14:ligatures w14:val="standardContextual"/>
          </w:rPr>
          <w:tab/>
        </w:r>
        <w:r w:rsidR="008A78E3" w:rsidRPr="00ED635F">
          <w:rPr>
            <w:rStyle w:val="Hiperhivatkozs"/>
          </w:rPr>
          <w:t>Mellékletek</w:t>
        </w:r>
        <w:r w:rsidR="008A78E3">
          <w:rPr>
            <w:webHidden/>
          </w:rPr>
          <w:tab/>
        </w:r>
        <w:r w:rsidR="008A78E3">
          <w:rPr>
            <w:webHidden/>
          </w:rPr>
          <w:fldChar w:fldCharType="begin"/>
        </w:r>
        <w:r w:rsidR="008A78E3">
          <w:rPr>
            <w:webHidden/>
          </w:rPr>
          <w:instrText xml:space="preserve"> PAGEREF _Toc158036745 \h </w:instrText>
        </w:r>
        <w:r w:rsidR="008A78E3">
          <w:rPr>
            <w:webHidden/>
          </w:rPr>
        </w:r>
        <w:r w:rsidR="008A78E3">
          <w:rPr>
            <w:webHidden/>
          </w:rPr>
          <w:fldChar w:fldCharType="separate"/>
        </w:r>
        <w:r w:rsidR="008A78E3">
          <w:rPr>
            <w:webHidden/>
          </w:rPr>
          <w:t>151</w:t>
        </w:r>
        <w:r w:rsidR="008A78E3">
          <w:rPr>
            <w:webHidden/>
          </w:rPr>
          <w:fldChar w:fldCharType="end"/>
        </w:r>
      </w:hyperlink>
    </w:p>
    <w:p w14:paraId="7FFFE65A" w14:textId="77777777" w:rsidR="008A78E3" w:rsidRPr="006A6890" w:rsidRDefault="008A78E3" w:rsidP="00D10772">
      <w:pPr>
        <w:rPr>
          <w:rFonts w:asciiTheme="minorHAnsi" w:hAnsiTheme="minorHAnsi"/>
          <w:b/>
        </w:rPr>
      </w:pPr>
      <w:r>
        <w:rPr>
          <w:rFonts w:asciiTheme="minorHAnsi" w:hAnsiTheme="minorHAnsi"/>
          <w:b/>
          <w:noProof/>
        </w:rPr>
        <w:fldChar w:fldCharType="end"/>
      </w:r>
      <w:r w:rsidRPr="006A6890">
        <w:rPr>
          <w:rFonts w:asciiTheme="minorHAnsi" w:hAnsiTheme="minorHAnsi"/>
        </w:rPr>
        <w:br w:type="page"/>
      </w:r>
      <w:r w:rsidRPr="006A6890">
        <w:rPr>
          <w:rFonts w:asciiTheme="minorHAnsi" w:hAnsiTheme="minorHAnsi"/>
          <w:b/>
        </w:rPr>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527C4C" w14:paraId="7FFFE65E" w14:textId="77777777" w:rsidTr="00175385">
        <w:trPr>
          <w:trHeight w:val="360"/>
        </w:trPr>
        <w:tc>
          <w:tcPr>
            <w:tcW w:w="993" w:type="dxa"/>
            <w:tcBorders>
              <w:top w:val="nil"/>
              <w:left w:val="nil"/>
              <w:bottom w:val="nil"/>
              <w:right w:val="nil"/>
            </w:tcBorders>
            <w:vAlign w:val="center"/>
          </w:tcPr>
          <w:p w14:paraId="7FFFE65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7FFFE65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7FFFE65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(hitelkockázat – PD, LGD, CCF becslés)</w:t>
            </w:r>
          </w:p>
        </w:tc>
      </w:tr>
      <w:tr w:rsidR="00527C4C" w14:paraId="7FFFE662" w14:textId="77777777" w:rsidTr="00175385">
        <w:trPr>
          <w:trHeight w:val="360"/>
        </w:trPr>
        <w:tc>
          <w:tcPr>
            <w:tcW w:w="993" w:type="dxa"/>
            <w:tcBorders>
              <w:top w:val="nil"/>
              <w:left w:val="nil"/>
              <w:bottom w:val="nil"/>
              <w:right w:val="nil"/>
            </w:tcBorders>
            <w:vAlign w:val="center"/>
          </w:tcPr>
          <w:p w14:paraId="7FFFE65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7FFFE66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7FFFE66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527C4C" w14:paraId="7FFFE666" w14:textId="77777777" w:rsidTr="00175385">
        <w:trPr>
          <w:trHeight w:val="360"/>
        </w:trPr>
        <w:tc>
          <w:tcPr>
            <w:tcW w:w="993" w:type="dxa"/>
            <w:tcBorders>
              <w:top w:val="nil"/>
              <w:left w:val="nil"/>
              <w:bottom w:val="nil"/>
              <w:right w:val="nil"/>
            </w:tcBorders>
            <w:vAlign w:val="center"/>
          </w:tcPr>
          <w:p w14:paraId="7FFFE66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7FFFE66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7FFFE665" w14:textId="77777777" w:rsidR="008A78E3" w:rsidRPr="006A6890" w:rsidRDefault="008A78E3" w:rsidP="005C5D1A">
            <w:pPr>
              <w:rPr>
                <w:rFonts w:asciiTheme="minorHAnsi" w:hAnsiTheme="minorHAnsi"/>
                <w:sz w:val="20"/>
                <w:szCs w:val="20"/>
              </w:rPr>
            </w:pPr>
            <w:r w:rsidRPr="006A6890">
              <w:rPr>
                <w:rFonts w:asciiTheme="minorHAnsi" w:hAnsiTheme="minorHAnsi"/>
                <w:sz w:val="20"/>
                <w:szCs w:val="20"/>
              </w:rPr>
              <w:t>Eszköz-Forrás Bizottság a likviditási kockázat menedzselésére</w:t>
            </w:r>
          </w:p>
        </w:tc>
      </w:tr>
      <w:tr w:rsidR="00527C4C" w14:paraId="7FFFE66A" w14:textId="77777777" w:rsidTr="00175385">
        <w:trPr>
          <w:trHeight w:val="360"/>
        </w:trPr>
        <w:tc>
          <w:tcPr>
            <w:tcW w:w="993" w:type="dxa"/>
            <w:tcBorders>
              <w:top w:val="nil"/>
              <w:left w:val="nil"/>
              <w:bottom w:val="nil"/>
              <w:right w:val="nil"/>
            </w:tcBorders>
            <w:vAlign w:val="center"/>
          </w:tcPr>
          <w:p w14:paraId="7FFFE66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7FFFE66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7FFFE66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527C4C" w14:paraId="7FFFE66E" w14:textId="77777777" w:rsidTr="00175385">
        <w:trPr>
          <w:trHeight w:val="360"/>
        </w:trPr>
        <w:tc>
          <w:tcPr>
            <w:tcW w:w="993" w:type="dxa"/>
            <w:tcBorders>
              <w:top w:val="nil"/>
              <w:left w:val="nil"/>
              <w:bottom w:val="nil"/>
              <w:right w:val="nil"/>
            </w:tcBorders>
            <w:vAlign w:val="center"/>
          </w:tcPr>
          <w:p w14:paraId="7FFFE66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7FFFE66C" w14:textId="77777777" w:rsidR="008A78E3" w:rsidRPr="006A6890" w:rsidRDefault="008A78E3"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7FFFE66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527C4C" w14:paraId="7FFFE672" w14:textId="77777777" w:rsidTr="00175385">
        <w:trPr>
          <w:trHeight w:val="360"/>
        </w:trPr>
        <w:tc>
          <w:tcPr>
            <w:tcW w:w="993" w:type="dxa"/>
            <w:tcBorders>
              <w:top w:val="nil"/>
              <w:left w:val="nil"/>
              <w:bottom w:val="nil"/>
              <w:right w:val="nil"/>
            </w:tcBorders>
            <w:vAlign w:val="center"/>
          </w:tcPr>
          <w:p w14:paraId="7FFFE66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7FFFE67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7FFFE67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527C4C" w14:paraId="7FFFE676" w14:textId="77777777" w:rsidTr="00175385">
        <w:trPr>
          <w:trHeight w:val="360"/>
        </w:trPr>
        <w:tc>
          <w:tcPr>
            <w:tcW w:w="993" w:type="dxa"/>
            <w:tcBorders>
              <w:top w:val="nil"/>
              <w:left w:val="nil"/>
              <w:bottom w:val="nil"/>
              <w:right w:val="nil"/>
            </w:tcBorders>
            <w:vAlign w:val="center"/>
          </w:tcPr>
          <w:p w14:paraId="7FFFE67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7FFFE67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Basic Indicator Approach</w:t>
            </w:r>
          </w:p>
        </w:tc>
        <w:tc>
          <w:tcPr>
            <w:tcW w:w="4536" w:type="dxa"/>
            <w:tcBorders>
              <w:top w:val="nil"/>
              <w:left w:val="nil"/>
              <w:bottom w:val="nil"/>
              <w:right w:val="nil"/>
            </w:tcBorders>
            <w:vAlign w:val="center"/>
          </w:tcPr>
          <w:p w14:paraId="7FFFE67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527C4C" w14:paraId="7FFFE67A" w14:textId="77777777" w:rsidTr="00175385">
        <w:trPr>
          <w:trHeight w:val="360"/>
        </w:trPr>
        <w:tc>
          <w:tcPr>
            <w:tcW w:w="993" w:type="dxa"/>
            <w:tcBorders>
              <w:top w:val="nil"/>
              <w:left w:val="nil"/>
              <w:bottom w:val="nil"/>
              <w:right w:val="nil"/>
            </w:tcBorders>
            <w:vAlign w:val="center"/>
          </w:tcPr>
          <w:p w14:paraId="7FFFE67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7FFFE67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Business Model Analysis</w:t>
            </w:r>
          </w:p>
        </w:tc>
        <w:tc>
          <w:tcPr>
            <w:tcW w:w="4536" w:type="dxa"/>
            <w:tcBorders>
              <w:top w:val="nil"/>
              <w:left w:val="nil"/>
              <w:bottom w:val="nil"/>
              <w:right w:val="nil"/>
            </w:tcBorders>
            <w:vAlign w:val="center"/>
          </w:tcPr>
          <w:p w14:paraId="7FFFE67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üzleti modell elemzés</w:t>
            </w:r>
          </w:p>
        </w:tc>
      </w:tr>
      <w:tr w:rsidR="00527C4C" w14:paraId="7FFFE67E" w14:textId="77777777" w:rsidTr="00175385">
        <w:trPr>
          <w:trHeight w:val="360"/>
        </w:trPr>
        <w:tc>
          <w:tcPr>
            <w:tcW w:w="993" w:type="dxa"/>
            <w:tcBorders>
              <w:top w:val="nil"/>
              <w:left w:val="nil"/>
              <w:bottom w:val="nil"/>
              <w:right w:val="nil"/>
            </w:tcBorders>
            <w:vAlign w:val="center"/>
          </w:tcPr>
          <w:p w14:paraId="7FFFE67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7FFFE67C"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7D" w14:textId="77777777" w:rsidR="008A78E3" w:rsidRPr="006A6890" w:rsidRDefault="008A78E3" w:rsidP="00181DC0">
            <w:pPr>
              <w:rPr>
                <w:rFonts w:asciiTheme="minorHAnsi" w:hAnsiTheme="minorHAnsi"/>
                <w:sz w:val="20"/>
                <w:szCs w:val="20"/>
              </w:rPr>
            </w:pPr>
          </w:p>
        </w:tc>
      </w:tr>
      <w:tr w:rsidR="00527C4C" w14:paraId="7FFFE682" w14:textId="77777777" w:rsidTr="00175385">
        <w:trPr>
          <w:trHeight w:val="360"/>
        </w:trPr>
        <w:tc>
          <w:tcPr>
            <w:tcW w:w="993" w:type="dxa"/>
            <w:tcBorders>
              <w:top w:val="nil"/>
              <w:left w:val="nil"/>
              <w:bottom w:val="nil"/>
              <w:right w:val="nil"/>
            </w:tcBorders>
            <w:vAlign w:val="center"/>
          </w:tcPr>
          <w:p w14:paraId="7FFFE67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7FFFE68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7FFFE68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527C4C" w14:paraId="7FFFE686" w14:textId="77777777" w:rsidTr="00175385">
        <w:trPr>
          <w:trHeight w:val="360"/>
        </w:trPr>
        <w:tc>
          <w:tcPr>
            <w:tcW w:w="993" w:type="dxa"/>
            <w:tcBorders>
              <w:top w:val="nil"/>
              <w:left w:val="nil"/>
              <w:bottom w:val="nil"/>
              <w:right w:val="nil"/>
            </w:tcBorders>
            <w:vAlign w:val="center"/>
          </w:tcPr>
          <w:p w14:paraId="7FFFE68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7FFFE68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7FFFE68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527C4C" w14:paraId="7FFFE68A" w14:textId="77777777" w:rsidTr="00175385">
        <w:trPr>
          <w:trHeight w:val="360"/>
        </w:trPr>
        <w:tc>
          <w:tcPr>
            <w:tcW w:w="993" w:type="dxa"/>
            <w:tcBorders>
              <w:top w:val="nil"/>
              <w:left w:val="nil"/>
              <w:bottom w:val="nil"/>
              <w:right w:val="nil"/>
            </w:tcBorders>
            <w:vAlign w:val="center"/>
          </w:tcPr>
          <w:p w14:paraId="7FFFE68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7FFFE68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7FFFE68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527C4C" w14:paraId="7FFFE68E" w14:textId="77777777" w:rsidTr="00175385">
        <w:trPr>
          <w:trHeight w:val="360"/>
        </w:trPr>
        <w:tc>
          <w:tcPr>
            <w:tcW w:w="993" w:type="dxa"/>
            <w:tcBorders>
              <w:top w:val="nil"/>
              <w:left w:val="nil"/>
              <w:bottom w:val="nil"/>
              <w:right w:val="nil"/>
            </w:tcBorders>
            <w:vAlign w:val="center"/>
          </w:tcPr>
          <w:p w14:paraId="7FFFE68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7FFFE68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Central Counterparty</w:t>
            </w:r>
          </w:p>
        </w:tc>
        <w:tc>
          <w:tcPr>
            <w:tcW w:w="4536" w:type="dxa"/>
            <w:tcBorders>
              <w:top w:val="nil"/>
              <w:left w:val="nil"/>
              <w:bottom w:val="nil"/>
              <w:right w:val="nil"/>
            </w:tcBorders>
            <w:vAlign w:val="center"/>
          </w:tcPr>
          <w:p w14:paraId="7FFFE68D" w14:textId="77777777" w:rsidR="008A78E3" w:rsidRPr="006A6890" w:rsidRDefault="008A78E3" w:rsidP="00A82A54">
            <w:pPr>
              <w:rPr>
                <w:rFonts w:asciiTheme="minorHAnsi" w:hAnsiTheme="minorHAnsi"/>
                <w:sz w:val="20"/>
                <w:szCs w:val="20"/>
              </w:rPr>
            </w:pPr>
            <w:r w:rsidRPr="006A6890">
              <w:rPr>
                <w:rFonts w:asciiTheme="minorHAnsi" w:hAnsiTheme="minorHAnsi"/>
                <w:sz w:val="20"/>
                <w:szCs w:val="20"/>
              </w:rPr>
              <w:t>központi szerződő fél</w:t>
            </w:r>
          </w:p>
        </w:tc>
      </w:tr>
      <w:tr w:rsidR="00527C4C" w14:paraId="7FFFE692" w14:textId="77777777" w:rsidTr="00175385">
        <w:trPr>
          <w:trHeight w:val="360"/>
        </w:trPr>
        <w:tc>
          <w:tcPr>
            <w:tcW w:w="993" w:type="dxa"/>
            <w:tcBorders>
              <w:top w:val="nil"/>
              <w:left w:val="nil"/>
              <w:bottom w:val="nil"/>
              <w:right w:val="nil"/>
            </w:tcBorders>
            <w:vAlign w:val="center"/>
          </w:tcPr>
          <w:p w14:paraId="7FFFE68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7FFFE69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7FFFE691" w14:textId="77777777" w:rsidR="008A78E3" w:rsidRPr="006A6890" w:rsidRDefault="008A78E3" w:rsidP="00D10772">
            <w:pPr>
              <w:rPr>
                <w:rFonts w:asciiTheme="minorHAnsi" w:hAnsiTheme="minorHAnsi"/>
                <w:sz w:val="20"/>
                <w:szCs w:val="20"/>
              </w:rPr>
            </w:pPr>
            <w:r>
              <w:rPr>
                <w:rStyle w:val="cf01"/>
              </w:rPr>
              <w:t>2013/36/EU irányelv</w:t>
            </w:r>
          </w:p>
        </w:tc>
      </w:tr>
      <w:tr w:rsidR="00527C4C" w14:paraId="7FFFE696" w14:textId="77777777" w:rsidTr="00175385">
        <w:trPr>
          <w:trHeight w:val="360"/>
        </w:trPr>
        <w:tc>
          <w:tcPr>
            <w:tcW w:w="993" w:type="dxa"/>
            <w:tcBorders>
              <w:top w:val="nil"/>
              <w:left w:val="nil"/>
              <w:bottom w:val="nil"/>
              <w:right w:val="nil"/>
            </w:tcBorders>
            <w:vAlign w:val="center"/>
          </w:tcPr>
          <w:p w14:paraId="7FFFE693" w14:textId="77777777" w:rsidR="008A78E3" w:rsidRPr="006A6890" w:rsidRDefault="008A78E3" w:rsidP="00D10772">
            <w:pPr>
              <w:rPr>
                <w:rFonts w:asciiTheme="minorHAnsi" w:hAnsiTheme="minorHAnsi"/>
                <w:sz w:val="20"/>
                <w:szCs w:val="20"/>
              </w:rPr>
            </w:pPr>
          </w:p>
        </w:tc>
        <w:tc>
          <w:tcPr>
            <w:tcW w:w="4138" w:type="dxa"/>
            <w:tcBorders>
              <w:top w:val="nil"/>
              <w:left w:val="nil"/>
              <w:bottom w:val="nil"/>
              <w:right w:val="nil"/>
            </w:tcBorders>
            <w:vAlign w:val="center"/>
          </w:tcPr>
          <w:p w14:paraId="7FFFE694"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95" w14:textId="77777777" w:rsidR="008A78E3" w:rsidRPr="006A6890" w:rsidRDefault="008A78E3" w:rsidP="00D10772">
            <w:pPr>
              <w:rPr>
                <w:rFonts w:asciiTheme="minorHAnsi" w:hAnsiTheme="minorHAnsi"/>
                <w:sz w:val="20"/>
                <w:szCs w:val="20"/>
              </w:rPr>
            </w:pPr>
          </w:p>
        </w:tc>
      </w:tr>
      <w:tr w:rsidR="00527C4C" w14:paraId="7FFFE69A" w14:textId="77777777" w:rsidTr="00175385">
        <w:trPr>
          <w:trHeight w:val="360"/>
        </w:trPr>
        <w:tc>
          <w:tcPr>
            <w:tcW w:w="993" w:type="dxa"/>
            <w:tcBorders>
              <w:top w:val="nil"/>
              <w:left w:val="nil"/>
              <w:bottom w:val="nil"/>
              <w:right w:val="nil"/>
            </w:tcBorders>
            <w:vAlign w:val="center"/>
          </w:tcPr>
          <w:p w14:paraId="7FFFE697" w14:textId="77777777" w:rsidR="008A78E3" w:rsidRPr="006A6890" w:rsidRDefault="008A78E3" w:rsidP="00D10772">
            <w:pPr>
              <w:rPr>
                <w:rFonts w:asciiTheme="minorHAnsi" w:hAnsiTheme="minorHAnsi"/>
                <w:sz w:val="20"/>
                <w:szCs w:val="20"/>
              </w:rPr>
            </w:pPr>
          </w:p>
        </w:tc>
        <w:tc>
          <w:tcPr>
            <w:tcW w:w="4138" w:type="dxa"/>
            <w:tcBorders>
              <w:top w:val="nil"/>
              <w:left w:val="nil"/>
              <w:bottom w:val="nil"/>
              <w:right w:val="nil"/>
            </w:tcBorders>
            <w:vAlign w:val="center"/>
          </w:tcPr>
          <w:p w14:paraId="7FFFE698"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99" w14:textId="77777777" w:rsidR="008A78E3" w:rsidRPr="006A6890" w:rsidRDefault="008A78E3" w:rsidP="00D10772">
            <w:pPr>
              <w:rPr>
                <w:rFonts w:asciiTheme="minorHAnsi" w:hAnsiTheme="minorHAnsi"/>
                <w:sz w:val="20"/>
                <w:szCs w:val="20"/>
              </w:rPr>
            </w:pPr>
          </w:p>
        </w:tc>
      </w:tr>
      <w:tr w:rsidR="00527C4C" w14:paraId="7FFFE69E" w14:textId="77777777" w:rsidTr="00175385">
        <w:trPr>
          <w:trHeight w:val="426"/>
        </w:trPr>
        <w:tc>
          <w:tcPr>
            <w:tcW w:w="993" w:type="dxa"/>
            <w:tcBorders>
              <w:top w:val="nil"/>
              <w:left w:val="nil"/>
              <w:bottom w:val="nil"/>
              <w:right w:val="nil"/>
            </w:tcBorders>
            <w:vAlign w:val="center"/>
          </w:tcPr>
          <w:p w14:paraId="7FFFE69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7FFFE69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7FFFE69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vonatkozó prudenciális követelményekről és a 648/2012/EU rendelet módosításáról</w:t>
            </w:r>
          </w:p>
        </w:tc>
      </w:tr>
      <w:tr w:rsidR="00527C4C" w14:paraId="7FFFE6A2" w14:textId="77777777" w:rsidTr="00175385">
        <w:trPr>
          <w:trHeight w:val="426"/>
        </w:trPr>
        <w:tc>
          <w:tcPr>
            <w:tcW w:w="993" w:type="dxa"/>
            <w:tcBorders>
              <w:top w:val="nil"/>
              <w:left w:val="nil"/>
              <w:bottom w:val="nil"/>
              <w:right w:val="nil"/>
            </w:tcBorders>
            <w:vAlign w:val="center"/>
          </w:tcPr>
          <w:p w14:paraId="7FFFE69F" w14:textId="77777777" w:rsidR="008A78E3" w:rsidRPr="006A6890" w:rsidRDefault="008A78E3" w:rsidP="00D10772">
            <w:pPr>
              <w:rPr>
                <w:rFonts w:asciiTheme="minorHAnsi" w:hAnsiTheme="minorHAnsi"/>
                <w:sz w:val="20"/>
                <w:szCs w:val="20"/>
              </w:rPr>
            </w:pPr>
          </w:p>
        </w:tc>
        <w:tc>
          <w:tcPr>
            <w:tcW w:w="4138" w:type="dxa"/>
            <w:tcBorders>
              <w:top w:val="nil"/>
              <w:left w:val="nil"/>
              <w:bottom w:val="nil"/>
              <w:right w:val="nil"/>
            </w:tcBorders>
            <w:vAlign w:val="center"/>
          </w:tcPr>
          <w:p w14:paraId="7FFFE6A0"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A1" w14:textId="77777777" w:rsidR="008A78E3" w:rsidRPr="006A6890" w:rsidRDefault="008A78E3" w:rsidP="00D10772">
            <w:pPr>
              <w:rPr>
                <w:rFonts w:asciiTheme="minorHAnsi" w:hAnsiTheme="minorHAnsi"/>
                <w:sz w:val="20"/>
                <w:szCs w:val="20"/>
              </w:rPr>
            </w:pPr>
          </w:p>
        </w:tc>
      </w:tr>
      <w:tr w:rsidR="00527C4C" w14:paraId="7FFFE6A6" w14:textId="77777777" w:rsidTr="00175385">
        <w:trPr>
          <w:trHeight w:val="360"/>
        </w:trPr>
        <w:tc>
          <w:tcPr>
            <w:tcW w:w="993" w:type="dxa"/>
            <w:tcBorders>
              <w:top w:val="nil"/>
              <w:left w:val="nil"/>
              <w:bottom w:val="nil"/>
              <w:right w:val="nil"/>
            </w:tcBorders>
            <w:vAlign w:val="center"/>
          </w:tcPr>
          <w:p w14:paraId="7FFFE6A3" w14:textId="77777777" w:rsidR="008A78E3" w:rsidRPr="006A6890" w:rsidRDefault="008A78E3" w:rsidP="00D10772">
            <w:pPr>
              <w:rPr>
                <w:rFonts w:asciiTheme="minorHAnsi" w:hAnsiTheme="minorHAnsi"/>
                <w:sz w:val="20"/>
                <w:szCs w:val="20"/>
              </w:rPr>
            </w:pPr>
          </w:p>
        </w:tc>
        <w:tc>
          <w:tcPr>
            <w:tcW w:w="4138" w:type="dxa"/>
            <w:tcBorders>
              <w:top w:val="nil"/>
              <w:left w:val="nil"/>
              <w:bottom w:val="nil"/>
              <w:right w:val="nil"/>
            </w:tcBorders>
            <w:vAlign w:val="center"/>
          </w:tcPr>
          <w:p w14:paraId="7FFFE6A4"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A5" w14:textId="77777777" w:rsidR="008A78E3" w:rsidRPr="006A6890" w:rsidRDefault="008A78E3" w:rsidP="00D10772">
            <w:pPr>
              <w:rPr>
                <w:rFonts w:asciiTheme="minorHAnsi" w:hAnsiTheme="minorHAnsi"/>
                <w:sz w:val="20"/>
                <w:szCs w:val="20"/>
              </w:rPr>
            </w:pPr>
          </w:p>
        </w:tc>
      </w:tr>
      <w:tr w:rsidR="00527C4C" w14:paraId="7FFFE6AA" w14:textId="77777777" w:rsidTr="00175385">
        <w:trPr>
          <w:trHeight w:val="360"/>
        </w:trPr>
        <w:tc>
          <w:tcPr>
            <w:tcW w:w="993" w:type="dxa"/>
            <w:tcBorders>
              <w:top w:val="nil"/>
              <w:left w:val="nil"/>
              <w:bottom w:val="nil"/>
              <w:right w:val="nil"/>
            </w:tcBorders>
            <w:vAlign w:val="center"/>
          </w:tcPr>
          <w:p w14:paraId="7FFFE6A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7FFFE6A8"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7FFFE6A9"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hitelértékelési korrekció</w:t>
            </w:r>
          </w:p>
        </w:tc>
      </w:tr>
      <w:tr w:rsidR="00527C4C" w14:paraId="7FFFE6AE" w14:textId="77777777" w:rsidTr="00175385">
        <w:trPr>
          <w:trHeight w:val="360"/>
        </w:trPr>
        <w:tc>
          <w:tcPr>
            <w:tcW w:w="993" w:type="dxa"/>
            <w:tcBorders>
              <w:top w:val="nil"/>
              <w:left w:val="nil"/>
              <w:bottom w:val="nil"/>
              <w:right w:val="nil"/>
            </w:tcBorders>
            <w:vAlign w:val="center"/>
          </w:tcPr>
          <w:p w14:paraId="7FFFE6A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7FFFE6AC" w14:textId="77777777" w:rsidR="008A78E3" w:rsidRPr="006A6890" w:rsidRDefault="008A78E3"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7FFFE6AD" w14:textId="77777777" w:rsidR="008A78E3" w:rsidRPr="006A6890" w:rsidRDefault="008A78E3" w:rsidP="002E4AB1">
            <w:pPr>
              <w:rPr>
                <w:rFonts w:asciiTheme="minorHAnsi" w:hAnsiTheme="minorHAnsi"/>
                <w:sz w:val="20"/>
                <w:szCs w:val="20"/>
              </w:rPr>
            </w:pPr>
            <w:r w:rsidRPr="006A6890">
              <w:rPr>
                <w:rFonts w:asciiTheme="minorHAnsi" w:hAnsiTheme="minorHAnsi"/>
                <w:sz w:val="20"/>
                <w:szCs w:val="20"/>
              </w:rPr>
              <w:t>A Bizottság (EU) 2015/61 felhatalmazáson alapuló rendelete (2014. október 10.) az 575/2013/EU európai parlamenti és tanácsi rendeletnek a hitelintézetekre vonatkozó likviditásfedezeti követelmények tekintetében történő kiegészítéséről</w:t>
            </w:r>
          </w:p>
        </w:tc>
      </w:tr>
      <w:tr w:rsidR="00527C4C" w14:paraId="7FFFE6B2" w14:textId="77777777" w:rsidTr="00175385">
        <w:trPr>
          <w:trHeight w:val="360"/>
        </w:trPr>
        <w:tc>
          <w:tcPr>
            <w:tcW w:w="993" w:type="dxa"/>
            <w:tcBorders>
              <w:top w:val="nil"/>
              <w:left w:val="nil"/>
              <w:bottom w:val="nil"/>
              <w:right w:val="nil"/>
            </w:tcBorders>
            <w:vAlign w:val="center"/>
          </w:tcPr>
          <w:p w14:paraId="7FFFE6A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7FFFE6B0"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B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527C4C" w14:paraId="7FFFE6B6" w14:textId="77777777" w:rsidTr="00175385">
        <w:trPr>
          <w:trHeight w:val="360"/>
        </w:trPr>
        <w:tc>
          <w:tcPr>
            <w:tcW w:w="993" w:type="dxa"/>
            <w:tcBorders>
              <w:top w:val="nil"/>
              <w:left w:val="nil"/>
              <w:bottom w:val="nil"/>
              <w:right w:val="nil"/>
            </w:tcBorders>
            <w:vAlign w:val="center"/>
          </w:tcPr>
          <w:p w14:paraId="7FFFE6B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7FFFE6B4" w14:textId="77777777" w:rsidR="008A78E3" w:rsidRPr="006A6890" w:rsidRDefault="008A78E3" w:rsidP="00163159">
            <w:pPr>
              <w:rPr>
                <w:rFonts w:asciiTheme="minorHAnsi" w:hAnsiTheme="minorHAnsi"/>
                <w:sz w:val="20"/>
                <w:szCs w:val="20"/>
              </w:rPr>
            </w:pPr>
            <w:r w:rsidRPr="006A6890">
              <w:rPr>
                <w:rFonts w:asciiTheme="minorHAnsi" w:hAnsiTheme="minorHAnsi"/>
                <w:sz w:val="20"/>
                <w:szCs w:val="20"/>
              </w:rPr>
              <w:t xml:space="preserve">Delivery Versus Payment </w:t>
            </w:r>
          </w:p>
        </w:tc>
        <w:tc>
          <w:tcPr>
            <w:tcW w:w="4536" w:type="dxa"/>
            <w:tcBorders>
              <w:top w:val="nil"/>
              <w:left w:val="nil"/>
              <w:bottom w:val="nil"/>
              <w:right w:val="nil"/>
            </w:tcBorders>
            <w:vAlign w:val="center"/>
          </w:tcPr>
          <w:p w14:paraId="7FFFE6B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527C4C" w14:paraId="7FFFE6BA" w14:textId="77777777" w:rsidTr="00175385">
        <w:trPr>
          <w:trHeight w:val="360"/>
        </w:trPr>
        <w:tc>
          <w:tcPr>
            <w:tcW w:w="993" w:type="dxa"/>
            <w:tcBorders>
              <w:top w:val="nil"/>
              <w:left w:val="nil"/>
              <w:bottom w:val="nil"/>
              <w:right w:val="nil"/>
            </w:tcBorders>
            <w:vAlign w:val="center"/>
          </w:tcPr>
          <w:p w14:paraId="7FFFE6B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7FFFE6B8" w14:textId="77777777" w:rsidR="008A78E3" w:rsidRPr="006A6890" w:rsidRDefault="008A78E3" w:rsidP="00163159">
            <w:pPr>
              <w:rPr>
                <w:rFonts w:asciiTheme="minorHAnsi" w:hAnsiTheme="minorHAnsi"/>
                <w:sz w:val="20"/>
                <w:szCs w:val="20"/>
              </w:rPr>
            </w:pPr>
            <w:r w:rsidRPr="006A6890">
              <w:rPr>
                <w:rFonts w:asciiTheme="minorHAnsi" w:hAnsiTheme="minorHAnsi"/>
                <w:sz w:val="20"/>
                <w:szCs w:val="20"/>
              </w:rPr>
              <w:t>Exposure At Default</w:t>
            </w:r>
          </w:p>
        </w:tc>
        <w:tc>
          <w:tcPr>
            <w:tcW w:w="4536" w:type="dxa"/>
            <w:tcBorders>
              <w:top w:val="nil"/>
              <w:left w:val="nil"/>
              <w:bottom w:val="nil"/>
              <w:right w:val="nil"/>
            </w:tcBorders>
            <w:vAlign w:val="center"/>
          </w:tcPr>
          <w:p w14:paraId="7FFFE6B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527C4C" w14:paraId="7FFFE6BE" w14:textId="77777777" w:rsidTr="00175385">
        <w:trPr>
          <w:trHeight w:val="360"/>
        </w:trPr>
        <w:tc>
          <w:tcPr>
            <w:tcW w:w="993" w:type="dxa"/>
            <w:tcBorders>
              <w:top w:val="nil"/>
              <w:left w:val="nil"/>
              <w:bottom w:val="nil"/>
              <w:right w:val="nil"/>
            </w:tcBorders>
            <w:vAlign w:val="center"/>
          </w:tcPr>
          <w:p w14:paraId="7FFFE6B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7FFFE6B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7FFFE6BD" w14:textId="77777777" w:rsidR="008A78E3" w:rsidRPr="006A6890" w:rsidRDefault="008A78E3" w:rsidP="00A82A54">
            <w:pPr>
              <w:rPr>
                <w:rFonts w:asciiTheme="minorHAnsi" w:hAnsiTheme="minorHAnsi"/>
                <w:sz w:val="20"/>
                <w:szCs w:val="20"/>
              </w:rPr>
            </w:pPr>
            <w:r w:rsidRPr="006A6890">
              <w:rPr>
                <w:rFonts w:asciiTheme="minorHAnsi" w:hAnsiTheme="minorHAnsi"/>
                <w:sz w:val="20"/>
                <w:szCs w:val="20"/>
              </w:rPr>
              <w:t>Európai Bankhatóság</w:t>
            </w:r>
          </w:p>
        </w:tc>
      </w:tr>
      <w:tr w:rsidR="00527C4C" w14:paraId="7FFFE6C2" w14:textId="77777777" w:rsidTr="00175385">
        <w:trPr>
          <w:trHeight w:val="360"/>
        </w:trPr>
        <w:tc>
          <w:tcPr>
            <w:tcW w:w="993" w:type="dxa"/>
            <w:tcBorders>
              <w:top w:val="nil"/>
              <w:left w:val="nil"/>
              <w:bottom w:val="nil"/>
              <w:right w:val="nil"/>
            </w:tcBorders>
            <w:vAlign w:val="center"/>
          </w:tcPr>
          <w:p w14:paraId="7FFFE6B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7FFFE6C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7FFFE6C1" w14:textId="77777777" w:rsidR="008A78E3" w:rsidRPr="006A6890" w:rsidRDefault="008A78E3" w:rsidP="00A82A54">
            <w:pPr>
              <w:rPr>
                <w:rFonts w:asciiTheme="minorHAnsi" w:hAnsiTheme="minorHAnsi"/>
                <w:sz w:val="20"/>
                <w:szCs w:val="20"/>
              </w:rPr>
            </w:pPr>
            <w:r w:rsidRPr="006A6890">
              <w:rPr>
                <w:rFonts w:asciiTheme="minorHAnsi" w:hAnsiTheme="minorHAnsi"/>
                <w:sz w:val="20"/>
                <w:szCs w:val="20"/>
              </w:rPr>
              <w:t>várható veszteség</w:t>
            </w:r>
          </w:p>
        </w:tc>
      </w:tr>
      <w:tr w:rsidR="00527C4C" w14:paraId="7FFFE6C6" w14:textId="77777777" w:rsidTr="00175385">
        <w:trPr>
          <w:trHeight w:val="360"/>
        </w:trPr>
        <w:tc>
          <w:tcPr>
            <w:tcW w:w="993" w:type="dxa"/>
            <w:tcBorders>
              <w:top w:val="nil"/>
              <w:left w:val="nil"/>
              <w:bottom w:val="nil"/>
              <w:right w:val="nil"/>
            </w:tcBorders>
            <w:vAlign w:val="center"/>
          </w:tcPr>
          <w:p w14:paraId="7FFFE6C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7FFFE6C4"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6C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Európai Gazdasági Térség</w:t>
            </w:r>
          </w:p>
        </w:tc>
      </w:tr>
      <w:tr w:rsidR="00527C4C" w14:paraId="7FFFE6CA" w14:textId="77777777" w:rsidTr="00175385">
        <w:trPr>
          <w:trHeight w:val="360"/>
        </w:trPr>
        <w:tc>
          <w:tcPr>
            <w:tcW w:w="993" w:type="dxa"/>
            <w:tcBorders>
              <w:top w:val="nil"/>
              <w:left w:val="nil"/>
              <w:bottom w:val="nil"/>
              <w:right w:val="nil"/>
            </w:tcBorders>
            <w:vAlign w:val="center"/>
          </w:tcPr>
          <w:p w14:paraId="7FFFE6C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7FFFE6C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7FFFE6C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belső minősítésen alapuló módszer alap változata (hitelkockázat – PD becslés)</w:t>
            </w:r>
          </w:p>
        </w:tc>
      </w:tr>
      <w:tr w:rsidR="00527C4C" w14:paraId="7FFFE6CE" w14:textId="77777777" w:rsidTr="00175385">
        <w:trPr>
          <w:trHeight w:val="360"/>
        </w:trPr>
        <w:tc>
          <w:tcPr>
            <w:tcW w:w="993" w:type="dxa"/>
            <w:tcBorders>
              <w:top w:val="nil"/>
              <w:left w:val="nil"/>
              <w:bottom w:val="nil"/>
              <w:right w:val="nil"/>
            </w:tcBorders>
            <w:vAlign w:val="center"/>
          </w:tcPr>
          <w:p w14:paraId="7FFFE6C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7FFFE6CC" w14:textId="77777777" w:rsidR="008A78E3" w:rsidRPr="006A6890" w:rsidRDefault="008A78E3"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7FFFE6CD" w14:textId="77777777" w:rsidR="008A78E3" w:rsidRPr="006A6890" w:rsidRDefault="008A78E3"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527C4C" w14:paraId="7FFFE6D2" w14:textId="77777777" w:rsidTr="00175385">
        <w:trPr>
          <w:trHeight w:val="360"/>
        </w:trPr>
        <w:tc>
          <w:tcPr>
            <w:tcW w:w="993" w:type="dxa"/>
            <w:tcBorders>
              <w:top w:val="nil"/>
              <w:left w:val="nil"/>
              <w:bottom w:val="nil"/>
              <w:right w:val="nil"/>
            </w:tcBorders>
            <w:vAlign w:val="center"/>
          </w:tcPr>
          <w:p w14:paraId="7FFFE6C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7FFFE6D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7FFFE6D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527C4C" w14:paraId="7FFFE6D6" w14:textId="77777777" w:rsidTr="00175385">
        <w:trPr>
          <w:trHeight w:val="360"/>
        </w:trPr>
        <w:tc>
          <w:tcPr>
            <w:tcW w:w="993" w:type="dxa"/>
            <w:tcBorders>
              <w:top w:val="nil"/>
              <w:left w:val="nil"/>
              <w:bottom w:val="nil"/>
              <w:right w:val="nil"/>
            </w:tcBorders>
            <w:vAlign w:val="center"/>
          </w:tcPr>
          <w:p w14:paraId="7FFFE6D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7FFFE6D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7FFFE6D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Intergiro</w:t>
            </w:r>
          </w:p>
        </w:tc>
      </w:tr>
      <w:tr w:rsidR="00527C4C" w14:paraId="7FFFE6DA" w14:textId="77777777" w:rsidTr="00175385">
        <w:trPr>
          <w:trHeight w:val="360"/>
        </w:trPr>
        <w:tc>
          <w:tcPr>
            <w:tcW w:w="993" w:type="dxa"/>
            <w:tcBorders>
              <w:top w:val="nil"/>
              <w:left w:val="nil"/>
              <w:bottom w:val="nil"/>
              <w:right w:val="nil"/>
            </w:tcBorders>
            <w:vAlign w:val="center"/>
          </w:tcPr>
          <w:p w14:paraId="7FFFE6D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7FFFE6D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7FFFE6D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527C4C" w14:paraId="7FFFE6DE" w14:textId="77777777" w:rsidTr="00175385">
        <w:trPr>
          <w:trHeight w:val="360"/>
        </w:trPr>
        <w:tc>
          <w:tcPr>
            <w:tcW w:w="993" w:type="dxa"/>
            <w:tcBorders>
              <w:top w:val="nil"/>
              <w:left w:val="nil"/>
              <w:bottom w:val="nil"/>
              <w:right w:val="nil"/>
            </w:tcBorders>
            <w:vAlign w:val="center"/>
          </w:tcPr>
          <w:p w14:paraId="7FFFE6D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7FFFE6D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7FFFE6D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belső minősítésen alapuló módszer (hitelkockázat)</w:t>
            </w:r>
          </w:p>
        </w:tc>
      </w:tr>
      <w:tr w:rsidR="00527C4C" w14:paraId="7FFFE6E2" w14:textId="77777777" w:rsidTr="00175385">
        <w:trPr>
          <w:trHeight w:val="360"/>
        </w:trPr>
        <w:tc>
          <w:tcPr>
            <w:tcW w:w="993" w:type="dxa"/>
            <w:tcBorders>
              <w:top w:val="nil"/>
              <w:left w:val="nil"/>
              <w:bottom w:val="nil"/>
              <w:right w:val="nil"/>
            </w:tcBorders>
            <w:vAlign w:val="center"/>
          </w:tcPr>
          <w:p w14:paraId="7FFFE6D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7FFFE6E0" w14:textId="77777777" w:rsidR="008A78E3" w:rsidRPr="006A6890" w:rsidRDefault="008A78E3"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7FFFE6E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banki könyvi kamatlábkockázat</w:t>
            </w:r>
          </w:p>
        </w:tc>
      </w:tr>
      <w:tr w:rsidR="00527C4C" w14:paraId="7FFFE6E6" w14:textId="77777777" w:rsidTr="00175385">
        <w:trPr>
          <w:trHeight w:val="360"/>
        </w:trPr>
        <w:tc>
          <w:tcPr>
            <w:tcW w:w="993" w:type="dxa"/>
            <w:tcBorders>
              <w:top w:val="nil"/>
              <w:left w:val="nil"/>
              <w:bottom w:val="nil"/>
              <w:right w:val="nil"/>
            </w:tcBorders>
            <w:vAlign w:val="center"/>
          </w:tcPr>
          <w:p w14:paraId="7FFFE6E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7FFFE6E4" w14:textId="77777777" w:rsidR="008A78E3" w:rsidRPr="006A6890" w:rsidRDefault="008A78E3"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7FFFE6E5" w14:textId="77777777" w:rsidR="008A78E3" w:rsidRPr="006A6890" w:rsidRDefault="008A78E3" w:rsidP="004067AA">
            <w:pPr>
              <w:rPr>
                <w:rFonts w:asciiTheme="minorHAnsi" w:hAnsiTheme="minorHAnsi"/>
                <w:sz w:val="20"/>
                <w:szCs w:val="20"/>
              </w:rPr>
            </w:pPr>
            <w:r w:rsidRPr="006A6890">
              <w:rPr>
                <w:rFonts w:asciiTheme="minorHAnsi" w:hAnsiTheme="minorHAnsi"/>
                <w:sz w:val="20"/>
                <w:szCs w:val="20"/>
              </w:rPr>
              <w:t>közös kockázatértékelés és együttes döntés</w:t>
            </w:r>
          </w:p>
        </w:tc>
      </w:tr>
      <w:tr w:rsidR="00527C4C" w14:paraId="7FFFE6EA" w14:textId="77777777" w:rsidTr="00175385">
        <w:trPr>
          <w:trHeight w:val="360"/>
        </w:trPr>
        <w:tc>
          <w:tcPr>
            <w:tcW w:w="993" w:type="dxa"/>
            <w:tcBorders>
              <w:top w:val="nil"/>
              <w:left w:val="nil"/>
              <w:bottom w:val="nil"/>
              <w:right w:val="nil"/>
            </w:tcBorders>
            <w:vAlign w:val="center"/>
          </w:tcPr>
          <w:p w14:paraId="7FFFE6E7" w14:textId="77777777" w:rsidR="008A78E3" w:rsidRPr="006A6890" w:rsidRDefault="008A78E3"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7FFFE6E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7FFFE6E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kulcskockázati mutató</w:t>
            </w:r>
          </w:p>
        </w:tc>
      </w:tr>
      <w:tr w:rsidR="00527C4C" w14:paraId="7FFFE6EE" w14:textId="77777777" w:rsidTr="00175385">
        <w:trPr>
          <w:trHeight w:val="360"/>
        </w:trPr>
        <w:tc>
          <w:tcPr>
            <w:tcW w:w="993" w:type="dxa"/>
            <w:tcBorders>
              <w:top w:val="nil"/>
              <w:left w:val="nil"/>
              <w:bottom w:val="nil"/>
              <w:right w:val="nil"/>
            </w:tcBorders>
            <w:vAlign w:val="center"/>
          </w:tcPr>
          <w:p w14:paraId="7FFFE6E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7FFFE6EC" w14:textId="77777777" w:rsidR="008A78E3" w:rsidRPr="006A6890" w:rsidRDefault="008A78E3" w:rsidP="004067AA">
            <w:pPr>
              <w:rPr>
                <w:rFonts w:asciiTheme="minorHAnsi" w:hAnsiTheme="minorHAnsi"/>
                <w:sz w:val="20"/>
                <w:szCs w:val="20"/>
              </w:rPr>
            </w:pPr>
            <w:r w:rsidRPr="006A6890">
              <w:rPr>
                <w:rFonts w:asciiTheme="minorHAnsi" w:hAnsiTheme="minorHAnsi"/>
                <w:sz w:val="20"/>
                <w:szCs w:val="20"/>
              </w:rPr>
              <w:t>Liquidity Contingency Plan</w:t>
            </w:r>
          </w:p>
        </w:tc>
        <w:tc>
          <w:tcPr>
            <w:tcW w:w="4536" w:type="dxa"/>
            <w:tcBorders>
              <w:top w:val="nil"/>
              <w:left w:val="nil"/>
              <w:bottom w:val="nil"/>
              <w:right w:val="nil"/>
            </w:tcBorders>
            <w:vAlign w:val="center"/>
          </w:tcPr>
          <w:p w14:paraId="7FFFE6E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527C4C" w14:paraId="7FFFE6F2" w14:textId="77777777" w:rsidTr="00175385">
        <w:trPr>
          <w:trHeight w:val="360"/>
        </w:trPr>
        <w:tc>
          <w:tcPr>
            <w:tcW w:w="993" w:type="dxa"/>
            <w:tcBorders>
              <w:top w:val="nil"/>
              <w:left w:val="nil"/>
              <w:bottom w:val="nil"/>
              <w:right w:val="nil"/>
            </w:tcBorders>
            <w:vAlign w:val="center"/>
          </w:tcPr>
          <w:p w14:paraId="7FFFE6E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7FFFE6F0" w14:textId="77777777" w:rsidR="008A78E3" w:rsidRPr="006A6890" w:rsidRDefault="008A78E3" w:rsidP="004067AA">
            <w:pPr>
              <w:rPr>
                <w:rFonts w:asciiTheme="minorHAnsi" w:hAnsiTheme="minorHAnsi"/>
                <w:sz w:val="20"/>
                <w:szCs w:val="20"/>
              </w:rPr>
            </w:pPr>
            <w:r w:rsidRPr="006A6890">
              <w:rPr>
                <w:rFonts w:asciiTheme="minorHAnsi" w:hAnsiTheme="minorHAnsi"/>
                <w:sz w:val="20"/>
                <w:szCs w:val="20"/>
              </w:rPr>
              <w:t>Liquidity Coverage Ratio</w:t>
            </w:r>
          </w:p>
        </w:tc>
        <w:tc>
          <w:tcPr>
            <w:tcW w:w="4536" w:type="dxa"/>
            <w:tcBorders>
              <w:top w:val="nil"/>
              <w:left w:val="nil"/>
              <w:bottom w:val="nil"/>
              <w:right w:val="nil"/>
            </w:tcBorders>
            <w:vAlign w:val="center"/>
          </w:tcPr>
          <w:p w14:paraId="7FFFE6F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527C4C" w14:paraId="7FFFE6F6" w14:textId="77777777" w:rsidTr="00175385">
        <w:trPr>
          <w:trHeight w:val="360"/>
        </w:trPr>
        <w:tc>
          <w:tcPr>
            <w:tcW w:w="993" w:type="dxa"/>
            <w:tcBorders>
              <w:top w:val="nil"/>
              <w:left w:val="nil"/>
              <w:bottom w:val="nil"/>
              <w:right w:val="nil"/>
            </w:tcBorders>
            <w:vAlign w:val="center"/>
          </w:tcPr>
          <w:p w14:paraId="7FFFE6F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7FFFE6F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7FFFE6F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nemteljesítéskori veszteségráta</w:t>
            </w:r>
          </w:p>
        </w:tc>
      </w:tr>
      <w:tr w:rsidR="00527C4C" w14:paraId="7FFFE6FA" w14:textId="77777777" w:rsidTr="00175385">
        <w:trPr>
          <w:trHeight w:val="360"/>
        </w:trPr>
        <w:tc>
          <w:tcPr>
            <w:tcW w:w="993" w:type="dxa"/>
            <w:tcBorders>
              <w:top w:val="nil"/>
              <w:left w:val="nil"/>
              <w:bottom w:val="nil"/>
              <w:right w:val="nil"/>
            </w:tcBorders>
            <w:vAlign w:val="center"/>
          </w:tcPr>
          <w:p w14:paraId="7FFFE6F7" w14:textId="77777777" w:rsidR="008A78E3" w:rsidRPr="006A6890" w:rsidRDefault="008A78E3" w:rsidP="00D10772">
            <w:pPr>
              <w:rPr>
                <w:rFonts w:asciiTheme="minorHAnsi" w:hAnsiTheme="minorHAnsi"/>
                <w:sz w:val="20"/>
                <w:szCs w:val="20"/>
              </w:rPr>
            </w:pPr>
            <w:r>
              <w:rPr>
                <w:rFonts w:asciiTheme="minorHAnsi" w:hAnsiTheme="minorHAnsi"/>
                <w:sz w:val="20"/>
                <w:szCs w:val="20"/>
              </w:rPr>
              <w:t>LR</w:t>
            </w:r>
          </w:p>
        </w:tc>
        <w:tc>
          <w:tcPr>
            <w:tcW w:w="4138" w:type="dxa"/>
            <w:tcBorders>
              <w:top w:val="nil"/>
              <w:left w:val="nil"/>
              <w:bottom w:val="nil"/>
              <w:right w:val="nil"/>
            </w:tcBorders>
            <w:vAlign w:val="center"/>
          </w:tcPr>
          <w:p w14:paraId="7FFFE6F8" w14:textId="77777777" w:rsidR="008A78E3" w:rsidRPr="006A6890" w:rsidRDefault="008A78E3" w:rsidP="00D10772">
            <w:pPr>
              <w:rPr>
                <w:rFonts w:asciiTheme="minorHAnsi" w:hAnsiTheme="minorHAnsi"/>
                <w:sz w:val="20"/>
                <w:szCs w:val="20"/>
              </w:rPr>
            </w:pPr>
            <w:r>
              <w:rPr>
                <w:rFonts w:asciiTheme="minorHAnsi" w:hAnsiTheme="minorHAnsi"/>
                <w:sz w:val="20"/>
                <w:szCs w:val="20"/>
              </w:rPr>
              <w:t>Leverage Ratio</w:t>
            </w:r>
          </w:p>
        </w:tc>
        <w:tc>
          <w:tcPr>
            <w:tcW w:w="4536" w:type="dxa"/>
            <w:tcBorders>
              <w:top w:val="nil"/>
              <w:left w:val="nil"/>
              <w:bottom w:val="nil"/>
              <w:right w:val="nil"/>
            </w:tcBorders>
            <w:vAlign w:val="center"/>
          </w:tcPr>
          <w:p w14:paraId="7FFFE6F9" w14:textId="77777777" w:rsidR="008A78E3" w:rsidRPr="006A6890" w:rsidRDefault="008A78E3" w:rsidP="00D10772">
            <w:pPr>
              <w:rPr>
                <w:rFonts w:asciiTheme="minorHAnsi" w:hAnsiTheme="minorHAnsi"/>
                <w:sz w:val="20"/>
                <w:szCs w:val="20"/>
              </w:rPr>
            </w:pPr>
            <w:r>
              <w:rPr>
                <w:rFonts w:asciiTheme="minorHAnsi" w:hAnsiTheme="minorHAnsi"/>
                <w:sz w:val="20"/>
                <w:szCs w:val="20"/>
              </w:rPr>
              <w:t>tőkeáttételi mutató</w:t>
            </w:r>
          </w:p>
        </w:tc>
      </w:tr>
      <w:tr w:rsidR="00527C4C" w14:paraId="7FFFE6FE" w14:textId="77777777" w:rsidTr="00175385">
        <w:trPr>
          <w:trHeight w:val="360"/>
        </w:trPr>
        <w:tc>
          <w:tcPr>
            <w:tcW w:w="993" w:type="dxa"/>
            <w:tcBorders>
              <w:top w:val="nil"/>
              <w:left w:val="nil"/>
              <w:bottom w:val="nil"/>
              <w:right w:val="nil"/>
            </w:tcBorders>
            <w:vAlign w:val="center"/>
          </w:tcPr>
          <w:p w14:paraId="7FFFE6F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7FFFE6F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7FFFE6FD" w14:textId="77777777" w:rsidR="008A78E3" w:rsidRPr="006A6890" w:rsidRDefault="008A78E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527C4C" w14:paraId="7FFFE702" w14:textId="77777777" w:rsidTr="00175385">
        <w:trPr>
          <w:trHeight w:val="360"/>
        </w:trPr>
        <w:tc>
          <w:tcPr>
            <w:tcW w:w="993" w:type="dxa"/>
            <w:tcBorders>
              <w:top w:val="nil"/>
              <w:left w:val="nil"/>
              <w:bottom w:val="nil"/>
              <w:right w:val="nil"/>
            </w:tcBorders>
            <w:vAlign w:val="center"/>
          </w:tcPr>
          <w:p w14:paraId="7FFFE6F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7FFFE700"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701" w14:textId="77777777" w:rsidR="008A78E3" w:rsidRPr="006A6890" w:rsidRDefault="008A78E3"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527C4C" w14:paraId="7FFFE706" w14:textId="77777777" w:rsidTr="00175385">
        <w:trPr>
          <w:trHeight w:val="360"/>
        </w:trPr>
        <w:tc>
          <w:tcPr>
            <w:tcW w:w="993" w:type="dxa"/>
            <w:tcBorders>
              <w:top w:val="nil"/>
              <w:left w:val="nil"/>
              <w:bottom w:val="nil"/>
              <w:right w:val="nil"/>
            </w:tcBorders>
            <w:vAlign w:val="center"/>
          </w:tcPr>
          <w:p w14:paraId="7FFFE70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7FFFE704" w14:textId="77777777" w:rsidR="008A78E3" w:rsidRPr="006A6890" w:rsidRDefault="008A78E3" w:rsidP="00163159">
            <w:pPr>
              <w:rPr>
                <w:rFonts w:asciiTheme="minorHAnsi" w:hAnsiTheme="minorHAnsi"/>
                <w:sz w:val="20"/>
                <w:szCs w:val="20"/>
              </w:rPr>
            </w:pPr>
            <w:r w:rsidRPr="006A6890">
              <w:rPr>
                <w:rFonts w:asciiTheme="minorHAnsi" w:hAnsiTheme="minorHAnsi"/>
                <w:sz w:val="20"/>
                <w:szCs w:val="20"/>
              </w:rPr>
              <w:t>Net Stabil Funding Ratio</w:t>
            </w:r>
          </w:p>
        </w:tc>
        <w:tc>
          <w:tcPr>
            <w:tcW w:w="4536" w:type="dxa"/>
            <w:tcBorders>
              <w:top w:val="nil"/>
              <w:left w:val="nil"/>
              <w:bottom w:val="nil"/>
              <w:right w:val="nil"/>
            </w:tcBorders>
            <w:vAlign w:val="center"/>
          </w:tcPr>
          <w:p w14:paraId="7FFFE705" w14:textId="77777777" w:rsidR="008A78E3" w:rsidRPr="006A6890" w:rsidRDefault="008A78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527C4C" w14:paraId="7FFFE70A" w14:textId="77777777" w:rsidTr="00175385">
        <w:trPr>
          <w:trHeight w:val="360"/>
        </w:trPr>
        <w:tc>
          <w:tcPr>
            <w:tcW w:w="993" w:type="dxa"/>
            <w:tcBorders>
              <w:top w:val="nil"/>
              <w:left w:val="nil"/>
              <w:bottom w:val="nil"/>
              <w:right w:val="nil"/>
            </w:tcBorders>
            <w:vAlign w:val="center"/>
          </w:tcPr>
          <w:p w14:paraId="7FFFE70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7FFFE70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7FFFE709" w14:textId="77777777" w:rsidR="008A78E3" w:rsidRPr="006A6890" w:rsidRDefault="008A78E3" w:rsidP="00A948D3">
            <w:pPr>
              <w:rPr>
                <w:rFonts w:asciiTheme="minorHAnsi" w:hAnsiTheme="minorHAnsi"/>
                <w:sz w:val="20"/>
                <w:szCs w:val="20"/>
              </w:rPr>
            </w:pPr>
            <w:r w:rsidRPr="006A6890">
              <w:rPr>
                <w:rFonts w:asciiTheme="minorHAnsi" w:hAnsiTheme="minorHAnsi"/>
                <w:sz w:val="20"/>
                <w:szCs w:val="20"/>
              </w:rPr>
              <w:t>teljes tőkekövetelmény</w:t>
            </w:r>
          </w:p>
        </w:tc>
      </w:tr>
      <w:tr w:rsidR="00527C4C" w14:paraId="7FFFE70E" w14:textId="77777777" w:rsidTr="00175385">
        <w:trPr>
          <w:trHeight w:val="360"/>
        </w:trPr>
        <w:tc>
          <w:tcPr>
            <w:tcW w:w="993" w:type="dxa"/>
            <w:tcBorders>
              <w:top w:val="nil"/>
              <w:left w:val="nil"/>
              <w:bottom w:val="nil"/>
              <w:right w:val="nil"/>
            </w:tcBorders>
            <w:vAlign w:val="center"/>
          </w:tcPr>
          <w:p w14:paraId="7FFFE70B" w14:textId="77777777" w:rsidR="008A78E3" w:rsidRPr="006A6890" w:rsidRDefault="008A78E3" w:rsidP="00D10772">
            <w:pPr>
              <w:rPr>
                <w:rFonts w:asciiTheme="minorHAnsi" w:hAnsiTheme="minorHAnsi"/>
                <w:sz w:val="20"/>
                <w:szCs w:val="20"/>
              </w:rPr>
            </w:pPr>
            <w:r>
              <w:rPr>
                <w:rFonts w:asciiTheme="minorHAnsi" w:hAnsiTheme="minorHAnsi"/>
                <w:sz w:val="20"/>
                <w:szCs w:val="20"/>
              </w:rPr>
              <w:t>OLRR</w:t>
            </w:r>
          </w:p>
        </w:tc>
        <w:tc>
          <w:tcPr>
            <w:tcW w:w="4138" w:type="dxa"/>
            <w:tcBorders>
              <w:top w:val="nil"/>
              <w:left w:val="nil"/>
              <w:bottom w:val="nil"/>
              <w:right w:val="nil"/>
            </w:tcBorders>
            <w:vAlign w:val="center"/>
          </w:tcPr>
          <w:p w14:paraId="7FFFE70C" w14:textId="77777777" w:rsidR="008A78E3" w:rsidRPr="006A6890" w:rsidRDefault="008A78E3" w:rsidP="00D10772">
            <w:pPr>
              <w:rPr>
                <w:rFonts w:asciiTheme="minorHAnsi" w:hAnsiTheme="minorHAnsi"/>
                <w:sz w:val="20"/>
                <w:szCs w:val="20"/>
              </w:rPr>
            </w:pPr>
            <w:r>
              <w:rPr>
                <w:rFonts w:asciiTheme="minorHAnsi" w:hAnsiTheme="minorHAnsi"/>
                <w:sz w:val="20"/>
                <w:szCs w:val="20"/>
              </w:rPr>
              <w:t>Overall Leverage Ratio Requirement</w:t>
            </w:r>
          </w:p>
        </w:tc>
        <w:tc>
          <w:tcPr>
            <w:tcW w:w="4536" w:type="dxa"/>
            <w:tcBorders>
              <w:top w:val="nil"/>
              <w:left w:val="nil"/>
              <w:bottom w:val="nil"/>
              <w:right w:val="nil"/>
            </w:tcBorders>
            <w:vAlign w:val="center"/>
          </w:tcPr>
          <w:p w14:paraId="7FFFE70D" w14:textId="77777777" w:rsidR="008A78E3" w:rsidRPr="006A6890" w:rsidRDefault="008A78E3" w:rsidP="00A948D3">
            <w:pPr>
              <w:rPr>
                <w:rFonts w:asciiTheme="minorHAnsi" w:hAnsiTheme="minorHAnsi"/>
                <w:sz w:val="20"/>
                <w:szCs w:val="20"/>
              </w:rPr>
            </w:pPr>
            <w:r w:rsidRPr="00481ABC">
              <w:rPr>
                <w:rFonts w:asciiTheme="minorHAnsi" w:hAnsiTheme="minorHAnsi"/>
                <w:sz w:val="20"/>
                <w:szCs w:val="20"/>
              </w:rPr>
              <w:t>tőkeáttételre vonatkozó teljes követelményt</w:t>
            </w:r>
          </w:p>
        </w:tc>
      </w:tr>
      <w:tr w:rsidR="00527C4C" w14:paraId="7FFFE712" w14:textId="77777777" w:rsidTr="00175385">
        <w:trPr>
          <w:trHeight w:val="360"/>
        </w:trPr>
        <w:tc>
          <w:tcPr>
            <w:tcW w:w="993" w:type="dxa"/>
            <w:tcBorders>
              <w:top w:val="nil"/>
              <w:left w:val="nil"/>
              <w:bottom w:val="nil"/>
              <w:right w:val="nil"/>
            </w:tcBorders>
            <w:vAlign w:val="center"/>
          </w:tcPr>
          <w:p w14:paraId="7FFFE70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7FFFE710" w14:textId="77777777" w:rsidR="008A78E3" w:rsidRPr="006A6890" w:rsidRDefault="008A78E3" w:rsidP="00163159">
            <w:pPr>
              <w:rPr>
                <w:rFonts w:asciiTheme="minorHAnsi" w:hAnsiTheme="minorHAnsi"/>
                <w:sz w:val="20"/>
                <w:szCs w:val="20"/>
              </w:rPr>
            </w:pPr>
            <w:r w:rsidRPr="006A6890">
              <w:rPr>
                <w:rFonts w:asciiTheme="minorHAnsi" w:hAnsiTheme="minorHAnsi"/>
                <w:sz w:val="20"/>
                <w:szCs w:val="20"/>
              </w:rPr>
              <w:t>Over-The-Counter</w:t>
            </w:r>
          </w:p>
        </w:tc>
        <w:tc>
          <w:tcPr>
            <w:tcW w:w="4536" w:type="dxa"/>
            <w:tcBorders>
              <w:top w:val="nil"/>
              <w:left w:val="nil"/>
              <w:bottom w:val="nil"/>
              <w:right w:val="nil"/>
            </w:tcBorders>
            <w:vAlign w:val="center"/>
          </w:tcPr>
          <w:p w14:paraId="7FFFE711" w14:textId="77777777" w:rsidR="008A78E3" w:rsidRPr="006A6890" w:rsidRDefault="008A78E3"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527C4C" w14:paraId="7FFFE716" w14:textId="77777777" w:rsidTr="00175385">
        <w:trPr>
          <w:trHeight w:val="360"/>
        </w:trPr>
        <w:tc>
          <w:tcPr>
            <w:tcW w:w="993" w:type="dxa"/>
            <w:tcBorders>
              <w:top w:val="nil"/>
              <w:left w:val="nil"/>
              <w:bottom w:val="nil"/>
              <w:right w:val="nil"/>
            </w:tcBorders>
            <w:vAlign w:val="center"/>
          </w:tcPr>
          <w:p w14:paraId="7FFFE713" w14:textId="77777777" w:rsidR="008A78E3" w:rsidRPr="006A6890" w:rsidRDefault="008A78E3" w:rsidP="00D10772">
            <w:pPr>
              <w:rPr>
                <w:rFonts w:asciiTheme="minorHAnsi" w:hAnsiTheme="minorHAnsi"/>
                <w:sz w:val="20"/>
                <w:szCs w:val="20"/>
              </w:rPr>
            </w:pPr>
            <w:r>
              <w:rPr>
                <w:rFonts w:asciiTheme="minorHAnsi" w:hAnsiTheme="minorHAnsi"/>
                <w:sz w:val="20"/>
                <w:szCs w:val="20"/>
              </w:rPr>
              <w:t>P2G</w:t>
            </w:r>
          </w:p>
        </w:tc>
        <w:tc>
          <w:tcPr>
            <w:tcW w:w="4138" w:type="dxa"/>
            <w:tcBorders>
              <w:top w:val="nil"/>
              <w:left w:val="nil"/>
              <w:bottom w:val="nil"/>
              <w:right w:val="nil"/>
            </w:tcBorders>
            <w:vAlign w:val="center"/>
          </w:tcPr>
          <w:p w14:paraId="7FFFE714" w14:textId="77777777" w:rsidR="008A78E3" w:rsidRPr="006A6890" w:rsidRDefault="008A78E3" w:rsidP="00163159">
            <w:pPr>
              <w:rPr>
                <w:rFonts w:asciiTheme="minorHAnsi" w:hAnsiTheme="minorHAnsi"/>
                <w:sz w:val="20"/>
                <w:szCs w:val="20"/>
              </w:rPr>
            </w:pPr>
            <w:r>
              <w:rPr>
                <w:rFonts w:asciiTheme="minorHAnsi" w:hAnsiTheme="minorHAnsi"/>
                <w:sz w:val="20"/>
                <w:szCs w:val="20"/>
              </w:rPr>
              <w:t>Piller 2 Guidance</w:t>
            </w:r>
          </w:p>
        </w:tc>
        <w:tc>
          <w:tcPr>
            <w:tcW w:w="4536" w:type="dxa"/>
            <w:tcBorders>
              <w:top w:val="nil"/>
              <w:left w:val="nil"/>
              <w:bottom w:val="nil"/>
              <w:right w:val="nil"/>
            </w:tcBorders>
            <w:vAlign w:val="center"/>
          </w:tcPr>
          <w:p w14:paraId="7FFFE715" w14:textId="77777777" w:rsidR="008A78E3" w:rsidRPr="006A6890" w:rsidRDefault="008A78E3" w:rsidP="00A43799">
            <w:pPr>
              <w:rPr>
                <w:rFonts w:asciiTheme="minorHAnsi" w:hAnsiTheme="minorHAnsi"/>
                <w:sz w:val="20"/>
                <w:szCs w:val="20"/>
              </w:rPr>
            </w:pPr>
            <w:r>
              <w:rPr>
                <w:rFonts w:asciiTheme="minorHAnsi" w:hAnsiTheme="minorHAnsi"/>
                <w:sz w:val="20"/>
                <w:szCs w:val="20"/>
              </w:rPr>
              <w:t>felügyeleti tőkeajánlás</w:t>
            </w:r>
          </w:p>
        </w:tc>
      </w:tr>
      <w:tr w:rsidR="00527C4C" w14:paraId="7FFFE71A" w14:textId="77777777" w:rsidTr="00175385">
        <w:trPr>
          <w:trHeight w:val="360"/>
        </w:trPr>
        <w:tc>
          <w:tcPr>
            <w:tcW w:w="993" w:type="dxa"/>
            <w:tcBorders>
              <w:top w:val="nil"/>
              <w:left w:val="nil"/>
              <w:bottom w:val="nil"/>
              <w:right w:val="nil"/>
            </w:tcBorders>
            <w:vAlign w:val="center"/>
          </w:tcPr>
          <w:p w14:paraId="7FFFE717" w14:textId="77777777" w:rsidR="008A78E3" w:rsidRDefault="008A78E3" w:rsidP="00D10772">
            <w:pPr>
              <w:rPr>
                <w:rFonts w:asciiTheme="minorHAnsi" w:hAnsiTheme="minorHAnsi"/>
                <w:sz w:val="20"/>
                <w:szCs w:val="20"/>
              </w:rPr>
            </w:pPr>
            <w:r>
              <w:rPr>
                <w:rFonts w:asciiTheme="minorHAnsi" w:hAnsiTheme="minorHAnsi"/>
                <w:sz w:val="20"/>
                <w:szCs w:val="20"/>
              </w:rPr>
              <w:t>P2G-LR</w:t>
            </w:r>
          </w:p>
        </w:tc>
        <w:tc>
          <w:tcPr>
            <w:tcW w:w="4138" w:type="dxa"/>
            <w:tcBorders>
              <w:top w:val="nil"/>
              <w:left w:val="nil"/>
              <w:bottom w:val="nil"/>
              <w:right w:val="nil"/>
            </w:tcBorders>
            <w:vAlign w:val="center"/>
          </w:tcPr>
          <w:p w14:paraId="7FFFE718" w14:textId="77777777" w:rsidR="008A78E3" w:rsidRDefault="008A78E3"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G</w:t>
            </w:r>
            <w:r w:rsidRPr="00146071">
              <w:rPr>
                <w:rFonts w:asciiTheme="minorHAnsi" w:hAnsiTheme="minorHAnsi"/>
                <w:sz w:val="20"/>
                <w:szCs w:val="20"/>
              </w:rPr>
              <w:t>uidance for the risk of excessive leverage</w:t>
            </w:r>
          </w:p>
        </w:tc>
        <w:tc>
          <w:tcPr>
            <w:tcW w:w="4536" w:type="dxa"/>
            <w:tcBorders>
              <w:top w:val="nil"/>
              <w:left w:val="nil"/>
              <w:bottom w:val="nil"/>
              <w:right w:val="nil"/>
            </w:tcBorders>
            <w:vAlign w:val="center"/>
          </w:tcPr>
          <w:p w14:paraId="7FFFE719" w14:textId="77777777" w:rsidR="008A78E3" w:rsidRDefault="008A78E3" w:rsidP="00A43799">
            <w:pPr>
              <w:rPr>
                <w:rFonts w:asciiTheme="minorHAnsi" w:hAnsiTheme="minorHAnsi"/>
                <w:sz w:val="20"/>
                <w:szCs w:val="20"/>
              </w:rPr>
            </w:pPr>
            <w:r w:rsidRPr="00146071">
              <w:rPr>
                <w:rFonts w:asciiTheme="minorHAnsi" w:hAnsiTheme="minorHAnsi"/>
                <w:sz w:val="20"/>
                <w:szCs w:val="20"/>
              </w:rPr>
              <w:t>a túlzott tőkeáttétel kockázatára vonatkozó 2. pillér szerinti iránymutatás</w:t>
            </w:r>
          </w:p>
        </w:tc>
      </w:tr>
      <w:tr w:rsidR="00527C4C" w14:paraId="7FFFE71E" w14:textId="77777777" w:rsidTr="00175385">
        <w:trPr>
          <w:trHeight w:val="360"/>
        </w:trPr>
        <w:tc>
          <w:tcPr>
            <w:tcW w:w="993" w:type="dxa"/>
            <w:tcBorders>
              <w:top w:val="nil"/>
              <w:left w:val="nil"/>
              <w:bottom w:val="nil"/>
              <w:right w:val="nil"/>
            </w:tcBorders>
            <w:vAlign w:val="center"/>
          </w:tcPr>
          <w:p w14:paraId="7FFFE71B" w14:textId="77777777" w:rsidR="008A78E3" w:rsidRDefault="008A78E3" w:rsidP="00D10772">
            <w:pPr>
              <w:rPr>
                <w:rFonts w:asciiTheme="minorHAnsi" w:hAnsiTheme="minorHAnsi"/>
                <w:sz w:val="20"/>
                <w:szCs w:val="20"/>
              </w:rPr>
            </w:pPr>
            <w:r>
              <w:rPr>
                <w:rFonts w:asciiTheme="minorHAnsi" w:hAnsiTheme="minorHAnsi"/>
                <w:sz w:val="20"/>
                <w:szCs w:val="20"/>
              </w:rPr>
              <w:t>P2R-LR</w:t>
            </w:r>
          </w:p>
        </w:tc>
        <w:tc>
          <w:tcPr>
            <w:tcW w:w="4138" w:type="dxa"/>
            <w:tcBorders>
              <w:top w:val="nil"/>
              <w:left w:val="nil"/>
              <w:bottom w:val="nil"/>
              <w:right w:val="nil"/>
            </w:tcBorders>
            <w:vAlign w:val="center"/>
          </w:tcPr>
          <w:p w14:paraId="7FFFE71C" w14:textId="77777777" w:rsidR="008A78E3" w:rsidRDefault="008A78E3" w:rsidP="00163159">
            <w:pPr>
              <w:rPr>
                <w:rFonts w:asciiTheme="minorHAnsi" w:hAnsiTheme="minorHAnsi"/>
                <w:sz w:val="20"/>
                <w:szCs w:val="20"/>
              </w:rPr>
            </w:pPr>
            <w:r w:rsidRPr="00146071">
              <w:rPr>
                <w:rFonts w:asciiTheme="minorHAnsi" w:hAnsiTheme="minorHAnsi"/>
                <w:sz w:val="20"/>
                <w:szCs w:val="20"/>
              </w:rPr>
              <w:t xml:space="preserve">Pillar 2 </w:t>
            </w:r>
            <w:r>
              <w:rPr>
                <w:rFonts w:asciiTheme="minorHAnsi" w:hAnsiTheme="minorHAnsi"/>
                <w:sz w:val="20"/>
                <w:szCs w:val="20"/>
              </w:rPr>
              <w:t>Requirement</w:t>
            </w:r>
            <w:r w:rsidRPr="00146071">
              <w:rPr>
                <w:rFonts w:asciiTheme="minorHAnsi" w:hAnsiTheme="minorHAnsi"/>
                <w:sz w:val="20"/>
                <w:szCs w:val="20"/>
              </w:rPr>
              <w:t xml:space="preserve"> for the risk of excessive leverage</w:t>
            </w:r>
          </w:p>
        </w:tc>
        <w:tc>
          <w:tcPr>
            <w:tcW w:w="4536" w:type="dxa"/>
            <w:tcBorders>
              <w:top w:val="nil"/>
              <w:left w:val="nil"/>
              <w:bottom w:val="nil"/>
              <w:right w:val="nil"/>
            </w:tcBorders>
            <w:vAlign w:val="center"/>
          </w:tcPr>
          <w:p w14:paraId="7FFFE71D" w14:textId="77777777" w:rsidR="008A78E3" w:rsidRDefault="008A78E3" w:rsidP="00A43799">
            <w:pPr>
              <w:rPr>
                <w:rFonts w:asciiTheme="minorHAnsi" w:hAnsiTheme="minorHAnsi"/>
                <w:sz w:val="20"/>
                <w:szCs w:val="20"/>
              </w:rPr>
            </w:pPr>
            <w:r w:rsidRPr="00564DB3">
              <w:rPr>
                <w:rFonts w:asciiTheme="minorHAnsi" w:hAnsiTheme="minorHAnsi"/>
                <w:sz w:val="20"/>
                <w:szCs w:val="20"/>
              </w:rPr>
              <w:t>a túlzott tőkeáttételi kockázatra vonatkozó 2. pillér szerinti követelmény</w:t>
            </w:r>
          </w:p>
        </w:tc>
      </w:tr>
      <w:tr w:rsidR="00527C4C" w14:paraId="7FFFE722" w14:textId="77777777" w:rsidTr="00175385">
        <w:trPr>
          <w:trHeight w:val="360"/>
        </w:trPr>
        <w:tc>
          <w:tcPr>
            <w:tcW w:w="993" w:type="dxa"/>
            <w:tcBorders>
              <w:top w:val="nil"/>
              <w:left w:val="nil"/>
              <w:bottom w:val="nil"/>
              <w:right w:val="nil"/>
            </w:tcBorders>
            <w:vAlign w:val="center"/>
          </w:tcPr>
          <w:p w14:paraId="7FFFE71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7FFFE72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7FFFE72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527C4C" w14:paraId="7FFFE726" w14:textId="77777777" w:rsidTr="00175385">
        <w:trPr>
          <w:trHeight w:val="360"/>
        </w:trPr>
        <w:tc>
          <w:tcPr>
            <w:tcW w:w="993" w:type="dxa"/>
            <w:tcBorders>
              <w:top w:val="nil"/>
              <w:left w:val="nil"/>
              <w:bottom w:val="nil"/>
              <w:right w:val="nil"/>
            </w:tcBorders>
            <w:vAlign w:val="center"/>
          </w:tcPr>
          <w:p w14:paraId="7FFFE72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7FFFE724"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7FFFE725" w14:textId="77777777" w:rsidR="008A78E3" w:rsidRPr="006A6890" w:rsidRDefault="008A78E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527C4C" w14:paraId="7FFFE72A" w14:textId="77777777" w:rsidTr="00175385">
        <w:trPr>
          <w:trHeight w:val="360"/>
        </w:trPr>
        <w:tc>
          <w:tcPr>
            <w:tcW w:w="993" w:type="dxa"/>
            <w:tcBorders>
              <w:top w:val="nil"/>
              <w:left w:val="nil"/>
              <w:bottom w:val="nil"/>
              <w:right w:val="nil"/>
            </w:tcBorders>
            <w:vAlign w:val="center"/>
          </w:tcPr>
          <w:p w14:paraId="7FFFE72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7FFFE728"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Settlement Day</w:t>
            </w:r>
          </w:p>
        </w:tc>
        <w:tc>
          <w:tcPr>
            <w:tcW w:w="4536" w:type="dxa"/>
            <w:tcBorders>
              <w:top w:val="nil"/>
              <w:left w:val="nil"/>
              <w:bottom w:val="nil"/>
              <w:right w:val="nil"/>
            </w:tcBorders>
            <w:vAlign w:val="center"/>
          </w:tcPr>
          <w:p w14:paraId="7FFFE72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teljesítési határidő</w:t>
            </w:r>
          </w:p>
        </w:tc>
      </w:tr>
      <w:tr w:rsidR="00527C4C" w14:paraId="7FFFE72E" w14:textId="77777777" w:rsidTr="00175385">
        <w:trPr>
          <w:trHeight w:val="360"/>
        </w:trPr>
        <w:tc>
          <w:tcPr>
            <w:tcW w:w="993" w:type="dxa"/>
            <w:tcBorders>
              <w:top w:val="nil"/>
              <w:left w:val="nil"/>
              <w:bottom w:val="nil"/>
              <w:right w:val="nil"/>
            </w:tcBorders>
            <w:vAlign w:val="center"/>
          </w:tcPr>
          <w:p w14:paraId="7FFFE72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SL</w:t>
            </w:r>
          </w:p>
        </w:tc>
        <w:tc>
          <w:tcPr>
            <w:tcW w:w="4138" w:type="dxa"/>
            <w:tcBorders>
              <w:top w:val="nil"/>
              <w:left w:val="nil"/>
              <w:bottom w:val="nil"/>
              <w:right w:val="nil"/>
            </w:tcBorders>
            <w:vAlign w:val="center"/>
          </w:tcPr>
          <w:p w14:paraId="7FFFE72C"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7FFFE72D" w14:textId="77777777" w:rsidR="008A78E3" w:rsidRPr="006A6890" w:rsidRDefault="008A78E3" w:rsidP="004067AA">
            <w:pPr>
              <w:rPr>
                <w:rFonts w:asciiTheme="minorHAnsi" w:hAnsiTheme="minorHAnsi"/>
                <w:sz w:val="20"/>
                <w:szCs w:val="20"/>
              </w:rPr>
            </w:pPr>
            <w:r w:rsidRPr="006A6890">
              <w:rPr>
                <w:rFonts w:asciiTheme="minorHAnsi" w:hAnsiTheme="minorHAnsi"/>
                <w:sz w:val="20"/>
                <w:szCs w:val="20"/>
              </w:rPr>
              <w:t>speciális hitelezés (a CRR 147. cikk (8) bekezdése, továbbá a 10/2017. számú MNB ajánlás alapján)</w:t>
            </w:r>
          </w:p>
        </w:tc>
      </w:tr>
      <w:tr w:rsidR="00527C4C" w14:paraId="7FFFE732" w14:textId="77777777" w:rsidTr="00175385">
        <w:trPr>
          <w:trHeight w:val="360"/>
        </w:trPr>
        <w:tc>
          <w:tcPr>
            <w:tcW w:w="993" w:type="dxa"/>
            <w:tcBorders>
              <w:top w:val="nil"/>
              <w:left w:val="nil"/>
              <w:bottom w:val="nil"/>
              <w:right w:val="nil"/>
            </w:tcBorders>
            <w:vAlign w:val="center"/>
          </w:tcPr>
          <w:p w14:paraId="7FFFE72F" w14:textId="77777777" w:rsidR="008A78E3" w:rsidRPr="006A6890" w:rsidRDefault="008A78E3" w:rsidP="00D10772">
            <w:pPr>
              <w:rPr>
                <w:rFonts w:asciiTheme="minorHAnsi" w:hAnsiTheme="minorHAnsi"/>
                <w:sz w:val="20"/>
                <w:szCs w:val="20"/>
              </w:rPr>
            </w:pPr>
            <w:r>
              <w:rPr>
                <w:rFonts w:asciiTheme="minorHAnsi" w:hAnsiTheme="minorHAnsi"/>
                <w:sz w:val="20"/>
                <w:szCs w:val="20"/>
              </w:rPr>
              <w:t>SMA</w:t>
            </w:r>
          </w:p>
        </w:tc>
        <w:tc>
          <w:tcPr>
            <w:tcW w:w="4138" w:type="dxa"/>
            <w:tcBorders>
              <w:top w:val="nil"/>
              <w:left w:val="nil"/>
              <w:bottom w:val="nil"/>
              <w:right w:val="nil"/>
            </w:tcBorders>
            <w:vAlign w:val="center"/>
          </w:tcPr>
          <w:p w14:paraId="7FFFE730" w14:textId="77777777" w:rsidR="008A78E3" w:rsidRPr="006A6890" w:rsidRDefault="008A78E3" w:rsidP="006015F3">
            <w:pPr>
              <w:rPr>
                <w:rFonts w:asciiTheme="minorHAnsi" w:hAnsiTheme="minorHAnsi"/>
                <w:sz w:val="20"/>
                <w:szCs w:val="20"/>
              </w:rPr>
            </w:pPr>
            <w:r>
              <w:rPr>
                <w:rFonts w:asciiTheme="minorHAnsi" w:hAnsiTheme="minorHAnsi"/>
                <w:sz w:val="20"/>
                <w:szCs w:val="20"/>
              </w:rPr>
              <w:t>Standardised Measurement Approach</w:t>
            </w:r>
          </w:p>
        </w:tc>
        <w:tc>
          <w:tcPr>
            <w:tcW w:w="4536" w:type="dxa"/>
            <w:tcBorders>
              <w:top w:val="nil"/>
              <w:left w:val="nil"/>
              <w:bottom w:val="nil"/>
              <w:right w:val="nil"/>
            </w:tcBorders>
            <w:vAlign w:val="center"/>
          </w:tcPr>
          <w:p w14:paraId="7FFFE731" w14:textId="77777777" w:rsidR="008A78E3" w:rsidRPr="006A6890" w:rsidRDefault="008A78E3" w:rsidP="004067AA">
            <w:pPr>
              <w:rPr>
                <w:rFonts w:asciiTheme="minorHAnsi" w:hAnsiTheme="minorHAnsi"/>
                <w:sz w:val="20"/>
                <w:szCs w:val="20"/>
              </w:rPr>
            </w:pPr>
            <w:r>
              <w:rPr>
                <w:rFonts w:asciiTheme="minorHAnsi" w:hAnsiTheme="minorHAnsi"/>
                <w:sz w:val="20"/>
                <w:szCs w:val="20"/>
              </w:rPr>
              <w:t>új sztenderd módszer (működési kockázat tőkekövetelményének számszerűsítésére)</w:t>
            </w:r>
          </w:p>
        </w:tc>
      </w:tr>
      <w:tr w:rsidR="00527C4C" w14:paraId="7FFFE736" w14:textId="77777777" w:rsidTr="00175385">
        <w:trPr>
          <w:trHeight w:val="360"/>
        </w:trPr>
        <w:tc>
          <w:tcPr>
            <w:tcW w:w="993" w:type="dxa"/>
            <w:tcBorders>
              <w:top w:val="nil"/>
              <w:left w:val="nil"/>
              <w:bottom w:val="nil"/>
              <w:right w:val="nil"/>
            </w:tcBorders>
            <w:vAlign w:val="center"/>
          </w:tcPr>
          <w:p w14:paraId="7FFFE73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7FFFE73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7FFFE73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felügyeleti felülvizsgálati és értékelési folyamat</w:t>
            </w:r>
          </w:p>
        </w:tc>
      </w:tr>
      <w:tr w:rsidR="00527C4C" w14:paraId="7FFFE73A" w14:textId="77777777" w:rsidTr="00175385">
        <w:trPr>
          <w:trHeight w:val="360"/>
        </w:trPr>
        <w:tc>
          <w:tcPr>
            <w:tcW w:w="993" w:type="dxa"/>
            <w:tcBorders>
              <w:top w:val="nil"/>
              <w:left w:val="nil"/>
              <w:bottom w:val="nil"/>
              <w:right w:val="nil"/>
            </w:tcBorders>
            <w:vAlign w:val="center"/>
          </w:tcPr>
          <w:p w14:paraId="7FFFE73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7FFFE73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Receive versus Payment</w:t>
            </w:r>
          </w:p>
        </w:tc>
        <w:tc>
          <w:tcPr>
            <w:tcW w:w="4536" w:type="dxa"/>
            <w:tcBorders>
              <w:top w:val="nil"/>
              <w:left w:val="nil"/>
              <w:bottom w:val="nil"/>
              <w:right w:val="nil"/>
            </w:tcBorders>
            <w:vAlign w:val="center"/>
          </w:tcPr>
          <w:p w14:paraId="7FFFE73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527C4C" w14:paraId="7FFFE73E" w14:textId="77777777" w:rsidTr="00175385">
        <w:trPr>
          <w:trHeight w:val="360"/>
        </w:trPr>
        <w:tc>
          <w:tcPr>
            <w:tcW w:w="993" w:type="dxa"/>
            <w:tcBorders>
              <w:top w:val="nil"/>
              <w:left w:val="nil"/>
              <w:bottom w:val="nil"/>
              <w:right w:val="nil"/>
            </w:tcBorders>
            <w:vAlign w:val="center"/>
          </w:tcPr>
          <w:p w14:paraId="7FFFE73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7FFFE73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7FFFE73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527C4C" w14:paraId="7FFFE742" w14:textId="77777777" w:rsidTr="00175385">
        <w:trPr>
          <w:trHeight w:val="360"/>
        </w:trPr>
        <w:tc>
          <w:tcPr>
            <w:tcW w:w="993" w:type="dxa"/>
            <w:tcBorders>
              <w:top w:val="nil"/>
              <w:left w:val="nil"/>
              <w:bottom w:val="nil"/>
              <w:right w:val="nil"/>
            </w:tcBorders>
            <w:vAlign w:val="center"/>
          </w:tcPr>
          <w:p w14:paraId="7FFFE73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7FFFE74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7FFFE74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527C4C" w14:paraId="7FFFE746" w14:textId="77777777" w:rsidTr="00175385">
        <w:trPr>
          <w:trHeight w:val="360"/>
        </w:trPr>
        <w:tc>
          <w:tcPr>
            <w:tcW w:w="993" w:type="dxa"/>
            <w:tcBorders>
              <w:top w:val="nil"/>
              <w:left w:val="nil"/>
              <w:bottom w:val="nil"/>
              <w:right w:val="nil"/>
            </w:tcBorders>
            <w:vAlign w:val="center"/>
          </w:tcPr>
          <w:p w14:paraId="7FFFE743"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7FFFE74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7FFFE745"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527C4C" w14:paraId="7FFFE74A" w14:textId="77777777" w:rsidTr="00175385">
        <w:trPr>
          <w:trHeight w:val="360"/>
        </w:trPr>
        <w:tc>
          <w:tcPr>
            <w:tcW w:w="993" w:type="dxa"/>
            <w:tcBorders>
              <w:top w:val="nil"/>
              <w:left w:val="nil"/>
              <w:bottom w:val="nil"/>
              <w:right w:val="nil"/>
            </w:tcBorders>
            <w:vAlign w:val="center"/>
          </w:tcPr>
          <w:p w14:paraId="7FFFE747"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7FFFE74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7FFFE74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527C4C" w14:paraId="7FFFE74E" w14:textId="77777777" w:rsidTr="00175385">
        <w:trPr>
          <w:trHeight w:val="360"/>
        </w:trPr>
        <w:tc>
          <w:tcPr>
            <w:tcW w:w="993" w:type="dxa"/>
            <w:tcBorders>
              <w:top w:val="nil"/>
              <w:left w:val="nil"/>
              <w:bottom w:val="nil"/>
              <w:right w:val="nil"/>
            </w:tcBorders>
            <w:vAlign w:val="center"/>
          </w:tcPr>
          <w:p w14:paraId="7FFFE74B"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7FFFE74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7FFFE74D"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SREP tőkekövetelmény</w:t>
            </w:r>
          </w:p>
        </w:tc>
      </w:tr>
      <w:tr w:rsidR="00527C4C" w14:paraId="7FFFE752" w14:textId="77777777" w:rsidTr="00175385">
        <w:trPr>
          <w:trHeight w:val="360"/>
        </w:trPr>
        <w:tc>
          <w:tcPr>
            <w:tcW w:w="993" w:type="dxa"/>
            <w:tcBorders>
              <w:top w:val="nil"/>
              <w:left w:val="nil"/>
              <w:bottom w:val="nil"/>
              <w:right w:val="nil"/>
            </w:tcBorders>
            <w:vAlign w:val="center"/>
          </w:tcPr>
          <w:p w14:paraId="7FFFE74F"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TSCR ratio</w:t>
            </w:r>
          </w:p>
        </w:tc>
        <w:tc>
          <w:tcPr>
            <w:tcW w:w="4138" w:type="dxa"/>
            <w:tcBorders>
              <w:top w:val="nil"/>
              <w:left w:val="nil"/>
              <w:bottom w:val="nil"/>
              <w:right w:val="nil"/>
            </w:tcBorders>
            <w:vAlign w:val="center"/>
          </w:tcPr>
          <w:p w14:paraId="7FFFE75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7FFFE75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teljes SREP tőkemutató</w:t>
            </w:r>
          </w:p>
        </w:tc>
      </w:tr>
      <w:tr w:rsidR="00527C4C" w14:paraId="7FFFE757" w14:textId="77777777" w:rsidTr="00175385">
        <w:trPr>
          <w:trHeight w:val="360"/>
        </w:trPr>
        <w:tc>
          <w:tcPr>
            <w:tcW w:w="993" w:type="dxa"/>
            <w:tcBorders>
              <w:top w:val="nil"/>
              <w:left w:val="nil"/>
              <w:bottom w:val="nil"/>
              <w:right w:val="nil"/>
            </w:tcBorders>
            <w:vAlign w:val="center"/>
          </w:tcPr>
          <w:p w14:paraId="7FFFE753" w14:textId="77777777" w:rsidR="008A78E3" w:rsidRPr="006A6890" w:rsidRDefault="008A78E3" w:rsidP="00D10772">
            <w:pPr>
              <w:rPr>
                <w:rFonts w:asciiTheme="minorHAnsi" w:hAnsiTheme="minorHAnsi"/>
                <w:sz w:val="20"/>
                <w:szCs w:val="20"/>
              </w:rPr>
            </w:pPr>
            <w:r>
              <w:rPr>
                <w:rFonts w:asciiTheme="minorHAnsi" w:hAnsiTheme="minorHAnsi"/>
                <w:sz w:val="20"/>
                <w:szCs w:val="20"/>
              </w:rPr>
              <w:t>TSLRR</w:t>
            </w:r>
          </w:p>
        </w:tc>
        <w:tc>
          <w:tcPr>
            <w:tcW w:w="4138" w:type="dxa"/>
            <w:tcBorders>
              <w:top w:val="nil"/>
              <w:left w:val="nil"/>
              <w:bottom w:val="nil"/>
              <w:right w:val="nil"/>
            </w:tcBorders>
            <w:vAlign w:val="center"/>
          </w:tcPr>
          <w:p w14:paraId="7FFFE754" w14:textId="77777777" w:rsidR="008A78E3" w:rsidRPr="00146071" w:rsidRDefault="008A78E3" w:rsidP="00146071">
            <w:pPr>
              <w:rPr>
                <w:rFonts w:asciiTheme="minorHAnsi" w:hAnsiTheme="minorHAnsi"/>
                <w:sz w:val="20"/>
                <w:szCs w:val="20"/>
              </w:rPr>
            </w:pPr>
            <w:r>
              <w:rPr>
                <w:rFonts w:asciiTheme="minorHAnsi" w:hAnsiTheme="minorHAnsi"/>
                <w:sz w:val="20"/>
                <w:szCs w:val="20"/>
              </w:rPr>
              <w:t>T</w:t>
            </w:r>
            <w:r w:rsidRPr="00146071">
              <w:rPr>
                <w:rFonts w:asciiTheme="minorHAnsi" w:hAnsiTheme="minorHAnsi"/>
                <w:sz w:val="20"/>
                <w:szCs w:val="20"/>
              </w:rPr>
              <w:t xml:space="preserve">otal SREP </w:t>
            </w:r>
            <w:r>
              <w:rPr>
                <w:rFonts w:asciiTheme="minorHAnsi" w:hAnsiTheme="minorHAnsi"/>
                <w:sz w:val="20"/>
                <w:szCs w:val="20"/>
              </w:rPr>
              <w:t>L</w:t>
            </w:r>
            <w:r w:rsidRPr="00146071">
              <w:rPr>
                <w:rFonts w:asciiTheme="minorHAnsi" w:hAnsiTheme="minorHAnsi"/>
                <w:sz w:val="20"/>
                <w:szCs w:val="20"/>
              </w:rPr>
              <w:t xml:space="preserve">everage </w:t>
            </w:r>
            <w:r>
              <w:rPr>
                <w:rFonts w:asciiTheme="minorHAnsi" w:hAnsiTheme="minorHAnsi"/>
                <w:sz w:val="20"/>
                <w:szCs w:val="20"/>
              </w:rPr>
              <w:t>R</w:t>
            </w:r>
            <w:r w:rsidRPr="00146071">
              <w:rPr>
                <w:rFonts w:asciiTheme="minorHAnsi" w:hAnsiTheme="minorHAnsi"/>
                <w:sz w:val="20"/>
                <w:szCs w:val="20"/>
              </w:rPr>
              <w:t xml:space="preserve">atio </w:t>
            </w:r>
          </w:p>
          <w:p w14:paraId="7FFFE755" w14:textId="77777777" w:rsidR="008A78E3" w:rsidRPr="006A6890" w:rsidRDefault="008A78E3" w:rsidP="00146071">
            <w:pPr>
              <w:rPr>
                <w:rFonts w:asciiTheme="minorHAnsi" w:hAnsiTheme="minorHAnsi"/>
                <w:sz w:val="20"/>
                <w:szCs w:val="20"/>
              </w:rPr>
            </w:pPr>
            <w:r>
              <w:rPr>
                <w:rFonts w:asciiTheme="minorHAnsi" w:hAnsiTheme="minorHAnsi"/>
                <w:sz w:val="20"/>
                <w:szCs w:val="20"/>
              </w:rPr>
              <w:t>R</w:t>
            </w:r>
            <w:r w:rsidRPr="00146071">
              <w:rPr>
                <w:rFonts w:asciiTheme="minorHAnsi" w:hAnsiTheme="minorHAnsi"/>
                <w:sz w:val="20"/>
                <w:szCs w:val="20"/>
              </w:rPr>
              <w:t>equirement</w:t>
            </w:r>
          </w:p>
        </w:tc>
        <w:tc>
          <w:tcPr>
            <w:tcW w:w="4536" w:type="dxa"/>
            <w:tcBorders>
              <w:top w:val="nil"/>
              <w:left w:val="nil"/>
              <w:bottom w:val="nil"/>
              <w:right w:val="nil"/>
            </w:tcBorders>
            <w:vAlign w:val="center"/>
          </w:tcPr>
          <w:p w14:paraId="7FFFE756" w14:textId="77777777" w:rsidR="008A78E3" w:rsidRPr="006A6890" w:rsidRDefault="008A78E3" w:rsidP="00D10772">
            <w:pPr>
              <w:rPr>
                <w:rFonts w:asciiTheme="minorHAnsi" w:hAnsiTheme="minorHAnsi"/>
                <w:sz w:val="20"/>
                <w:szCs w:val="20"/>
              </w:rPr>
            </w:pPr>
            <w:r w:rsidRPr="00564DB3">
              <w:rPr>
                <w:rFonts w:asciiTheme="minorHAnsi" w:hAnsiTheme="minorHAnsi"/>
                <w:sz w:val="20"/>
                <w:szCs w:val="20"/>
              </w:rPr>
              <w:t>teljes SREP tőkeáttételimutató-követelmény</w:t>
            </w:r>
          </w:p>
        </w:tc>
      </w:tr>
      <w:tr w:rsidR="00527C4C" w14:paraId="7FFFE75B" w14:textId="77777777" w:rsidTr="00175385">
        <w:trPr>
          <w:trHeight w:val="360"/>
        </w:trPr>
        <w:tc>
          <w:tcPr>
            <w:tcW w:w="993" w:type="dxa"/>
            <w:tcBorders>
              <w:top w:val="nil"/>
              <w:left w:val="nil"/>
              <w:bottom w:val="nil"/>
              <w:right w:val="nil"/>
            </w:tcBorders>
            <w:vAlign w:val="center"/>
          </w:tcPr>
          <w:p w14:paraId="7FFFE758"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TTC</w:t>
            </w:r>
          </w:p>
        </w:tc>
        <w:tc>
          <w:tcPr>
            <w:tcW w:w="4138" w:type="dxa"/>
            <w:tcBorders>
              <w:top w:val="nil"/>
              <w:left w:val="nil"/>
              <w:bottom w:val="nil"/>
              <w:right w:val="nil"/>
            </w:tcBorders>
            <w:vAlign w:val="center"/>
          </w:tcPr>
          <w:p w14:paraId="7FFFE759"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7FFFE75A" w14:textId="77777777" w:rsidR="008A78E3" w:rsidRPr="006A6890" w:rsidRDefault="008A78E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 jellemző átlagos értéket ad vissza</w:t>
            </w:r>
          </w:p>
        </w:tc>
      </w:tr>
      <w:tr w:rsidR="00527C4C" w14:paraId="7FFFE75F" w14:textId="77777777" w:rsidTr="00175385">
        <w:trPr>
          <w:trHeight w:val="360"/>
        </w:trPr>
        <w:tc>
          <w:tcPr>
            <w:tcW w:w="993" w:type="dxa"/>
            <w:tcBorders>
              <w:top w:val="nil"/>
              <w:left w:val="nil"/>
              <w:bottom w:val="nil"/>
              <w:right w:val="nil"/>
            </w:tcBorders>
            <w:vAlign w:val="center"/>
          </w:tcPr>
          <w:p w14:paraId="7FFFE75C"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7FFFE75D"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7FFFE75E"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nem várt veszteség</w:t>
            </w:r>
          </w:p>
        </w:tc>
      </w:tr>
      <w:tr w:rsidR="00527C4C" w14:paraId="7FFFE763" w14:textId="77777777" w:rsidTr="00175385">
        <w:trPr>
          <w:trHeight w:val="360"/>
        </w:trPr>
        <w:tc>
          <w:tcPr>
            <w:tcW w:w="993" w:type="dxa"/>
            <w:tcBorders>
              <w:top w:val="nil"/>
              <w:left w:val="nil"/>
              <w:bottom w:val="nil"/>
              <w:right w:val="nil"/>
            </w:tcBorders>
            <w:vAlign w:val="center"/>
          </w:tcPr>
          <w:p w14:paraId="7FFFE760"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7FFFE761"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7FFFE762"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kockáztatott érték</w:t>
            </w:r>
          </w:p>
        </w:tc>
      </w:tr>
      <w:tr w:rsidR="00527C4C" w14:paraId="7FFFE767" w14:textId="77777777" w:rsidTr="00175385">
        <w:trPr>
          <w:trHeight w:val="360"/>
        </w:trPr>
        <w:tc>
          <w:tcPr>
            <w:tcW w:w="993" w:type="dxa"/>
            <w:tcBorders>
              <w:top w:val="nil"/>
              <w:left w:val="nil"/>
              <w:bottom w:val="nil"/>
              <w:right w:val="nil"/>
            </w:tcBorders>
            <w:vAlign w:val="center"/>
          </w:tcPr>
          <w:p w14:paraId="7FFFE764" w14:textId="77777777" w:rsidR="008A78E3" w:rsidRPr="006A6890" w:rsidRDefault="008A78E3"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7FFFE765" w14:textId="77777777" w:rsidR="008A78E3" w:rsidRPr="006A6890" w:rsidRDefault="008A78E3" w:rsidP="00D10772">
            <w:pPr>
              <w:rPr>
                <w:rFonts w:asciiTheme="minorHAnsi" w:hAnsiTheme="minorHAnsi"/>
                <w:sz w:val="20"/>
                <w:szCs w:val="20"/>
              </w:rPr>
            </w:pPr>
          </w:p>
        </w:tc>
        <w:tc>
          <w:tcPr>
            <w:tcW w:w="4536" w:type="dxa"/>
            <w:tcBorders>
              <w:top w:val="nil"/>
              <w:left w:val="nil"/>
              <w:bottom w:val="nil"/>
              <w:right w:val="nil"/>
            </w:tcBorders>
            <w:vAlign w:val="center"/>
          </w:tcPr>
          <w:p w14:paraId="7FFFE766" w14:textId="77777777" w:rsidR="008A78E3" w:rsidRPr="006A6890" w:rsidRDefault="008A78E3" w:rsidP="006015F3">
            <w:pPr>
              <w:rPr>
                <w:rFonts w:asciiTheme="minorHAnsi" w:hAnsiTheme="minorHAnsi"/>
                <w:sz w:val="20"/>
                <w:szCs w:val="20"/>
              </w:rPr>
            </w:pPr>
            <w:r w:rsidRPr="006A6890">
              <w:rPr>
                <w:rFonts w:asciiTheme="minorHAnsi" w:hAnsiTheme="minorHAnsi"/>
                <w:sz w:val="20"/>
                <w:szCs w:val="20"/>
              </w:rPr>
              <w:t>vezetői információs rendszer</w:t>
            </w:r>
          </w:p>
        </w:tc>
      </w:tr>
    </w:tbl>
    <w:p w14:paraId="7FFFE768" w14:textId="77777777" w:rsidR="008A78E3" w:rsidRPr="006A6890" w:rsidRDefault="008A78E3" w:rsidP="00D10772">
      <w:pPr>
        <w:rPr>
          <w:rFonts w:asciiTheme="minorHAnsi" w:hAnsiTheme="minorHAnsi"/>
        </w:rPr>
      </w:pPr>
    </w:p>
    <w:p w14:paraId="7FFFE769" w14:textId="77777777" w:rsidR="008A78E3" w:rsidRPr="006A6890" w:rsidRDefault="008A78E3" w:rsidP="00181755">
      <w:pPr>
        <w:pStyle w:val="Cmsor1"/>
      </w:pPr>
      <w:r w:rsidRPr="006A6890">
        <w:rPr>
          <w:rFonts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Start w:id="33" w:name="_Toc58512196"/>
      <w:bookmarkStart w:id="34" w:name="_Toc158036617"/>
      <w:bookmarkEnd w:id="17"/>
      <w:r w:rsidRPr="006A6890">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FFFE76A" w14:textId="77777777" w:rsidR="008A78E3" w:rsidRPr="004B5D1A" w:rsidRDefault="008A78E3" w:rsidP="004B5D1A">
      <w:pPr>
        <w:rPr>
          <w:rFonts w:asciiTheme="minorHAnsi" w:hAnsiTheme="minorHAnsi"/>
        </w:rPr>
      </w:pPr>
      <w:r w:rsidRPr="004B5D1A">
        <w:rPr>
          <w:rFonts w:asciiTheme="minorHAnsi" w:hAnsiTheme="minorHAnsi"/>
        </w:rPr>
        <w:t>A hazai felügyeleti hatóság 2008-ban adta ki először a CRD hatálya alá tartozó intézmények számára a tőkemegfelelés belső értékelési folyamatával (ICAAP) és annak felügyeleti felülvizsgálatával (SREP) foglalkozó módszertani útmutatókat, amelyeket a jogszabályi változások és a gyakorlati tapasztalatok alapján rendszeresen felülvizsgált. Az útmutatók alapjául szolgáló európai szintű szabályozás a CRD és a CRR bevezetésével 2014-től jelentősen módosult, ezért az útmutatókat az éves felülvizsgálat során szerkezetileg jelentősen átalakította a Magyar Nemzeti Bank (a továbbiakban MNB vagy Felügyelet), és egy olyan kézikönyvet állított össze, amely felöleli a tőkemegfelelés (ICAAP) és a likviditás megfelelőség belső értékelési folyamatának (ILAAP) és ezek felügyeleti felülvizsgálatának alapelveit is. Az EBA a SREP vizsgálat gyakorlatának és módszertanának európai szintű harmonizálására törekedve kidolgozta ajánlását</w:t>
      </w:r>
      <w:r>
        <w:rPr>
          <w:rStyle w:val="Lbjegyzet-hivatkozs"/>
          <w:rFonts w:asciiTheme="minorHAnsi" w:hAnsiTheme="minorHAnsi"/>
        </w:rPr>
        <w:footnoteReference w:id="2"/>
      </w:r>
      <w:r w:rsidRPr="004B5D1A">
        <w:rPr>
          <w:rFonts w:asciiTheme="minorHAnsi" w:hAnsiTheme="minorHAnsi"/>
        </w:rPr>
        <w:t xml:space="preserve"> (EBA SREP Ajánlás), amely szintén a kézikönyv módosításához vezetett. Ennek következtében a módszertani kézikönyv kiegészült az üzleti modell elemzéssel (BMA) foglalkozó fejezettel. </w:t>
      </w:r>
      <w:r>
        <w:rPr>
          <w:rFonts w:asciiTheme="minorHAnsi" w:hAnsiTheme="minorHAnsi"/>
        </w:rPr>
        <w:t>Az EBA felülvizsgálta</w:t>
      </w:r>
      <w:r>
        <w:rPr>
          <w:rStyle w:val="Lbjegyzet-hivatkozs"/>
          <w:rFonts w:asciiTheme="minorHAnsi" w:hAnsiTheme="minorHAnsi"/>
        </w:rPr>
        <w:footnoteReference w:id="3"/>
      </w:r>
      <w:r>
        <w:rPr>
          <w:rFonts w:asciiTheme="minorHAnsi" w:hAnsiTheme="minorHAnsi"/>
        </w:rPr>
        <w:t xml:space="preserve"> korábbi SREP ajánlását és 2022 márciusában megjelentette a felülvizsgált verziót, amelynek következtében a kézikönyv a tőkeáttételi mutatóhoz kapcsolódó és a túlzott tőkeáttétel vállalás kezelésére vonatkozó részekkel bővült. </w:t>
      </w:r>
      <w:r w:rsidRPr="004B5D1A">
        <w:rPr>
          <w:rFonts w:asciiTheme="minorHAnsi" w:hAnsiTheme="minorHAnsi"/>
        </w:rPr>
        <w:t xml:space="preserve">Jelen kézikönyv azonban a kiegészítéssel együtt sem fedi le teljes mértékben az EBA SREP Ajánlás szerinti teljes SREP folyamatot, ugyanis kizárólag az ICAAP-ILAAP-BMA vizsgálatokkal kapcsolatos felügyeleti elvárásokat rögzíti, figyelembe véve az EBA SREP Ajánlásban meghatározott egységes európai módszertant, az uniós szabályozói előírásokat, valamint a hazai gyakorlati tapasztalatokat. </w:t>
      </w:r>
    </w:p>
    <w:p w14:paraId="7FFFE76B" w14:textId="77777777" w:rsidR="008A78E3" w:rsidRPr="004B5D1A" w:rsidRDefault="008A78E3" w:rsidP="004B5D1A">
      <w:pPr>
        <w:rPr>
          <w:rFonts w:asciiTheme="minorHAnsi" w:hAnsiTheme="minorHAnsi"/>
        </w:rPr>
      </w:pPr>
      <w:r w:rsidRPr="004B5D1A">
        <w:rPr>
          <w:rFonts w:asciiTheme="minorHAnsi" w:hAnsiTheme="minorHAnsi"/>
        </w:rPr>
        <w:t xml:space="preserve">A kézikönyv aktuális éves felülvizsgálata kapcsán fontos szempont volt, hogy a felügyeleti elvárások és iránymutatások még transzparensebbek legyenek, és még hatékonyabban segítsék az intézmények munkáját. </w:t>
      </w:r>
    </w:p>
    <w:p w14:paraId="7FFFE76C" w14:textId="77777777" w:rsidR="008A78E3" w:rsidRPr="004B5D1A" w:rsidRDefault="008A78E3" w:rsidP="004B5D1A">
      <w:pPr>
        <w:rPr>
          <w:rFonts w:asciiTheme="minorHAnsi" w:hAnsiTheme="minorHAnsi"/>
        </w:rPr>
      </w:pPr>
      <w:r w:rsidRPr="004B5D1A">
        <w:rPr>
          <w:rFonts w:asciiTheme="minorHAnsi" w:hAnsiTheme="minorHAnsi"/>
        </w:rPr>
        <w:t>A módszertani kézikönyv tartalmazza a felülvizsgálati folyamat tárgyi és időbeli hatályát, bemutatja a felülvizsgálati folyamat főbb alapelveit, kitér a felügyeleti felülvizsgálat fokozataira. Részletesen tárgyalja a tőke- és a likviditás megfelelés belső értékelési eljárásának elemeit, üzleti modell elemzés alapvető módszertanát, és iránymutatást ad a rendelkezések tartalmi értelmezésére. Ezen túlmenően ismerteti a felügyeleti szerepkörében eljáró MNB álláspontját arra vonatkozóan, milyen elvek és módszerek alapján kívánja az intézmények tőkeszükséglet-számítását, likviditás fedezettségét értékelni, valamint az üzleti és stratégiai tervek életképességét és fenntarthatóságát vizsgálni.</w:t>
      </w:r>
      <w:r>
        <w:rPr>
          <w:rStyle w:val="Lbjegyzet-hivatkozs"/>
          <w:rFonts w:asciiTheme="minorHAnsi" w:hAnsiTheme="minorHAnsi"/>
        </w:rPr>
        <w:footnoteReference w:id="4"/>
      </w:r>
      <w:r w:rsidRPr="004B5D1A">
        <w:rPr>
          <w:rFonts w:asciiTheme="minorHAnsi" w:hAnsiTheme="minorHAnsi"/>
        </w:rPr>
        <w:t xml:space="preserve">  </w:t>
      </w:r>
    </w:p>
    <w:p w14:paraId="7FFFE76D" w14:textId="77777777" w:rsidR="008A78E3" w:rsidRPr="004B5D1A" w:rsidRDefault="008A78E3" w:rsidP="004B5D1A">
      <w:pPr>
        <w:spacing w:after="240"/>
        <w:rPr>
          <w:rFonts w:asciiTheme="minorHAnsi" w:hAnsiTheme="minorHAnsi"/>
        </w:rPr>
      </w:pPr>
      <w:r w:rsidRPr="004B5D1A">
        <w:rPr>
          <w:rFonts w:asciiTheme="minorHAnsi" w:hAnsiTheme="minorHAnsi"/>
        </w:rPr>
        <w:t xml:space="preserve">Jelen kézikönyv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7FFFE76E" w14:textId="77777777" w:rsidR="008A78E3" w:rsidRPr="0055569D" w:rsidRDefault="008A78E3" w:rsidP="009F4CDA">
      <w:pPr>
        <w:pStyle w:val="Cmsor2"/>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158036618"/>
      <w:bookmarkStart w:id="45" w:name="_Toc378256220"/>
      <w:bookmarkStart w:id="46" w:name="_Toc378592028"/>
      <w:bookmarkStart w:id="47" w:name="_Toc461095159"/>
      <w:bookmarkStart w:id="48" w:name="_Toc461179192"/>
      <w:bookmarkStart w:id="49" w:name="_Toc461179814"/>
      <w:bookmarkStart w:id="50" w:name="_Toc461197733"/>
      <w:bookmarkStart w:id="51" w:name="_Toc461201257"/>
      <w:bookmarkStart w:id="52" w:name="_Toc461547879"/>
      <w:bookmarkEnd w:id="35"/>
      <w:r w:rsidRPr="0055569D">
        <w:t>Az ICAAP, az ILAAP és a BMA vizsgálat a SREP folyamat tükrében</w:t>
      </w:r>
      <w:bookmarkEnd w:id="36"/>
      <w:bookmarkEnd w:id="37"/>
      <w:bookmarkEnd w:id="38"/>
      <w:bookmarkEnd w:id="39"/>
      <w:bookmarkEnd w:id="40"/>
      <w:bookmarkEnd w:id="41"/>
      <w:bookmarkEnd w:id="42"/>
      <w:bookmarkEnd w:id="43"/>
      <w:bookmarkEnd w:id="44"/>
    </w:p>
    <w:p w14:paraId="7FFFE76F" w14:textId="77777777" w:rsidR="008A78E3" w:rsidRPr="004B5D1A" w:rsidRDefault="008A78E3" w:rsidP="004B5D1A">
      <w:pPr>
        <w:rPr>
          <w:rFonts w:asciiTheme="minorHAnsi" w:hAnsiTheme="minorHAnsi"/>
        </w:rPr>
      </w:pPr>
      <w:r w:rsidRPr="004B5D1A">
        <w:rPr>
          <w:rFonts w:asciiTheme="minorHAnsi" w:hAnsiTheme="minorHAnsi"/>
        </w:rPr>
        <w:t>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Az MNB a teljes SREP folyamatot az ICAAP-ILAAP-BMA vizsgálaton kívül a folyamatos felügyelés, valamint a helyszíni téma- és célvizsgálatok keretében fedi le.</w:t>
      </w:r>
    </w:p>
    <w:p w14:paraId="7FFFE770" w14:textId="77777777" w:rsidR="008A78E3" w:rsidRPr="004B5D1A" w:rsidRDefault="008A78E3" w:rsidP="004B5D1A">
      <w:pPr>
        <w:rPr>
          <w:rFonts w:asciiTheme="minorHAnsi" w:hAnsiTheme="minorHAnsi"/>
        </w:rPr>
      </w:pPr>
      <w:r w:rsidRPr="004B5D1A">
        <w:rPr>
          <w:rFonts w:asciiTheme="minorHAnsi" w:hAnsiTheme="minorHAnsi"/>
        </w:rPr>
        <w:t>A CRD rendelkezéseket tartalmaz a felügyeleti felülvizsgálati folyamatra</w:t>
      </w:r>
      <w:r>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7FFFE771" w14:textId="77777777" w:rsidR="008A78E3" w:rsidRPr="004B5D1A" w:rsidRDefault="008A78E3" w:rsidP="004B5D1A">
      <w:pPr>
        <w:rPr>
          <w:rFonts w:asciiTheme="minorHAnsi" w:hAnsiTheme="minorHAnsi"/>
        </w:rPr>
      </w:pPr>
      <w:r w:rsidRPr="004B5D1A">
        <w:rPr>
          <w:rFonts w:asciiTheme="minorHAnsi" w:hAnsiTheme="minorHAnsi"/>
        </w:rPr>
        <w:t>A 2. pilléres folyamatok jelentősége</w:t>
      </w:r>
      <w:r>
        <w:rPr>
          <w:rFonts w:asciiTheme="minorHAnsi" w:hAnsiTheme="minorHAnsi"/>
        </w:rPr>
        <w:t>,</w:t>
      </w:r>
      <w:r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kézikönyv révén ezzel összhangban az MNB azt kívánja hangsúlyozni, hogy a 2. pilléres ICAAP-ILAAP-BMA vizsgálat nem egy önálló folyamat, hanem az intézményfelügyeleti tevékenység integráns és kiemelten fontos része. Az ICAAP felülvizsgálat keretében az MNB vizsgálja az intézmények ICAAP vonatkozású vállalatirányításának megfelelőségét is. </w:t>
      </w:r>
    </w:p>
    <w:p w14:paraId="7FFFE772" w14:textId="77777777" w:rsidR="008A78E3" w:rsidRPr="004B5D1A" w:rsidRDefault="008A78E3" w:rsidP="004B5D1A">
      <w:pPr>
        <w:rPr>
          <w:rFonts w:asciiTheme="minorHAnsi" w:hAnsiTheme="minorHAnsi"/>
        </w:rPr>
      </w:pPr>
      <w:r w:rsidRPr="004B5D1A">
        <w:rPr>
          <w:rFonts w:asciiTheme="minorHAnsi" w:hAnsiTheme="minorHAnsi"/>
        </w:rPr>
        <w:t>Az alábbi ábra az EBA SREP Ajánlásban kialakított teljes SREP folyamatot mutatja be, amelynek alapján az MNB is kialakította felügyeleti felülvizsgálati folyamatait. A teljes folyamatból a kézikönyv által érintett témaköröket az alábbi ábrán piros szaggatott vonal jelöli.</w:t>
      </w:r>
    </w:p>
    <w:p w14:paraId="7FFFE773" w14:textId="77777777" w:rsidR="008A78E3" w:rsidRPr="006A6890" w:rsidRDefault="008A78E3"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7FFFF073" wp14:editId="7FFFF074">
                <wp:simplePos x="0" y="0"/>
                <wp:positionH relativeFrom="column">
                  <wp:posOffset>3032926</wp:posOffset>
                </wp:positionH>
                <wp:positionV relativeFrom="paragraph">
                  <wp:posOffset>572549</wp:posOffset>
                </wp:positionV>
                <wp:extent cx="1444625" cy="1737995"/>
                <wp:effectExtent l="0" t="0" r="2222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B92894F" id="Rectangle 15"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5AgIAAP8DAAAOAAAAZHJzL2Uyb0RvYy54bWysU9uO0zAQfUfiHyy/07Sl3UvUdIVaysvC&#10;Ii18wNRxYgvHNh636fL1jJ20uwtvCD9Y48scnzlzvLo7dYYdZUDtbMVnkyln0gpXa9tW/Pu33bsb&#10;zjCCrcE4Kyv+JJHfrd++WfW+lHOnnKllYARisex9xVWMviwKFEp2gBPnpaXDxoUOIi1DW9QBekLv&#10;TDGfTq+K3oXaByckIu1uh0O+zvhNI0V8aBqUkZmKE7eY55DnfZqL9QrKNoBXWow04B9YdKAtPXqB&#10;2kIEdgj6L6hOi+DQNXEiXFe4ptFC5hqomtn0j2oeFXiZayFx0F9kwv8HK74cH/3XkKijv3fiBzLr&#10;NgpsKz+E4HoloabnZkmoovdYXhLSAimV7fvPrqbWwiG6rMGpCV0CpOrYKUv9dJFaniITtDlbLBZX&#10;8yVngs5m1++vb2+X+Q0oz+k+YPwkXcdSUPFAvczwcLzHmOhAeb6S6Tuj6502Ji9Cu9+YwI5Afd/l&#10;MeQar2DYzb0nDByuZjx8iWEs6ys+p7HMua8Ox6zzA1MaI/1X1xLBLaAa7tUUDY7rdCTbG91V/Cbl&#10;jkZMan+0dTZlBG2GmEgaO8qfFE/mxnLv6idSP7jB0/QHKVAu/OKsJz9XHH8eIEjOwArarng8h5s4&#10;fICDD7pVlPXcXXJZFmL8EcnGL9eZxPO/Xf8G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Fpv73kCAgAA/wMAAA4A&#10;AAAAAAAAAAAAAAAALgIAAGRycy9lMm9Eb2MueG1sUEsBAi0AFAAGAAgAAAAhAHSBIcXiAAAACgEA&#10;AA8AAAAAAAAAAAAAAAAAXAQAAGRycy9kb3ducmV2LnhtbFBLBQYAAAAABAAEAPMAAABr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0288" behindDoc="0" locked="0" layoutInCell="1" allowOverlap="1" wp14:anchorId="7FFFF075" wp14:editId="7FFFF076">
                <wp:simplePos x="0" y="0"/>
                <wp:positionH relativeFrom="column">
                  <wp:posOffset>47625</wp:posOffset>
                </wp:positionH>
                <wp:positionV relativeFrom="paragraph">
                  <wp:posOffset>574040</wp:posOffset>
                </wp:positionV>
                <wp:extent cx="1444625" cy="1755140"/>
                <wp:effectExtent l="0" t="0" r="22225"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15A6340" id="Rectangle 16" o:spid="_x0000_s1026" style="position:absolute;margin-left:3.75pt;margin-top:45.2pt;width:113.7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YpAQIAAP8DAAAOAAAAZHJzL2Uyb0RvYy54bWysU02PEzEMvSPxH6Lc6bRVu6xGna5QS7ks&#10;H9LCD3AzmZmITByctNPl1+Nk2m6BGyKHyHHiZ/v5ZfVw6q04agoGXSVnk6kU2imsjWsr+e3r7s29&#10;FCGCq8Gi05V81kE+rF+/Wg2+1HPs0NaaBIO4UA6+kl2MviyKoDrdQ5ig144vG6QeIh+pLWqCgdF7&#10;W8yn07tiQKo9odIhsHc7Xsp1xm8areLnpgk6CltJri3mnfK+T3uxXkHZEvjOqHMZ8A9V9GAcJ71C&#10;bSGCOJD5C6o3ijBgEycK+wKbxiide+BuZtM/unnqwOvcC5MT/JWm8P9g1afjk/9CqfTgH1F9D8Lh&#10;pgPX6ndEOHQaak43S0QVgw/lNSAdAoeK/fARax4tHCJmDk4N9QmQuxOnTPXzlWp9ikKxc7ZYLO7m&#10;SykU383eLpezRR5GAeUl3FOIHzT2IhmVJJ5lhofjY4ipHCgvT3L5aE29M9bmA7X7jSVxBJ77Lq8x&#10;1voORu8lXRifZrxwi2GdGCo557XMsb9dnqMuCaa8MkVM4y1GKnALoRvf1WyNiutNZNlb01fyPsWe&#10;hZjYfu/qLMoIxo42N2rdmf7EeBJ3KPdYPzP7hKOm+Q+y0SH9lGJgPVcy/DgAaSnAKXZXMl7MTRw/&#10;wMGTaTuOepkuqywTcf4RSca351zEy79d/wIAAP//AwBQSwMEFAAGAAgAAAAhABXC1pzgAAAACAEA&#10;AA8AAABkcnMvZG93bnJldi54bWxMj8FOwzAQRO9I/IO1SFxQa9PQ0IZsKoQAcSu0ReLoxEsSNV5H&#10;sdsGvh5zguNoRjNv8tVoO3GkwbeOEa6nCgRx5UzLNcJu+zRZgPBBs9GdY0L4Ig+r4vws15lxJ36j&#10;4ybUIpawzzRCE0KfSemrhqz2U9cTR+/TDVaHKIdamkGfYrnt5EypVFrdclxodE8PDVX7zcEi7N8/&#10;1ONV+WqXz9/rxK2l3o0vKeLlxXh/ByLQGP7C8Isf0aGITKU7sPGiQ7idxyDCUt2AiPYsmcdrJUKS&#10;pguQRS7/Hyh+AAAA//8DAFBLAQItABQABgAIAAAAIQC2gziS/gAAAOEBAAATAAAAAAAAAAAAAAAA&#10;AAAAAABbQ29udGVudF9UeXBlc10ueG1sUEsBAi0AFAAGAAgAAAAhADj9If/WAAAAlAEAAAsAAAAA&#10;AAAAAAAAAAAALwEAAF9yZWxzLy5yZWxzUEsBAi0AFAAGAAgAAAAhALtWdikBAgAA/wMAAA4AAAAA&#10;AAAAAAAAAAAALgIAAGRycy9lMm9Eb2MueG1sUEsBAi0AFAAGAAgAAAAhABXC1pzgAAAACAEAAA8A&#10;AAAAAAAAAAAAAAAAWwQAAGRycy9kb3ducmV2LnhtbFBLBQYAAAAABAAEAPMAAABo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4384" behindDoc="0" locked="0" layoutInCell="1" allowOverlap="1" wp14:anchorId="7FFFF077" wp14:editId="7FFFF078">
                <wp:simplePos x="0" y="0"/>
                <wp:positionH relativeFrom="column">
                  <wp:posOffset>1543374</wp:posOffset>
                </wp:positionH>
                <wp:positionV relativeFrom="paragraph">
                  <wp:posOffset>1704436</wp:posOffset>
                </wp:positionV>
                <wp:extent cx="1444625" cy="413481"/>
                <wp:effectExtent l="0" t="0" r="2222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7FFFF138" w14:textId="77777777" w:rsidR="008A78E3" w:rsidRPr="00B51F44" w:rsidRDefault="008A78E3" w:rsidP="00B51F44">
                            <w:pPr>
                              <w:jc w:val="center"/>
                              <w:rPr>
                                <w:color w:val="002060"/>
                                <w:sz w:val="18"/>
                              </w:rPr>
                            </w:pPr>
                            <w:r w:rsidRPr="00B51F44">
                              <w:rPr>
                                <w:color w:val="002060"/>
                                <w:sz w:val="18"/>
                              </w:rPr>
                              <w:t>ICAAP vonatkozású vállalatirányítás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FFFF077" id="Rectangle 17" o:spid="_x0000_s1026" style="position:absolute;left:0;text-align:left;margin-left:121.55pt;margin-top:134.2pt;width:113.7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0lBwIAAAkEAAAOAAAAZHJzL2Uyb0RvYy54bWysU9uO0zAQfUfiHyy/07Slu1pFTVeopbws&#10;F2nhA6aOk1g4HjN2m5avZ+y03QJvCD9Y48scnzlzvHw89lYcNAWDrpKzyVQK7RTWxrWV/PZ1++ZB&#10;ihDB1WDR6UqedJCPq9evloMv9Rw7tLUmwSAulIOvZBejL4siqE73ECbotePDBqmHyEtqi5pgYPTe&#10;FvPp9L4YkGpPqHQIvLsZD+Uq4zeNVvFz0wQdha0kc4t5pjzv0lysllC2BL4z6kwD/oFFD8bxo1eo&#10;DUQQezJ/QfVGEQZs4kRhX2DTGKVzDVzNbPpHNc8deJ1rYXGCv8oU/h+s+nR49l8oUQ/+CdX3IByu&#10;O3CtfkeEQ6eh5udmSahi8KG8JqRF4FSxGz5iza2FfcSswbGhPgFydeKYpT5dpdbHKBRvzhaLxf38&#10;TgrFZ4vZ28XD+ASUl2xPIX7Q2IsUVJK4lRkdDk8hJjZQXq5k9mhNvTXW5gW1u7UlcQBu+zaPMdf6&#10;Dsbd3HrGCOPVjBduMawTQyXnPO5y7m+H56zLA1MeWSHGu8VIBDcQuvFezdFouN5Edr01fSUfUu7Z&#10;h0ns967Onoxg7BgzSevO6ifBk7dDGY+7I19M4Q7rE/eBcHQ3/0YOOqSfUgzs7EqGH3sgLQU4xduV&#10;jJdwHcevsPdk2o6zXvrMfsuanP9GMvTtOvN5+cGrXwAAAP//AwBQSwMEFAAGAAgAAAAhAGth3f/i&#10;AAAACwEAAA8AAABkcnMvZG93bnJldi54bWxMj8FOwzAMhu9IvENkJC6IpVtKGaXphBAgboMxJI5p&#10;Y9pqjVM12VZ4eswJbrb86ff3F6vJ9eKAY+g8aZjPEhBItbcdNRq2b4+XSxAhGrKm94QavjDAqjw9&#10;KUxu/ZFe8bCJjeAQCrnR0MY45FKGukVnwswPSHz79KMzkdexkXY0Rw53vVwkSSad6Yg/tGbA+xbr&#10;3WbvNOzeP5KHi+rF3Tx9r5VfS7OdnjOtz8+mu1sQEaf4B8OvPqtDyU6V35MNotewSNWcUR6yZQqC&#10;ifQ6yUBUGpRSVyDLQv7vUP4AAAD//wMAUEsBAi0AFAAGAAgAAAAhALaDOJL+AAAA4QEAABMAAAAA&#10;AAAAAAAAAAAAAAAAAFtDb250ZW50X1R5cGVzXS54bWxQSwECLQAUAAYACAAAACEAOP0h/9YAAACU&#10;AQAACwAAAAAAAAAAAAAAAAAvAQAAX3JlbHMvLnJlbHNQSwECLQAUAAYACAAAACEAXuydJQcCAAAJ&#10;BAAADgAAAAAAAAAAAAAAAAAuAgAAZHJzL2Uyb0RvYy54bWxQSwECLQAUAAYACAAAACEAa2Hd/+IA&#10;AAALAQAADwAAAAAAAAAAAAAAAABhBAAAZHJzL2Rvd25yZXYueG1sUEsFBgAAAAAEAAQA8wAAAHAF&#10;AAAAAA==&#10;" strokecolor="red" strokeweight="1.75pt">
                <v:fill opacity="0"/>
                <v:stroke dashstyle="dash"/>
                <v:textbox>
                  <w:txbxContent>
                    <w:p w14:paraId="7FFFF138" w14:textId="77777777" w:rsidR="008A78E3" w:rsidRPr="00B51F44" w:rsidRDefault="008A78E3" w:rsidP="00B51F44">
                      <w:pPr>
                        <w:jc w:val="center"/>
                        <w:rPr>
                          <w:color w:val="002060"/>
                          <w:sz w:val="18"/>
                        </w:rPr>
                      </w:pPr>
                      <w:r w:rsidRPr="00B51F44">
                        <w:rPr>
                          <w:color w:val="002060"/>
                          <w:sz w:val="18"/>
                        </w:rPr>
                        <w:t>ICAAP vonatkozású vállalatirányítás</w:t>
                      </w:r>
                    </w:p>
                  </w:txbxContent>
                </v:textbox>
              </v:rect>
            </w:pict>
          </mc:Fallback>
        </mc:AlternateContent>
      </w:r>
      <w:r w:rsidRPr="006A6890">
        <w:rPr>
          <w:rFonts w:asciiTheme="minorHAnsi" w:hAnsiTheme="minorHAnsi"/>
          <w:noProof/>
        </w:rPr>
        <mc:AlternateContent>
          <mc:Choice Requires="wps">
            <w:drawing>
              <wp:anchor distT="0" distB="0" distL="114300" distR="114300" simplePos="0" relativeHeight="251662336" behindDoc="0" locked="0" layoutInCell="1" allowOverlap="1" wp14:anchorId="7FFFF079" wp14:editId="7FFFF07A">
                <wp:simplePos x="0" y="0"/>
                <wp:positionH relativeFrom="column">
                  <wp:posOffset>4481637</wp:posOffset>
                </wp:positionH>
                <wp:positionV relativeFrom="paragraph">
                  <wp:posOffset>574687</wp:posOffset>
                </wp:positionV>
                <wp:extent cx="1444829" cy="1738086"/>
                <wp:effectExtent l="0" t="0" r="2222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A01F2C3" id="Rectangle 13" o:spid="_x0000_s1026" style="position:absolute;margin-left:352.9pt;margin-top:45.25pt;width:113.75pt;height:1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EtAQIAAP8DAAAOAAAAZHJzL2Uyb0RvYy54bWysU9uO0zAQfUfiHyy/06SlLCVqukIt5WW5&#10;SAsfMHWc2MLxGNttunw9Yyft7sIbwg/W+DLHZ84cr2/PvWEn6YNGW/P5rORMWoGNtl3Nv3/bv1px&#10;FiLYBgxaWfMHGfjt5uWL9eAquUCFppGeEYgN1eBqrmJ0VVEEoWQPYYZOWjps0fcQaem7ovEwEHpv&#10;ikVZ3hQD+sZ5FDIE2t2Nh3yT8dtWivilbYOMzNScuMU8+zwf0lxs1lB1HpzSYqIB/8CiB23p0SvU&#10;DiKwo9d/QfVaeAzYxpnAvsC21ULmGqiaeflHNfcKnMy1kDjBXWUK/w9WfD7du68+UQ/uDsWPwCxu&#10;FdhOvvceByWhoefmSahicKG6JqRFoFR2GD5hQ62FY8Sswbn1fQKk6tg5S/1wlVqeIxO0OV8ul6vF&#10;O84Enc3fvl6Vq5v8BlSXdOdD/CixZymouadeZng43YWY6EB1uZLpo9HNXhuTF747bI1nJ6C+7/MY&#10;c41TMO7m3hNGGK9mvPAUw1g21HxB403OfXY4ZV0eKGlM9J9dSwR3ENR4r6FodFyvI9ne6L7mq5Q7&#10;GTGp/cE22ZQRtBljImnsJH9SPJk7VAdsHkh9j6On6Q9SoND/4mwgP9c8/DyCl5yBFbRd83gJt3H8&#10;AEfndaco67G75LIsxPQjko2frjOJx3+7+Q0AAP//AwBQSwMEFAAGAAgAAAAhAHR2SyLhAAAACgEA&#10;AA8AAABkcnMvZG93bnJldi54bWxMj8FOwzAQRO9I/IO1SFwQtWloICGbCiFAvRVKkThuYpNEjddR&#10;7LaBr8ec4Dia0cybYjnZXhzM6DvHCFczBcJw7XTHDcL27enyFoQPxJp6xwbhy3hYlqcnBeXaHfnV&#10;HDahEbGEfU4IbQhDLqWvW2PJz9xgOHqfbrQUohwbqUc6xnLby7lSqbTUcVxoaTAPral3m71F2L1/&#10;qMeL6sVmz9/rxK0lbadVinh+Nt3fgQhmCn9h+MWP6FBGpsrtWXvRI9yoRUQPCJlagIiBLEkSEBVC&#10;kl7PQZaF/H+h/AEAAP//AwBQSwECLQAUAAYACAAAACEAtoM4kv4AAADhAQAAEwAAAAAAAAAAAAAA&#10;AAAAAAAAW0NvbnRlbnRfVHlwZXNdLnhtbFBLAQItABQABgAIAAAAIQA4/SH/1gAAAJQBAAALAAAA&#10;AAAAAAAAAAAAAC8BAABfcmVscy8ucmVsc1BLAQItABQABgAIAAAAIQDtGfEtAQIAAP8DAAAOAAAA&#10;AAAAAAAAAAAAAC4CAABkcnMvZTJvRG9jLnhtbFBLAQItABQABgAIAAAAIQB0dksi4QAAAAoBAAAP&#10;AAAAAAAAAAAAAAAAAFsEAABkcnMvZG93bnJldi54bWxQSwUGAAAAAAQABADzAAAAaQUAAAAA&#10;" strokecolor="red" strokeweight="1.75pt">
                <v:fill opacity="0"/>
                <v:stroke dashstyle="dash"/>
              </v:rect>
            </w:pict>
          </mc:Fallback>
        </mc:AlternateContent>
      </w:r>
      <w:r w:rsidRPr="006A6890">
        <w:rPr>
          <w:rFonts w:asciiTheme="minorHAnsi" w:hAnsiTheme="minorHAnsi"/>
          <w:noProof/>
        </w:rPr>
        <w:drawing>
          <wp:inline distT="0" distB="0" distL="0" distR="0" wp14:anchorId="7FFFF07B" wp14:editId="7FFFF07C">
            <wp:extent cx="5977890" cy="370078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7890" cy="3700780"/>
                    </a:xfrm>
                    <a:prstGeom prst="rect">
                      <a:avLst/>
                    </a:prstGeom>
                    <a:noFill/>
                    <a:ln>
                      <a:noFill/>
                    </a:ln>
                  </pic:spPr>
                </pic:pic>
              </a:graphicData>
            </a:graphic>
          </wp:inline>
        </w:drawing>
      </w:r>
    </w:p>
    <w:p w14:paraId="7FFFE774" w14:textId="77777777" w:rsidR="008A78E3" w:rsidRPr="004B5D1A" w:rsidRDefault="008A78E3" w:rsidP="004B5D1A">
      <w:pPr>
        <w:rPr>
          <w:rFonts w:asciiTheme="minorHAnsi" w:hAnsiTheme="minorHAnsi"/>
        </w:rPr>
      </w:pPr>
      <w:r w:rsidRPr="004B5D1A">
        <w:rPr>
          <w:rFonts w:asciiTheme="minorHAnsi" w:hAnsiTheme="minorHAnsi"/>
        </w:rPr>
        <w:t>Az eddigi felülvizsgálatok tapasztalatait felhasználva az MNB az ICAAP-ILAAP-BMA vizsgálat számos elemére vonatkozóan eljárásrendet, következetes módszertant és megalapozott álláspontot alakított ki. A kézikönyv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7FFFE775" w14:textId="77777777" w:rsidR="008A78E3" w:rsidRPr="0055569D" w:rsidRDefault="008A78E3" w:rsidP="009F4CDA">
      <w:pPr>
        <w:pStyle w:val="Cmsor2"/>
      </w:pPr>
      <w:bookmarkStart w:id="53" w:name="_Toc462401907"/>
      <w:bookmarkStart w:id="54" w:name="_Toc462403028"/>
      <w:bookmarkStart w:id="55" w:name="_Toc462403351"/>
      <w:bookmarkStart w:id="56" w:name="_Toc468180470"/>
      <w:bookmarkStart w:id="57" w:name="_Toc468181003"/>
      <w:bookmarkStart w:id="58" w:name="_Toc468191405"/>
      <w:bookmarkStart w:id="59" w:name="_Toc45119915"/>
      <w:bookmarkStart w:id="60" w:name="_Toc58512198"/>
      <w:bookmarkStart w:id="61" w:name="_Toc158036619"/>
      <w:r w:rsidRPr="0055569D">
        <w:t>A tőkemegfelelés belső értékelési folyamata (ICAAP)</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5569D">
        <w:t xml:space="preserve"> </w:t>
      </w:r>
    </w:p>
    <w:p w14:paraId="7FFFE776" w14:textId="77777777" w:rsidR="008A78E3" w:rsidRPr="004B5D1A" w:rsidRDefault="008A78E3" w:rsidP="004B5D1A">
      <w:pPr>
        <w:rPr>
          <w:rFonts w:asciiTheme="minorHAnsi" w:hAnsiTheme="minorHAnsi"/>
        </w:rPr>
      </w:pPr>
      <w:r w:rsidRPr="004B5D1A">
        <w:rPr>
          <w:rFonts w:asciiTheme="minorHAnsi" w:hAnsiTheme="minorHAnsi"/>
        </w:rPr>
        <w:t>A tőkekövetelmény meghatározásával kapcsolatos hazai és európai uniós szabályozás valamennyi hitelintézet (a továbbiakban: intézmény, intézmények) 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Pr>
          <w:rStyle w:val="Lbjegyzet-hivatkozs"/>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7FFFE777"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7FFFE778" w14:textId="77777777" w:rsidR="008A78E3" w:rsidRPr="006A6890" w:rsidRDefault="008A78E3" w:rsidP="00181755">
      <w:pPr>
        <w:pStyle w:val="felsorolsos"/>
        <w:rPr>
          <w:rFonts w:asciiTheme="minorHAnsi" w:hAnsiTheme="minorHAnsi"/>
        </w:rPr>
      </w:pPr>
      <w:r w:rsidRPr="006A6890">
        <w:rPr>
          <w:rFonts w:asciiTheme="minorHAnsi" w:hAnsiTheme="minorHAnsi"/>
        </w:rPr>
        <w:t>ezek fedezetére elegendő – belső szabályok szerint meghatározott – tőkével rendelkezzen.</w:t>
      </w:r>
    </w:p>
    <w:p w14:paraId="7FFFE779" w14:textId="77777777" w:rsidR="008A78E3" w:rsidRPr="004B5D1A" w:rsidRDefault="008A78E3" w:rsidP="004B5D1A">
      <w:pPr>
        <w:rPr>
          <w:rFonts w:asciiTheme="minorHAnsi" w:hAnsiTheme="minorHAnsi"/>
        </w:rPr>
      </w:pPr>
      <w:r w:rsidRPr="004B5D1A">
        <w:rPr>
          <w:rFonts w:asciiTheme="minorHAnsi" w:hAnsiTheme="minorHAnsi"/>
        </w:rPr>
        <w:t>A belső tőkeszámítási eljárás a CRD hatálya alá tartozó valamennyi intézményre vonatkozik, annak 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7FFFE77A" w14:textId="77777777" w:rsidR="008A78E3" w:rsidRPr="004B5D1A" w:rsidRDefault="008A78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7FFFE77B" w14:textId="77777777" w:rsidR="008A78E3" w:rsidRPr="006A6890" w:rsidRDefault="008A78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7FFFE77C" w14:textId="77777777" w:rsidR="008A78E3" w:rsidRPr="006A6890" w:rsidRDefault="008A78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kockázatok fedezéséhez szükséges tőke szintjét;</w:t>
      </w:r>
    </w:p>
    <w:p w14:paraId="7FFFE77D"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7FFFE77E"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7FFFE77F" w14:textId="77777777" w:rsidR="008A78E3" w:rsidRPr="006A6890" w:rsidRDefault="008A78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7FFFE780" w14:textId="77777777" w:rsidR="008A78E3" w:rsidRPr="004B5D1A" w:rsidRDefault="008A78E3" w:rsidP="004B5D1A">
      <w:pPr>
        <w:rPr>
          <w:rFonts w:asciiTheme="minorHAnsi" w:hAnsiTheme="minorHAnsi"/>
        </w:rPr>
      </w:pPr>
      <w:r w:rsidRPr="004B5D1A">
        <w:rPr>
          <w:rFonts w:asciiTheme="minorHAnsi" w:hAnsiTheme="minorHAnsi"/>
        </w:rPr>
        <w:t>A kézikönyv központi fogalmai az ICAAP vonatkozásában a tőke és a kockázat. A jelenleg érvényes szabályozás az intézmény tőkével való ellátottságát alapvetően a nem várt veszteségek fedezése céljából kívánja meg</w:t>
      </w:r>
      <w:r>
        <w:rPr>
          <w:rStyle w:val="Lbjegyzet-hivatkozs"/>
          <w:rFonts w:asciiTheme="minorHAnsi" w:hAnsiTheme="minorHAnsi"/>
        </w:rPr>
        <w:footnoteReference w:id="7"/>
      </w:r>
      <w:r w:rsidRPr="004B5D1A">
        <w:rPr>
          <w:rFonts w:asciiTheme="minorHAnsi" w:hAnsiTheme="minorHAnsi"/>
        </w:rPr>
        <w:t>, amely mintegy állandó biztosítékként lehetővé teszi az intézmény prudens működését minden szokványosnak tekinthető üzleti és gazdasági helyzetben</w:t>
      </w:r>
      <w:r>
        <w:rPr>
          <w:rStyle w:val="Lbjegyzet-hivatkozs"/>
          <w:rFonts w:asciiTheme="minorHAnsi" w:hAnsiTheme="minorHAnsi"/>
        </w:rPr>
        <w:footnoteReference w:id="8"/>
      </w:r>
      <w:r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7FFFE781" w14:textId="77777777" w:rsidR="008A78E3" w:rsidRPr="004B5D1A" w:rsidRDefault="008A78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7FFFE782" w14:textId="77777777" w:rsidR="008A78E3" w:rsidRPr="004B5D1A" w:rsidRDefault="008A78E3" w:rsidP="004B5D1A">
      <w:pPr>
        <w:rPr>
          <w:rFonts w:asciiTheme="minorHAnsi" w:hAnsiTheme="minorHAnsi"/>
        </w:rPr>
      </w:pPr>
      <w:r w:rsidRPr="004B5D1A">
        <w:rPr>
          <w:rFonts w:asciiTheme="minorHAnsi" w:hAnsiTheme="minorHAnsi"/>
        </w:rPr>
        <w:t>A tőkemegfelelés számításakor az összes kockázati típust lefedő, aggregált gazdasági tőkeszükségletet az intézmények a szabályozói (1. pilléres) szavatoló tőkével vethetik össze, csak az ilyen tőkeelemeket lehet a kockázatok fedezésére rendelkezésre álló tőkeként elfogadni a SREP tőkemegfelelés számítása során. A korábban alkalmazott egyéb, második pilléres szavatoló tőke fogalmat korrigáló tényezőket más módon sem engedi az MNB figyelembe venni, így például kockázati tőkekövetelmény csökkentő elemként. Az EBA SREP Ajánlásnak megfelelően a kockázatok közötti diverzifikáció nem vehető figyelembe a 2. pilléres tőkekövetelmény megállapítása során.</w:t>
      </w:r>
    </w:p>
    <w:p w14:paraId="7FFFE783" w14:textId="77777777" w:rsidR="008A78E3" w:rsidRPr="004B5D1A" w:rsidRDefault="008A78E3" w:rsidP="004B5D1A">
      <w:pPr>
        <w:rPr>
          <w:rFonts w:asciiTheme="minorHAnsi" w:hAnsiTheme="minorHAnsi"/>
        </w:rPr>
      </w:pPr>
      <w:r w:rsidRPr="004B5D1A">
        <w:rPr>
          <w:rFonts w:asciiTheme="minorHAnsi" w:hAnsiTheme="minorHAnsi"/>
        </w:rPr>
        <w:t xml:space="preserve">Az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A 2. pillérben az intézménynek az összes releváns kockázati típusára (1. pillérben nem kezelt kockázatokra is, pl.: kockázatos portfóliókra, koncentrációs kockázatra, banki könyvi kamatkockázatra) vonatkozóan tőkekövetelményt kell meghatároznia, és az 1. pilléres kockázatokra kockázatonként és összesítetten is a minimum tőkeszint a CRR-ben meghatározott szabályozói tőke. Az 1. pillérben nem szabályozott kockázatokra számított további tőkekövetelmény miatt a belső tőkeszámítás eredménye azonban jellemzően meghaladja a szabályozói tőkekövetelményt, a 2. pillérben addicionális tőkekövetelményt megjelenítve. Az intézményektől elvárt, hogy a 2. pillérben a kockázatokra képzett tőkekövetelmény összege kockázatonként kerüljön megállapításra. Előfordulhat azonban, hogy az 1. pilléres kockázatokra a 2. pillérben a belső tőkeszükséglet számítás alacsonyabb tőkeszükségletet eredményez, ebben az esetben a 2. pilléres tőkeszükséglet kockázatonkénti minimuma a CRR szerinti szabályozói tőke (Pillér 1+ módszer, lásd részletesebben a tőkeszükséglet meghatározásáról szóló fejezetben). A 2. pillérben a többlet-tőkekövetelmény szükségességét a felügyeleti felülvizsgálat során szintén kockázatonként ítéli meg az MNB. </w:t>
      </w:r>
    </w:p>
    <w:p w14:paraId="7FFFE784" w14:textId="77777777" w:rsidR="008A78E3" w:rsidRPr="004B5D1A" w:rsidRDefault="008A78E3" w:rsidP="004B5D1A">
      <w:pPr>
        <w:rPr>
          <w:rFonts w:asciiTheme="minorHAnsi" w:hAnsiTheme="minorHAnsi"/>
        </w:rPr>
      </w:pPr>
      <w:r w:rsidRPr="004B5D1A">
        <w:rPr>
          <w:rFonts w:asciiTheme="minorHAnsi" w:hAnsiTheme="minorHAnsi"/>
        </w:rPr>
        <w:t>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Ennek keretében az intézmények ösztönözve vannak arra is, hogy fejlesszék 1. pilléres tőkekövetelmény-számítási módszereiket is, törekedve a belső minősítésen alapuló módszerek bevezetése, illetve továbbfejlesztése felé (méretük, tevékenységük jellegének, nagyságrendjének és összetettségének függvényében). A belső tőkemegfelelési eljárás így az intézmény mindennapos folyamataiba ágyazódva nagyban elősegítheti annak prudens működését.</w:t>
      </w:r>
    </w:p>
    <w:p w14:paraId="7FFFE785" w14:textId="77777777" w:rsidR="008A78E3" w:rsidRPr="006A6890" w:rsidRDefault="008A78E3" w:rsidP="00181755">
      <w:pPr>
        <w:pStyle w:val="Cmsor3"/>
        <w:rPr>
          <w:rFonts w:asciiTheme="minorHAnsi" w:hAnsiTheme="minorHAnsi"/>
        </w:rPr>
      </w:pPr>
      <w:bookmarkStart w:id="62" w:name="_Toc462401908"/>
      <w:bookmarkStart w:id="63" w:name="_Toc462403029"/>
      <w:bookmarkStart w:id="64" w:name="_Toc462403352"/>
      <w:bookmarkStart w:id="65" w:name="_Toc462403781"/>
      <w:bookmarkStart w:id="66" w:name="_Toc462645649"/>
      <w:bookmarkStart w:id="67" w:name="_Toc468180471"/>
      <w:bookmarkStart w:id="68" w:name="_Toc468181004"/>
      <w:bookmarkStart w:id="69" w:name="_Toc468181005"/>
      <w:bookmarkStart w:id="70" w:name="_Toc461095160"/>
      <w:bookmarkStart w:id="71" w:name="_Toc461179193"/>
      <w:bookmarkStart w:id="72" w:name="_Toc461179815"/>
      <w:bookmarkStart w:id="73" w:name="_Toc461197734"/>
      <w:bookmarkStart w:id="74" w:name="_Toc461201258"/>
      <w:bookmarkStart w:id="75" w:name="_Toc461547880"/>
      <w:bookmarkStart w:id="76" w:name="_Toc462401909"/>
      <w:bookmarkStart w:id="77" w:name="_Toc462403030"/>
      <w:bookmarkStart w:id="78" w:name="_Toc462403353"/>
      <w:bookmarkStart w:id="79" w:name="_Toc468180472"/>
      <w:bookmarkStart w:id="80" w:name="_Toc378256223"/>
      <w:bookmarkStart w:id="81" w:name="_Toc378592031"/>
      <w:bookmarkStart w:id="82" w:name="_Toc468191406"/>
      <w:bookmarkStart w:id="83" w:name="_Toc45119916"/>
      <w:bookmarkStart w:id="84" w:name="_Toc58512199"/>
      <w:bookmarkStart w:id="85" w:name="_Toc158036620"/>
      <w:bookmarkEnd w:id="62"/>
      <w:bookmarkEnd w:id="63"/>
      <w:bookmarkEnd w:id="64"/>
      <w:bookmarkEnd w:id="65"/>
      <w:bookmarkEnd w:id="66"/>
      <w:bookmarkEnd w:id="67"/>
      <w:bookmarkEnd w:id="68"/>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Pr="006A6890">
        <w:rPr>
          <w:rFonts w:asciiTheme="minorHAnsi" w:hAnsiTheme="minorHAnsi"/>
          <w:i w:val="0"/>
        </w:rPr>
        <w:t>alapelvek</w:t>
      </w:r>
      <w:bookmarkStart w:id="86" w:name="_Toc46818100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6"/>
      <w:bookmarkEnd w:id="85"/>
    </w:p>
    <w:p w14:paraId="7FFFE786" w14:textId="77777777" w:rsidR="008A78E3" w:rsidRPr="004B5D1A" w:rsidRDefault="008A78E3" w:rsidP="004B5D1A">
      <w:pPr>
        <w:rPr>
          <w:rFonts w:asciiTheme="minorHAnsi" w:hAnsiTheme="minorHAnsi"/>
        </w:rPr>
      </w:pPr>
      <w:r w:rsidRPr="004B5D1A">
        <w:rPr>
          <w:rFonts w:asciiTheme="minorHAnsi" w:hAnsiTheme="minorHAnsi"/>
        </w:rPr>
        <w:t xml:space="preserve">Az alábbiakban az európai szinten megfogalmazott általános ICAAP alapelvek – kiegészülve az MNB rendelkezésére álló tapasztalatokkal – kerülnek ismertetésre, melyek minden intézmény számára útmutatóul hivatottak szolgálni belső tőkemegfelelési eljárásuk kialakításánál. </w:t>
      </w:r>
    </w:p>
    <w:p w14:paraId="7FFFE787" w14:textId="77777777" w:rsidR="008A78E3" w:rsidRPr="006A6890" w:rsidRDefault="008A78E3" w:rsidP="00181755">
      <w:pPr>
        <w:pStyle w:val="Stlus1"/>
        <w:keepNext w:val="0"/>
        <w:rPr>
          <w:rFonts w:asciiTheme="minorHAnsi" w:hAnsiTheme="minorHAnsi"/>
          <w:sz w:val="22"/>
          <w:szCs w:val="22"/>
        </w:rPr>
      </w:pPr>
      <w:r w:rsidRPr="006A6890">
        <w:rPr>
          <w:rFonts w:asciiTheme="minorHAnsi" w:hAnsiTheme="minorHAnsi"/>
          <w:sz w:val="22"/>
          <w:szCs w:val="22"/>
        </w:rPr>
        <w:t xml:space="preserve">ICAAP 1: Minden intézménynek </w:t>
      </w:r>
      <w:bookmarkStart w:id="87" w:name="OLE_LINK2"/>
      <w:r w:rsidRPr="006A6890">
        <w:rPr>
          <w:rFonts w:asciiTheme="minorHAnsi" w:hAnsiTheme="minorHAnsi"/>
          <w:sz w:val="22"/>
          <w:szCs w:val="22"/>
        </w:rPr>
        <w:t>rendelkeznie kell olyan belső eljárással, a</w:t>
      </w:r>
      <w:bookmarkEnd w:id="87"/>
      <w:r w:rsidRPr="006A6890">
        <w:rPr>
          <w:rFonts w:asciiTheme="minorHAnsi" w:hAnsiTheme="minorHAnsi"/>
          <w:sz w:val="22"/>
          <w:szCs w:val="22"/>
        </w:rPr>
        <w:t>mely értékeli a kockázati profiljához igazodó tőkemegfelelését (ICAAP).</w:t>
      </w:r>
    </w:p>
    <w:p w14:paraId="7FFFE788" w14:textId="77777777" w:rsidR="008A78E3" w:rsidRPr="004B5D1A" w:rsidRDefault="008A78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7FFFE789" w14:textId="77777777" w:rsidR="008A78E3" w:rsidRPr="006A6890" w:rsidRDefault="008A78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7FFFE78A" w14:textId="77777777" w:rsidR="008A78E3" w:rsidRPr="004B5D1A" w:rsidRDefault="008A78E3" w:rsidP="004B5D1A">
      <w:pPr>
        <w:rPr>
          <w:rFonts w:asciiTheme="minorHAnsi" w:hAnsiTheme="minorHAnsi"/>
        </w:rPr>
      </w:pPr>
      <w:r w:rsidRPr="004B5D1A">
        <w:rPr>
          <w:rFonts w:asciiTheme="minorHAnsi" w:hAnsiTheme="minorHAnsi"/>
        </w:rPr>
        <w:t>Az intézmény kockázati profiljának és a működési környezetének megfelelő ICAAP eljárás kidolgozása és a tőkecélok belső 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felelnie a felügyeleti elvárásoknak is. Az ICAAP-ért való felelősség ugyanakkor a kiszervezett tevékenységekre való tekintet nélkül továbbra is az intézményt terheli.</w:t>
      </w:r>
      <w:r>
        <w:rPr>
          <w:rFonts w:asciiTheme="minorHAnsi" w:hAnsiTheme="minorHAnsi"/>
          <w:vertAlign w:val="superscript"/>
        </w:rPr>
        <w:footnoteReference w:id="9"/>
      </w:r>
    </w:p>
    <w:p w14:paraId="7FFFE78B" w14:textId="77777777" w:rsidR="008A78E3" w:rsidRPr="004B5D1A" w:rsidRDefault="008A78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 valamint igazolnia kell az MNB felé a csoport módszertan kockázati profilnak való megfelelését. Elvárt továbbá az is, hogy az intézmény a csoport módszertant teljeskörűen és részletesen is ismerje és az adott módszer, modell alkalmazása előtt vizsgálja, és évente ellenőrizze annak helyi körülmények között való alkalmazhatóságát.</w:t>
      </w:r>
    </w:p>
    <w:p w14:paraId="7FFFE78C" w14:textId="77777777" w:rsidR="008A78E3" w:rsidRPr="006A6890" w:rsidRDefault="008A78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7FFFE78D" w14:textId="77777777" w:rsidR="008A78E3" w:rsidRPr="004B5D1A" w:rsidRDefault="008A78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7FFFE78E" w14:textId="77777777" w:rsidR="008A78E3" w:rsidRPr="004B5D1A" w:rsidRDefault="008A78E3" w:rsidP="004B5D1A">
      <w:pPr>
        <w:rPr>
          <w:rFonts w:asciiTheme="minorHAnsi" w:hAnsiTheme="minorHAnsi"/>
        </w:rPr>
      </w:pPr>
      <w:r w:rsidRPr="004B5D1A">
        <w:rPr>
          <w:rFonts w:asciiTheme="minorHAnsi" w:hAnsiTheme="minorHAnsi"/>
        </w:rPr>
        <w:t>A vezető testület (mind a felvigyázói, mind pedig irányítási funkciójában) felel a tőketervezés és a tőkemenedzsment integrálásáért az intézmény kockázatkezelési kultúrájába és szemléletébe. Az intézménynek megfelelően dokumentált belső tőkemegfelelési eljárásrenddel kell rendelkeznie, melyet az intézmény felsővezetése jóváhagy, illetve rendszeresen felülvizsgál.</w:t>
      </w:r>
    </w:p>
    <w:p w14:paraId="7FFFE78F" w14:textId="77777777" w:rsidR="008A78E3" w:rsidRPr="004B5D1A" w:rsidRDefault="008A78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7FFFE790" w14:textId="77777777" w:rsidR="008A78E3" w:rsidRPr="006A6890" w:rsidRDefault="008A78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7FFFE791" w14:textId="77777777" w:rsidR="008A78E3" w:rsidRPr="004B5D1A" w:rsidRDefault="008A78E3"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7FFFE792" w14:textId="77777777" w:rsidR="008A78E3" w:rsidRPr="006A6890" w:rsidRDefault="008A78E3" w:rsidP="00181755">
      <w:pPr>
        <w:rPr>
          <w:rFonts w:asciiTheme="minorHAnsi" w:hAnsiTheme="minorHAnsi"/>
          <w:b/>
        </w:rPr>
      </w:pPr>
      <w:r w:rsidRPr="006A6890">
        <w:rPr>
          <w:rFonts w:asciiTheme="minorHAnsi" w:hAnsiTheme="minorHAnsi"/>
          <w:b/>
        </w:rPr>
        <w:t>ICAAP 5: Mivel az ICAAP folyamatokra, eljárásokra épül, ezért a megfelelő működést rendszeresen – legálabb évente egyszer – felül kell vizsgálni.</w:t>
      </w:r>
    </w:p>
    <w:p w14:paraId="7FFFE793" w14:textId="77777777" w:rsidR="008A78E3" w:rsidRPr="004B5D1A" w:rsidRDefault="008A78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7FFFE794" w14:textId="77777777" w:rsidR="008A78E3" w:rsidRPr="004B5D1A" w:rsidRDefault="008A78E3" w:rsidP="004B5D1A">
      <w:pPr>
        <w:rPr>
          <w:rFonts w:asciiTheme="minorHAnsi" w:hAnsiTheme="minorHAnsi"/>
        </w:rPr>
      </w:pPr>
      <w:r w:rsidRPr="004B5D1A">
        <w:rPr>
          <w:rFonts w:asciiTheme="minorHAnsi" w:hAnsiTheme="minorHAnsi"/>
        </w:rPr>
        <w:t xml:space="preserve">A tőkemegfelelés belső értékelési folyamatát intézményen belül független belső felülvizsgálatnak kell alávetni. </w:t>
      </w:r>
    </w:p>
    <w:p w14:paraId="7FFFE795" w14:textId="77777777" w:rsidR="008A78E3" w:rsidRPr="004B5D1A" w:rsidRDefault="008A78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7FFFE796" w14:textId="77777777" w:rsidR="008A78E3" w:rsidRPr="006A6890" w:rsidRDefault="008A78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7FFFE797" w14:textId="77777777" w:rsidR="008A78E3" w:rsidRPr="004B5D1A" w:rsidRDefault="008A78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7FFFE798" w14:textId="77777777" w:rsidR="008A78E3" w:rsidRPr="004B5D1A" w:rsidRDefault="008A78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7FFFE799" w14:textId="77777777" w:rsidR="008A78E3" w:rsidRPr="004B5D1A" w:rsidRDefault="008A78E3" w:rsidP="004B5D1A">
      <w:pPr>
        <w:rPr>
          <w:rFonts w:asciiTheme="minorHAnsi" w:hAnsiTheme="minorHAnsi"/>
        </w:rPr>
      </w:pPr>
      <w:r w:rsidRPr="004B5D1A">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7FFFE79A" w14:textId="77777777" w:rsidR="008A78E3" w:rsidRPr="006A6890" w:rsidRDefault="008A78E3"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7FFFE79B" w14:textId="77777777" w:rsidR="008A78E3" w:rsidRPr="004B5D1A" w:rsidRDefault="008A78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tőkekövetelmény-számítás megoldásaitól – az intézmény a felügyeleti párbeszéd során részletesen be tudja mutatni.</w:t>
      </w:r>
    </w:p>
    <w:p w14:paraId="7FFFE79C" w14:textId="77777777" w:rsidR="008A78E3" w:rsidRPr="004B5D1A" w:rsidRDefault="008A78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7FFFE79D" w14:textId="77777777" w:rsidR="008A78E3" w:rsidRPr="006A6890" w:rsidRDefault="008A78E3" w:rsidP="00CD1B46">
      <w:pPr>
        <w:pStyle w:val="alfelsorols"/>
        <w:numPr>
          <w:ilvl w:val="1"/>
          <w:numId w:val="43"/>
        </w:numPr>
        <w:rPr>
          <w:rFonts w:asciiTheme="minorHAnsi" w:hAnsiTheme="minorHAnsi"/>
        </w:rPr>
      </w:pPr>
      <w:r w:rsidRPr="006A6890">
        <w:rPr>
          <w:rFonts w:asciiTheme="minorHAnsi" w:hAnsiTheme="minorHAnsi"/>
        </w:rPr>
        <w:t>az 1. pillérben szereplő hitelezési, működési és piaci kockázatot, az ICAAP-ben az 1. pillértől eltérő kezelésüket is beleértve,</w:t>
      </w:r>
    </w:p>
    <w:p w14:paraId="7FFFE79E" w14:textId="77777777" w:rsidR="008A78E3" w:rsidRPr="006A6890" w:rsidRDefault="008A78E3" w:rsidP="00CD1B46">
      <w:pPr>
        <w:pStyle w:val="alfelsorols"/>
        <w:numPr>
          <w:ilvl w:val="1"/>
          <w:numId w:val="43"/>
        </w:numPr>
        <w:rPr>
          <w:rFonts w:asciiTheme="minorHAnsi" w:hAnsiTheme="minorHAnsi"/>
        </w:rPr>
      </w:pPr>
      <w:r w:rsidRPr="006A6890">
        <w:rPr>
          <w:rFonts w:asciiTheme="minorHAnsi" w:hAnsiTheme="minorHAnsi"/>
        </w:rPr>
        <w:t>az 1. pillérben szereplő, az egyszerűbb módszerekkel kellően le nem fedett kockázatokat (pl. reziduális kockázat),</w:t>
      </w:r>
    </w:p>
    <w:p w14:paraId="7FFFE79F" w14:textId="77777777" w:rsidR="008A78E3" w:rsidRPr="006A6890" w:rsidRDefault="008A78E3" w:rsidP="00CD1B46">
      <w:pPr>
        <w:pStyle w:val="alfelsorols"/>
        <w:numPr>
          <w:ilvl w:val="1"/>
          <w:numId w:val="43"/>
        </w:numPr>
        <w:rPr>
          <w:rFonts w:asciiTheme="minorHAnsi" w:hAnsiTheme="minorHAnsi"/>
        </w:rPr>
      </w:pPr>
      <w:r w:rsidRPr="006A6890">
        <w:rPr>
          <w:rFonts w:asciiTheme="minorHAnsi" w:hAnsiTheme="minorHAnsi"/>
        </w:rPr>
        <w:t>a 2. pillérben szereplő kockázatokat (pl. banki könyv kamatkockázat, koncentrációs kockázat, stratégiai és reputációs kockázat),</w:t>
      </w:r>
    </w:p>
    <w:p w14:paraId="7FFFE7A0" w14:textId="77777777" w:rsidR="008A78E3" w:rsidRPr="006A6890" w:rsidRDefault="008A78E3" w:rsidP="00CD1B46">
      <w:pPr>
        <w:pStyle w:val="alfelsorols"/>
        <w:numPr>
          <w:ilvl w:val="1"/>
          <w:numId w:val="43"/>
        </w:numPr>
        <w:rPr>
          <w:rFonts w:asciiTheme="minorHAnsi" w:hAnsiTheme="minorHAnsi"/>
        </w:rPr>
      </w:pPr>
      <w:r w:rsidRPr="006A6890">
        <w:rPr>
          <w:rFonts w:asciiTheme="minorHAnsi" w:hAnsiTheme="minorHAnsi"/>
        </w:rPr>
        <w:t>az intézményen kívül álló kockázati tényezőket (pl. gazdasági környezet megváltozása).</w:t>
      </w:r>
    </w:p>
    <w:p w14:paraId="7FFFE7A1" w14:textId="77777777" w:rsidR="008A78E3" w:rsidRPr="006A6890" w:rsidRDefault="008A78E3" w:rsidP="00181755">
      <w:pPr>
        <w:rPr>
          <w:rFonts w:asciiTheme="minorHAnsi" w:hAnsiTheme="minorHAnsi"/>
          <w:b/>
        </w:rPr>
      </w:pPr>
      <w:r w:rsidRPr="006A6890">
        <w:rPr>
          <w:rFonts w:asciiTheme="minorHAnsi" w:hAnsiTheme="minorHAnsi"/>
          <w:b/>
        </w:rPr>
        <w:t>ICAAP 8: Az ICAAP előretekintő és jövőorientált.</w:t>
      </w:r>
    </w:p>
    <w:p w14:paraId="7FFFE7A2" w14:textId="77777777" w:rsidR="008A78E3" w:rsidRPr="004B5D1A" w:rsidRDefault="008A78E3"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7FFFE7A3" w14:textId="77777777" w:rsidR="008A78E3" w:rsidRDefault="008A78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7FFFE7A4" w14:textId="77777777" w:rsidR="008A78E3" w:rsidRPr="006A6890" w:rsidRDefault="008A78E3" w:rsidP="004B5D1A">
      <w:pPr>
        <w:rPr>
          <w:rFonts w:asciiTheme="minorHAnsi" w:hAnsiTheme="minorHAnsi"/>
        </w:rPr>
      </w:pPr>
      <w:r w:rsidRPr="006A6890">
        <w:rPr>
          <w:rFonts w:asciiTheme="minorHAnsi" w:hAnsiTheme="minorHAnsi"/>
        </w:rPr>
        <w:t>Habár az ICAAP adott referencia dátum kitettségei alapján számol, indokolt esetben figyelembe vehető a jövőben várt vagy a referencia dátum után bekövetkező események jelentős hatásai is.</w:t>
      </w:r>
    </w:p>
    <w:p w14:paraId="7FFFE7A5" w14:textId="77777777" w:rsidR="008A78E3" w:rsidRPr="006A6890" w:rsidRDefault="008A78E3" w:rsidP="00181755">
      <w:pPr>
        <w:rPr>
          <w:rFonts w:asciiTheme="minorHAnsi" w:hAnsiTheme="minorHAnsi"/>
          <w:b/>
        </w:rPr>
      </w:pPr>
      <w:r w:rsidRPr="006A6890">
        <w:rPr>
          <w:rFonts w:asciiTheme="minorHAnsi" w:hAnsiTheme="minorHAnsi"/>
          <w:b/>
        </w:rPr>
        <w:t xml:space="preserve">ICAAP 9: Az ICAAP megfelelő mérési és értékelési eljárásokon alapul. </w:t>
      </w:r>
    </w:p>
    <w:p w14:paraId="7FFFE7A6" w14:textId="77777777" w:rsidR="008A78E3" w:rsidRPr="006A6890" w:rsidRDefault="008A78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Pr>
          <w:rFonts w:asciiTheme="minorHAnsi" w:hAnsiTheme="minorHAnsi"/>
        </w:rPr>
        <w:t xml:space="preserve"> </w:t>
      </w:r>
      <w:r w:rsidRPr="00744D23">
        <w:rPr>
          <w:rFonts w:asciiTheme="minorHAnsi" w:hAnsiTheme="minorHAnsi"/>
        </w:rPr>
        <w:t>§</w:t>
      </w:r>
      <w:r w:rsidRPr="006A6890">
        <w:rPr>
          <w:rFonts w:asciiTheme="minorHAnsi" w:hAnsiTheme="minorHAnsi"/>
        </w:rPr>
        <w:t xml:space="preserve"> (3) bekezdése alapján és a CRD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ezért, ha az intézmény az ICAAP folyamatában ilyet alkalmaz, arra az MNB is jobban tud hagyatkozni az ICAAP felülvizsgálata során.</w:t>
      </w:r>
    </w:p>
    <w:p w14:paraId="7FFFE7A7" w14:textId="77777777" w:rsidR="008A78E3" w:rsidRPr="006A6890" w:rsidRDefault="008A78E3" w:rsidP="004B5D1A">
      <w:pPr>
        <w:rPr>
          <w:rFonts w:asciiTheme="minorHAnsi" w:hAnsiTheme="minorHAnsi"/>
        </w:rPr>
      </w:pPr>
      <w:r w:rsidRPr="006A6890">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7FFFE7A8" w14:textId="77777777" w:rsidR="008A78E3" w:rsidRPr="006A6890" w:rsidRDefault="008A78E3"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Pr>
          <w:rFonts w:asciiTheme="minorHAnsi" w:hAnsiTheme="minorHAnsi"/>
        </w:rPr>
        <w:t xml:space="preserve"> </w:t>
      </w:r>
      <w:r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7FFFE7A9" w14:textId="77777777" w:rsidR="008A78E3" w:rsidRPr="006A6890" w:rsidRDefault="008A78E3" w:rsidP="00181755">
      <w:pPr>
        <w:rPr>
          <w:rFonts w:asciiTheme="minorHAnsi" w:hAnsiTheme="minorHAnsi"/>
          <w:b/>
        </w:rPr>
      </w:pPr>
      <w:r w:rsidRPr="006A6890">
        <w:rPr>
          <w:rFonts w:asciiTheme="minorHAnsi" w:hAnsiTheme="minorHAnsi"/>
          <w:b/>
        </w:rPr>
        <w:t>ICAAP 10: Az ICAAP elfogadható végeredményt eredményez.</w:t>
      </w:r>
    </w:p>
    <w:p w14:paraId="7FFFE7AA" w14:textId="77777777" w:rsidR="008A78E3" w:rsidRPr="006A6890" w:rsidRDefault="008A78E3" w:rsidP="004B5D1A">
      <w:pPr>
        <w:rPr>
          <w:rFonts w:asciiTheme="minorHAnsi" w:hAnsiTheme="minorHAnsi"/>
        </w:rPr>
      </w:pPr>
      <w:r w:rsidRPr="006A6890">
        <w:rPr>
          <w:rFonts w:asciiTheme="minorHAnsi" w:hAnsiTheme="minorHAnsi"/>
        </w:rPr>
        <w:t>A tőkemegfelelés belső értékelési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7FFFE7AB" w14:textId="77777777" w:rsidR="008A78E3" w:rsidRPr="0055569D" w:rsidRDefault="008A78E3" w:rsidP="009F4CDA">
      <w:pPr>
        <w:pStyle w:val="Cmsor2"/>
      </w:pPr>
      <w:bookmarkStart w:id="88" w:name="_A_felügyeleti_felülvizsgálati"/>
      <w:bookmarkStart w:id="89" w:name="_Toc461095162"/>
      <w:bookmarkStart w:id="90" w:name="_Toc461179194"/>
      <w:bookmarkStart w:id="91" w:name="_Toc461179817"/>
      <w:bookmarkStart w:id="92" w:name="_Toc461197735"/>
      <w:bookmarkStart w:id="93" w:name="_Toc461201260"/>
      <w:bookmarkStart w:id="94" w:name="_Toc461547882"/>
      <w:bookmarkStart w:id="95" w:name="_Toc462401910"/>
      <w:bookmarkStart w:id="96" w:name="_Toc462403031"/>
      <w:bookmarkStart w:id="97" w:name="_Toc462403355"/>
      <w:bookmarkStart w:id="98" w:name="_Toc468180474"/>
      <w:bookmarkStart w:id="99" w:name="_Toc468181007"/>
      <w:bookmarkStart w:id="100" w:name="_Toc468191407"/>
      <w:bookmarkStart w:id="101" w:name="_Toc45119917"/>
      <w:bookmarkStart w:id="102" w:name="_Toc58512200"/>
      <w:bookmarkStart w:id="103" w:name="_Toc158036621"/>
      <w:bookmarkStart w:id="104" w:name="_Toc378256221"/>
      <w:bookmarkStart w:id="105" w:name="_Toc378592029"/>
      <w:bookmarkEnd w:id="88"/>
      <w:r w:rsidRPr="0055569D">
        <w:t>A likviditás megfelelőségének belső értékelési folyamata (ILAAP)</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5569D">
        <w:t xml:space="preserve"> </w:t>
      </w:r>
    </w:p>
    <w:p w14:paraId="7FFFE7AC" w14:textId="77777777" w:rsidR="008A78E3" w:rsidRPr="006A6890" w:rsidRDefault="008A78E3" w:rsidP="004B5D1A">
      <w:pPr>
        <w:rPr>
          <w:rFonts w:asciiTheme="minorHAnsi" w:hAnsiTheme="minorHAnsi"/>
        </w:rPr>
      </w:pPr>
      <w:r w:rsidRPr="006A6890">
        <w:rPr>
          <w:rFonts w:asciiTheme="minorHAnsi" w:hAnsiTheme="minorHAnsi"/>
        </w:rPr>
        <w:t>A likviditási kockázat kezelésére vonatkozóan mind a CRD, CRR, valamint az azt kiegészítő Delegated Act (DA)</w:t>
      </w:r>
      <w:r>
        <w:rPr>
          <w:rStyle w:val="Lbjegyzet-hivatkozs"/>
          <w:rFonts w:asciiTheme="minorHAnsi" w:hAnsiTheme="minorHAnsi"/>
        </w:rPr>
        <w:footnoteReference w:id="10"/>
      </w:r>
      <w:r w:rsidRPr="006A6890">
        <w:rPr>
          <w:rFonts w:asciiTheme="minorHAnsi" w:hAnsiTheme="minorHAnsi"/>
        </w:rPr>
        <w:t>, mind a Hpt. és Bszt. részletes szabályokat tartalmaz. A Hpt. és a Bszt. előírásai szerint az intézménynek a tevékenységének jellegével, nagyságrendjével és összetettségével összhangban kell, hogy kialakítsa likviditási kockázati profilját, valamint írásban rögzített hatékony eljárásrendekkel, szabályzatokkal kell rendelkeznie:</w:t>
      </w:r>
    </w:p>
    <w:p w14:paraId="7FFFE7AD" w14:textId="77777777" w:rsidR="008A78E3" w:rsidRPr="006A6890" w:rsidRDefault="008A78E3" w:rsidP="00CD1B46">
      <w:pPr>
        <w:pStyle w:val="alfelsorols"/>
        <w:numPr>
          <w:ilvl w:val="1"/>
          <w:numId w:val="44"/>
        </w:numPr>
        <w:rPr>
          <w:rFonts w:asciiTheme="minorHAnsi" w:hAnsiTheme="minorHAnsi"/>
        </w:rPr>
      </w:pPr>
      <w:r w:rsidRPr="006A6890">
        <w:rPr>
          <w:rFonts w:asciiTheme="minorHAnsi" w:hAnsiTheme="minorHAnsi"/>
        </w:rPr>
        <w:t>az egyes üzletágakhoz, devizanemekhez és a csoporthoz tartozó jogi személyekhez igazítva a likviditási kockázata megfelelő – akár egy napon belüli – időtávokon történő azonosítására, mérésére, kezelésére és nyomon követésére, ideértve a likviditási költség-, nyereség- és kockázat-allokációs eljárásokat is,</w:t>
      </w:r>
    </w:p>
    <w:p w14:paraId="7FFFE7AE" w14:textId="77777777" w:rsidR="008A78E3" w:rsidRPr="006A6890" w:rsidRDefault="008A78E3" w:rsidP="00CD1B46">
      <w:pPr>
        <w:pStyle w:val="alfelsorols"/>
        <w:numPr>
          <w:ilvl w:val="1"/>
          <w:numId w:val="44"/>
        </w:numPr>
        <w:rPr>
          <w:rFonts w:asciiTheme="minorHAnsi" w:hAnsiTheme="minorHAnsi"/>
        </w:rPr>
      </w:pPr>
      <w:r w:rsidRPr="006A6890">
        <w:rPr>
          <w:rFonts w:asciiTheme="minorHAnsi" w:hAnsiTheme="minorHAnsi"/>
        </w:rPr>
        <w:t>a piaci likviditási kockázatok valamennyi lényeges forrásának és hatásának mérésére és kezelésére, és a rövid pozíció hosszú pozíciót megelőző esedékességéből fakadó likviditási hiány kockázatának kezelésére.</w:t>
      </w:r>
    </w:p>
    <w:p w14:paraId="7FFFE7AF" w14:textId="77777777" w:rsidR="008A78E3" w:rsidRPr="006A6890" w:rsidRDefault="008A78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7FFFE7B0" w14:textId="77777777" w:rsidR="008A78E3" w:rsidRPr="006A6890" w:rsidRDefault="008A78E3" w:rsidP="004B5D1A">
      <w:pPr>
        <w:rPr>
          <w:rFonts w:asciiTheme="minorHAnsi" w:hAnsiTheme="minorHAnsi"/>
        </w:rPr>
      </w:pPr>
      <w:r w:rsidRPr="006A6890">
        <w:rPr>
          <w:rFonts w:asciiTheme="minorHAnsi" w:hAnsiTheme="minorHAnsi"/>
        </w:rPr>
        <w:t>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az alternatív forgatókönyvek kimenetele alapján legalább évente tesztelni és frissíteni kell.</w:t>
      </w:r>
    </w:p>
    <w:p w14:paraId="7FFFE7B1" w14:textId="77777777" w:rsidR="008A78E3" w:rsidRPr="006A6890" w:rsidRDefault="008A78E3" w:rsidP="004B5D1A">
      <w:pPr>
        <w:rPr>
          <w:rFonts w:asciiTheme="minorHAnsi" w:hAnsiTheme="minorHAnsi"/>
        </w:rPr>
      </w:pPr>
      <w:bookmarkStart w:id="106" w:name="_Hlk22306650"/>
      <w:r w:rsidRPr="006A6890">
        <w:rPr>
          <w:rFonts w:asciiTheme="minorHAnsi" w:hAnsiTheme="minorHAnsi"/>
        </w:rPr>
        <w:t xml:space="preserve">A Hpt. előírás természetesen minden érintett intézményre vonatkozik, azonban az MNB az arányosság elvét követve a rendszerszinten jelentős intézményekkel szemben elvárja ILAAP folyamat kialakítását. </w:t>
      </w:r>
    </w:p>
    <w:bookmarkEnd w:id="106"/>
    <w:p w14:paraId="7FFFE7B2" w14:textId="77777777" w:rsidR="008A78E3" w:rsidRPr="006A6890" w:rsidRDefault="008A78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7FFFE7B3" w14:textId="77777777" w:rsidR="008A78E3" w:rsidRPr="006A6890" w:rsidRDefault="008A78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p>
    <w:p w14:paraId="7FFFE7B4" w14:textId="77777777" w:rsidR="008A78E3" w:rsidRPr="006A6890" w:rsidRDefault="008A78E3" w:rsidP="00181755">
      <w:pPr>
        <w:pStyle w:val="felsorolsos"/>
        <w:rPr>
          <w:rFonts w:asciiTheme="minorHAnsi" w:hAnsiTheme="minorHAnsi"/>
        </w:rPr>
      </w:pPr>
      <w:r w:rsidRPr="006A6890">
        <w:rPr>
          <w:rFonts w:asciiTheme="minorHAnsi" w:hAnsiTheme="minorHAnsi"/>
        </w:rPr>
        <w:t>átfogó kockázatelemzés, mely feltárja és értékeli az intézmény likviditási és finanszírozási kockázatait,</w:t>
      </w:r>
    </w:p>
    <w:p w14:paraId="7FFFE7B5" w14:textId="77777777" w:rsidR="008A78E3" w:rsidRPr="006A6890" w:rsidRDefault="008A78E3" w:rsidP="00181755">
      <w:pPr>
        <w:pStyle w:val="felsorolsos"/>
        <w:rPr>
          <w:rFonts w:asciiTheme="minorHAnsi" w:hAnsiTheme="minorHAnsi"/>
        </w:rPr>
      </w:pPr>
      <w:r w:rsidRPr="006A6890">
        <w:rPr>
          <w:rFonts w:asciiTheme="minorHAnsi" w:hAnsiTheme="minorHAnsi"/>
        </w:rPr>
        <w:t>megalapozott likviditás fedezettség elemzés, mely számszerűsíti a kockázatok mértékét és az intézmény a saját számításai alapján meghatározza a fedezésük szükséges szintjét,</w:t>
      </w:r>
    </w:p>
    <w:p w14:paraId="7FFFE7B6"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 likviditás megfelelési eljárás folyamataiba,</w:t>
      </w:r>
    </w:p>
    <w:p w14:paraId="7FFFE7B7" w14:textId="77777777" w:rsidR="008A78E3" w:rsidRPr="006A6890" w:rsidRDefault="008A78E3" w:rsidP="00181755">
      <w:pPr>
        <w:pStyle w:val="felsorolsos"/>
        <w:rPr>
          <w:rFonts w:asciiTheme="minorHAnsi" w:hAnsiTheme="minorHAnsi"/>
        </w:rPr>
      </w:pPr>
      <w:r w:rsidRPr="006A6890">
        <w:rPr>
          <w:rFonts w:asciiTheme="minorHAnsi" w:hAnsiTheme="minorHAnsi"/>
        </w:rPr>
        <w:t>megfelelő felülvizsgálati és jelentéstételi struktúra kialakítása, amely keretében az intézmény rendszeres időközönként képes bemutatni likviditási kockázati profilját és fedezettségét,</w:t>
      </w:r>
    </w:p>
    <w:p w14:paraId="7FFFE7B8" w14:textId="77777777" w:rsidR="008A78E3" w:rsidRPr="006A6890" w:rsidRDefault="008A78E3" w:rsidP="00181755">
      <w:pPr>
        <w:pStyle w:val="felsorolsos"/>
        <w:spacing w:after="240"/>
        <w:ind w:left="1066" w:hanging="357"/>
        <w:rPr>
          <w:rFonts w:asciiTheme="minorHAnsi" w:hAnsiTheme="minorHAnsi"/>
        </w:rPr>
      </w:pPr>
      <w:r w:rsidRPr="006A6890">
        <w:rPr>
          <w:rFonts w:asciiTheme="minorHAnsi" w:hAnsiTheme="minorHAnsi"/>
        </w:rPr>
        <w:t xml:space="preserve">megfelelő belső ellenőrzési mechanizmusok kiépítése, független belső felülvizsgálat biztosítása. </w:t>
      </w:r>
    </w:p>
    <w:p w14:paraId="7FFFE7B9" w14:textId="77777777" w:rsidR="008A78E3" w:rsidRPr="006A6890" w:rsidRDefault="008A78E3" w:rsidP="00181755">
      <w:pPr>
        <w:pStyle w:val="Cmsor3"/>
        <w:rPr>
          <w:rFonts w:asciiTheme="minorHAnsi" w:hAnsiTheme="minorHAnsi"/>
        </w:rPr>
      </w:pPr>
      <w:bookmarkStart w:id="107" w:name="_Toc461195750"/>
      <w:bookmarkStart w:id="108" w:name="_Toc461524833"/>
      <w:bookmarkStart w:id="109" w:name="_Toc461547883"/>
      <w:bookmarkStart w:id="110" w:name="_Toc461550177"/>
      <w:bookmarkStart w:id="111" w:name="_Toc462401911"/>
      <w:bookmarkStart w:id="112" w:name="_Toc462403032"/>
      <w:bookmarkStart w:id="113" w:name="_Toc462403356"/>
      <w:bookmarkStart w:id="114" w:name="_Toc462403785"/>
      <w:bookmarkStart w:id="115" w:name="_Toc462645653"/>
      <w:bookmarkStart w:id="116" w:name="_Toc468180475"/>
      <w:bookmarkStart w:id="117" w:name="_Toc468181008"/>
      <w:bookmarkStart w:id="118" w:name="_Toc461095163"/>
      <w:bookmarkStart w:id="119" w:name="_Toc461179195"/>
      <w:bookmarkStart w:id="120" w:name="_Toc461179818"/>
      <w:bookmarkStart w:id="121" w:name="_Toc461547884"/>
      <w:bookmarkStart w:id="122" w:name="_Toc462401912"/>
      <w:bookmarkStart w:id="123" w:name="_Toc462403033"/>
      <w:bookmarkStart w:id="124" w:name="_Toc462403357"/>
      <w:bookmarkStart w:id="125" w:name="_Toc468180476"/>
      <w:bookmarkStart w:id="126" w:name="_Toc468181009"/>
      <w:bookmarkStart w:id="127" w:name="_Toc468191408"/>
      <w:bookmarkStart w:id="128" w:name="_Toc45119918"/>
      <w:bookmarkStart w:id="129" w:name="_Toc58512201"/>
      <w:bookmarkStart w:id="130" w:name="_Toc158036622"/>
      <w:bookmarkEnd w:id="107"/>
      <w:bookmarkEnd w:id="108"/>
      <w:bookmarkEnd w:id="109"/>
      <w:bookmarkEnd w:id="110"/>
      <w:bookmarkEnd w:id="111"/>
      <w:bookmarkEnd w:id="112"/>
      <w:bookmarkEnd w:id="113"/>
      <w:bookmarkEnd w:id="114"/>
      <w:bookmarkEnd w:id="115"/>
      <w:bookmarkEnd w:id="116"/>
      <w:bookmarkEnd w:id="117"/>
      <w:r w:rsidRPr="006A6890">
        <w:rPr>
          <w:rFonts w:asciiTheme="minorHAnsi" w:hAnsiTheme="minorHAnsi"/>
        </w:rPr>
        <w:t xml:space="preserve">Az ILAAP kialakítására vonatkozó felügyeleti </w:t>
      </w:r>
      <w:bookmarkEnd w:id="118"/>
      <w:bookmarkEnd w:id="119"/>
      <w:bookmarkEnd w:id="120"/>
      <w:bookmarkEnd w:id="121"/>
      <w:r w:rsidRPr="006A6890">
        <w:rPr>
          <w:rFonts w:asciiTheme="minorHAnsi" w:hAnsiTheme="minorHAnsi"/>
        </w:rPr>
        <w:t>alapelvek</w:t>
      </w:r>
      <w:bookmarkEnd w:id="122"/>
      <w:bookmarkEnd w:id="123"/>
      <w:bookmarkEnd w:id="124"/>
      <w:bookmarkEnd w:id="125"/>
      <w:bookmarkEnd w:id="126"/>
      <w:bookmarkEnd w:id="127"/>
      <w:bookmarkEnd w:id="128"/>
      <w:bookmarkEnd w:id="129"/>
      <w:bookmarkEnd w:id="130"/>
    </w:p>
    <w:p w14:paraId="7FFFE7BA" w14:textId="77777777" w:rsidR="008A78E3" w:rsidRPr="006A6890" w:rsidRDefault="008A78E3"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7FFFE7BB"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7FFFE7BC"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7FFFE7BD"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7FFFE7BE"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7FFFE7BF"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7FFFE7C0"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6:</w:t>
      </w:r>
      <w:r w:rsidRPr="006A6890">
        <w:rPr>
          <w:rFonts w:asciiTheme="minorHAnsi" w:hAnsiTheme="minorHAnsi"/>
          <w:sz w:val="22"/>
          <w:szCs w:val="22"/>
        </w:rPr>
        <w:t xml:space="preserve"> Az ILAAP-nak átfogónak, minden részletre kiterjedőnek (széleskörűnek) és megfelelően dokumentáltnak kell lennie.</w:t>
      </w:r>
    </w:p>
    <w:p w14:paraId="7FFFE7C1"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ILAAP előretekintő és jövőorientált.</w:t>
      </w:r>
    </w:p>
    <w:p w14:paraId="7FFFE7C2" w14:textId="77777777" w:rsidR="008A78E3" w:rsidRPr="006A6890" w:rsidRDefault="008A78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7FFFE7C3" w14:textId="77777777" w:rsidR="008A78E3" w:rsidRPr="006A6890" w:rsidRDefault="008A78E3"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egyértelmű, megalapozott végeredményt eredményez, esetlegesen feltárt kockázatok esetén szükséges lépéseket is meghatároz</w:t>
      </w:r>
    </w:p>
    <w:p w14:paraId="7FFFE7C4" w14:textId="77777777" w:rsidR="008A78E3" w:rsidRPr="0055569D" w:rsidRDefault="008A78E3" w:rsidP="009F4CDA">
      <w:pPr>
        <w:pStyle w:val="Cmsor2"/>
      </w:pPr>
      <w:bookmarkStart w:id="131" w:name="_Toc461195752"/>
      <w:bookmarkStart w:id="132" w:name="_Toc461524835"/>
      <w:bookmarkStart w:id="133" w:name="_Toc461547886"/>
      <w:bookmarkStart w:id="134" w:name="_Toc461550179"/>
      <w:bookmarkStart w:id="135" w:name="_Toc462401913"/>
      <w:bookmarkStart w:id="136" w:name="_Toc462403034"/>
      <w:bookmarkStart w:id="137" w:name="_Toc462403358"/>
      <w:bookmarkStart w:id="138" w:name="_Toc462403787"/>
      <w:bookmarkStart w:id="139" w:name="_Toc462645655"/>
      <w:bookmarkStart w:id="140" w:name="_Toc468180477"/>
      <w:bookmarkStart w:id="141" w:name="_Toc468181010"/>
      <w:bookmarkStart w:id="142" w:name="_Toc461179196"/>
      <w:bookmarkStart w:id="143" w:name="_Toc461179820"/>
      <w:bookmarkStart w:id="144" w:name="_Toc461547887"/>
      <w:bookmarkStart w:id="145" w:name="_Toc462401914"/>
      <w:bookmarkStart w:id="146" w:name="_Toc462403035"/>
      <w:bookmarkStart w:id="147" w:name="_Toc462403359"/>
      <w:bookmarkStart w:id="148" w:name="_Toc468180478"/>
      <w:bookmarkStart w:id="149" w:name="_Toc468181011"/>
      <w:bookmarkStart w:id="150" w:name="_Toc468191409"/>
      <w:bookmarkStart w:id="151" w:name="_Toc45119919"/>
      <w:bookmarkStart w:id="152" w:name="_Toc58512202"/>
      <w:bookmarkStart w:id="153" w:name="_Toc158036623"/>
      <w:bookmarkStart w:id="154" w:name="_Toc461095165"/>
      <w:bookmarkEnd w:id="131"/>
      <w:bookmarkEnd w:id="132"/>
      <w:bookmarkEnd w:id="133"/>
      <w:bookmarkEnd w:id="134"/>
      <w:bookmarkEnd w:id="135"/>
      <w:bookmarkEnd w:id="136"/>
      <w:bookmarkEnd w:id="137"/>
      <w:bookmarkEnd w:id="138"/>
      <w:bookmarkEnd w:id="139"/>
      <w:bookmarkEnd w:id="140"/>
      <w:bookmarkEnd w:id="141"/>
      <w:r w:rsidRPr="0055569D">
        <w:t>Üzleti modell elemzés (BMA)</w:t>
      </w:r>
      <w:bookmarkEnd w:id="142"/>
      <w:bookmarkEnd w:id="143"/>
      <w:bookmarkEnd w:id="144"/>
      <w:bookmarkEnd w:id="145"/>
      <w:bookmarkEnd w:id="146"/>
      <w:bookmarkEnd w:id="147"/>
      <w:bookmarkEnd w:id="148"/>
      <w:bookmarkEnd w:id="149"/>
      <w:bookmarkEnd w:id="150"/>
      <w:bookmarkEnd w:id="151"/>
      <w:bookmarkEnd w:id="152"/>
      <w:bookmarkEnd w:id="153"/>
    </w:p>
    <w:p w14:paraId="7FFFE7C5" w14:textId="77777777" w:rsidR="008A78E3" w:rsidRPr="006A6890" w:rsidRDefault="008A78E3"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a felügyeleti álláspont kialakítása az intézményi üzleti modell életképességének és stratégia fenntarthatóságának tekintetében. Az üzleti modell elemzés eredményeit az MNB felhasználja a SREP vizsgálat összes további elemének, így különösen a tőkemegfelelés és a likviditás megfelelőség értékeléséhez, és az értékelések alátámasztásához is. </w:t>
      </w:r>
    </w:p>
    <w:p w14:paraId="7FFFE7C6" w14:textId="77777777" w:rsidR="008A78E3" w:rsidRPr="006A6890" w:rsidRDefault="008A78E3" w:rsidP="00AA57CA">
      <w:pPr>
        <w:rPr>
          <w:rFonts w:asciiTheme="minorHAnsi" w:hAnsiTheme="minorHAnsi"/>
        </w:rPr>
      </w:pPr>
      <w:r w:rsidRPr="006A6890">
        <w:rPr>
          <w:rFonts w:asciiTheme="minorHAnsi" w:hAnsiTheme="minorHAnsi"/>
        </w:rPr>
        <w:t xml:space="preserve">Az adott intézmény irányítási jogkörrel rendelkező vezető testületének felelőssége, hogy a külső és belső adottságok és lehetőségek mérlegelésével kialakítsák, rendszeresen felülvizsgálják, és szükség esetén módosítsák az intézmény működési modelljét annak érdekében, hogy az képes legyen elfogadható eredményt, illetve megtérülést termelni. </w:t>
      </w:r>
    </w:p>
    <w:p w14:paraId="7FFFE7C7" w14:textId="77777777" w:rsidR="008A78E3" w:rsidRPr="006A6890" w:rsidRDefault="008A78E3" w:rsidP="00AA57CA">
      <w:pPr>
        <w:rPr>
          <w:rFonts w:asciiTheme="minorHAnsi" w:hAnsiTheme="minorHAnsi"/>
        </w:rPr>
      </w:pPr>
      <w:r w:rsidRPr="006A6890">
        <w:rPr>
          <w:rFonts w:asciiTheme="minorHAnsi" w:hAnsiTheme="minorHAnsi"/>
        </w:rPr>
        <w:t xml:space="preserve">Az üzleti modell rendszeres felülvizsgálata során értékelni kell az üzleti környezet változásaiból adódó kockázatokat, valamint a stratégiában meghatározott célok megvalósulásának kockázatait is. </w:t>
      </w:r>
    </w:p>
    <w:p w14:paraId="7FFFE7C8" w14:textId="77777777" w:rsidR="008A78E3" w:rsidRPr="006A6890" w:rsidRDefault="008A78E3" w:rsidP="00AA57CA">
      <w:pPr>
        <w:rPr>
          <w:rFonts w:asciiTheme="minorHAnsi" w:hAnsiTheme="minorHAnsi"/>
        </w:rPr>
      </w:pPr>
      <w:r w:rsidRPr="006A6890">
        <w:rPr>
          <w:rFonts w:asciiTheme="minorHAnsi" w:hAnsiTheme="minorHAnsi"/>
        </w:rPr>
        <w:t xml:space="preserve">Az üzleti modell kapcsán elvárja az MNB, hogy </w:t>
      </w:r>
    </w:p>
    <w:p w14:paraId="7FFFE7C9" w14:textId="77777777" w:rsidR="008A78E3" w:rsidRPr="006A6890" w:rsidRDefault="008A78E3" w:rsidP="00CD1B46">
      <w:pPr>
        <w:pStyle w:val="Listaszerbekezds"/>
        <w:numPr>
          <w:ilvl w:val="0"/>
          <w:numId w:val="20"/>
        </w:numPr>
        <w:rPr>
          <w:rFonts w:asciiTheme="minorHAnsi" w:hAnsiTheme="minorHAnsi"/>
          <w:sz w:val="22"/>
          <w:szCs w:val="22"/>
        </w:rPr>
      </w:pPr>
      <w:r w:rsidRPr="006A6890">
        <w:rPr>
          <w:rFonts w:asciiTheme="minorHAnsi" w:hAnsiTheme="minorHAnsi"/>
          <w:sz w:val="22"/>
          <w:szCs w:val="22"/>
        </w:rPr>
        <w:t>összhangban legyen az intézmény stratégiájával,</w:t>
      </w:r>
    </w:p>
    <w:p w14:paraId="7FFFE7CA" w14:textId="77777777" w:rsidR="008A78E3" w:rsidRPr="006A6890" w:rsidRDefault="008A78E3" w:rsidP="00CD1B46">
      <w:pPr>
        <w:pStyle w:val="Listaszerbekezds"/>
        <w:numPr>
          <w:ilvl w:val="0"/>
          <w:numId w:val="20"/>
        </w:numPr>
        <w:rPr>
          <w:rFonts w:asciiTheme="minorHAnsi" w:hAnsiTheme="minorHAnsi"/>
        </w:rPr>
      </w:pPr>
      <w:r w:rsidRPr="006A6890">
        <w:rPr>
          <w:rFonts w:asciiTheme="minorHAnsi" w:hAnsiTheme="minorHAnsi"/>
          <w:sz w:val="22"/>
          <w:szCs w:val="22"/>
        </w:rPr>
        <w:t>az intézmény irányítási és döntéshozatali folyamatainak integrált részét képezzék,</w:t>
      </w:r>
    </w:p>
    <w:p w14:paraId="7FFFE7CB" w14:textId="77777777" w:rsidR="008A78E3" w:rsidRPr="006A6890" w:rsidRDefault="008A78E3" w:rsidP="00CD1B46">
      <w:pPr>
        <w:pStyle w:val="Listaszerbekezds"/>
        <w:numPr>
          <w:ilvl w:val="0"/>
          <w:numId w:val="20"/>
        </w:numPr>
        <w:rPr>
          <w:rFonts w:asciiTheme="minorHAnsi" w:hAnsiTheme="minorHAnsi"/>
        </w:rPr>
      </w:pPr>
      <w:r w:rsidRPr="006A6890">
        <w:rPr>
          <w:rFonts w:asciiTheme="minorHAnsi" w:hAnsiTheme="minorHAnsi"/>
          <w:color w:val="000000"/>
          <w:sz w:val="22"/>
          <w:szCs w:val="22"/>
        </w:rPr>
        <w:t>a feltárt és azonosított kockázatokat az ICAAP / ILAAP eljárásokban figyelembe vegyék, valamint az üzleti és stratégia tervezés során kezeljék azokat.</w:t>
      </w:r>
    </w:p>
    <w:p w14:paraId="7FFFE7CC" w14:textId="77777777" w:rsidR="008A78E3" w:rsidRPr="006A6890" w:rsidRDefault="008A78E3" w:rsidP="00AA57CA">
      <w:pPr>
        <w:rPr>
          <w:rFonts w:asciiTheme="minorHAnsi" w:hAnsiTheme="minorHAnsi"/>
        </w:rPr>
      </w:pPr>
      <w:r w:rsidRPr="006A6890">
        <w:rPr>
          <w:rFonts w:asciiTheme="minorHAnsi" w:hAnsiTheme="minorHAnsi"/>
        </w:rPr>
        <w:t xml:space="preserve">Az MNB elvárja, hogy az intézmény az üzleti tervek kialakításának és felülvizsgálatának eredményét, az alkalmazott feltételezéseket részletesen dokumentálja. </w:t>
      </w:r>
      <w:bookmarkEnd w:id="104"/>
      <w:bookmarkEnd w:id="105"/>
      <w:bookmarkEnd w:id="154"/>
    </w:p>
    <w:p w14:paraId="7FFFE7CD" w14:textId="77777777" w:rsidR="008A78E3" w:rsidRPr="0055569D" w:rsidRDefault="008A78E3" w:rsidP="009F4CDA">
      <w:pPr>
        <w:pStyle w:val="Cmsor2"/>
      </w:pPr>
      <w:bookmarkStart w:id="155" w:name="_Toc462401916"/>
      <w:bookmarkStart w:id="156" w:name="_Toc462403037"/>
      <w:bookmarkStart w:id="157" w:name="_Toc462403361"/>
      <w:bookmarkStart w:id="158" w:name="_Toc468180480"/>
      <w:bookmarkStart w:id="159" w:name="_Toc468181012"/>
      <w:bookmarkStart w:id="160" w:name="_Toc468191410"/>
      <w:bookmarkStart w:id="161" w:name="_Toc45119920"/>
      <w:bookmarkStart w:id="162" w:name="_Toc58512203"/>
      <w:bookmarkStart w:id="163" w:name="_Toc158036624"/>
      <w:bookmarkStart w:id="164" w:name="_Toc461095166"/>
      <w:bookmarkStart w:id="165" w:name="_Toc461179198"/>
      <w:bookmarkStart w:id="166" w:name="_Toc461179822"/>
      <w:bookmarkStart w:id="167" w:name="_Toc461197739"/>
      <w:bookmarkStart w:id="168" w:name="_Toc461201265"/>
      <w:bookmarkStart w:id="169" w:name="_Toc461547889"/>
      <w:r w:rsidRPr="0055569D">
        <w:t>Az ICAAP és az ILAAP felülvizsgálatok során érvényesítendő általános alapelvek</w:t>
      </w:r>
      <w:bookmarkEnd w:id="155"/>
      <w:bookmarkEnd w:id="156"/>
      <w:bookmarkEnd w:id="157"/>
      <w:bookmarkEnd w:id="158"/>
      <w:bookmarkEnd w:id="159"/>
      <w:bookmarkEnd w:id="160"/>
      <w:bookmarkEnd w:id="161"/>
      <w:bookmarkEnd w:id="162"/>
      <w:bookmarkEnd w:id="163"/>
    </w:p>
    <w:p w14:paraId="7FFFE7CE" w14:textId="77777777" w:rsidR="008A78E3" w:rsidRPr="006A6890" w:rsidRDefault="008A78E3" w:rsidP="00181755">
      <w:pPr>
        <w:pStyle w:val="Cmsor3"/>
        <w:rPr>
          <w:rFonts w:asciiTheme="minorHAnsi" w:hAnsiTheme="minorHAnsi"/>
        </w:rPr>
      </w:pPr>
      <w:bookmarkStart w:id="170" w:name="_Toc462401917"/>
      <w:bookmarkStart w:id="171" w:name="_Toc462403038"/>
      <w:bookmarkStart w:id="172" w:name="_Toc462403362"/>
      <w:bookmarkStart w:id="173" w:name="_Toc468180481"/>
      <w:bookmarkStart w:id="174" w:name="_Toc468181013"/>
      <w:bookmarkStart w:id="175" w:name="_Toc468191411"/>
      <w:bookmarkStart w:id="176" w:name="_Toc45119921"/>
      <w:bookmarkStart w:id="177" w:name="_Toc58512204"/>
      <w:bookmarkStart w:id="178" w:name="_Toc158036625"/>
      <w:r w:rsidRPr="006A6890">
        <w:rPr>
          <w:rFonts w:asciiTheme="minorHAnsi" w:hAnsiTheme="minorHAnsi"/>
        </w:rPr>
        <w:t>Nemzetközileg elfogadott alapelvek</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FFFE7CF" w14:textId="77777777" w:rsidR="008A78E3" w:rsidRPr="006A6890" w:rsidRDefault="008A78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7FFFE7D0" w14:textId="77777777" w:rsidR="008A78E3" w:rsidRPr="006A6890" w:rsidRDefault="008A78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likviditási és tőkeszint fenntartását. </w:t>
      </w:r>
      <w:r w:rsidRPr="006A6890">
        <w:rPr>
          <w:rFonts w:asciiTheme="minorHAnsi" w:hAnsiTheme="minorHAnsi"/>
        </w:rPr>
        <w:t>Az intézményeknek kockázati profiljuknak megfelelő tőkekövetelmény-számítási eljárásokkal és a tőkeszint fenntartására irányuló, valamint likviditási stratégiával kell rendelkezniük.</w:t>
      </w:r>
    </w:p>
    <w:p w14:paraId="7FFFE7D1" w14:textId="77777777" w:rsidR="008A78E3" w:rsidRPr="006A6890" w:rsidRDefault="008A78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xml:space="preserve">. Az MNB az intézmények belső tőkemegfelelés értékelési eljárásait, kockázati stratégiáját, tőketervét, likviditás megfelelési eljárásait és kockázatkezelési rendszerét megvizsgálja és értékeli. Ennek során megítéli, hogy az intézmény képes-e folyamatosan biztosítani a prudens működéshez szükséges tőkeszint és likviditás meglétét. Amennyiben az intézmény tőkemegfelelési vagy likviditás megfelelési eljárásait nem tartja megfelelőnek, az MNB intézkedéseket tesz. </w:t>
      </w:r>
    </w:p>
    <w:p w14:paraId="7FFFE7D2" w14:textId="77777777" w:rsidR="008A78E3" w:rsidRPr="006A6890" w:rsidRDefault="008A78E3" w:rsidP="00181755">
      <w:pPr>
        <w:pStyle w:val="felsorolsos"/>
        <w:rPr>
          <w:rFonts w:asciiTheme="minorHAnsi" w:hAnsiTheme="minorHAnsi"/>
        </w:rPr>
      </w:pPr>
      <w:r w:rsidRPr="006A6890">
        <w:rPr>
          <w:rFonts w:asciiTheme="minorHAnsi" w:hAnsiTheme="minorHAnsi"/>
          <w:b/>
        </w:rPr>
        <w:t xml:space="preserve">Az intézmény rendelkezésre álló tőkéje haladja meg a szabályozói  és felügyeleti elvárásokat (ami az adott intézmény vonatkozásában meghatározott OCR + P2G). </w:t>
      </w:r>
      <w:r w:rsidRPr="006A6890">
        <w:rPr>
          <w:rFonts w:asciiTheme="minorHAnsi" w:hAnsiTheme="minorHAnsi"/>
        </w:rPr>
        <w:t>A felügyeleti hatóság az intézményektől elvárja, illetve megköveteli, hogy a szabályozói elvárásnál magasabb tőkével működjenek</w:t>
      </w:r>
      <w:r w:rsidRPr="006A6890">
        <w:rPr>
          <w:rFonts w:asciiTheme="minorHAnsi" w:hAnsiTheme="minorHAnsi"/>
          <w:b/>
        </w:rPr>
        <w:t>. A Felügyelet ajánlásként fogalmazza meg és ellenőrzi, hogy az intézménynek legalább a P2G értékével több tőkéje legyen.</w:t>
      </w:r>
    </w:p>
    <w:p w14:paraId="7FFFE7D3"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rPr>
        <w:t xml:space="preserve">likvid eszközei és stabil forrásai enyhe stressz esetén is teljesítsék legalább a szabályozói elvárásokat, </w:t>
      </w:r>
      <w:r w:rsidRPr="006A6890">
        <w:rPr>
          <w:rFonts w:asciiTheme="minorHAnsi" w:hAnsiTheme="minorHAnsi"/>
        </w:rPr>
        <w:t xml:space="preserve">súlyos stressz esetén azonban felhasználhatóak. </w:t>
      </w:r>
    </w:p>
    <w:p w14:paraId="7FFFE7D4" w14:textId="77777777" w:rsidR="008A78E3" w:rsidRPr="006A6890" w:rsidRDefault="008A78E3" w:rsidP="00181755">
      <w:pPr>
        <w:pStyle w:val="felsorolsos"/>
        <w:rPr>
          <w:rFonts w:asciiTheme="minorHAnsi" w:hAnsiTheme="minorHAnsi"/>
        </w:rPr>
      </w:pPr>
      <w:r w:rsidRPr="006A6890">
        <w:rPr>
          <w:rFonts w:asciiTheme="minorHAnsi" w:hAnsiTheme="minorHAnsi"/>
          <w:b/>
        </w:rPr>
        <w:t>A felügyeleti hatóság külön vizsgálja az intézmény üzleti modelljével összhangban a megfelelő mennyiségű, megalapozott és hatékony likviditási fedezettség meghatározás folyamatát és meglétét.</w:t>
      </w:r>
    </w:p>
    <w:p w14:paraId="7FFFE7D5" w14:textId="77777777" w:rsidR="008A78E3" w:rsidRPr="006A6890" w:rsidRDefault="008A78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A felügyeleti hatóság időben beavatkozik, illetve korrekciós intézkedéseket tesz, amennyiben az intézmény tőkemegfelelését, megfelelő tőkeellátottságát, illetve likviditását nem látja biztosítottnak.</w:t>
      </w:r>
    </w:p>
    <w:p w14:paraId="7FFFE7D6" w14:textId="77777777" w:rsidR="008A78E3" w:rsidRPr="006A6890" w:rsidRDefault="008A78E3" w:rsidP="00AA57CA">
      <w:pPr>
        <w:rPr>
          <w:rFonts w:asciiTheme="minorHAnsi" w:hAnsiTheme="minorHAnsi"/>
        </w:rPr>
      </w:pPr>
      <w:r w:rsidRPr="006A6890">
        <w:rPr>
          <w:rFonts w:asciiTheme="minorHAnsi" w:hAnsiTheme="minorHAnsi"/>
        </w:rPr>
        <w:t>Mivel a felülvizsgálat a felügyelt intézmények működésének egészére és összes kockázatára kiterjed, az – összhangban a pénzügyi intézmények tevékenységének komplexitásával – meglehetősen sokrétű és összetett folyamat. Ennek megfelelően az MNB indokolt esetben egyedi felügyeleti szakértői döntést hoz a felügyeleti felülvizsgálat során tekintettel az intézmények egyedi sajátosságaira, és 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79" w:name="_ICAAP-SREP_dialógus"/>
      <w:bookmarkStart w:id="180" w:name="_Toc378590292"/>
      <w:bookmarkStart w:id="181" w:name="_Toc378592134"/>
      <w:bookmarkEnd w:id="179"/>
    </w:p>
    <w:p w14:paraId="7FFFE7D7" w14:textId="77777777" w:rsidR="008A78E3" w:rsidRPr="006A6890" w:rsidRDefault="008A78E3" w:rsidP="00181755">
      <w:pPr>
        <w:pStyle w:val="Cmsor3"/>
        <w:rPr>
          <w:rFonts w:asciiTheme="minorHAnsi" w:hAnsiTheme="minorHAnsi"/>
        </w:rPr>
      </w:pPr>
      <w:bookmarkStart w:id="182" w:name="_Toc378590299"/>
      <w:bookmarkStart w:id="183" w:name="_Toc378592141"/>
      <w:bookmarkStart w:id="184" w:name="_Toc461095167"/>
      <w:bookmarkStart w:id="185" w:name="_Toc461179199"/>
      <w:bookmarkStart w:id="186" w:name="_Toc461179823"/>
      <w:bookmarkStart w:id="187" w:name="_Toc461197740"/>
      <w:bookmarkStart w:id="188" w:name="_Toc461201266"/>
      <w:bookmarkStart w:id="189" w:name="_Toc461547890"/>
      <w:bookmarkStart w:id="190" w:name="_Toc462401918"/>
      <w:bookmarkStart w:id="191" w:name="_Toc462403039"/>
      <w:bookmarkStart w:id="192" w:name="_Toc462403363"/>
      <w:bookmarkStart w:id="193" w:name="_Toc468180482"/>
      <w:bookmarkStart w:id="194" w:name="_Toc468181014"/>
      <w:bookmarkStart w:id="195" w:name="_Toc468191412"/>
      <w:bookmarkStart w:id="196" w:name="_Toc45119922"/>
      <w:bookmarkStart w:id="197" w:name="_Toc58512205"/>
      <w:bookmarkStart w:id="198" w:name="_Toc158036626"/>
      <w:r w:rsidRPr="006A6890">
        <w:rPr>
          <w:rFonts w:asciiTheme="minorHAnsi" w:hAnsiTheme="minorHAnsi"/>
        </w:rPr>
        <w:t>Az MNB által lefolytatott felülvizsgálati foly</w:t>
      </w:r>
      <w:bookmarkEnd w:id="182"/>
      <w:bookmarkEnd w:id="183"/>
      <w:r w:rsidRPr="006A6890">
        <w:rPr>
          <w:rFonts w:asciiTheme="minorHAnsi" w:hAnsiTheme="minorHAnsi"/>
        </w:rPr>
        <w:t>amatok során alkalmazott általános alapelvek</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FFFE7D8" w14:textId="77777777" w:rsidR="008A78E3" w:rsidRPr="006A6890" w:rsidRDefault="008A78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7FFFE7D9" w14:textId="77777777" w:rsidR="008A78E3" w:rsidRPr="00662FFE" w:rsidRDefault="008A78E3" w:rsidP="00AA57CA">
      <w:pPr>
        <w:rPr>
          <w:rFonts w:asciiTheme="minorHAnsi" w:hAnsiTheme="minorHAnsi"/>
          <w:b/>
          <w:bCs/>
        </w:rPr>
      </w:pPr>
      <w:r w:rsidRPr="00662FFE">
        <w:rPr>
          <w:rFonts w:asciiTheme="minorHAnsi" w:hAnsiTheme="minorHAnsi"/>
          <w:b/>
          <w:bCs/>
        </w:rPr>
        <w:t>Az arányosság elve</w:t>
      </w:r>
    </w:p>
    <w:p w14:paraId="7FFFE7DA" w14:textId="77777777" w:rsidR="008A78E3" w:rsidRPr="006A6890" w:rsidRDefault="008A78E3" w:rsidP="00AA57CA">
      <w:pPr>
        <w:rPr>
          <w:rFonts w:asciiTheme="minorHAnsi" w:hAnsiTheme="minorHAnsi"/>
        </w:rPr>
      </w:pPr>
      <w:bookmarkStart w:id="199" w:name="_Az_arányosság_elve"/>
      <w:bookmarkEnd w:id="199"/>
      <w:r w:rsidRPr="006A6890">
        <w:rPr>
          <w:rFonts w:asciiTheme="minorHAnsi" w:hAnsiTheme="minorHAnsi"/>
        </w:rPr>
        <w:t>A CRD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7FFFE7DB" w14:textId="77777777" w:rsidR="008A78E3" w:rsidRPr="006A6890" w:rsidRDefault="008A78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bookmarkStart w:id="200" w:name="_Hlk158376925"/>
      <w:r>
        <w:rPr>
          <w:rFonts w:asciiTheme="minorHAnsi" w:hAnsiTheme="minorHAnsi"/>
        </w:rPr>
        <w:t>Fióktelepi formában működő hitelintézetek esetében ez azt jelenti, hogy az ICAAP-BMA felülvizsgálat nem is terjed ki rájuk, az ILAAP felülvizsgálat pedig az EGT-n belüli székhellyel rendelkező fióktelepek esetében jellemzően egyszerűsített formában, az intézmény kiértesítése nélkül kerül</w:t>
      </w:r>
      <w:r w:rsidRPr="000A0F0B">
        <w:rPr>
          <w:rFonts w:asciiTheme="minorHAnsi" w:hAnsiTheme="minorHAnsi"/>
        </w:rPr>
        <w:t xml:space="preserve"> </w:t>
      </w:r>
      <w:r>
        <w:rPr>
          <w:rFonts w:asciiTheme="minorHAnsi" w:hAnsiTheme="minorHAnsi"/>
        </w:rPr>
        <w:t>elvégzésre.</w:t>
      </w:r>
      <w:bookmarkEnd w:id="200"/>
    </w:p>
    <w:p w14:paraId="7FFFE7DC" w14:textId="77777777" w:rsidR="008A78E3" w:rsidRPr="00662FFE" w:rsidRDefault="008A78E3" w:rsidP="00AA57CA">
      <w:pPr>
        <w:rPr>
          <w:rFonts w:asciiTheme="minorHAnsi" w:hAnsiTheme="minorHAnsi"/>
          <w:b/>
          <w:bCs/>
        </w:rPr>
      </w:pPr>
      <w:bookmarkStart w:id="201" w:name="_Toc378590301"/>
      <w:bookmarkStart w:id="202" w:name="_Toc378592143"/>
      <w:r w:rsidRPr="00662FFE">
        <w:rPr>
          <w:rFonts w:asciiTheme="minorHAnsi" w:hAnsiTheme="minorHAnsi"/>
          <w:b/>
          <w:bCs/>
        </w:rPr>
        <w:t>A kockázatkezelés elsődleges a tőkeképzéssel, likviditási pufferképzéssel szemben</w:t>
      </w:r>
      <w:bookmarkEnd w:id="201"/>
      <w:bookmarkEnd w:id="202"/>
    </w:p>
    <w:p w14:paraId="7FFFE7DD" w14:textId="77777777" w:rsidR="008A78E3" w:rsidRPr="006A6890" w:rsidRDefault="008A78E3" w:rsidP="00AA57CA">
      <w:pPr>
        <w:rPr>
          <w:rFonts w:asciiTheme="minorHAnsi" w:hAnsiTheme="minorHAnsi"/>
        </w:rPr>
      </w:pPr>
      <w:bookmarkStart w:id="203" w:name="_A_kockázatkezelés_elsődlegessége"/>
      <w:bookmarkEnd w:id="203"/>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7FFFE7DE" w14:textId="77777777" w:rsidR="008A78E3" w:rsidRDefault="008A78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 tőkekövetelmény feletti pótlólagos többlet-tőkekövetelmény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7FFFE7DF" w14:textId="77777777" w:rsidR="008A78E3" w:rsidRPr="006A6890" w:rsidRDefault="008A78E3" w:rsidP="00AA57CA">
      <w:pPr>
        <w:rPr>
          <w:rFonts w:asciiTheme="minorHAnsi" w:hAnsiTheme="minorHAnsi"/>
        </w:rPr>
      </w:pPr>
    </w:p>
    <w:p w14:paraId="7FFFE7E0" w14:textId="77777777" w:rsidR="008A78E3" w:rsidRPr="00662FFE" w:rsidRDefault="008A78E3" w:rsidP="00AA57CA">
      <w:pPr>
        <w:rPr>
          <w:rFonts w:asciiTheme="minorHAnsi" w:hAnsiTheme="minorHAnsi"/>
          <w:b/>
          <w:bCs/>
        </w:rPr>
      </w:pPr>
      <w:bookmarkStart w:id="204" w:name="_Toc378590302"/>
      <w:bookmarkStart w:id="205" w:name="_Toc378592144"/>
      <w:r w:rsidRPr="00662FFE">
        <w:rPr>
          <w:rFonts w:asciiTheme="minorHAnsi" w:hAnsiTheme="minorHAnsi"/>
          <w:b/>
          <w:bCs/>
        </w:rPr>
        <w:t>A kockázati módszerek és elvárások folyamatos fejlődés</w:t>
      </w:r>
      <w:bookmarkEnd w:id="204"/>
      <w:bookmarkEnd w:id="205"/>
      <w:r w:rsidRPr="00662FFE">
        <w:rPr>
          <w:rFonts w:asciiTheme="minorHAnsi" w:hAnsiTheme="minorHAnsi"/>
          <w:b/>
          <w:bCs/>
        </w:rPr>
        <w:t>ének követése</w:t>
      </w:r>
    </w:p>
    <w:p w14:paraId="7FFFE7E1" w14:textId="77777777" w:rsidR="008A78E3" w:rsidRPr="006A6890" w:rsidRDefault="008A78E3" w:rsidP="00AA57CA">
      <w:pPr>
        <w:rPr>
          <w:rFonts w:asciiTheme="minorHAnsi" w:hAnsiTheme="minorHAnsi"/>
        </w:rPr>
      </w:pPr>
      <w:bookmarkStart w:id="206" w:name="_A_kockázati_módszerek"/>
      <w:bookmarkEnd w:id="206"/>
      <w:r w:rsidRPr="006A6890">
        <w:rPr>
          <w:rFonts w:asciiTheme="minorHAnsi" w:hAnsiTheme="minorHAnsi"/>
        </w:rPr>
        <w:t xml:space="preserve">Az MNB határozott álláspontja, hogy a mindenkor változó pénzügyi, gazdasági és kockázati viszonyok, szabályozói környezet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7FFFE7E2" w14:textId="77777777" w:rsidR="008A78E3" w:rsidRPr="006A6890" w:rsidRDefault="008A78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7FFFE7E3" w14:textId="77777777" w:rsidR="008A78E3" w:rsidRPr="00662FFE" w:rsidRDefault="008A78E3" w:rsidP="00AA57CA">
      <w:pPr>
        <w:rPr>
          <w:rFonts w:asciiTheme="minorHAnsi" w:hAnsiTheme="minorHAnsi"/>
          <w:b/>
          <w:bCs/>
        </w:rPr>
      </w:pPr>
      <w:bookmarkStart w:id="207" w:name="_Toc378590303"/>
      <w:bookmarkStart w:id="208" w:name="_Toc378592145"/>
      <w:r w:rsidRPr="00662FFE">
        <w:rPr>
          <w:rFonts w:asciiTheme="minorHAnsi" w:hAnsiTheme="minorHAnsi"/>
          <w:b/>
          <w:bCs/>
        </w:rPr>
        <w:t>A felülvizsgálat két pillérének egyenrangúsága és egymást kiegészítő jellege</w:t>
      </w:r>
      <w:bookmarkEnd w:id="207"/>
      <w:bookmarkEnd w:id="208"/>
    </w:p>
    <w:p w14:paraId="7FFFE7E4" w14:textId="77777777" w:rsidR="008A78E3" w:rsidRPr="006A6890" w:rsidRDefault="008A78E3" w:rsidP="00AA57CA">
      <w:pPr>
        <w:rPr>
          <w:rFonts w:asciiTheme="minorHAnsi" w:hAnsiTheme="minorHAnsi"/>
        </w:rPr>
      </w:pPr>
      <w:bookmarkStart w:id="209" w:name="_A_felülvizsgálat_két"/>
      <w:bookmarkEnd w:id="209"/>
      <w:r w:rsidRPr="006A6890">
        <w:rPr>
          <w:rFonts w:asciiTheme="minorHAnsi" w:hAnsiTheme="minorHAnsi"/>
        </w:rPr>
        <w:t>Az 1. pillérre vonatkozó jogszabályi előírások kógens módon, egységes módszertan alapján határozzák meg a tőkeszükséglet számításának módját, illetve a prudens működéshez szükséges tőke nagyságát. Mivel az intézményi sokszínűség miatt a szabályozói pillérben</w:t>
      </w:r>
      <w:r>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7FFFE7E5" w14:textId="77777777" w:rsidR="008A78E3" w:rsidRPr="006A6890" w:rsidRDefault="008A78E3" w:rsidP="00AA57CA">
      <w:pPr>
        <w:rPr>
          <w:rFonts w:asciiTheme="minorHAnsi" w:hAnsiTheme="minorHAnsi"/>
        </w:rPr>
      </w:pPr>
      <w:r w:rsidRPr="006A6890">
        <w:rPr>
          <w:rFonts w:asciiTheme="minorHAnsi" w:hAnsiTheme="minorHAnsi"/>
        </w:rPr>
        <w:t xml:space="preserve">A tőkekövetelmény-számítás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7FFFE7E6" w14:textId="77777777" w:rsidR="008A78E3" w:rsidRPr="006A6890" w:rsidRDefault="008A78E3" w:rsidP="00AA57CA">
      <w:pPr>
        <w:rPr>
          <w:rFonts w:asciiTheme="minorHAnsi" w:hAnsiTheme="minorHAnsi"/>
        </w:rPr>
      </w:pPr>
      <w:r w:rsidRPr="006A6890">
        <w:rPr>
          <w:rFonts w:asciiTheme="minorHAnsi" w:hAnsiTheme="minorHAnsi"/>
        </w:rPr>
        <w:t xml:space="preserve">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 illetve továbbfejleszthetőek a másik pillérben is. </w:t>
      </w:r>
    </w:p>
    <w:p w14:paraId="7FFFE7E7" w14:textId="77777777" w:rsidR="008A78E3" w:rsidRPr="006A6890" w:rsidRDefault="008A78E3" w:rsidP="00181755">
      <w:pPr>
        <w:pStyle w:val="Cmsor1"/>
      </w:pPr>
      <w:r w:rsidRPr="006A6890">
        <w:br w:type="page"/>
        <w:t xml:space="preserve"> </w:t>
      </w:r>
      <w:bookmarkStart w:id="210" w:name="_Toc461095168"/>
      <w:bookmarkStart w:id="211" w:name="_Toc461179200"/>
      <w:bookmarkStart w:id="212" w:name="_Toc461179824"/>
      <w:bookmarkStart w:id="213" w:name="_Toc461197741"/>
      <w:bookmarkStart w:id="214" w:name="_Toc461201267"/>
      <w:bookmarkStart w:id="215" w:name="_Toc461547891"/>
      <w:bookmarkStart w:id="216" w:name="_Toc462401919"/>
      <w:bookmarkStart w:id="217" w:name="_Toc462403040"/>
      <w:bookmarkStart w:id="218" w:name="_Toc462403364"/>
      <w:bookmarkStart w:id="219" w:name="_Toc468180483"/>
      <w:bookmarkStart w:id="220" w:name="_Toc468181015"/>
      <w:bookmarkStart w:id="221" w:name="_Toc468191413"/>
      <w:bookmarkStart w:id="222" w:name="_Toc45119923"/>
      <w:bookmarkStart w:id="223" w:name="_Toc58512206"/>
      <w:bookmarkStart w:id="224" w:name="_Toc158036627"/>
      <w:r w:rsidRPr="006A6890">
        <w:t>Az ICAAP, az ILAAP és felügyeleti felülvizsgálatuk hatálya</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FFFE7E8" w14:textId="77777777" w:rsidR="008A78E3" w:rsidRPr="006A6890" w:rsidRDefault="008A78E3" w:rsidP="00AA57CA">
      <w:pPr>
        <w:rPr>
          <w:rFonts w:asciiTheme="minorHAnsi" w:hAnsiTheme="minorHAnsi"/>
        </w:rPr>
      </w:pPr>
      <w:r w:rsidRPr="006A6890">
        <w:rPr>
          <w:rFonts w:asciiTheme="minorHAnsi" w:hAnsiTheme="minorHAnsi"/>
        </w:rPr>
        <w:t xml:space="preserve">A tőkével és a likviditással összefüggő előírásoknak való megfelelés alkalmazási szintjeit a CRR 6-17. cikkei rögzítik. A tőkemegfelelés belső értékelési eljárásának alkalmazási követelményeit a CRD 108-109. cikkei határozzák meg. A Hpt. és a Bszt. előírásai alapján a felügyeleti felülvizsgálatot és értékelést a CRR első rész II. címében meghatározottaknak megfelelően kell végezni, a felügyeleti felülvizsgálat hatályának igazodnia kell a prudenciális előírások teljesítésére vonatkozó alkalmazási szintekhez. </w:t>
      </w:r>
    </w:p>
    <w:p w14:paraId="7FFFE7E9" w14:textId="77777777" w:rsidR="008A78E3" w:rsidRPr="006A6890" w:rsidRDefault="008A78E3" w:rsidP="00AA57CA">
      <w:pPr>
        <w:rPr>
          <w:rFonts w:asciiTheme="minorHAnsi" w:hAnsiTheme="minorHAnsi"/>
        </w:rPr>
      </w:pPr>
      <w:r w:rsidRPr="006A6890">
        <w:rPr>
          <w:rFonts w:asciiTheme="minorHAnsi" w:hAnsiTheme="minorHAnsi"/>
        </w:rPr>
        <w:t>A belső tőkeszükséglet-számítás és likviditás értékelése a SREP értékelési folyamat részeként történhet egyedi intézményi szinten, illetve csoport-szinten konszolidáltan vagy szubkonszolidáltan (összhangban a II.1 és a II.2. fejezettel).</w:t>
      </w:r>
    </w:p>
    <w:p w14:paraId="7FFFE7EA" w14:textId="77777777" w:rsidR="008A78E3" w:rsidRPr="006A6890" w:rsidRDefault="008A78E3" w:rsidP="00AA57CA">
      <w:pPr>
        <w:rPr>
          <w:rFonts w:asciiTheme="minorHAnsi" w:hAnsiTheme="minorHAnsi"/>
        </w:rPr>
      </w:pPr>
      <w:r w:rsidRPr="006A6890">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(host) illetékes hatóságok – a konszolidáló (home) felügyelet vezetésével – közösen értékelik a csoporttagok kockázati kitettségét és kontrollját. A közös értékelés ún. közös döntéssel (joint decision) zárul, mely részeként a felügyeleti kollégium közös megegyezéssel határoz a 2. pilléres tőkemegfelelésről, egyben megállapítja az összevont, szubkonszolidált és/vagy egyedi szinten tartani szükséges teljes SREP tőkekövetelmény rátát (TSCR). 2014. január 1-jétől a közös döntési folyamat részeként a likviditás megfelelőségéről is közös megegyezéssel hoz határozatot a kollégium, így a felülvizsgálati folyamat különálló eleme az intézmény likviditási és finanszírozási kockázatának értékelése, és a likviditás megfelelőségének értékelése. A többoldalú eljárás szabályait a Hpt. 173. cikke, illetőleg a Bszt. 173/A. cikke rögzíti. </w:t>
      </w:r>
    </w:p>
    <w:p w14:paraId="7FFFE7EB" w14:textId="77777777" w:rsidR="008A78E3" w:rsidRPr="0055569D" w:rsidRDefault="008A78E3" w:rsidP="009F4CDA">
      <w:pPr>
        <w:pStyle w:val="Cmsor2"/>
      </w:pPr>
      <w:bookmarkStart w:id="225" w:name="_Toc461095169"/>
      <w:bookmarkStart w:id="226" w:name="_Toc461179201"/>
      <w:bookmarkStart w:id="227" w:name="_Toc461179825"/>
      <w:bookmarkStart w:id="228" w:name="_Toc461197742"/>
      <w:bookmarkStart w:id="229" w:name="_Toc461201268"/>
      <w:bookmarkStart w:id="230" w:name="_Toc461547892"/>
      <w:bookmarkStart w:id="231" w:name="_Toc462401920"/>
      <w:bookmarkStart w:id="232" w:name="_Toc462403041"/>
      <w:bookmarkStart w:id="233" w:name="_Toc462403365"/>
      <w:bookmarkStart w:id="234" w:name="_Toc468180484"/>
      <w:bookmarkStart w:id="235" w:name="_Toc468181016"/>
      <w:bookmarkStart w:id="236" w:name="_Toc468191414"/>
      <w:bookmarkStart w:id="237" w:name="_Toc45119924"/>
      <w:bookmarkStart w:id="238" w:name="_Toc58512207"/>
      <w:bookmarkStart w:id="239" w:name="_Toc158036628"/>
      <w:r w:rsidRPr="0055569D">
        <w:t>ICAAP és ILAAP megfelelés és felügyeleti felülvizsgálat egyedi szinten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FFFE7EC" w14:textId="77777777" w:rsidR="008A78E3" w:rsidRPr="006A6890" w:rsidRDefault="008A78E3" w:rsidP="00181755">
      <w:pPr>
        <w:rPr>
          <w:rFonts w:asciiTheme="minorHAnsi" w:hAnsiTheme="minorHAnsi"/>
          <w:b/>
          <w:i/>
        </w:rPr>
      </w:pPr>
      <w:r w:rsidRPr="006A6890">
        <w:rPr>
          <w:rFonts w:asciiTheme="minorHAnsi" w:hAnsiTheme="minorHAnsi"/>
          <w:b/>
          <w:i/>
        </w:rPr>
        <w:t>Tőkeszükséglet értékelése</w:t>
      </w:r>
    </w:p>
    <w:p w14:paraId="7FFFE7ED" w14:textId="77777777" w:rsidR="008A78E3" w:rsidRPr="006A6890" w:rsidRDefault="008A78E3" w:rsidP="00AA57CA">
      <w:pPr>
        <w:rPr>
          <w:rFonts w:asciiTheme="minorHAnsi" w:hAnsiTheme="minorHAnsi"/>
        </w:rPr>
      </w:pPr>
      <w:r w:rsidRPr="006A6890">
        <w:rPr>
          <w:rFonts w:asciiTheme="minorHAnsi" w:hAnsiTheme="minorHAnsi"/>
        </w:rPr>
        <w:t>A CRD 108. cikk (1) bekezdése alapján az ICAAP felügyeleti felülvizsgálatának egyedi szinten mindazon, a CRR hatálya alá tartozó intézményekre kell kiterjednie, amelyeknek egyedi szintű tőke-megfelelési belső értékelési eljárást kell lefolytatniuk, és amelyeknek az MNB nem adott mentességet a tőkére vonatkozó CRR követelményeknek való megfelelés alól.</w:t>
      </w:r>
    </w:p>
    <w:p w14:paraId="7FFFE7EE" w14:textId="77777777" w:rsidR="008A78E3" w:rsidRPr="006A6890" w:rsidRDefault="008A78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7FFFE7EF"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egy másik intézmény leányvállalata, és mindkettőt ugyanazon tagállam felügyeleti hatósága felügyeli, és teljesülnek a CRR 7. cikk (1) bekezdésében meghatározott további feltételek,</w:t>
      </w:r>
    </w:p>
    <w:p w14:paraId="7FFFE7F0" w14:textId="77777777" w:rsidR="008A78E3" w:rsidRPr="006A6890" w:rsidRDefault="008A78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p>
    <w:p w14:paraId="7FFFE7F1"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p>
    <w:p w14:paraId="7FFFE7F2"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7FFFE7F3" w14:textId="77777777" w:rsidR="008A78E3" w:rsidRPr="006A6890" w:rsidRDefault="008A78E3" w:rsidP="00AA57CA">
      <w:pPr>
        <w:rPr>
          <w:rFonts w:asciiTheme="minorHAnsi" w:hAnsiTheme="minorHAnsi"/>
        </w:rPr>
      </w:pPr>
    </w:p>
    <w:p w14:paraId="7FFFE7F4" w14:textId="77777777" w:rsidR="008A78E3" w:rsidRPr="00AA57CA" w:rsidRDefault="008A78E3" w:rsidP="00AA57CA">
      <w:pPr>
        <w:rPr>
          <w:rFonts w:asciiTheme="minorHAnsi" w:hAnsiTheme="minorHAnsi"/>
          <w:b/>
          <w:i/>
        </w:rPr>
      </w:pPr>
      <w:r w:rsidRPr="00AA57CA">
        <w:rPr>
          <w:rFonts w:asciiTheme="minorHAnsi" w:hAnsiTheme="minorHAnsi"/>
          <w:b/>
          <w:i/>
        </w:rPr>
        <w:t>Likviditás megfelelőség értékelése</w:t>
      </w:r>
    </w:p>
    <w:p w14:paraId="7FFFE7F5" w14:textId="77777777" w:rsidR="008A78E3" w:rsidRPr="006A6890" w:rsidRDefault="008A78E3" w:rsidP="00AA57CA">
      <w:pPr>
        <w:rPr>
          <w:rFonts w:asciiTheme="minorHAnsi" w:hAnsiTheme="minorHAnsi"/>
        </w:rPr>
      </w:pPr>
      <w:r w:rsidRPr="006A6890">
        <w:rPr>
          <w:rFonts w:asciiTheme="minorHAnsi" w:hAnsiTheme="minorHAnsi"/>
        </w:rPr>
        <w:t xml:space="preserve">A CRR alapján likviditásra vonatkozó előírásoknak való megfelelés esetében is kiindulópont az egyedi alapon történő megfelelés, miközben a likviditási adatszolgáltatás egyedi szinten történő teljesítése minden esetben követelmény. A megfelelésre vonatkozó mentesség csak, a likviditási alcsoporthoz, illetőleg a szövetkezeti integrációhoz tartozó intézményekre adható. </w:t>
      </w:r>
    </w:p>
    <w:p w14:paraId="7FFFE7F6" w14:textId="77777777" w:rsidR="008A78E3" w:rsidRPr="0055569D" w:rsidRDefault="008A78E3" w:rsidP="009F4CDA">
      <w:pPr>
        <w:pStyle w:val="Cmsor2"/>
      </w:pPr>
      <w:bookmarkStart w:id="240" w:name="_Toc461095170"/>
      <w:bookmarkStart w:id="241" w:name="_Toc461179202"/>
      <w:bookmarkStart w:id="242" w:name="_Toc461179826"/>
      <w:bookmarkStart w:id="243" w:name="_Toc461197743"/>
      <w:bookmarkStart w:id="244" w:name="_Toc461201269"/>
      <w:bookmarkStart w:id="245" w:name="_Toc461547893"/>
      <w:bookmarkStart w:id="246" w:name="_Toc462401921"/>
      <w:bookmarkStart w:id="247" w:name="_Toc462403042"/>
      <w:bookmarkStart w:id="248" w:name="_Toc462403366"/>
      <w:bookmarkStart w:id="249" w:name="_Toc468180485"/>
      <w:bookmarkStart w:id="250" w:name="_Toc468181017"/>
      <w:bookmarkStart w:id="251" w:name="_Toc468191415"/>
      <w:bookmarkStart w:id="252" w:name="_Toc45119925"/>
      <w:bookmarkStart w:id="253" w:name="_Toc58512208"/>
      <w:bookmarkStart w:id="254" w:name="_Toc158036629"/>
      <w:r w:rsidRPr="0055569D">
        <w:t>ICAAP és ILAAP megfelelés és felügyeleti felülvizsgálat csoport szinten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FFFE7F7" w14:textId="77777777" w:rsidR="008A78E3" w:rsidRPr="006A6890" w:rsidRDefault="008A78E3" w:rsidP="00181755">
      <w:pPr>
        <w:rPr>
          <w:rFonts w:asciiTheme="minorHAnsi" w:hAnsiTheme="minorHAnsi"/>
          <w:b/>
          <w:i/>
        </w:rPr>
      </w:pPr>
      <w:r w:rsidRPr="006A6890">
        <w:rPr>
          <w:rFonts w:asciiTheme="minorHAnsi" w:hAnsiTheme="minorHAnsi"/>
          <w:b/>
          <w:i/>
        </w:rPr>
        <w:t>Tőkeszükséglet értékelése</w:t>
      </w:r>
    </w:p>
    <w:p w14:paraId="7FFFE7F8" w14:textId="77777777" w:rsidR="008A78E3" w:rsidRPr="006A6890" w:rsidRDefault="008A78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7FFFE7F9"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p>
    <w:p w14:paraId="7FFFE7FA"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p>
    <w:p w14:paraId="7FFFE7FB" w14:textId="77777777" w:rsidR="008A78E3" w:rsidRPr="006A6890" w:rsidRDefault="008A78E3" w:rsidP="00181755">
      <w:pPr>
        <w:pStyle w:val="felsorolsos"/>
        <w:rPr>
          <w:rFonts w:asciiTheme="minorHAnsi" w:hAnsiTheme="minorHAnsi"/>
        </w:rPr>
      </w:pPr>
      <w:r w:rsidRPr="006A6890">
        <w:rPr>
          <w:rFonts w:asciiTheme="minorHAnsi" w:hAnsiTheme="minorHAnsi"/>
        </w:rPr>
        <w:t>fennáll a CRR 22. cikke szerinti esetkör (egyéb szubkonszolidált szintű megfelelés),</w:t>
      </w:r>
    </w:p>
    <w:p w14:paraId="7FFFE7FC"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7FFFE7FD" w14:textId="77777777" w:rsidR="008A78E3" w:rsidRPr="006A6890" w:rsidRDefault="008A78E3" w:rsidP="00AA57CA">
      <w:pPr>
        <w:rPr>
          <w:rFonts w:asciiTheme="minorHAnsi" w:hAnsiTheme="minorHAnsi"/>
        </w:rPr>
      </w:pPr>
      <w:r w:rsidRPr="006A6890">
        <w:rPr>
          <w:rFonts w:asciiTheme="minorHAnsi" w:hAnsiTheme="minorHAnsi"/>
        </w:rPr>
        <w:t xml:space="preserve">A CRD 108. cikke alapján – a CRR tőkére vonatkozó előírásainak való csoport szintű megfelelés alól nem mentesített csoportoknak – ICAAP-et szubkonszolidált és EU-szintű konszolidáció szintjén is kell folytatni. </w:t>
      </w:r>
    </w:p>
    <w:p w14:paraId="7FFFE7FE" w14:textId="77777777" w:rsidR="008A78E3" w:rsidRPr="006A6890" w:rsidRDefault="008A78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7FFFE7FF" w14:textId="77777777" w:rsidR="008A78E3" w:rsidRPr="006A6890" w:rsidRDefault="008A78E3" w:rsidP="00CD1B46">
      <w:pPr>
        <w:pStyle w:val="Listaszerbekezds"/>
        <w:numPr>
          <w:ilvl w:val="0"/>
          <w:numId w:val="41"/>
        </w:numPr>
        <w:rPr>
          <w:rFonts w:asciiTheme="minorHAnsi" w:hAnsiTheme="minorHAnsi"/>
          <w:b/>
          <w:i/>
          <w:sz w:val="22"/>
        </w:rPr>
      </w:pPr>
      <w:r w:rsidRPr="006A6890">
        <w:rPr>
          <w:rFonts w:asciiTheme="minorHAnsi" w:hAnsiTheme="minorHAnsi"/>
          <w:b/>
          <w:i/>
          <w:sz w:val="22"/>
        </w:rPr>
        <w:t>Nemzetközi csoportok</w:t>
      </w:r>
    </w:p>
    <w:p w14:paraId="7FFFE800" w14:textId="77777777" w:rsidR="008A78E3" w:rsidRPr="006A6890" w:rsidRDefault="008A78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7FFFE801" w14:textId="77777777" w:rsidR="008A78E3" w:rsidRPr="006A6890" w:rsidRDefault="008A78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7FFFE802" w14:textId="77777777" w:rsidR="008A78E3" w:rsidRPr="006A6890" w:rsidRDefault="008A78E3" w:rsidP="00181755">
      <w:pPr>
        <w:jc w:val="center"/>
        <w:rPr>
          <w:rFonts w:asciiTheme="minorHAnsi" w:hAnsiTheme="minorHAnsi"/>
        </w:rPr>
      </w:pPr>
      <w:r w:rsidRPr="006A6890">
        <w:rPr>
          <w:rFonts w:asciiTheme="minorHAnsi" w:hAnsiTheme="minorHAnsi"/>
          <w:noProof/>
        </w:rPr>
        <w:drawing>
          <wp:inline distT="0" distB="0" distL="0" distR="0" wp14:anchorId="7FFFF07D" wp14:editId="7FFFF07E">
            <wp:extent cx="4527550" cy="2001520"/>
            <wp:effectExtent l="38100" t="0" r="2540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FFFE803" w14:textId="77777777" w:rsidR="008A78E3" w:rsidRPr="006A6890" w:rsidRDefault="008A78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7FFFE804" w14:textId="77777777" w:rsidR="008A78E3" w:rsidRPr="006A6890" w:rsidRDefault="008A78E3" w:rsidP="00181755">
      <w:pPr>
        <w:rPr>
          <w:rFonts w:asciiTheme="minorHAnsi" w:hAnsiTheme="minorHAnsi"/>
        </w:rPr>
      </w:pPr>
    </w:p>
    <w:p w14:paraId="7FFFE805" w14:textId="77777777" w:rsidR="008A78E3" w:rsidRPr="006A6890" w:rsidRDefault="008A78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Pr>
          <w:rFonts w:asciiTheme="minorHAnsi" w:hAnsiTheme="minorHAnsi"/>
          <w:b/>
          <w:vertAlign w:val="superscript"/>
        </w:rPr>
        <w:footnoteReference w:id="12"/>
      </w:r>
    </w:p>
    <w:p w14:paraId="7FFFE806" w14:textId="77777777" w:rsidR="008A78E3" w:rsidRPr="006A6890" w:rsidRDefault="008A78E3" w:rsidP="00AA57CA">
      <w:pPr>
        <w:rPr>
          <w:rFonts w:asciiTheme="minorHAnsi" w:hAnsiTheme="minorHAnsi"/>
        </w:rPr>
      </w:pPr>
      <w:r w:rsidRPr="006A6890">
        <w:rPr>
          <w:rFonts w:asciiTheme="minorHAnsi" w:hAnsiTheme="minorHAnsi"/>
        </w:rPr>
        <w:t>Ha a csoport EU-szintű hitelintézeti anyavállalata, EU-szintű pénzügyi holding társaság és EU-szintű vegyes pénzügyi holding társaság anyavállat más tagállamban rendelkezik székhellyel, akkor a CRD 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tagállami szintű megfelelést is, azaz, hogy a hazai leányvállalat az összevont felügyeleti körébe tartozó intézmények vonatkozásában összevont alapon is végezzen ICAAP-et. A tőkekövetelmény-számítás minőségéért a hazai csoport vezetése a felelős abban az esetben is, ha a hazai csoport vonatkozásában a belső tőkekövetelmény számítási folyamatok magasabb-szinten (EU)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7FFFE807" w14:textId="77777777" w:rsidR="008A78E3" w:rsidRPr="006A6890" w:rsidRDefault="008A78E3" w:rsidP="00181755">
      <w:pPr>
        <w:jc w:val="center"/>
        <w:rPr>
          <w:rFonts w:asciiTheme="minorHAnsi" w:hAnsiTheme="minorHAnsi"/>
        </w:rPr>
      </w:pPr>
      <w:r w:rsidRPr="006A6890">
        <w:rPr>
          <w:rFonts w:asciiTheme="minorHAnsi" w:hAnsiTheme="minorHAnsi"/>
          <w:noProof/>
        </w:rPr>
        <w:drawing>
          <wp:inline distT="0" distB="0" distL="0" distR="0" wp14:anchorId="7FFFF07F" wp14:editId="7FFFF080">
            <wp:extent cx="4707890" cy="223393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FFE808" w14:textId="77777777" w:rsidR="008A78E3" w:rsidRPr="006A6890" w:rsidRDefault="008A78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7FFFE809" w14:textId="77777777" w:rsidR="008A78E3" w:rsidRPr="006A6890" w:rsidRDefault="008A78E3"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7FFFE80A" w14:textId="77777777" w:rsidR="008A78E3" w:rsidRPr="006A6890" w:rsidRDefault="008A78E3"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7FFFE80B" w14:textId="77777777" w:rsidR="008A78E3" w:rsidRPr="006A6890" w:rsidRDefault="008A78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7FFFE80C" w14:textId="77777777" w:rsidR="008A78E3" w:rsidRDefault="008A78E3" w:rsidP="00181755">
      <w:pPr>
        <w:jc w:val="center"/>
        <w:rPr>
          <w:rFonts w:asciiTheme="minorHAnsi" w:hAnsiTheme="minorHAnsi"/>
        </w:rPr>
      </w:pPr>
      <w:r w:rsidRPr="006A6890">
        <w:rPr>
          <w:rFonts w:asciiTheme="minorHAnsi" w:hAnsiTheme="minorHAnsi"/>
          <w:noProof/>
        </w:rPr>
        <w:drawing>
          <wp:inline distT="0" distB="0" distL="0" distR="0" wp14:anchorId="7FFFF081" wp14:editId="7FFFF082">
            <wp:extent cx="4192270" cy="2026920"/>
            <wp:effectExtent l="38100" t="0" r="1778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FFFE80D" w14:textId="77777777" w:rsidR="008A78E3" w:rsidRPr="006A6890" w:rsidRDefault="008A78E3" w:rsidP="00181755">
      <w:pPr>
        <w:jc w:val="center"/>
        <w:rPr>
          <w:rFonts w:asciiTheme="minorHAnsi" w:hAnsiTheme="minorHAnsi"/>
        </w:rPr>
      </w:pPr>
    </w:p>
    <w:p w14:paraId="7FFFE80E" w14:textId="77777777" w:rsidR="008A78E3" w:rsidRPr="006A6890" w:rsidRDefault="008A78E3" w:rsidP="00CD1B46">
      <w:pPr>
        <w:pStyle w:val="Listaszerbekezds"/>
        <w:numPr>
          <w:ilvl w:val="0"/>
          <w:numId w:val="41"/>
        </w:numPr>
        <w:rPr>
          <w:rFonts w:asciiTheme="minorHAnsi" w:hAnsiTheme="minorHAnsi"/>
          <w:b/>
          <w:i/>
          <w:sz w:val="22"/>
        </w:rPr>
      </w:pPr>
      <w:r w:rsidRPr="006A6890">
        <w:rPr>
          <w:rFonts w:asciiTheme="minorHAnsi" w:hAnsiTheme="minorHAnsi"/>
          <w:b/>
          <w:i/>
          <w:sz w:val="22"/>
        </w:rPr>
        <w:t>Hazai csoportok</w:t>
      </w:r>
    </w:p>
    <w:p w14:paraId="7FFFE80F" w14:textId="77777777" w:rsidR="008A78E3" w:rsidRPr="006A6890" w:rsidRDefault="008A78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7FFFE810" w14:textId="77777777" w:rsidR="008A78E3" w:rsidRPr="006A6890" w:rsidRDefault="008A78E3" w:rsidP="00AA57CA">
      <w:pPr>
        <w:rPr>
          <w:rFonts w:asciiTheme="minorHAnsi" w:hAnsiTheme="minorHAnsi"/>
        </w:rPr>
      </w:pPr>
      <w:r w:rsidRPr="006A6890">
        <w:rPr>
          <w:rFonts w:asciiTheme="minorHAnsi" w:hAnsiTheme="minorHAnsi"/>
        </w:rPr>
        <w:t>A CRR tőkére vonatkozó követelményeit a központi szerv a kapcsolt intézményeivel együtt csoport szinten teljesíti, vagy az intézményeknek egyedileg kell megfelelniük. A CRD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Ebben az esetben közös döntéshozatali folyamat nincs.</w:t>
      </w:r>
    </w:p>
    <w:p w14:paraId="7FFFE811" w14:textId="77777777" w:rsidR="008A78E3" w:rsidRPr="006A6890" w:rsidRDefault="008A78E3" w:rsidP="00181755">
      <w:pPr>
        <w:jc w:val="center"/>
        <w:rPr>
          <w:rFonts w:asciiTheme="minorHAnsi" w:hAnsiTheme="minorHAnsi"/>
        </w:rPr>
      </w:pPr>
      <w:r w:rsidRPr="006A6890">
        <w:rPr>
          <w:rFonts w:asciiTheme="minorHAnsi" w:hAnsiTheme="minorHAnsi"/>
          <w:noProof/>
        </w:rPr>
        <w:drawing>
          <wp:inline distT="0" distB="0" distL="0" distR="0" wp14:anchorId="7FFFF083" wp14:editId="7FFFF084">
            <wp:extent cx="4325510" cy="1979875"/>
            <wp:effectExtent l="19050" t="0" r="18415" b="0"/>
            <wp:docPr id="5" name="Szervezeti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FFFE812" w14:textId="77777777" w:rsidR="008A78E3" w:rsidRPr="006A6890" w:rsidRDefault="008A78E3" w:rsidP="00780492">
      <w:pPr>
        <w:numPr>
          <w:ilvl w:val="0"/>
          <w:numId w:val="7"/>
        </w:numPr>
        <w:rPr>
          <w:rFonts w:asciiTheme="minorHAnsi" w:hAnsiTheme="minorHAnsi"/>
          <w:b/>
        </w:rPr>
      </w:pPr>
      <w:r w:rsidRPr="006A6890">
        <w:rPr>
          <w:rFonts w:asciiTheme="minorHAnsi" w:hAnsiTheme="minorHAnsi"/>
          <w:b/>
        </w:rPr>
        <w:t>Hazai intézménycsoport</w:t>
      </w:r>
    </w:p>
    <w:p w14:paraId="7FFFE813" w14:textId="77777777" w:rsidR="008A78E3" w:rsidRPr="006A6890" w:rsidRDefault="008A78E3" w:rsidP="00AA57CA">
      <w:pPr>
        <w:rPr>
          <w:rFonts w:asciiTheme="minorHAnsi" w:hAnsiTheme="minorHAnsi"/>
        </w:rPr>
      </w:pPr>
      <w:r w:rsidRPr="006A6890">
        <w:rPr>
          <w:rFonts w:asciiTheme="minorHAnsi" w:hAnsiTheme="minorHAnsi"/>
        </w:rPr>
        <w:t xml:space="preserve">Kizárólag hazai anyavállalattal és leányvállalatokkal rendelkező intézménycsoportnak az összevont felügyeleti körbe tartozó intézmények vonatkozásában egyedi és összevont alapon is meg kell felelnie a belső tőkeszükséglet számítási követelményeknek. Ezen csoportok esetében közös döntéshozatali folyamat nincs. </w:t>
      </w:r>
    </w:p>
    <w:p w14:paraId="7FFFE814" w14:textId="77777777" w:rsidR="008A78E3" w:rsidRPr="006A6890" w:rsidRDefault="008A78E3" w:rsidP="00181755">
      <w:pPr>
        <w:jc w:val="center"/>
        <w:rPr>
          <w:rFonts w:asciiTheme="minorHAnsi" w:hAnsiTheme="minorHAnsi"/>
        </w:rPr>
      </w:pPr>
      <w:r w:rsidRPr="006A6890">
        <w:rPr>
          <w:rFonts w:asciiTheme="minorHAnsi" w:hAnsiTheme="minorHAnsi"/>
          <w:noProof/>
        </w:rPr>
        <w:drawing>
          <wp:inline distT="0" distB="0" distL="0" distR="0" wp14:anchorId="7FFFF085" wp14:editId="7FFFF086">
            <wp:extent cx="4527550" cy="2001520"/>
            <wp:effectExtent l="0" t="0" r="0" b="55880"/>
            <wp:docPr id="2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FFFE815" w14:textId="77777777" w:rsidR="008A78E3" w:rsidRPr="006A6890" w:rsidRDefault="008A78E3" w:rsidP="00181755">
      <w:pPr>
        <w:keepNext/>
        <w:rPr>
          <w:rFonts w:asciiTheme="minorHAnsi" w:hAnsiTheme="minorHAnsi"/>
          <w:b/>
          <w:i/>
        </w:rPr>
      </w:pPr>
      <w:r w:rsidRPr="006A6890">
        <w:rPr>
          <w:rFonts w:asciiTheme="minorHAnsi" w:hAnsiTheme="minorHAnsi"/>
          <w:b/>
          <w:i/>
        </w:rPr>
        <w:t>Likviditás megfelelőség értékelése</w:t>
      </w:r>
    </w:p>
    <w:p w14:paraId="7FFFE816" w14:textId="77777777" w:rsidR="008A78E3" w:rsidRPr="006A6890" w:rsidRDefault="008A78E3" w:rsidP="00AA57CA">
      <w:pPr>
        <w:rPr>
          <w:rFonts w:asciiTheme="minorHAnsi" w:hAnsiTheme="minorHAnsi"/>
        </w:rPr>
      </w:pPr>
      <w:r w:rsidRPr="006A6890">
        <w:rPr>
          <w:rFonts w:asciiTheme="minorHAnsi" w:hAnsiTheme="minorHAnsi"/>
        </w:rPr>
        <w:t xml:space="preserve">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7FFFE817" w14:textId="77777777" w:rsidR="008A78E3" w:rsidRDefault="008A78E3"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 teljes konszolidáció szintjén is indokoltnak tartja. Nemzetközi csoport esetében, kiemelt szerepet kap a likviditás szabad áramlását korlátozó operatív és jogi korlátok vizsgálata, illetve a likviditási pufferek és a potenciális kiáramlások devizális konzisztenciája. Az MNB Home hatóságként figyelembe veszi a leánybankok felügyeleti hatóságainak értékelését, Host hatóságként megjeleníti az egyedi kockázatokat a home felügyelet felé.</w:t>
      </w:r>
    </w:p>
    <w:p w14:paraId="7FFFE818" w14:textId="77777777" w:rsidR="008A78E3" w:rsidRPr="006A6890" w:rsidRDefault="008A78E3" w:rsidP="00AA57CA">
      <w:pPr>
        <w:rPr>
          <w:rFonts w:asciiTheme="minorHAnsi" w:hAnsiTheme="minorHAnsi"/>
        </w:rPr>
      </w:pPr>
    </w:p>
    <w:p w14:paraId="7FFFE819" w14:textId="77777777" w:rsidR="008A78E3" w:rsidRPr="006A6890" w:rsidRDefault="008A78E3" w:rsidP="00181755">
      <w:pPr>
        <w:pStyle w:val="Cmsor1"/>
      </w:pPr>
      <w:bookmarkStart w:id="255" w:name="_VI.1._Egyedi_szintű"/>
      <w:bookmarkStart w:id="256" w:name="_VI.2._Konszolidált_szintű"/>
      <w:bookmarkStart w:id="257" w:name="_VI.2.1_A_csoport"/>
      <w:bookmarkStart w:id="258" w:name="_VI.2.2_A_csoport"/>
      <w:bookmarkStart w:id="259" w:name="_Az_EU_szintű"/>
      <w:bookmarkStart w:id="260" w:name="_VI.3._Szubkonszolidált_szintű"/>
      <w:bookmarkStart w:id="261" w:name="_Együttműködés_más_felügyeleti"/>
      <w:bookmarkStart w:id="262" w:name="_A_felügyeleti_felülvizsgálati_1"/>
      <w:bookmarkStart w:id="263" w:name="_Toc378590304"/>
      <w:bookmarkStart w:id="264" w:name="_Toc378592146"/>
      <w:bookmarkStart w:id="265" w:name="_Toc461095171"/>
      <w:bookmarkStart w:id="266" w:name="_Toc461179203"/>
      <w:bookmarkStart w:id="267" w:name="_Toc461179827"/>
      <w:bookmarkStart w:id="268" w:name="_Toc461197744"/>
      <w:bookmarkStart w:id="269" w:name="_Toc461201270"/>
      <w:bookmarkStart w:id="270" w:name="_Toc461547894"/>
      <w:bookmarkStart w:id="271" w:name="_Toc462401922"/>
      <w:bookmarkStart w:id="272" w:name="_Toc462403043"/>
      <w:bookmarkStart w:id="273" w:name="_Toc462403367"/>
      <w:bookmarkStart w:id="274" w:name="_Toc468180486"/>
      <w:bookmarkStart w:id="275" w:name="_Toc468181018"/>
      <w:bookmarkStart w:id="276" w:name="_Toc468191416"/>
      <w:bookmarkStart w:id="277" w:name="_Toc45119926"/>
      <w:bookmarkStart w:id="278" w:name="_Toc58512209"/>
      <w:bookmarkStart w:id="279" w:name="_Toc158036630"/>
      <w:bookmarkEnd w:id="180"/>
      <w:bookmarkEnd w:id="181"/>
      <w:bookmarkEnd w:id="255"/>
      <w:bookmarkEnd w:id="256"/>
      <w:bookmarkEnd w:id="257"/>
      <w:bookmarkEnd w:id="258"/>
      <w:bookmarkEnd w:id="259"/>
      <w:bookmarkEnd w:id="260"/>
      <w:bookmarkEnd w:id="261"/>
      <w:bookmarkEnd w:id="262"/>
      <w:r w:rsidRPr="006A6890">
        <w:t>Az ICAAP vizsgálat fokozatai és a felügyelt intézmények csoportosítása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FFFE81A" w14:textId="77777777" w:rsidR="008A78E3" w:rsidRPr="006A6890" w:rsidRDefault="008A78E3" w:rsidP="00AA57CA">
      <w:pPr>
        <w:rPr>
          <w:rFonts w:asciiTheme="minorHAnsi" w:hAnsiTheme="minorHAnsi"/>
        </w:rPr>
      </w:pPr>
      <w:r w:rsidRPr="006A6890">
        <w:rPr>
          <w:rFonts w:asciiTheme="minorHAnsi" w:hAnsiTheme="minorHAnsi"/>
        </w:rPr>
        <w:t xml:space="preserve">A felülvizsgálat és az értékelés gyakoriságát, mértékét és részletezettségét az intézmények mérete, tevékenységének jelentősége, jellege, nagyságrendje és összetettsége, üzleti modellje és kockázatai alapján határozza meg az MNB azzal, hogy a felülvizsgálatot és az értékelést legalább évente egyszer el kell végezni. A felülvizsgálati folyamat mélysége, illetve az intézménnyel folytatott dialógus intenzitása szempontjából a felügyeleti felülvizsgálat három </w:t>
      </w:r>
      <w:r>
        <w:rPr>
          <w:rFonts w:asciiTheme="minorHAnsi" w:hAnsiTheme="minorHAnsi"/>
        </w:rPr>
        <w:t>típusa</w:t>
      </w:r>
      <w:r w:rsidRPr="006A6890">
        <w:rPr>
          <w:rFonts w:asciiTheme="minorHAnsi" w:hAnsiTheme="minorHAnsi"/>
        </w:rPr>
        <w:t xml:space="preserve"> különíthető el:</w:t>
      </w:r>
    </w:p>
    <w:p w14:paraId="7FFFE81B" w14:textId="77777777" w:rsidR="008A78E3" w:rsidRPr="009D41B1" w:rsidRDefault="008A78E3" w:rsidP="009D41B1">
      <w:pPr>
        <w:pStyle w:val="felsorolsos"/>
        <w:rPr>
          <w:rFonts w:ascii="Arial" w:hAnsi="Arial" w:cs="Arial"/>
          <w:sz w:val="20"/>
          <w:szCs w:val="20"/>
        </w:rPr>
      </w:pPr>
      <w:r w:rsidRPr="009D41B1">
        <w:t>teljeskörű ICAAP felülvizsgálat, melynek során az intézmény minden releváns kockázatára vonatkozóan kiértékeljük az ICAAP gyakorlatának megfelelőségét</w:t>
      </w:r>
    </w:p>
    <w:p w14:paraId="7FFFE81C" w14:textId="77777777" w:rsidR="008A78E3" w:rsidRPr="0055569D" w:rsidRDefault="008A78E3" w:rsidP="000B300F">
      <w:pPr>
        <w:pStyle w:val="felsorolsos"/>
        <w:rPr>
          <w:rFonts w:asciiTheme="minorHAnsi" w:hAnsiTheme="minorHAnsi"/>
        </w:rPr>
      </w:pPr>
      <w:r w:rsidRPr="009D41B1">
        <w:t>fókuszált ICAAP felülvizsgálat, mely során az ICAAP keretrendszer egyes részeinek vizsgálata kiemelt hangsúlyt kap, más részeket az MNB egyszerűbb módszerekkel, pl. benchmark modellek alkalmazásával ellenőriz.</w:t>
      </w:r>
    </w:p>
    <w:p w14:paraId="7FFFE81D" w14:textId="77777777" w:rsidR="008A78E3" w:rsidRPr="006A6890" w:rsidRDefault="008A78E3" w:rsidP="00181755">
      <w:pPr>
        <w:pStyle w:val="felsorolsos"/>
        <w:rPr>
          <w:rFonts w:asciiTheme="minorHAnsi" w:hAnsiTheme="minorHAnsi"/>
        </w:rPr>
      </w:pPr>
      <w:r w:rsidRPr="006A6890">
        <w:rPr>
          <w:rFonts w:asciiTheme="minorHAnsi" w:hAnsiTheme="minorHAnsi"/>
        </w:rPr>
        <w:t>egyszerűsített ICAAP felülvizsgálat, melynek keretében a felülvizsgálat az intézmény által kitöltött és az MNB által kiértékelt kérdőív segítségével történik.</w:t>
      </w:r>
    </w:p>
    <w:p w14:paraId="7FFFE81E" w14:textId="77777777" w:rsidR="008A78E3" w:rsidRDefault="008A78E3" w:rsidP="00AA57CA">
      <w:pPr>
        <w:rPr>
          <w:rFonts w:asciiTheme="minorHAnsi" w:hAnsiTheme="minorHAnsi"/>
        </w:rPr>
      </w:pPr>
      <w:r w:rsidRPr="006A6890">
        <w:rPr>
          <w:rFonts w:asciiTheme="minorHAnsi" w:hAnsiTheme="minorHAnsi"/>
        </w:rPr>
        <w:t>Az MNB évente határozza meg, hogy az egyes intézmények esetében milyen mélységű felülvizsgálati folyamatot lát indokoltnak.</w:t>
      </w:r>
    </w:p>
    <w:p w14:paraId="7FFFE81F" w14:textId="77777777" w:rsidR="008A78E3" w:rsidRPr="006A6890" w:rsidRDefault="008A78E3" w:rsidP="00AA57CA">
      <w:pPr>
        <w:rPr>
          <w:rFonts w:asciiTheme="minorHAnsi" w:hAnsiTheme="minorHAnsi"/>
        </w:rPr>
      </w:pPr>
    </w:p>
    <w:p w14:paraId="7FFFE820" w14:textId="77777777" w:rsidR="008A78E3" w:rsidRPr="006A6890" w:rsidRDefault="008A78E3" w:rsidP="00181755">
      <w:pPr>
        <w:pStyle w:val="Cmsor1"/>
      </w:pPr>
      <w:bookmarkStart w:id="280" w:name="_II._Általános_elvárások"/>
      <w:bookmarkStart w:id="281" w:name="_Toc378590308"/>
      <w:bookmarkStart w:id="282" w:name="_Toc378592150"/>
      <w:bookmarkStart w:id="283" w:name="_Toc461095175"/>
      <w:bookmarkStart w:id="284" w:name="_Toc461179207"/>
      <w:bookmarkStart w:id="285" w:name="_Toc461179831"/>
      <w:bookmarkStart w:id="286" w:name="_Toc461197748"/>
      <w:bookmarkStart w:id="287" w:name="_Toc461201274"/>
      <w:bookmarkStart w:id="288" w:name="_Toc461547899"/>
      <w:bookmarkStart w:id="289" w:name="_Toc462401927"/>
      <w:bookmarkStart w:id="290" w:name="_Toc462403048"/>
      <w:bookmarkStart w:id="291" w:name="_Toc462403372"/>
      <w:bookmarkStart w:id="292" w:name="_Toc468180491"/>
      <w:bookmarkStart w:id="293" w:name="_Toc468181023"/>
      <w:bookmarkStart w:id="294" w:name="_Toc468191420"/>
      <w:bookmarkStart w:id="295" w:name="_Toc45119927"/>
      <w:bookmarkStart w:id="296" w:name="_Toc58512210"/>
      <w:bookmarkStart w:id="297" w:name="_Toc158036631"/>
      <w:bookmarkEnd w:id="280"/>
      <w:r w:rsidRPr="006A6890">
        <w:t>Az ICAAP, az ILAAP és a BMA vizsgálat folyamata</w:t>
      </w:r>
      <w:bookmarkEnd w:id="281"/>
      <w:bookmarkEnd w:id="282"/>
      <w:bookmarkEnd w:id="283"/>
      <w:bookmarkEnd w:id="284"/>
      <w:bookmarkEnd w:id="285"/>
      <w:bookmarkEnd w:id="286"/>
      <w:bookmarkEnd w:id="287"/>
      <w:bookmarkEnd w:id="288"/>
      <w:r>
        <w:rPr>
          <w:rStyle w:val="Lbjegyzet-hivatkozs"/>
          <w:rFonts w:asciiTheme="minorHAnsi" w:hAnsiTheme="minorHAnsi"/>
        </w:rPr>
        <w:footnoteReference w:id="13"/>
      </w:r>
      <w:bookmarkEnd w:id="289"/>
      <w:bookmarkEnd w:id="290"/>
      <w:bookmarkEnd w:id="291"/>
      <w:bookmarkEnd w:id="292"/>
      <w:bookmarkEnd w:id="293"/>
      <w:bookmarkEnd w:id="294"/>
      <w:bookmarkEnd w:id="295"/>
      <w:bookmarkEnd w:id="296"/>
      <w:bookmarkEnd w:id="297"/>
    </w:p>
    <w:p w14:paraId="7FFFE821" w14:textId="77777777" w:rsidR="008A78E3" w:rsidRPr="006A6890" w:rsidRDefault="008A78E3" w:rsidP="00AA57CA">
      <w:pPr>
        <w:rPr>
          <w:rFonts w:asciiTheme="minorHAnsi" w:hAnsiTheme="minorHAnsi"/>
        </w:rPr>
      </w:pPr>
      <w:r w:rsidRPr="006A6890">
        <w:rPr>
          <w:rFonts w:asciiTheme="minorHAnsi" w:hAnsiTheme="minorHAnsi"/>
        </w:rPr>
        <w:t>Főszabályként az ICAAP, az ILAAP</w:t>
      </w:r>
      <w:r>
        <w:rPr>
          <w:rFonts w:asciiTheme="minorHAnsi" w:hAnsiTheme="minorHAnsi"/>
        </w:rPr>
        <w:t>,</w:t>
      </w:r>
      <w:r w:rsidRPr="006A6890">
        <w:rPr>
          <w:rFonts w:asciiTheme="minorHAnsi" w:hAnsiTheme="minorHAnsi"/>
        </w:rPr>
        <w:t xml:space="preserve"> valamint a BMA vizsgálatokra évente kerül sor. Az MNB minden év végén vizsgálati tervet dolgoz ki, melyben meghatározza a következő év vizsgálati ütemtervét és a vizsgálatok mélységét. A tervezés során az MNB-nek tekintettel kell lennie a nemzetközi intézménycsoportok esetén a közös döntési eljárásokra is. </w:t>
      </w:r>
    </w:p>
    <w:p w14:paraId="7FFFE822" w14:textId="77777777" w:rsidR="008A78E3" w:rsidRPr="006A6890" w:rsidRDefault="008A78E3" w:rsidP="00AA57CA">
      <w:pPr>
        <w:rPr>
          <w:rFonts w:asciiTheme="minorHAnsi" w:hAnsiTheme="minorHAnsi"/>
        </w:rPr>
      </w:pPr>
      <w:r w:rsidRPr="006A6890">
        <w:rPr>
          <w:rFonts w:asciiTheme="minorHAnsi" w:hAnsiTheme="minorHAnsi"/>
        </w:rPr>
        <w:t xml:space="preserve">Az MNB fenntartja azonban magának a jogot, hogy az éves vizsgálatok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tervezettől eltérő időpontban (akár két, éves ICAAP, vagy ILAAP vizsgálat között is). </w:t>
      </w:r>
    </w:p>
    <w:p w14:paraId="7FFFE823" w14:textId="77777777" w:rsidR="008A78E3" w:rsidRDefault="008A78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7FFFE824" w14:textId="77777777" w:rsidR="008A78E3" w:rsidRPr="006A6890" w:rsidRDefault="008A78E3" w:rsidP="00AA57CA">
      <w:pPr>
        <w:rPr>
          <w:rFonts w:asciiTheme="minorHAnsi" w:hAnsiTheme="minorHAnsi"/>
        </w:rPr>
      </w:pPr>
    </w:p>
    <w:p w14:paraId="7FFFE825" w14:textId="77777777" w:rsidR="008A78E3" w:rsidRPr="0055569D" w:rsidRDefault="008A78E3" w:rsidP="009F4CDA">
      <w:pPr>
        <w:pStyle w:val="Cmsor2"/>
      </w:pPr>
      <w:bookmarkStart w:id="298" w:name="_Toc468181024"/>
      <w:bookmarkStart w:id="299" w:name="_Toc461195766"/>
      <w:bookmarkStart w:id="300" w:name="_Toc461524849"/>
      <w:bookmarkStart w:id="301" w:name="_Toc461547900"/>
      <w:bookmarkStart w:id="302" w:name="_Toc461550193"/>
      <w:bookmarkStart w:id="303" w:name="_Toc462401928"/>
      <w:bookmarkStart w:id="304" w:name="_Toc462403049"/>
      <w:bookmarkStart w:id="305" w:name="_Toc462403374"/>
      <w:bookmarkStart w:id="306" w:name="_Toc462403803"/>
      <w:bookmarkStart w:id="307" w:name="_Toc462645671"/>
      <w:bookmarkStart w:id="308" w:name="_Toc468180493"/>
      <w:bookmarkStart w:id="309" w:name="_Toc468181025"/>
      <w:bookmarkStart w:id="310" w:name="_A_SREP_előkészítése"/>
      <w:bookmarkStart w:id="311" w:name="_Toc378590309"/>
      <w:bookmarkStart w:id="312" w:name="_Toc378592151"/>
      <w:bookmarkStart w:id="313" w:name="_Toc461095176"/>
      <w:bookmarkStart w:id="314" w:name="_Toc461179208"/>
      <w:bookmarkStart w:id="315" w:name="_Toc461179832"/>
      <w:bookmarkStart w:id="316" w:name="_Toc461547901"/>
      <w:bookmarkStart w:id="317" w:name="_Toc462401929"/>
      <w:bookmarkStart w:id="318" w:name="_Toc462403050"/>
      <w:bookmarkStart w:id="319" w:name="_Toc462403375"/>
      <w:bookmarkStart w:id="320" w:name="_Toc468180494"/>
      <w:bookmarkStart w:id="321" w:name="_Toc468181026"/>
      <w:bookmarkStart w:id="322" w:name="_Toc468191421"/>
      <w:bookmarkStart w:id="323" w:name="_Toc45119928"/>
      <w:bookmarkStart w:id="324" w:name="_Toc58512211"/>
      <w:bookmarkStart w:id="325" w:name="_Toc158036632"/>
      <w:bookmarkEnd w:id="298"/>
      <w:bookmarkEnd w:id="299"/>
      <w:bookmarkEnd w:id="300"/>
      <w:bookmarkEnd w:id="301"/>
      <w:bookmarkEnd w:id="302"/>
      <w:bookmarkEnd w:id="303"/>
      <w:bookmarkEnd w:id="304"/>
      <w:bookmarkEnd w:id="305"/>
      <w:bookmarkEnd w:id="306"/>
      <w:bookmarkEnd w:id="307"/>
      <w:bookmarkEnd w:id="308"/>
      <w:bookmarkEnd w:id="309"/>
      <w:bookmarkEnd w:id="310"/>
      <w:r w:rsidRPr="0055569D">
        <w:t>Az ICAAP, az ILAAP és a BMA vizsgálat előkészítése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FFFE826" w14:textId="77777777" w:rsidR="008A78E3" w:rsidRPr="006A6890" w:rsidRDefault="008A78E3" w:rsidP="00AA57CA">
      <w:pPr>
        <w:rPr>
          <w:rFonts w:asciiTheme="minorHAnsi" w:hAnsiTheme="minorHAnsi"/>
        </w:rPr>
      </w:pPr>
      <w:r w:rsidRPr="006A6890">
        <w:rPr>
          <w:rFonts w:asciiTheme="minorHAnsi" w:hAnsiTheme="minorHAnsi"/>
        </w:rPr>
        <w:t xml:space="preserve">A vonatkozó hazai és európai jogszabályok az ICAAP és ILAAP felügyeleti felülvizsgálatok évente történő végrehajtását írják elő. A folyamat hatékony lebonyolítása és sikere érdekében az MNB a társfelügyeletekkel egyeztetve a tárgyévet megelőző év végén előre meghatározza a felügyeleti felülvizsgálatok éves menetrendjét. </w:t>
      </w:r>
    </w:p>
    <w:p w14:paraId="7FFFE827" w14:textId="77777777" w:rsidR="008A78E3" w:rsidRDefault="008A78E3" w:rsidP="00AA57CA">
      <w:pPr>
        <w:rPr>
          <w:rFonts w:asciiTheme="minorHAnsi" w:hAnsiTheme="minorHAnsi"/>
        </w:rPr>
      </w:pPr>
      <w:r w:rsidRPr="006A6890">
        <w:rPr>
          <w:rFonts w:asciiTheme="minorHAnsi" w:hAnsiTheme="minorHAnsi"/>
        </w:rPr>
        <w:t xml:space="preserve">Az MNB a vizsgálatokat megelőzően kellő időben tájékoztatja az érintett intézményeket a vizsgálat pontos időpontjáról, a szükséges dokumentáció bekéréséről, valamint a prezentációs és egyéb, vizsgálathoz kapcsolódó technikai igényéről. </w:t>
      </w:r>
    </w:p>
    <w:p w14:paraId="7FFFE828" w14:textId="77777777" w:rsidR="008A78E3" w:rsidRPr="006A6890" w:rsidRDefault="008A78E3" w:rsidP="00AA57CA">
      <w:pPr>
        <w:rPr>
          <w:rFonts w:asciiTheme="minorHAnsi" w:hAnsiTheme="minorHAnsi"/>
        </w:rPr>
      </w:pPr>
    </w:p>
    <w:p w14:paraId="7FFFE829" w14:textId="77777777" w:rsidR="008A78E3" w:rsidRPr="0055569D" w:rsidRDefault="008A78E3" w:rsidP="009F4CDA">
      <w:pPr>
        <w:pStyle w:val="Cmsor2"/>
      </w:pPr>
      <w:bookmarkStart w:id="326" w:name="_Toc461195768"/>
      <w:bookmarkStart w:id="327" w:name="_Toc461197750"/>
      <w:bookmarkStart w:id="328" w:name="_Toc461201276"/>
      <w:bookmarkStart w:id="329" w:name="_Toc461547902"/>
      <w:bookmarkStart w:id="330" w:name="_Toc462401930"/>
      <w:bookmarkStart w:id="331" w:name="_Toc462403051"/>
      <w:bookmarkStart w:id="332" w:name="_Toc462403376"/>
      <w:bookmarkStart w:id="333" w:name="_Toc468180495"/>
      <w:bookmarkStart w:id="334" w:name="_Toc468181027"/>
      <w:bookmarkStart w:id="335" w:name="_Toc468191422"/>
      <w:bookmarkStart w:id="336" w:name="_Toc45119929"/>
      <w:bookmarkStart w:id="337" w:name="_Toc58512212"/>
      <w:bookmarkStart w:id="338" w:name="_Toc158036633"/>
      <w:bookmarkEnd w:id="326"/>
      <w:r w:rsidRPr="0055569D">
        <w:t>Az ICAAP, az ILAAP és a BMA vizsgálatok dokumentációjának bekérése</w:t>
      </w:r>
      <w:bookmarkStart w:id="339" w:name="_Az_ICAAP-dokumentáció_bekérése"/>
      <w:bookmarkStart w:id="340" w:name="_Toc468181028"/>
      <w:bookmarkStart w:id="341" w:name="_Toc461179209"/>
      <w:bookmarkStart w:id="342" w:name="_Toc461179833"/>
      <w:bookmarkEnd w:id="327"/>
      <w:bookmarkEnd w:id="328"/>
      <w:bookmarkEnd w:id="329"/>
      <w:bookmarkEnd w:id="330"/>
      <w:bookmarkEnd w:id="331"/>
      <w:bookmarkEnd w:id="332"/>
      <w:bookmarkEnd w:id="333"/>
      <w:bookmarkEnd w:id="334"/>
      <w:bookmarkEnd w:id="335"/>
      <w:bookmarkEnd w:id="336"/>
      <w:bookmarkEnd w:id="337"/>
      <w:bookmarkEnd w:id="339"/>
      <w:bookmarkEnd w:id="340"/>
      <w:bookmarkEnd w:id="338"/>
    </w:p>
    <w:bookmarkEnd w:id="341"/>
    <w:bookmarkEnd w:id="342"/>
    <w:p w14:paraId="7FFFE82A" w14:textId="77777777" w:rsidR="008A78E3" w:rsidRPr="006A6890" w:rsidRDefault="008A78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 és ILAAP dokumentációt,</w:t>
      </w:r>
      <w:r>
        <w:rPr>
          <w:rStyle w:val="Lbjegyzet-hivatkozs"/>
          <w:rFonts w:asciiTheme="minorHAnsi" w:hAnsiTheme="minorHAnsi"/>
        </w:rPr>
        <w:footnoteReference w:id="14"/>
      </w:r>
      <w:r w:rsidRPr="006A6890">
        <w:rPr>
          <w:rFonts w:asciiTheme="minorHAnsi" w:hAnsiTheme="minorHAnsi"/>
        </w:rPr>
        <w:t xml:space="preserve"> valamint a BMA vizsgálattal kapcsolatban stratégiát és üzleti tervet vár el. A dokumentációban foglaltaknak igazodniuk kell a felügyeleti módszertani kézikönyvben lefektetett elvárásokhoz. Az EBA ajánlás</w:t>
      </w:r>
      <w:r>
        <w:rPr>
          <w:rStyle w:val="Lbjegyzet-hivatkozs"/>
          <w:rFonts w:asciiTheme="minorHAnsi" w:hAnsiTheme="minorHAnsi"/>
        </w:rPr>
        <w:footnoteReference w:id="15"/>
      </w:r>
      <w:r w:rsidRPr="006A6890">
        <w:rPr>
          <w:rFonts w:asciiTheme="minorHAnsi" w:hAnsiTheme="minorHAnsi"/>
        </w:rPr>
        <w:t xml:space="preserve"> alapján évente felülvizsgált ICAAP és ILAAP dokumentációval kapcsolatban az MNB különösen a következőket várja el:</w:t>
      </w:r>
    </w:p>
    <w:p w14:paraId="7FFFE82B"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az adott intézmény ICAAP és ILAAP módszertani útmutatóját, amely részletesen bemutatja kockázattípusonként az implementált megközelítéseket, a kockázatkezelési eljárásokat és a tőkekövetelmény számítási módszertanokat, az 1. pilléres kezelésmódtól való eltérés indokát, valamint pontos hivatkozásokat tartalmaz az ICAAP, illetve az ILAAP dokumentáció összes elemére,</w:t>
      </w:r>
    </w:p>
    <w:p w14:paraId="7FFFE82C"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ICAAP/ILAAP módszertani útmutatóban ismertetni kell az ICAAP/ILAAP keretrendszert, és annak kiterjedési körét,</w:t>
      </w:r>
    </w:p>
    <w:p w14:paraId="7FFFE82D"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intézmények ICAAP/ILAAP módszertani útmutatójának kellően átfogónak kell lennie, és az intézmény számára valamennyi releváns kockázatot és annak kezelésmódját magában kell foglalnia; tartalmazza az ICAAP Felülvizsgálati Menetrendben megjelölt kötelező elemeket,</w:t>
      </w:r>
    </w:p>
    <w:p w14:paraId="7FFFE82E"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bemutató ún. SREP áttekintő lapot,</w:t>
      </w:r>
    </w:p>
    <w:p w14:paraId="7FFFE82F"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ILAAP dokumentációnak tartalmaznia kell a likviditási többlet-követelmények teljesítésének vizsgált időszakra vonatkozó alátámasztását,</w:t>
      </w:r>
    </w:p>
    <w:p w14:paraId="7FFFE830"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ICAAP, illetve az ILAAP részének.</w:t>
      </w:r>
    </w:p>
    <w:p w14:paraId="7FFFE831" w14:textId="77777777" w:rsidR="008A78E3" w:rsidRPr="001B0FD9" w:rsidRDefault="008A78E3" w:rsidP="001B0FD9">
      <w:pPr>
        <w:ind w:left="360"/>
        <w:rPr>
          <w:rFonts w:asciiTheme="minorHAnsi" w:hAnsiTheme="minorHAnsi"/>
        </w:rPr>
      </w:pPr>
      <w:r w:rsidRPr="001B0FD9">
        <w:rPr>
          <w:rFonts w:asciiTheme="minorHAnsi" w:hAnsiTheme="minorHAnsi"/>
        </w:rPr>
        <w:t>A BMA vizsgálat keretében az MNB a stratégiával és üzleti tervvel kapcsolatban a következőket várja el:</w:t>
      </w:r>
    </w:p>
    <w:p w14:paraId="7FFFE832"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legalább éves gyakorisággal – legalább részben – felülvizsgálatra kerüljön,</w:t>
      </w:r>
    </w:p>
    <w:p w14:paraId="7FFFE833"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 főbb stratégiai irányokat és célkitűzéseket,</w:t>
      </w:r>
    </w:p>
    <w:p w14:paraId="7FFFE834"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legyen összhangban az intézmény által kinyilvánított kockázati étvággyal,</w:t>
      </w:r>
    </w:p>
    <w:p w14:paraId="7FFFE835"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az üzleti környezet (pl. makrokörnyezet, szabályozói környezet, versenyhelyzet) elemzését,</w:t>
      </w:r>
    </w:p>
    <w:p w14:paraId="7FFFE836"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képezze részét a főbb mérleg és eredménykimutatás tételekre vonatkozó minimum 3 éves időhorizontra előretekintő előrejelzés, </w:t>
      </w:r>
    </w:p>
    <w:p w14:paraId="7FFFE837"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előrejelzések készítése során használt főbb feltételezéseket, </w:t>
      </w:r>
    </w:p>
    <w:p w14:paraId="7FFFE838"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alkalmazott adatok, feltevések, módszerek jól kidolgozottak és dokumentáltak legyenek,</w:t>
      </w:r>
    </w:p>
    <w:p w14:paraId="7FFFE839"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azonosítsa a főbb versenyelőnyöket, sebezhetőségi pontokat és a megvalósításhoz kapcsolódó főbb kockázatokat,</w:t>
      </w:r>
    </w:p>
    <w:p w14:paraId="7FFFE83A"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 tervek megvalósításához kapcsolódó folyamatban lévő és tervezett lényegesebb intézkedéseket, </w:t>
      </w:r>
    </w:p>
    <w:p w14:paraId="7FFFE83B" w14:textId="77777777" w:rsidR="008A78E3" w:rsidRPr="006A6890" w:rsidRDefault="008A78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tervek teljesülése utólag kerüljön visszamérésre.</w:t>
      </w:r>
    </w:p>
    <w:p w14:paraId="7FFFE83C" w14:textId="77777777" w:rsidR="008A78E3" w:rsidRPr="006A6890" w:rsidRDefault="008A78E3" w:rsidP="00AA57CA">
      <w:pPr>
        <w:rPr>
          <w:rFonts w:asciiTheme="minorHAnsi" w:hAnsiTheme="minorHAnsi"/>
        </w:rPr>
      </w:pPr>
      <w:r w:rsidRPr="006A6890">
        <w:rPr>
          <w:rFonts w:asciiTheme="minorHAnsi" w:hAnsiTheme="minorHAnsi"/>
        </w:rPr>
        <w:t>Az MNB az ICAAP-ILAAP-BMA vizsgálatokhoz kapcsolódó részletes dokumentációs igényét a vizsgálatokat megelőzően (kellő időben) megküldi az intézményeknek. Az MNB továbbá a kiértesítő levélben egyértelműen megjelöli, hogy milyen intézményi körre (konszolidált, szubkonszolidált vagy egyedi), mikori időpontra várja a szükséges dokumentumok Felügyelet felé történő beküldését, illetve meghatározza, hogy az adatokat és számításokat milyen formában (esetenként konkrét excel sablon alapján), illetve milyen referencia időpontra vonatkozóan kéri.</w:t>
      </w:r>
      <w:r>
        <w:rPr>
          <w:rFonts w:asciiTheme="minorHAnsi" w:hAnsiTheme="minorHAnsi"/>
        </w:rPr>
        <w:t xml:space="preserve"> </w:t>
      </w:r>
      <w:r w:rsidRPr="001F719A">
        <w:rPr>
          <w:rFonts w:asciiTheme="minorHAnsi" w:hAnsiTheme="minorHAnsi"/>
        </w:rPr>
        <w:t>Az MNB a beadott adatok minőségére és a határidők betartására kiemelt figyelmet fordít</w:t>
      </w:r>
      <w:r w:rsidRPr="00C84FC5">
        <w:rPr>
          <w:rFonts w:asciiTheme="minorHAnsi" w:hAnsiTheme="minorHAnsi"/>
        </w:rPr>
        <w:t>, a már korábbi felülvizsgálat során is fennálló, az Intézmény felé a vizsgálati jelentésben jelzett, vagy materiális tőkekövetelmény hatással járó, vagy a vizsgálat gördülékeny lebonyolítását, a kockázatok helyes számítását akadályozó</w:t>
      </w:r>
      <w:r w:rsidRPr="001F719A">
        <w:rPr>
          <w:rFonts w:asciiTheme="minorHAnsi" w:hAnsiTheme="minorHAnsi"/>
        </w:rPr>
        <w:t xml:space="preserve"> </w:t>
      </w:r>
      <w:r>
        <w:rPr>
          <w:rFonts w:asciiTheme="minorHAnsi" w:hAnsiTheme="minorHAnsi"/>
        </w:rPr>
        <w:t>nem megfelelő adatminőség esetén</w:t>
      </w:r>
      <w:r w:rsidRPr="001F719A">
        <w:rPr>
          <w:rFonts w:asciiTheme="minorHAnsi" w:hAnsiTheme="minorHAnsi"/>
        </w:rPr>
        <w:t xml:space="preserve"> a felülvizsgálati eljárás során tőkekövetelmény-többletet is előírhat.</w:t>
      </w:r>
    </w:p>
    <w:p w14:paraId="7FFFE83D" w14:textId="77777777" w:rsidR="008A78E3" w:rsidRPr="006A6890" w:rsidRDefault="008A78E3" w:rsidP="00FB7B91">
      <w:pPr>
        <w:rPr>
          <w:rFonts w:asciiTheme="minorHAnsi" w:hAnsiTheme="minorHAnsi"/>
        </w:rPr>
      </w:pPr>
      <w:r w:rsidRPr="006A6890">
        <w:rPr>
          <w:rFonts w:asciiTheme="minorHAnsi" w:hAnsiTheme="minorHAnsi"/>
        </w:rPr>
        <w:t xml:space="preserve">Az ICAAP felülvizsgálatok keretében a vizsgálati szakaszban az intézménnyel folytatott párbeszéd személyre szabott jellege és intenzitása, valamint a vizsgálat típusa az MNB részére történő további információátadást tehet szükségessé. </w:t>
      </w:r>
      <w:r>
        <w:rPr>
          <w:rFonts w:asciiTheme="minorHAnsi" w:hAnsiTheme="minorHAnsi"/>
        </w:rPr>
        <w:t>Az MNB a felülvizsgálat bármely szakaszában aktualizált ICAAP/ILAAP információkat kérhet, ha megítélése szerint releváns információk időközben elavultak.</w:t>
      </w:r>
    </w:p>
    <w:p w14:paraId="7FFFE83E" w14:textId="77777777" w:rsidR="008A78E3" w:rsidRPr="006A6890" w:rsidRDefault="008A78E3" w:rsidP="00AA57CA">
      <w:pPr>
        <w:rPr>
          <w:rFonts w:asciiTheme="minorHAnsi" w:hAnsiTheme="minorHAnsi"/>
        </w:rPr>
      </w:pPr>
    </w:p>
    <w:p w14:paraId="7FFFE83F" w14:textId="77777777" w:rsidR="008A78E3" w:rsidRPr="0055569D" w:rsidRDefault="008A78E3" w:rsidP="009F4CDA">
      <w:pPr>
        <w:pStyle w:val="Cmsor2"/>
      </w:pPr>
      <w:bookmarkStart w:id="343" w:name="_Toc461195770"/>
      <w:bookmarkStart w:id="344" w:name="_Toc461524853"/>
      <w:bookmarkStart w:id="345" w:name="_Toc461547904"/>
      <w:bookmarkStart w:id="346" w:name="_Toc461550197"/>
      <w:bookmarkStart w:id="347" w:name="_Toc462401932"/>
      <w:bookmarkStart w:id="348" w:name="_Toc462403053"/>
      <w:bookmarkStart w:id="349" w:name="_Toc462403378"/>
      <w:bookmarkStart w:id="350" w:name="_Toc462403807"/>
      <w:bookmarkStart w:id="351" w:name="_Toc462645675"/>
      <w:bookmarkStart w:id="352" w:name="_Toc468180497"/>
      <w:bookmarkStart w:id="353" w:name="_Toc468181029"/>
      <w:bookmarkStart w:id="354" w:name="_A_belső_tőkemegfelelés"/>
      <w:bookmarkStart w:id="355" w:name="_Toc378590311"/>
      <w:bookmarkStart w:id="356" w:name="_Toc378592153"/>
      <w:bookmarkStart w:id="357" w:name="_Toc461095178"/>
      <w:bookmarkStart w:id="358" w:name="_Toc461179210"/>
      <w:bookmarkStart w:id="359" w:name="_Toc461179834"/>
      <w:bookmarkStart w:id="360" w:name="_Toc461547905"/>
      <w:bookmarkStart w:id="361" w:name="_Toc462401933"/>
      <w:bookmarkStart w:id="362" w:name="_Toc462403054"/>
      <w:bookmarkStart w:id="363" w:name="_Toc462403379"/>
      <w:bookmarkStart w:id="364" w:name="_Toc468180498"/>
      <w:bookmarkStart w:id="365" w:name="_Toc468181030"/>
      <w:bookmarkStart w:id="366" w:name="_Toc468191423"/>
      <w:bookmarkStart w:id="367" w:name="_Toc45119930"/>
      <w:bookmarkStart w:id="368" w:name="_Toc58512213"/>
      <w:bookmarkStart w:id="369" w:name="_Toc158036634"/>
      <w:bookmarkEnd w:id="343"/>
      <w:bookmarkEnd w:id="344"/>
      <w:bookmarkEnd w:id="345"/>
      <w:bookmarkEnd w:id="346"/>
      <w:bookmarkEnd w:id="347"/>
      <w:bookmarkEnd w:id="348"/>
      <w:bookmarkEnd w:id="349"/>
      <w:bookmarkEnd w:id="350"/>
      <w:bookmarkEnd w:id="351"/>
      <w:bookmarkEnd w:id="352"/>
      <w:bookmarkEnd w:id="353"/>
      <w:bookmarkEnd w:id="354"/>
      <w:r w:rsidRPr="0055569D">
        <w:t>Az ICAAP, az ILAAP és a BMA vizsgálat felügyeleti értékelése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7FFFE840" w14:textId="77777777" w:rsidR="008A78E3" w:rsidRPr="006A6890" w:rsidRDefault="008A78E3" w:rsidP="00AA57CA">
      <w:pPr>
        <w:rPr>
          <w:rFonts w:asciiTheme="minorHAnsi" w:hAnsiTheme="minorHAnsi"/>
        </w:rPr>
      </w:pPr>
      <w:r w:rsidRPr="006A6890">
        <w:rPr>
          <w:rFonts w:asciiTheme="minorHAnsi" w:hAnsiTheme="minorHAnsi"/>
        </w:rPr>
        <w:t>Az intézmények által végzett saját és a felügyeleti értékelés szorosan összekapcsolódik, hiszen a vizsgálatok eredményével és a gazdasági tőkeszükséglet mértékével kapcsolatban az MNB minden felügyelt intézmény esetében párbeszédet folytat. Ennek kezdeti lépését a szükséges dokumentáció MNB-hez való eljuttatása képezi, legnagyobb részét pedig a vizsgálat során folytatott dialógus (helyszíni vizsgálattal egybekötve vagy anélkül), valamint az azt követő írásos és/vagy szóbeli egyeztetések teszik ki. A párbeszéd lezáró momentuma a vizsgálattal kapcsolatos végleges MNB álláspont kialakítása. A párbeszéd intenzitása elsősorban az MNB vizsgálat típusától, az adott intézmény tevékenységének összetettségétől, illetve a két fél értékelése között mutatkozó különbségek mértékétől függ.  A teljeskörű vizsgálatok keretében az MNB célja a párbeszéd további erősítése, és az intézmények módszertanának alaposabb megértése. A fókuszált vizsgálatok keretében az MNB a 2. pilléres tőkekövetelmény-számítás meghatározására összpontosít a legnagyobb tőkekövetelménnyel járó kockázatok esetében. Az egyszerűsített ICAAP felülvizsgálat esetén az MNB kérdőívet küld ki az intézményeknek, amelyeket a kérdőív kérdéseire adott válaszokat alátámasztó dokumentációval kell megküldeni. A válaszok kiértékelése után az MNB írásban egyeztet az intézménnyel az esetleges nagyobb eltérésekről.</w:t>
      </w:r>
    </w:p>
    <w:p w14:paraId="7FFFE841" w14:textId="77777777" w:rsidR="008A78E3" w:rsidRPr="006A6890" w:rsidRDefault="008A78E3" w:rsidP="00AA57CA">
      <w:pPr>
        <w:rPr>
          <w:rFonts w:asciiTheme="minorHAnsi" w:hAnsiTheme="minorHAnsi"/>
        </w:rPr>
      </w:pPr>
      <w:r w:rsidRPr="006A6890">
        <w:rPr>
          <w:rFonts w:asciiTheme="minorHAnsi" w:hAnsiTheme="minorHAnsi"/>
        </w:rPr>
        <w:t xml:space="preserve">Az ICAAP felülvizsgálati párbeszéd célja az általános felügyeleti elvárások minél tisztább érvényesítése a gazdasági tőkeszámítás során. A módszertani szabadság jegyében az MNB minden következetes, megalapozott és kellően konzervatív belső tőkeszámítási megközelítést, eljárást és módszertant elfogadhatónak tart, azonban a vizsgálati folyamatok harmonizálásának biztosítása érdekében előzetesen kidolgozott módszertant követve, esetenként felügyeleti benchmarking modelleket alkalmazva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kézikönyvekben lefektetésre kerülnek, más részük azonban csak az intézményi kapcsolatok fokozatos fejlődése során, gyakorlati megoldásokban és eljárási hagyományokban tud kikristályosodni. </w:t>
      </w:r>
    </w:p>
    <w:p w14:paraId="7FFFE842" w14:textId="77777777" w:rsidR="008A78E3" w:rsidRPr="006A6890" w:rsidRDefault="008A78E3" w:rsidP="00AA57CA">
      <w:pPr>
        <w:rPr>
          <w:rFonts w:asciiTheme="minorHAnsi" w:hAnsiTheme="minorHAnsi"/>
        </w:rPr>
      </w:pPr>
      <w:r w:rsidRPr="006A6890">
        <w:rPr>
          <w:rFonts w:asciiTheme="minorHAnsi" w:hAnsiTheme="minorHAnsi"/>
        </w:rPr>
        <w:t xml:space="preserve">Az ILAAP felülvizsgálattal kapcsolatos párbeszéd célja mind felügyeleti elvárások hatékony és proaktív érvényesítése, mind a felügyelt intézmények támogatása. </w:t>
      </w:r>
    </w:p>
    <w:p w14:paraId="7FFFE843" w14:textId="77777777" w:rsidR="008A78E3" w:rsidRPr="0055569D" w:rsidRDefault="008A78E3" w:rsidP="009F4CDA">
      <w:pPr>
        <w:pStyle w:val="Cmsor2"/>
      </w:pPr>
      <w:bookmarkStart w:id="370" w:name="_A_kockázatcsökkentő_intézkedések"/>
      <w:bookmarkStart w:id="371" w:name="_Toc378590312"/>
      <w:bookmarkStart w:id="372" w:name="_Toc378592154"/>
      <w:bookmarkStart w:id="373" w:name="_Toc461095179"/>
      <w:bookmarkStart w:id="374" w:name="_Toc461197752"/>
      <w:bookmarkStart w:id="375" w:name="_Toc461201278"/>
      <w:bookmarkStart w:id="376" w:name="_Toc461547906"/>
      <w:bookmarkStart w:id="377" w:name="_Toc462401934"/>
      <w:bookmarkStart w:id="378" w:name="_Toc462403055"/>
      <w:bookmarkStart w:id="379" w:name="_Toc462403380"/>
      <w:bookmarkStart w:id="380" w:name="_Toc468180499"/>
      <w:bookmarkStart w:id="381" w:name="_Toc468181031"/>
      <w:bookmarkStart w:id="382" w:name="_Toc468191424"/>
      <w:bookmarkStart w:id="383" w:name="_Toc45119931"/>
      <w:bookmarkStart w:id="384" w:name="_Toc58512214"/>
      <w:bookmarkStart w:id="385" w:name="_Toc158036635"/>
      <w:bookmarkStart w:id="386" w:name="_Toc461179211"/>
      <w:bookmarkStart w:id="387" w:name="_Toc461179835"/>
      <w:bookmarkEnd w:id="370"/>
      <w:r w:rsidRPr="0055569D">
        <w:t>A kockázatcsökkentő intézkedések és a gazdasági tőkeszükséglet, valamint a likviditási többlettartalék meghatározása</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bookmarkEnd w:id="386"/>
    <w:bookmarkEnd w:id="387"/>
    <w:p w14:paraId="7FFFE844" w14:textId="77777777" w:rsidR="008A78E3" w:rsidRDefault="008A78E3" w:rsidP="009F4CDA">
      <w:r w:rsidRPr="006A6890">
        <w:t>Az MNB a teljeskörű ICAAP felülvizsgálatok esetében a vizsgálati folyamatok tartalmi részének végeztével értékelő jelentést készít, amely részletesen tartalmazhatja a felügyelt intézmény gazdasági tőkeszámítására és belső tőkemegfelelésére vonatkozó felügyeleti megállapításokat, előírt kockázatcsökkentő intézkedéseket, továbbá az MNB által indokoltnak tartott SREP tőkeszükségletet</w:t>
      </w:r>
      <w:r>
        <w:t>, melynek megállapítása során figyelembe veheti a folyamatos felügyelés keretében rendelkezésre álló releváns információkat is</w:t>
      </w:r>
      <w:r w:rsidRPr="006A6890">
        <w:t>. A vizsgálati jelentést az MNB a felügyelt intézmény számára megküldi, melynek módjában áll azt meghatározott határidőn belül véleményezni. Fókuszált ICAAP felülvizsgálat esetén egy jóval rövidebb, összefoglaló értékelés készül, amelyet az intézménynek szintén lehetősége van véleményezni.</w:t>
      </w:r>
      <w:r>
        <w:t xml:space="preserve"> </w:t>
      </w:r>
      <w:r w:rsidRPr="006A6890">
        <w:t xml:space="preserve">Az MNB az intézmény véleményét megfontolja a végső jelentés kialakítása és a kapcsolódó felügyeleti intézkedések meghozatala során, azonban újonnan javasolt módszertani változásokat, időközben bevezetett (MNB által még nem értékelt) módosításokat, az ICAAP vagy a BMA részleges ismételt végrehajtására irányuló esetleges kezdeményezéseket már nem tudja méltányolni. </w:t>
      </w:r>
      <w:r>
        <w:t>Az ICAAP felülvizsgálati kiértesítő levelébe foglalt vonatkozási dátumot követő változást az intézmény kockázataiban, portfólióiban az MNB a következő évi ICAAP vizsgálat keretén belül tartja indokoltnak figyelembe venni.</w:t>
      </w:r>
      <w:bookmarkStart w:id="388" w:name="_Toc461195773"/>
      <w:bookmarkStart w:id="389" w:name="_Toc461524856"/>
      <w:bookmarkStart w:id="390" w:name="_Toc461547907"/>
      <w:bookmarkStart w:id="391" w:name="_Toc461550200"/>
      <w:bookmarkStart w:id="392" w:name="_Toc462401935"/>
      <w:bookmarkStart w:id="393" w:name="_Toc462403056"/>
      <w:bookmarkStart w:id="394" w:name="_Toc462403381"/>
      <w:bookmarkStart w:id="395" w:name="_Toc462403810"/>
      <w:bookmarkStart w:id="396" w:name="_Toc462645678"/>
      <w:bookmarkStart w:id="397" w:name="_Toc468180500"/>
      <w:bookmarkStart w:id="398" w:name="_Toc468181032"/>
      <w:bookmarkStart w:id="399" w:name="_Közös_kockázatértékelés_és"/>
      <w:bookmarkStart w:id="400" w:name="_Toc378592155"/>
      <w:bookmarkStart w:id="401" w:name="_Toc461095180"/>
      <w:bookmarkStart w:id="402" w:name="_Toc461179212"/>
      <w:bookmarkStart w:id="403" w:name="_Toc461179836"/>
      <w:bookmarkStart w:id="404" w:name="_Toc461547908"/>
      <w:bookmarkStart w:id="405" w:name="_Toc462401936"/>
      <w:bookmarkStart w:id="406" w:name="_Toc462403057"/>
      <w:bookmarkStart w:id="407" w:name="_Toc462403382"/>
      <w:bookmarkStart w:id="408" w:name="_Toc468180501"/>
      <w:bookmarkStart w:id="409" w:name="_Toc468181033"/>
      <w:bookmarkStart w:id="410" w:name="_Toc468191425"/>
      <w:bookmarkStart w:id="411" w:name="_Toc45119932"/>
      <w:bookmarkStart w:id="412" w:name="_Toc58512215"/>
      <w:bookmarkEnd w:id="388"/>
      <w:bookmarkEnd w:id="389"/>
      <w:bookmarkEnd w:id="390"/>
      <w:bookmarkEnd w:id="391"/>
      <w:bookmarkEnd w:id="392"/>
      <w:bookmarkEnd w:id="393"/>
      <w:bookmarkEnd w:id="394"/>
      <w:bookmarkEnd w:id="395"/>
      <w:bookmarkEnd w:id="396"/>
      <w:bookmarkEnd w:id="397"/>
      <w:bookmarkEnd w:id="398"/>
      <w:bookmarkEnd w:id="399"/>
    </w:p>
    <w:p w14:paraId="7FFFE845" w14:textId="77777777" w:rsidR="008A78E3" w:rsidRPr="0055569D" w:rsidRDefault="008A78E3" w:rsidP="009F4CDA">
      <w:pPr>
        <w:pStyle w:val="Cmsor2"/>
      </w:pPr>
      <w:bookmarkStart w:id="413" w:name="_Toc158036636"/>
      <w:r w:rsidRPr="0055569D">
        <w:t>Közös kockázatértékelés és együttdöntési eljárás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FFFE846" w14:textId="77777777" w:rsidR="008A78E3" w:rsidRPr="006A6890" w:rsidRDefault="008A78E3" w:rsidP="00AA57CA">
      <w:pPr>
        <w:rPr>
          <w:rFonts w:asciiTheme="minorHAnsi" w:hAnsiTheme="minorHAnsi"/>
        </w:rPr>
      </w:pPr>
      <w:r w:rsidRPr="006A6890">
        <w:rPr>
          <w:rFonts w:asciiTheme="minorHAnsi" w:hAnsiTheme="minorHAnsi"/>
        </w:rPr>
        <w:t>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CRR 20. cikke, a CRD 113. cikke (amely a Hpt. 173.</w:t>
      </w:r>
      <w:r w:rsidRPr="00CE3686">
        <w:t xml:space="preserve"> </w:t>
      </w:r>
      <w:r w:rsidRPr="007F6AD1">
        <w:rPr>
          <w:rFonts w:asciiTheme="minorHAnsi" w:hAnsiTheme="minorHAnsi"/>
        </w:rPr>
        <w:t>§</w:t>
      </w:r>
      <w:r w:rsidRPr="006A6890">
        <w:rPr>
          <w:rFonts w:asciiTheme="minorHAnsi" w:hAnsiTheme="minorHAnsi"/>
        </w:rPr>
        <w:t xml:space="preserve"> és Bszt. 162. </w:t>
      </w:r>
      <w:r>
        <w:rPr>
          <w:rFonts w:asciiTheme="minorHAnsi" w:hAnsiTheme="minorHAnsi"/>
        </w:rPr>
        <w:t>§</w:t>
      </w:r>
      <w:r w:rsidRPr="006A6890">
        <w:rPr>
          <w:rFonts w:asciiTheme="minorHAnsi" w:hAnsiTheme="minorHAnsi"/>
        </w:rPr>
        <w:t xml:space="preserve"> (5) d pontban került implementálásra), a felügyeleti kollégiumok operatív működését, illetve a közös kockázatértékelési és együttdöntési eljárást pedig a Bizottság 710/2014/EU végrehajtási rendelete tartalmazza részletesen</w:t>
      </w:r>
      <w:r>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7FFFE847" w14:textId="77777777" w:rsidR="008A78E3" w:rsidRPr="006A6890" w:rsidRDefault="008A78E3" w:rsidP="00AA57CA">
      <w:pPr>
        <w:rPr>
          <w:rFonts w:asciiTheme="minorHAnsi" w:hAnsiTheme="minorHAnsi"/>
        </w:rPr>
      </w:pPr>
      <w:r w:rsidRPr="006A6890">
        <w:rPr>
          <w:rFonts w:asciiTheme="minorHAnsi" w:hAnsiTheme="minorHAnsi"/>
        </w:rPr>
        <w:t>A közös kockázatértékelés és együttdöntési eljárás (joint risk assessment and decision, JRAD) első lépése, hogy az illetékes nemzeti felügyeletek az ICAAP és ILAAP felülvizsgálatok értékelő szakaszának végeztével a kockázatértékelés eredményét, a folyamatos felügyelés keretében és az egyéb felügyeleti felülvizsgálatok alapján megállapított következtetéseit, továbbá a CRD</w:t>
      </w:r>
      <w:r>
        <w:rPr>
          <w:rFonts w:asciiTheme="minorHAnsi" w:hAnsiTheme="minorHAnsi"/>
        </w:rPr>
        <w:t xml:space="preserve"> </w:t>
      </w:r>
      <w:r w:rsidRPr="006A6890">
        <w:rPr>
          <w:rFonts w:asciiTheme="minorHAnsi" w:hAnsiTheme="minorHAnsi"/>
        </w:rPr>
        <w:t>minimumkövetelményeinek teljesülését egy – a nemzetközi felügyeleti közösség által kidolgozott – egységes struktúrában is értékelik, majd elküldik a konszolidáló felügyelet számára. A közös értékelés alapjául szolgáló sablonokban az egyes kockázattípusok, illetve az ICAAP és ILAAP részfolyamatai alapvetően egy négyfokozatú skálán, a CRD</w:t>
      </w:r>
      <w:r>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7FFFE848" w14:textId="77777777" w:rsidR="008A78E3" w:rsidRPr="006A6890" w:rsidRDefault="008A78E3" w:rsidP="00AA57CA">
      <w:pPr>
        <w:rPr>
          <w:rFonts w:asciiTheme="minorHAnsi" w:hAnsiTheme="minorHAnsi"/>
        </w:rPr>
      </w:pPr>
      <w:r w:rsidRPr="006A6890">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minimumkövetelmények minden lényeges aspektusa tárgyalásra és megvitatásra kerül, aminek eredményeként a kollégiumi tagok közösen értékelik a csoport egyes tagjainak és egészének kockázati jellemzőit és tőkemegfelelését. </w:t>
      </w:r>
    </w:p>
    <w:p w14:paraId="7FFFE849" w14:textId="77777777" w:rsidR="008A78E3" w:rsidRPr="006A6890" w:rsidRDefault="008A78E3" w:rsidP="00AA57CA">
      <w:pPr>
        <w:rPr>
          <w:rFonts w:asciiTheme="minorHAnsi" w:hAnsiTheme="minorHAnsi"/>
        </w:rPr>
      </w:pPr>
      <w:r w:rsidRPr="006A6890">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(joint decision) is. Az elkészült jelentéseket a konszolidáló felügyelet az összes érintett társfelügyeleti hatóságnak és a csoportvezető intézménynek egyaránt megküldi, és ezzel zárul a teljes SREP értékelési folyamat.</w:t>
      </w:r>
    </w:p>
    <w:p w14:paraId="7FFFE84A" w14:textId="77777777" w:rsidR="008A78E3" w:rsidRPr="006A6890" w:rsidRDefault="008A78E3" w:rsidP="00AA57CA">
      <w:pPr>
        <w:rPr>
          <w:rFonts w:asciiTheme="minorHAnsi" w:hAnsiTheme="minorHAnsi"/>
        </w:rPr>
      </w:pPr>
      <w:r w:rsidRPr="006A6890">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7FFFE84B" w14:textId="77777777" w:rsidR="008A78E3" w:rsidRPr="0055569D" w:rsidRDefault="008A78E3" w:rsidP="009F4CDA">
      <w:pPr>
        <w:pStyle w:val="Cmsor2"/>
      </w:pPr>
      <w:bookmarkStart w:id="414" w:name="_Toc461195775"/>
      <w:bookmarkStart w:id="415" w:name="_Toc461524858"/>
      <w:bookmarkStart w:id="416" w:name="_Toc461547909"/>
      <w:bookmarkStart w:id="417" w:name="_Toc461550202"/>
      <w:bookmarkStart w:id="418" w:name="_Toc462401937"/>
      <w:bookmarkStart w:id="419" w:name="_Toc462403058"/>
      <w:bookmarkStart w:id="420" w:name="_Toc462403383"/>
      <w:bookmarkStart w:id="421" w:name="_Toc462403812"/>
      <w:bookmarkStart w:id="422" w:name="_Toc462645680"/>
      <w:bookmarkStart w:id="423" w:name="_Toc468180502"/>
      <w:bookmarkStart w:id="424" w:name="_Toc468181034"/>
      <w:bookmarkStart w:id="425" w:name="_A_SREP_lezárása"/>
      <w:bookmarkStart w:id="426" w:name="_Toc378590313"/>
      <w:bookmarkStart w:id="427" w:name="_Toc378592156"/>
      <w:bookmarkStart w:id="428" w:name="_Toc461095181"/>
      <w:bookmarkStart w:id="429" w:name="_Toc461547910"/>
      <w:bookmarkStart w:id="430" w:name="_Toc462401938"/>
      <w:bookmarkStart w:id="431" w:name="_Toc462403059"/>
      <w:bookmarkStart w:id="432" w:name="_Toc462403384"/>
      <w:bookmarkStart w:id="433" w:name="_Toc468180503"/>
      <w:bookmarkStart w:id="434" w:name="_Toc468181035"/>
      <w:bookmarkStart w:id="435" w:name="_Toc468191426"/>
      <w:bookmarkStart w:id="436" w:name="_Toc45119933"/>
      <w:bookmarkStart w:id="437" w:name="_Toc58512216"/>
      <w:bookmarkStart w:id="438" w:name="_Toc158036637"/>
      <w:bookmarkStart w:id="439" w:name="_Toc461179213"/>
      <w:bookmarkStart w:id="440" w:name="_Toc461179837"/>
      <w:bookmarkEnd w:id="414"/>
      <w:bookmarkEnd w:id="415"/>
      <w:bookmarkEnd w:id="416"/>
      <w:bookmarkEnd w:id="417"/>
      <w:bookmarkEnd w:id="418"/>
      <w:bookmarkEnd w:id="419"/>
      <w:bookmarkEnd w:id="420"/>
      <w:bookmarkEnd w:id="421"/>
      <w:bookmarkEnd w:id="422"/>
      <w:bookmarkEnd w:id="423"/>
      <w:bookmarkEnd w:id="424"/>
      <w:bookmarkEnd w:id="425"/>
      <w:r w:rsidRPr="0055569D">
        <w:t>Az ICAAP, az ILAAP és a BMA vizsgálatok lezárása</w:t>
      </w:r>
      <w:bookmarkEnd w:id="426"/>
      <w:bookmarkEnd w:id="427"/>
      <w:r w:rsidRPr="0055569D">
        <w:t>, felügyeleti intézkedések</w:t>
      </w:r>
      <w:bookmarkEnd w:id="428"/>
      <w:bookmarkEnd w:id="429"/>
      <w:bookmarkEnd w:id="430"/>
      <w:bookmarkEnd w:id="431"/>
      <w:bookmarkEnd w:id="432"/>
      <w:bookmarkEnd w:id="433"/>
      <w:bookmarkEnd w:id="434"/>
      <w:bookmarkEnd w:id="435"/>
      <w:bookmarkEnd w:id="436"/>
      <w:bookmarkEnd w:id="437"/>
      <w:bookmarkEnd w:id="438"/>
    </w:p>
    <w:p w14:paraId="7FFFE84C" w14:textId="77777777" w:rsidR="008A78E3" w:rsidRPr="006A6890" w:rsidRDefault="008A78E3" w:rsidP="00AA57CA">
      <w:pPr>
        <w:rPr>
          <w:rFonts w:asciiTheme="minorHAnsi" w:hAnsiTheme="minorHAnsi"/>
        </w:rPr>
      </w:pPr>
      <w:bookmarkStart w:id="441" w:name="_Toc325030412"/>
      <w:bookmarkEnd w:id="439"/>
      <w:bookmarkEnd w:id="440"/>
      <w:bookmarkEnd w:id="441"/>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Pr>
          <w:rFonts w:asciiTheme="minorHAnsi" w:hAnsiTheme="minorHAnsi"/>
          <w:vertAlign w:val="superscript"/>
        </w:rPr>
        <w:footnoteReference w:id="17"/>
      </w:r>
      <w:r w:rsidRPr="006A6890">
        <w:rPr>
          <w:rFonts w:asciiTheme="minorHAnsi" w:hAnsiTheme="minorHAnsi"/>
        </w:rPr>
        <w:t xml:space="preserve"> </w:t>
      </w:r>
    </w:p>
    <w:p w14:paraId="7FFFE84D" w14:textId="77777777" w:rsidR="008A78E3" w:rsidRPr="006A6890" w:rsidRDefault="008A78E3"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7FFFE84E" w14:textId="77777777" w:rsidR="008A78E3" w:rsidRPr="006A6890" w:rsidRDefault="008A78E3" w:rsidP="00AA57CA">
      <w:pPr>
        <w:rPr>
          <w:rFonts w:asciiTheme="minorHAnsi" w:hAnsiTheme="minorHAnsi"/>
        </w:rPr>
      </w:pPr>
      <w:r w:rsidRPr="006A6890">
        <w:rPr>
          <w:rFonts w:asciiTheme="minorHAnsi" w:hAnsiTheme="minorHAnsi"/>
        </w:rPr>
        <w:t>A prudenciális levél tartalma a következő:</w:t>
      </w:r>
    </w:p>
    <w:p w14:paraId="7FFFE84F" w14:textId="77777777" w:rsidR="008A78E3" w:rsidRPr="006A6890" w:rsidRDefault="008A78E3" w:rsidP="00181755">
      <w:pPr>
        <w:pStyle w:val="felsorolsos"/>
        <w:rPr>
          <w:rFonts w:asciiTheme="minorHAnsi" w:hAnsiTheme="minorHAnsi"/>
        </w:rPr>
      </w:pPr>
      <w:r w:rsidRPr="006A6890">
        <w:rPr>
          <w:rFonts w:asciiTheme="minorHAnsi" w:hAnsiTheme="minorHAnsi"/>
        </w:rPr>
        <w:t>vezetői összefoglaló,</w:t>
      </w:r>
    </w:p>
    <w:p w14:paraId="7FFFE850" w14:textId="77777777" w:rsidR="008A78E3" w:rsidRPr="006A6890" w:rsidRDefault="008A78E3" w:rsidP="00181755">
      <w:pPr>
        <w:pStyle w:val="felsorolsos"/>
        <w:rPr>
          <w:rFonts w:asciiTheme="minorHAnsi" w:hAnsiTheme="minorHAnsi"/>
        </w:rPr>
      </w:pPr>
      <w:r w:rsidRPr="006A6890">
        <w:rPr>
          <w:rFonts w:asciiTheme="minorHAnsi" w:hAnsiTheme="minorHAnsi"/>
        </w:rPr>
        <w:t>kockázatértékelés a fő kockázatcsoportokra,</w:t>
      </w:r>
    </w:p>
    <w:p w14:paraId="7FFFE851" w14:textId="77777777" w:rsidR="008A78E3" w:rsidRPr="006A6890" w:rsidRDefault="008A78E3"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p>
    <w:p w14:paraId="7FFFE852" w14:textId="77777777" w:rsidR="008A78E3" w:rsidRPr="006A6890" w:rsidRDefault="008A78E3" w:rsidP="00181755">
      <w:pPr>
        <w:pStyle w:val="felsorolsos"/>
        <w:rPr>
          <w:rFonts w:asciiTheme="minorHAnsi" w:hAnsiTheme="minorHAnsi"/>
        </w:rPr>
      </w:pPr>
      <w:r w:rsidRPr="006A6890">
        <w:rPr>
          <w:rFonts w:asciiTheme="minorHAnsi" w:hAnsiTheme="minorHAnsi"/>
        </w:rPr>
        <w:t>felügyeleti stresszteszt eredménye,</w:t>
      </w:r>
    </w:p>
    <w:p w14:paraId="7FFFE853" w14:textId="77777777" w:rsidR="008A78E3" w:rsidRPr="006A6890" w:rsidRDefault="008A78E3" w:rsidP="00B238A3">
      <w:pPr>
        <w:pStyle w:val="felsorolsos"/>
        <w:rPr>
          <w:rFonts w:asciiTheme="minorHAnsi" w:hAnsiTheme="minorHAnsi"/>
        </w:rPr>
      </w:pPr>
      <w:r w:rsidRPr="006A6890">
        <w:rPr>
          <w:rFonts w:asciiTheme="minorHAnsi" w:hAnsiTheme="minorHAnsi"/>
        </w:rPr>
        <w:t>ICAAP felülvizsgálat alapján szükségesnek tartott tőke.</w:t>
      </w:r>
    </w:p>
    <w:p w14:paraId="7FFFE854" w14:textId="77777777" w:rsidR="008A78E3" w:rsidRPr="006A6890" w:rsidRDefault="008A78E3" w:rsidP="00AA57CA">
      <w:pPr>
        <w:rPr>
          <w:rFonts w:asciiTheme="minorHAnsi" w:hAnsiTheme="minorHAnsi"/>
        </w:rPr>
      </w:pPr>
      <w:r w:rsidRPr="006A6890">
        <w:rPr>
          <w:rFonts w:asciiTheme="minorHAnsi" w:hAnsiTheme="minorHAnsi"/>
        </w:rPr>
        <w:t>A prudenciális levélben az MNB megállapítja az intézmény számára előírt teljes SREP mutatót (TSCR ráta), a teljes tőkekövetelményt (OCR) és a felügyeleti tőkeajánlást (P2G). Az új szabályozásnak megfelelően az MNB azt is előírja, hogy ezeket a kötelezettségeket milyen típusú tőkével kell az intézményeknek teljesítenie.</w:t>
      </w:r>
    </w:p>
    <w:p w14:paraId="7FFFE855" w14:textId="77777777" w:rsidR="008A78E3" w:rsidRPr="006A6890" w:rsidRDefault="008A78E3" w:rsidP="00AA57CA">
      <w:pPr>
        <w:rPr>
          <w:rFonts w:asciiTheme="minorHAnsi" w:hAnsiTheme="minorHAnsi"/>
        </w:rPr>
      </w:pPr>
      <w:r w:rsidRPr="006A6890">
        <w:rPr>
          <w:rFonts w:asciiTheme="minorHAnsi" w:hAnsiTheme="minorHAnsi"/>
        </w:rPr>
        <w:t>Amennyiben az ICAAP, ILAAP vagy BMA felülvizsgálatok nem egyidőben kerülnek lefolytatásra, úgy a prudenciális levelek is külön, de az adott vizsgálatra vonatkozó tartalommal kerülnek megküldésre.</w:t>
      </w:r>
    </w:p>
    <w:p w14:paraId="7FFFE856" w14:textId="77777777" w:rsidR="008A78E3" w:rsidRPr="006A6890" w:rsidRDefault="008A78E3"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is sor kerülhet. </w:t>
      </w:r>
    </w:p>
    <w:p w14:paraId="7FFFE857" w14:textId="77777777" w:rsidR="008A78E3" w:rsidRPr="006A6890" w:rsidRDefault="008A78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7FFFE858" w14:textId="77777777" w:rsidR="008A78E3" w:rsidRPr="006A6890" w:rsidRDefault="008A78E3" w:rsidP="00181755">
      <w:pPr>
        <w:pStyle w:val="felsorolsos"/>
        <w:rPr>
          <w:rFonts w:asciiTheme="minorHAnsi" w:hAnsiTheme="minorHAnsi"/>
        </w:rPr>
      </w:pPr>
      <w:r w:rsidRPr="006A6890">
        <w:rPr>
          <w:rFonts w:asciiTheme="minorHAnsi" w:hAnsiTheme="minorHAnsi"/>
        </w:rPr>
        <w:t>a felügyelt intézmény nem fogadja el az MNB részéről szükségesnek ítélt kockázatcsökkentő intézkedéseket vagy a megállapított SREP tőkekövetelmény szintjét,</w:t>
      </w:r>
    </w:p>
    <w:p w14:paraId="7FFFE859" w14:textId="77777777" w:rsidR="008A78E3" w:rsidRPr="006A6890" w:rsidRDefault="008A78E3" w:rsidP="00181755">
      <w:pPr>
        <w:pStyle w:val="felsorolsos"/>
        <w:rPr>
          <w:rFonts w:asciiTheme="minorHAnsi" w:hAnsiTheme="minorHAnsi"/>
        </w:rPr>
      </w:pPr>
      <w:r w:rsidRPr="006A6890">
        <w:rPr>
          <w:rFonts w:asciiTheme="minorHAnsi" w:hAnsiTheme="minorHAnsi"/>
        </w:rPr>
        <w:t>az MNB a jogszabályi előírásoknak megfelelő tőkemegfelelést nem látja biztosítottnak,</w:t>
      </w:r>
    </w:p>
    <w:p w14:paraId="7FFFE85A" w14:textId="77777777" w:rsidR="008A78E3" w:rsidRPr="006A6890" w:rsidRDefault="008A78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7FFFE85B" w14:textId="77777777" w:rsidR="008A78E3" w:rsidRPr="006A6890" w:rsidRDefault="008A78E3" w:rsidP="00181755">
      <w:pPr>
        <w:pStyle w:val="felsorolsos"/>
        <w:rPr>
          <w:rFonts w:asciiTheme="minorHAnsi" w:hAnsiTheme="minorHAnsi"/>
        </w:rPr>
      </w:pPr>
      <w:r w:rsidRPr="006A6890">
        <w:rPr>
          <w:rFonts w:asciiTheme="minorHAnsi" w:hAnsiTheme="minorHAnsi"/>
        </w:rPr>
        <w:t>az MNB megállapítja, hogy egy – általa megállapított mértékű –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EBA által meghatározott egyéb változás eredményeként,</w:t>
      </w:r>
    </w:p>
    <w:p w14:paraId="7FFFE85C" w14:textId="77777777" w:rsidR="008A78E3" w:rsidRPr="006A6890" w:rsidRDefault="008A78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7FFFE85D"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7FFFE85E" w14:textId="77777777" w:rsidR="008A78E3" w:rsidRPr="006A6890" w:rsidRDefault="008A78E3"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7FFFE85F" w14:textId="77777777" w:rsidR="008A78E3" w:rsidRPr="006A6890" w:rsidRDefault="008A78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7FFFE860" w14:textId="77777777" w:rsidR="008A78E3" w:rsidRPr="006A6890" w:rsidRDefault="008A78E3" w:rsidP="00AA57CA">
      <w:pPr>
        <w:rPr>
          <w:rFonts w:asciiTheme="minorHAnsi" w:hAnsiTheme="minorHAnsi"/>
        </w:rPr>
      </w:pPr>
      <w:r w:rsidRPr="006A6890">
        <w:rPr>
          <w:rFonts w:asciiTheme="minorHAnsi" w:hAnsiTheme="minorHAnsi"/>
        </w:rPr>
        <w:t>Az ILAAP vizsgálatot lezáró prudenciális levél tartalmazza:</w:t>
      </w:r>
    </w:p>
    <w:p w14:paraId="7FFFE861" w14:textId="77777777" w:rsidR="008A78E3" w:rsidRPr="006A6890" w:rsidRDefault="008A78E3" w:rsidP="00212C3C">
      <w:pPr>
        <w:pStyle w:val="felsorolsos"/>
        <w:rPr>
          <w:rFonts w:asciiTheme="minorHAnsi" w:hAnsiTheme="minorHAnsi"/>
        </w:rPr>
      </w:pPr>
      <w:r w:rsidRPr="006A6890">
        <w:rPr>
          <w:rFonts w:asciiTheme="minorHAnsi" w:hAnsiTheme="minorHAnsi"/>
        </w:rPr>
        <w:t>az intézmény likviditási kockázatkezelésének általános értékelését,</w:t>
      </w:r>
    </w:p>
    <w:p w14:paraId="7FFFE862" w14:textId="77777777" w:rsidR="008A78E3" w:rsidRPr="006A6890" w:rsidRDefault="008A78E3" w:rsidP="00212C3C">
      <w:pPr>
        <w:pStyle w:val="felsorolsos"/>
        <w:rPr>
          <w:rFonts w:asciiTheme="minorHAnsi" w:hAnsiTheme="minorHAnsi"/>
        </w:rPr>
      </w:pPr>
      <w:r w:rsidRPr="006A6890">
        <w:rPr>
          <w:rFonts w:asciiTheme="minorHAnsi" w:hAnsiTheme="minorHAnsi"/>
        </w:rPr>
        <w:t>a jogszabályi és II. pilléres követelmények számszaki meghatározásának értékelését</w:t>
      </w:r>
      <w:r>
        <w:rPr>
          <w:rStyle w:val="Lbjegyzet-hivatkozs"/>
          <w:rFonts w:asciiTheme="minorHAnsi" w:hAnsiTheme="minorHAnsi"/>
        </w:rPr>
        <w:footnoteReference w:id="18"/>
      </w:r>
      <w:r w:rsidRPr="006A6890">
        <w:rPr>
          <w:rFonts w:asciiTheme="minorHAnsi" w:hAnsiTheme="minorHAnsi"/>
        </w:rPr>
        <w:t>,</w:t>
      </w:r>
    </w:p>
    <w:p w14:paraId="7FFFE863" w14:textId="77777777" w:rsidR="008A78E3" w:rsidRPr="006A6890" w:rsidRDefault="008A78E3" w:rsidP="00212C3C">
      <w:pPr>
        <w:pStyle w:val="felsorolsos"/>
        <w:rPr>
          <w:rFonts w:asciiTheme="minorHAnsi" w:hAnsiTheme="minorHAnsi"/>
        </w:rPr>
      </w:pPr>
      <w:r w:rsidRPr="006A6890">
        <w:rPr>
          <w:rFonts w:asciiTheme="minorHAnsi" w:hAnsiTheme="minorHAnsi"/>
        </w:rPr>
        <w:t>az külső és belső szabályozásoknak való megfelelést,</w:t>
      </w:r>
    </w:p>
    <w:p w14:paraId="7FFFE864" w14:textId="77777777" w:rsidR="008A78E3" w:rsidRPr="006A6890" w:rsidRDefault="008A78E3" w:rsidP="00212C3C">
      <w:pPr>
        <w:pStyle w:val="felsorolsos"/>
        <w:rPr>
          <w:rFonts w:asciiTheme="minorHAnsi" w:hAnsiTheme="minorHAnsi"/>
        </w:rPr>
      </w:pPr>
      <w:r w:rsidRPr="006A6890">
        <w:rPr>
          <w:rFonts w:asciiTheme="minorHAnsi" w:hAnsiTheme="minorHAnsi"/>
        </w:rPr>
        <w:t>a jogszabályi megfeleléshez nem kapcsolódó likviditási adatszolgáltatások minőségének értékelését,</w:t>
      </w:r>
    </w:p>
    <w:p w14:paraId="7FFFE865" w14:textId="77777777" w:rsidR="008A78E3" w:rsidRPr="006A6890" w:rsidRDefault="008A78E3" w:rsidP="001E3A50">
      <w:pPr>
        <w:pStyle w:val="felsorolsos"/>
        <w:rPr>
          <w:rFonts w:asciiTheme="minorHAnsi" w:hAnsiTheme="minorHAnsi"/>
        </w:rPr>
      </w:pPr>
      <w:r w:rsidRPr="006A6890">
        <w:rPr>
          <w:rFonts w:asciiTheme="minorHAnsi" w:hAnsiTheme="minorHAnsi"/>
        </w:rPr>
        <w:t>esetleges hiányosságok megállapítását,</w:t>
      </w:r>
    </w:p>
    <w:p w14:paraId="7FFFE866" w14:textId="77777777" w:rsidR="008A78E3" w:rsidRDefault="008A78E3" w:rsidP="001E3A50">
      <w:pPr>
        <w:pStyle w:val="felsorolsos"/>
        <w:rPr>
          <w:rFonts w:asciiTheme="minorHAnsi" w:hAnsiTheme="minorHAnsi"/>
        </w:rPr>
      </w:pPr>
      <w:r w:rsidRPr="006A6890">
        <w:rPr>
          <w:rFonts w:asciiTheme="minorHAnsi" w:hAnsiTheme="minorHAnsi"/>
        </w:rPr>
        <w:t>esetleges intézkedési felszólításokat.</w:t>
      </w:r>
    </w:p>
    <w:p w14:paraId="7FFFE867" w14:textId="77777777" w:rsidR="008A78E3" w:rsidRPr="006A6890" w:rsidRDefault="008A78E3" w:rsidP="00181755">
      <w:pPr>
        <w:pStyle w:val="Cmsor3"/>
        <w:ind w:left="0" w:firstLine="0"/>
        <w:rPr>
          <w:rFonts w:asciiTheme="minorHAnsi" w:hAnsiTheme="minorHAnsi"/>
        </w:rPr>
      </w:pPr>
      <w:bookmarkStart w:id="442" w:name="_Toc461547911"/>
      <w:bookmarkStart w:id="443" w:name="_Toc462401939"/>
      <w:bookmarkStart w:id="444" w:name="_Toc462403060"/>
      <w:bookmarkStart w:id="445" w:name="_Toc462403385"/>
      <w:bookmarkStart w:id="446" w:name="_Toc462403814"/>
      <w:bookmarkStart w:id="447" w:name="_Toc462645682"/>
      <w:bookmarkStart w:id="448" w:name="_Toc468180504"/>
      <w:bookmarkStart w:id="449" w:name="_Toc468181036"/>
      <w:bookmarkStart w:id="450" w:name="_Toc461095182"/>
      <w:bookmarkStart w:id="451" w:name="_Toc461179838"/>
      <w:bookmarkStart w:id="452" w:name="_Toc461547912"/>
      <w:bookmarkStart w:id="453" w:name="_Toc462401940"/>
      <w:bookmarkStart w:id="454" w:name="_Toc462403061"/>
      <w:bookmarkStart w:id="455" w:name="_Toc462403386"/>
      <w:bookmarkStart w:id="456" w:name="_Toc468180505"/>
      <w:bookmarkStart w:id="457" w:name="_Toc468181037"/>
      <w:bookmarkStart w:id="458" w:name="_Toc468191427"/>
      <w:bookmarkStart w:id="459" w:name="_Toc45119934"/>
      <w:bookmarkStart w:id="460" w:name="_Toc58512217"/>
      <w:bookmarkStart w:id="461" w:name="_Toc158036638"/>
      <w:bookmarkEnd w:id="442"/>
      <w:bookmarkEnd w:id="443"/>
      <w:bookmarkEnd w:id="444"/>
      <w:bookmarkEnd w:id="445"/>
      <w:bookmarkEnd w:id="446"/>
      <w:bookmarkEnd w:id="447"/>
      <w:bookmarkEnd w:id="448"/>
      <w:bookmarkEnd w:id="449"/>
      <w:r w:rsidRPr="006A6890">
        <w:rPr>
          <w:rFonts w:asciiTheme="minorHAnsi" w:hAnsiTheme="minorHAnsi"/>
        </w:rPr>
        <w:t>A teljes felügyeleti felülvizsgálati folyamathoz (SREP) kapcsolódó intézkedések alkalmazásának esetkörei a hitelintézetekkel szemben</w:t>
      </w:r>
      <w:bookmarkEnd w:id="450"/>
      <w:bookmarkEnd w:id="451"/>
      <w:bookmarkEnd w:id="452"/>
      <w:bookmarkEnd w:id="453"/>
      <w:bookmarkEnd w:id="454"/>
      <w:bookmarkEnd w:id="455"/>
      <w:bookmarkEnd w:id="456"/>
      <w:bookmarkEnd w:id="457"/>
      <w:bookmarkEnd w:id="458"/>
      <w:bookmarkEnd w:id="459"/>
      <w:bookmarkEnd w:id="460"/>
      <w:bookmarkEnd w:id="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527C4C" w14:paraId="7FFFE86A" w14:textId="77777777" w:rsidTr="00175385">
        <w:tc>
          <w:tcPr>
            <w:tcW w:w="4761" w:type="dxa"/>
          </w:tcPr>
          <w:p w14:paraId="7FFFE868" w14:textId="77777777" w:rsidR="008A78E3" w:rsidRPr="006A6890" w:rsidRDefault="008A78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7FFFE869" w14:textId="77777777" w:rsidR="008A78E3" w:rsidRPr="006A6890" w:rsidRDefault="008A78E3" w:rsidP="00181755">
            <w:pPr>
              <w:jc w:val="center"/>
              <w:rPr>
                <w:rFonts w:asciiTheme="minorHAnsi" w:hAnsiTheme="minorHAnsi"/>
                <w:b/>
              </w:rPr>
            </w:pPr>
            <w:r w:rsidRPr="006A6890">
              <w:rPr>
                <w:rFonts w:asciiTheme="minorHAnsi" w:hAnsiTheme="minorHAnsi"/>
                <w:b/>
              </w:rPr>
              <w:t>Lehetséges intézkedések</w:t>
            </w:r>
          </w:p>
        </w:tc>
      </w:tr>
      <w:tr w:rsidR="00527C4C" w14:paraId="7FFFE86C" w14:textId="77777777" w:rsidTr="00175385">
        <w:tc>
          <w:tcPr>
            <w:tcW w:w="9523" w:type="dxa"/>
            <w:gridSpan w:val="2"/>
          </w:tcPr>
          <w:p w14:paraId="7FFFE86B" w14:textId="77777777" w:rsidR="008A78E3" w:rsidRPr="006A6890" w:rsidRDefault="008A78E3" w:rsidP="00181755">
            <w:pPr>
              <w:jc w:val="center"/>
              <w:rPr>
                <w:rFonts w:asciiTheme="minorHAnsi" w:hAnsiTheme="minorHAnsi"/>
                <w:b/>
              </w:rPr>
            </w:pPr>
            <w:r w:rsidRPr="006A6890">
              <w:rPr>
                <w:rFonts w:asciiTheme="minorHAnsi" w:hAnsiTheme="minorHAnsi"/>
                <w:b/>
              </w:rPr>
              <w:t>Az MNB mérlegelésén alapuló esetkörök</w:t>
            </w:r>
          </w:p>
        </w:tc>
      </w:tr>
      <w:tr w:rsidR="00527C4C" w14:paraId="7FFFE86F" w14:textId="77777777" w:rsidTr="00175385">
        <w:tc>
          <w:tcPr>
            <w:tcW w:w="4761" w:type="dxa"/>
          </w:tcPr>
          <w:p w14:paraId="7FFFE86D" w14:textId="77777777" w:rsidR="008A78E3" w:rsidRPr="006A6890" w:rsidRDefault="008A78E3" w:rsidP="00181755">
            <w:pPr>
              <w:rPr>
                <w:rFonts w:asciiTheme="minorHAnsi" w:hAnsiTheme="minorHAnsi"/>
                <w:b/>
              </w:rPr>
            </w:pPr>
            <w:r w:rsidRPr="006A6890">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7FFFE86E" w14:textId="77777777" w:rsidR="008A78E3" w:rsidRPr="006A6890" w:rsidRDefault="008A78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527C4C" w14:paraId="7FFFE87D" w14:textId="77777777" w:rsidTr="00175385">
        <w:tc>
          <w:tcPr>
            <w:tcW w:w="4761" w:type="dxa"/>
          </w:tcPr>
          <w:p w14:paraId="7FFFE870" w14:textId="77777777" w:rsidR="008A78E3" w:rsidRPr="006A6890" w:rsidRDefault="008A78E3" w:rsidP="00181755">
            <w:pPr>
              <w:rPr>
                <w:rFonts w:asciiTheme="minorHAnsi" w:hAnsiTheme="minorHAnsi"/>
              </w:rPr>
            </w:pPr>
            <w:r w:rsidRPr="006A6890">
              <w:rPr>
                <w:rFonts w:asciiTheme="minorHAnsi" w:hAnsiTheme="minorHAnsi"/>
              </w:rPr>
              <w:t>Az MNB többlet-tőkekövetelményt írhat elő a hitelintézet számára a következő esetekben:</w:t>
            </w:r>
          </w:p>
          <w:p w14:paraId="7FFFE871" w14:textId="77777777" w:rsidR="008A78E3" w:rsidRPr="006A6890" w:rsidRDefault="008A78E3"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7FFFE872" w14:textId="77777777" w:rsidR="008A78E3" w:rsidRPr="006A6890" w:rsidRDefault="008A78E3" w:rsidP="00181755">
            <w:pPr>
              <w:rPr>
                <w:rFonts w:asciiTheme="minorHAnsi" w:hAnsiTheme="minorHAnsi"/>
              </w:rPr>
            </w:pPr>
            <w:r w:rsidRPr="006A6890">
              <w:rPr>
                <w:rFonts w:asciiTheme="minorHAnsi" w:hAnsiTheme="minorHAnsi"/>
              </w:rPr>
              <w:t>- a hitelintézet tőkekövetelménye nem fedez egyes kockázatokat,</w:t>
            </w:r>
          </w:p>
          <w:p w14:paraId="7FFFE873" w14:textId="77777777" w:rsidR="008A78E3" w:rsidRPr="006A6890" w:rsidRDefault="008A78E3"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7FFFE874" w14:textId="77777777" w:rsidR="008A78E3" w:rsidRPr="006A6890" w:rsidRDefault="008A78E3"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7FFFE875" w14:textId="77777777" w:rsidR="008A78E3" w:rsidRPr="006A6890" w:rsidRDefault="008A78E3" w:rsidP="00181755">
            <w:pPr>
              <w:rPr>
                <w:rFonts w:asciiTheme="minorHAnsi" w:hAnsiTheme="minorHAnsi"/>
              </w:rPr>
            </w:pPr>
            <w:r w:rsidRPr="006A6890">
              <w:rPr>
                <w:rFonts w:asciiTheme="minorHAnsi" w:hAnsiTheme="minorHAnsi"/>
              </w:rPr>
              <w:t>- a hitelintézet valószínűsíthetően alulbecsli a kockázatait,</w:t>
            </w:r>
          </w:p>
          <w:p w14:paraId="7FFFE876" w14:textId="77777777" w:rsidR="008A78E3" w:rsidRPr="006A6890" w:rsidRDefault="008A78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7FFFE877" w14:textId="77777777" w:rsidR="008A78E3" w:rsidRPr="006A6890" w:rsidRDefault="008A78E3" w:rsidP="00181755">
            <w:pPr>
              <w:rPr>
                <w:rFonts w:asciiTheme="minorHAnsi" w:hAnsiTheme="minorHAnsi"/>
              </w:rPr>
            </w:pPr>
            <w:r w:rsidRPr="006A6890">
              <w:rPr>
                <w:rFonts w:asciiTheme="minorHAnsi" w:hAnsiTheme="minorHAnsi"/>
              </w:rPr>
              <w:t>Az MNB többlet-tőkekövetelményt írhat elő a hitelintézetnek. A többlet-tőkekövetelmény mértékének meghatározásakor irányadó szempontok:</w:t>
            </w:r>
          </w:p>
          <w:p w14:paraId="7FFFE878" w14:textId="77777777" w:rsidR="008A78E3" w:rsidRPr="006A6890" w:rsidRDefault="008A78E3"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7FFFE879" w14:textId="77777777" w:rsidR="008A78E3" w:rsidRPr="006A6890" w:rsidRDefault="008A78E3" w:rsidP="00181755">
            <w:pPr>
              <w:rPr>
                <w:rFonts w:asciiTheme="minorHAnsi" w:hAnsiTheme="minorHAnsi"/>
              </w:rPr>
            </w:pPr>
            <w:r w:rsidRPr="006A6890">
              <w:rPr>
                <w:rFonts w:asciiTheme="minorHAnsi" w:hAnsiTheme="minorHAnsi"/>
              </w:rPr>
              <w:t>- a hitelintézet irányítási és kockázatkezelési rendszerének megfelelősége,</w:t>
            </w:r>
          </w:p>
          <w:p w14:paraId="7FFFE87A" w14:textId="77777777" w:rsidR="008A78E3" w:rsidRPr="006A6890" w:rsidRDefault="008A78E3" w:rsidP="00181755">
            <w:pPr>
              <w:rPr>
                <w:rFonts w:asciiTheme="minorHAnsi" w:hAnsiTheme="minorHAnsi"/>
              </w:rPr>
            </w:pPr>
            <w:r w:rsidRPr="006A6890">
              <w:rPr>
                <w:rFonts w:asciiTheme="minorHAnsi" w:hAnsiTheme="minorHAnsi"/>
              </w:rPr>
              <w:t>- a hitelintézetnél végrehajtott felügyeleti felülvizsgálat eredménye, és</w:t>
            </w:r>
          </w:p>
          <w:p w14:paraId="7FFFE87B" w14:textId="77777777" w:rsidR="008A78E3" w:rsidRPr="006A6890" w:rsidRDefault="008A78E3" w:rsidP="00181755">
            <w:pPr>
              <w:rPr>
                <w:rFonts w:asciiTheme="minorHAnsi" w:hAnsiTheme="minorHAnsi"/>
              </w:rPr>
            </w:pPr>
            <w:r w:rsidRPr="006A6890">
              <w:rPr>
                <w:rFonts w:asciiTheme="minorHAnsi" w:hAnsiTheme="minorHAnsi"/>
              </w:rPr>
              <w:t>- a hitelintézet rendszerszintű kockázata.</w:t>
            </w:r>
          </w:p>
          <w:p w14:paraId="7FFFE87C" w14:textId="77777777" w:rsidR="008A78E3" w:rsidRPr="006A6890" w:rsidRDefault="008A78E3" w:rsidP="00181755">
            <w:pPr>
              <w:rPr>
                <w:rFonts w:asciiTheme="minorHAnsi" w:hAnsiTheme="minorHAnsi"/>
              </w:rPr>
            </w:pPr>
          </w:p>
        </w:tc>
      </w:tr>
      <w:tr w:rsidR="00527C4C" w14:paraId="7FFFE87F" w14:textId="77777777" w:rsidTr="00175385">
        <w:tc>
          <w:tcPr>
            <w:tcW w:w="9523" w:type="dxa"/>
            <w:gridSpan w:val="2"/>
          </w:tcPr>
          <w:p w14:paraId="7FFFE87E" w14:textId="77777777" w:rsidR="008A78E3" w:rsidRPr="006A6890" w:rsidRDefault="008A78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527C4C" w14:paraId="7FFFE882" w14:textId="77777777" w:rsidTr="00175385">
        <w:tc>
          <w:tcPr>
            <w:tcW w:w="4761" w:type="dxa"/>
          </w:tcPr>
          <w:p w14:paraId="7FFFE880" w14:textId="77777777" w:rsidR="008A78E3" w:rsidRPr="006A6890" w:rsidRDefault="008A78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 (Hpt. 184. § (3) bekezdés a) pontja</w:t>
            </w:r>
          </w:p>
        </w:tc>
        <w:tc>
          <w:tcPr>
            <w:tcW w:w="4762" w:type="dxa"/>
          </w:tcPr>
          <w:p w14:paraId="7FFFE881" w14:textId="77777777" w:rsidR="008A78E3" w:rsidRPr="006A6890" w:rsidRDefault="008A78E3" w:rsidP="00181755">
            <w:pPr>
              <w:rPr>
                <w:rFonts w:asciiTheme="minorHAnsi" w:hAnsiTheme="minorHAnsi"/>
              </w:rPr>
            </w:pPr>
            <w:r w:rsidRPr="006A6890">
              <w:rPr>
                <w:rFonts w:asciiTheme="minorHAnsi" w:hAnsiTheme="minorHAnsi"/>
              </w:rPr>
              <w:t>A Hpt. 185. § (1)-(2) bekezdéseiben meghatározott valamennyi intézkedés, illetve a 189. §-ban felsorolt valamennyi kivételes intézkedés alkalmazható.</w:t>
            </w:r>
          </w:p>
        </w:tc>
      </w:tr>
      <w:tr w:rsidR="00527C4C" w14:paraId="7FFFE886" w14:textId="77777777" w:rsidTr="00175385">
        <w:trPr>
          <w:trHeight w:val="2994"/>
        </w:trPr>
        <w:tc>
          <w:tcPr>
            <w:tcW w:w="4761" w:type="dxa"/>
          </w:tcPr>
          <w:p w14:paraId="7FFFE883" w14:textId="77777777" w:rsidR="008A78E3" w:rsidRPr="006A6890" w:rsidRDefault="008A78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7FFFE884" w14:textId="77777777" w:rsidR="008A78E3" w:rsidRPr="006A6890" w:rsidRDefault="008A78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Pr>
                <w:rFonts w:asciiTheme="minorHAnsi" w:eastAsia="Calibri" w:hAnsiTheme="minorHAnsi"/>
                <w:iCs/>
                <w:vertAlign w:val="superscript"/>
              </w:rPr>
              <w:footnoteReference w:id="19"/>
            </w:r>
            <w:r w:rsidRPr="006A6890">
              <w:rPr>
                <w:rFonts w:asciiTheme="minorHAnsi" w:eastAsia="Calibri" w:hAnsiTheme="minorHAnsi"/>
                <w:iCs/>
              </w:rPr>
              <w:t xml:space="preserve"> (Hpt. 184. § (7) bekezdés)</w:t>
            </w:r>
          </w:p>
        </w:tc>
        <w:tc>
          <w:tcPr>
            <w:tcW w:w="4762" w:type="dxa"/>
          </w:tcPr>
          <w:p w14:paraId="7FFFE885" w14:textId="77777777" w:rsidR="008A78E3" w:rsidRPr="006A6890" w:rsidRDefault="008A78E3" w:rsidP="00181755">
            <w:pPr>
              <w:rPr>
                <w:rFonts w:asciiTheme="minorHAnsi" w:hAnsiTheme="minorHAnsi"/>
                <w:b/>
              </w:rPr>
            </w:pPr>
            <w:r w:rsidRPr="006A6890">
              <w:rPr>
                <w:rFonts w:asciiTheme="minorHAnsi" w:hAnsiTheme="minorHAnsi"/>
              </w:rPr>
              <w:t>A Hpt. 185. § (1)-(2) bekezdéseiben meghatározott valamennyi intézkedés, illetve a 189. §-ban felsorolt valamennyi kivételes intézkedés alkalmazható.</w:t>
            </w:r>
          </w:p>
        </w:tc>
      </w:tr>
      <w:tr w:rsidR="00527C4C" w14:paraId="7FFFE88A" w14:textId="77777777" w:rsidTr="00175385">
        <w:tc>
          <w:tcPr>
            <w:tcW w:w="4761" w:type="dxa"/>
          </w:tcPr>
          <w:p w14:paraId="7FFFE887" w14:textId="77777777" w:rsidR="008A78E3" w:rsidRPr="006A6890" w:rsidRDefault="008A78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 § (10) bekezdés)</w:t>
            </w:r>
          </w:p>
        </w:tc>
        <w:tc>
          <w:tcPr>
            <w:tcW w:w="4762" w:type="dxa"/>
          </w:tcPr>
          <w:p w14:paraId="7FFFE888" w14:textId="77777777" w:rsidR="008A78E3" w:rsidRPr="006A6890" w:rsidRDefault="008A78E3" w:rsidP="00181755">
            <w:pPr>
              <w:rPr>
                <w:rFonts w:asciiTheme="minorHAnsi" w:hAnsiTheme="minorHAnsi"/>
              </w:rPr>
            </w:pPr>
            <w:r w:rsidRPr="006A6890">
              <w:rPr>
                <w:rFonts w:asciiTheme="minorHAnsi" w:hAnsiTheme="minorHAnsi"/>
              </w:rPr>
              <w:t>A Hpt. 185. § (1)-(2) bekezdéseiben meghatározott valamennyi intézkedés.</w:t>
            </w:r>
          </w:p>
          <w:p w14:paraId="7FFFE889" w14:textId="77777777" w:rsidR="008A78E3" w:rsidRPr="006A6890" w:rsidRDefault="008A78E3" w:rsidP="00181755">
            <w:pPr>
              <w:rPr>
                <w:rFonts w:asciiTheme="minorHAnsi" w:hAnsiTheme="minorHAnsi"/>
              </w:rPr>
            </w:pPr>
          </w:p>
        </w:tc>
      </w:tr>
      <w:tr w:rsidR="00527C4C" w14:paraId="7FFFE88D" w14:textId="77777777" w:rsidTr="00175385">
        <w:tc>
          <w:tcPr>
            <w:tcW w:w="4761" w:type="dxa"/>
          </w:tcPr>
          <w:p w14:paraId="7FFFE88B" w14:textId="77777777" w:rsidR="008A78E3" w:rsidRPr="006A6890" w:rsidRDefault="008A78E3" w:rsidP="00181755">
            <w:pPr>
              <w:rPr>
                <w:rFonts w:asciiTheme="minorHAnsi" w:hAnsiTheme="minorHAnsi"/>
              </w:rPr>
            </w:pPr>
            <w:r w:rsidRPr="006A6890">
              <w:rPr>
                <w:rFonts w:asciiTheme="minorHAnsi" w:hAnsiTheme="minorHAnsi"/>
              </w:rPr>
              <w:t>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EBA által meghatározott egyéb változás eredményeként. (Hpt. 177. § (12) bekezdés)</w:t>
            </w:r>
          </w:p>
        </w:tc>
        <w:tc>
          <w:tcPr>
            <w:tcW w:w="4762" w:type="dxa"/>
          </w:tcPr>
          <w:p w14:paraId="7FFFE88C" w14:textId="77777777" w:rsidR="008A78E3" w:rsidRPr="006A6890" w:rsidRDefault="008A78E3" w:rsidP="00181755">
            <w:pPr>
              <w:rPr>
                <w:rFonts w:asciiTheme="minorHAnsi" w:hAnsiTheme="minorHAnsi"/>
                <w:b/>
              </w:rPr>
            </w:pPr>
            <w:r w:rsidRPr="006A6890">
              <w:rPr>
                <w:rFonts w:asciiTheme="minorHAnsi" w:hAnsiTheme="minorHAnsi"/>
              </w:rPr>
              <w:t>A Hpt. 185. § (1)-(2) bekezdéseiben meghatározott valamennyi intézkedés.</w:t>
            </w:r>
          </w:p>
        </w:tc>
      </w:tr>
      <w:tr w:rsidR="00527C4C" w14:paraId="7FFFE890" w14:textId="77777777" w:rsidTr="00175385">
        <w:tc>
          <w:tcPr>
            <w:tcW w:w="4761" w:type="dxa"/>
          </w:tcPr>
          <w:p w14:paraId="7FFFE88E" w14:textId="77777777" w:rsidR="008A78E3" w:rsidRPr="006A6890" w:rsidRDefault="008A78E3"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7FFFE88F" w14:textId="77777777" w:rsidR="008A78E3" w:rsidRPr="006A6890" w:rsidRDefault="008A78E3"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527C4C" w14:paraId="7FFFE895" w14:textId="77777777" w:rsidTr="00175385">
        <w:tc>
          <w:tcPr>
            <w:tcW w:w="4761" w:type="dxa"/>
          </w:tcPr>
          <w:p w14:paraId="7FFFE891" w14:textId="77777777" w:rsidR="008A78E3" w:rsidRPr="006A6890" w:rsidRDefault="008A78E3" w:rsidP="00181755">
            <w:pPr>
              <w:rPr>
                <w:rFonts w:asciiTheme="minorHAnsi" w:hAnsiTheme="minorHAnsi"/>
              </w:rPr>
            </w:pPr>
            <w:r w:rsidRPr="006A6890">
              <w:rPr>
                <w:rFonts w:asciiTheme="minorHAnsi" w:hAnsiTheme="minorHAnsi"/>
              </w:rPr>
              <w:t>Az MNB súlyos hiányosságokat tár fel a hitelintézet belső módszerének kockázat-megállapításával kapcsolatban.</w:t>
            </w:r>
            <w:r>
              <w:rPr>
                <w:rFonts w:asciiTheme="minorHAnsi" w:hAnsiTheme="minorHAnsi"/>
                <w:vertAlign w:val="superscript"/>
              </w:rPr>
              <w:footnoteReference w:id="20"/>
            </w:r>
          </w:p>
        </w:tc>
        <w:tc>
          <w:tcPr>
            <w:tcW w:w="4762" w:type="dxa"/>
          </w:tcPr>
          <w:p w14:paraId="7FFFE892" w14:textId="77777777" w:rsidR="008A78E3" w:rsidRPr="006A6890" w:rsidRDefault="008A78E3" w:rsidP="00181755">
            <w:pPr>
              <w:rPr>
                <w:rFonts w:asciiTheme="minorHAnsi" w:hAnsiTheme="minorHAnsi"/>
              </w:rPr>
            </w:pPr>
            <w:r w:rsidRPr="006A6890">
              <w:rPr>
                <w:rFonts w:asciiTheme="minorHAnsi" w:hAnsiTheme="minorHAnsi"/>
              </w:rPr>
              <w:t>A Hpt. a 179. § (3) bekezdés alapján az MNB</w:t>
            </w:r>
          </w:p>
          <w:p w14:paraId="7FFFE893" w14:textId="77777777" w:rsidR="008A78E3" w:rsidRPr="006A6890" w:rsidRDefault="008A78E3" w:rsidP="00181755">
            <w:pPr>
              <w:rPr>
                <w:rFonts w:asciiTheme="minorHAnsi" w:hAnsiTheme="minorHAnsi"/>
              </w:rPr>
            </w:pPr>
            <w:r w:rsidRPr="006A6890">
              <w:rPr>
                <w:rFonts w:asciiTheme="minorHAnsi" w:hAnsiTheme="minorHAnsi"/>
              </w:rPr>
              <w:t>- előírja a hitelintézet számára a módszertan korrigálását, vagy</w:t>
            </w:r>
          </w:p>
          <w:p w14:paraId="7FFFE894" w14:textId="77777777" w:rsidR="008A78E3" w:rsidRPr="006A6890" w:rsidRDefault="008A78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többlet-tőkekövetelmény előírása vagy egyéb megfelelő és hatékony eszköz alkalmazása révén.</w:t>
            </w:r>
          </w:p>
        </w:tc>
      </w:tr>
      <w:tr w:rsidR="00527C4C" w14:paraId="7FFFE89A" w14:textId="77777777" w:rsidTr="00175385">
        <w:tc>
          <w:tcPr>
            <w:tcW w:w="4761" w:type="dxa"/>
          </w:tcPr>
          <w:p w14:paraId="7FFFE896" w14:textId="77777777" w:rsidR="008A78E3" w:rsidRPr="006A6890" w:rsidRDefault="008A78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7FFFE897" w14:textId="77777777" w:rsidR="008A78E3" w:rsidRPr="006A6890" w:rsidRDefault="008A78E3" w:rsidP="00181755">
            <w:pPr>
              <w:rPr>
                <w:rFonts w:asciiTheme="minorHAnsi" w:hAnsiTheme="minorHAnsi"/>
              </w:rPr>
            </w:pPr>
            <w:r w:rsidRPr="006A6890">
              <w:rPr>
                <w:rFonts w:asciiTheme="minorHAnsi" w:hAnsiTheme="minorHAnsi"/>
              </w:rPr>
              <w:t>Az MNB a Hpt. a 179. § (4) bekezdés alapján előírja a hitelintézet számára, hogy</w:t>
            </w:r>
          </w:p>
          <w:p w14:paraId="7FFFE898" w14:textId="77777777" w:rsidR="008A78E3" w:rsidRPr="006A6890" w:rsidRDefault="008A78E3" w:rsidP="00181755">
            <w:pPr>
              <w:rPr>
                <w:rFonts w:asciiTheme="minorHAnsi" w:hAnsiTheme="minorHAnsi"/>
              </w:rPr>
            </w:pPr>
            <w:r w:rsidRPr="006A6890">
              <w:rPr>
                <w:rFonts w:asciiTheme="minorHAnsi" w:hAnsiTheme="minorHAnsi"/>
              </w:rPr>
              <w:t>- bizonyítsa, hogy a meg nem felelés hatásai nem jelentősek, vagy</w:t>
            </w:r>
          </w:p>
          <w:p w14:paraId="7FFFE899" w14:textId="77777777" w:rsidR="008A78E3" w:rsidRPr="006A6890" w:rsidRDefault="008A78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527C4C" w14:paraId="7FFFE89F" w14:textId="77777777" w:rsidTr="00175385">
        <w:tc>
          <w:tcPr>
            <w:tcW w:w="4761" w:type="dxa"/>
          </w:tcPr>
          <w:p w14:paraId="7FFFE89B" w14:textId="77777777" w:rsidR="008A78E3" w:rsidRPr="006A6890" w:rsidRDefault="008A78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7FFFE89C" w14:textId="77777777" w:rsidR="008A78E3" w:rsidRPr="006A6890" w:rsidRDefault="008A78E3" w:rsidP="00181755">
            <w:pPr>
              <w:rPr>
                <w:rFonts w:asciiTheme="minorHAnsi" w:hAnsiTheme="minorHAnsi"/>
              </w:rPr>
            </w:pPr>
            <w:r w:rsidRPr="006A6890">
              <w:rPr>
                <w:rFonts w:asciiTheme="minorHAnsi" w:hAnsiTheme="minorHAnsi"/>
              </w:rPr>
              <w:t>Az MNB 179. § (6) bekezdés alapján:</w:t>
            </w:r>
          </w:p>
          <w:p w14:paraId="7FFFE89D" w14:textId="77777777" w:rsidR="008A78E3" w:rsidRPr="006A6890" w:rsidRDefault="008A78E3" w:rsidP="00181755">
            <w:pPr>
              <w:rPr>
                <w:rFonts w:asciiTheme="minorHAnsi" w:hAnsiTheme="minorHAnsi"/>
              </w:rPr>
            </w:pPr>
            <w:r w:rsidRPr="006A6890">
              <w:rPr>
                <w:rFonts w:asciiTheme="minorHAnsi" w:hAnsiTheme="minorHAnsi"/>
              </w:rPr>
              <w:t>- visszavonja a belső módszer alkalmazására vonatkozó engedélyt,</w:t>
            </w:r>
          </w:p>
          <w:p w14:paraId="7FFFE89E" w14:textId="77777777" w:rsidR="008A78E3" w:rsidRPr="006A6890" w:rsidRDefault="008A78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527C4C" w14:paraId="7FFFE8A4" w14:textId="77777777" w:rsidTr="00175385">
        <w:tc>
          <w:tcPr>
            <w:tcW w:w="4761" w:type="dxa"/>
          </w:tcPr>
          <w:p w14:paraId="7FFFE8A0" w14:textId="77777777" w:rsidR="008A78E3" w:rsidRPr="006A6890" w:rsidRDefault="008A78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7FFFE8A1" w14:textId="77777777" w:rsidR="008A78E3" w:rsidRPr="006A6890" w:rsidRDefault="008A78E3" w:rsidP="00181755">
            <w:pPr>
              <w:rPr>
                <w:rFonts w:asciiTheme="minorHAnsi" w:hAnsiTheme="minorHAnsi"/>
              </w:rPr>
            </w:pPr>
            <w:r w:rsidRPr="006A6890">
              <w:rPr>
                <w:rFonts w:asciiTheme="minorHAnsi" w:hAnsiTheme="minorHAnsi"/>
              </w:rPr>
              <w:t>Az MNB a 179. § (7) bekezdés alapján</w:t>
            </w:r>
          </w:p>
          <w:p w14:paraId="7FFFE8A2" w14:textId="77777777" w:rsidR="008A78E3" w:rsidRPr="006A6890" w:rsidRDefault="008A78E3" w:rsidP="00181755">
            <w:pPr>
              <w:rPr>
                <w:rFonts w:asciiTheme="minorHAnsi" w:hAnsiTheme="minorHAnsi"/>
              </w:rPr>
            </w:pPr>
            <w:r w:rsidRPr="006A6890">
              <w:rPr>
                <w:rFonts w:asciiTheme="minorHAnsi" w:hAnsiTheme="minorHAnsi"/>
              </w:rPr>
              <w:t>- visszavonja a belső modell alkalmazására vonatkozó engedélyt, vagy</w:t>
            </w:r>
          </w:p>
          <w:p w14:paraId="7FFFE8A3" w14:textId="77777777" w:rsidR="008A78E3" w:rsidRPr="006A6890" w:rsidRDefault="008A78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7FFFE8A5" w14:textId="77777777" w:rsidR="008A78E3" w:rsidRPr="006A6890" w:rsidRDefault="008A78E3" w:rsidP="00181755">
      <w:pPr>
        <w:rPr>
          <w:rFonts w:asciiTheme="minorHAnsi" w:hAnsiTheme="minorHAnsi"/>
        </w:rPr>
      </w:pPr>
    </w:p>
    <w:p w14:paraId="7FFFE8A6" w14:textId="77777777" w:rsidR="008A78E3" w:rsidRPr="006A6890" w:rsidRDefault="008A78E3" w:rsidP="00CD1B46">
      <w:pPr>
        <w:pStyle w:val="Cmsor3"/>
        <w:numPr>
          <w:ilvl w:val="0"/>
          <w:numId w:val="0"/>
        </w:numPr>
        <w:rPr>
          <w:rFonts w:asciiTheme="minorHAnsi" w:hAnsiTheme="minorHAnsi"/>
        </w:rPr>
      </w:pPr>
      <w:r w:rsidRPr="006A6890">
        <w:rPr>
          <w:rFonts w:asciiTheme="minorHAnsi" w:hAnsiTheme="minorHAnsi"/>
        </w:rPr>
        <w:br w:type="page"/>
      </w:r>
      <w:bookmarkStart w:id="462" w:name="_Toc461095183"/>
      <w:bookmarkStart w:id="463" w:name="_Toc461179839"/>
      <w:bookmarkStart w:id="464" w:name="_Toc461201282"/>
      <w:bookmarkStart w:id="465" w:name="_Toc461547913"/>
      <w:bookmarkStart w:id="466" w:name="_Toc462401941"/>
      <w:bookmarkStart w:id="467" w:name="_Toc462403062"/>
      <w:bookmarkStart w:id="468" w:name="_Toc462403387"/>
      <w:bookmarkStart w:id="469" w:name="_Toc468180506"/>
      <w:bookmarkStart w:id="470" w:name="_Toc468181038"/>
      <w:bookmarkStart w:id="471" w:name="_Toc468191428"/>
      <w:bookmarkStart w:id="472" w:name="_Toc45119935"/>
      <w:bookmarkStart w:id="473" w:name="_Toc58512218"/>
      <w:r w:rsidRPr="006A6890">
        <w:rPr>
          <w:rFonts w:asciiTheme="minorHAnsi" w:hAnsiTheme="minorHAnsi"/>
        </w:rPr>
        <w:t xml:space="preserve"> </w:t>
      </w:r>
      <w:bookmarkEnd w:id="462"/>
      <w:bookmarkEnd w:id="463"/>
      <w:bookmarkEnd w:id="464"/>
      <w:bookmarkEnd w:id="465"/>
      <w:bookmarkEnd w:id="466"/>
      <w:bookmarkEnd w:id="467"/>
      <w:bookmarkEnd w:id="468"/>
      <w:bookmarkEnd w:id="469"/>
      <w:bookmarkEnd w:id="470"/>
      <w:bookmarkEnd w:id="471"/>
      <w:bookmarkEnd w:id="472"/>
      <w:bookmarkEnd w:id="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527C4C" w14:paraId="7FFFE8A9" w14:textId="77777777" w:rsidTr="00175385">
        <w:tc>
          <w:tcPr>
            <w:tcW w:w="4761" w:type="dxa"/>
          </w:tcPr>
          <w:p w14:paraId="7FFFE8A7" w14:textId="77777777" w:rsidR="008A78E3" w:rsidRPr="006A6890" w:rsidRDefault="008A78E3" w:rsidP="00181755">
            <w:pPr>
              <w:jc w:val="center"/>
              <w:rPr>
                <w:rFonts w:asciiTheme="minorHAnsi" w:hAnsiTheme="minorHAnsi"/>
                <w:b/>
              </w:rPr>
            </w:pPr>
          </w:p>
        </w:tc>
        <w:tc>
          <w:tcPr>
            <w:tcW w:w="4762" w:type="dxa"/>
          </w:tcPr>
          <w:p w14:paraId="7FFFE8A8" w14:textId="77777777" w:rsidR="008A78E3" w:rsidRPr="006A6890" w:rsidRDefault="008A78E3" w:rsidP="00181755">
            <w:pPr>
              <w:jc w:val="center"/>
              <w:rPr>
                <w:rFonts w:asciiTheme="minorHAnsi" w:hAnsiTheme="minorHAnsi"/>
                <w:b/>
              </w:rPr>
            </w:pPr>
          </w:p>
        </w:tc>
      </w:tr>
      <w:tr w:rsidR="00527C4C" w14:paraId="7FFFE8AB" w14:textId="77777777" w:rsidTr="00175385">
        <w:tc>
          <w:tcPr>
            <w:tcW w:w="9523" w:type="dxa"/>
            <w:gridSpan w:val="2"/>
          </w:tcPr>
          <w:p w14:paraId="7FFFE8AA" w14:textId="77777777" w:rsidR="008A78E3" w:rsidRPr="006A6890" w:rsidRDefault="008A78E3" w:rsidP="00181755">
            <w:pPr>
              <w:jc w:val="center"/>
              <w:rPr>
                <w:rFonts w:asciiTheme="minorHAnsi" w:hAnsiTheme="minorHAnsi"/>
                <w:b/>
              </w:rPr>
            </w:pPr>
          </w:p>
        </w:tc>
      </w:tr>
      <w:tr w:rsidR="00527C4C" w14:paraId="7FFFE8AE" w14:textId="77777777" w:rsidTr="00175385">
        <w:tc>
          <w:tcPr>
            <w:tcW w:w="4761" w:type="dxa"/>
          </w:tcPr>
          <w:p w14:paraId="7FFFE8AC" w14:textId="77777777" w:rsidR="008A78E3" w:rsidRPr="006A6890" w:rsidRDefault="008A78E3" w:rsidP="00181755">
            <w:pPr>
              <w:rPr>
                <w:rFonts w:asciiTheme="minorHAnsi" w:hAnsiTheme="minorHAnsi"/>
                <w:b/>
              </w:rPr>
            </w:pPr>
          </w:p>
        </w:tc>
        <w:tc>
          <w:tcPr>
            <w:tcW w:w="4762" w:type="dxa"/>
          </w:tcPr>
          <w:p w14:paraId="7FFFE8AD" w14:textId="77777777" w:rsidR="008A78E3" w:rsidRPr="006A6890" w:rsidRDefault="008A78E3" w:rsidP="00181755">
            <w:pPr>
              <w:rPr>
                <w:rFonts w:asciiTheme="minorHAnsi" w:hAnsiTheme="minorHAnsi"/>
              </w:rPr>
            </w:pPr>
          </w:p>
        </w:tc>
      </w:tr>
      <w:tr w:rsidR="00527C4C" w14:paraId="7FFFE8B0" w14:textId="77777777" w:rsidTr="00175385">
        <w:tc>
          <w:tcPr>
            <w:tcW w:w="9523" w:type="dxa"/>
            <w:gridSpan w:val="2"/>
          </w:tcPr>
          <w:p w14:paraId="7FFFE8AF" w14:textId="77777777" w:rsidR="008A78E3" w:rsidRPr="006A6890" w:rsidRDefault="008A78E3" w:rsidP="00181755">
            <w:pPr>
              <w:jc w:val="center"/>
              <w:rPr>
                <w:rFonts w:asciiTheme="minorHAnsi" w:hAnsiTheme="minorHAnsi"/>
                <w:b/>
              </w:rPr>
            </w:pPr>
          </w:p>
        </w:tc>
      </w:tr>
      <w:tr w:rsidR="00527C4C" w14:paraId="7FFFE8B3" w14:textId="77777777" w:rsidTr="00175385">
        <w:tc>
          <w:tcPr>
            <w:tcW w:w="4761" w:type="dxa"/>
          </w:tcPr>
          <w:p w14:paraId="7FFFE8B1" w14:textId="77777777" w:rsidR="008A78E3" w:rsidRPr="006A6890" w:rsidRDefault="008A78E3" w:rsidP="00181755">
            <w:pPr>
              <w:rPr>
                <w:rFonts w:asciiTheme="minorHAnsi" w:hAnsiTheme="minorHAnsi"/>
                <w:b/>
              </w:rPr>
            </w:pPr>
          </w:p>
        </w:tc>
        <w:tc>
          <w:tcPr>
            <w:tcW w:w="4762" w:type="dxa"/>
          </w:tcPr>
          <w:p w14:paraId="7FFFE8B2" w14:textId="77777777" w:rsidR="008A78E3" w:rsidRPr="006A6890" w:rsidRDefault="008A78E3" w:rsidP="00E0574B">
            <w:pPr>
              <w:rPr>
                <w:rFonts w:asciiTheme="minorHAnsi" w:hAnsiTheme="minorHAnsi"/>
              </w:rPr>
            </w:pPr>
          </w:p>
        </w:tc>
      </w:tr>
      <w:tr w:rsidR="00527C4C" w14:paraId="7FFFE8B6" w14:textId="77777777" w:rsidTr="00175385">
        <w:tc>
          <w:tcPr>
            <w:tcW w:w="4761" w:type="dxa"/>
          </w:tcPr>
          <w:p w14:paraId="7FFFE8B4" w14:textId="77777777" w:rsidR="008A78E3" w:rsidRPr="006A6890" w:rsidRDefault="008A78E3" w:rsidP="00181755">
            <w:pPr>
              <w:rPr>
                <w:rFonts w:asciiTheme="minorHAnsi" w:hAnsiTheme="minorHAnsi"/>
              </w:rPr>
            </w:pPr>
          </w:p>
        </w:tc>
        <w:tc>
          <w:tcPr>
            <w:tcW w:w="4762" w:type="dxa"/>
          </w:tcPr>
          <w:p w14:paraId="7FFFE8B5" w14:textId="77777777" w:rsidR="008A78E3" w:rsidRPr="006A6890" w:rsidRDefault="008A78E3" w:rsidP="00E0574B">
            <w:pPr>
              <w:rPr>
                <w:rFonts w:asciiTheme="minorHAnsi" w:hAnsiTheme="minorHAnsi"/>
              </w:rPr>
            </w:pPr>
          </w:p>
        </w:tc>
      </w:tr>
      <w:tr w:rsidR="00527C4C" w14:paraId="7FFFE8B9" w14:textId="77777777" w:rsidTr="00175385">
        <w:tc>
          <w:tcPr>
            <w:tcW w:w="4761" w:type="dxa"/>
          </w:tcPr>
          <w:p w14:paraId="7FFFE8B7" w14:textId="77777777" w:rsidR="008A78E3" w:rsidRPr="006A6890" w:rsidRDefault="008A78E3" w:rsidP="00181755">
            <w:pPr>
              <w:rPr>
                <w:rFonts w:asciiTheme="minorHAnsi" w:hAnsiTheme="minorHAnsi"/>
              </w:rPr>
            </w:pPr>
          </w:p>
        </w:tc>
        <w:tc>
          <w:tcPr>
            <w:tcW w:w="4762" w:type="dxa"/>
          </w:tcPr>
          <w:p w14:paraId="7FFFE8B8" w14:textId="77777777" w:rsidR="008A78E3" w:rsidRPr="006A6890" w:rsidRDefault="008A78E3" w:rsidP="00181755">
            <w:pPr>
              <w:rPr>
                <w:rFonts w:asciiTheme="minorHAnsi" w:hAnsiTheme="minorHAnsi"/>
              </w:rPr>
            </w:pPr>
          </w:p>
        </w:tc>
      </w:tr>
      <w:tr w:rsidR="00527C4C" w14:paraId="7FFFE8BC" w14:textId="77777777" w:rsidTr="00175385">
        <w:tc>
          <w:tcPr>
            <w:tcW w:w="4761" w:type="dxa"/>
          </w:tcPr>
          <w:p w14:paraId="7FFFE8BA" w14:textId="77777777" w:rsidR="008A78E3" w:rsidRPr="006A6890" w:rsidRDefault="008A78E3" w:rsidP="00181755">
            <w:pPr>
              <w:rPr>
                <w:rFonts w:asciiTheme="minorHAnsi" w:hAnsiTheme="minorHAnsi"/>
              </w:rPr>
            </w:pPr>
          </w:p>
        </w:tc>
        <w:tc>
          <w:tcPr>
            <w:tcW w:w="4762" w:type="dxa"/>
          </w:tcPr>
          <w:p w14:paraId="7FFFE8BB" w14:textId="77777777" w:rsidR="008A78E3" w:rsidRPr="006A6890" w:rsidRDefault="008A78E3" w:rsidP="00181755">
            <w:pPr>
              <w:rPr>
                <w:rFonts w:asciiTheme="minorHAnsi" w:hAnsiTheme="minorHAnsi"/>
              </w:rPr>
            </w:pPr>
          </w:p>
        </w:tc>
      </w:tr>
      <w:tr w:rsidR="00527C4C" w14:paraId="7FFFE8BF" w14:textId="77777777" w:rsidTr="00175385">
        <w:tc>
          <w:tcPr>
            <w:tcW w:w="4761" w:type="dxa"/>
          </w:tcPr>
          <w:p w14:paraId="7FFFE8BD" w14:textId="77777777" w:rsidR="008A78E3" w:rsidRPr="006A6890" w:rsidRDefault="008A78E3" w:rsidP="00181755">
            <w:pPr>
              <w:rPr>
                <w:rFonts w:asciiTheme="minorHAnsi" w:hAnsiTheme="minorHAnsi"/>
              </w:rPr>
            </w:pPr>
          </w:p>
        </w:tc>
        <w:tc>
          <w:tcPr>
            <w:tcW w:w="4762" w:type="dxa"/>
          </w:tcPr>
          <w:p w14:paraId="7FFFE8BE" w14:textId="77777777" w:rsidR="008A78E3" w:rsidRPr="006A6890" w:rsidRDefault="008A78E3" w:rsidP="00181755">
            <w:pPr>
              <w:rPr>
                <w:rFonts w:asciiTheme="minorHAnsi" w:hAnsiTheme="minorHAnsi"/>
              </w:rPr>
            </w:pPr>
          </w:p>
        </w:tc>
      </w:tr>
      <w:tr w:rsidR="00527C4C" w14:paraId="7FFFE8C2" w14:textId="77777777" w:rsidTr="00175385">
        <w:tc>
          <w:tcPr>
            <w:tcW w:w="4761" w:type="dxa"/>
          </w:tcPr>
          <w:p w14:paraId="7FFFE8C0" w14:textId="77777777" w:rsidR="008A78E3" w:rsidRPr="006A6890" w:rsidRDefault="008A78E3" w:rsidP="00181755">
            <w:pPr>
              <w:rPr>
                <w:rFonts w:asciiTheme="minorHAnsi" w:hAnsiTheme="minorHAnsi"/>
              </w:rPr>
            </w:pPr>
          </w:p>
        </w:tc>
        <w:tc>
          <w:tcPr>
            <w:tcW w:w="4762" w:type="dxa"/>
          </w:tcPr>
          <w:p w14:paraId="7FFFE8C1" w14:textId="77777777" w:rsidR="008A78E3" w:rsidRPr="006A6890" w:rsidRDefault="008A78E3" w:rsidP="00181755">
            <w:pPr>
              <w:rPr>
                <w:rFonts w:asciiTheme="minorHAnsi" w:hAnsiTheme="minorHAnsi"/>
              </w:rPr>
            </w:pPr>
          </w:p>
        </w:tc>
      </w:tr>
      <w:tr w:rsidR="00527C4C" w14:paraId="7FFFE8C5" w14:textId="77777777" w:rsidTr="00175385">
        <w:tc>
          <w:tcPr>
            <w:tcW w:w="4761" w:type="dxa"/>
          </w:tcPr>
          <w:p w14:paraId="7FFFE8C3" w14:textId="77777777" w:rsidR="008A78E3" w:rsidRPr="006A6890" w:rsidRDefault="008A78E3" w:rsidP="00181755">
            <w:pPr>
              <w:rPr>
                <w:rFonts w:asciiTheme="minorHAnsi" w:hAnsiTheme="minorHAnsi"/>
              </w:rPr>
            </w:pPr>
          </w:p>
        </w:tc>
        <w:tc>
          <w:tcPr>
            <w:tcW w:w="4762" w:type="dxa"/>
          </w:tcPr>
          <w:p w14:paraId="7FFFE8C4" w14:textId="77777777" w:rsidR="008A78E3" w:rsidRPr="006A6890" w:rsidRDefault="008A78E3" w:rsidP="00181755">
            <w:pPr>
              <w:rPr>
                <w:rFonts w:asciiTheme="minorHAnsi" w:hAnsiTheme="minorHAnsi"/>
              </w:rPr>
            </w:pPr>
          </w:p>
        </w:tc>
      </w:tr>
    </w:tbl>
    <w:p w14:paraId="7FFFE8C6" w14:textId="77777777" w:rsidR="008A78E3" w:rsidRPr="006A6890" w:rsidRDefault="008A78E3" w:rsidP="00181755">
      <w:pPr>
        <w:rPr>
          <w:rFonts w:asciiTheme="minorHAnsi" w:hAnsiTheme="minorHAnsi"/>
        </w:rPr>
      </w:pPr>
    </w:p>
    <w:p w14:paraId="7FFFE8C7" w14:textId="77777777" w:rsidR="008A78E3" w:rsidRPr="0055569D" w:rsidRDefault="008A78E3" w:rsidP="009F4CDA">
      <w:pPr>
        <w:pStyle w:val="Cmsor2"/>
      </w:pPr>
      <w:bookmarkStart w:id="474" w:name="_Toc461195777"/>
      <w:bookmarkStart w:id="475" w:name="_Toc461524860"/>
      <w:bookmarkStart w:id="476" w:name="_Toc461547914"/>
      <w:bookmarkStart w:id="477" w:name="_Toc461550204"/>
      <w:bookmarkStart w:id="478" w:name="_Toc462401942"/>
      <w:bookmarkStart w:id="479" w:name="_Toc462403063"/>
      <w:bookmarkStart w:id="480" w:name="_Toc462403388"/>
      <w:bookmarkStart w:id="481" w:name="_Toc462403817"/>
      <w:bookmarkStart w:id="482" w:name="_Toc462645685"/>
      <w:bookmarkStart w:id="483" w:name="_Toc468180507"/>
      <w:bookmarkStart w:id="484" w:name="_Toc468181039"/>
      <w:bookmarkStart w:id="485" w:name="_Toc461095184"/>
      <w:bookmarkStart w:id="486" w:name="_Toc461547915"/>
      <w:bookmarkStart w:id="487" w:name="_Toc462401943"/>
      <w:bookmarkStart w:id="488" w:name="_Toc462403064"/>
      <w:bookmarkStart w:id="489" w:name="_Toc462403389"/>
      <w:bookmarkStart w:id="490" w:name="_Toc468180508"/>
      <w:bookmarkStart w:id="491" w:name="_Toc468181040"/>
      <w:bookmarkStart w:id="492" w:name="_Toc468191429"/>
      <w:bookmarkStart w:id="493" w:name="_Toc45119936"/>
      <w:bookmarkStart w:id="494" w:name="_Toc58512219"/>
      <w:bookmarkStart w:id="495" w:name="_Toc158036639"/>
      <w:bookmarkStart w:id="496" w:name="_Toc461179214"/>
      <w:bookmarkStart w:id="497" w:name="_Toc461179840"/>
      <w:bookmarkEnd w:id="474"/>
      <w:bookmarkEnd w:id="475"/>
      <w:bookmarkEnd w:id="476"/>
      <w:bookmarkEnd w:id="477"/>
      <w:bookmarkEnd w:id="478"/>
      <w:bookmarkEnd w:id="479"/>
      <w:bookmarkEnd w:id="480"/>
      <w:bookmarkEnd w:id="481"/>
      <w:bookmarkEnd w:id="482"/>
      <w:bookmarkEnd w:id="483"/>
      <w:bookmarkEnd w:id="484"/>
      <w:r w:rsidRPr="0055569D">
        <w:t xml:space="preserve">Éves értékelés a teljes SREP folyamat tapasztalatairól a intézmények </w:t>
      </w:r>
      <w:bookmarkEnd w:id="485"/>
      <w:bookmarkEnd w:id="486"/>
      <w:bookmarkEnd w:id="487"/>
      <w:bookmarkEnd w:id="488"/>
      <w:bookmarkEnd w:id="489"/>
      <w:bookmarkEnd w:id="490"/>
      <w:bookmarkEnd w:id="491"/>
      <w:bookmarkEnd w:id="492"/>
      <w:r w:rsidRPr="0055569D">
        <w:t>részére</w:t>
      </w:r>
      <w:bookmarkEnd w:id="493"/>
      <w:bookmarkEnd w:id="494"/>
      <w:bookmarkEnd w:id="495"/>
    </w:p>
    <w:bookmarkEnd w:id="496"/>
    <w:bookmarkEnd w:id="497"/>
    <w:p w14:paraId="7FFFE8C8" w14:textId="77777777" w:rsidR="008A78E3" w:rsidRPr="006A6890" w:rsidRDefault="008A78E3"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7FFFE8C9" w14:textId="77777777" w:rsidR="008A78E3" w:rsidRPr="006A6890" w:rsidRDefault="008A78E3" w:rsidP="00181755">
      <w:pPr>
        <w:pStyle w:val="Cmsor1"/>
      </w:pPr>
      <w:r w:rsidRPr="006A6890">
        <w:br w:type="page"/>
      </w:r>
      <w:bookmarkStart w:id="498" w:name="_III._Az_ICAAP"/>
      <w:bookmarkStart w:id="499" w:name="_Toc156101215"/>
      <w:bookmarkStart w:id="500" w:name="_Toc378256224"/>
      <w:bookmarkStart w:id="501" w:name="_Toc378592032"/>
      <w:bookmarkStart w:id="502" w:name="_Toc461095185"/>
      <w:bookmarkStart w:id="503" w:name="_Toc461179215"/>
      <w:bookmarkStart w:id="504" w:name="_Toc461179841"/>
      <w:bookmarkStart w:id="505" w:name="_Toc461197756"/>
      <w:bookmarkStart w:id="506" w:name="_Toc461201284"/>
      <w:bookmarkStart w:id="507" w:name="_Toc461547916"/>
      <w:bookmarkStart w:id="508" w:name="_Toc462401944"/>
      <w:bookmarkStart w:id="509" w:name="_Toc462403065"/>
      <w:bookmarkStart w:id="510" w:name="_Toc462403390"/>
      <w:bookmarkStart w:id="511" w:name="_Toc468180509"/>
      <w:bookmarkStart w:id="512" w:name="_Toc468181041"/>
      <w:bookmarkStart w:id="513" w:name="_Toc468191430"/>
      <w:bookmarkStart w:id="514" w:name="_Toc45119937"/>
      <w:bookmarkStart w:id="515" w:name="_Toc58512220"/>
      <w:bookmarkStart w:id="516" w:name="_Toc158036640"/>
      <w:bookmarkEnd w:id="498"/>
      <w:r w:rsidRPr="006A6890">
        <w:t>Az ICAAP összetevői</w:t>
      </w:r>
      <w:bookmarkEnd w:id="499"/>
      <w:bookmarkEnd w:id="500"/>
      <w:bookmarkEnd w:id="501"/>
      <w:r w:rsidRPr="006A6890">
        <w:t xml:space="preserve"> és felügyeleti felülvizsgálata</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7FFFE8CA" w14:textId="77777777" w:rsidR="008A78E3" w:rsidRPr="0055569D" w:rsidRDefault="008A78E3" w:rsidP="009F4CDA">
      <w:pPr>
        <w:pStyle w:val="Cmsor2"/>
      </w:pPr>
      <w:bookmarkStart w:id="517" w:name="_Toc461195780"/>
      <w:bookmarkStart w:id="518" w:name="_Toc461524863"/>
      <w:bookmarkStart w:id="519" w:name="_Toc461547917"/>
      <w:bookmarkStart w:id="520" w:name="_Toc461550207"/>
      <w:bookmarkStart w:id="521" w:name="_Toc462401945"/>
      <w:bookmarkStart w:id="522" w:name="_Toc462403066"/>
      <w:bookmarkStart w:id="523" w:name="_Toc462403391"/>
      <w:bookmarkStart w:id="524" w:name="_Toc462403820"/>
      <w:bookmarkStart w:id="525" w:name="_Toc462645688"/>
      <w:bookmarkStart w:id="526" w:name="_Toc468180510"/>
      <w:bookmarkStart w:id="527" w:name="_Toc468181042"/>
      <w:bookmarkStart w:id="528" w:name="_Toc462401946"/>
      <w:bookmarkStart w:id="529" w:name="_Toc462403067"/>
      <w:bookmarkStart w:id="530" w:name="_Toc462403392"/>
      <w:bookmarkStart w:id="531" w:name="_Toc468180511"/>
      <w:bookmarkStart w:id="532" w:name="_Toc468181043"/>
      <w:bookmarkStart w:id="533" w:name="_Toc468191431"/>
      <w:bookmarkStart w:id="534" w:name="_Toc45119938"/>
      <w:bookmarkStart w:id="535" w:name="_Toc58512221"/>
      <w:bookmarkStart w:id="536" w:name="_Toc158036641"/>
      <w:bookmarkStart w:id="537" w:name="_Toc461095186"/>
      <w:bookmarkStart w:id="538" w:name="_Toc461547918"/>
      <w:bookmarkStart w:id="539" w:name="_Toc461179216"/>
      <w:bookmarkStart w:id="540" w:name="_Toc461179842"/>
      <w:bookmarkEnd w:id="517"/>
      <w:bookmarkEnd w:id="518"/>
      <w:bookmarkEnd w:id="519"/>
      <w:bookmarkEnd w:id="520"/>
      <w:bookmarkEnd w:id="521"/>
      <w:bookmarkEnd w:id="522"/>
      <w:bookmarkEnd w:id="523"/>
      <w:bookmarkEnd w:id="524"/>
      <w:bookmarkEnd w:id="525"/>
      <w:bookmarkEnd w:id="526"/>
      <w:bookmarkEnd w:id="527"/>
      <w:r w:rsidRPr="0055569D">
        <w:t>ICAAP irányítás és kontrollrendszerek – kockázatkezelés</w:t>
      </w:r>
      <w:bookmarkEnd w:id="528"/>
      <w:bookmarkEnd w:id="529"/>
      <w:bookmarkEnd w:id="530"/>
      <w:bookmarkEnd w:id="531"/>
      <w:bookmarkEnd w:id="532"/>
      <w:bookmarkEnd w:id="533"/>
      <w:bookmarkEnd w:id="534"/>
      <w:bookmarkEnd w:id="535"/>
      <w:bookmarkEnd w:id="536"/>
    </w:p>
    <w:p w14:paraId="7FFFE8CB" w14:textId="77777777" w:rsidR="008A78E3" w:rsidRPr="006A6890" w:rsidRDefault="008A78E3"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7FFFE8CC" w14:textId="77777777" w:rsidR="008A78E3" w:rsidRPr="006A6890" w:rsidRDefault="008A78E3" w:rsidP="00181755">
      <w:pPr>
        <w:pStyle w:val="Cmsor3"/>
        <w:rPr>
          <w:rFonts w:asciiTheme="minorHAnsi" w:hAnsiTheme="minorHAnsi"/>
        </w:rPr>
      </w:pPr>
      <w:bookmarkStart w:id="541" w:name="_Toc462401947"/>
      <w:bookmarkStart w:id="542" w:name="_Toc462403068"/>
      <w:bookmarkStart w:id="543" w:name="_Toc462403393"/>
      <w:bookmarkStart w:id="544" w:name="_Toc468180512"/>
      <w:bookmarkStart w:id="545" w:name="_Toc468181044"/>
      <w:bookmarkStart w:id="546" w:name="_Toc468191432"/>
      <w:bookmarkStart w:id="547" w:name="_Toc45119939"/>
      <w:bookmarkStart w:id="548" w:name="_Toc58512222"/>
      <w:bookmarkStart w:id="549" w:name="_Toc158036642"/>
      <w:r w:rsidRPr="006A6890">
        <w:rPr>
          <w:rFonts w:asciiTheme="minorHAnsi" w:hAnsiTheme="minorHAnsi"/>
        </w:rPr>
        <w:t>ICAAP tudatosság</w:t>
      </w:r>
      <w:bookmarkEnd w:id="541"/>
      <w:bookmarkEnd w:id="542"/>
      <w:bookmarkEnd w:id="543"/>
      <w:bookmarkEnd w:id="544"/>
      <w:bookmarkEnd w:id="545"/>
      <w:bookmarkEnd w:id="546"/>
      <w:bookmarkEnd w:id="547"/>
      <w:bookmarkEnd w:id="548"/>
      <w:bookmarkEnd w:id="549"/>
    </w:p>
    <w:p w14:paraId="7FFFE8CD" w14:textId="77777777" w:rsidR="008A78E3" w:rsidRPr="006A6890" w:rsidRDefault="008A78E3"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7FFFE8CE" w14:textId="77777777" w:rsidR="008A78E3" w:rsidRPr="006A6890" w:rsidRDefault="008A78E3"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FFFE8CF" w14:textId="77777777" w:rsidR="008A78E3" w:rsidRPr="006A6890" w:rsidRDefault="008A78E3"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FFFE8D0" w14:textId="77777777" w:rsidR="008A78E3" w:rsidRPr="006A6890" w:rsidRDefault="008A78E3"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7FFFE8D1" w14:textId="77777777" w:rsidR="008A78E3" w:rsidRPr="006A6890" w:rsidRDefault="008A78E3"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7FFFE8D2"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7FFFE8D3"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szabályozói megfelelésen túlmenően, a kockázatok belső gazdasági tartalmából indul ki,  </w:t>
      </w:r>
    </w:p>
    <w:p w14:paraId="7FFFE8D4" w14:textId="77777777" w:rsidR="008A78E3" w:rsidRPr="006A6890" w:rsidRDefault="008A78E3"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7FFFE8D5" w14:textId="77777777" w:rsidR="008A78E3" w:rsidRPr="006A6890" w:rsidRDefault="008A78E3" w:rsidP="00181755">
      <w:pPr>
        <w:pStyle w:val="felsorolsos"/>
        <w:rPr>
          <w:rFonts w:asciiTheme="minorHAnsi" w:hAnsiTheme="minorHAnsi"/>
        </w:rPr>
      </w:pPr>
      <w:r w:rsidRPr="006A6890">
        <w:rPr>
          <w:rFonts w:asciiTheme="minorHAnsi" w:hAnsiTheme="minorHAnsi"/>
        </w:rPr>
        <w:t>lehetővé teszi a kockázatok ICAAP keretében történő, 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p>
    <w:p w14:paraId="7FFFE8D6" w14:textId="77777777" w:rsidR="008A78E3" w:rsidRPr="006A6890" w:rsidRDefault="008A78E3" w:rsidP="00181755">
      <w:pPr>
        <w:pStyle w:val="felsorolsos"/>
        <w:rPr>
          <w:rFonts w:asciiTheme="minorHAnsi" w:hAnsiTheme="minorHAnsi"/>
        </w:rPr>
      </w:pPr>
      <w:r w:rsidRPr="006A6890">
        <w:rPr>
          <w:rFonts w:asciiTheme="minorHAnsi" w:hAnsiTheme="minorHAnsi"/>
        </w:rPr>
        <w:t>a rövid, éven belüli és pontosan 1 éves időhorizonton felmerülő kockázatok mellett az intézmény középtávú (3-5 éves) életképességét is felméri, és</w:t>
      </w:r>
    </w:p>
    <w:p w14:paraId="7FFFE8D7"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mindezen szempontok alapján tényleges felsővezetői döntések meghozatalára kerül sor. </w:t>
      </w:r>
    </w:p>
    <w:p w14:paraId="7FFFE8D8" w14:textId="77777777" w:rsidR="008A78E3" w:rsidRPr="006A6890" w:rsidRDefault="008A78E3"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legalább negyedéves, szükség esetén havi gyakoriság elvárt (például amennyiben az intézmény tőkehelyzete azt indokolja, azaz a mindenkor hatályban lévő OCR ráta által a TREA arányában meghatározott tőkekövetelmény feletti szabad tőke nem éri el az 2%-os mértéket). </w:t>
      </w:r>
    </w:p>
    <w:p w14:paraId="7FFFE8D9" w14:textId="77777777" w:rsidR="008A78E3" w:rsidRPr="006A6890" w:rsidRDefault="008A78E3" w:rsidP="00181755">
      <w:pPr>
        <w:pStyle w:val="Cmsor3"/>
        <w:rPr>
          <w:rFonts w:asciiTheme="minorHAnsi" w:hAnsiTheme="minorHAnsi"/>
        </w:rPr>
      </w:pPr>
      <w:bookmarkStart w:id="550" w:name="_Toc462401948"/>
      <w:bookmarkStart w:id="551" w:name="_Toc462403069"/>
      <w:bookmarkStart w:id="552" w:name="_Toc462403394"/>
      <w:bookmarkStart w:id="553" w:name="_Toc468180513"/>
      <w:bookmarkStart w:id="554" w:name="_Toc468181045"/>
      <w:bookmarkStart w:id="555" w:name="_Toc468191433"/>
      <w:bookmarkStart w:id="556" w:name="_Toc45119940"/>
      <w:bookmarkStart w:id="557" w:name="_Toc58512223"/>
      <w:bookmarkStart w:id="558" w:name="_Toc158036643"/>
      <w:r w:rsidRPr="006A6890">
        <w:rPr>
          <w:rFonts w:asciiTheme="minorHAnsi" w:hAnsiTheme="minorHAnsi"/>
        </w:rPr>
        <w:t>ICAAP szabályozottság, vállalatirányítás és belső ellenőrzés</w:t>
      </w:r>
      <w:bookmarkEnd w:id="550"/>
      <w:bookmarkEnd w:id="551"/>
      <w:bookmarkEnd w:id="552"/>
      <w:bookmarkEnd w:id="553"/>
      <w:bookmarkEnd w:id="554"/>
      <w:bookmarkEnd w:id="555"/>
      <w:bookmarkEnd w:id="556"/>
      <w:bookmarkEnd w:id="557"/>
      <w:bookmarkEnd w:id="558"/>
    </w:p>
    <w:p w14:paraId="7FFFE8DA" w14:textId="77777777" w:rsidR="008A78E3" w:rsidRPr="006A6890" w:rsidRDefault="008A78E3" w:rsidP="00AA57CA">
      <w:pPr>
        <w:rPr>
          <w:rFonts w:asciiTheme="minorHAnsi" w:hAnsiTheme="minorHAnsi"/>
        </w:rPr>
      </w:pPr>
      <w:bookmarkStart w:id="559" w:name="_Toc462401949"/>
      <w:bookmarkStart w:id="560" w:name="_Toc462403070"/>
      <w:r w:rsidRPr="006A6890">
        <w:rPr>
          <w:rFonts w:asciiTheme="minorHAnsi" w:hAnsiTheme="minorHAnsi"/>
        </w:rPr>
        <w:t>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fő elemeit</w:t>
      </w:r>
      <w:r>
        <w:rPr>
          <w:rFonts w:asciiTheme="minorHAnsi" w:hAnsiTheme="minorHAnsi"/>
        </w:rPr>
        <w:t>, amennyiben azokban materiális módosítás történik</w:t>
      </w:r>
      <w:r w:rsidRPr="006A6890">
        <w:rPr>
          <w:rFonts w:asciiTheme="minorHAnsi" w:hAnsiTheme="minorHAnsi"/>
        </w:rPr>
        <w:t xml:space="preserve"> (ICAAP keretrendszer, ICAAP stratégia, kockázati étvágy)</w:t>
      </w:r>
      <w:r>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59"/>
      <w:bookmarkEnd w:id="560"/>
    </w:p>
    <w:p w14:paraId="7FFFE8DB" w14:textId="77777777" w:rsidR="008A78E3" w:rsidRPr="007420CE" w:rsidRDefault="008A78E3" w:rsidP="00AA57CA">
      <w:pPr>
        <w:rPr>
          <w:rFonts w:asciiTheme="minorHAnsi" w:hAnsiTheme="minorHAnsi"/>
        </w:rPr>
      </w:pPr>
      <w:r w:rsidRPr="007420CE">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vizsgálnia kell a csoport- (azaz, összevont konszolidált) és egyedi (azaz, az egyes csoporttagok) szinten az ICAAP keretrendszer megfelelő működését, szervezeti beágyazottságát az alábbiak szerint:</w:t>
      </w:r>
    </w:p>
    <w:p w14:paraId="7FFFE8DC" w14:textId="77777777" w:rsidR="008A78E3" w:rsidRDefault="008A78E3"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Az MNB elfogadhatónak tartja, ha a belső ellenőrzés az ICAAP keretrendszer működésének, folyamatainak felülvizsgálatát, a keretrendszer egyes elemeinek ellenőrzési gyakorisáságát a nettó (kockázat mértéke és a kockázat kontroll minősége alapján megmaradó) kockázat alapján határozza meg. </w:t>
      </w:r>
      <w:r w:rsidRPr="000A3B57">
        <w:rPr>
          <w:rFonts w:asciiTheme="minorHAnsi" w:hAnsiTheme="minorHAnsi"/>
          <w:sz w:val="22"/>
          <w:szCs w:val="22"/>
        </w:rPr>
        <w:t>Az MNB jó gyakorlatnak tartja, hogy az egyes ICAAP elemek kockázat alapon</w:t>
      </w:r>
      <w:r>
        <w:rPr>
          <w:rFonts w:asciiTheme="minorHAnsi" w:hAnsiTheme="minorHAnsi"/>
          <w:sz w:val="22"/>
          <w:szCs w:val="22"/>
        </w:rPr>
        <w:t xml:space="preserve"> –</w:t>
      </w:r>
      <w:r w:rsidRPr="000A3B57">
        <w:rPr>
          <w:rFonts w:asciiTheme="minorHAnsi" w:hAnsiTheme="minorHAnsi"/>
          <w:sz w:val="22"/>
          <w:szCs w:val="22"/>
        </w:rPr>
        <w:t xml:space="preserve"> kockázati súlyuknak megfelelő gyakorisággal </w:t>
      </w:r>
      <w:r>
        <w:rPr>
          <w:rFonts w:asciiTheme="minorHAnsi" w:hAnsiTheme="minorHAnsi"/>
          <w:sz w:val="22"/>
          <w:szCs w:val="22"/>
        </w:rPr>
        <w:t>–</w:t>
      </w:r>
      <w:r w:rsidRPr="000A3B57">
        <w:rPr>
          <w:rFonts w:asciiTheme="minorHAnsi" w:hAnsiTheme="minorHAnsi"/>
          <w:sz w:val="22"/>
          <w:szCs w:val="22"/>
        </w:rPr>
        <w:t xml:space="preserve">  kerüljenek ellenőrzésre</w:t>
      </w:r>
      <w:r w:rsidRPr="0055569D">
        <w:rPr>
          <w:rFonts w:asciiTheme="minorHAnsi" w:hAnsiTheme="minorHAnsi"/>
          <w:sz w:val="22"/>
        </w:rPr>
        <w:t xml:space="preserve">. Az </w:t>
      </w:r>
      <w:r>
        <w:rPr>
          <w:rFonts w:asciiTheme="minorHAnsi" w:hAnsiTheme="minorHAnsi"/>
          <w:sz w:val="22"/>
          <w:szCs w:val="22"/>
        </w:rPr>
        <w:t>MNB elvárja azonban, hogy minden kockázattípus – tehát az</w:t>
      </w:r>
      <w:r w:rsidRPr="0055569D">
        <w:rPr>
          <w:rFonts w:asciiTheme="minorHAnsi" w:hAnsiTheme="minorHAnsi"/>
          <w:sz w:val="22"/>
        </w:rPr>
        <w:t xml:space="preserve"> alacsony </w:t>
      </w:r>
      <w:r>
        <w:rPr>
          <w:rFonts w:asciiTheme="minorHAnsi" w:hAnsiTheme="minorHAnsi"/>
          <w:sz w:val="22"/>
          <w:szCs w:val="22"/>
        </w:rPr>
        <w:t>kockázatú elem is –</w:t>
      </w:r>
      <w:r w:rsidRPr="0055569D">
        <w:rPr>
          <w:rFonts w:asciiTheme="minorHAnsi" w:hAnsiTheme="minorHAnsi"/>
          <w:sz w:val="22"/>
        </w:rPr>
        <w:t xml:space="preserve"> legalább 3 évente </w:t>
      </w:r>
      <w:r>
        <w:rPr>
          <w:rFonts w:asciiTheme="minorHAnsi" w:hAnsiTheme="minorHAnsi"/>
          <w:sz w:val="22"/>
          <w:szCs w:val="22"/>
        </w:rPr>
        <w:t>felülvizsgálatra kerül.</w:t>
      </w:r>
      <w:r w:rsidRPr="000A3B57">
        <w:rPr>
          <w:rFonts w:asciiTheme="minorHAnsi" w:hAnsiTheme="minorHAnsi"/>
          <w:sz w:val="22"/>
          <w:szCs w:val="22"/>
        </w:rPr>
        <w:t xml:space="preserve"> </w:t>
      </w:r>
    </w:p>
    <w:p w14:paraId="7FFFE8DD" w14:textId="77777777" w:rsidR="008A78E3" w:rsidRPr="007420CE" w:rsidRDefault="008A78E3"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A belső ellenőrzésnek évente, az ICAAP vizsgálatot megelőzően vizsgálnia kell az MNB által előírt ICAAP feladatok teljesítését, és ennek eredményét az ICAAP vizsgálat keretében előzetesen át kell adni az MNB számára. A belső ellenőrzésnek a vizsgálatoknál az alábbiakat kell figyelembe venni:</w:t>
      </w:r>
      <w:r>
        <w:rPr>
          <w:rFonts w:asciiTheme="minorHAnsi" w:hAnsiTheme="minorHAnsi"/>
          <w:sz w:val="22"/>
          <w:szCs w:val="22"/>
        </w:rPr>
        <w:t xml:space="preserve"> </w:t>
      </w:r>
      <w:r w:rsidRPr="007420CE">
        <w:rPr>
          <w:rFonts w:asciiTheme="minorHAnsi" w:hAnsiTheme="minorHAnsi"/>
          <w:sz w:val="22"/>
          <w:szCs w:val="22"/>
        </w:rPr>
        <w:t>rendelkezzen megfelelő éves ICAAP ellenőrzési tervvel, annak, valamint a korábbi auditok keretében feltárt hiányosságok megszüntetésének (azaz, annak bemutatását, hogy a belső ellenőrzés által ICAAP témakörökben tett megállapításait a felelős terület határidőben végrehajtotta) teljesüléséről negyedéves gyakorisággal tájékoztassa az intézmény érintett döntéshozó fórumait</w:t>
      </w:r>
      <w:r>
        <w:rPr>
          <w:rFonts w:asciiTheme="minorHAnsi" w:hAnsiTheme="minorHAnsi"/>
          <w:sz w:val="22"/>
          <w:szCs w:val="22"/>
        </w:rPr>
        <w:t>.</w:t>
      </w:r>
    </w:p>
    <w:p w14:paraId="7FFFE8DE" w14:textId="77777777" w:rsidR="008A78E3" w:rsidRPr="006A6890" w:rsidRDefault="008A78E3"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rPr>
        <w:t xml:space="preserve">A belső ellenőrzés </w:t>
      </w:r>
      <w:r w:rsidRPr="006A6890">
        <w:rPr>
          <w:rFonts w:asciiTheme="minorHAnsi" w:hAnsiTheme="minorHAnsi"/>
          <w:sz w:val="22"/>
          <w:szCs w:val="22"/>
        </w:rPr>
        <w:t xml:space="preserve">fedje le az intézmény minden csoporttagját, ICAAP modelljét, valamint csoportszinten és csoportszemléletben is kerüljön mindez elvégzésre, </w:t>
      </w:r>
      <w:r w:rsidRPr="006A6890">
        <w:rPr>
          <w:rFonts w:asciiTheme="minorHAnsi" w:hAnsiTheme="minorHAnsi"/>
          <w:color w:val="000000" w:themeColor="text1"/>
          <w:sz w:val="22"/>
        </w:rPr>
        <w:t>azzal a kiegészítéssel, hogy harmadik országban működő, illetőleg a vizsgálat vonatkozási időpontjában 500 milliárd forint értéknél alacsonyabb szubkonszolidált mérlegfőösszeggel rendelkező leányvállalat esetén egyszerűsített ICAAP keretrendszer is elfogadható</w:t>
      </w:r>
      <w:r>
        <w:rPr>
          <w:rFonts w:asciiTheme="minorHAnsi" w:hAnsiTheme="minorHAnsi"/>
          <w:color w:val="000000" w:themeColor="text1"/>
          <w:sz w:val="22"/>
        </w:rPr>
        <w:t>.</w:t>
      </w:r>
    </w:p>
    <w:p w14:paraId="7FFFE8DF" w14:textId="77777777" w:rsidR="008A78E3" w:rsidRPr="006A6890" w:rsidRDefault="008A78E3"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A belső ellenőrzés a</w:t>
      </w:r>
      <w:r w:rsidRPr="006A6890">
        <w:rPr>
          <w:rFonts w:asciiTheme="minorHAnsi" w:hAnsiTheme="minorHAnsi"/>
          <w:sz w:val="22"/>
          <w:szCs w:val="22"/>
        </w:rPr>
        <w:t>z ICAAP keretrendszert folyamatszemléletben tekintse át</w:t>
      </w:r>
      <w:r>
        <w:rPr>
          <w:rFonts w:asciiTheme="minorHAnsi" w:hAnsiTheme="minorHAnsi"/>
          <w:sz w:val="22"/>
          <w:szCs w:val="22"/>
        </w:rPr>
        <w:t>.</w:t>
      </w:r>
    </w:p>
    <w:p w14:paraId="7FFFE8E0" w14:textId="77777777" w:rsidR="008A78E3" w:rsidRPr="006A6890" w:rsidRDefault="008A78E3"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 xml:space="preserve">A </w:t>
      </w:r>
      <w:r w:rsidRPr="006A6890">
        <w:rPr>
          <w:rFonts w:asciiTheme="minorHAnsi" w:hAnsiTheme="minorHAnsi"/>
          <w:sz w:val="22"/>
          <w:szCs w:val="22"/>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Pr>
          <w:rFonts w:asciiTheme="minorHAnsi" w:hAnsiTheme="minorHAnsi"/>
          <w:sz w:val="22"/>
          <w:szCs w:val="22"/>
        </w:rPr>
        <w:t>.</w:t>
      </w:r>
    </w:p>
    <w:p w14:paraId="7FFFE8E1" w14:textId="77777777" w:rsidR="008A78E3" w:rsidRPr="006A6890" w:rsidRDefault="008A78E3"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A</w:t>
      </w:r>
      <w:r w:rsidRPr="006A6890">
        <w:rPr>
          <w:rFonts w:asciiTheme="minorHAnsi" w:hAnsiTheme="minorHAnsi"/>
          <w:sz w:val="22"/>
          <w:szCs w:val="22"/>
        </w:rPr>
        <w:t xml:space="preserve">z ICAAP folyamatok tényleges felhasználásáról is szükséges felsővezetői visszacsatolás belső ellenőrzési értékelés alapján. </w:t>
      </w:r>
    </w:p>
    <w:p w14:paraId="7FFFE8E2" w14:textId="77777777" w:rsidR="008A78E3" w:rsidRPr="006A6890" w:rsidRDefault="008A78E3" w:rsidP="00AA57CA">
      <w:pPr>
        <w:rPr>
          <w:rFonts w:asciiTheme="minorHAnsi" w:hAnsiTheme="minorHAnsi"/>
        </w:rPr>
      </w:pPr>
      <w:r w:rsidRPr="006A6890">
        <w:rPr>
          <w:rFonts w:asciiTheme="minorHAnsi" w:hAnsiTheme="minorHAnsi"/>
        </w:rPr>
        <w:t>Az előzőek szerint, a belső tőkeszükséglet-számítási folyamatnak be kell épülnie az intézmény kockázatmérési és -kontroll folyamataiba. Ennek lépéseit az alábbi pontokkal lényegében összhangban álló módon javasolt végrehajtani.</w:t>
      </w:r>
    </w:p>
    <w:p w14:paraId="7FFFE8E3" w14:textId="77777777" w:rsidR="008A78E3" w:rsidRPr="006A6890" w:rsidRDefault="008A78E3" w:rsidP="00181755">
      <w:pPr>
        <w:pStyle w:val="Cmsor3"/>
        <w:rPr>
          <w:rFonts w:asciiTheme="minorHAnsi" w:hAnsiTheme="minorHAnsi"/>
        </w:rPr>
      </w:pPr>
      <w:bookmarkStart w:id="561" w:name="_Toc462401950"/>
      <w:bookmarkStart w:id="562" w:name="_Toc462403071"/>
      <w:bookmarkStart w:id="563" w:name="_Toc462403395"/>
      <w:bookmarkStart w:id="564" w:name="_Toc468180514"/>
      <w:bookmarkStart w:id="565" w:name="_Toc468181046"/>
      <w:bookmarkStart w:id="566" w:name="_Toc468191434"/>
      <w:bookmarkStart w:id="567" w:name="_Toc45119941"/>
      <w:bookmarkStart w:id="568" w:name="_Toc58512224"/>
      <w:bookmarkStart w:id="569" w:name="_Toc158036644"/>
      <w:r w:rsidRPr="006A6890">
        <w:rPr>
          <w:rFonts w:asciiTheme="minorHAnsi" w:hAnsiTheme="minorHAnsi"/>
        </w:rPr>
        <w:t>A tőkemegfelelés belső értékelési eljárására kialakított keretrendszer</w:t>
      </w:r>
      <w:bookmarkEnd w:id="561"/>
      <w:bookmarkEnd w:id="562"/>
      <w:bookmarkEnd w:id="563"/>
      <w:bookmarkEnd w:id="564"/>
      <w:bookmarkEnd w:id="565"/>
      <w:bookmarkEnd w:id="566"/>
      <w:bookmarkEnd w:id="567"/>
      <w:bookmarkEnd w:id="568"/>
      <w:bookmarkEnd w:id="569"/>
    </w:p>
    <w:p w14:paraId="7FFFE8E4" w14:textId="77777777" w:rsidR="008A78E3" w:rsidRPr="006A6890" w:rsidRDefault="008A78E3"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7FFFE8E5" w14:textId="77777777" w:rsidR="008A78E3" w:rsidRPr="006A6890" w:rsidRDefault="008A78E3" w:rsidP="00AA57CA">
      <w:pPr>
        <w:rPr>
          <w:rFonts w:asciiTheme="minorHAnsi" w:hAnsiTheme="minorHAnsi"/>
        </w:rPr>
      </w:pPr>
      <w:r w:rsidRPr="006A6890">
        <w:rPr>
          <w:rFonts w:asciiTheme="minorHAnsi" w:hAnsiTheme="minorHAnsi"/>
        </w:rPr>
        <w:t>Az értékelés során az MNB figyelembe veszi, hogy:</w:t>
      </w:r>
    </w:p>
    <w:p w14:paraId="7FFFE8E6" w14:textId="77777777" w:rsidR="008A78E3" w:rsidRPr="006A6890" w:rsidRDefault="008A78E3" w:rsidP="00CD1B46">
      <w:pPr>
        <w:pStyle w:val="Listaszerbekezds"/>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megfelelőek-e és egymással összhangban állóak-e minden kockázatra vonatkozóan, megbízható, empirikus bemeneti adatokon alapulnak-e, megbízhatóan kalibrált paramétereket használnak-e, és egyenlően alkalmazzák-e őket a kockázatok mérése, valamint a tőkekezelés céljából,</w:t>
      </w:r>
    </w:p>
    <w:p w14:paraId="7FFFE8E7" w14:textId="77777777" w:rsidR="008A78E3" w:rsidRPr="006A6890" w:rsidRDefault="008A78E3" w:rsidP="00CD1B46">
      <w:pPr>
        <w:pStyle w:val="Listaszerbekezds"/>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 belső diverzifikációs feltevések tükrözik-e az üzleti modellt és a kockázati stratégiákat.</w:t>
      </w:r>
    </w:p>
    <w:p w14:paraId="7FFFE8E8" w14:textId="77777777" w:rsidR="008A78E3" w:rsidRPr="006A6890" w:rsidRDefault="008A78E3"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 valamint a tőketervek és a stratégia közti összhang megteremtése.</w:t>
      </w:r>
    </w:p>
    <w:p w14:paraId="7FFFE8E9" w14:textId="77777777" w:rsidR="008A78E3" w:rsidRPr="006A6890" w:rsidRDefault="008A78E3"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7FFFE8EA" w14:textId="77777777" w:rsidR="008A78E3" w:rsidRPr="006A6890" w:rsidRDefault="008A78E3"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belső értékelési eljárása különböző elemeiért felelős funkciók és/vagy irányító bizottságok egyértelmű azonosítása,</w:t>
      </w:r>
    </w:p>
    <w:p w14:paraId="7FFFE8EB" w14:textId="77777777" w:rsidR="008A78E3" w:rsidRPr="006A6890" w:rsidRDefault="008A78E3"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 tekintve (többek között feltételezett stresszhelyzetekben) az átfogó stratégiával vagy jelentős ügyletekkel kapcsolatban,</w:t>
      </w:r>
    </w:p>
    <w:p w14:paraId="7FFFE8EC" w14:textId="77777777" w:rsidR="008A78E3" w:rsidRPr="006A6890" w:rsidRDefault="008A78E3"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 kockázattípusok között (pl. az üzletágakra, szervezetekre vagy egyes kockázatokra meghatározott kockázati korlátok összhangban vannak-e az intézmény belső tőkeforrásainak megfelelőségére vonatkozó célkitűzéssel),</w:t>
      </w:r>
    </w:p>
    <w:p w14:paraId="7FFFE8ED" w14:textId="77777777" w:rsidR="008A78E3" w:rsidRPr="006A6890" w:rsidRDefault="008A78E3"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 a vezető testület felé. Így különösen a jelentéstétel gyakoriságának megfelelőnek kell lennie a kockázatok és az üzleti forgalom növekedése, a meglévő belső tartalékok és a belső döntéshozatali eljárások szempontjából, és lehetővé kell tennie az intézmény vezetése számára korrekciós intézkedések végrehajtását, mielőtt a tőkemegfelelés veszélybe kerül, valamint</w:t>
      </w:r>
    </w:p>
    <w:p w14:paraId="7FFFE8EE" w14:textId="77777777" w:rsidR="008A78E3" w:rsidRPr="006A6890" w:rsidRDefault="008A78E3" w:rsidP="00CD1B46">
      <w:pPr>
        <w:pStyle w:val="Listaszerbekezds"/>
        <w:numPr>
          <w:ilvl w:val="0"/>
          <w:numId w:val="22"/>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 amennyiben az üzleti stratégia és/vagy jelentős egyedi ügyletek nincsenek összhangban az ICAAP eljárással és a rendelkezésre álló belső tőkével.</w:t>
      </w:r>
    </w:p>
    <w:p w14:paraId="7FFFE8EF" w14:textId="77777777" w:rsidR="008A78E3" w:rsidRPr="006A6890" w:rsidRDefault="008A78E3"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7FFFE8F0" w14:textId="77777777" w:rsidR="008A78E3" w:rsidRPr="006A6890" w:rsidRDefault="008A78E3"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7FFFE8F1" w14:textId="77777777" w:rsidR="008A78E3" w:rsidRPr="006A6890" w:rsidRDefault="008A78E3" w:rsidP="00CD1B46">
      <w:pPr>
        <w:pStyle w:val="Listaszerbekezds"/>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eljárását egységes és arányos módon végzik-e el az intézmény minden releváns üzletágánál és szervezeténél a kockázatok azonosítása és értékelése tekintetében,</w:t>
      </w:r>
    </w:p>
    <w:p w14:paraId="7FFFE8F2" w14:textId="77777777" w:rsidR="008A78E3" w:rsidRPr="006A6890" w:rsidRDefault="008A78E3" w:rsidP="00CD1B46">
      <w:pPr>
        <w:pStyle w:val="Listaszerbekezds"/>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 a kockázat a konszolidáció hatálya alá nem tartozó szervezettől (különleges célú gazdasági eszközöktől, különleges célú gazdasági egységektől) ered-e, valamint</w:t>
      </w:r>
    </w:p>
    <w:p w14:paraId="7FFFE8F3" w14:textId="77777777" w:rsidR="008A78E3" w:rsidRPr="006A6890" w:rsidRDefault="008A78E3" w:rsidP="00CD1B46">
      <w:pPr>
        <w:pStyle w:val="Listaszerbekezds"/>
        <w:numPr>
          <w:ilvl w:val="0"/>
          <w:numId w:val="23"/>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 a csoporthoz tartozó egyéb szervezetekétől, ezek az eltérések indokoltak-e.</w:t>
      </w:r>
    </w:p>
    <w:p w14:paraId="7FFFE8F4" w14:textId="77777777" w:rsidR="008A78E3" w:rsidRPr="006A6890" w:rsidRDefault="008A78E3" w:rsidP="00181755">
      <w:pPr>
        <w:pStyle w:val="Cmsor3"/>
        <w:rPr>
          <w:rFonts w:asciiTheme="minorHAnsi" w:hAnsiTheme="minorHAnsi"/>
        </w:rPr>
      </w:pPr>
      <w:bookmarkStart w:id="570" w:name="_Toc462401951"/>
      <w:bookmarkStart w:id="571" w:name="_Toc462403072"/>
      <w:bookmarkStart w:id="572" w:name="_Toc462403396"/>
      <w:bookmarkStart w:id="573" w:name="_Toc468180515"/>
      <w:bookmarkStart w:id="574" w:name="_Toc468181047"/>
      <w:bookmarkStart w:id="575" w:name="_Toc468191435"/>
      <w:bookmarkStart w:id="576" w:name="_Toc45119942"/>
      <w:bookmarkStart w:id="577" w:name="_Toc58512225"/>
      <w:bookmarkStart w:id="578" w:name="_Toc158036645"/>
      <w:r w:rsidRPr="006A6890">
        <w:rPr>
          <w:rFonts w:asciiTheme="minorHAnsi" w:hAnsiTheme="minorHAnsi"/>
        </w:rPr>
        <w:t>Az ICAAP integráltsága</w:t>
      </w:r>
      <w:bookmarkEnd w:id="570"/>
      <w:bookmarkEnd w:id="571"/>
      <w:bookmarkEnd w:id="572"/>
      <w:bookmarkEnd w:id="573"/>
      <w:bookmarkEnd w:id="574"/>
      <w:bookmarkEnd w:id="575"/>
      <w:bookmarkEnd w:id="576"/>
      <w:bookmarkEnd w:id="577"/>
      <w:bookmarkEnd w:id="578"/>
    </w:p>
    <w:p w14:paraId="7FFFE8F5" w14:textId="77777777" w:rsidR="008A78E3" w:rsidRPr="006A6890" w:rsidRDefault="008A78E3"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7FFFE8F6" w14:textId="77777777" w:rsidR="008A78E3" w:rsidRPr="006A6890" w:rsidRDefault="008A78E3"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7FFFE8F7" w14:textId="77777777" w:rsidR="008A78E3" w:rsidRPr="006A6890" w:rsidRDefault="008A78E3" w:rsidP="00181755">
      <w:pPr>
        <w:pStyle w:val="felsorolsos"/>
        <w:rPr>
          <w:rFonts w:asciiTheme="minorHAnsi" w:hAnsiTheme="minorHAnsi"/>
        </w:rPr>
      </w:pPr>
      <w:r w:rsidRPr="006A6890">
        <w:rPr>
          <w:rFonts w:asciiTheme="minorHAnsi" w:hAnsiTheme="minorHAnsi"/>
        </w:rPr>
        <w:t>a kockázatkezelési folyamatokat bemutatni,</w:t>
      </w:r>
    </w:p>
    <w:p w14:paraId="7FFFE8F8" w14:textId="77777777" w:rsidR="008A78E3" w:rsidRPr="006A6890" w:rsidRDefault="008A78E3" w:rsidP="00181755">
      <w:pPr>
        <w:pStyle w:val="felsorolsos"/>
        <w:rPr>
          <w:rFonts w:asciiTheme="minorHAnsi" w:hAnsiTheme="minorHAnsi"/>
        </w:rPr>
      </w:pPr>
      <w:r w:rsidRPr="006A6890">
        <w:rPr>
          <w:rFonts w:asciiTheme="minorHAnsi" w:hAnsiTheme="minorHAnsi"/>
        </w:rPr>
        <w:t>az arányosság figyelembevételével a kockázatkezelést alosztályokra tagolni (a szervezeti felépítés átláthatóságának és funkcionalitásának mértékét, a szegregáció szintjét, az üzleti terület, a back office és a kockázatkezelés szervezeti szétválasztásának mértékét meghatározni és bemutatni),</w:t>
      </w:r>
    </w:p>
    <w:p w14:paraId="7FFFE8F9" w14:textId="77777777" w:rsidR="008A78E3" w:rsidRPr="006A6890" w:rsidRDefault="008A78E3"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 az ICAAP témakörök megfelelő minőségű, gyakoriságú vizsgálatát a belső ellenőrzés által biztosítani kell,</w:t>
      </w:r>
    </w:p>
    <w:p w14:paraId="7FFFE8FA" w14:textId="77777777" w:rsidR="008A78E3" w:rsidRPr="006A6890" w:rsidRDefault="008A78E3" w:rsidP="00181755">
      <w:pPr>
        <w:pStyle w:val="felsorolsos"/>
        <w:rPr>
          <w:rFonts w:asciiTheme="minorHAnsi" w:hAnsiTheme="minorHAnsi"/>
        </w:rPr>
      </w:pPr>
      <w:r w:rsidRPr="006A6890">
        <w:rPr>
          <w:rFonts w:asciiTheme="minorHAnsi" w:hAnsiTheme="minorHAnsi"/>
        </w:rPr>
        <w:t>a VIR, controlling, belső információs rendszert bemutatni,</w:t>
      </w:r>
    </w:p>
    <w:p w14:paraId="7FFFE8FB" w14:textId="77777777" w:rsidR="008A78E3" w:rsidRPr="006A6890" w:rsidRDefault="008A78E3"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7FFFE8FC" w14:textId="77777777" w:rsidR="008A78E3" w:rsidRPr="006A6890" w:rsidRDefault="008A78E3"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7FFFE8FD" w14:textId="77777777" w:rsidR="008A78E3" w:rsidRPr="006A6890" w:rsidRDefault="008A78E3"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7FFFE8FE" w14:textId="77777777" w:rsidR="008A78E3" w:rsidRPr="006A6890" w:rsidRDefault="008A78E3"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7FFFE8FF" w14:textId="77777777" w:rsidR="008A78E3" w:rsidRPr="006A6890" w:rsidRDefault="008A78E3" w:rsidP="00181755">
      <w:pPr>
        <w:pStyle w:val="Cmsor3"/>
        <w:rPr>
          <w:rFonts w:asciiTheme="minorHAnsi" w:hAnsiTheme="minorHAnsi"/>
        </w:rPr>
      </w:pPr>
      <w:bookmarkStart w:id="579" w:name="_Toc462401952"/>
      <w:bookmarkStart w:id="580" w:name="_Toc462403073"/>
      <w:bookmarkStart w:id="581" w:name="_Toc462403397"/>
      <w:bookmarkStart w:id="582" w:name="_Toc468180516"/>
      <w:bookmarkStart w:id="583" w:name="_Toc468181048"/>
      <w:bookmarkStart w:id="584" w:name="_Toc468191436"/>
      <w:bookmarkStart w:id="585" w:name="_Toc45119943"/>
      <w:bookmarkStart w:id="586" w:name="_Toc58512226"/>
      <w:bookmarkStart w:id="587" w:name="_Toc158036646"/>
      <w:r w:rsidRPr="006A6890">
        <w:rPr>
          <w:rFonts w:asciiTheme="minorHAnsi" w:hAnsiTheme="minorHAnsi"/>
        </w:rPr>
        <w:t>Kockázati stratégia</w:t>
      </w:r>
      <w:bookmarkEnd w:id="579"/>
      <w:bookmarkEnd w:id="580"/>
      <w:bookmarkEnd w:id="581"/>
      <w:bookmarkEnd w:id="582"/>
      <w:bookmarkEnd w:id="583"/>
      <w:bookmarkEnd w:id="584"/>
      <w:bookmarkEnd w:id="585"/>
      <w:bookmarkEnd w:id="586"/>
      <w:bookmarkEnd w:id="587"/>
    </w:p>
    <w:p w14:paraId="7FFFE900" w14:textId="77777777" w:rsidR="008A78E3" w:rsidRPr="006A6890" w:rsidRDefault="008A78E3"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Pr>
          <w:rFonts w:asciiTheme="minorHAnsi" w:hAnsiTheme="minorHAnsi"/>
          <w:vertAlign w:val="superscript"/>
        </w:rPr>
        <w:footnoteReference w:id="21"/>
      </w:r>
    </w:p>
    <w:p w14:paraId="7FFFE901" w14:textId="77777777" w:rsidR="008A78E3" w:rsidRPr="006A6890" w:rsidRDefault="008A78E3" w:rsidP="00AA57CA">
      <w:pPr>
        <w:rPr>
          <w:rFonts w:asciiTheme="minorHAnsi" w:hAnsiTheme="minorHAnsi"/>
        </w:rPr>
      </w:pPr>
      <w:r w:rsidRPr="006A6890">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7FFFE902" w14:textId="77777777" w:rsidR="008A78E3" w:rsidRPr="006A6890" w:rsidRDefault="008A78E3" w:rsidP="00AA57CA">
      <w:pPr>
        <w:rPr>
          <w:rFonts w:asciiTheme="minorHAnsi" w:hAnsiTheme="minorHAnsi"/>
        </w:rPr>
      </w:pPr>
      <w:r w:rsidRPr="006A6890">
        <w:rPr>
          <w:rFonts w:asciiTheme="minorHAnsi" w:hAnsiTheme="minorHAnsi"/>
        </w:rPr>
        <w:t xml:space="preserve">Az MNB elvárása anyabank által üzemeltetett, helyi szinten igénybe vett informatikai, modellezési és kockázatkezelési-tervezési folyamatok esetén az, hogy a leánybanki intézményi tudás, annak magas szintje biztosított legyen (képzésekkel, megfelelő erőforrások allokálásával). </w:t>
      </w:r>
    </w:p>
    <w:p w14:paraId="7FFFE903" w14:textId="77777777" w:rsidR="008A78E3" w:rsidRPr="006A6890" w:rsidRDefault="008A78E3" w:rsidP="00181755">
      <w:pPr>
        <w:keepNext/>
        <w:rPr>
          <w:rFonts w:asciiTheme="minorHAnsi" w:hAnsiTheme="minorHAnsi"/>
          <w:b/>
        </w:rPr>
      </w:pPr>
      <w:r w:rsidRPr="006A6890">
        <w:rPr>
          <w:rFonts w:asciiTheme="minorHAnsi" w:hAnsiTheme="minorHAnsi"/>
          <w:b/>
        </w:rPr>
        <w:t>A kockázati stratégia elkészítésének lépései</w:t>
      </w:r>
    </w:p>
    <w:p w14:paraId="7FFFE904" w14:textId="77777777" w:rsidR="008A78E3" w:rsidRPr="006A6890" w:rsidRDefault="008A78E3" w:rsidP="00181755">
      <w:pPr>
        <w:pStyle w:val="Cmsor4"/>
        <w:rPr>
          <w:rFonts w:asciiTheme="minorHAnsi" w:hAnsiTheme="minorHAnsi"/>
        </w:rPr>
      </w:pPr>
      <w:bookmarkStart w:id="588" w:name="_Toc462401953"/>
      <w:bookmarkStart w:id="589" w:name="_Toc462403074"/>
      <w:bookmarkStart w:id="590" w:name="_Toc462403398"/>
      <w:bookmarkStart w:id="591" w:name="_Toc468180517"/>
      <w:bookmarkStart w:id="592" w:name="_Toc468181049"/>
      <w:bookmarkStart w:id="593" w:name="_Toc468191437"/>
      <w:bookmarkStart w:id="594" w:name="_Toc45119944"/>
      <w:bookmarkStart w:id="595" w:name="_Toc58512227"/>
      <w:bookmarkStart w:id="596" w:name="_Toc158036647"/>
      <w:r w:rsidRPr="006A6890">
        <w:rPr>
          <w:rFonts w:asciiTheme="minorHAnsi" w:hAnsiTheme="minorHAnsi"/>
        </w:rPr>
        <w:t>Kockázatvállalási politika</w:t>
      </w:r>
      <w:bookmarkEnd w:id="588"/>
      <w:bookmarkEnd w:id="589"/>
      <w:bookmarkEnd w:id="590"/>
      <w:bookmarkEnd w:id="591"/>
      <w:bookmarkEnd w:id="592"/>
      <w:bookmarkEnd w:id="593"/>
      <w:bookmarkEnd w:id="594"/>
      <w:bookmarkEnd w:id="595"/>
      <w:bookmarkEnd w:id="596"/>
    </w:p>
    <w:p w14:paraId="7FFFE905" w14:textId="77777777" w:rsidR="008A78E3" w:rsidRPr="006A6890" w:rsidRDefault="008A78E3"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7FFFE906" w14:textId="77777777" w:rsidR="008A78E3" w:rsidRPr="006A6890" w:rsidRDefault="008A78E3"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7FFFE907" w14:textId="77777777" w:rsidR="008A78E3" w:rsidRPr="006A6890" w:rsidRDefault="008A78E3"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7FFFE908" w14:textId="77777777" w:rsidR="008A78E3" w:rsidRPr="006A6890" w:rsidRDefault="008A78E3" w:rsidP="00AA57CA">
      <w:pPr>
        <w:rPr>
          <w:rFonts w:asciiTheme="minorHAnsi" w:hAnsiTheme="minorHAnsi"/>
        </w:rPr>
      </w:pPr>
      <w:r w:rsidRPr="006A6890">
        <w:rPr>
          <w:rFonts w:asciiTheme="minorHAnsi" w:hAnsiTheme="minorHAnsi"/>
        </w:rPr>
        <w:t>Az egységes és prudens kockázatkezelés feltételeként az intézmény megfogalmazza kockázatkezelési alapelveit, melyet az egész szervezeten belül egységesen elvár (pl. független kontroll, kockázattudatosság növelése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7FFFE909" w14:textId="77777777" w:rsidR="008A78E3" w:rsidRPr="006A6890" w:rsidRDefault="008A78E3"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FFFE90A" w14:textId="77777777" w:rsidR="008A78E3" w:rsidRPr="006A6890" w:rsidRDefault="008A78E3" w:rsidP="00AA57CA">
      <w:pPr>
        <w:rPr>
          <w:rFonts w:asciiTheme="minorHAnsi" w:hAnsiTheme="minorHAnsi"/>
        </w:rPr>
      </w:pPr>
      <w:r w:rsidRPr="006A6890">
        <w:rPr>
          <w:rFonts w:asciiTheme="minorHAnsi" w:hAnsiTheme="minorHAnsi"/>
        </w:rPr>
        <w:t>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elvárások stb., és mérlegelni kell a következőket:</w:t>
      </w:r>
    </w:p>
    <w:p w14:paraId="7FFFE90B" w14:textId="77777777" w:rsidR="008A78E3" w:rsidRPr="006A6890" w:rsidRDefault="008A78E3" w:rsidP="00CD1B46">
      <w:pPr>
        <w:pStyle w:val="alfelsorols"/>
        <w:numPr>
          <w:ilvl w:val="1"/>
          <w:numId w:val="42"/>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p>
    <w:p w14:paraId="7FFFE90C" w14:textId="77777777" w:rsidR="008A78E3" w:rsidRPr="006A6890" w:rsidRDefault="008A78E3" w:rsidP="00CD1B46">
      <w:pPr>
        <w:pStyle w:val="alfelsorols"/>
        <w:numPr>
          <w:ilvl w:val="1"/>
          <w:numId w:val="42"/>
        </w:numPr>
        <w:rPr>
          <w:rFonts w:asciiTheme="minorHAnsi" w:hAnsiTheme="minorHAnsi"/>
        </w:rPr>
      </w:pPr>
      <w:r w:rsidRPr="006A6890">
        <w:rPr>
          <w:rFonts w:asciiTheme="minorHAnsi" w:hAnsiTheme="minorHAnsi"/>
        </w:rPr>
        <w:t>rendelkezik-e valamely területen komparatív előnnyel,</w:t>
      </w:r>
    </w:p>
    <w:p w14:paraId="7FFFE90D" w14:textId="77777777" w:rsidR="008A78E3" w:rsidRPr="006A6890" w:rsidRDefault="008A78E3" w:rsidP="00CD1B46">
      <w:pPr>
        <w:pStyle w:val="alfelsorols"/>
        <w:numPr>
          <w:ilvl w:val="1"/>
          <w:numId w:val="42"/>
        </w:numPr>
        <w:rPr>
          <w:rFonts w:asciiTheme="minorHAnsi" w:hAnsiTheme="minorHAnsi"/>
        </w:rPr>
      </w:pPr>
      <w:r w:rsidRPr="006A6890">
        <w:rPr>
          <w:rFonts w:asciiTheme="minorHAnsi" w:hAnsiTheme="minorHAnsi"/>
        </w:rPr>
        <w:t>mekkora a tőkeszükséglete a tényleges kockázatoknak.</w:t>
      </w:r>
    </w:p>
    <w:p w14:paraId="7FFFE90E" w14:textId="77777777" w:rsidR="008A78E3" w:rsidRPr="006A6890" w:rsidRDefault="008A78E3"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7FFFE90F" w14:textId="77777777" w:rsidR="008A78E3" w:rsidRPr="006A6890" w:rsidRDefault="008A78E3"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7FFFE910" w14:textId="77777777" w:rsidR="008A78E3" w:rsidRPr="006A6890" w:rsidRDefault="008A78E3"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7FFFE911" w14:textId="77777777" w:rsidR="008A78E3" w:rsidRPr="006A6890" w:rsidRDefault="008A78E3" w:rsidP="00181755">
      <w:pPr>
        <w:pStyle w:val="Cmsor4"/>
        <w:rPr>
          <w:rFonts w:asciiTheme="minorHAnsi" w:hAnsiTheme="minorHAnsi"/>
        </w:rPr>
      </w:pPr>
      <w:bookmarkStart w:id="597" w:name="_Toc462401954"/>
      <w:bookmarkStart w:id="598" w:name="_Toc462403075"/>
      <w:bookmarkStart w:id="599" w:name="_Toc462403399"/>
      <w:bookmarkStart w:id="600" w:name="_Toc468180518"/>
      <w:bookmarkStart w:id="601" w:name="_Toc468181050"/>
      <w:bookmarkStart w:id="602" w:name="_Toc468191438"/>
      <w:bookmarkStart w:id="603" w:name="_Toc45119945"/>
      <w:bookmarkStart w:id="604" w:name="_Toc58512228"/>
      <w:bookmarkStart w:id="605" w:name="_Toc158036648"/>
      <w:r w:rsidRPr="006A6890">
        <w:rPr>
          <w:rFonts w:asciiTheme="minorHAnsi" w:hAnsiTheme="minorHAnsi"/>
        </w:rPr>
        <w:t>Kockázati étvágy, kockázatvállalási hajlandóság megfogalmazása</w:t>
      </w:r>
      <w:bookmarkEnd w:id="597"/>
      <w:bookmarkEnd w:id="598"/>
      <w:bookmarkEnd w:id="599"/>
      <w:bookmarkEnd w:id="600"/>
      <w:bookmarkEnd w:id="601"/>
      <w:bookmarkEnd w:id="602"/>
      <w:bookmarkEnd w:id="603"/>
      <w:bookmarkEnd w:id="604"/>
      <w:bookmarkEnd w:id="605"/>
    </w:p>
    <w:p w14:paraId="7FFFE912" w14:textId="77777777" w:rsidR="008A78E3" w:rsidRPr="006A6890" w:rsidRDefault="008A78E3"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7FFFE913" w14:textId="77777777" w:rsidR="008A78E3" w:rsidRPr="006A6890" w:rsidRDefault="008A78E3" w:rsidP="00AA57CA">
      <w:pPr>
        <w:rPr>
          <w:rFonts w:asciiTheme="minorHAnsi" w:hAnsiTheme="minorHAnsi"/>
        </w:rPr>
      </w:pPr>
      <w:r w:rsidRPr="006A6890">
        <w:rPr>
          <w:rFonts w:asciiTheme="minorHAnsi" w:hAnsiTheme="minorHAnsi"/>
        </w:rPr>
        <w:t>Az intézményeknek (csoport- és egyedi szinten) azonosítaniuk kell a releváns belső és külső kockázati tényezőket, pontos kockázati térképet kell felvázolniuk az őket érintő kockázatokról. (Figyelemmel a kézikönyben adott kockázati definíciókra.) A kockázati szerkezetét részletesen ismernie kell az adott intézménynek (illetve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7FFFE914" w14:textId="77777777" w:rsidR="008A78E3" w:rsidRPr="006A6890" w:rsidRDefault="008A78E3" w:rsidP="00AA57CA">
      <w:pPr>
        <w:rPr>
          <w:rFonts w:asciiTheme="minorHAnsi" w:hAnsiTheme="minorHAnsi"/>
        </w:rPr>
      </w:pPr>
      <w:r w:rsidRPr="006A6890">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ideértve a mérlegen kívüli tevékenységekben rejlő kockázatokat is.</w:t>
      </w:r>
    </w:p>
    <w:p w14:paraId="7FFFE915" w14:textId="77777777" w:rsidR="008A78E3" w:rsidRPr="006A6890" w:rsidRDefault="008A78E3"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7FFFE916" w14:textId="77777777" w:rsidR="008A78E3" w:rsidRPr="006A6890" w:rsidRDefault="008A78E3" w:rsidP="00AA57CA">
      <w:pPr>
        <w:rPr>
          <w:rFonts w:asciiTheme="minorHAnsi" w:hAnsiTheme="minorHAnsi"/>
        </w:rPr>
      </w:pPr>
      <w:r w:rsidRPr="006A6890">
        <w:rPr>
          <w:rFonts w:asciiTheme="minorHAnsi" w:hAnsiTheme="minorHAnsi"/>
        </w:rPr>
        <w:t xml:space="preserve">A kockázati étvágy és kockázati tolerancia meghatározása különböző formában kerülhet kifejezésre akár minőségi, vagy mennyiségi elvárásként (pl. jövedelmezőség, kockázati mutatók (KRI, limitek)). Kitérhet azokra a területekre is, ahol az intézmény kockázat tűrése minimális (pl. diszpreferált ágazatok, termékek). </w:t>
      </w:r>
    </w:p>
    <w:p w14:paraId="7FFFE917" w14:textId="77777777" w:rsidR="008A78E3" w:rsidRPr="006A6890" w:rsidRDefault="008A78E3"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7FFFE918" w14:textId="77777777" w:rsidR="008A78E3" w:rsidRPr="006A6890" w:rsidRDefault="008A78E3" w:rsidP="00181755">
      <w:pPr>
        <w:pStyle w:val="Cmsor4"/>
        <w:rPr>
          <w:rFonts w:asciiTheme="minorHAnsi" w:hAnsiTheme="minorHAnsi"/>
        </w:rPr>
      </w:pPr>
      <w:bookmarkStart w:id="606" w:name="_Toc462401955"/>
      <w:bookmarkStart w:id="607" w:name="_Toc462403076"/>
      <w:bookmarkStart w:id="608" w:name="_Toc462403400"/>
      <w:bookmarkStart w:id="609" w:name="_Toc468180519"/>
      <w:bookmarkStart w:id="610" w:name="_Toc468181051"/>
      <w:bookmarkStart w:id="611" w:name="_Toc468191439"/>
      <w:bookmarkStart w:id="612" w:name="_Toc45119946"/>
      <w:bookmarkStart w:id="613" w:name="_Toc58512229"/>
      <w:bookmarkStart w:id="614" w:name="_Toc158036649"/>
      <w:r w:rsidRPr="006A6890">
        <w:rPr>
          <w:rFonts w:asciiTheme="minorHAnsi" w:hAnsiTheme="minorHAnsi"/>
        </w:rPr>
        <w:t>Elérni kívánt kockázati szerkezet</w:t>
      </w:r>
      <w:bookmarkEnd w:id="606"/>
      <w:bookmarkEnd w:id="607"/>
      <w:bookmarkEnd w:id="608"/>
      <w:bookmarkEnd w:id="609"/>
      <w:bookmarkEnd w:id="610"/>
      <w:bookmarkEnd w:id="611"/>
      <w:bookmarkEnd w:id="612"/>
      <w:bookmarkEnd w:id="613"/>
      <w:bookmarkEnd w:id="614"/>
    </w:p>
    <w:p w14:paraId="7FFFE919" w14:textId="77777777" w:rsidR="008A78E3" w:rsidRPr="006A6890" w:rsidRDefault="008A78E3"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7FFFE91A" w14:textId="77777777" w:rsidR="008A78E3" w:rsidRPr="006A6890" w:rsidRDefault="008A78E3" w:rsidP="00181755">
      <w:pPr>
        <w:pStyle w:val="felsorolsos"/>
        <w:rPr>
          <w:rFonts w:asciiTheme="minorHAnsi" w:hAnsiTheme="minorHAnsi"/>
          <w:b/>
        </w:rPr>
      </w:pPr>
      <w:r w:rsidRPr="006A6890">
        <w:rPr>
          <w:rFonts w:asciiTheme="minorHAnsi" w:hAnsiTheme="minorHAnsi"/>
        </w:rPr>
        <w:t xml:space="preserve">A limitrendszer és a mutatórendszer további szintekhez rendelése (az aggregált limitek hozzárendelése kockázattípusokhoz, illetve mélyebb szintekhez), </w:t>
      </w:r>
    </w:p>
    <w:p w14:paraId="7FFFE91B" w14:textId="77777777" w:rsidR="008A78E3" w:rsidRPr="006A6890" w:rsidRDefault="008A78E3"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7FFFE91C" w14:textId="77777777" w:rsidR="008A78E3" w:rsidRPr="006A6890" w:rsidRDefault="008A78E3" w:rsidP="00AA57CA">
      <w:pPr>
        <w:rPr>
          <w:rFonts w:asciiTheme="minorHAnsi" w:hAnsiTheme="minorHAnsi"/>
        </w:rPr>
      </w:pPr>
      <w:r w:rsidRPr="006A6890">
        <w:rPr>
          <w:rFonts w:asciiTheme="minorHAnsi" w:hAnsiTheme="minorHAnsi"/>
        </w:rPr>
        <w:t>A kockázati étvágy alakulása, illetve a vállalt kockázatok mértéke az egyes dimenziókat reprezentáló mutatókon keresztül követhető, ellenőrizhető. Így biztosítható az elérni kívánt kockázati szerkezet folyamatos kontrollja, az aktuálissal való összevetése.</w:t>
      </w:r>
      <w:bookmarkStart w:id="615" w:name="_Toc461547919"/>
      <w:bookmarkStart w:id="616" w:name="_Toc462401957"/>
      <w:bookmarkStart w:id="617" w:name="_Toc462403078"/>
      <w:bookmarkStart w:id="618" w:name="_Toc462403402"/>
      <w:bookmarkStart w:id="619" w:name="_Toc462403831"/>
      <w:bookmarkStart w:id="620" w:name="_Toc462645699"/>
      <w:bookmarkStart w:id="621" w:name="_Toc468180521"/>
      <w:bookmarkStart w:id="622" w:name="_Toc461547924"/>
      <w:bookmarkStart w:id="623" w:name="_Toc462401962"/>
      <w:bookmarkStart w:id="624" w:name="_Toc462403083"/>
      <w:bookmarkStart w:id="625" w:name="_Toc462403407"/>
      <w:bookmarkStart w:id="626" w:name="_Toc462403836"/>
      <w:bookmarkStart w:id="627" w:name="_Toc462645704"/>
      <w:bookmarkStart w:id="628" w:name="_Toc468180526"/>
      <w:bookmarkStart w:id="629" w:name="_Toc461547931"/>
      <w:bookmarkStart w:id="630" w:name="_Toc462401969"/>
      <w:bookmarkStart w:id="631" w:name="_Toc462403090"/>
      <w:bookmarkStart w:id="632" w:name="_Toc462403414"/>
      <w:bookmarkStart w:id="633" w:name="_Toc462403843"/>
      <w:bookmarkStart w:id="634" w:name="_Toc462645711"/>
      <w:bookmarkStart w:id="635" w:name="_Toc468180533"/>
      <w:bookmarkStart w:id="636" w:name="_A_kockázati_stratégia"/>
      <w:bookmarkStart w:id="637" w:name="_III.1.1._Kockázatvállalási_politika"/>
      <w:bookmarkStart w:id="638" w:name="_III.1.2._Kockázati_étvágy,"/>
      <w:bookmarkStart w:id="639" w:name="_III.1.3._Elérni_kívánt"/>
      <w:bookmarkStart w:id="640" w:name="_III.1.5._Kockázatkezelési_szervezet"/>
      <w:bookmarkStart w:id="641" w:name="_Javadalmazási_politika"/>
      <w:bookmarkStart w:id="642" w:name="_III.1_A_belső"/>
      <w:bookmarkStart w:id="643" w:name="_III.1.4._Kockázati_kultúra"/>
      <w:bookmarkStart w:id="644" w:name="_Kockázatkezelési_rendszer"/>
      <w:bookmarkEnd w:id="537"/>
      <w:bookmarkEnd w:id="538"/>
      <w:bookmarkEnd w:id="539"/>
      <w:bookmarkEnd w:id="540"/>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7FFFE91D" w14:textId="77777777" w:rsidR="008A78E3" w:rsidRPr="006A6890" w:rsidRDefault="008A78E3" w:rsidP="00181755">
      <w:pPr>
        <w:pStyle w:val="Cmsor4"/>
        <w:rPr>
          <w:rFonts w:asciiTheme="minorHAnsi" w:hAnsiTheme="minorHAnsi"/>
        </w:rPr>
      </w:pPr>
      <w:bookmarkStart w:id="645" w:name="_Kockázatkezelési_folyamat_lépései"/>
      <w:bookmarkStart w:id="646" w:name="_Toc378592086"/>
      <w:bookmarkStart w:id="647" w:name="_Toc461095198"/>
      <w:bookmarkStart w:id="648" w:name="_Toc461179854"/>
      <w:bookmarkStart w:id="649" w:name="_Toc461201297"/>
      <w:bookmarkStart w:id="650" w:name="_Toc461547940"/>
      <w:bookmarkStart w:id="651" w:name="_Toc462401978"/>
      <w:bookmarkStart w:id="652" w:name="_Toc462403099"/>
      <w:bookmarkStart w:id="653" w:name="_Toc462403423"/>
      <w:bookmarkStart w:id="654" w:name="_Toc468180542"/>
      <w:bookmarkStart w:id="655" w:name="_Toc468181052"/>
      <w:bookmarkStart w:id="656" w:name="_Toc468191440"/>
      <w:bookmarkStart w:id="657" w:name="_Toc45119947"/>
      <w:bookmarkStart w:id="658" w:name="_Toc58512230"/>
      <w:bookmarkStart w:id="659" w:name="_Toc158036650"/>
      <w:bookmarkEnd w:id="645"/>
      <w:r w:rsidRPr="006A6890">
        <w:rPr>
          <w:rFonts w:asciiTheme="minorHAnsi" w:hAnsiTheme="minorHAnsi"/>
        </w:rPr>
        <w:t>Kockázatkezelési folyamat lépései</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FFFE91E" w14:textId="77777777" w:rsidR="008A78E3" w:rsidRPr="006A6890" w:rsidRDefault="008A78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7FFFE91F" w14:textId="77777777" w:rsidR="008A78E3" w:rsidRPr="006A6890" w:rsidRDefault="008A78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az ICAAP keretében 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 ICAAP dokumentáció stb. keretein belül). </w:t>
      </w:r>
    </w:p>
    <w:p w14:paraId="7FFFE920" w14:textId="77777777" w:rsidR="008A78E3" w:rsidRPr="006A6890" w:rsidRDefault="008A78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7FFFE921" w14:textId="77777777" w:rsidR="008A78E3" w:rsidRPr="006A6890" w:rsidRDefault="008A78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7FFFE922" w14:textId="77777777" w:rsidR="008A78E3" w:rsidRPr="006A6890" w:rsidRDefault="008A78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az ICAAP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7FFFE923" w14:textId="77777777" w:rsidR="008A78E3" w:rsidRPr="006A6890" w:rsidRDefault="008A78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7FFFE924" w14:textId="77777777" w:rsidR="008A78E3" w:rsidRPr="006A6890" w:rsidRDefault="008A78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7FFFE925" w14:textId="77777777" w:rsidR="008A78E3" w:rsidRPr="006A6890" w:rsidRDefault="008A78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7FFFE926" w14:textId="77777777" w:rsidR="008A78E3" w:rsidRPr="006A6890" w:rsidRDefault="008A78E3" w:rsidP="00AA57CA">
      <w:pPr>
        <w:rPr>
          <w:rFonts w:asciiTheme="minorHAnsi" w:hAnsiTheme="minorHAnsi"/>
        </w:rPr>
      </w:pPr>
      <w:r w:rsidRPr="006A6890">
        <w:rPr>
          <w:rFonts w:asciiTheme="minorHAnsi" w:hAnsiTheme="minorHAnsi"/>
        </w:rPr>
        <w:t xml:space="preserve">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 pontos, áttekinthető, érthető, releváns és használható információkhoz jussanak. </w:t>
      </w:r>
    </w:p>
    <w:p w14:paraId="7FFFE927" w14:textId="77777777" w:rsidR="008A78E3" w:rsidRPr="006A6890" w:rsidRDefault="008A78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7FFFE928" w14:textId="77777777" w:rsidR="008A78E3" w:rsidRPr="006A6890" w:rsidRDefault="008A78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7FFFE929" w14:textId="77777777" w:rsidR="008A78E3" w:rsidRPr="006A6890" w:rsidRDefault="008A78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7FFFE92A" w14:textId="77777777" w:rsidR="008A78E3" w:rsidRPr="006A6890" w:rsidRDefault="008A78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7FFFE92B" w14:textId="77777777" w:rsidR="008A78E3" w:rsidRPr="006A6890" w:rsidRDefault="008A78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7FFFE92C" w14:textId="77777777" w:rsidR="008A78E3" w:rsidRPr="006A6890" w:rsidRDefault="008A78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Pr>
          <w:rFonts w:asciiTheme="minorHAnsi" w:hAnsiTheme="minorHAnsi"/>
          <w:vertAlign w:val="superscript"/>
        </w:rPr>
        <w:footnoteReference w:id="22"/>
      </w:r>
      <w:r w:rsidRPr="006A6890">
        <w:rPr>
          <w:rFonts w:asciiTheme="minorHAnsi" w:hAnsiTheme="minorHAnsi"/>
        </w:rPr>
        <w:t xml:space="preserve"> A monitoring során az előre meghatározott limitek kihasználtságát is ellenőrzik, és ki kell térni arra is, hogy a növekvő limit kihasználtság, vagy az esetleges limit túllépések milyen következményekkel járhatnak.</w:t>
      </w:r>
    </w:p>
    <w:p w14:paraId="7FFFE92D" w14:textId="77777777" w:rsidR="008A78E3" w:rsidRPr="006A6890" w:rsidRDefault="008A78E3" w:rsidP="00AA57CA">
      <w:pPr>
        <w:rPr>
          <w:rFonts w:asciiTheme="minorHAnsi" w:hAnsiTheme="minorHAnsi"/>
        </w:rPr>
      </w:pPr>
      <w:r w:rsidRPr="006A6890">
        <w:rPr>
          <w:rFonts w:asciiTheme="minorHAnsi" w:hAnsiTheme="minorHAnsi"/>
        </w:rPr>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7FFFE92E" w14:textId="77777777" w:rsidR="008A78E3" w:rsidRPr="006A6890" w:rsidRDefault="008A78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7FFFE92F" w14:textId="77777777" w:rsidR="008A78E3" w:rsidRPr="006A6890" w:rsidRDefault="008A78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7FFFE930" w14:textId="77777777" w:rsidR="008A78E3" w:rsidRPr="006A6890" w:rsidRDefault="008A78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bevonása hitelügyleteknél, biztosítás, stb.),</w:t>
      </w:r>
    </w:p>
    <w:p w14:paraId="7FFFE931" w14:textId="77777777" w:rsidR="008A78E3" w:rsidRPr="006A6890" w:rsidRDefault="008A78E3" w:rsidP="00181755">
      <w:pPr>
        <w:pStyle w:val="felsorolsos"/>
        <w:rPr>
          <w:rFonts w:asciiTheme="minorHAnsi" w:hAnsiTheme="minorHAnsi"/>
        </w:rPr>
      </w:pPr>
      <w:r w:rsidRPr="006A6890">
        <w:rPr>
          <w:rFonts w:asciiTheme="minorHAnsi" w:hAnsiTheme="minorHAnsi"/>
        </w:rPr>
        <w:t>kockázat transzferálásával, vagyis kinnlevőség harmadik fél részére történő átadásával (pl. követelés-eladás, fedezeti ügyletek),</w:t>
      </w:r>
    </w:p>
    <w:p w14:paraId="7FFFE932" w14:textId="77777777" w:rsidR="008A78E3" w:rsidRPr="006A6890" w:rsidRDefault="008A78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az intézmény pótlólagos tőkét tud hozzárendelni az ügylet fedezésére. Bizonyos üzleti megfontolások miatt alkalmazható, az intézmény kockázatviselési képességétől függően,</w:t>
      </w:r>
    </w:p>
    <w:p w14:paraId="7FFFE933" w14:textId="77777777" w:rsidR="008A78E3" w:rsidRPr="006A6890" w:rsidRDefault="008A78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p>
    <w:p w14:paraId="7FFFE934" w14:textId="77777777" w:rsidR="008A78E3" w:rsidRPr="006A6890" w:rsidRDefault="008A78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7FFFE935" w14:textId="77777777" w:rsidR="008A78E3" w:rsidRPr="006A6890" w:rsidRDefault="008A78E3"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az intézmény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7FFFE936" w14:textId="77777777" w:rsidR="008A78E3" w:rsidRPr="0055569D" w:rsidRDefault="008A78E3" w:rsidP="009F4CDA">
      <w:pPr>
        <w:pStyle w:val="Cmsor2"/>
      </w:pPr>
      <w:bookmarkStart w:id="660" w:name="_III._2._Lényeges"/>
      <w:bookmarkStart w:id="661" w:name="_Toc156101217"/>
      <w:bookmarkStart w:id="662" w:name="_Toc378256232"/>
      <w:bookmarkStart w:id="663" w:name="_Toc378592040"/>
      <w:bookmarkStart w:id="664" w:name="_Toc461095201"/>
      <w:bookmarkStart w:id="665" w:name="_Toc461179217"/>
      <w:bookmarkStart w:id="666" w:name="_Toc461179857"/>
      <w:bookmarkStart w:id="667" w:name="_Toc461197758"/>
      <w:bookmarkStart w:id="668" w:name="_Toc461201300"/>
      <w:bookmarkStart w:id="669" w:name="_Toc461547943"/>
      <w:bookmarkStart w:id="670" w:name="_Toc462401981"/>
      <w:bookmarkStart w:id="671" w:name="_Toc462403102"/>
      <w:bookmarkStart w:id="672" w:name="_Toc462403426"/>
      <w:bookmarkStart w:id="673" w:name="_Toc468180545"/>
      <w:bookmarkStart w:id="674" w:name="_Toc468181053"/>
      <w:bookmarkStart w:id="675" w:name="_Toc468191441"/>
      <w:bookmarkStart w:id="676" w:name="_Toc45119948"/>
      <w:bookmarkStart w:id="677" w:name="_Toc58512231"/>
      <w:bookmarkStart w:id="678" w:name="_Toc158036651"/>
      <w:bookmarkEnd w:id="660"/>
      <w:r w:rsidRPr="0055569D">
        <w:t>Lényeges kockázatok értékelése</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7FFFE937" w14:textId="77777777" w:rsidR="008A78E3" w:rsidRPr="006A6890" w:rsidRDefault="008A78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 valamint a kockázat kezelésére vonatkozó alapvető elveket és a felügyeleti fő elvárásokat. A felügyeleti felülvizsgálati folyamat során sem lehet figyelmen kívül hagyni azonban a közvetlenül hatályos CRR fő rendelkezéseit, valamint a kapcsolódó ajánlásokat és végrehajtási rendeleteket, amelyek számos esetben támpontot biztosítanak a 2. pilléres elvárások vonatkozásában.</w:t>
      </w:r>
    </w:p>
    <w:p w14:paraId="7FFFE938" w14:textId="77777777" w:rsidR="008A78E3" w:rsidRPr="006A6890" w:rsidRDefault="008A78E3" w:rsidP="00AA57CA">
      <w:pPr>
        <w:rPr>
          <w:rFonts w:asciiTheme="minorHAnsi" w:hAnsiTheme="minorHAnsi"/>
        </w:rPr>
      </w:pPr>
      <w:r w:rsidRPr="006A6890">
        <w:rPr>
          <w:rFonts w:asciiTheme="minorHAnsi" w:hAnsiTheme="minorHAnsi"/>
        </w:rPr>
        <w:t>Az intézményeknek törekedniük kell arra, hogy minden lényeges kockázatukat megfeleltessék a kézikönyv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7FFFE939" w14:textId="77777777" w:rsidR="008A78E3" w:rsidRPr="006A6890" w:rsidRDefault="008A78E3" w:rsidP="00AA57CA">
      <w:pPr>
        <w:rPr>
          <w:rFonts w:asciiTheme="minorHAnsi" w:hAnsiTheme="minorHAnsi"/>
        </w:rPr>
      </w:pPr>
      <w:r w:rsidRPr="006A6890">
        <w:rPr>
          <w:rFonts w:asciiTheme="minorHAnsi" w:hAnsiTheme="minorHAnsi"/>
        </w:rPr>
        <w:t>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típusú kockázat a környezeti hatások eredményeképpen másik típusú kockázattá alakulhat át (példa erre a deviza alapú hiteltermékekben rejlő deviza árfolyamkockázat megnövekedésének hatása a hitelkockázatra).</w:t>
      </w:r>
    </w:p>
    <w:p w14:paraId="7FFFE93A" w14:textId="77777777" w:rsidR="008A78E3" w:rsidRDefault="008A78E3" w:rsidP="00AA57CA">
      <w:pPr>
        <w:rPr>
          <w:rFonts w:asciiTheme="minorHAnsi" w:hAnsiTheme="minorHAnsi"/>
        </w:rPr>
      </w:pPr>
      <w:r w:rsidRPr="006A6890">
        <w:rPr>
          <w:rFonts w:asciiTheme="minorHAnsi" w:hAnsiTheme="minorHAnsi"/>
        </w:rPr>
        <w:t xml:space="preserve">A kockázatok megfelelő azonosítása, kezelése szempontjából alapvető fontosságú, hogy az intézmények megbízható és konzisztens adatokkal rendelkezzenek (megfelelő adatminőséget biztosítsanak). </w:t>
      </w:r>
    </w:p>
    <w:p w14:paraId="7FFFE93B" w14:textId="77777777" w:rsidR="008A78E3" w:rsidRPr="006A6890" w:rsidRDefault="008A78E3" w:rsidP="00181755">
      <w:pPr>
        <w:pStyle w:val="Cmsor3"/>
        <w:rPr>
          <w:rFonts w:asciiTheme="minorHAnsi" w:hAnsiTheme="minorHAnsi"/>
        </w:rPr>
      </w:pPr>
      <w:bookmarkStart w:id="679" w:name="_III.2.1._Az_1."/>
      <w:bookmarkStart w:id="680" w:name="_Toc417311945"/>
      <w:bookmarkStart w:id="681" w:name="_III._2.1.1_Hitelkockázat"/>
      <w:bookmarkStart w:id="682" w:name="_Toc378256234"/>
      <w:bookmarkStart w:id="683" w:name="_Toc378592042"/>
      <w:bookmarkStart w:id="684" w:name="_Toc461095202"/>
      <w:bookmarkStart w:id="685" w:name="_Toc461179858"/>
      <w:bookmarkStart w:id="686" w:name="_Toc461201301"/>
      <w:bookmarkStart w:id="687" w:name="_Toc461547944"/>
      <w:bookmarkStart w:id="688" w:name="_Toc462401982"/>
      <w:bookmarkStart w:id="689" w:name="_Toc462403103"/>
      <w:bookmarkStart w:id="690" w:name="_Toc462403427"/>
      <w:bookmarkStart w:id="691" w:name="_Toc468180546"/>
      <w:bookmarkStart w:id="692" w:name="_Toc468181054"/>
      <w:bookmarkStart w:id="693" w:name="_Toc468191442"/>
      <w:bookmarkStart w:id="694" w:name="_Toc45119949"/>
      <w:bookmarkStart w:id="695" w:name="_Toc58512232"/>
      <w:bookmarkStart w:id="696" w:name="_Toc158036652"/>
      <w:bookmarkEnd w:id="679"/>
      <w:bookmarkEnd w:id="680"/>
      <w:bookmarkEnd w:id="681"/>
      <w:r w:rsidRPr="006A6890">
        <w:rPr>
          <w:rFonts w:asciiTheme="minorHAnsi" w:hAnsiTheme="minorHAnsi"/>
        </w:rPr>
        <w:t>Hitelkockázat</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FFFE93C"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93D" w14:textId="77777777" w:rsidR="008A78E3" w:rsidRPr="006A6890" w:rsidRDefault="008A78E3" w:rsidP="00AA57CA">
      <w:pPr>
        <w:rPr>
          <w:rFonts w:asciiTheme="minorHAnsi" w:hAnsiTheme="minorHAnsi"/>
        </w:rPr>
      </w:pPr>
      <w:r w:rsidRPr="006A6890">
        <w:rPr>
          <w:rFonts w:asciiTheme="minorHAnsi" w:hAnsiTheme="minorHAnsi"/>
        </w:rPr>
        <w:t xml:space="preserve">A hitelkockázat a szerződéses partnerek hitel-, halasztott pénzügyi teljesítés vagy más hiteljellegű jogviszonyból fakadó fizetési kötelezettségének 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FFFE93E" w14:textId="77777777" w:rsidR="008A78E3" w:rsidRPr="006A6890" w:rsidRDefault="008A78E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p>
    <w:p w14:paraId="7FFFE93F"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7FFFE940" w14:textId="77777777" w:rsidR="008A78E3" w:rsidRPr="006A6890" w:rsidRDefault="008A78E3"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7FFFE941" w14:textId="77777777" w:rsidR="008A78E3" w:rsidRPr="006A6890" w:rsidRDefault="008A78E3"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7FFFE942" w14:textId="77777777" w:rsidR="008A78E3" w:rsidRPr="006A6890" w:rsidRDefault="008A78E3" w:rsidP="00181755">
      <w:pPr>
        <w:pStyle w:val="felsorolsos"/>
        <w:rPr>
          <w:rFonts w:asciiTheme="minorHAnsi" w:hAnsiTheme="minorHAnsi"/>
        </w:rPr>
      </w:pPr>
      <w:r w:rsidRPr="006A6890">
        <w:rPr>
          <w:rFonts w:asciiTheme="minorHAnsi" w:hAnsiTheme="minorHAnsi"/>
        </w:rPr>
        <w:t>felhígulási kockázat,</w:t>
      </w:r>
    </w:p>
    <w:p w14:paraId="7FFFE943" w14:textId="77777777" w:rsidR="008A78E3" w:rsidRPr="006A6890" w:rsidRDefault="008A78E3"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7FFFE944" w14:textId="77777777" w:rsidR="008A78E3" w:rsidRPr="006A6890" w:rsidRDefault="008A78E3" w:rsidP="00181755">
      <w:pPr>
        <w:pStyle w:val="felsorolsos"/>
        <w:rPr>
          <w:rFonts w:asciiTheme="minorHAnsi" w:hAnsiTheme="minorHAnsi"/>
        </w:rPr>
      </w:pPr>
      <w:r w:rsidRPr="006A6890">
        <w:rPr>
          <w:rFonts w:asciiTheme="minorHAnsi" w:hAnsiTheme="minorHAnsi"/>
        </w:rPr>
        <w:t>speciális hitelezési kitettségek (olyan kitettségek, melyek kockázata a finanszírozott eszköz vagy projekt – pl. kereskedelmi ingatlan, erőmű, tőzsdei árucikk – jövedelemtermelő képességétől függ),</w:t>
      </w:r>
    </w:p>
    <w:p w14:paraId="7FFFE945" w14:textId="77777777" w:rsidR="008A78E3" w:rsidRPr="006A6890" w:rsidRDefault="008A78E3" w:rsidP="00181755">
      <w:pPr>
        <w:pStyle w:val="felsorolsos"/>
        <w:rPr>
          <w:rFonts w:asciiTheme="minorHAnsi" w:hAnsiTheme="minorHAnsi"/>
        </w:rPr>
      </w:pPr>
      <w:r w:rsidRPr="006A6890">
        <w:rPr>
          <w:rFonts w:asciiTheme="minorHAnsi" w:hAnsiTheme="minorHAnsi"/>
        </w:rPr>
        <w:t>devizahitelezés kockázata,</w:t>
      </w:r>
    </w:p>
    <w:p w14:paraId="7FFFE946" w14:textId="77777777" w:rsidR="008A78E3" w:rsidRPr="006A6890" w:rsidRDefault="008A78E3" w:rsidP="00181755">
      <w:pPr>
        <w:pStyle w:val="felsorolsos"/>
        <w:rPr>
          <w:rFonts w:asciiTheme="minorHAnsi" w:hAnsiTheme="minorHAnsi"/>
        </w:rPr>
      </w:pPr>
      <w:r w:rsidRPr="006A6890">
        <w:rPr>
          <w:rFonts w:asciiTheme="minorHAnsi" w:hAnsiTheme="minorHAnsi"/>
        </w:rPr>
        <w:t>elszámolási kockázat,</w:t>
      </w:r>
    </w:p>
    <w:p w14:paraId="7FFFE947" w14:textId="77777777" w:rsidR="008A78E3" w:rsidRPr="006A6890" w:rsidRDefault="008A78E3" w:rsidP="00181755">
      <w:pPr>
        <w:pStyle w:val="felsorolsos"/>
        <w:rPr>
          <w:rFonts w:asciiTheme="minorHAnsi" w:hAnsiTheme="minorHAnsi"/>
        </w:rPr>
      </w:pPr>
      <w:r w:rsidRPr="006A6890">
        <w:rPr>
          <w:rFonts w:asciiTheme="minorHAnsi" w:hAnsiTheme="minorHAnsi"/>
        </w:rPr>
        <w:t>koncentrációs kockázat,</w:t>
      </w:r>
    </w:p>
    <w:p w14:paraId="7FFFE948" w14:textId="77777777" w:rsidR="008A78E3" w:rsidRPr="006A6890" w:rsidRDefault="008A78E3" w:rsidP="00181755">
      <w:pPr>
        <w:pStyle w:val="felsorolsos"/>
        <w:rPr>
          <w:rFonts w:asciiTheme="minorHAnsi" w:hAnsiTheme="minorHAnsi"/>
        </w:rPr>
      </w:pPr>
      <w:r w:rsidRPr="006A6890">
        <w:rPr>
          <w:rFonts w:asciiTheme="minorHAnsi" w:hAnsiTheme="minorHAnsi"/>
        </w:rPr>
        <w:t>országkockázat,</w:t>
      </w:r>
    </w:p>
    <w:p w14:paraId="7FFFE949" w14:textId="77777777" w:rsidR="008A78E3" w:rsidRPr="006A6890" w:rsidRDefault="008A78E3" w:rsidP="00181755">
      <w:pPr>
        <w:pStyle w:val="felsorolsos"/>
        <w:rPr>
          <w:rFonts w:asciiTheme="minorHAnsi" w:hAnsiTheme="minorHAnsi"/>
        </w:rPr>
      </w:pPr>
      <w:r w:rsidRPr="006A6890">
        <w:rPr>
          <w:rFonts w:asciiTheme="minorHAnsi" w:hAnsiTheme="minorHAnsi"/>
        </w:rPr>
        <w:t>reziduális kockázat,</w:t>
      </w:r>
    </w:p>
    <w:p w14:paraId="7FFFE94A" w14:textId="77777777" w:rsidR="008A78E3" w:rsidRPr="006A6890" w:rsidRDefault="008A78E3" w:rsidP="00181755">
      <w:pPr>
        <w:pStyle w:val="felsorolsos"/>
        <w:rPr>
          <w:rFonts w:asciiTheme="minorHAnsi" w:hAnsiTheme="minorHAnsi"/>
        </w:rPr>
      </w:pPr>
      <w:r w:rsidRPr="006A6890">
        <w:rPr>
          <w:rFonts w:asciiTheme="minorHAnsi" w:hAnsiTheme="minorHAnsi"/>
        </w:rPr>
        <w:t>értékpapírosítási kockázat,</w:t>
      </w:r>
    </w:p>
    <w:p w14:paraId="7FFFE94B"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biztosító nemfizetésének kockázata. </w:t>
      </w:r>
    </w:p>
    <w:p w14:paraId="7FFFE94C"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94D" w14:textId="77777777" w:rsidR="008A78E3" w:rsidRPr="006A6890" w:rsidRDefault="008A78E3" w:rsidP="00AA57CA">
      <w:pPr>
        <w:rPr>
          <w:rFonts w:asciiTheme="minorHAnsi" w:hAnsiTheme="minorHAnsi"/>
        </w:rPr>
      </w:pPr>
      <w:r w:rsidRPr="006A6890">
        <w:rPr>
          <w:rFonts w:asciiTheme="minorHAnsi" w:hAnsiTheme="minorHAnsi"/>
        </w:rPr>
        <w:t>A hitelkockázatot az intézményeknek intézkedésekkel, eljárásokkal, és/vagy tőkével kell fedezniük.</w:t>
      </w:r>
    </w:p>
    <w:p w14:paraId="7FFFE94E" w14:textId="77777777" w:rsidR="008A78E3" w:rsidRPr="006A6890" w:rsidRDefault="008A78E3" w:rsidP="00AA57CA">
      <w:pPr>
        <w:rPr>
          <w:rFonts w:asciiTheme="minorHAnsi" w:hAnsiTheme="minorHAnsi"/>
        </w:rPr>
      </w:pPr>
      <w:r w:rsidRPr="006A6890">
        <w:rPr>
          <w:rFonts w:asciiTheme="minorHAnsi" w:hAnsiTheme="minorHAnsi"/>
        </w:rPr>
        <w:t>Az ICAAP-ben az intézmény lefekteti hitelkockázati tőkekövetelmény-számítási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7FFFE94F" w14:textId="77777777" w:rsidR="008A78E3" w:rsidRPr="006A6890" w:rsidRDefault="008A78E3" w:rsidP="00AA57CA">
      <w:pPr>
        <w:rPr>
          <w:rFonts w:asciiTheme="minorHAnsi" w:hAnsiTheme="minorHAnsi"/>
        </w:rPr>
      </w:pPr>
      <w:r w:rsidRPr="006A6890">
        <w:rPr>
          <w:rFonts w:asciiTheme="minorHAnsi" w:hAnsiTheme="minorHAnsi"/>
        </w:rPr>
        <w:t xml:space="preserve">A hitelkockázat vonatkozásában az ICAAP során az intézményeknek figyelembe kell vennie minden összetevőt, mely meghatározza a potenciális hitelezési veszteségeket, így különösen: a hitelfelvevőket és az adott kötelezettség visszafizetésére való képességüket érintő hitelesemény (azaz nemteljesítés) vagy több összefüggő hitelesemény valószínűségét (PD); a hitelkockázati kitettségek mértékét (EAD); valamint a hitelfelvevők nemteljesítése esetén a hitelkitettségek </w:t>
      </w:r>
      <w:r>
        <w:rPr>
          <w:rFonts w:asciiTheme="minorHAnsi" w:hAnsiTheme="minorHAnsi"/>
        </w:rPr>
        <w:t>veszteség</w:t>
      </w:r>
      <w:r w:rsidRPr="006A6890">
        <w:rPr>
          <w:rFonts w:asciiTheme="minorHAnsi" w:hAnsiTheme="minorHAnsi"/>
        </w:rPr>
        <w:t>rátáját (LGD). Az intézményeknek minden összetevő esetében figyelembe kell venniük annak a lehetőségét, hogy ezek az összetevők idővel változhatnak és a várt eredményekhez képest rosszabbodhatnak.</w:t>
      </w:r>
    </w:p>
    <w:p w14:paraId="7FFFE950" w14:textId="77777777" w:rsidR="008A78E3" w:rsidRPr="006A6890" w:rsidRDefault="008A78E3" w:rsidP="00AA57CA">
      <w:pPr>
        <w:rPr>
          <w:rFonts w:asciiTheme="minorHAnsi" w:hAnsiTheme="minorHAnsi"/>
        </w:rPr>
      </w:pPr>
      <w:r w:rsidRPr="006A6890">
        <w:rPr>
          <w:rFonts w:asciiTheme="minorHAnsi" w:hAnsiTheme="minorHAnsi"/>
        </w:rPr>
        <w:t>Az intézménynek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7FFFE951" w14:textId="77777777" w:rsidR="008A78E3" w:rsidRPr="006A6890" w:rsidRDefault="008A78E3" w:rsidP="00AA57CA">
      <w:pPr>
        <w:rPr>
          <w:rFonts w:asciiTheme="minorHAnsi" w:hAnsiTheme="minorHAnsi"/>
        </w:rPr>
      </w:pPr>
      <w:r w:rsidRPr="006A6890">
        <w:rPr>
          <w:rFonts w:asciiTheme="minorHAnsi" w:hAnsiTheme="minorHAnsi"/>
        </w:rPr>
        <w:t>Az ICAAP keretrendszeren belül a hitelezési tevékenység alapját képező irányítási és kockázatkezelési keretrendszer az alábbiakat foglalja magában:</w:t>
      </w:r>
    </w:p>
    <w:p w14:paraId="7FFFE952" w14:textId="77777777" w:rsidR="008A78E3" w:rsidRPr="006A6890" w:rsidRDefault="008A78E3" w:rsidP="00181755">
      <w:pPr>
        <w:pStyle w:val="felsorolsos"/>
        <w:rPr>
          <w:rFonts w:asciiTheme="minorHAnsi" w:hAnsiTheme="minorHAnsi"/>
        </w:rPr>
      </w:pPr>
      <w:r w:rsidRPr="006A6890">
        <w:rPr>
          <w:rFonts w:asciiTheme="minorHAnsi" w:hAnsiTheme="minorHAnsi"/>
        </w:rPr>
        <w:t>és</w:t>
      </w:r>
      <w:r>
        <w:rPr>
          <w:rFonts w:asciiTheme="minorHAnsi" w:hAnsiTheme="minorHAnsi"/>
        </w:rPr>
        <w:t>z</w:t>
      </w:r>
      <w:r w:rsidRPr="006A6890">
        <w:rPr>
          <w:rFonts w:asciiTheme="minorHAnsi" w:hAnsiTheme="minorHAnsi"/>
        </w:rPr>
        <w:t>szerű, egyértelműen kialakított és dokumentált, a vezetői testület által jóváhagyott hitelkockázati stratégia és hitelkockázatvállalási hajlandóság,</w:t>
      </w:r>
    </w:p>
    <w:p w14:paraId="7FFFE953" w14:textId="77777777" w:rsidR="008A78E3" w:rsidRPr="006A6890" w:rsidRDefault="008A78E3" w:rsidP="00181755">
      <w:pPr>
        <w:pStyle w:val="felsorolsos"/>
        <w:rPr>
          <w:rFonts w:asciiTheme="minorHAnsi" w:hAnsiTheme="minorHAnsi"/>
        </w:rPr>
      </w:pPr>
      <w:r w:rsidRPr="006A6890">
        <w:rPr>
          <w:rFonts w:asciiTheme="minorHAnsi" w:hAnsiTheme="minorHAnsi"/>
        </w:rPr>
        <w:t>a hitelkockázat hatékony kezelését, mérését és mérséklését lehetővé tevő szervezeti keretek, és a kapcsolódó feladatok elvégzéséhez elegendő emberi és műszaki erőforrás,</w:t>
      </w:r>
    </w:p>
    <w:p w14:paraId="7FFFE954" w14:textId="77777777" w:rsidR="008A78E3" w:rsidRPr="006A6890" w:rsidRDefault="008A78E3" w:rsidP="00181755">
      <w:pPr>
        <w:pStyle w:val="felsorolsos"/>
        <w:rPr>
          <w:rFonts w:asciiTheme="minorHAnsi" w:hAnsiTheme="minorHAnsi"/>
        </w:rPr>
      </w:pPr>
      <w:r w:rsidRPr="006A6890">
        <w:rPr>
          <w:rFonts w:asciiTheme="minorHAnsi" w:hAnsiTheme="minorHAnsi"/>
        </w:rPr>
        <w:t>a hitelkockázatok azonosítására, kezelésére, mérésére, mérséklésére, monitoringozására és riportálására vonatkozó szabályzatok és eljárások, valamint azzal összhangban lévő gyakorlati folyamatok,</w:t>
      </w:r>
    </w:p>
    <w:p w14:paraId="7FFFE955" w14:textId="77777777" w:rsidR="008A78E3" w:rsidRPr="006A6890" w:rsidRDefault="008A78E3" w:rsidP="00181755">
      <w:pPr>
        <w:pStyle w:val="felsorolsos"/>
        <w:rPr>
          <w:rFonts w:asciiTheme="minorHAnsi" w:hAnsiTheme="minorHAnsi"/>
        </w:rPr>
      </w:pPr>
      <w:r w:rsidRPr="006A6890">
        <w:rPr>
          <w:rFonts w:asciiTheme="minorHAnsi" w:hAnsiTheme="minorHAnsi"/>
        </w:rPr>
        <w:t>a hitelkockázati stratégiával és hitelkockázatvállalási hajlandósággal összhangban lévő belső ellenőrzési keretrendszer.</w:t>
      </w:r>
    </w:p>
    <w:p w14:paraId="7FFFE956" w14:textId="77777777" w:rsidR="008A78E3" w:rsidRPr="006A6890" w:rsidRDefault="008A78E3" w:rsidP="00181755">
      <w:pPr>
        <w:rPr>
          <w:rFonts w:asciiTheme="minorHAnsi" w:hAnsiTheme="minorHAnsi"/>
          <w:b/>
        </w:rPr>
      </w:pPr>
      <w:r w:rsidRPr="006A6890">
        <w:rPr>
          <w:rFonts w:asciiTheme="minorHAnsi" w:hAnsiTheme="minorHAnsi"/>
          <w:b/>
        </w:rPr>
        <w:t>Tőkekövetelmény-számítás</w:t>
      </w:r>
    </w:p>
    <w:p w14:paraId="7FFFE957" w14:textId="77777777" w:rsidR="008A78E3" w:rsidRPr="006A6890" w:rsidRDefault="008A78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 IRB) – melynek két változata az alap- és fejlett módszer (FIRB és AIRB) – alkalmazásához felügyeleti engedély szükséges.</w:t>
      </w:r>
    </w:p>
    <w:p w14:paraId="7FFFE958" w14:textId="77777777" w:rsidR="008A78E3" w:rsidRPr="006A6890" w:rsidRDefault="008A78E3" w:rsidP="00AA57CA">
      <w:pPr>
        <w:rPr>
          <w:rFonts w:asciiTheme="minorHAnsi" w:hAnsiTheme="minorHAnsi"/>
        </w:rPr>
      </w:pPr>
      <w:r w:rsidRPr="006A6890">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(pl.: kockázatvállalási és -kezelési szabályzatban stb.), valamint az egyéb termékjellemzők meghatározása (sztenderd termékek). A szabályzatnak ki kell terjednie a granularitás</w:t>
      </w:r>
      <w:r>
        <w:rPr>
          <w:rFonts w:asciiTheme="minorHAnsi" w:hAnsiTheme="minorHAnsi"/>
          <w:vertAlign w:val="superscript"/>
        </w:rPr>
        <w:footnoteReference w:id="23"/>
      </w:r>
      <w:r w:rsidRPr="006A6890">
        <w:rPr>
          <w:rFonts w:asciiTheme="minorHAnsi" w:hAnsiTheme="minorHAnsi"/>
        </w:rPr>
        <w:t xml:space="preserve"> meghatározására is. </w:t>
      </w:r>
    </w:p>
    <w:p w14:paraId="7FFFE959" w14:textId="77777777" w:rsidR="008A78E3" w:rsidRPr="006A6890" w:rsidRDefault="008A78E3"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7FFFE95A" w14:textId="77777777" w:rsidR="008A78E3" w:rsidRPr="006A6890" w:rsidRDefault="008A78E3" w:rsidP="00181755">
      <w:pPr>
        <w:pStyle w:val="felsorolsos"/>
        <w:keepNext/>
        <w:rPr>
          <w:rFonts w:asciiTheme="minorHAnsi" w:hAnsiTheme="minorHAnsi"/>
        </w:rPr>
      </w:pPr>
      <w:r w:rsidRPr="006A6890">
        <w:rPr>
          <w:rFonts w:asciiTheme="minorHAnsi" w:hAnsiTheme="minorHAnsi"/>
        </w:rPr>
        <w:t>a termékek „kvázi pool”-okba sorolása, azaz az azonosan „viselkedő” termékek (azonos, sztenderd kondíciók, limitált összeghatár, stb.) azonosítása. Érdemes meghatározni egy minimális ügyletszámot az egyes pool-okra a granularitás teljesülése érdekében.</w:t>
      </w:r>
    </w:p>
    <w:p w14:paraId="7FFFE95B" w14:textId="77777777" w:rsidR="008A78E3" w:rsidRPr="006A6890" w:rsidRDefault="008A78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7FFFE95C" w14:textId="77777777" w:rsidR="008A78E3" w:rsidRPr="00AA57CA" w:rsidRDefault="008A78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7FFFE95D" w14:textId="77777777" w:rsidR="008A78E3" w:rsidRPr="006A6890" w:rsidRDefault="008A78E3" w:rsidP="00AA57CA">
      <w:pPr>
        <w:rPr>
          <w:rFonts w:asciiTheme="minorHAnsi" w:hAnsiTheme="minorHAnsi"/>
        </w:rPr>
      </w:pPr>
      <w:r w:rsidRPr="006A6890">
        <w:rPr>
          <w:rFonts w:asciiTheme="minorHAnsi" w:hAnsiTheme="minorHAnsi"/>
        </w:rPr>
        <w:t>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azonban a kalibrációs nehézségek miatt jelentős modellkockázatot hordozhatnak magukban</w:t>
      </w:r>
      <w:r>
        <w:rPr>
          <w:rStyle w:val="Lbjegyzet-hivatkozs"/>
          <w:rFonts w:asciiTheme="minorHAnsi" w:hAnsiTheme="minorHAnsi"/>
        </w:rPr>
        <w:footnoteReference w:id="24"/>
      </w:r>
      <w:r w:rsidRPr="006A6890">
        <w:rPr>
          <w:rFonts w:asciiTheme="minorHAnsi" w:hAnsiTheme="minorHAnsi"/>
        </w:rPr>
        <w:t xml:space="preserve">. E modellek megítélésekor az MNB próbálja megérteni és rekonstruálni a modellt és annak működését, de a modell értékelésénél fontos eszköz a benchmarkolás is, melynek során az MNB az IRB modell (nem kellően granuláris kitettségek esetén annak szimulációja) eredményeivel összeveti a Bank által használt portfóliómodell eredményét. </w:t>
      </w:r>
    </w:p>
    <w:p w14:paraId="7FFFE95E"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95F" w14:textId="77777777" w:rsidR="008A78E3" w:rsidRPr="006A6890" w:rsidRDefault="008A78E3" w:rsidP="00AA57CA">
      <w:pPr>
        <w:rPr>
          <w:rFonts w:asciiTheme="minorHAnsi" w:hAnsiTheme="minorHAnsi"/>
        </w:rPr>
      </w:pPr>
      <w:r w:rsidRPr="006A6890">
        <w:rPr>
          <w:rFonts w:asciiTheme="minorHAnsi" w:hAnsiTheme="minorHAnsi"/>
        </w:rPr>
        <w:t xml:space="preserve">A hitelezési kockázatok a CRD 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7FFFE960" w14:textId="77777777" w:rsidR="008A78E3" w:rsidRPr="006A6890" w:rsidRDefault="008A78E3" w:rsidP="00AA57CA">
      <w:pPr>
        <w:rPr>
          <w:rFonts w:asciiTheme="minorHAnsi" w:hAnsiTheme="minorHAnsi"/>
        </w:rPr>
      </w:pPr>
      <w:r w:rsidRPr="006A6890">
        <w:rPr>
          <w:rFonts w:asciiTheme="minorHAnsi" w:hAnsiTheme="minorHAnsi"/>
        </w:rPr>
        <w:t xml:space="preserve">A hitelkockázat súlyára és komplexitására tekintettel, ezzel párhuzamosan jellemzően pótlólagos tőkekövetelmény kerül előírásra a teljeskörű és fókuszált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7FFFE961" w14:textId="77777777" w:rsidR="008A78E3" w:rsidRPr="006A6890" w:rsidRDefault="008A78E3" w:rsidP="00AA57CA">
      <w:pPr>
        <w:rPr>
          <w:rFonts w:asciiTheme="minorHAnsi" w:hAnsiTheme="minorHAnsi"/>
        </w:rPr>
      </w:pPr>
      <w:r w:rsidRPr="006A6890">
        <w:rPr>
          <w:rFonts w:asciiTheme="minorHAnsi" w:hAnsiTheme="minorHAnsi"/>
        </w:rPr>
        <w:t xml:space="preserve">Az MNB továbbá él azzal a lehetőséggel, hogy más banki adatok, paraméterek, kockázati súlyok, peer group adatokon fejlesztett benchmark 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7FFFE962" w14:textId="77777777" w:rsidR="008A78E3" w:rsidRPr="006A6890" w:rsidRDefault="008A78E3" w:rsidP="00AA57CA">
      <w:pPr>
        <w:rPr>
          <w:rFonts w:asciiTheme="minorHAnsi" w:hAnsiTheme="minorHAnsi"/>
        </w:rPr>
      </w:pPr>
      <w:r w:rsidRPr="006A6890">
        <w:rPr>
          <w:rFonts w:asciiTheme="minorHAnsi" w:hAnsiTheme="minorHAnsi"/>
        </w:rPr>
        <w:t xml:space="preserve">A hitelezési folyamatok és a tőkekövetelmény-számítás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Az MNB továbbá ismerteti benchmark modelljeinek alapvető elemeit is. A következőkben ezek kerülnek összefoglaló jelleggel bemutatásra. </w:t>
      </w:r>
    </w:p>
    <w:p w14:paraId="7FFFE963" w14:textId="77777777" w:rsidR="008A78E3" w:rsidRPr="006A6890" w:rsidRDefault="008A78E3" w:rsidP="00181755">
      <w:pPr>
        <w:pStyle w:val="Cmsor4"/>
        <w:rPr>
          <w:rFonts w:asciiTheme="minorHAnsi" w:hAnsiTheme="minorHAnsi"/>
        </w:rPr>
      </w:pPr>
      <w:bookmarkStart w:id="697" w:name="_A_hitelkockázati_modell"/>
      <w:bookmarkStart w:id="698" w:name="_Toc378592166"/>
      <w:bookmarkStart w:id="699" w:name="_Toc461095203"/>
      <w:bookmarkStart w:id="700" w:name="_Toc461179859"/>
      <w:bookmarkStart w:id="701" w:name="_Toc461201302"/>
      <w:bookmarkStart w:id="702" w:name="_Toc461547945"/>
      <w:bookmarkStart w:id="703" w:name="_Toc462401983"/>
      <w:bookmarkStart w:id="704" w:name="_Toc462403104"/>
      <w:bookmarkStart w:id="705" w:name="_Toc462403428"/>
      <w:bookmarkStart w:id="706" w:name="_Toc468180547"/>
      <w:bookmarkStart w:id="707" w:name="_Toc468181055"/>
      <w:bookmarkStart w:id="708" w:name="_Toc468191443"/>
      <w:bookmarkStart w:id="709" w:name="_Toc45119950"/>
      <w:bookmarkStart w:id="710" w:name="_Toc58512233"/>
      <w:bookmarkStart w:id="711" w:name="_Toc158036653"/>
      <w:bookmarkEnd w:id="697"/>
      <w:r w:rsidRPr="006A6890">
        <w:rPr>
          <w:rFonts w:asciiTheme="minorHAnsi" w:hAnsiTheme="minorHAnsi"/>
        </w:rPr>
        <w:t>A hitelkockázati modell feltevései</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FFFE964" w14:textId="77777777" w:rsidR="008A78E3" w:rsidRPr="006A6890" w:rsidRDefault="008A78E3" w:rsidP="009D65E3">
      <w:pPr>
        <w:rPr>
          <w:rFonts w:asciiTheme="minorHAnsi" w:hAnsiTheme="minorHAnsi"/>
        </w:rPr>
      </w:pPr>
      <w:r w:rsidRPr="006A6890">
        <w:rPr>
          <w:rFonts w:asciiTheme="minorHAnsi" w:hAnsiTheme="minorHAnsi"/>
        </w:rPr>
        <w:t xml:space="preserve">A fejlett tőkekövetelmény-számítási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 határozzák meg azt. </w:t>
      </w:r>
    </w:p>
    <w:p w14:paraId="7FFFE965" w14:textId="77777777" w:rsidR="008A78E3" w:rsidRPr="006A6890" w:rsidRDefault="008A78E3" w:rsidP="009D65E3">
      <w:pPr>
        <w:rPr>
          <w:rFonts w:asciiTheme="minorHAnsi" w:hAnsiTheme="minorHAnsi"/>
        </w:rPr>
      </w:pPr>
      <w:r w:rsidRPr="006A6890">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7FFFE966" w14:textId="77777777" w:rsidR="008A78E3" w:rsidRPr="006A6890" w:rsidRDefault="008A78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7FFFE967"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7FFFE968" w14:textId="77777777" w:rsidR="008A78E3" w:rsidRPr="006A6890" w:rsidRDefault="008A78E3" w:rsidP="00181755">
      <w:pPr>
        <w:pStyle w:val="felsorolsos"/>
        <w:rPr>
          <w:rFonts w:asciiTheme="minorHAnsi" w:hAnsiTheme="minorHAnsi"/>
        </w:rPr>
      </w:pPr>
      <w:r w:rsidRPr="006A6890">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egyszerűen megfeleltethető az IRB-modell korrelációs együtthatójának, ezért az MNB ezen összehasonlítás elvégzését elvárja az intézményektől.</w:t>
      </w:r>
      <w:r w:rsidRPr="006A6890">
        <w:rPr>
          <w:rStyle w:val="Lbjegyzet-hivatkozs"/>
          <w:rFonts w:asciiTheme="minorHAnsi" w:hAnsiTheme="minorHAnsi"/>
          <w:szCs w:val="22"/>
        </w:rPr>
        <w:t xml:space="preserve"> </w:t>
      </w:r>
      <w:r>
        <w:rPr>
          <w:rStyle w:val="Lbjegyzet-hivatkozs"/>
          <w:rFonts w:asciiTheme="minorHAnsi" w:hAnsiTheme="minorHAnsi"/>
          <w:szCs w:val="22"/>
        </w:rPr>
        <w:footnoteReference w:id="25"/>
      </w:r>
      <w:r w:rsidRPr="006A6890">
        <w:rPr>
          <w:rFonts w:asciiTheme="minorHAnsi" w:hAnsiTheme="minorHAnsi"/>
        </w:rPr>
        <w:t xml:space="preserve"> </w:t>
      </w:r>
    </w:p>
    <w:p w14:paraId="7FFFE969"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7FFFE96A" w14:textId="77777777" w:rsidR="008A78E3" w:rsidRPr="006A6890" w:rsidRDefault="008A78E3" w:rsidP="00CD1B46">
      <w:pPr>
        <w:pStyle w:val="alfelsorols"/>
        <w:numPr>
          <w:ilvl w:val="0"/>
          <w:numId w:val="45"/>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7FFFE96B" w14:textId="77777777" w:rsidR="008A78E3" w:rsidRPr="006A6890" w:rsidRDefault="008A78E3" w:rsidP="00CD1B46">
      <w:pPr>
        <w:pStyle w:val="alfelsorols"/>
        <w:numPr>
          <w:ilvl w:val="0"/>
          <w:numId w:val="45"/>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7FFFE96C"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7FFFE96D" w14:textId="77777777" w:rsidR="008A78E3" w:rsidRPr="006A6890" w:rsidRDefault="008A78E3" w:rsidP="00CD1B46">
      <w:pPr>
        <w:pStyle w:val="alfelsorols"/>
        <w:numPr>
          <w:ilvl w:val="0"/>
          <w:numId w:val="45"/>
        </w:numPr>
        <w:ind w:left="1560" w:hanging="284"/>
        <w:rPr>
          <w:rFonts w:asciiTheme="minorHAnsi" w:hAnsiTheme="minorHAnsi"/>
        </w:rPr>
      </w:pPr>
      <w:r w:rsidRPr="006A6890">
        <w:rPr>
          <w:rFonts w:asciiTheme="minorHAnsi" w:hAnsiTheme="minorHAnsi"/>
        </w:rPr>
        <w:t>a 2. pilléres hitelkockázati modell mechanizmusát nem befolyásoló paraméterek – nemteljesítési valószínűség (PD), nemteljesítéskori veszteségráta (LGD) és hitelegyenértékesítési faktor (CCF) – vonatkozásában számszerűsítsék az 1. pillértől való eltérés hatásait,</w:t>
      </w:r>
    </w:p>
    <w:p w14:paraId="7FFFE96E" w14:textId="77777777" w:rsidR="008A78E3" w:rsidRPr="006A6890" w:rsidRDefault="008A78E3" w:rsidP="00CD1B46">
      <w:pPr>
        <w:pStyle w:val="alfelsorols"/>
        <w:numPr>
          <w:ilvl w:val="0"/>
          <w:numId w:val="45"/>
        </w:numPr>
        <w:ind w:left="1560" w:hanging="284"/>
        <w:rPr>
          <w:rFonts w:asciiTheme="minorHAnsi" w:hAnsiTheme="minorHAnsi"/>
        </w:rPr>
      </w:pPr>
      <w:r w:rsidRPr="006A6890">
        <w:rPr>
          <w:rFonts w:asciiTheme="minorHAnsi" w:hAnsiTheme="minorHAnsi"/>
        </w:rPr>
        <w:t>tegyék lehetővé a kétféle módszertanban használt paraméterek (CCF,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7FFFE96F" w14:textId="77777777" w:rsidR="008A78E3" w:rsidRPr="006A6890" w:rsidRDefault="008A78E3" w:rsidP="00181755">
      <w:pPr>
        <w:pStyle w:val="Cmsor4"/>
        <w:rPr>
          <w:rFonts w:asciiTheme="minorHAnsi" w:hAnsiTheme="minorHAnsi"/>
        </w:rPr>
      </w:pPr>
      <w:bookmarkStart w:id="712" w:name="_Toc461095204"/>
      <w:bookmarkStart w:id="713" w:name="_Toc461179860"/>
      <w:bookmarkStart w:id="714" w:name="_Toc461201303"/>
      <w:bookmarkStart w:id="715" w:name="_Toc461547946"/>
      <w:bookmarkStart w:id="716" w:name="_Toc462401984"/>
      <w:bookmarkStart w:id="717" w:name="_Toc462403105"/>
      <w:bookmarkStart w:id="718" w:name="_Toc462403429"/>
      <w:bookmarkStart w:id="719" w:name="_Toc468180548"/>
      <w:bookmarkStart w:id="720" w:name="_Toc468181056"/>
      <w:bookmarkStart w:id="721" w:name="_Toc468191444"/>
      <w:bookmarkStart w:id="722" w:name="_Toc45119951"/>
      <w:bookmarkStart w:id="723" w:name="_Toc58512234"/>
      <w:bookmarkStart w:id="724" w:name="_Toc158036654"/>
      <w:r w:rsidRPr="006A6890">
        <w:rPr>
          <w:rFonts w:asciiTheme="minorHAnsi" w:hAnsiTheme="minorHAnsi"/>
        </w:rPr>
        <w:t>Modellekkel és minősítő rendszerekkel kapcsolatos alapvető elvárások</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7FFFE970" w14:textId="77777777" w:rsidR="008A78E3" w:rsidRPr="006A6890" w:rsidRDefault="008A78E3" w:rsidP="009D65E3">
      <w:pPr>
        <w:rPr>
          <w:rFonts w:asciiTheme="minorHAnsi" w:hAnsiTheme="minorHAnsi"/>
        </w:rPr>
      </w:pPr>
      <w:bookmarkStart w:id="725" w:name="_A_nemteljesítési_valószínűség"/>
      <w:bookmarkStart w:id="726" w:name="_Toc378592167"/>
      <w:bookmarkEnd w:id="725"/>
      <w:r w:rsidRPr="006A6890">
        <w:rPr>
          <w:rFonts w:asciiTheme="minorHAnsi" w:hAnsiTheme="minorHAnsi"/>
        </w:rPr>
        <w:t>A hitelkockázati modellekkel és minősítő rendszerekkel</w:t>
      </w:r>
      <w:r>
        <w:rPr>
          <w:rStyle w:val="Lbjegyzet-hivatkozs"/>
          <w:rFonts w:asciiTheme="minorHAnsi" w:hAnsiTheme="minorHAnsi"/>
        </w:rPr>
        <w:footnoteReference w:id="26"/>
      </w:r>
      <w:r w:rsidRPr="006A6890">
        <w:rPr>
          <w:rFonts w:asciiTheme="minorHAnsi" w:hAnsiTheme="minorHAnsi"/>
        </w:rPr>
        <w:t xml:space="preserve"> kapcsolatban az MNB fő általános elvárásai a következők:</w:t>
      </w:r>
    </w:p>
    <w:p w14:paraId="7FFFE971"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teljeskörű, részletes és egyértelmű dokumentáció,</w:t>
      </w:r>
    </w:p>
    <w:p w14:paraId="7FFFE972"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 xml:space="preserve">fogalmak, eljárások és folyamatok rögzítése, </w:t>
      </w:r>
    </w:p>
    <w:p w14:paraId="7FFFE973"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 xml:space="preserve">megfelelő adatminőség biztosítása, </w:t>
      </w:r>
    </w:p>
    <w:p w14:paraId="7FFFE974"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 xml:space="preserve">felhasznált adatok megfelelő gyűjtése, tárolása és karbantartása, </w:t>
      </w:r>
    </w:p>
    <w:p w14:paraId="7FFFE975"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 xml:space="preserve">éves validáció, </w:t>
      </w:r>
    </w:p>
    <w:p w14:paraId="7FFFE976"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 xml:space="preserve">modellek teljesítményének és stabilitásának rendszeres monitoringozása, riportálása, </w:t>
      </w:r>
    </w:p>
    <w:p w14:paraId="7FFFE977"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modellek rendszeres újrafejlesztése, amelyre a validáció vagy monitoring eredménye alapján (meghatározott trigger értékek elérése esetén) sort kell keríteni,</w:t>
      </w:r>
    </w:p>
    <w:p w14:paraId="7FFFE978"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naprakész, rendszeresen aktualizált modell leltár kialakítása, alkalmazása, amelyben nyomon követhetőek a modellekkel kapcsolatos felülvizsgálatok és validációk időpontjai,</w:t>
      </w:r>
    </w:p>
    <w:p w14:paraId="7FFFE979"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use teszt: az intézményeknek olyan minősítő rendszert kell alkalmazniuk, amelyet megbízhatónak tartanak, megbízható működésüket rendszeres visszaméréssel igazolják, és amelyet a belső folyamataikban és a tőkekövetelmény-számításukban is felhasználnak,</w:t>
      </w:r>
    </w:p>
    <w:p w14:paraId="7FFFE97A" w14:textId="77777777" w:rsidR="008A78E3" w:rsidRPr="006A6890" w:rsidRDefault="008A78E3" w:rsidP="00CD1B46">
      <w:pPr>
        <w:pStyle w:val="alfelsorols"/>
        <w:numPr>
          <w:ilvl w:val="0"/>
          <w:numId w:val="46"/>
        </w:numPr>
        <w:rPr>
          <w:rFonts w:asciiTheme="minorHAnsi" w:hAnsiTheme="minorHAnsi"/>
        </w:rPr>
      </w:pPr>
      <w:r w:rsidRPr="006A6890">
        <w:rPr>
          <w:rFonts w:asciiTheme="minorHAnsi" w:hAnsiTheme="minorHAnsi"/>
        </w:rPr>
        <w:t>a modelleknek és minősítő rendszereknek biztosítania kell érdemi kockázat-megkülönböztetést, kezelve a belső folyamatok és hitelezési gyakorlat változását. A minősítő rendszernek megbízható módon meg kell tudnia ragadni a portfólió minőségében bekövetkezett változásokat.</w:t>
      </w:r>
    </w:p>
    <w:p w14:paraId="7FFFE97B" w14:textId="77777777" w:rsidR="008A78E3" w:rsidRPr="006A6890" w:rsidRDefault="008A78E3" w:rsidP="009D65E3">
      <w:pPr>
        <w:rPr>
          <w:rFonts w:asciiTheme="minorHAnsi" w:hAnsiTheme="minorHAnsi"/>
        </w:rPr>
      </w:pPr>
      <w:r w:rsidRPr="006A6890">
        <w:rPr>
          <w:rFonts w:asciiTheme="minorHAnsi" w:hAnsiTheme="minorHAnsi"/>
        </w:rPr>
        <w:t>Az MNB elvárja, hogy az intézmények a modellek és minősítő rendszerek vonatkozásában a CRR IRB-re vonatkozó követelményeit alkalmazza, valamint a modellezési kérdésekben kövessék figyelemmel a nemzetközi szabályozást, melynek keretében különösen vegyék figyelembe az uniós előírásokat</w:t>
      </w:r>
      <w:r>
        <w:rPr>
          <w:rStyle w:val="Lbjegyzet-hivatkozs"/>
          <w:rFonts w:asciiTheme="minorHAnsi" w:hAnsiTheme="minorHAnsi"/>
        </w:rPr>
        <w:footnoteReference w:id="27"/>
      </w:r>
      <w:r w:rsidRPr="006A6890">
        <w:rPr>
          <w:rFonts w:asciiTheme="minorHAnsi" w:hAnsiTheme="minorHAnsi"/>
        </w:rPr>
        <w:t>, és az EKB-s rendelkezéseket</w:t>
      </w:r>
      <w:r>
        <w:rPr>
          <w:rStyle w:val="Lbjegyzet-hivatkozs"/>
          <w:rFonts w:asciiTheme="minorHAnsi" w:hAnsiTheme="minorHAnsi"/>
        </w:rPr>
        <w:footnoteReference w:id="28"/>
      </w:r>
      <w:r w:rsidRPr="006A6890">
        <w:rPr>
          <w:rFonts w:asciiTheme="minorHAnsi" w:hAnsiTheme="minorHAnsi"/>
        </w:rPr>
        <w:t xml:space="preserve">. </w:t>
      </w:r>
    </w:p>
    <w:p w14:paraId="7FFFE97C" w14:textId="77777777" w:rsidR="008A78E3" w:rsidRPr="006A6890" w:rsidRDefault="008A78E3" w:rsidP="00540601">
      <w:pPr>
        <w:pStyle w:val="Cmsor4"/>
        <w:spacing w:before="240"/>
        <w:ind w:left="862" w:hanging="862"/>
        <w:rPr>
          <w:rFonts w:asciiTheme="minorHAnsi" w:hAnsiTheme="minorHAnsi"/>
        </w:rPr>
      </w:pPr>
      <w:bookmarkStart w:id="727" w:name="_Toc45119952"/>
      <w:bookmarkStart w:id="728" w:name="_Toc58512235"/>
      <w:bookmarkStart w:id="729" w:name="_Toc158036655"/>
      <w:r w:rsidRPr="006A6890">
        <w:rPr>
          <w:rFonts w:asciiTheme="minorHAnsi" w:hAnsiTheme="minorHAnsi"/>
        </w:rPr>
        <w:t>Rating modellek</w:t>
      </w:r>
      <w:bookmarkEnd w:id="727"/>
      <w:bookmarkEnd w:id="728"/>
      <w:bookmarkEnd w:id="729"/>
    </w:p>
    <w:p w14:paraId="7FFFE97D" w14:textId="77777777" w:rsidR="008A78E3" w:rsidRPr="006A6890" w:rsidRDefault="008A78E3" w:rsidP="009D65E3">
      <w:pPr>
        <w:rPr>
          <w:rFonts w:asciiTheme="minorHAnsi" w:hAnsiTheme="minorHAnsi"/>
        </w:rPr>
      </w:pPr>
      <w:r w:rsidRPr="006A6890">
        <w:rPr>
          <w:rFonts w:asciiTheme="minorHAnsi" w:hAnsiTheme="minorHAnsi"/>
        </w:rPr>
        <w:t>Fejlett hitelkockázati módszer alkalmazása esetén az intézmények az ügyfelek minősítését rating modellek (scoring modellek) segítségével végzik. A rating modellek alapvető célja, hogy az ügyfeleket/ügyleteket kockázatosságuk, hitelképességük alapján megkülönböztesse. A rating modellben az intézmények meghatározott kvalitatív, illetve kvantitatív változók mentén értékelik az ügyfél/ügylet kockázatosságát, azokhoz score-okat rendelnek, majd a végső scoring eredmény alapján meghatározott minősítési kategóriákba sorolják az ügyfelet/ügyletet. Az egyes minősítési kategóriákhoz (vagy közvetlenül az ügyfelek/ügyletekhez) rendelnek kalibrált nemteljesítési valószínűséget (PD). Függetlenül a garancia vagy kezességvállalás meglététől, melyet az intézmény a tőkekövetelmény-számítás során vesz figyelembe, az intézménynek továbbra is el kell végeznie az alapul szolgáló kitettségnek a rating modellje szerinti teljes hitelminősítését.</w:t>
      </w:r>
    </w:p>
    <w:p w14:paraId="7FFFE97E" w14:textId="77777777" w:rsidR="008A78E3" w:rsidRPr="006A6890" w:rsidRDefault="008A78E3" w:rsidP="009D65E3">
      <w:pPr>
        <w:rPr>
          <w:rFonts w:asciiTheme="minorHAnsi" w:hAnsiTheme="minorHAnsi"/>
        </w:rPr>
      </w:pPr>
      <w:r w:rsidRPr="006A6890">
        <w:rPr>
          <w:rFonts w:asciiTheme="minorHAnsi" w:hAnsiTheme="minorHAnsi"/>
        </w:rPr>
        <w:t>A rating modellekkel kapcsolatban az MNB alapvetően a CRR-ben meghatározott követelményeket várja el mind 1., mind 2. pillérben. Az MNB az elvárások közül kiemeli annak szabályozottságát, hogy az intézmény mely kitettségei vonatkozásában mely rating modellt alkalmazza (szegmentáció). Az intézménynek biztosítania kell, hogy konzisztens és részletes dokumentáció alapján egyértelmű legyen a minősítést végző munkatársak számára, hogy mely rating modellt szükséges alkalmazni egy adott ügyletre/ügyfélre vonatkozóan. Különösen gyakran felmerülő probléma a speciális hitelezési jellegű kitettségek vállalati vagy projekt szegmensbe való besorolásának és minősítésének kérdésköre. E feladat megkönnyítésére az MNB ajánlást</w:t>
      </w:r>
      <w:r>
        <w:rPr>
          <w:rFonts w:asciiTheme="minorHAnsi" w:hAnsiTheme="minorHAnsi"/>
          <w:vertAlign w:val="superscript"/>
        </w:rPr>
        <w:footnoteReference w:id="29"/>
      </w:r>
      <w:r w:rsidRPr="006A6890">
        <w:rPr>
          <w:rFonts w:asciiTheme="minorHAnsi" w:hAnsiTheme="minorHAnsi"/>
        </w:rPr>
        <w:t xml:space="preserve"> adott ki 2017-ben. </w:t>
      </w:r>
    </w:p>
    <w:p w14:paraId="7FFFE97F" w14:textId="77777777" w:rsidR="008A78E3" w:rsidRPr="006A6890" w:rsidRDefault="008A78E3" w:rsidP="009D65E3">
      <w:pPr>
        <w:rPr>
          <w:rFonts w:asciiTheme="minorHAnsi" w:hAnsiTheme="minorHAnsi"/>
        </w:rPr>
      </w:pPr>
      <w:bookmarkStart w:id="730" w:name="_Toc468181058"/>
      <w:r w:rsidRPr="006A6890">
        <w:rPr>
          <w:rFonts w:asciiTheme="minorHAnsi" w:hAnsiTheme="minorHAnsi"/>
        </w:rPr>
        <w:t xml:space="preserve">A rating modell által meghatározott kategóriáknak monotonitást kell tükrözniük, vagyis a rosszabb rating kategóriába a magasabb kockázatú ügyfeleket/ügyleteket (magasabb nemteljesítési rátával) kell sorolni, míg alacsonyabb kockázatú ügyfeleknek/ügyleteknek jobb rating kategóriával kell rendelkezniük. </w:t>
      </w:r>
    </w:p>
    <w:p w14:paraId="7FFFE980" w14:textId="77777777" w:rsidR="008A78E3" w:rsidRPr="006A6890" w:rsidRDefault="008A78E3" w:rsidP="009D65E3">
      <w:pPr>
        <w:rPr>
          <w:rFonts w:asciiTheme="minorHAnsi" w:hAnsiTheme="minorHAnsi"/>
        </w:rPr>
      </w:pPr>
      <w:r w:rsidRPr="006A6890">
        <w:rPr>
          <w:rFonts w:asciiTheme="minorHAnsi" w:hAnsiTheme="minorHAnsi"/>
        </w:rPr>
        <w:t>Az intézményeknek rendszeres vezetői riportokban fel kell mérniük a rating kategóriák közötti migráció kockázatát. Amennyiben az intézmény a migrációs kockázatok emelkedését tapasztalja (pl.: migrációs mátrixok segítségével), akkor meg kell vizsgálnia annak okát (pl.: a portfólió romlásából, vagy a minősítő rendszer PIT jellegéből fakad-e a kockázat). A PIT minősítő rendszer használatából adódó tőkekövetelmény ciklikusság kockázatát az MNB tőkével fedezendő kockázatnak tekinti (Lásd TTC PD fejezet).</w:t>
      </w:r>
    </w:p>
    <w:p w14:paraId="7FFFE981" w14:textId="77777777" w:rsidR="008A78E3" w:rsidRPr="006A6890" w:rsidRDefault="008A78E3" w:rsidP="00185637">
      <w:pPr>
        <w:pStyle w:val="Cmsor4"/>
        <w:rPr>
          <w:rFonts w:asciiTheme="minorHAnsi" w:hAnsiTheme="minorHAnsi"/>
        </w:rPr>
      </w:pPr>
      <w:bookmarkStart w:id="731" w:name="_Toc45119953"/>
      <w:bookmarkStart w:id="732" w:name="_Toc58512236"/>
      <w:bookmarkStart w:id="733" w:name="_Toc158036656"/>
      <w:r w:rsidRPr="006A6890">
        <w:rPr>
          <w:rFonts w:asciiTheme="minorHAnsi" w:hAnsiTheme="minorHAnsi"/>
        </w:rPr>
        <w:t>Nemteljesítési valószínűség becslése</w:t>
      </w:r>
      <w:bookmarkEnd w:id="726"/>
      <w:bookmarkEnd w:id="730"/>
      <w:bookmarkEnd w:id="731"/>
      <w:bookmarkEnd w:id="732"/>
      <w:bookmarkEnd w:id="733"/>
    </w:p>
    <w:p w14:paraId="7FFFE982" w14:textId="77777777" w:rsidR="008A78E3" w:rsidRPr="006A6890" w:rsidRDefault="008A78E3" w:rsidP="009D65E3">
      <w:pPr>
        <w:rPr>
          <w:rFonts w:asciiTheme="minorHAnsi" w:hAnsiTheme="minorHAnsi"/>
        </w:rPr>
      </w:pPr>
      <w:r w:rsidRPr="006A6890">
        <w:rPr>
          <w:rFonts w:asciiTheme="minorHAnsi" w:hAnsiTheme="minorHAnsi"/>
        </w:rPr>
        <w:t xml:space="preserve">Az intézményeknek az egyes kittettségi kategóriákhoz tartozó nemteljesítési valószínűség (PD) értékeket az éves nemteljesítési ráták hosszú távon számolt átlagából kell becsülniük. </w:t>
      </w:r>
    </w:p>
    <w:p w14:paraId="7FFFE983" w14:textId="77777777" w:rsidR="008A78E3" w:rsidRPr="006A6890" w:rsidRDefault="008A78E3" w:rsidP="009D65E3">
      <w:pPr>
        <w:rPr>
          <w:rFonts w:asciiTheme="minorHAnsi" w:hAnsiTheme="minorHAnsi"/>
        </w:rPr>
      </w:pPr>
      <w:r w:rsidRPr="006A6890">
        <w:rPr>
          <w:rFonts w:asciiTheme="minorHAnsi" w:hAnsiTheme="minorHAnsi"/>
        </w:rPr>
        <w:t>A nemteljesítés definícióját a CRR 178. cikke tartalmazza. A szabályozásban leírt fogalom helyes implementációját az EBA ajánlással segíti</w:t>
      </w:r>
      <w:r>
        <w:rPr>
          <w:rFonts w:asciiTheme="minorHAnsi" w:hAnsiTheme="minorHAnsi"/>
          <w:vertAlign w:val="superscript"/>
        </w:rPr>
        <w:footnoteReference w:id="30"/>
      </w:r>
      <w:r>
        <w:rPr>
          <w:rFonts w:asciiTheme="minorHAnsi" w:hAnsiTheme="minorHAnsi"/>
        </w:rPr>
        <w:t>, a magyar szabályozás pedig a</w:t>
      </w:r>
      <w:r w:rsidRPr="00837960">
        <w:t xml:space="preserve"> </w:t>
      </w:r>
      <w:r w:rsidRPr="00837960">
        <w:rPr>
          <w:rFonts w:asciiTheme="minorHAnsi" w:hAnsiTheme="minorHAnsi"/>
        </w:rPr>
        <w:t>Magyar Nemzeti Bank 13/2019. (VII.2.) számú ajánlás</w:t>
      </w:r>
      <w:r>
        <w:rPr>
          <w:rFonts w:asciiTheme="minorHAnsi" w:hAnsiTheme="minorHAnsi"/>
        </w:rPr>
        <w:t xml:space="preserve">a és </w:t>
      </w:r>
      <w:r>
        <w:t>44/2018. (XII. 5.) számú rendelete kiadásával törekszik az egyes intézmények default definíciói közötti indokolatlan különbségek mérséklésére.</w:t>
      </w:r>
    </w:p>
    <w:p w14:paraId="7FFFE984" w14:textId="77777777" w:rsidR="008A78E3" w:rsidRPr="006A6890" w:rsidRDefault="008A78E3"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w:t>
      </w:r>
      <w:r>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w:t>
      </w:r>
      <w:r>
        <w:rPr>
          <w:rFonts w:asciiTheme="minorHAnsi" w:hAnsiTheme="minorHAnsi"/>
        </w:rPr>
        <w:t xml:space="preserve">az </w:t>
      </w:r>
      <w:r w:rsidRPr="006A6890">
        <w:rPr>
          <w:rFonts w:asciiTheme="minorHAnsi" w:hAnsiTheme="minorHAnsi"/>
        </w:rPr>
        <w:t xml:space="preserve">inherens kockázatok különbségeit mutassák.  </w:t>
      </w:r>
    </w:p>
    <w:p w14:paraId="7FFFE985" w14:textId="77777777" w:rsidR="008A78E3" w:rsidRPr="006A6890" w:rsidRDefault="008A78E3" w:rsidP="009D65E3">
      <w:pPr>
        <w:rPr>
          <w:rFonts w:asciiTheme="minorHAnsi" w:hAnsiTheme="minorHAnsi"/>
        </w:rPr>
      </w:pPr>
      <w:r w:rsidRPr="006A6890">
        <w:rPr>
          <w:rFonts w:asciiTheme="minorHAnsi" w:hAnsiTheme="minorHAnsi"/>
        </w:rPr>
        <w:t xml:space="preserve">Ugyan bizonyos alkalmazásoknál (pl. árazás, céltartalékolás) indokolt a feltételes, gazdaság aktuális állapotát tükröző PD-k használata, az IRB tőkekövetelmény-számítási modell bemeneti változóként a feltétel nélküli nemteljesítési valószínűséget várja el, ami az ügyletek hosszú távú, gazdasági cikluson átívelő, átlagos PD értéke. </w:t>
      </w:r>
    </w:p>
    <w:p w14:paraId="7FFFE986" w14:textId="77777777" w:rsidR="008A78E3" w:rsidRPr="006A6890" w:rsidRDefault="008A78E3" w:rsidP="009D65E3">
      <w:pPr>
        <w:rPr>
          <w:rFonts w:asciiTheme="minorHAnsi" w:hAnsiTheme="minorHAnsi"/>
        </w:rPr>
      </w:pPr>
      <w:r w:rsidRPr="006A6890">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 hogy az idősor hossza egy teljes gazdasági ciklust lefedjen.</w:t>
      </w:r>
    </w:p>
    <w:p w14:paraId="7FFFE987" w14:textId="77777777" w:rsidR="008A78E3" w:rsidRPr="006A6890" w:rsidRDefault="008A78E3" w:rsidP="009D65E3">
      <w:pPr>
        <w:rPr>
          <w:rFonts w:asciiTheme="minorHAnsi" w:hAnsiTheme="minorHAnsi"/>
        </w:rPr>
      </w:pPr>
      <w:r w:rsidRPr="006A6890">
        <w:rPr>
          <w:rFonts w:asciiTheme="minorHAnsi" w:hAnsiTheme="minorHAnsi"/>
        </w:rPr>
        <w:t>A nemteljesítési valószínűségek becslése csak akkor megfelelő, ha az intézmények</w:t>
      </w:r>
    </w:p>
    <w:p w14:paraId="7FFFE988"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jogszabályi előírásoknak megfelelő nemteljesítési definíciót alkalmazzák, </w:t>
      </w:r>
    </w:p>
    <w:p w14:paraId="7FFFE989" w14:textId="77777777" w:rsidR="008A78E3" w:rsidRPr="006A6890" w:rsidRDefault="008A78E3" w:rsidP="00181755">
      <w:pPr>
        <w:pStyle w:val="felsorolsos"/>
        <w:rPr>
          <w:rFonts w:asciiTheme="minorHAnsi" w:hAnsiTheme="minorHAnsi"/>
        </w:rPr>
      </w:pPr>
      <w:r w:rsidRPr="006A6890">
        <w:rPr>
          <w:rFonts w:asciiTheme="minorHAnsi" w:hAnsiTheme="minorHAnsi"/>
        </w:rPr>
        <w:t>a PD mértékét kellően hosszú, többéves idősor alapján összhangban a CRR 180. cikk (1) h) pontjával, legalább öt éves tapasztalat alapján határozzák meg</w:t>
      </w:r>
      <w:r>
        <w:rPr>
          <w:rStyle w:val="Lbjegyzet-hivatkozs"/>
          <w:rFonts w:asciiTheme="minorHAnsi" w:hAnsiTheme="minorHAnsi"/>
        </w:rPr>
        <w:footnoteReference w:id="31"/>
      </w:r>
      <w:r w:rsidRPr="006A6890">
        <w:rPr>
          <w:rFonts w:asciiTheme="minorHAnsi" w:hAnsiTheme="minorHAnsi"/>
        </w:rPr>
        <w:t>. Amennyiben a legalább öt éves idősor nem tartalmaz olyan reprezentatív időszakot, mely képes megragadni a default ráta szórásának lehetséges tartományát</w:t>
      </w:r>
      <w:r>
        <w:rPr>
          <w:rStyle w:val="Lbjegyzet-hivatkozs"/>
          <w:rFonts w:asciiTheme="minorHAnsi" w:hAnsiTheme="minorHAnsi"/>
        </w:rPr>
        <w:footnoteReference w:id="32"/>
      </w:r>
      <w:r w:rsidRPr="006A6890">
        <w:rPr>
          <w:rFonts w:asciiTheme="minorHAnsi" w:hAnsiTheme="minorHAnsi"/>
        </w:rPr>
        <w:t>, úgy az intézménynek a becslési bizonytalanság ellensúlyozására nagyobb konzervatív pótlékot kell érvényesítsenek a paraméterbecslés során,</w:t>
      </w:r>
    </w:p>
    <w:p w14:paraId="7FFFE98A" w14:textId="77777777" w:rsidR="008A78E3" w:rsidRPr="006A6890" w:rsidRDefault="008A78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 és bizonyítják a választott PD-becslési technika megfelelőségét,</w:t>
      </w:r>
    </w:p>
    <w:p w14:paraId="7FFFE98B" w14:textId="77777777" w:rsidR="008A78E3" w:rsidRPr="006A6890" w:rsidRDefault="008A78E3" w:rsidP="00181755">
      <w:pPr>
        <w:pStyle w:val="felsorolsos"/>
        <w:rPr>
          <w:rFonts w:asciiTheme="minorHAnsi" w:hAnsiTheme="minorHAnsi"/>
        </w:rPr>
      </w:pPr>
      <w:r w:rsidRPr="006A6890">
        <w:rPr>
          <w:rFonts w:asciiTheme="minorHAnsi" w:hAnsiTheme="minorHAnsi"/>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Pr>
          <w:rFonts w:asciiTheme="minorHAnsi" w:hAnsiTheme="minorHAnsi"/>
        </w:rPr>
        <w:t>j</w:t>
      </w:r>
      <w:r w:rsidRPr="006A6890">
        <w:rPr>
          <w:rFonts w:asciiTheme="minorHAnsi" w:hAnsiTheme="minorHAnsi"/>
        </w:rPr>
        <w:t>eiben nem alkalmazza.</w:t>
      </w:r>
    </w:p>
    <w:p w14:paraId="7FFFE98C" w14:textId="77777777" w:rsidR="008A78E3" w:rsidRPr="006A6890" w:rsidRDefault="008A78E3" w:rsidP="00181755">
      <w:pPr>
        <w:pStyle w:val="felsorolsos"/>
        <w:rPr>
          <w:rFonts w:asciiTheme="minorHAnsi" w:hAnsiTheme="minorHAnsi"/>
        </w:rPr>
      </w:pPr>
      <w:r w:rsidRPr="006A6890">
        <w:rPr>
          <w:rFonts w:asciiTheme="minorHAnsi" w:hAnsiTheme="minorHAnsi"/>
        </w:rPr>
        <w:t>a becslés statisztikai bizonytalanságát konzervatív korrekcióval ellensúlyozzák</w:t>
      </w:r>
    </w:p>
    <w:p w14:paraId="7FFFE98D" w14:textId="77777777" w:rsidR="008A78E3" w:rsidRPr="006A6890" w:rsidRDefault="008A78E3" w:rsidP="00181755">
      <w:pPr>
        <w:pStyle w:val="felsorolsos"/>
        <w:rPr>
          <w:rFonts w:asciiTheme="minorHAnsi" w:hAnsiTheme="minorHAnsi"/>
        </w:rPr>
      </w:pPr>
      <w:r w:rsidRPr="006A6890">
        <w:rPr>
          <w:rFonts w:asciiTheme="minorHAnsi" w:hAnsiTheme="minorHAnsi"/>
        </w:rPr>
        <w:t>a becslést előretekintő szemléletben végzik</w:t>
      </w:r>
    </w:p>
    <w:p w14:paraId="7FFFE98E" w14:textId="77777777" w:rsidR="008A78E3" w:rsidRPr="006A6890" w:rsidRDefault="008A78E3" w:rsidP="00181755">
      <w:pPr>
        <w:pStyle w:val="felsorolsos"/>
        <w:rPr>
          <w:rFonts w:asciiTheme="minorHAnsi" w:hAnsiTheme="minorHAnsi"/>
        </w:rPr>
      </w:pPr>
      <w:r w:rsidRPr="006A6890">
        <w:rPr>
          <w:rFonts w:asciiTheme="minorHAnsi" w:hAnsiTheme="minorHAnsi"/>
        </w:rPr>
        <w:t>rendszeres (legalább éves) visszamérések segítségével igazolják, hogy a minősítési rendszer és PD kalibráció megfelelően működik, az újabb default megfigyelések összhangban vannak a modell által adott előrejelzésekkel. Ennek során az intézmények vizsgálják az egyes rating kategóriák esetében a kalibrált PD-k és az átlagos default ráták közti kapcsolatot.</w:t>
      </w:r>
    </w:p>
    <w:p w14:paraId="7FFFE98F" w14:textId="77777777" w:rsidR="008A78E3" w:rsidRPr="006A6890" w:rsidRDefault="008A78E3" w:rsidP="009D65E3">
      <w:pPr>
        <w:rPr>
          <w:rFonts w:asciiTheme="minorHAnsi" w:hAnsiTheme="minorHAnsi"/>
        </w:rPr>
      </w:pPr>
      <w:r w:rsidRPr="006A6890">
        <w:rPr>
          <w:rFonts w:asciiTheme="minorHAnsi" w:hAnsiTheme="minorHAnsi"/>
        </w:rPr>
        <w:t xml:space="preserve">Az MNB elvárja továbbá, hogy a PD-becslés ne eseti megoldásokon és eljárásokon keresztül, hanem az ICAAP dokumentációban vagy a modell dokumentációjában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7FFFE990" w14:textId="77777777" w:rsidR="008A78E3" w:rsidRPr="006A6890" w:rsidRDefault="008A78E3" w:rsidP="00181755">
      <w:pPr>
        <w:pStyle w:val="Cmsor4"/>
        <w:rPr>
          <w:rFonts w:asciiTheme="minorHAnsi" w:hAnsiTheme="minorHAnsi"/>
        </w:rPr>
      </w:pPr>
      <w:bookmarkStart w:id="735" w:name="_A_veszteségráta_becslése"/>
      <w:bookmarkStart w:id="736" w:name="_Toc45119954"/>
      <w:bookmarkStart w:id="737" w:name="_Toc58512237"/>
      <w:bookmarkStart w:id="738" w:name="_Toc158036657"/>
      <w:bookmarkStart w:id="739" w:name="_Toc378592168"/>
      <w:bookmarkStart w:id="740" w:name="_Toc461095207"/>
      <w:bookmarkStart w:id="741" w:name="_Toc461179863"/>
      <w:bookmarkStart w:id="742" w:name="_Toc461201306"/>
      <w:bookmarkStart w:id="743" w:name="_Toc461547949"/>
      <w:bookmarkStart w:id="744" w:name="_Toc462401987"/>
      <w:bookmarkStart w:id="745" w:name="_Toc462403108"/>
      <w:bookmarkStart w:id="746" w:name="_Toc462403432"/>
      <w:bookmarkStart w:id="747" w:name="_Toc468180551"/>
      <w:bookmarkStart w:id="748" w:name="_Toc468181060"/>
      <w:bookmarkEnd w:id="735"/>
      <w:r w:rsidRPr="006A6890">
        <w:rPr>
          <w:rFonts w:asciiTheme="minorHAnsi" w:hAnsiTheme="minorHAnsi"/>
        </w:rPr>
        <w:t>TTC (Through the Cycle) PD</w:t>
      </w:r>
      <w:bookmarkEnd w:id="736"/>
      <w:bookmarkEnd w:id="737"/>
      <w:bookmarkEnd w:id="738"/>
    </w:p>
    <w:p w14:paraId="7FFFE991" w14:textId="77777777" w:rsidR="008A78E3" w:rsidRPr="006A6890" w:rsidRDefault="008A78E3"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 (PD), amely lehet feltételes vagy feltétel nélküli: előbbi a hitelminőség egy adott időpillanatra és/vagy környezeti helyzetre vonatkoztatott állapotát, utóbbi pedig az ügylet általános vagy „fundamentális” nemteljesítési kockázatának mértékét tükrözi. A gazdaság feltételes állapotára jellemző, rövid távú default valószínűséget gyakran Point in Time (PIT) PD-nek, míg az attól független, egy gazdasági ciklus egészére jellemző nemteljesítési valószínűséget Through the Cycle (TTC) PD-nek nevezzük.</w:t>
      </w:r>
    </w:p>
    <w:p w14:paraId="7FFFE992" w14:textId="77777777" w:rsidR="008A78E3" w:rsidRPr="006A6890" w:rsidRDefault="008A78E3" w:rsidP="009D65E3">
      <w:pPr>
        <w:rPr>
          <w:rFonts w:asciiTheme="minorHAnsi" w:hAnsiTheme="minorHAnsi"/>
        </w:rPr>
      </w:pPr>
      <w:r w:rsidRPr="006A6890">
        <w:rPr>
          <w:rFonts w:asciiTheme="minorHAnsi" w:hAnsiTheme="minorHAnsi"/>
        </w:rPr>
        <w:t>Az IRB tőkekövetelmény</w:t>
      </w:r>
      <w:r>
        <w:rPr>
          <w:rFonts w:asciiTheme="minorHAnsi" w:hAnsiTheme="minorHAnsi"/>
        </w:rPr>
        <w:t>-</w:t>
      </w:r>
      <w:r w:rsidRPr="006A6890">
        <w:rPr>
          <w:rFonts w:asciiTheme="minorHAnsi" w:hAnsiTheme="minorHAnsi"/>
        </w:rPr>
        <w:t>számítás input paraméterként feltétel nélküli PD értéket vár el. A CRR ezen elvárást úgy fogalmazza meg, hogy a becslésnek a hosszú távú tapasztalatokat kell tükröznie. Az EBA paraméterbecslési ajánlása, valamint az Európai Központi Bank belső modellek értékeléséhez kapcsolódóan közzétett útmutatása (TRIM)</w:t>
      </w:r>
      <w:r>
        <w:rPr>
          <w:rStyle w:val="Lbjegyzet-hivatkozs"/>
          <w:rFonts w:asciiTheme="minorHAnsi" w:hAnsiTheme="minorHAnsi"/>
        </w:rPr>
        <w:footnoteReference w:id="33"/>
      </w:r>
      <w:r w:rsidRPr="006A6890">
        <w:rPr>
          <w:rFonts w:asciiTheme="minorHAnsi" w:hAnsiTheme="minorHAnsi"/>
        </w:rPr>
        <w:t xml:space="preserve"> alapján a PD kalibrációnak TTC jellegűnek kell lennie, azaz a becslések a rövidtávú átlagos default rátákhoz nem kalibrálhatóak, hanem az éves nemteljesítési valószínűségek hosszú távú átlagából kell kiindulniuk. 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Pr>
          <w:rFonts w:asciiTheme="minorHAnsi" w:hAnsiTheme="minorHAnsi"/>
          <w:vertAlign w:val="superscript"/>
        </w:rPr>
        <w:footnoteReference w:id="34"/>
      </w:r>
      <w:r w:rsidRPr="00CE3686">
        <w:rPr>
          <w:rFonts w:asciiTheme="minorHAnsi" w:hAnsiTheme="minorHAnsi"/>
          <w:vertAlign w:val="superscript"/>
        </w:rPr>
        <w:t>.</w:t>
      </w:r>
      <w:r w:rsidRPr="006A6890">
        <w:rPr>
          <w:rFonts w:asciiTheme="minorHAnsi" w:hAnsiTheme="minorHAnsi"/>
        </w:rPr>
        <w:t xml:space="preserve"> Ugyanakkor e szabályozások lehetővé teszik, hogy az intézmények PIT minősítési filozófiát alkalmazzanak a minősítő modellekben. A PIT minősítő modellek felhasználnak ciklikus, a gazdaság állapotától függő kockázati faktorokat, emiatt azok migráltatják az ügyleteket az egyes minősítési kategóiák között a gazdasági ciklus alakulásával. Az ilyen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  </w:t>
      </w:r>
    </w:p>
    <w:p w14:paraId="7FFFE993" w14:textId="77777777" w:rsidR="008A78E3" w:rsidRPr="006A6890" w:rsidRDefault="008A78E3" w:rsidP="009D65E3">
      <w:pPr>
        <w:rPr>
          <w:rFonts w:asciiTheme="minorHAnsi" w:hAnsiTheme="minorHAnsi"/>
        </w:rPr>
      </w:pPr>
      <w:r w:rsidRPr="006A6890">
        <w:rPr>
          <w:rFonts w:asciiTheme="minorHAnsi" w:hAnsiTheme="minorHAnsi"/>
        </w:rPr>
        <w:t>A PIT minősítési filozófia még TTC kalibráció mellett is vezethet a számított tőkekövetelmény ciklikusságához, és ezzel hozzájárulhat a pénzügyi szektor prociklikus viselkedéséhez. A Bázeli Bizottság Bázel III dokumentuma is rögzíti, hogy magában a minimum tőkekövetelményben megjelenő prociklikusságot is szükséges csökkenteni. Továbbá már a Bázel II-nek is szándéka volt a prociklikusság tompítása, bár az elismerte, hogy a kockázatérzékenység és a prociklikusság bizonyos mértékig elválaszthatatlan egymástól.</w:t>
      </w:r>
    </w:p>
    <w:p w14:paraId="7FFFE994" w14:textId="77777777" w:rsidR="008A78E3" w:rsidRPr="006A6890" w:rsidRDefault="008A78E3" w:rsidP="009D65E3">
      <w:pPr>
        <w:rPr>
          <w:rFonts w:asciiTheme="minorHAnsi" w:hAnsiTheme="minorHAnsi"/>
        </w:rPr>
      </w:pPr>
      <w:r w:rsidRPr="006A6890">
        <w:rPr>
          <w:rFonts w:asciiTheme="minorHAnsi" w:hAnsiTheme="minorHAnsi"/>
        </w:rPr>
        <w:t>A Bázeli Bizottság 2016-os, hitelkockázati modellek alkalmazhatóságához kapcsolódó konzultációs anyagában</w:t>
      </w:r>
      <w:r>
        <w:rPr>
          <w:rFonts w:asciiTheme="minorHAnsi" w:hAnsiTheme="minorHAnsi"/>
          <w:vertAlign w:val="superscript"/>
        </w:rPr>
        <w:footnoteReference w:id="35"/>
      </w:r>
      <w:r w:rsidRPr="006A6890">
        <w:rPr>
          <w:rFonts w:asciiTheme="minorHAnsi" w:hAnsiTheme="minorHAnsi"/>
        </w:rPr>
        <w:t xml:space="preserve"> megfogalmazza, hogy nem csak a PD kalibrációnak, hanem magának a minősítő modellnek is TTC jellegűnek kell lennie, azaz úgy kell azokat kialakítani, hogy a minősítési kategóriák időben és gazdasági cikluson keresztül stabilak legyenek, és az egyes kategóriák közötti migráció kizárólag az egyedi (idioszinkratikus), vagy az iparág specifikus változások esetén következhessen be. A 2017-es végleges bázeli reformcsomagban</w:t>
      </w:r>
      <w:r>
        <w:rPr>
          <w:rFonts w:asciiTheme="minorHAnsi" w:hAnsiTheme="minorHAnsi"/>
          <w:vertAlign w:val="superscript"/>
        </w:rPr>
        <w:footnoteReference w:id="36"/>
      </w:r>
      <w:r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képességében/hajlandóságában ténylegesen bekövetkező, nem csak a gazdaság pillanatnyi állapotától függő változást jelentenek.</w:t>
      </w:r>
    </w:p>
    <w:p w14:paraId="7FFFE995" w14:textId="77777777" w:rsidR="008A78E3" w:rsidRPr="006A6890" w:rsidRDefault="008A78E3" w:rsidP="009D65E3">
      <w:pPr>
        <w:rPr>
          <w:rFonts w:asciiTheme="minorHAnsi" w:hAnsiTheme="minorHAnsi"/>
        </w:rPr>
      </w:pPr>
      <w:r w:rsidRPr="006A6890">
        <w:rPr>
          <w:rFonts w:asciiTheme="minorHAnsi" w:hAnsiTheme="minorHAnsi"/>
        </w:rPr>
        <w:t>Az ICAAP felülvizsgálatok keretében az MNB leggyakrabban azzal a megoldással találkozik, hogy a felügyelt intézmények PIT jellegű minősítési modellt használnak TTC kalibráció mellett. Ebben a megközelítésben amennyiben a modellben szereplő változók a gazdasági ciklussal együtt mozognak, úgy az egyes évekre jellemző PD-k is változékonyak lesznek. A teljes, kalibrációra használt hosszú időszakon figyelve a becsült PD-k átlaga ugyan meg fog egyezni a default ráták hosszú távú átlagával, ugyanakkor az egyes évekre jellemző PD-k a ciklussal együtt mozogva az átlag körül fognak ingadozni, és különösen a vizsgált, utolsó időpont teljesítő portfólióján mért átlag PD akár lényegesen eltér</w:t>
      </w:r>
      <w:r>
        <w:rPr>
          <w:rFonts w:asciiTheme="minorHAnsi" w:hAnsiTheme="minorHAnsi"/>
        </w:rPr>
        <w:t>het</w:t>
      </w:r>
      <w:r w:rsidRPr="006A6890">
        <w:rPr>
          <w:rFonts w:asciiTheme="minorHAnsi" w:hAnsiTheme="minorHAnsi"/>
        </w:rPr>
        <w:t xml:space="preserve"> a kalibrációs céltól.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illetve túl- (dekonjunktúra esetén) becsülhet.</w:t>
      </w:r>
    </w:p>
    <w:p w14:paraId="7FFFE996" w14:textId="77777777" w:rsidR="008A78E3" w:rsidRPr="006A6890" w:rsidRDefault="008A78E3" w:rsidP="009D65E3">
      <w:pPr>
        <w:rPr>
          <w:rFonts w:asciiTheme="minorHAnsi" w:hAnsiTheme="minorHAnsi"/>
        </w:rPr>
      </w:pPr>
      <w:r w:rsidRPr="006A6890">
        <w:rPr>
          <w:rFonts w:asciiTheme="minorHAnsi" w:hAnsiTheme="minorHAnsi"/>
        </w:rPr>
        <w:t>A ciklikus hatások következtében fellépő migráció (PIT minősítő modell) vagy a PIT PD kalibráció olyan kockázatokat hordoz, amelyeket az MNB az ICAAP felülvizsgálatok keretében tőkével kíván fedezni. Az MNB rövidtávon jelenleg nem várja el a PIT minősítő rendszerek lecserélését, azonban elvárja azt, hogy azzal párhuzamosan</w:t>
      </w:r>
      <w:r>
        <w:rPr>
          <w:rFonts w:asciiTheme="minorHAnsi" w:hAnsiTheme="minorHAnsi"/>
        </w:rPr>
        <w:t xml:space="preserve"> az intézmények</w:t>
      </w:r>
      <w:r w:rsidRPr="006A6890">
        <w:rPr>
          <w:rFonts w:asciiTheme="minorHAnsi" w:hAnsiTheme="minorHAnsi"/>
        </w:rPr>
        <w:t xml:space="preserve"> fejlesszen</w:t>
      </w:r>
      <w:r>
        <w:rPr>
          <w:rFonts w:asciiTheme="minorHAnsi" w:hAnsiTheme="minorHAnsi"/>
        </w:rPr>
        <w:t>ek</w:t>
      </w:r>
      <w:r w:rsidRPr="006A6890">
        <w:rPr>
          <w:rFonts w:asciiTheme="minorHAnsi" w:hAnsiTheme="minorHAnsi"/>
        </w:rPr>
        <w:t xml:space="preserve"> 2. pillér alatt TTC jellegű minősítő rendszert és PD-t, azzal is számíts</w:t>
      </w:r>
      <w:r>
        <w:rPr>
          <w:rFonts w:asciiTheme="minorHAnsi" w:hAnsiTheme="minorHAnsi"/>
        </w:rPr>
        <w:t>ák</w:t>
      </w:r>
      <w:r w:rsidRPr="006A6890">
        <w:rPr>
          <w:rFonts w:asciiTheme="minorHAnsi" w:hAnsiTheme="minorHAnsi"/>
        </w:rPr>
        <w:t xml:space="preserve"> ki a tőkekövetelményt, és amennyiben szükséges, képezz</w:t>
      </w:r>
      <w:r>
        <w:rPr>
          <w:rFonts w:asciiTheme="minorHAnsi" w:hAnsiTheme="minorHAnsi"/>
        </w:rPr>
        <w:t>ék</w:t>
      </w:r>
      <w:r w:rsidRPr="006A6890">
        <w:rPr>
          <w:rFonts w:asciiTheme="minorHAnsi" w:hAnsiTheme="minorHAnsi"/>
        </w:rPr>
        <w:t xml:space="preserve"> azt meg a 2. pillér alatt. Az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folyósításkori PTI). 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7FFFE997" w14:textId="77777777" w:rsidR="008A78E3" w:rsidRPr="006A6890" w:rsidRDefault="008A78E3" w:rsidP="009D65E3">
      <w:pPr>
        <w:rPr>
          <w:rFonts w:asciiTheme="minorHAnsi" w:hAnsiTheme="minorHAnsi"/>
        </w:rPr>
      </w:pPr>
      <w:r w:rsidRPr="006A6890">
        <w:rPr>
          <w:rFonts w:asciiTheme="minorHAnsi" w:hAnsiTheme="minorHAnsi"/>
        </w:rPr>
        <w:t xml:space="preserve">A TTC minősítő modellek jellemzően alacsonyabb szeparációs erőt eredményeznek. Hosszabb távon a modellek kevésbé képesek magas bedőlési valószínűséget mutató csoportok elkülönítésére. A PIT modellek ezzel szemben rövid távon jól szeparálnak, elsősorban a már késedelmes (rossz monitoring eredményeket mutató) tételek elkülönítésével.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 </w:t>
      </w:r>
    </w:p>
    <w:p w14:paraId="7FFFE998" w14:textId="77777777" w:rsidR="008A78E3" w:rsidRPr="006A6890" w:rsidRDefault="008A78E3" w:rsidP="00EE5968">
      <w:pPr>
        <w:pStyle w:val="Cmsor4"/>
        <w:rPr>
          <w:rFonts w:asciiTheme="minorHAnsi" w:hAnsiTheme="minorHAnsi"/>
        </w:rPr>
      </w:pPr>
      <w:bookmarkStart w:id="750" w:name="_Toc45119955"/>
      <w:bookmarkStart w:id="751" w:name="_Toc58512238"/>
      <w:bookmarkStart w:id="752" w:name="_Toc158036658"/>
      <w:r w:rsidRPr="006A6890">
        <w:rPr>
          <w:rFonts w:asciiTheme="minorHAnsi" w:hAnsiTheme="minorHAnsi"/>
        </w:rPr>
        <w:t>Lakossági TTC PD – felügyeleti benchmark</w:t>
      </w:r>
      <w:bookmarkEnd w:id="750"/>
      <w:bookmarkEnd w:id="751"/>
      <w:bookmarkEnd w:id="752"/>
    </w:p>
    <w:p w14:paraId="7FFFE999" w14:textId="77777777" w:rsidR="008A78E3" w:rsidRPr="006A6890" w:rsidRDefault="008A78E3"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Pr>
          <w:rFonts w:asciiTheme="minorHAnsi" w:hAnsiTheme="minorHAnsi"/>
        </w:rPr>
        <w:t>az EBA default definícióra vonatkozó RTS-ének megjelenéséig</w:t>
      </w:r>
      <w:r w:rsidRPr="006A6890">
        <w:rPr>
          <w:rFonts w:asciiTheme="minorHAnsi" w:hAnsiTheme="minorHAnsi"/>
        </w:rPr>
        <w:t xml:space="preserve"> széles teret ad</w:t>
      </w:r>
      <w:r>
        <w:rPr>
          <w:rFonts w:asciiTheme="minorHAnsi" w:hAnsiTheme="minorHAnsi"/>
        </w:rPr>
        <w:t>t</w:t>
      </w:r>
      <w:r w:rsidRPr="006A6890">
        <w:rPr>
          <w:rFonts w:asciiTheme="minorHAnsi" w:hAnsiTheme="minorHAnsi"/>
        </w:rPr>
        <w:t xml:space="preserve">ak az intézményeknek a saját default indikátoraik definiálására és a 90 napos késettség materialitási küszöbének meghatározására, így a default definícióval szembeni összes elvárás teljesítése mellett is jelentős eltérések </w:t>
      </w:r>
      <w:r>
        <w:rPr>
          <w:rFonts w:asciiTheme="minorHAnsi" w:hAnsiTheme="minorHAnsi"/>
        </w:rPr>
        <w:t>voltak megfigyelhetők</w:t>
      </w:r>
      <w:r w:rsidRPr="006A6890">
        <w:rPr>
          <w:rFonts w:asciiTheme="minorHAnsi" w:hAnsiTheme="minorHAnsi"/>
        </w:rPr>
        <w:t xml:space="preserve"> az egyes bankok között abban, hogy bizonyos ügyleteket defaultosnak minősítenek-e, illetve a default státuszt mikor állít</w:t>
      </w:r>
      <w:r>
        <w:rPr>
          <w:rFonts w:asciiTheme="minorHAnsi" w:hAnsiTheme="minorHAnsi"/>
        </w:rPr>
        <w:t>ott</w:t>
      </w:r>
      <w:r w:rsidRPr="006A6890">
        <w:rPr>
          <w:rFonts w:asciiTheme="minorHAnsi" w:hAnsiTheme="minorHAnsi"/>
        </w:rPr>
        <w:t xml:space="preserve">ák be. </w:t>
      </w:r>
      <w:r w:rsidRPr="00F95E9C">
        <w:rPr>
          <w:rFonts w:asciiTheme="minorHAnsi" w:hAnsiTheme="minorHAnsi"/>
        </w:rPr>
        <w:t>A</w:t>
      </w:r>
      <w:r>
        <w:rPr>
          <w:rFonts w:asciiTheme="minorHAnsi" w:hAnsiTheme="minorHAnsi"/>
        </w:rPr>
        <w:t xml:space="preserve"> </w:t>
      </w:r>
      <w:r w:rsidRPr="00F95E9C">
        <w:rPr>
          <w:rFonts w:asciiTheme="minorHAnsi" w:hAnsiTheme="minorHAnsi"/>
        </w:rPr>
        <w:t xml:space="preserve">default definícióra vonatkozó RTS és a hozzá kapcsolódó MNB rendelet alkalmazása, valamint a késedelmes hitelkötelezettség lényegességi határértékéről szóló MNB ajánlás csak abban az esetben csökkenti le a bankok közti, </w:t>
      </w:r>
      <w:r>
        <w:rPr>
          <w:rFonts w:asciiTheme="minorHAnsi" w:hAnsiTheme="minorHAnsi"/>
        </w:rPr>
        <w:t>eltérő definíciókból</w:t>
      </w:r>
      <w:r w:rsidRPr="00F95E9C">
        <w:rPr>
          <w:rFonts w:asciiTheme="minorHAnsi" w:hAnsiTheme="minorHAnsi"/>
        </w:rPr>
        <w:t xml:space="preserve"> fakadó különbségeket, amennyiben a bankok képesek megbízhatóan, hosszú távra visszamenőleg megbecsülni, hogy mekkora lett volna a default rátájuk, ha mindig is az új default definíciót alkalmazták volna. Az ehhez szükséges historikus adatok </w:t>
      </w:r>
      <w:r>
        <w:rPr>
          <w:rFonts w:asciiTheme="minorHAnsi" w:hAnsiTheme="minorHAnsi"/>
        </w:rPr>
        <w:t xml:space="preserve">azonban </w:t>
      </w:r>
      <w:r w:rsidRPr="00F95E9C">
        <w:rPr>
          <w:rFonts w:asciiTheme="minorHAnsi" w:hAnsiTheme="minorHAnsi"/>
        </w:rPr>
        <w:t>nem minden intézmény számára állnak rendelkezésre.</w:t>
      </w:r>
      <w:r>
        <w:rPr>
          <w:rFonts w:asciiTheme="minorHAnsi" w:hAnsiTheme="minorHAnsi"/>
        </w:rPr>
        <w:t xml:space="preserve"> </w:t>
      </w:r>
      <w:r w:rsidRPr="006A6890">
        <w:rPr>
          <w:rFonts w:asciiTheme="minorHAnsi" w:hAnsiTheme="minorHAnsi"/>
        </w:rPr>
        <w:t xml:space="preserve">A defaultok eltérő azonosítása áttételesen </w:t>
      </w:r>
      <w:r>
        <w:rPr>
          <w:rFonts w:asciiTheme="minorHAnsi" w:hAnsiTheme="minorHAnsi"/>
        </w:rPr>
        <w:t xml:space="preserve">így </w:t>
      </w:r>
      <w:r w:rsidRPr="006A6890">
        <w:rPr>
          <w:rFonts w:asciiTheme="minorHAnsi" w:hAnsiTheme="minorHAnsi"/>
        </w:rPr>
        <w:t>végül a tőkekövetelmény kalkulációban is megjelenik:</w:t>
      </w:r>
    </w:p>
    <w:p w14:paraId="7FFFE99A" w14:textId="77777777" w:rsidR="008A78E3" w:rsidRPr="006A6890" w:rsidRDefault="008A78E3"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a PD modellek kalibrációján keresztül (szigorúbb default definíció mellett sok, később gyógyulással végződő default esemény azonosítása – magasabb megfigyelt default ráta)</w:t>
      </w:r>
    </w:p>
    <w:p w14:paraId="7FFFE99B" w14:textId="77777777" w:rsidR="008A78E3" w:rsidRPr="006A6890" w:rsidRDefault="008A78E3"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az LGD modelleken keresztül (a sok meggyógyuló defaultos megfigyelés csökkenti a megfigyelt LGD-t)</w:t>
      </w:r>
    </w:p>
    <w:p w14:paraId="7FFFE99C" w14:textId="77777777" w:rsidR="008A78E3" w:rsidRPr="006A6890" w:rsidRDefault="008A78E3"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a defaultok korrelációján keresztül (az ugyanazon okokból eredő, de eltérő időpontban azonosított default események torzítják a gazdasági környezet és a default ráták között megfigyelt kapcsolatot)</w:t>
      </w:r>
    </w:p>
    <w:p w14:paraId="7FFFE99D" w14:textId="77777777" w:rsidR="008A78E3" w:rsidRPr="006A6890" w:rsidRDefault="008A78E3" w:rsidP="009D65E3">
      <w:pPr>
        <w:rPr>
          <w:rFonts w:asciiTheme="minorHAnsi" w:hAnsiTheme="minorHAnsi"/>
        </w:rPr>
      </w:pPr>
      <w:r w:rsidRPr="006A6890">
        <w:rPr>
          <w:rFonts w:asciiTheme="minorHAnsi" w:hAnsiTheme="minorHAnsi"/>
        </w:rPr>
        <w:t>A lakossági portfóliókra az MNB benchmark modellje</w:t>
      </w:r>
      <w:r>
        <w:rPr>
          <w:rFonts w:asciiTheme="minorHAnsi" w:hAnsiTheme="minorHAnsi"/>
        </w:rPr>
        <w:t>i</w:t>
      </w:r>
      <w:r w:rsidRPr="006A6890">
        <w:rPr>
          <w:rFonts w:asciiTheme="minorHAnsi" w:hAnsiTheme="minorHAnsi"/>
        </w:rPr>
        <w:t xml:space="preserve"> minden intézményre egységesen alkalmazott, módosított default definícióval becsüli</w:t>
      </w:r>
      <w:r>
        <w:rPr>
          <w:rFonts w:asciiTheme="minorHAnsi" w:hAnsiTheme="minorHAnsi"/>
        </w:rPr>
        <w:t>k</w:t>
      </w:r>
      <w:r w:rsidRPr="006A6890">
        <w:rPr>
          <w:rFonts w:asciiTheme="minorHAnsi" w:hAnsiTheme="minorHAnsi"/>
        </w:rPr>
        <w:t xml:space="preserve"> a TTC PD-t. A modell</w:t>
      </w:r>
      <w:r>
        <w:rPr>
          <w:rFonts w:asciiTheme="minorHAnsi" w:hAnsiTheme="minorHAnsi"/>
        </w:rPr>
        <w:t>ek</w:t>
      </w:r>
      <w:r w:rsidRPr="006A6890">
        <w:rPr>
          <w:rFonts w:asciiTheme="minorHAnsi" w:hAnsiTheme="minorHAnsi"/>
        </w:rPr>
        <w:t xml:space="preserve"> alapjául szolgáló</w:t>
      </w:r>
      <w:r>
        <w:rPr>
          <w:rFonts w:asciiTheme="minorHAnsi" w:hAnsiTheme="minorHAnsi"/>
        </w:rPr>
        <w:t xml:space="preserve"> 2. pilléres</w:t>
      </w:r>
      <w:r w:rsidRPr="006A6890">
        <w:rPr>
          <w:rFonts w:asciiTheme="minorHAnsi" w:hAnsiTheme="minorHAnsi"/>
        </w:rPr>
        <w:t xml:space="preserve"> default definíció csak a tartós késedelmet tekinti defaultnak</w:t>
      </w:r>
      <w:r>
        <w:rPr>
          <w:rFonts w:asciiTheme="minorHAnsi" w:hAnsiTheme="minorHAnsi"/>
        </w:rPr>
        <w:t xml:space="preserve"> (</w:t>
      </w:r>
      <w:r w:rsidRPr="005315EA">
        <w:rPr>
          <w:rFonts w:asciiTheme="minorHAnsi" w:hAnsiTheme="minorHAnsi"/>
        </w:rPr>
        <w:t xml:space="preserve">jelzáloghitelek esetén legalább 360 napos, </w:t>
      </w:r>
      <w:r>
        <w:rPr>
          <w:rFonts w:asciiTheme="minorHAnsi" w:hAnsiTheme="minorHAnsi"/>
        </w:rPr>
        <w:t>fedezetlen ügyleteknél</w:t>
      </w:r>
      <w:r w:rsidRPr="005315EA">
        <w:rPr>
          <w:rFonts w:asciiTheme="minorHAnsi" w:hAnsiTheme="minorHAnsi"/>
        </w:rPr>
        <w:t xml:space="preserve"> 180 napos késettség</w:t>
      </w:r>
      <w:r>
        <w:rPr>
          <w:rFonts w:asciiTheme="minorHAnsi" w:hAnsiTheme="minorHAnsi"/>
        </w:rPr>
        <w:t>)</w:t>
      </w:r>
      <w:r w:rsidRPr="006A6890">
        <w:rPr>
          <w:rFonts w:asciiTheme="minorHAnsi" w:hAnsiTheme="minorHAnsi"/>
        </w:rPr>
        <w:t>, a többszörös késedelembe esést pedig minden esetben összevonja</w:t>
      </w:r>
      <w:r>
        <w:rPr>
          <w:rFonts w:asciiTheme="minorHAnsi" w:hAnsiTheme="minorHAnsi"/>
        </w:rPr>
        <w:t xml:space="preserve">, kezdetének az első (kisösszegű) késedelembe esést vagy az első átstrukturálás dátumát tekinti. </w:t>
      </w:r>
      <w:r w:rsidRPr="006A6890">
        <w:rPr>
          <w:rFonts w:asciiTheme="minorHAnsi" w:hAnsiTheme="minorHAnsi"/>
        </w:rPr>
        <w:t>Gyógyult csak abban az esetben lesz egy ügylet, ha az tartósan</w:t>
      </w:r>
      <w:r>
        <w:rPr>
          <w:rFonts w:asciiTheme="minorHAnsi" w:hAnsiTheme="minorHAnsi"/>
        </w:rPr>
        <w:t xml:space="preserve"> (legalább 1 évig)</w:t>
      </w:r>
      <w:r w:rsidRPr="006A6890">
        <w:rPr>
          <w:rFonts w:asciiTheme="minorHAnsi" w:hAnsiTheme="minorHAnsi"/>
        </w:rPr>
        <w:t xml:space="preserve"> és a rendelkezésre álló idősor végéig 90 nap alatti késedelemben tartózkodik. Átstrukturálás esetén a gyógyult állapothoz </w:t>
      </w:r>
      <w:r>
        <w:rPr>
          <w:rFonts w:asciiTheme="minorHAnsi" w:hAnsiTheme="minorHAnsi"/>
        </w:rPr>
        <w:t>2 éves</w:t>
      </w:r>
      <w:r w:rsidRPr="006A6890">
        <w:rPr>
          <w:rFonts w:asciiTheme="minorHAnsi" w:hAnsiTheme="minorHAnsi"/>
        </w:rPr>
        <w:t xml:space="preserve"> 90 nap alatti késedelemben tartózkodás szükséges. Az MNB a késedelem mellett nem vesz figyelembe egyéb default-indikátorokat</w:t>
      </w:r>
      <w:r>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7FFFE99E" w14:textId="77777777" w:rsidR="008A78E3" w:rsidRPr="006A6890" w:rsidRDefault="008A78E3" w:rsidP="009D65E3">
      <w:pPr>
        <w:rPr>
          <w:rFonts w:asciiTheme="minorHAnsi" w:hAnsiTheme="minorHAnsi"/>
        </w:rPr>
      </w:pPr>
      <w:r w:rsidRPr="006A6890">
        <w:rPr>
          <w:rFonts w:asciiTheme="minorHAnsi" w:hAnsiTheme="minorHAnsi"/>
        </w:rPr>
        <w:t xml:space="preserve">A megváltoztatott default definíción alapuló idősorokra az MNB a </w:t>
      </w:r>
      <w:r>
        <w:rPr>
          <w:rFonts w:asciiTheme="minorHAnsi" w:hAnsiTheme="minorHAnsi"/>
        </w:rPr>
        <w:t>nagyb</w:t>
      </w:r>
      <w:r w:rsidRPr="006A6890">
        <w:rPr>
          <w:rFonts w:asciiTheme="minorHAnsi" w:hAnsiTheme="minorHAnsi"/>
        </w:rPr>
        <w:t>ank</w:t>
      </w:r>
      <w:r>
        <w:rPr>
          <w:rFonts w:asciiTheme="minorHAnsi" w:hAnsiTheme="minorHAnsi"/>
        </w:rPr>
        <w:t>ok</w:t>
      </w:r>
      <w:r w:rsidRPr="006A6890">
        <w:rPr>
          <w:rFonts w:asciiTheme="minorHAnsi" w:hAnsiTheme="minorHAnsi"/>
        </w:rPr>
        <w:t xml:space="preserve"> által átad</w:t>
      </w:r>
      <w:r>
        <w:rPr>
          <w:rFonts w:asciiTheme="minorHAnsi" w:hAnsiTheme="minorHAnsi"/>
        </w:rPr>
        <w:t>ott</w:t>
      </w:r>
      <w:r w:rsidRPr="006A6890">
        <w:rPr>
          <w:rFonts w:asciiTheme="minorHAnsi" w:hAnsiTheme="minorHAnsi"/>
        </w:rPr>
        <w:t xml:space="preserve"> applikációs változókat felhasználva termékenként külön logisztikus regressziókat futtatva </w:t>
      </w:r>
      <w:r>
        <w:rPr>
          <w:rFonts w:asciiTheme="minorHAnsi" w:hAnsiTheme="minorHAnsi"/>
        </w:rPr>
        <w:t>fejlesztett</w:t>
      </w:r>
      <w:r w:rsidRPr="006A6890">
        <w:rPr>
          <w:rFonts w:asciiTheme="minorHAnsi" w:hAnsiTheme="minorHAnsi"/>
        </w:rPr>
        <w:t xml:space="preserve"> PD</w:t>
      </w:r>
      <w:r>
        <w:rPr>
          <w:rFonts w:asciiTheme="minorHAnsi" w:hAnsiTheme="minorHAnsi"/>
        </w:rPr>
        <w:t xml:space="preserve"> modelleke</w:t>
      </w:r>
      <w:r w:rsidRPr="006A6890">
        <w:rPr>
          <w:rFonts w:asciiTheme="minorHAnsi" w:hAnsiTheme="minorHAnsi"/>
        </w:rPr>
        <w:t>t. A felhasznált magyarázó változók között nem szerepelnek az ügyfél késedelmével és egyéb, a gazdasági ciklus alakulásával kapcsolatos mutatók. Az így kalibrált modell előnye, hogy figyelembe veszi a portf</w:t>
      </w:r>
      <w:r>
        <w:rPr>
          <w:rFonts w:asciiTheme="minorHAnsi" w:hAnsiTheme="minorHAnsi"/>
        </w:rPr>
        <w:t>ó</w:t>
      </w:r>
      <w:r w:rsidRPr="006A6890">
        <w:rPr>
          <w:rFonts w:asciiTheme="minorHAnsi" w:hAnsiTheme="minorHAnsi"/>
        </w:rPr>
        <w:t>lió</w:t>
      </w:r>
      <w:r>
        <w:rPr>
          <w:rFonts w:asciiTheme="minorHAnsi" w:hAnsiTheme="minorHAnsi"/>
        </w:rPr>
        <w:t>k</w:t>
      </w:r>
      <w:r w:rsidRPr="006A6890">
        <w:rPr>
          <w:rFonts w:asciiTheme="minorHAnsi" w:hAnsiTheme="minorHAnsi"/>
        </w:rPr>
        <w:t xml:space="preserve"> minőségének általános alakulását</w:t>
      </w:r>
      <w:r>
        <w:rPr>
          <w:rFonts w:asciiTheme="minorHAnsi" w:hAnsiTheme="minorHAnsi"/>
        </w:rPr>
        <w:t>, változását</w:t>
      </w:r>
      <w:r w:rsidRPr="006A6890">
        <w:rPr>
          <w:rFonts w:asciiTheme="minorHAnsi" w:hAnsiTheme="minorHAnsi"/>
        </w:rPr>
        <w:t>, de megtartja a megbecsült PD-k feltétel nélküli (TTC) jellegét.</w:t>
      </w:r>
    </w:p>
    <w:p w14:paraId="7FFFE99F" w14:textId="77777777" w:rsidR="008A78E3" w:rsidRPr="006A6890" w:rsidRDefault="008A78E3" w:rsidP="009D65E3">
      <w:pPr>
        <w:rPr>
          <w:rFonts w:asciiTheme="minorHAnsi" w:hAnsiTheme="minorHAnsi"/>
        </w:rPr>
      </w:pPr>
      <w:r w:rsidRPr="006A6890">
        <w:rPr>
          <w:rFonts w:asciiTheme="minorHAnsi" w:hAnsiTheme="minorHAnsi"/>
        </w:rPr>
        <w:t xml:space="preserve">Az MNB nem várja el a fenti módszertan alkalmazását a bankoktól, de amennyiben az intézmény 2. pilléres tőkekövetelményét jelentősen befolyásolja az alkalmazott default definíció vagy modellezési metodológia, </w:t>
      </w:r>
      <w:r>
        <w:rPr>
          <w:rFonts w:asciiTheme="minorHAnsi" w:hAnsiTheme="minorHAnsi"/>
        </w:rPr>
        <w:t xml:space="preserve">vagy nem rendelkezik legalább egy teljes downturn periódust is magába foglaló megbízható historikus adatbázissal, </w:t>
      </w:r>
      <w:r w:rsidRPr="006A6890">
        <w:rPr>
          <w:rFonts w:asciiTheme="minorHAnsi" w:hAnsiTheme="minorHAnsi"/>
        </w:rPr>
        <w:t xml:space="preserve">úgy a SREP tőkekövetelményt az MNB </w:t>
      </w:r>
      <w:r>
        <w:rPr>
          <w:rFonts w:asciiTheme="minorHAnsi" w:hAnsiTheme="minorHAnsi"/>
        </w:rPr>
        <w:t>a nagybankok adatain</w:t>
      </w:r>
      <w:r w:rsidRPr="006A6890">
        <w:rPr>
          <w:rFonts w:asciiTheme="minorHAnsi" w:hAnsiTheme="minorHAnsi"/>
        </w:rPr>
        <w:t xml:space="preserve"> a fent</w:t>
      </w:r>
      <w:r>
        <w:rPr>
          <w:rFonts w:asciiTheme="minorHAnsi" w:hAnsiTheme="minorHAnsi"/>
        </w:rPr>
        <w:t xml:space="preserve"> leírt</w:t>
      </w:r>
      <w:r w:rsidRPr="006A6890">
        <w:rPr>
          <w:rFonts w:asciiTheme="minorHAnsi" w:hAnsiTheme="minorHAnsi"/>
        </w:rPr>
        <w:t xml:space="preserve"> módszer</w:t>
      </w:r>
      <w:r>
        <w:rPr>
          <w:rFonts w:asciiTheme="minorHAnsi" w:hAnsiTheme="minorHAnsi"/>
        </w:rPr>
        <w:t xml:space="preserve"> szerint fejlesztett, termékszintű</w:t>
      </w:r>
      <w:r w:rsidRPr="006A6890">
        <w:rPr>
          <w:rFonts w:asciiTheme="minorHAnsi" w:hAnsiTheme="minorHAnsi"/>
        </w:rPr>
        <w:t xml:space="preserve"> benchmark </w:t>
      </w:r>
      <w:r>
        <w:rPr>
          <w:rFonts w:asciiTheme="minorHAnsi" w:hAnsiTheme="minorHAnsi"/>
        </w:rPr>
        <w:t xml:space="preserve">modelljeinek eredménye </w:t>
      </w:r>
      <w:r w:rsidRPr="006A6890">
        <w:rPr>
          <w:rFonts w:asciiTheme="minorHAnsi" w:hAnsiTheme="minorHAnsi"/>
        </w:rPr>
        <w:t>alapján határoz</w:t>
      </w:r>
      <w:r>
        <w:rPr>
          <w:rFonts w:asciiTheme="minorHAnsi" w:hAnsiTheme="minorHAnsi"/>
        </w:rPr>
        <w:t>hatj</w:t>
      </w:r>
      <w:r w:rsidRPr="006A6890">
        <w:rPr>
          <w:rFonts w:asciiTheme="minorHAnsi" w:hAnsiTheme="minorHAnsi"/>
        </w:rPr>
        <w:t>a meg.</w:t>
      </w:r>
      <w:r>
        <w:rPr>
          <w:rFonts w:asciiTheme="minorHAnsi" w:hAnsiTheme="minorHAnsi"/>
        </w:rPr>
        <w:t xml:space="preserve"> </w:t>
      </w:r>
    </w:p>
    <w:p w14:paraId="7FFFE9A0" w14:textId="77777777" w:rsidR="008A78E3" w:rsidRDefault="008A78E3" w:rsidP="004052AF">
      <w:pPr>
        <w:rPr>
          <w:rFonts w:asciiTheme="minorHAnsi" w:hAnsiTheme="minorHAnsi"/>
        </w:rPr>
      </w:pPr>
      <w:r>
        <w:rPr>
          <w:rFonts w:asciiTheme="minorHAnsi" w:hAnsiTheme="minorHAnsi"/>
        </w:rPr>
        <w:t>F</w:t>
      </w:r>
      <w:r w:rsidRPr="006A6890">
        <w:rPr>
          <w:rFonts w:asciiTheme="minorHAnsi" w:hAnsiTheme="minorHAnsi"/>
        </w:rPr>
        <w:t>ókuszált vizsgálat</w:t>
      </w:r>
      <w:r>
        <w:rPr>
          <w:rFonts w:asciiTheme="minorHAnsi" w:hAnsiTheme="minorHAnsi"/>
        </w:rPr>
        <w:t>ok</w:t>
      </w:r>
      <w:r w:rsidRPr="006A6890">
        <w:rPr>
          <w:rFonts w:asciiTheme="minorHAnsi" w:hAnsiTheme="minorHAnsi"/>
        </w:rPr>
        <w:t xml:space="preserve"> során</w:t>
      </w:r>
      <w:r>
        <w:rPr>
          <w:rFonts w:asciiTheme="minorHAnsi" w:hAnsiTheme="minorHAnsi"/>
        </w:rPr>
        <w:t>,</w:t>
      </w:r>
      <w:r w:rsidRPr="006A6890">
        <w:rPr>
          <w:rFonts w:asciiTheme="minorHAnsi" w:hAnsiTheme="minorHAnsi"/>
        </w:rPr>
        <w:t xml:space="preserve"> a tőkekövetelmény számítás értékelésekor az MNB elsősorban a benchmark modell</w:t>
      </w:r>
      <w:r>
        <w:rPr>
          <w:rFonts w:asciiTheme="minorHAnsi" w:hAnsiTheme="minorHAnsi"/>
        </w:rPr>
        <w:t>ek</w:t>
      </w:r>
      <w:r w:rsidRPr="006A6890">
        <w:rPr>
          <w:rFonts w:asciiTheme="minorHAnsi" w:hAnsiTheme="minorHAnsi"/>
        </w:rPr>
        <w:t xml:space="preserve">re támaszkodik, a </w:t>
      </w:r>
      <w:r>
        <w:rPr>
          <w:rFonts w:asciiTheme="minorHAnsi" w:hAnsiTheme="minorHAnsi"/>
        </w:rPr>
        <w:t>b</w:t>
      </w:r>
      <w:r w:rsidRPr="006A6890">
        <w:rPr>
          <w:rFonts w:asciiTheme="minorHAnsi" w:hAnsiTheme="minorHAnsi"/>
        </w:rPr>
        <w:t>ank</w:t>
      </w:r>
      <w:r>
        <w:rPr>
          <w:rFonts w:asciiTheme="minorHAnsi" w:hAnsiTheme="minorHAnsi"/>
        </w:rPr>
        <w:t>ok</w:t>
      </w:r>
      <w:r w:rsidRPr="006A6890">
        <w:rPr>
          <w:rFonts w:asciiTheme="minorHAnsi" w:hAnsiTheme="minorHAnsi"/>
        </w:rPr>
        <w:t xml:space="preserve"> saját PD modelljeinek megfelelőségét részletesen </w:t>
      </w:r>
      <w:r>
        <w:rPr>
          <w:rFonts w:asciiTheme="minorHAnsi" w:hAnsiTheme="minorHAnsi"/>
        </w:rPr>
        <w:t xml:space="preserve">jellemzően </w:t>
      </w:r>
      <w:r w:rsidRPr="006A6890">
        <w:rPr>
          <w:rFonts w:asciiTheme="minorHAnsi" w:hAnsiTheme="minorHAnsi"/>
        </w:rPr>
        <w:t>a teljeskörű vizsgálatok során tekinti át.</w:t>
      </w:r>
      <w:r>
        <w:rPr>
          <w:rFonts w:asciiTheme="minorHAnsi" w:hAnsiTheme="minorHAnsi"/>
        </w:rPr>
        <w:t xml:space="preserve"> Az MNB benchmark modelljei jelenleg a következő változókat tartalmazzák, melyeket az MNB rendszeres időközönként felülvizsgál: </w:t>
      </w:r>
    </w:p>
    <w:p w14:paraId="7FFFE9A1" w14:textId="77777777" w:rsidR="008A78E3" w:rsidRDefault="008A78E3" w:rsidP="00CD1B46">
      <w:pPr>
        <w:pStyle w:val="Listaszerbekezds"/>
        <w:numPr>
          <w:ilvl w:val="0"/>
          <w:numId w:val="86"/>
        </w:numPr>
        <w:rPr>
          <w:rFonts w:asciiTheme="minorHAnsi" w:hAnsiTheme="minorHAnsi"/>
          <w:color w:val="000000"/>
          <w:sz w:val="22"/>
          <w:szCs w:val="22"/>
        </w:rPr>
      </w:pPr>
      <w:r w:rsidRPr="00CD1B46">
        <w:rPr>
          <w:rFonts w:asciiTheme="minorHAnsi" w:hAnsiTheme="minorHAnsi"/>
          <w:color w:val="000000"/>
          <w:sz w:val="22"/>
          <w:szCs w:val="22"/>
        </w:rPr>
        <w:t>Lakáscélú és szabadfelhasználású jelzálog esetén alkalmazott változók: ügyletszintű folyósításkori PTI, folyosításkori LTV, eredeti futamidő</w:t>
      </w:r>
      <w:r>
        <w:rPr>
          <w:rFonts w:asciiTheme="minorHAnsi" w:hAnsiTheme="minorHAnsi"/>
          <w:color w:val="000000"/>
          <w:sz w:val="22"/>
          <w:szCs w:val="22"/>
        </w:rPr>
        <w:t xml:space="preserve"> (hónapokban)</w:t>
      </w:r>
      <w:r w:rsidRPr="00CD1B46">
        <w:rPr>
          <w:rFonts w:asciiTheme="minorHAnsi" w:hAnsiTheme="minorHAnsi"/>
          <w:color w:val="000000"/>
          <w:sz w:val="22"/>
          <w:szCs w:val="22"/>
        </w:rPr>
        <w:t>,</w:t>
      </w:r>
      <w:r>
        <w:rPr>
          <w:rFonts w:asciiTheme="minorHAnsi" w:hAnsiTheme="minorHAnsi"/>
          <w:color w:val="000000"/>
          <w:sz w:val="22"/>
          <w:szCs w:val="22"/>
        </w:rPr>
        <w:t xml:space="preserve"> legmagasabb iskolai</w:t>
      </w:r>
      <w:r w:rsidRPr="00CD1B46">
        <w:rPr>
          <w:rFonts w:asciiTheme="minorHAnsi" w:hAnsiTheme="minorHAnsi"/>
          <w:color w:val="000000"/>
          <w:sz w:val="22"/>
          <w:szCs w:val="22"/>
        </w:rPr>
        <w:t xml:space="preserve"> végzettség</w:t>
      </w:r>
      <w:r>
        <w:rPr>
          <w:rFonts w:asciiTheme="minorHAnsi" w:hAnsiTheme="minorHAnsi"/>
          <w:color w:val="000000"/>
          <w:sz w:val="22"/>
          <w:szCs w:val="22"/>
        </w:rPr>
        <w:t>;</w:t>
      </w:r>
      <w:r w:rsidRPr="00CD1B46">
        <w:rPr>
          <w:rFonts w:asciiTheme="minorHAnsi" w:hAnsiTheme="minorHAnsi"/>
          <w:color w:val="000000"/>
          <w:sz w:val="22"/>
          <w:szCs w:val="22"/>
        </w:rPr>
        <w:t xml:space="preserve"> </w:t>
      </w:r>
    </w:p>
    <w:p w14:paraId="7FFFE9A2" w14:textId="77777777" w:rsidR="008A78E3" w:rsidRPr="00CD1B46" w:rsidRDefault="008A78E3" w:rsidP="00CD1B46">
      <w:pPr>
        <w:pStyle w:val="Listaszerbekezds"/>
        <w:numPr>
          <w:ilvl w:val="0"/>
          <w:numId w:val="86"/>
        </w:numPr>
        <w:rPr>
          <w:rFonts w:asciiTheme="minorHAnsi" w:hAnsiTheme="minorHAnsi"/>
        </w:rPr>
      </w:pPr>
      <w:r>
        <w:rPr>
          <w:rFonts w:asciiTheme="minorHAnsi" w:hAnsiTheme="minorHAnsi"/>
          <w:color w:val="000000"/>
          <w:sz w:val="22"/>
          <w:szCs w:val="22"/>
        </w:rPr>
        <w:t>S</w:t>
      </w:r>
      <w:r w:rsidRPr="00CD1B46">
        <w:rPr>
          <w:rFonts w:asciiTheme="minorHAnsi" w:hAnsiTheme="minorHAnsi"/>
        </w:rPr>
        <w:t>zemélyi kölcsön esetén</w:t>
      </w:r>
      <w:r>
        <w:rPr>
          <w:rFonts w:asciiTheme="minorHAnsi" w:hAnsiTheme="minorHAnsi"/>
          <w:color w:val="000000"/>
          <w:sz w:val="22"/>
          <w:szCs w:val="22"/>
        </w:rPr>
        <w:t xml:space="preserve"> felhasznált változók</w:t>
      </w:r>
      <w:r w:rsidRPr="00CD1B46">
        <w:rPr>
          <w:rFonts w:asciiTheme="minorHAnsi" w:hAnsiTheme="minorHAnsi"/>
        </w:rPr>
        <w:t xml:space="preserve">: </w:t>
      </w:r>
      <w:r>
        <w:rPr>
          <w:rFonts w:asciiTheme="minorHAnsi" w:hAnsiTheme="minorHAnsi"/>
          <w:color w:val="000000"/>
          <w:sz w:val="22"/>
          <w:szCs w:val="22"/>
        </w:rPr>
        <w:t xml:space="preserve">ügyletszintű </w:t>
      </w:r>
      <w:r w:rsidRPr="00CD1B46">
        <w:rPr>
          <w:rFonts w:asciiTheme="minorHAnsi" w:hAnsiTheme="minorHAnsi"/>
        </w:rPr>
        <w:t>folyósításkori PTI, eredeti futamidő</w:t>
      </w:r>
      <w:r>
        <w:rPr>
          <w:rFonts w:asciiTheme="minorHAnsi" w:hAnsiTheme="minorHAnsi"/>
          <w:color w:val="000000"/>
          <w:sz w:val="22"/>
          <w:szCs w:val="22"/>
        </w:rPr>
        <w:t xml:space="preserve"> (hónapokban)</w:t>
      </w:r>
      <w:r w:rsidRPr="00CD1B46">
        <w:rPr>
          <w:rFonts w:asciiTheme="minorHAnsi" w:hAnsiTheme="minorHAnsi"/>
        </w:rPr>
        <w:t xml:space="preserve">, </w:t>
      </w:r>
      <w:r>
        <w:rPr>
          <w:rFonts w:asciiTheme="minorHAnsi" w:hAnsiTheme="minorHAnsi"/>
          <w:color w:val="000000"/>
          <w:sz w:val="22"/>
          <w:szCs w:val="22"/>
        </w:rPr>
        <w:t xml:space="preserve">az adós folyósításkori </w:t>
      </w:r>
      <w:r w:rsidRPr="00CD1B46">
        <w:rPr>
          <w:rFonts w:asciiTheme="minorHAnsi" w:hAnsiTheme="minorHAnsi"/>
        </w:rPr>
        <w:t xml:space="preserve">munkáltatónál eltöltött </w:t>
      </w:r>
      <w:r>
        <w:rPr>
          <w:rFonts w:asciiTheme="minorHAnsi" w:hAnsiTheme="minorHAnsi"/>
          <w:color w:val="000000"/>
          <w:sz w:val="22"/>
          <w:szCs w:val="22"/>
        </w:rPr>
        <w:t>hónapok száma a hitel folyósításának pillanatában</w:t>
      </w:r>
      <w:r w:rsidRPr="00CD1B46">
        <w:rPr>
          <w:rFonts w:asciiTheme="minorHAnsi" w:hAnsiTheme="minorHAnsi"/>
        </w:rPr>
        <w:t xml:space="preserve">, </w:t>
      </w:r>
      <w:r>
        <w:rPr>
          <w:rFonts w:asciiTheme="minorHAnsi" w:hAnsiTheme="minorHAnsi"/>
          <w:color w:val="000000"/>
          <w:sz w:val="22"/>
          <w:szCs w:val="22"/>
        </w:rPr>
        <w:t xml:space="preserve">legmagasabb iskolai </w:t>
      </w:r>
      <w:r w:rsidRPr="00CD1B46">
        <w:rPr>
          <w:rFonts w:asciiTheme="minorHAnsi" w:hAnsiTheme="minorHAnsi"/>
        </w:rPr>
        <w:t xml:space="preserve">végzettség, családi állapot (házas vagy egyéb). </w:t>
      </w:r>
    </w:p>
    <w:p w14:paraId="7FFFE9A3" w14:textId="77777777" w:rsidR="008A78E3" w:rsidRDefault="008A78E3" w:rsidP="00646FE7">
      <w:pPr>
        <w:rPr>
          <w:rFonts w:asciiTheme="minorHAnsi" w:hAnsiTheme="minorHAnsi"/>
        </w:rPr>
      </w:pPr>
    </w:p>
    <w:p w14:paraId="7FFFE9A4" w14:textId="77777777" w:rsidR="008A78E3" w:rsidRPr="006A6890" w:rsidRDefault="008A78E3" w:rsidP="005A30A2">
      <w:pPr>
        <w:pStyle w:val="Cmsor4"/>
        <w:rPr>
          <w:rFonts w:asciiTheme="minorHAnsi" w:hAnsiTheme="minorHAnsi"/>
        </w:rPr>
      </w:pPr>
      <w:bookmarkStart w:id="753" w:name="_Toc45119956"/>
      <w:bookmarkStart w:id="754" w:name="_Toc58512239"/>
      <w:bookmarkStart w:id="755" w:name="_Toc158036659"/>
      <w:r w:rsidRPr="006A6890">
        <w:rPr>
          <w:rFonts w:asciiTheme="minorHAnsi" w:hAnsiTheme="minorHAnsi"/>
        </w:rPr>
        <w:t>Vállalati PD – felügyeleti benchmark</w:t>
      </w:r>
      <w:bookmarkEnd w:id="753"/>
      <w:bookmarkEnd w:id="754"/>
      <w:bookmarkEnd w:id="755"/>
    </w:p>
    <w:p w14:paraId="7FFFE9A5" w14:textId="77777777" w:rsidR="008A78E3" w:rsidRPr="006A6890" w:rsidRDefault="008A78E3" w:rsidP="009D65E3">
      <w:pPr>
        <w:rPr>
          <w:rFonts w:asciiTheme="minorHAnsi" w:hAnsiTheme="minorHAnsi"/>
        </w:rPr>
      </w:pPr>
      <w:r w:rsidRPr="006A6890">
        <w:rPr>
          <w:rFonts w:asciiTheme="minorHAnsi" w:hAnsiTheme="minorHAnsi"/>
        </w:rPr>
        <w:t>Azon intézményeknél, melyeknél nincs megfelelő minőségű és hosszúságú adatokon kialakított, a belső tőkeszámítás céljaira használható vállalati PD becslés</w:t>
      </w:r>
      <w:r>
        <w:rPr>
          <w:rFonts w:asciiTheme="minorHAnsi" w:hAnsiTheme="minorHAnsi"/>
        </w:rPr>
        <w:t>, vagy a becsléssel kapcsolatban az MNB jelentős hiányosságokat állapít meg</w:t>
      </w:r>
      <w:r w:rsidRPr="006A6890">
        <w:rPr>
          <w:rFonts w:asciiTheme="minorHAnsi" w:hAnsiTheme="minorHAnsi"/>
        </w:rPr>
        <w:t>, az MNB nagybanki vállalati default adatbázisokon kifejlesztett vállalati PD benchmark modellel számszerűsíti az IRB alapú SREP tőkekövetelményt. Az MNB a vállalati PD modell fejlesztéséhez 12 év, dekonjunktúrát is tartalmazó, tisztán vállalati (tehát pl.: projekteket, pénzügyi intézményeket nem tartalmazó) default</w:t>
      </w:r>
      <w:r>
        <w:rPr>
          <w:rFonts w:asciiTheme="minorHAnsi" w:hAnsiTheme="minorHAnsi"/>
        </w:rPr>
        <w:t xml:space="preserve"> </w:t>
      </w:r>
      <w:r w:rsidRPr="006A6890">
        <w:rPr>
          <w:rFonts w:asciiTheme="minorHAnsi" w:hAnsiTheme="minorHAnsi"/>
        </w:rPr>
        <w:t xml:space="preserve">ráta adatsorokat használt. A vállalati modell felépítése szerint egy logisztikus regresszió a vállalati mérleg- és eredménykimutatási adatokból képzett pénzügyi mutatók (illetve annak WOE – weight of evidence – értékei) és a default indikátor között. A </w:t>
      </w:r>
      <w:r>
        <w:rPr>
          <w:rFonts w:asciiTheme="minorHAnsi" w:hAnsiTheme="minorHAnsi"/>
        </w:rPr>
        <w:t xml:space="preserve">modell </w:t>
      </w:r>
      <w:r w:rsidRPr="006A6890">
        <w:rPr>
          <w:rFonts w:asciiTheme="minorHAnsi" w:hAnsiTheme="minorHAnsi"/>
        </w:rPr>
        <w:t>mutató</w:t>
      </w:r>
      <w:r>
        <w:rPr>
          <w:rFonts w:asciiTheme="minorHAnsi" w:hAnsiTheme="minorHAnsi"/>
        </w:rPr>
        <w:t>ina</w:t>
      </w:r>
      <w:r w:rsidRPr="006A6890">
        <w:rPr>
          <w:rFonts w:asciiTheme="minorHAnsi" w:hAnsiTheme="minorHAnsi"/>
        </w:rPr>
        <w:t>k kiválasztása a nagybanki</w:t>
      </w:r>
      <w:r>
        <w:rPr>
          <w:rFonts w:asciiTheme="minorHAnsi" w:hAnsiTheme="minorHAnsi"/>
        </w:rPr>
        <w:t xml:space="preserve"> modellezési</w:t>
      </w:r>
      <w:r w:rsidRPr="006A6890">
        <w:rPr>
          <w:rFonts w:asciiTheme="minorHAnsi" w:hAnsiTheme="minorHAnsi"/>
        </w:rPr>
        <w:t xml:space="preserve"> tapasztalatok figyelembevétele mellett történt, méretet, hosszútávú és rövidtávú likviditást, profitabilitást, eladósodottságot, adósságszolgálat-fedezet mutatót </w:t>
      </w:r>
      <w:r>
        <w:rPr>
          <w:rFonts w:asciiTheme="minorHAnsi" w:hAnsiTheme="minorHAnsi"/>
        </w:rPr>
        <w:t xml:space="preserve">is </w:t>
      </w:r>
      <w:r w:rsidRPr="006A6890">
        <w:rPr>
          <w:rFonts w:asciiTheme="minorHAnsi" w:hAnsiTheme="minorHAnsi"/>
        </w:rPr>
        <w:t>tartalmaz. A PD paraméter kalibrációja a mikro, a kis/közép, valamint a nagyvállalati szegmensek esetében külön történt.</w:t>
      </w:r>
      <w:r>
        <w:rPr>
          <w:rFonts w:asciiTheme="minorHAnsi" w:hAnsiTheme="minorHAnsi"/>
        </w:rPr>
        <w:t xml:space="preserve"> A vállalati PD benchmark modell a Hitelintézeti Szemlében került publikálásra.</w:t>
      </w:r>
      <w:r>
        <w:rPr>
          <w:rStyle w:val="Lbjegyzet-hivatkozs"/>
          <w:rFonts w:asciiTheme="minorHAnsi" w:hAnsiTheme="minorHAnsi"/>
        </w:rPr>
        <w:footnoteReference w:id="37"/>
      </w:r>
    </w:p>
    <w:p w14:paraId="7FFFE9A6" w14:textId="77777777" w:rsidR="008A78E3" w:rsidRPr="006A6890" w:rsidRDefault="008A78E3" w:rsidP="005A30A2">
      <w:pPr>
        <w:pStyle w:val="Cmsor4"/>
        <w:rPr>
          <w:rFonts w:asciiTheme="minorHAnsi" w:hAnsiTheme="minorHAnsi"/>
        </w:rPr>
      </w:pPr>
      <w:bookmarkStart w:id="756" w:name="_Toc45119957"/>
      <w:bookmarkStart w:id="757" w:name="_Toc58512240"/>
      <w:bookmarkStart w:id="758" w:name="_Toc158036660"/>
      <w:r w:rsidRPr="006A6890">
        <w:rPr>
          <w:rFonts w:asciiTheme="minorHAnsi" w:hAnsiTheme="minorHAnsi"/>
        </w:rPr>
        <w:t>EU benchmark PD-k alkalmazása</w:t>
      </w:r>
      <w:bookmarkEnd w:id="756"/>
      <w:bookmarkEnd w:id="757"/>
      <w:bookmarkEnd w:id="758"/>
    </w:p>
    <w:p w14:paraId="7FFFE9A7" w14:textId="77777777" w:rsidR="008A78E3" w:rsidRPr="006A6890" w:rsidRDefault="008A78E3" w:rsidP="009D65E3">
      <w:pPr>
        <w:rPr>
          <w:rFonts w:asciiTheme="minorHAnsi" w:hAnsiTheme="minorHAnsi"/>
        </w:rPr>
      </w:pPr>
      <w:r w:rsidRPr="006A6890">
        <w:rPr>
          <w:rFonts w:asciiTheme="minorHAnsi" w:hAnsiTheme="minorHAnsi"/>
        </w:rPr>
        <w:t>Az EBA a CRD 78. cikke alapján évente elvégzi a hitelkockázati tőkekövetelmény számítására alkalmazott belső modellek eredményeinek EU szintű benchmarkolását. Az EBA elemzését a magas, illetve az alacsony default megfigyelésszámmal rendelkező portfóliók (HDP – high default portfolio, LDP – low default portfolio) vonatkozásában is elvégzi. A vizsgálatról készült riportot az EBA a honlapján közzéteszi</w:t>
      </w:r>
      <w:r>
        <w:rPr>
          <w:rStyle w:val="Lbjegyzet-hivatkozs"/>
          <w:rFonts w:asciiTheme="minorHAnsi" w:hAnsiTheme="minorHAnsi"/>
        </w:rPr>
        <w:footnoteReference w:id="38"/>
      </w:r>
      <w:r w:rsidRPr="006A6890">
        <w:rPr>
          <w:rFonts w:asciiTheme="minorHAnsi" w:hAnsiTheme="minorHAnsi"/>
        </w:rPr>
        <w:t>.  Az EBA konkrét nemzetközi vállalatok, intézmények, bankok, államok (szuverén) esetében is vizsgálja az IRB engedéllyel rendelkező intézmények által kalkulált paramétereket, amelyek leíró statisztikáit (minimum, maximum, medián, átlag, kvartilisek, szórás stb.) egy összehasonlítást segítő adatbázisban összegyűjt</w:t>
      </w:r>
      <w:r>
        <w:rPr>
          <w:rFonts w:asciiTheme="minorHAnsi" w:hAnsiTheme="minorHAnsi"/>
        </w:rPr>
        <w:t>i</w:t>
      </w:r>
      <w:r w:rsidRPr="006A6890">
        <w:rPr>
          <w:rFonts w:asciiTheme="minorHAnsi" w:hAnsiTheme="minorHAnsi"/>
        </w:rPr>
        <w:t>, és a felügyeleti hatóságok rendelkezésére bocsát</w:t>
      </w:r>
      <w:r>
        <w:rPr>
          <w:rFonts w:asciiTheme="minorHAnsi" w:hAnsiTheme="minorHAnsi"/>
        </w:rPr>
        <w:t>ja</w:t>
      </w:r>
      <w:r w:rsidRPr="006A6890">
        <w:rPr>
          <w:rFonts w:asciiTheme="minorHAnsi" w:hAnsiTheme="minorHAnsi"/>
        </w:rPr>
        <w:t>.  A konkrét ügyfelekre vonatkozó (értelemszerűen nem publikus) eredményeket az MNB felhasználja az LDP esetén a hazai intézmények saját PD becsléseinek, tőkekövetelmény számításának benchm</w:t>
      </w:r>
      <w:r>
        <w:rPr>
          <w:rFonts w:asciiTheme="minorHAnsi" w:hAnsiTheme="minorHAnsi"/>
        </w:rPr>
        <w:t>a</w:t>
      </w:r>
      <w:r w:rsidRPr="006A6890">
        <w:rPr>
          <w:rFonts w:asciiTheme="minorHAnsi" w:hAnsiTheme="minorHAnsi"/>
        </w:rPr>
        <w:t>rkolása során. A szignifikáns és indokolatlan PD eltérésekre az MNB az egyedi vizsgálatok keretében hívja fel az intézmények figyelmét, illetve az eltérésből fakadó tőkekövetelményt érvényesít</w:t>
      </w:r>
      <w:r>
        <w:rPr>
          <w:rFonts w:asciiTheme="minorHAnsi" w:hAnsiTheme="minorHAnsi"/>
        </w:rPr>
        <w:t>het</w:t>
      </w:r>
      <w:r w:rsidRPr="006A6890">
        <w:rPr>
          <w:rFonts w:asciiTheme="minorHAnsi" w:hAnsiTheme="minorHAnsi"/>
        </w:rPr>
        <w:t xml:space="preserve">i </w:t>
      </w:r>
      <w:r>
        <w:rPr>
          <w:rFonts w:asciiTheme="minorHAnsi" w:hAnsiTheme="minorHAnsi"/>
        </w:rPr>
        <w:t xml:space="preserve">a </w:t>
      </w:r>
      <w:r w:rsidRPr="006A6890">
        <w:rPr>
          <w:rFonts w:asciiTheme="minorHAnsi" w:hAnsiTheme="minorHAnsi"/>
        </w:rPr>
        <w:t xml:space="preserve">SREP keretében. Az EBA benchmark értékeket az MNB a koncentrációs kockázat számszerűsítésénél is felhasználhatja. </w:t>
      </w:r>
    </w:p>
    <w:p w14:paraId="7FFFE9A8" w14:textId="77777777" w:rsidR="008A78E3" w:rsidRPr="006A6890" w:rsidRDefault="008A78E3" w:rsidP="003D38F9">
      <w:pPr>
        <w:pStyle w:val="Cmsor4"/>
        <w:rPr>
          <w:rFonts w:asciiTheme="minorHAnsi" w:hAnsiTheme="minorHAnsi"/>
        </w:rPr>
      </w:pPr>
      <w:bookmarkStart w:id="759" w:name="_Toc45119958"/>
      <w:bookmarkStart w:id="760" w:name="_Toc58512241"/>
      <w:bookmarkStart w:id="761" w:name="_Toc158036661"/>
      <w:r w:rsidRPr="006A6890">
        <w:rPr>
          <w:rFonts w:asciiTheme="minorHAnsi" w:hAnsiTheme="minorHAnsi"/>
        </w:rPr>
        <w:t>Szuverén floor alkalmazása</w:t>
      </w:r>
      <w:bookmarkEnd w:id="759"/>
      <w:bookmarkEnd w:id="760"/>
      <w:bookmarkEnd w:id="761"/>
    </w:p>
    <w:p w14:paraId="7FFFE9A9" w14:textId="77777777" w:rsidR="008A78E3" w:rsidRDefault="008A78E3" w:rsidP="009D65E3">
      <w:pPr>
        <w:rPr>
          <w:rFonts w:asciiTheme="minorHAnsi" w:hAnsiTheme="minorHAnsi"/>
        </w:rPr>
      </w:pPr>
      <w:r w:rsidRPr="006A6890">
        <w:rPr>
          <w:rFonts w:asciiTheme="minorHAnsi" w:hAnsiTheme="minorHAnsi"/>
        </w:rPr>
        <w:t xml:space="preserve">Az MNB 2. pillérben elvárja, hogy a fejlett módszertant alkalmazó intézmények a hazai tevékenységgel rendelkező és/vagy hazai székhelyű ügyfelek esetén alkalmazzák a szuverén PD-t minimum korlátként. A szuverén PD-nél kedvezőbb PD alkalmazását az MNB a külföldi székhelyű és telephelyű, nemzetközi nagy cégek esetében nem várja el, ezek kockázata a Magyarországi országkockázattól teljesen független. </w:t>
      </w:r>
      <w:bookmarkStart w:id="762" w:name="_Toc468191446"/>
    </w:p>
    <w:p w14:paraId="7FFFE9AA" w14:textId="77777777" w:rsidR="008A78E3" w:rsidRDefault="008A78E3" w:rsidP="00571041">
      <w:pPr>
        <w:pStyle w:val="Cmsor4"/>
        <w:rPr>
          <w:rFonts w:asciiTheme="minorHAnsi" w:hAnsiTheme="minorHAnsi"/>
        </w:rPr>
      </w:pPr>
      <w:bookmarkStart w:id="763" w:name="_Toc158036662"/>
      <w:bookmarkStart w:id="764" w:name="_Toc45119959"/>
      <w:bookmarkStart w:id="765" w:name="_Toc58512242"/>
      <w:r>
        <w:rPr>
          <w:rFonts w:asciiTheme="minorHAnsi" w:hAnsiTheme="minorHAnsi"/>
        </w:rPr>
        <w:t>KKV szorzó alkalmazása</w:t>
      </w:r>
      <w:bookmarkEnd w:id="763"/>
    </w:p>
    <w:p w14:paraId="7FFFE9AB" w14:textId="77777777" w:rsidR="008A78E3" w:rsidRPr="00CD1B46" w:rsidRDefault="008A78E3" w:rsidP="00CD1B46">
      <w:r>
        <w:t>Az MNB elvárja, hogy a bankok a kkv-szorzóra való jogosultságot a 2004. évi XXXIV. a kis- és középvállalkozásokról, fejlődésük támogatásáról törvény alapján határozzák meg.</w:t>
      </w:r>
      <w:r>
        <w:rPr>
          <w:rStyle w:val="Lbjegyzet-hivatkozs"/>
        </w:rPr>
        <w:footnoteReference w:id="39"/>
      </w:r>
      <w:r>
        <w:t xml:space="preserve"> Az MNB felhívja a figyelmet arra, hogy a KKV szorzóra való jogosultság meghatározásánál többek között figyelembe kell venni az adott vállalat csoportjának összárbevételét, valamint a köztulajdoni arányt is.</w:t>
      </w:r>
    </w:p>
    <w:p w14:paraId="7FFFE9AC" w14:textId="77777777" w:rsidR="008A78E3" w:rsidRPr="006A6890" w:rsidRDefault="008A78E3" w:rsidP="00571041">
      <w:pPr>
        <w:pStyle w:val="Cmsor4"/>
        <w:rPr>
          <w:rFonts w:asciiTheme="minorHAnsi" w:hAnsiTheme="minorHAnsi"/>
        </w:rPr>
      </w:pPr>
      <w:bookmarkStart w:id="766" w:name="_Toc158036663"/>
      <w:r>
        <w:rPr>
          <w:rFonts w:asciiTheme="minorHAnsi" w:hAnsiTheme="minorHAnsi"/>
        </w:rPr>
        <w:t>Az MNB Növekedési Kötvényprogram keretében kibocsátott értékpapírok tőkekövetelménye</w:t>
      </w:r>
      <w:bookmarkEnd w:id="764"/>
      <w:bookmarkEnd w:id="765"/>
      <w:bookmarkEnd w:id="766"/>
    </w:p>
    <w:p w14:paraId="7FFFE9AD" w14:textId="77777777" w:rsidR="008A78E3" w:rsidRDefault="008A78E3" w:rsidP="00571041">
      <w:pPr>
        <w:rPr>
          <w:rFonts w:asciiTheme="minorHAnsi" w:hAnsiTheme="minorHAnsi"/>
        </w:rPr>
      </w:pPr>
      <w:r>
        <w:rPr>
          <w:rFonts w:asciiTheme="minorHAnsi" w:hAnsiTheme="minorHAnsi"/>
        </w:rPr>
        <w:t>A Növekedési Kötvényprogram (NKP) keretében kibocsátott értékpapírok hitelkockázati tőkekövetelményének meghatározásakor a felügyelt intézmények két megközelítés közül választhatnak:</w:t>
      </w:r>
    </w:p>
    <w:p w14:paraId="7FFFE9AE" w14:textId="77777777" w:rsidR="008A78E3" w:rsidRPr="00456B36" w:rsidRDefault="008A78E3" w:rsidP="00CD1B46">
      <w:pPr>
        <w:pStyle w:val="Listaszerbekezds"/>
        <w:numPr>
          <w:ilvl w:val="0"/>
          <w:numId w:val="83"/>
        </w:numPr>
        <w:rPr>
          <w:rFonts w:asciiTheme="minorHAnsi" w:hAnsiTheme="minorHAnsi"/>
          <w:sz w:val="22"/>
          <w:szCs w:val="22"/>
        </w:rPr>
      </w:pPr>
      <w:r w:rsidRPr="00456B36">
        <w:rPr>
          <w:rFonts w:asciiTheme="minorHAnsi" w:hAnsiTheme="minorHAnsi"/>
          <w:sz w:val="22"/>
          <w:szCs w:val="22"/>
        </w:rPr>
        <w:t>Az</w:t>
      </w:r>
      <w:r w:rsidRPr="00CD363D">
        <w:rPr>
          <w:rFonts w:asciiTheme="minorHAnsi" w:hAnsiTheme="minorHAnsi"/>
          <w:sz w:val="22"/>
          <w:szCs w:val="22"/>
        </w:rPr>
        <w:t xml:space="preserve"> </w:t>
      </w:r>
      <w:r w:rsidRPr="00456B36">
        <w:rPr>
          <w:rFonts w:asciiTheme="minorHAnsi" w:hAnsiTheme="minorHAnsi"/>
          <w:sz w:val="22"/>
          <w:szCs w:val="22"/>
        </w:rPr>
        <w:t xml:space="preserve">intézmény a CRR 138. cikkében rögzítettek alapján jelölje ki az NKP kötvényeket minősítő Scope és Euler Hermes minősítőket is, és azokat felhasználva a CRR 122. cikke szerinti kockázati súlyokat alkalmazza az NKP kötvények 1. pilléres tőkekövetelményének meghatározásához. Ebben az esetben az MNB 2. pillérben ezekhez a sztenderd kockázati súlyokhoz képest nem érvényesít többletet. </w:t>
      </w:r>
    </w:p>
    <w:p w14:paraId="7FFFE9AF" w14:textId="77777777" w:rsidR="008A78E3" w:rsidRPr="00456B36" w:rsidRDefault="008A78E3" w:rsidP="004F7474">
      <w:pPr>
        <w:pStyle w:val="Listaszerbekezds"/>
        <w:ind w:left="1428"/>
        <w:rPr>
          <w:rFonts w:asciiTheme="minorHAnsi" w:hAnsiTheme="minorHAnsi"/>
          <w:sz w:val="22"/>
          <w:szCs w:val="22"/>
        </w:rPr>
      </w:pPr>
    </w:p>
    <w:p w14:paraId="7FFFE9B0" w14:textId="77777777" w:rsidR="008A78E3" w:rsidRPr="00456B36" w:rsidRDefault="008A78E3" w:rsidP="004F7474">
      <w:pPr>
        <w:pStyle w:val="Listaszerbekezds"/>
        <w:ind w:left="1428"/>
        <w:rPr>
          <w:rFonts w:asciiTheme="minorHAnsi" w:hAnsiTheme="minorHAnsi"/>
          <w:sz w:val="22"/>
          <w:szCs w:val="22"/>
        </w:rPr>
      </w:pPr>
      <w:r w:rsidRPr="00456B36">
        <w:rPr>
          <w:rFonts w:asciiTheme="minorHAnsi" w:hAnsiTheme="minorHAnsi"/>
          <w:sz w:val="22"/>
          <w:szCs w:val="22"/>
        </w:rPr>
        <w:t>VAGY</w:t>
      </w:r>
    </w:p>
    <w:p w14:paraId="7FFFE9B1" w14:textId="77777777" w:rsidR="008A78E3" w:rsidRPr="00456B36" w:rsidRDefault="008A78E3" w:rsidP="00456B36">
      <w:pPr>
        <w:pStyle w:val="Listaszerbekezds"/>
        <w:ind w:left="1428"/>
        <w:rPr>
          <w:rFonts w:asciiTheme="minorHAnsi" w:hAnsiTheme="minorHAnsi"/>
          <w:sz w:val="22"/>
          <w:szCs w:val="22"/>
        </w:rPr>
      </w:pPr>
    </w:p>
    <w:p w14:paraId="7FFFE9B2" w14:textId="77777777" w:rsidR="008A78E3" w:rsidRPr="00456B36" w:rsidRDefault="008A78E3" w:rsidP="00CD1B46">
      <w:pPr>
        <w:pStyle w:val="Listaszerbekezds"/>
        <w:numPr>
          <w:ilvl w:val="0"/>
          <w:numId w:val="83"/>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ICAAP felülvizsgálat során meghatározott paraméterekkel kalkulált tőkekövetelményt érvényesíti, azzal, hogy az nem haladhatja meg az MNB honlapján közzétett, NKP kötvényekhez tartozó minősítés alapján meghatározott sztenderd kockázati súlyokat (CRR 122. cikk). </w:t>
      </w:r>
    </w:p>
    <w:p w14:paraId="7FFFE9B3" w14:textId="77777777" w:rsidR="008A78E3" w:rsidRPr="00456B36" w:rsidRDefault="008A78E3" w:rsidP="004F7474">
      <w:pPr>
        <w:rPr>
          <w:rFonts w:asciiTheme="minorHAnsi" w:hAnsiTheme="minorHAnsi"/>
        </w:rPr>
      </w:pPr>
      <w:r w:rsidRPr="00456B36">
        <w:rPr>
          <w:rFonts w:asciiTheme="minorHAnsi" w:hAnsiTheme="minorHAnsi"/>
        </w:rPr>
        <w:t>A nemzetközi minősítések és CRR szerinti kategóriák megfeleltetését az EU Bizottság 2019/2028 végrehajtási rendelete</w:t>
      </w:r>
      <w:r>
        <w:rPr>
          <w:rStyle w:val="Lbjegyzet-hivatkozs"/>
          <w:rFonts w:asciiTheme="minorHAnsi" w:hAnsiTheme="minorHAnsi"/>
        </w:rPr>
        <w:footnoteReference w:id="40"/>
      </w:r>
      <w:r w:rsidRPr="00456B36">
        <w:rPr>
          <w:rFonts w:asciiTheme="minorHAnsi" w:hAnsiTheme="minorHAnsi"/>
        </w:rPr>
        <w:t xml:space="preserve"> tartalmazza. </w:t>
      </w:r>
    </w:p>
    <w:p w14:paraId="7FFFE9B4" w14:textId="77777777" w:rsidR="008A78E3" w:rsidRPr="006A6890" w:rsidRDefault="008A78E3" w:rsidP="00780492">
      <w:pPr>
        <w:pStyle w:val="Cmsor4"/>
        <w:rPr>
          <w:rFonts w:asciiTheme="minorHAnsi" w:hAnsiTheme="minorHAnsi"/>
        </w:rPr>
      </w:pPr>
      <w:bookmarkStart w:id="767" w:name="_Toc44073805"/>
      <w:bookmarkStart w:id="768" w:name="_Toc45119960"/>
      <w:bookmarkStart w:id="769" w:name="_Toc58512243"/>
      <w:bookmarkStart w:id="770" w:name="_Toc158036664"/>
      <w:bookmarkEnd w:id="767"/>
      <w:r w:rsidRPr="006A6890">
        <w:rPr>
          <w:rFonts w:asciiTheme="minorHAnsi" w:hAnsiTheme="minorHAnsi"/>
        </w:rPr>
        <w:t>A nemteljesítéskori veszteségráta becslése</w:t>
      </w:r>
      <w:bookmarkEnd w:id="739"/>
      <w:bookmarkEnd w:id="740"/>
      <w:bookmarkEnd w:id="741"/>
      <w:bookmarkEnd w:id="742"/>
      <w:bookmarkEnd w:id="743"/>
      <w:bookmarkEnd w:id="744"/>
      <w:bookmarkEnd w:id="745"/>
      <w:bookmarkEnd w:id="746"/>
      <w:bookmarkEnd w:id="747"/>
      <w:bookmarkEnd w:id="748"/>
      <w:bookmarkEnd w:id="762"/>
      <w:bookmarkEnd w:id="768"/>
      <w:bookmarkEnd w:id="769"/>
      <w:bookmarkEnd w:id="770"/>
    </w:p>
    <w:p w14:paraId="7FFFE9B5" w14:textId="77777777" w:rsidR="008A78E3" w:rsidRPr="006A6890" w:rsidRDefault="008A78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 (LGD). Az LGD becslésénél az MNB – a PD-becsléssel ellentétben – nem a hosszú távú átlagok alkalmazását, hanem kedvezőtlen (ún. downturn) helyzetekben várható értékek használatát tartja logikailag következetes megoldásnak. Az MNB alapvetően elvárja, hogy az intézmények historikusan gyűjtsék a ténylegesen elszenvedett veszteség mértékét, továbbá arra vonatkozó információt, hogy milyen kiinduló fedezeti struktúra mellett</w:t>
      </w:r>
      <w:r>
        <w:rPr>
          <w:rFonts w:asciiTheme="minorHAnsi" w:hAnsiTheme="minorHAnsi"/>
        </w:rPr>
        <w:t>,</w:t>
      </w:r>
      <w:r w:rsidRPr="006A6890">
        <w:rPr>
          <w:rFonts w:asciiTheme="minorHAnsi" w:hAnsiTheme="minorHAnsi"/>
        </w:rPr>
        <w:t xml:space="preserve">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Pr>
          <w:rStyle w:val="Lbjegyzet-hivatkozs"/>
          <w:rFonts w:asciiTheme="minorHAnsi" w:hAnsiTheme="minorHAnsi"/>
        </w:rPr>
        <w:footnoteReference w:id="41"/>
      </w:r>
      <w:r w:rsidRPr="006A6890">
        <w:rPr>
          <w:rFonts w:asciiTheme="minorHAnsi" w:hAnsiTheme="minorHAnsi"/>
        </w:rPr>
        <w:t>, és gyűjtse a közvetett és közvetlen költségeket is. Amennyiben az intézmény valamely portfóliószegmens vonatkozásában nem rendelkezik elégséges, tényleges megtérüléseket tükröző veszteségadattal az LGD megbízható statisztikai becsléséhez, akkor konzervatív szakértői feltevésekre kell hagyatkoznia. Az LGD-becslés során különös tekintettel kell lenni az alábbiakra:</w:t>
      </w:r>
    </w:p>
    <w:p w14:paraId="7FFFE9B6" w14:textId="77777777" w:rsidR="008A78E3" w:rsidRPr="006A6890" w:rsidRDefault="008A78E3" w:rsidP="00181755">
      <w:pPr>
        <w:pStyle w:val="felsorolsos"/>
        <w:rPr>
          <w:rFonts w:asciiTheme="minorHAnsi" w:hAnsiTheme="minorHAnsi"/>
        </w:rPr>
      </w:pPr>
      <w:r w:rsidRPr="006A6890">
        <w:rPr>
          <w:rFonts w:asciiTheme="minorHAnsi" w:hAnsiTheme="minorHAnsi"/>
        </w:rPr>
        <w:t>A downturn érték megállapításához egy lehetőség, hogy az intézmény felméri azokat a makrogazdasági faktorokat, melyek hatással lehetnek az LGD-re, illetve az LGD-t meghatározó paraméterekre, és ezen makrogazdasági tényezők egy dekonjunkturális évben felvett értékének modellezésén keresztül számszerűsíthető az LGD downturn értéke. A downturn becsléshez kiemelt figyelmet kell fordítani az LGD modellezéséhez használt ciklikus komponensekre (pl. LTV, ill. ügyfélbefizetés/nem fedezeti megtérülés), illetve az aktuális portfólión megfigyelt azon tényezőkre, melyek nem reprezentatívak a becsléshez felhasznált adatok szempontjából</w:t>
      </w:r>
      <w:r>
        <w:rPr>
          <w:rStyle w:val="Lbjegyzet-hivatkozs"/>
          <w:rFonts w:asciiTheme="minorHAnsi" w:hAnsiTheme="minorHAnsi"/>
        </w:rPr>
        <w:footnoteReference w:id="42"/>
      </w:r>
      <w:r w:rsidRPr="006A6890">
        <w:rPr>
          <w:rFonts w:asciiTheme="minorHAnsi" w:hAnsiTheme="minorHAnsi"/>
        </w:rPr>
        <w:t>.</w:t>
      </w:r>
    </w:p>
    <w:p w14:paraId="7FFFE9B7" w14:textId="77777777" w:rsidR="008A78E3" w:rsidRPr="006A6890" w:rsidRDefault="008A78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7FFFE9B8"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Pr>
          <w:rFonts w:asciiTheme="minorHAnsi" w:hAnsiTheme="minorHAnsi"/>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7FFFE9B9" w14:textId="77777777" w:rsidR="008A78E3" w:rsidRPr="006A6890" w:rsidRDefault="008A78E3" w:rsidP="00181755">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 vagy a gyógyulási ráta különösen konzervatív módon történő figyelembe vételét látja célravezetőnek.</w:t>
      </w:r>
      <w:r>
        <w:rPr>
          <w:rStyle w:val="Lbjegyzet-hivatkozs"/>
          <w:rFonts w:asciiTheme="minorHAnsi" w:hAnsiTheme="minorHAnsi"/>
        </w:rPr>
        <w:footnoteReference w:id="43"/>
      </w:r>
      <w:r w:rsidRPr="006A6890">
        <w:rPr>
          <w:rFonts w:asciiTheme="minorHAnsi" w:hAnsiTheme="minorHAnsi"/>
        </w:rPr>
        <w:t xml:space="preserve"> </w:t>
      </w:r>
    </w:p>
    <w:p w14:paraId="7FFFE9BA" w14:textId="77777777" w:rsidR="008A78E3" w:rsidRPr="006A6890" w:rsidRDefault="008A78E3" w:rsidP="00181755">
      <w:pPr>
        <w:pStyle w:val="felsorolsos"/>
        <w:rPr>
          <w:rFonts w:asciiTheme="minorHAnsi" w:hAnsiTheme="minorHAnsi"/>
        </w:rPr>
      </w:pPr>
      <w:r w:rsidRPr="006A6890">
        <w:rPr>
          <w:rFonts w:asciiTheme="minorHAnsi" w:hAnsiTheme="minorHAnsi"/>
        </w:rPr>
        <w:t>A fentieket kiegészítve elvárt a többszörös default események kezelése megfelelő összevonással, gyógyulási periódus definiálásával.</w:t>
      </w:r>
    </w:p>
    <w:p w14:paraId="7FFFE9BB" w14:textId="77777777" w:rsidR="008A78E3" w:rsidRPr="006A6890" w:rsidRDefault="008A78E3" w:rsidP="00181755">
      <w:pPr>
        <w:pStyle w:val="felsorolsos"/>
        <w:rPr>
          <w:rFonts w:asciiTheme="minorHAnsi" w:hAnsiTheme="minorHAnsi"/>
        </w:rPr>
      </w:pPr>
      <w:r w:rsidRPr="006A6890">
        <w:rPr>
          <w:rFonts w:asciiTheme="minorHAnsi" w:hAnsiTheme="minorHAnsi"/>
        </w:rPr>
        <w:t>Amennyiben az LGD-becslés nem tényleges megtérülési adatokon történik, úgy nem elégséges a fedezettségi szintek közvetlen módon történő (pl. a kitettséget a fedezet likvidációs értékével összevető), kizárólagos felhasználása.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7FFFE9BC"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fenti követelményeket kiegészítve, az intézményeknek a nemteljesítő portfóliókon külön veszteségráta-becslésekkel kell rendelkezniük, melyek figyelembe veszik a teljesítő portfólióktól eltérő kockázati jellemzőket. 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 Másrészt az ELBE-becslésen felül, mely a várható veszteséget jelenti, az intézménynek meg kell becsülnie a behajtás során esetlegesen felmerülő további nem várt veszteségeket is (nem várt árfolyam-stressz, fedezet-leértékelődés, ügyfél fizetési hajlandóságának nem várt romlása). A várható veszteségeken felüli nem várt veszteségeket is tartalmazó veszteségráta-becslés adja a nemteljesítő portfóliók LGD-it. A teljesítő és a nem-teljesítő ügyletek LGD-jének konzisztensnek kell lennie abban az értelemben, hogy a teljesítőből éppen nem-teljesítő státuszba került ügyletek LGD-jében ne legyen ugrásszerű változás („cliff effect”). </w:t>
      </w:r>
    </w:p>
    <w:p w14:paraId="7FFFE9BD" w14:textId="77777777" w:rsidR="008A78E3" w:rsidRPr="006A6890" w:rsidRDefault="008A78E3" w:rsidP="009D65E3">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7FFFE9BE" w14:textId="77777777" w:rsidR="008A78E3" w:rsidRPr="006A6890" w:rsidRDefault="008A78E3" w:rsidP="00181755">
      <w:pPr>
        <w:pStyle w:val="Cmsor4"/>
        <w:rPr>
          <w:rFonts w:asciiTheme="minorHAnsi" w:hAnsiTheme="minorHAnsi"/>
        </w:rPr>
      </w:pPr>
      <w:bookmarkStart w:id="771" w:name="_Késedelmes_tételek,_várható"/>
      <w:bookmarkStart w:id="772" w:name="_Toc461095208"/>
      <w:bookmarkStart w:id="773" w:name="_Toc461179864"/>
      <w:bookmarkStart w:id="774" w:name="_Toc461201307"/>
      <w:bookmarkStart w:id="775" w:name="_Toc461547950"/>
      <w:bookmarkStart w:id="776" w:name="_Toc462401988"/>
      <w:bookmarkStart w:id="777" w:name="_Toc462403109"/>
      <w:bookmarkStart w:id="778" w:name="_Toc462403433"/>
      <w:bookmarkStart w:id="779" w:name="_Toc468180552"/>
      <w:bookmarkStart w:id="780" w:name="_Toc468181061"/>
      <w:bookmarkStart w:id="781" w:name="_Toc468191447"/>
      <w:bookmarkStart w:id="782" w:name="_Toc45119961"/>
      <w:bookmarkStart w:id="783" w:name="_Toc58512244"/>
      <w:bookmarkStart w:id="784" w:name="_Toc158036665"/>
      <w:bookmarkStart w:id="785" w:name="_Toc378592169"/>
      <w:bookmarkEnd w:id="771"/>
      <w:r w:rsidRPr="006A6890">
        <w:rPr>
          <w:rFonts w:asciiTheme="minorHAnsi" w:hAnsiTheme="minorHAnsi"/>
        </w:rPr>
        <w:t>Lakossági jelzálog LGD – felügyeleti benchmark</w:t>
      </w:r>
      <w:bookmarkEnd w:id="772"/>
      <w:bookmarkEnd w:id="773"/>
      <w:bookmarkEnd w:id="774"/>
      <w:bookmarkEnd w:id="775"/>
      <w:bookmarkEnd w:id="776"/>
      <w:bookmarkEnd w:id="777"/>
      <w:bookmarkEnd w:id="778"/>
      <w:bookmarkEnd w:id="779"/>
      <w:bookmarkEnd w:id="780"/>
      <w:bookmarkEnd w:id="781"/>
      <w:bookmarkEnd w:id="782"/>
      <w:bookmarkEnd w:id="783"/>
      <w:bookmarkEnd w:id="784"/>
    </w:p>
    <w:p w14:paraId="7FFFE9BF" w14:textId="77777777" w:rsidR="008A78E3" w:rsidRPr="006A6890" w:rsidRDefault="008A78E3" w:rsidP="009D65E3">
      <w:pPr>
        <w:rPr>
          <w:rFonts w:asciiTheme="minorHAnsi" w:hAnsiTheme="minorHAnsi"/>
        </w:rPr>
      </w:pPr>
      <w:r w:rsidRPr="006A6890">
        <w:rPr>
          <w:rFonts w:asciiTheme="minorHAnsi" w:hAnsiTheme="minorHAnsi"/>
        </w:rPr>
        <w:t xml:space="preserve">Az MNB az intézmények lakossági jelzáloghitel LGD-becslését benchmark számítással ellenőrzi. A benchmark számítás célja az intézmények egységes megítélése. A benchmarktól való eltérést az intézmények indokolhatják, de amennyiben az intézmény modellje nem megfelelő, úgy a SREP tőkekövetelményt az MNB a benchmark érték alapján határozza meg. Az MNB benchmark LGD-je két behajtási kimenet downturn-helyzetbeli értékét modellezi: 1) az ügyfél fizetőképességének helyreállását jellemző gyógyulási-rátát, és 2) a fedezet alapú térülés esetén megfigyelhető veszteség-szintet. </w:t>
      </w:r>
    </w:p>
    <w:p w14:paraId="7FFFE9C0" w14:textId="77777777" w:rsidR="008A78E3" w:rsidRPr="006A6890" w:rsidRDefault="008A78E3"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többszörös nemteljesítés és gyógyulás becslést torzító hatásának kiküszöbölése érdekében az MNB a többszörös default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7FFFE9C1" w14:textId="77777777" w:rsidR="008A78E3" w:rsidRPr="006A6890" w:rsidRDefault="008A78E3"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 </w:t>
      </w:r>
      <w:r>
        <w:rPr>
          <w:rFonts w:asciiTheme="minorHAnsi" w:hAnsiTheme="minorHAnsi"/>
        </w:rPr>
        <w:t xml:space="preserve">Az MNB az LGD becslésben figyelembe veszi az ingatlanpiac esetleges visszaesésének hatását is a forgalmi értékek indexálásával. </w:t>
      </w:r>
      <w:r w:rsidRPr="006A6890">
        <w:rPr>
          <w:rFonts w:asciiTheme="minorHAnsi" w:hAnsiTheme="minorHAnsi"/>
        </w:rPr>
        <w:t xml:space="preserve">Az MNB a fedezeti szorzó, diszkont-kamatláb, értékesítési idő tekintetében rendszeresen végez becsléseket, visszaméréseket, e paraméterek értékeit rendszeresen felülvizsgálja. </w:t>
      </w:r>
      <w:r>
        <w:rPr>
          <w:rFonts w:asciiTheme="minorHAnsi" w:hAnsiTheme="minorHAnsi"/>
        </w:rPr>
        <w:t>A</w:t>
      </w:r>
      <w:r w:rsidRPr="006A6890">
        <w:rPr>
          <w:rFonts w:asciiTheme="minorHAnsi" w:hAnsiTheme="minorHAnsi"/>
        </w:rPr>
        <w:t>z MNB a</w:t>
      </w:r>
      <w:r>
        <w:rPr>
          <w:rFonts w:asciiTheme="minorHAnsi" w:hAnsiTheme="minorHAnsi"/>
        </w:rPr>
        <w:t>z</w:t>
      </w:r>
      <w:r w:rsidRPr="006A6890">
        <w:rPr>
          <w:rFonts w:asciiTheme="minorHAnsi" w:hAnsiTheme="minorHAnsi"/>
        </w:rPr>
        <w:t xml:space="preserve"> ingatlanpiaci árak alakulását külön figyelemmel kíséri a fedezeti szorzók meghatározásakor.</w:t>
      </w:r>
    </w:p>
    <w:p w14:paraId="7FFFE9C2" w14:textId="77777777" w:rsidR="008A78E3" w:rsidRPr="006A6890" w:rsidRDefault="008A78E3" w:rsidP="009D65E3">
      <w:pPr>
        <w:rPr>
          <w:rFonts w:asciiTheme="minorHAnsi" w:hAnsiTheme="minorHAnsi"/>
        </w:rPr>
      </w:pPr>
      <w:r>
        <w:rPr>
          <w:rFonts w:asciiTheme="minorHAnsi" w:hAnsiTheme="minorHAnsi"/>
        </w:rPr>
        <w:t>A</w:t>
      </w:r>
      <w:r w:rsidRPr="006A6890">
        <w:rPr>
          <w:rFonts w:asciiTheme="minorHAnsi" w:hAnsiTheme="minorHAnsi"/>
        </w:rPr>
        <w:t>z LGD-nek downturn-nek kell lennie, ezen belül a nemteljesítő ügyletek LGD-jének a várható veszteségeken felüli nem várt veszteségeket is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7FFFE9C3" w14:textId="77777777" w:rsidR="008A78E3" w:rsidRPr="006A6890" w:rsidRDefault="008A78E3" w:rsidP="005A4399">
      <w:pPr>
        <w:rPr>
          <w:rFonts w:asciiTheme="minorHAnsi" w:hAnsiTheme="minorHAnsi"/>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7FFFE9C4" w14:textId="77777777" w:rsidR="008A78E3" w:rsidRPr="006A6890" w:rsidRDefault="008A78E3" w:rsidP="005A4399">
      <w:pPr>
        <w:rPr>
          <w:rFonts w:asciiTheme="minorHAnsi" w:hAnsiTheme="minorHAnsi"/>
        </w:rPr>
      </w:pPr>
    </w:p>
    <w:p w14:paraId="7FFFE9C5" w14:textId="77777777" w:rsidR="008A78E3" w:rsidRPr="006A6890" w:rsidRDefault="008A78E3" w:rsidP="00181755">
      <w:pPr>
        <w:pStyle w:val="Cmsor4"/>
        <w:rPr>
          <w:rFonts w:asciiTheme="minorHAnsi" w:hAnsiTheme="minorHAnsi"/>
        </w:rPr>
      </w:pPr>
      <w:bookmarkStart w:id="786" w:name="_Toc461095209"/>
      <w:bookmarkStart w:id="787" w:name="_Toc461179865"/>
      <w:bookmarkStart w:id="788" w:name="_Toc461201308"/>
      <w:bookmarkStart w:id="789" w:name="_Toc461547951"/>
      <w:bookmarkStart w:id="790" w:name="_Toc462401989"/>
      <w:bookmarkStart w:id="791" w:name="_Toc462403110"/>
      <w:bookmarkStart w:id="792" w:name="_Toc462403434"/>
      <w:bookmarkStart w:id="793" w:name="_Toc468180553"/>
      <w:bookmarkStart w:id="794" w:name="_Toc468181062"/>
      <w:bookmarkStart w:id="795" w:name="_Toc468191448"/>
      <w:bookmarkStart w:id="796" w:name="_Toc45119962"/>
      <w:bookmarkStart w:id="797" w:name="_Toc58512245"/>
      <w:bookmarkStart w:id="798" w:name="_Toc158036666"/>
      <w:r w:rsidRPr="006A6890">
        <w:rPr>
          <w:rFonts w:asciiTheme="minorHAnsi" w:hAnsiTheme="minorHAnsi"/>
        </w:rPr>
        <w:t>Nemteljesítő tételek, várható veszteség és értékvesztés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7FFFE9C6" w14:textId="77777777" w:rsidR="008A78E3" w:rsidRPr="006A6890" w:rsidRDefault="008A78E3" w:rsidP="009D65E3">
      <w:pPr>
        <w:rPr>
          <w:rFonts w:asciiTheme="minorHAnsi" w:hAnsiTheme="minorHAnsi"/>
        </w:rPr>
      </w:pPr>
      <w:r w:rsidRPr="006A6890">
        <w:rPr>
          <w:rFonts w:asciiTheme="minorHAnsi" w:hAnsiTheme="minorHAnsi"/>
        </w:rPr>
        <w:t>A kockázati kitettség fontos részét képezik a sztenderd és IRB módszertant alkalmazó intézményekre egységesen vonatkozó CRR 178. cikke szerinti default definíción alapuló nemteljesítő kategóriába került tételek. Bár a nemteljesítő kitettségek kockázatának, potenciális veszteségeinek fedezetét alapvetően az értékvesztés jelenti</w:t>
      </w:r>
      <w:r w:rsidRPr="008A1E7F">
        <w:rPr>
          <w:rFonts w:asciiTheme="minorHAnsi" w:hAnsiTheme="minorHAnsi"/>
        </w:rPr>
        <w:t>,</w:t>
      </w:r>
      <w:r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várt veszteség is keletkezhet.</w:t>
      </w:r>
    </w:p>
    <w:p w14:paraId="7FFFE9C7" w14:textId="77777777" w:rsidR="008A78E3" w:rsidRPr="006A6890" w:rsidRDefault="008A78E3" w:rsidP="009D65E3">
      <w:pPr>
        <w:rPr>
          <w:rFonts w:asciiTheme="minorHAnsi" w:hAnsiTheme="minorHAnsi"/>
        </w:rPr>
      </w:pPr>
      <w:r w:rsidRPr="006A6890">
        <w:rPr>
          <w:rFonts w:asciiTheme="minorHAnsi" w:hAnsiTheme="minorHAnsi"/>
        </w:rPr>
        <w:t>Az MNB a felülvizsgálat keretében elvárja, hogy az intézmények a 2. pillérben felmérjék a nemteljesítő kitettségek kockázatát, melynek során egyrészt a várható veszteségek vonatkozásában demonstrálják a megképzett értékvesztés elégséges mértékét, másrészt a várható veszteségeken felül fennálló nem várt veszteségekre megfelelő szintű tőkekövetelményt számítanak. Ennek érdekében a veszteségráta becsléséről szóló fejezetben elmondottaknak megfelelően az intézménynek megbízható ELBE illetve LGD becslést kell kidolgozniuk a nemteljesítő portfóliókon.</w:t>
      </w:r>
    </w:p>
    <w:p w14:paraId="7FFFE9C8" w14:textId="77777777" w:rsidR="008A78E3" w:rsidRPr="006A6890" w:rsidRDefault="008A78E3" w:rsidP="009D65E3">
      <w:pPr>
        <w:rPr>
          <w:rFonts w:asciiTheme="minorHAnsi" w:hAnsiTheme="minorHAnsi"/>
        </w:rPr>
      </w:pPr>
      <w:r w:rsidRPr="006A6890">
        <w:rPr>
          <w:rFonts w:asciiTheme="minorHAnsi" w:hAnsiTheme="minorHAnsi"/>
        </w:rPr>
        <w:t>Az MNB eddigi tapasztalatai szerint az intézmények nagyobb hányada nem rendelkezett megfelelő ELBE ill. LGD-becsléssel a nemteljesítő kitettségekre. Megbízható paraméterek hiányában az MNB az értékvesztést tekinti ELBE (várható veszteség) becslésnek,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meghaladó értékvesztést eredményező értékvesztési módszertannal rendelkezik. Az igazolható értékvesztés-többlet esetén is mérlegelés tárgyát képezi, hogy egy adott nemteljesítő kitettségen keletkező többlet valóban felhasználható-e a jövőben más kockázatok fedezésére.</w:t>
      </w:r>
    </w:p>
    <w:p w14:paraId="7FFFE9C9" w14:textId="77777777" w:rsidR="008A78E3" w:rsidRPr="006A6890" w:rsidRDefault="008A78E3" w:rsidP="009D65E3">
      <w:pPr>
        <w:rPr>
          <w:rFonts w:asciiTheme="minorHAnsi" w:hAnsiTheme="minorHAnsi"/>
        </w:rPr>
      </w:pPr>
      <w:r w:rsidRPr="006A6890">
        <w:rPr>
          <w:rFonts w:asciiTheme="minorHAnsi" w:hAnsiTheme="minorHAnsi"/>
        </w:rPr>
        <w:t>Az IRB-t alkalmazó intézmények a tőkekövetelmény-számítás során is elkülönítik a várható és nem várt veszteségeket: míg a nem várt veszteségekre tőkét képeznek, addig a várható veszteség és értékvesztés különbségeként számított ún. IRB-shortfallt a szavatoló tőkében veszik figyelembe. Mivel az 1. és 2. pilléres szavatoló tőke értéke meg kell, hogy egyezzen, ezért az 1. pillérben IRB-t alkalmazó intézmények esetében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7FFFE9CA" w14:textId="77777777" w:rsidR="008A78E3" w:rsidRPr="006A6890" w:rsidRDefault="008A78E3" w:rsidP="009D65E3">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 (AIRB)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7FFFE9CB" w14:textId="77777777" w:rsidR="008A78E3" w:rsidRPr="006A6890" w:rsidRDefault="008A78E3" w:rsidP="009D65E3">
      <w:pPr>
        <w:rPr>
          <w:rFonts w:asciiTheme="minorHAnsi" w:hAnsiTheme="minorHAnsi"/>
        </w:rPr>
      </w:pPr>
      <w:r w:rsidRPr="006A6890">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szabályozói LGD a portfóliószegmens, homogén kockázatú ügyfelek csoportjának kockázati profiljától (pl. fedezettség) függően elegendő vagy nem a kockázatok fedezésére. Az MNB tapasztalatai alapján elmondható, hogy bizonyos nem lakossági szegmenseken a szabályozói LGD-k nem fedik le megfelelően a nemteljesítő kitettségek kockázatát, és az értékvesztés is magasabb, mint a kb. 45%-os szinten megállapított szabályozói érték.  Megbízható LGD-becslés hiányában az MNB az ELBE értékének a megképzett értékvesztés összegét tekinti, míg az afeletti nem várt veszteség mértékét a sztenderd tőkekövetelmény analógiájára a nettó kitettség</w:t>
      </w:r>
      <w:r>
        <w:rPr>
          <w:rFonts w:asciiTheme="minorHAnsi" w:hAnsiTheme="minorHAnsi"/>
        </w:rPr>
        <w:t xml:space="preserve"> legalább</w:t>
      </w:r>
      <w:r w:rsidRPr="006A6890">
        <w:rPr>
          <w:rFonts w:asciiTheme="minorHAnsi" w:hAnsiTheme="minorHAnsi"/>
        </w:rPr>
        <w:t xml:space="preserve"> 8 (SL esetén 12) százalékában határozza meg.</w:t>
      </w:r>
    </w:p>
    <w:p w14:paraId="7FFFE9CC" w14:textId="77777777" w:rsidR="008A78E3" w:rsidRDefault="008A78E3" w:rsidP="009D65E3">
      <w:pPr>
        <w:rPr>
          <w:rFonts w:asciiTheme="minorHAnsi" w:hAnsiTheme="minorHAnsi"/>
        </w:rPr>
      </w:pPr>
      <w:r w:rsidRPr="006A6890">
        <w:rPr>
          <w:rFonts w:asciiTheme="minorHAnsi" w:hAnsiTheme="minorHAnsi"/>
        </w:rPr>
        <w:t xml:space="preserve">Teljesítő kitettségeknél természetes módon – általában dekonjunkturális helyzetben, magas default- és veszteségráták esetén – alakulhat ki értékvesztés-többlet a hosszútávú átlagos default-rátából számított PD és a downturn LGD szorzataként adódó várható veszteséghez képest. Ekkor, megbízható PD- és LGD-becslés esetén az MNB elfogadja, hogy a megképzett értékvesztés a várható veszteségen felül a nem várt veszteségek egy részére is fedezetet nyújt. </w:t>
      </w:r>
      <w:bookmarkStart w:id="799" w:name="_Hlk163203797"/>
      <w:r>
        <w:rPr>
          <w:rFonts w:asciiTheme="minorHAnsi" w:hAnsiTheme="minorHAnsi"/>
        </w:rPr>
        <w:t xml:space="preserve"> </w:t>
      </w:r>
      <w:r w:rsidRPr="006E20F1">
        <w:rPr>
          <w:rFonts w:asciiTheme="minorHAnsi" w:hAnsiTheme="minorHAnsi"/>
        </w:rPr>
        <w:t>A 2. pilléres IRB shortfall (excess) számszerűsítése az 1. pillérben STA és IRB bankok között érdemben nem tér el. Az 1. pillérben IRB bankok a shortfall vagy excess szavatoló tőkében már figyelembe vett értékével nettózzák a 2. pilléres kalkulációt, és e nettó hatást emelik be a 2. pillérbe add-onként.</w:t>
      </w:r>
    </w:p>
    <w:bookmarkEnd w:id="799"/>
    <w:p w14:paraId="7FFFE9CD" w14:textId="77777777" w:rsidR="008A78E3" w:rsidRPr="006A6890" w:rsidRDefault="008A78E3" w:rsidP="009D65E3">
      <w:pPr>
        <w:rPr>
          <w:rFonts w:asciiTheme="minorHAnsi" w:hAnsiTheme="minorHAnsi"/>
        </w:rPr>
      </w:pPr>
      <w:r w:rsidRPr="006A6890">
        <w:rPr>
          <w:rFonts w:asciiTheme="minorHAnsi" w:hAnsiTheme="minorHAnsi"/>
        </w:rPr>
        <w:t xml:space="preserve">Alacsony default- és veszteségrátájú konjunkturális környezetben jellemzően nem indokolt a PD és LGD szorzatával jellemzett várható veszteségen felüli értékvesztést képezni, azonban, ha mégis ez a helyzet áll fenn, abban az esetben az MNB az ICAAP felülvizsgálat során ellenőrzi a többlet értékvesztés képzés okait, várható-e a többlet tartós fennmaradása, a többletet mennyiben indokolják a tőkekövetelmény számítási és értékvesztés képzési szabályozások eltérései. A többletek figyelembevétele más szegmensek IRB shortfall értékébe csak akkor lehetséges, ha e többletek tartósan fennállnak, és képzésük szabályozási eltérésekből adódnak.   </w:t>
      </w:r>
    </w:p>
    <w:p w14:paraId="7FFFE9CE" w14:textId="77777777" w:rsidR="008A78E3" w:rsidRPr="006A6890" w:rsidRDefault="008A78E3" w:rsidP="00181755">
      <w:pPr>
        <w:pStyle w:val="Cmsor4"/>
        <w:rPr>
          <w:rFonts w:asciiTheme="minorHAnsi" w:hAnsiTheme="minorHAnsi"/>
        </w:rPr>
      </w:pPr>
      <w:bookmarkStart w:id="800" w:name="_Részesedések_és_ingatlanbefektetése"/>
      <w:bookmarkStart w:id="801" w:name="_Toc378592170"/>
      <w:bookmarkStart w:id="802" w:name="_Toc461095210"/>
      <w:bookmarkStart w:id="803" w:name="_Toc461179866"/>
      <w:bookmarkStart w:id="804" w:name="_Toc461201309"/>
      <w:bookmarkStart w:id="805" w:name="_Toc461547952"/>
      <w:bookmarkStart w:id="806" w:name="_Toc462401990"/>
      <w:bookmarkStart w:id="807" w:name="_Toc462403111"/>
      <w:bookmarkStart w:id="808" w:name="_Toc462403435"/>
      <w:bookmarkStart w:id="809" w:name="_Toc468180554"/>
      <w:bookmarkStart w:id="810" w:name="_Toc468181063"/>
      <w:bookmarkStart w:id="811" w:name="_Toc468191449"/>
      <w:bookmarkStart w:id="812" w:name="_Toc45119963"/>
      <w:bookmarkStart w:id="813" w:name="_Toc58512246"/>
      <w:bookmarkStart w:id="814" w:name="_Toc158036667"/>
      <w:bookmarkEnd w:id="800"/>
      <w:r w:rsidRPr="006A6890">
        <w:rPr>
          <w:rFonts w:asciiTheme="minorHAnsi" w:hAnsiTheme="minorHAnsi"/>
        </w:rPr>
        <w:t xml:space="preserve">Részesedések </w:t>
      </w:r>
      <w:bookmarkEnd w:id="801"/>
      <w:r w:rsidRPr="006A6890">
        <w:rPr>
          <w:rFonts w:asciiTheme="minorHAnsi" w:hAnsiTheme="minorHAnsi"/>
        </w:rPr>
        <w:t>(Részvényjellegű kitettségek)</w:t>
      </w:r>
      <w:bookmarkEnd w:id="802"/>
      <w:bookmarkEnd w:id="803"/>
      <w:bookmarkEnd w:id="804"/>
      <w:bookmarkEnd w:id="805"/>
      <w:bookmarkEnd w:id="806"/>
      <w:bookmarkEnd w:id="807"/>
      <w:bookmarkEnd w:id="808"/>
      <w:bookmarkEnd w:id="809"/>
      <w:bookmarkEnd w:id="810"/>
      <w:bookmarkEnd w:id="811"/>
      <w:bookmarkEnd w:id="812"/>
      <w:bookmarkEnd w:id="813"/>
      <w:bookmarkEnd w:id="814"/>
    </w:p>
    <w:p w14:paraId="7FFFE9CF" w14:textId="77777777" w:rsidR="008A78E3" w:rsidRPr="006A6890" w:rsidRDefault="008A78E3" w:rsidP="009D65E3">
      <w:pPr>
        <w:rPr>
          <w:rFonts w:asciiTheme="minorHAnsi" w:hAnsiTheme="minorHAnsi"/>
        </w:rPr>
      </w:pPr>
      <w:r w:rsidRPr="006A6890">
        <w:rPr>
          <w:rFonts w:asciiTheme="minorHAnsi" w:hAnsiTheme="minorHAnsi"/>
        </w:rPr>
        <w:t xml:space="preserve">A kockázatok teljeskörű számbavétele megköveteli a részesedések kockázatának felmérését is. Ennek keretében az intézménynek meg kell vizsgálnia az összevont felügyelet alá bevont leányvállalatainak és a be nem vont részesedéseinek kockázatait. </w:t>
      </w:r>
    </w:p>
    <w:p w14:paraId="7FFFE9D0" w14:textId="77777777" w:rsidR="008A78E3" w:rsidRPr="006A6890" w:rsidRDefault="008A78E3"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Pr>
          <w:rFonts w:asciiTheme="minorHAnsi" w:hAnsiTheme="minorHAnsi"/>
          <w:vertAlign w:val="superscript"/>
        </w:rPr>
        <w:footnoteReference w:id="44"/>
      </w:r>
      <w:r w:rsidRPr="00CE3686">
        <w:rPr>
          <w:rFonts w:asciiTheme="minorHAnsi" w:hAnsiTheme="minorHAnsi"/>
          <w:vertAlign w:val="superscript"/>
        </w:rPr>
        <w:t>.</w:t>
      </w:r>
      <w:r w:rsidRPr="006A6890">
        <w:rPr>
          <w:rFonts w:asciiTheme="minorHAnsi" w:hAnsiTheme="minorHAnsi"/>
        </w:rPr>
        <w:t xml:space="preserve"> </w:t>
      </w:r>
    </w:p>
    <w:p w14:paraId="7FFFE9D1" w14:textId="77777777" w:rsidR="008A78E3" w:rsidRPr="006A6890" w:rsidRDefault="008A78E3" w:rsidP="009D65E3">
      <w:pPr>
        <w:rPr>
          <w:rFonts w:asciiTheme="minorHAnsi" w:hAnsiTheme="minorHAnsi"/>
        </w:rPr>
      </w:pPr>
      <w:r w:rsidRPr="006A6890">
        <w:rPr>
          <w:rFonts w:asciiTheme="minorHAnsi" w:hAnsiTheme="minorHAnsi"/>
        </w:rPr>
        <w:t>Az ICAAP felülvizsgálat keretében az intézménynek be kell mutatnia az 1. és 2. pilléres kockázatkezelés és tőkeszámítás közötti különbségeket. Az összevont felügyeleti körbe tartozó entitások eszközeit az intézményeknek be kell sorolnia az alkalmazott módszertannak megfelelő kitettségi kategóriákba, és az adott kitettségi osztálynak megfelelő kockázati mértéket kell alkalmaznia. A részesedések kockázati súlyozását az összevont felügyeleti körbe nem tartozó entitásokban birtokolt befektetésekre kell meghatározni.</w:t>
      </w:r>
    </w:p>
    <w:p w14:paraId="7FFFE9D2" w14:textId="77777777" w:rsidR="008A78E3" w:rsidRPr="006A6890" w:rsidRDefault="008A78E3" w:rsidP="009D65E3">
      <w:pPr>
        <w:rPr>
          <w:rFonts w:asciiTheme="minorHAnsi" w:hAnsiTheme="minorHAnsi"/>
        </w:rPr>
      </w:pPr>
      <w:bookmarkStart w:id="815" w:name="_Toc378592171"/>
      <w:r w:rsidRPr="006A6890">
        <w:rPr>
          <w:rFonts w:asciiTheme="minorHAnsi" w:hAnsiTheme="minorHAnsi"/>
        </w:rPr>
        <w:t>Az MNB az ICAAP felülvizsgálatok keretében információt vár el a következőkről:</w:t>
      </w:r>
    </w:p>
    <w:p w14:paraId="7FFFE9D3" w14:textId="77777777" w:rsidR="008A78E3" w:rsidRPr="006A6890" w:rsidRDefault="008A78E3"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teljeskörű lista azon entitásokról, amelyekben</w:t>
      </w:r>
      <w:r w:rsidRPr="006A6890">
        <w:rPr>
          <w:rFonts w:asciiTheme="minorHAnsi" w:hAnsiTheme="minorHAnsi"/>
          <w:color w:val="000000"/>
          <w:sz w:val="22"/>
        </w:rPr>
        <w:t xml:space="preserve"> az intézmény </w:t>
      </w:r>
      <w:r w:rsidRPr="006A6890">
        <w:rPr>
          <w:rFonts w:asciiTheme="minorHAnsi" w:hAnsiTheme="minorHAnsi"/>
          <w:color w:val="000000"/>
          <w:sz w:val="22"/>
          <w:szCs w:val="22"/>
        </w:rPr>
        <w:t xml:space="preserve">közvetlen, közvetett vagy szintetikus részesedéssel </w:t>
      </w:r>
      <w:r w:rsidRPr="006A6890">
        <w:rPr>
          <w:rFonts w:asciiTheme="minorHAnsi" w:hAnsiTheme="minorHAnsi"/>
          <w:color w:val="000000"/>
          <w:sz w:val="22"/>
        </w:rPr>
        <w:t>rendelkezik</w:t>
      </w:r>
      <w:r w:rsidRPr="006A6890">
        <w:rPr>
          <w:rFonts w:asciiTheme="minorHAnsi" w:hAnsiTheme="minorHAnsi"/>
          <w:color w:val="000000"/>
          <w:sz w:val="22"/>
          <w:szCs w:val="22"/>
        </w:rPr>
        <w:t>, meghatározva a birtokolt részesedés mértékét, típusát (pl.: pénzügyi ágazatbeli szervezetben lévő jelentős, nem jelentős), a részesedés bruttó értékét és</w:t>
      </w:r>
      <w:r w:rsidRPr="006A6890">
        <w:rPr>
          <w:rFonts w:asciiTheme="minorHAnsi" w:hAnsiTheme="minorHAnsi"/>
          <w:color w:val="000000"/>
          <w:sz w:val="22"/>
        </w:rPr>
        <w:t xml:space="preserve"> az </w:t>
      </w:r>
      <w:r w:rsidRPr="006A6890">
        <w:rPr>
          <w:rFonts w:asciiTheme="minorHAnsi" w:hAnsiTheme="minorHAnsi"/>
          <w:color w:val="000000"/>
          <w:sz w:val="22"/>
          <w:szCs w:val="22"/>
        </w:rPr>
        <w:t>azon elszámolt értékvesztés nagyságát, 1. és 2. pilléres kockázati súlyozását,</w:t>
      </w:r>
    </w:p>
    <w:p w14:paraId="7FFFE9D4" w14:textId="77777777" w:rsidR="008A78E3" w:rsidRPr="006A6890" w:rsidRDefault="008A78E3"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A lista egészüljön ki azon hitelnyújtások adataival is, amelyet az intézmény valamely részesedés megvásárlása céljából nyújtott,</w:t>
      </w:r>
    </w:p>
    <w:p w14:paraId="7FFFE9D5" w14:textId="77777777" w:rsidR="008A78E3" w:rsidRPr="00E05539" w:rsidRDefault="008A78E3"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 xml:space="preserve">az entitások tevékenységi profiljáról, </w:t>
      </w:r>
    </w:p>
    <w:p w14:paraId="7FFFE9D6" w14:textId="77777777" w:rsidR="008A78E3" w:rsidRPr="00CD1B46" w:rsidRDefault="008A78E3" w:rsidP="00CD1B46">
      <w:pPr>
        <w:pStyle w:val="Listaszerbekezds"/>
        <w:numPr>
          <w:ilvl w:val="0"/>
          <w:numId w:val="53"/>
        </w:numPr>
        <w:rPr>
          <w:rFonts w:asciiTheme="minorHAnsi" w:hAnsiTheme="minorHAnsi"/>
          <w:color w:val="000000"/>
          <w:sz w:val="22"/>
          <w:szCs w:val="22"/>
        </w:rPr>
      </w:pPr>
      <w:r w:rsidRPr="00CD1B46">
        <w:rPr>
          <w:rFonts w:asciiTheme="minorHAnsi" w:hAnsiTheme="minorHAnsi"/>
          <w:color w:val="000000"/>
          <w:sz w:val="22"/>
          <w:szCs w:val="22"/>
        </w:rPr>
        <w:t>az entitások által birtokolt eszközök jellegéről (különösen immateriális javak, ingatlanok)</w:t>
      </w:r>
    </w:p>
    <w:p w14:paraId="7FFFE9D7" w14:textId="77777777" w:rsidR="008A78E3" w:rsidRPr="006A6890" w:rsidRDefault="008A78E3"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a részesedéseket érintő változásokról (a vizsgált időszakban),</w:t>
      </w:r>
    </w:p>
    <w:p w14:paraId="7FFFE9D8" w14:textId="77777777" w:rsidR="008A78E3" w:rsidRPr="006A6890" w:rsidRDefault="008A78E3"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kérésre az intézménynek be kell mutatnia,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várhatóak-e az adott entitással kapcsolatban változások (részesedés értékesítése, az entitás végelszámolása, feltőkésítése stb).</w:t>
      </w:r>
    </w:p>
    <w:p w14:paraId="7FFFE9D9" w14:textId="77777777" w:rsidR="008A78E3" w:rsidRPr="006A6890" w:rsidRDefault="008A78E3" w:rsidP="009D65E3">
      <w:pPr>
        <w:rPr>
          <w:rFonts w:asciiTheme="minorHAnsi" w:hAnsiTheme="minorHAnsi"/>
        </w:rPr>
      </w:pPr>
      <w:r w:rsidRPr="006A6890">
        <w:rPr>
          <w:rFonts w:asciiTheme="minorHAnsi" w:hAnsiTheme="minorHAnsi"/>
        </w:rPr>
        <w:t>Az MNB a magyar intézmények esetében a részesedések kockázatát nem tekinti lényeges kockázatnak, így nem vár el az 1. pilléres módszertantól eltérő 2. pilléres értékelési módszertant. Amennyiben azonban az összevont felügyeleti körbe nem tartozó entitásokban meglévő részesedések kockázata magasabb (amit jelezhet az, ha a részesedésként kimutatott kitettségek összege a mérlegfőösszeg arányában magasabb, vagy a részesedéseken a múltban jelentős értékvesztés került elszámolásra, vagy a részesedésekhez kapcsolódó üzleti vagy cégértéken az intézmény értékvesztés elszámolást hajtott végre), úgy az intézménytől az MNB elvárja, hogy ICAAP alatt saját belső tőkekövetelmény-számítási módszertant alkalmazzon:</w:t>
      </w:r>
    </w:p>
    <w:p w14:paraId="7FFFE9DA" w14:textId="77777777" w:rsidR="008A78E3" w:rsidRPr="006A6890" w:rsidRDefault="008A78E3" w:rsidP="00CD1B46">
      <w:pPr>
        <w:pStyle w:val="Listaszerbekezds"/>
        <w:numPr>
          <w:ilvl w:val="0"/>
          <w:numId w:val="18"/>
        </w:numPr>
        <w:rPr>
          <w:rFonts w:asciiTheme="minorHAnsi" w:hAnsiTheme="minorHAnsi"/>
        </w:rPr>
      </w:pPr>
      <w:r w:rsidRPr="006A6890">
        <w:rPr>
          <w:rFonts w:asciiTheme="minorHAnsi" w:hAnsiTheme="minorHAnsi"/>
          <w:sz w:val="22"/>
        </w:rPr>
        <w:t>a szabályozói kategorizáláson túl az intézmény végezzen kockázat alapú szegmentációt, elsősorban a nem pénzügyi intézmények esetében,</w:t>
      </w:r>
    </w:p>
    <w:p w14:paraId="7FFFE9DB" w14:textId="77777777" w:rsidR="008A78E3" w:rsidRPr="006A6890" w:rsidRDefault="008A78E3" w:rsidP="00CD1B46">
      <w:pPr>
        <w:pStyle w:val="Listaszerbekezds"/>
        <w:numPr>
          <w:ilvl w:val="0"/>
          <w:numId w:val="18"/>
        </w:numPr>
        <w:rPr>
          <w:rFonts w:asciiTheme="minorHAnsi" w:hAnsiTheme="minorHAnsi"/>
        </w:rPr>
      </w:pPr>
      <w:r w:rsidRPr="006A6890">
        <w:rPr>
          <w:rFonts w:asciiTheme="minorHAnsi" w:hAnsiTheme="minorHAnsi"/>
          <w:sz w:val="22"/>
        </w:rPr>
        <w:t>különítse el az ingatlanpiaci részesedéseket,</w:t>
      </w:r>
    </w:p>
    <w:p w14:paraId="7FFFE9DC" w14:textId="77777777" w:rsidR="008A78E3" w:rsidRPr="006A6890" w:rsidRDefault="008A78E3" w:rsidP="00CD1B46">
      <w:pPr>
        <w:pStyle w:val="Listaszerbekezds"/>
        <w:numPr>
          <w:ilvl w:val="0"/>
          <w:numId w:val="18"/>
        </w:numPr>
        <w:spacing w:after="240"/>
        <w:ind w:left="1423" w:hanging="357"/>
        <w:rPr>
          <w:rFonts w:asciiTheme="minorHAnsi" w:hAnsiTheme="minorHAnsi"/>
        </w:rPr>
      </w:pPr>
      <w:r w:rsidRPr="006A6890">
        <w:rPr>
          <w:rFonts w:asciiTheme="minorHAnsi" w:hAnsiTheme="minorHAnsi"/>
          <w:sz w:val="22"/>
        </w:rPr>
        <w:t>megfelelő és prudens módon kezelje a felmerülő kockázatokat, illetve számszerűsítse a tőkekövetelmény mértékét.</w:t>
      </w:r>
    </w:p>
    <w:p w14:paraId="7FFFE9DD" w14:textId="77777777" w:rsidR="008A78E3" w:rsidRPr="006A6890" w:rsidRDefault="008A78E3"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7FFFE9DE" w14:textId="77777777" w:rsidR="008A78E3" w:rsidRPr="006A6890" w:rsidRDefault="008A78E3"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 xml:space="preserve">olyan részesedések, ahol a birtokolt entitás mérlegének eszközoldalát döntően jövedelemtermelő vagy értékesítendő ingatlanvagyon teszi ki, </w:t>
      </w:r>
    </w:p>
    <w:p w14:paraId="7FFFE9DF" w14:textId="77777777" w:rsidR="008A78E3" w:rsidRPr="006A6890" w:rsidRDefault="008A78E3"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a részesedésszerzés egy, az intézmény által hitelezett és problémássá váló vállalkozásban történik.</w:t>
      </w:r>
    </w:p>
    <w:p w14:paraId="7FFFE9E0" w14:textId="77777777" w:rsidR="008A78E3" w:rsidRPr="00E05539" w:rsidRDefault="008A78E3"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a részesedésszerzés egy olyan társaságban történt, amelynek nincs értékelhető pénzügyi múltja, a jövedelemtermelő képessége nehezen mérhető fel.</w:t>
      </w:r>
    </w:p>
    <w:p w14:paraId="7FFFE9E1" w14:textId="77777777" w:rsidR="008A78E3" w:rsidRPr="006A6890" w:rsidRDefault="008A78E3" w:rsidP="00CD1B46">
      <w:pPr>
        <w:pStyle w:val="Listaszerbekezds"/>
        <w:numPr>
          <w:ilvl w:val="0"/>
          <w:numId w:val="51"/>
        </w:numPr>
        <w:rPr>
          <w:rFonts w:asciiTheme="minorHAnsi" w:hAnsiTheme="minorHAnsi"/>
        </w:rPr>
      </w:pPr>
      <w:r>
        <w:rPr>
          <w:rFonts w:asciiTheme="minorHAnsi" w:hAnsiTheme="minorHAnsi"/>
          <w:color w:val="000000"/>
          <w:sz w:val="22"/>
          <w:szCs w:val="22"/>
        </w:rPr>
        <w:t>a részesedésszerzés az intézmény alaptevékenységéhez szorosan nem kapcsolódó vállalkozásban, magasabb kockázatvállalás mellett, haszonszerzési célból történik.</w:t>
      </w:r>
    </w:p>
    <w:p w14:paraId="7FFFE9E2" w14:textId="77777777" w:rsidR="008A78E3" w:rsidRPr="006A6890" w:rsidRDefault="008A78E3" w:rsidP="009D65E3">
      <w:pPr>
        <w:rPr>
          <w:rFonts w:asciiTheme="minorHAnsi" w:hAnsiTheme="minorHAnsi"/>
        </w:rPr>
      </w:pPr>
      <w:r w:rsidRPr="006A6890">
        <w:rPr>
          <w:rFonts w:asciiTheme="minorHAnsi" w:hAnsiTheme="minorHAnsi"/>
        </w:rPr>
        <w:t>A megelőző pontban megadott, kockázatos részesedések esetén az MNB a CRR IRB-re vonatkozó kockázati súlyait tekinti irányadónak</w:t>
      </w:r>
    </w:p>
    <w:p w14:paraId="7FFFE9E3" w14:textId="77777777" w:rsidR="008A78E3" w:rsidRPr="006A6890" w:rsidRDefault="008A78E3" w:rsidP="00CD1B46">
      <w:pPr>
        <w:pStyle w:val="Listaszerbekezds"/>
        <w:numPr>
          <w:ilvl w:val="0"/>
          <w:numId w:val="52"/>
        </w:numPr>
        <w:rPr>
          <w:rFonts w:asciiTheme="minorHAnsi" w:hAnsiTheme="minorHAnsi"/>
        </w:rPr>
      </w:pPr>
      <w:r>
        <w:rPr>
          <w:rFonts w:asciiTheme="minorHAnsi" w:hAnsiTheme="minorHAnsi"/>
          <w:color w:val="000000"/>
          <w:sz w:val="22"/>
          <w:szCs w:val="22"/>
        </w:rPr>
        <w:t xml:space="preserve">általános szabály a </w:t>
      </w:r>
      <w:r w:rsidRPr="006A6890">
        <w:rPr>
          <w:rFonts w:asciiTheme="minorHAnsi" w:hAnsiTheme="minorHAnsi"/>
          <w:color w:val="000000"/>
          <w:sz w:val="22"/>
          <w:szCs w:val="22"/>
        </w:rPr>
        <w:t>CRR 155</w:t>
      </w:r>
      <w:r>
        <w:rPr>
          <w:rFonts w:asciiTheme="minorHAnsi" w:hAnsiTheme="minorHAnsi"/>
          <w:color w:val="000000"/>
          <w:sz w:val="22"/>
          <w:szCs w:val="22"/>
        </w:rPr>
        <w:t>. cikk</w:t>
      </w:r>
      <w:r w:rsidRPr="006A6890">
        <w:rPr>
          <w:rFonts w:asciiTheme="minorHAnsi" w:hAnsiTheme="minorHAnsi"/>
          <w:color w:val="000000"/>
          <w:sz w:val="22"/>
          <w:szCs w:val="22"/>
        </w:rPr>
        <w:t xml:space="preserve"> (2) </w:t>
      </w:r>
      <w:r>
        <w:rPr>
          <w:rFonts w:asciiTheme="minorHAnsi" w:hAnsiTheme="minorHAnsi"/>
          <w:color w:val="000000"/>
          <w:sz w:val="22"/>
          <w:szCs w:val="22"/>
        </w:rPr>
        <w:t xml:space="preserve">bekezdés </w:t>
      </w:r>
      <w:r w:rsidRPr="006A6890">
        <w:rPr>
          <w:rFonts w:asciiTheme="minorHAnsi" w:hAnsiTheme="minorHAnsi"/>
          <w:color w:val="000000"/>
          <w:sz w:val="22"/>
          <w:szCs w:val="22"/>
        </w:rPr>
        <w:t xml:space="preserve">szerinti 370%-os kockázati súlyozást, </w:t>
      </w:r>
    </w:p>
    <w:p w14:paraId="7FFFE9E4" w14:textId="77777777" w:rsidR="008A78E3" w:rsidRPr="006A6890" w:rsidRDefault="008A78E3" w:rsidP="00CD1B46">
      <w:pPr>
        <w:pStyle w:val="Listaszerbekezds"/>
        <w:numPr>
          <w:ilvl w:val="0"/>
          <w:numId w:val="52"/>
        </w:numPr>
        <w:rPr>
          <w:rFonts w:asciiTheme="minorHAnsi" w:hAnsiTheme="minorHAnsi"/>
          <w:color w:val="000000"/>
          <w:szCs w:val="22"/>
        </w:rPr>
      </w:pPr>
      <w:r w:rsidRPr="006A6890">
        <w:rPr>
          <w:rFonts w:asciiTheme="minorHAnsi" w:hAnsiTheme="minorHAnsi"/>
          <w:color w:val="000000"/>
          <w:sz w:val="22"/>
          <w:szCs w:val="22"/>
        </w:rPr>
        <w:t>a tőzsdén forgalmazott részvényekre és részesedést megtestesítő értékpapírokra (befektetési jegyekre</w:t>
      </w:r>
      <w:r w:rsidRPr="006A6890">
        <w:rPr>
          <w:rFonts w:asciiTheme="minorHAnsi" w:hAnsiTheme="minorHAnsi"/>
          <w:color w:val="000000"/>
          <w:szCs w:val="22"/>
        </w:rPr>
        <w:t xml:space="preserve">), </w:t>
      </w:r>
      <w:r w:rsidRPr="006A6890">
        <w:rPr>
          <w:rFonts w:asciiTheme="minorHAnsi" w:hAnsiTheme="minorHAnsi"/>
          <w:color w:val="000000"/>
          <w:sz w:val="22"/>
          <w:szCs w:val="22"/>
        </w:rPr>
        <w:t xml:space="preserve">továbbá jól diverzifikált portfólió befektetésekre vonatkozó </w:t>
      </w:r>
      <w:r w:rsidRPr="006A6890">
        <w:rPr>
          <w:rFonts w:asciiTheme="minorHAnsi" w:hAnsiTheme="minorHAnsi"/>
          <w:color w:val="000000"/>
          <w:szCs w:val="22"/>
        </w:rPr>
        <w:t xml:space="preserve">alacsonyabb </w:t>
      </w:r>
      <w:r w:rsidRPr="006A6890">
        <w:rPr>
          <w:rFonts w:asciiTheme="minorHAnsi" w:hAnsiTheme="minorHAnsi"/>
          <w:color w:val="000000"/>
          <w:sz w:val="22"/>
          <w:szCs w:val="22"/>
        </w:rPr>
        <w:t>kockázati súly, illetve várható veszteségérték érvényesítését csak abban az esetben fogadja el, ha a kitettség esetében a magas közkézhányad</w:t>
      </w:r>
      <w:r w:rsidRPr="006A6890">
        <w:rPr>
          <w:rFonts w:asciiTheme="minorHAnsi" w:hAnsiTheme="minorHAnsi"/>
          <w:color w:val="000000"/>
          <w:szCs w:val="22"/>
        </w:rPr>
        <w:t>,</w:t>
      </w:r>
      <w:r w:rsidRPr="006A6890">
        <w:rPr>
          <w:rFonts w:asciiTheme="minorHAnsi" w:hAnsiTheme="minorHAnsi"/>
          <w:color w:val="000000"/>
          <w:sz w:val="22"/>
          <w:szCs w:val="22"/>
        </w:rPr>
        <w:t xml:space="preserve"> a </w:t>
      </w:r>
      <w:r w:rsidRPr="006A6890">
        <w:rPr>
          <w:rFonts w:asciiTheme="minorHAnsi" w:hAnsiTheme="minorHAnsi"/>
          <w:color w:val="000000"/>
          <w:szCs w:val="22"/>
        </w:rPr>
        <w:t xml:space="preserve">kereskedési </w:t>
      </w:r>
      <w:r w:rsidRPr="006A6890">
        <w:rPr>
          <w:rFonts w:asciiTheme="minorHAnsi" w:hAnsiTheme="minorHAnsi"/>
          <w:color w:val="000000"/>
          <w:sz w:val="22"/>
          <w:szCs w:val="22"/>
        </w:rPr>
        <w:t>forgalom</w:t>
      </w:r>
      <w:r w:rsidRPr="006A6890">
        <w:rPr>
          <w:rFonts w:asciiTheme="minorHAnsi" w:hAnsiTheme="minorHAnsi"/>
          <w:color w:val="000000"/>
          <w:szCs w:val="22"/>
        </w:rPr>
        <w:t>, illetve a portfólió diverzifikáltsága</w:t>
      </w:r>
      <w:r w:rsidRPr="006A6890">
        <w:rPr>
          <w:rFonts w:asciiTheme="minorHAnsi" w:hAnsiTheme="minorHAnsi"/>
          <w:color w:val="000000"/>
          <w:sz w:val="22"/>
          <w:szCs w:val="22"/>
        </w:rPr>
        <w:t xml:space="preserve"> alátámasztja a kedvezményes súlyok alkalmazását</w:t>
      </w:r>
      <w:r w:rsidRPr="006A6890">
        <w:rPr>
          <w:rFonts w:asciiTheme="minorHAnsi" w:hAnsiTheme="minorHAnsi"/>
          <w:sz w:val="22"/>
          <w:szCs w:val="22"/>
        </w:rPr>
        <w:t>,</w:t>
      </w:r>
    </w:p>
    <w:p w14:paraId="7FFFE9E5" w14:textId="77777777" w:rsidR="008A78E3" w:rsidRPr="006A6890" w:rsidRDefault="008A78E3" w:rsidP="00CD1B46">
      <w:pPr>
        <w:pStyle w:val="Listaszerbekezds"/>
        <w:numPr>
          <w:ilvl w:val="0"/>
          <w:numId w:val="52"/>
        </w:numPr>
        <w:rPr>
          <w:rFonts w:asciiTheme="minorHAnsi" w:hAnsiTheme="minorHAnsi"/>
          <w:color w:val="000000"/>
          <w:szCs w:val="22"/>
        </w:rPr>
      </w:pPr>
      <w:r w:rsidRPr="006A6890">
        <w:rPr>
          <w:rFonts w:asciiTheme="minorHAnsi" w:hAnsiTheme="minorHAnsi"/>
          <w:color w:val="000000"/>
          <w:sz w:val="22"/>
          <w:szCs w:val="22"/>
        </w:rPr>
        <w:t xml:space="preserve">a PD/LGD módszer szerint kezelt részvényjellegű kitettségekre a CRR 165. cikk szerinti 90%-os LGD </w:t>
      </w:r>
      <w:r>
        <w:rPr>
          <w:rFonts w:asciiTheme="minorHAnsi" w:hAnsiTheme="minorHAnsi"/>
          <w:color w:val="000000"/>
          <w:sz w:val="22"/>
          <w:szCs w:val="22"/>
        </w:rPr>
        <w:t>és az 1,25%-os PD floor alkalmazását</w:t>
      </w:r>
    </w:p>
    <w:p w14:paraId="7FFFE9E6" w14:textId="77777777" w:rsidR="008A78E3" w:rsidRPr="006A6890" w:rsidRDefault="008A78E3" w:rsidP="009D65E3">
      <w:pPr>
        <w:rPr>
          <w:rFonts w:asciiTheme="minorHAnsi" w:hAnsiTheme="minorHAnsi"/>
        </w:rPr>
      </w:pPr>
      <w:r w:rsidRPr="006A6890">
        <w:rPr>
          <w:rFonts w:asciiTheme="minorHAnsi" w:hAnsiTheme="minorHAnsi"/>
        </w:rPr>
        <w:t>Amennyiben a részesedésszerzés célja a fedezeti ingatlan visszabirtoklása, úgy az ICAAP kockázati súlyozás nem eredményezhet kisebb tőkekövetelményt, mintha az intézmény a visszabirtokolt ingatlanokra az MNB által elvárt kockázati súlyozást alkalmazná.</w:t>
      </w:r>
    </w:p>
    <w:p w14:paraId="7FFFE9E7" w14:textId="77777777" w:rsidR="008A78E3" w:rsidRPr="006A6890" w:rsidRDefault="008A78E3" w:rsidP="00181755">
      <w:pPr>
        <w:pStyle w:val="Cmsor4"/>
        <w:rPr>
          <w:rFonts w:asciiTheme="minorHAnsi" w:hAnsiTheme="minorHAnsi"/>
        </w:rPr>
      </w:pPr>
      <w:bookmarkStart w:id="816" w:name="_Különleges_hitelezési_kitettségek"/>
      <w:bookmarkStart w:id="817" w:name="_Toc461095211"/>
      <w:bookmarkStart w:id="818" w:name="_Toc461179867"/>
      <w:bookmarkStart w:id="819" w:name="_Toc461201310"/>
      <w:bookmarkStart w:id="820" w:name="_Toc461547953"/>
      <w:bookmarkStart w:id="821" w:name="_Toc462401991"/>
      <w:bookmarkStart w:id="822" w:name="_Toc462403112"/>
      <w:bookmarkStart w:id="823" w:name="_Toc462403436"/>
      <w:bookmarkStart w:id="824" w:name="_Toc468180555"/>
      <w:bookmarkStart w:id="825" w:name="_Toc468181064"/>
      <w:bookmarkStart w:id="826" w:name="_Toc468191450"/>
      <w:bookmarkStart w:id="827" w:name="_Toc45119964"/>
      <w:bookmarkStart w:id="828" w:name="_Toc58512247"/>
      <w:bookmarkStart w:id="829" w:name="_Toc158036668"/>
      <w:bookmarkEnd w:id="816"/>
      <w:r w:rsidRPr="006A6890">
        <w:rPr>
          <w:rFonts w:asciiTheme="minorHAnsi" w:hAnsiTheme="minorHAnsi"/>
        </w:rPr>
        <w:t>Speciális hitelezési kitettségek</w:t>
      </w:r>
      <w:bookmarkEnd w:id="815"/>
      <w:bookmarkEnd w:id="817"/>
      <w:bookmarkEnd w:id="818"/>
      <w:bookmarkEnd w:id="819"/>
      <w:bookmarkEnd w:id="820"/>
      <w:bookmarkEnd w:id="821"/>
      <w:bookmarkEnd w:id="822"/>
      <w:bookmarkEnd w:id="823"/>
      <w:bookmarkEnd w:id="824"/>
      <w:bookmarkEnd w:id="825"/>
      <w:bookmarkEnd w:id="826"/>
      <w:bookmarkEnd w:id="827"/>
      <w:bookmarkEnd w:id="828"/>
      <w:bookmarkEnd w:id="829"/>
      <w:r w:rsidRPr="006A6890">
        <w:rPr>
          <w:rFonts w:asciiTheme="minorHAnsi" w:hAnsiTheme="minorHAnsi"/>
        </w:rPr>
        <w:t xml:space="preserve"> </w:t>
      </w:r>
    </w:p>
    <w:p w14:paraId="7FFFE9E8" w14:textId="77777777" w:rsidR="008A78E3" w:rsidRPr="006A6890" w:rsidRDefault="008A78E3" w:rsidP="009D65E3">
      <w:pPr>
        <w:rPr>
          <w:rFonts w:asciiTheme="minorHAnsi" w:hAnsiTheme="minorHAnsi"/>
        </w:rPr>
      </w:pPr>
      <w:r w:rsidRPr="006A6890">
        <w:rPr>
          <w:rFonts w:asciiTheme="minorHAnsi" w:hAnsiTheme="minorHAnsi"/>
        </w:rPr>
        <w:t>A magyar bankrendszer a legnagyobb veszteségeit speciális hitelezési kitettségek (SL), azon belül is a kereskedelmi ingatlanfinanszírozási projektek esetében szenvedte el. Ennek oka e portfóliók koncentrációjának kontrollálatlan felépülésében, és a gazdasági ciklusra mutatott érzékenységében keresendők. A projekt portfóliók sajátosságaira tekintettel az MNB különös gondosságot és tájékozottságot vár el az intézményektől a kockázatkezelés és -mérés különböző területein. Ennek megfelelően az intézményeknek</w:t>
      </w:r>
    </w:p>
    <w:p w14:paraId="7FFFE9E9" w14:textId="77777777" w:rsidR="008A78E3" w:rsidRPr="006A6890" w:rsidRDefault="008A78E3" w:rsidP="00181755">
      <w:pPr>
        <w:pStyle w:val="felsorolsos"/>
        <w:rPr>
          <w:rFonts w:asciiTheme="minorHAnsi" w:hAnsiTheme="minorHAnsi"/>
        </w:rPr>
      </w:pPr>
      <w:r w:rsidRPr="006A6890">
        <w:rPr>
          <w:rFonts w:asciiTheme="minorHAnsi" w:hAnsiTheme="minorHAnsi"/>
        </w:rPr>
        <w:t>a szegmentációs elveket és a default definíciót átgondoltan kell kialakítaniuk és következetesen alkalmazniuk,</w:t>
      </w:r>
    </w:p>
    <w:p w14:paraId="7FFFE9EA" w14:textId="77777777" w:rsidR="008A78E3" w:rsidRPr="006A6890" w:rsidRDefault="008A78E3" w:rsidP="00181755">
      <w:pPr>
        <w:pStyle w:val="felsorolsos"/>
        <w:rPr>
          <w:rFonts w:asciiTheme="minorHAnsi" w:hAnsiTheme="minorHAnsi"/>
        </w:rPr>
      </w:pPr>
      <w:r w:rsidRPr="006A6890">
        <w:rPr>
          <w:rFonts w:asciiTheme="minorHAnsi" w:hAnsiTheme="minorHAnsi"/>
        </w:rPr>
        <w:t>olyan projektértékelést és minősítő rendszert kell kialakítaniuk, mely figyelembe veszi az ilyen kitettségek speciális sajátosságait és kockázati jellemzőit, elsősorban a projekt jövedelemtermelő képességét jellemző pénzügyi erőt, az LTV-t, DSCR-t, és azok stressztűrő képességét, továbbá az eszköz egyéb jellemzőit, a politikai, jogi környezetet, szponzor erejét, PPP megállapodásból származó bevételeket, egyéb fedezeteket,</w:t>
      </w:r>
    </w:p>
    <w:p w14:paraId="7FFFE9EB" w14:textId="77777777" w:rsidR="008A78E3" w:rsidRPr="006A6890" w:rsidRDefault="008A78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 valamint az ügyfél kockázata és az eszköz (ingatlan) értéke közötti szoros korrelációt, azaz a PD és LGD együttmozgását is kezelniük kell,</w:t>
      </w:r>
    </w:p>
    <w:p w14:paraId="7FFFE9EC" w14:textId="77777777" w:rsidR="008A78E3" w:rsidRPr="006A6890" w:rsidRDefault="008A78E3" w:rsidP="00181755">
      <w:pPr>
        <w:pStyle w:val="felsorolsos"/>
        <w:rPr>
          <w:rFonts w:asciiTheme="minorHAnsi" w:hAnsiTheme="minorHAnsi"/>
        </w:rPr>
      </w:pPr>
      <w:r w:rsidRPr="006A6890">
        <w:rPr>
          <w:rFonts w:asciiTheme="minorHAnsi" w:hAnsiTheme="minorHAnsi"/>
        </w:rPr>
        <w:t>a nemteljesítő projektek esetében a projekt értékének, jövedelemtermelő képességének további nem várt romlására megfelelő mértékű tőkekövetelményt képezzenek.</w:t>
      </w:r>
    </w:p>
    <w:p w14:paraId="7FFFE9ED" w14:textId="77777777" w:rsidR="008A78E3" w:rsidRPr="006A6890" w:rsidRDefault="008A78E3" w:rsidP="009D65E3">
      <w:pPr>
        <w:rPr>
          <w:rFonts w:asciiTheme="minorHAnsi" w:hAnsiTheme="minorHAnsi"/>
        </w:rPr>
      </w:pPr>
      <w:r w:rsidRPr="006A6890">
        <w:rPr>
          <w:rFonts w:asciiTheme="minorHAnsi" w:hAnsiTheme="minorHAnsi"/>
        </w:rPr>
        <w:t>Az MNB elvárja az intézményektől a speciális hitelezési kitettségek egységes, a vállalatoktól elkülönített kezelését mind a szegmentáció, a rating, a paraméterbecslés, a tőkekövetelmény-számítás és mind a riportolás tekintetében. Az MNB elvárja továbbá, hogy az intézmények az MNB ajánlásával</w:t>
      </w:r>
      <w:r>
        <w:rPr>
          <w:rFonts w:asciiTheme="minorHAnsi" w:hAnsiTheme="minorHAnsi"/>
          <w:vertAlign w:val="superscript"/>
        </w:rPr>
        <w:footnoteReference w:id="45"/>
      </w:r>
      <w:r w:rsidRPr="006A6890">
        <w:rPr>
          <w:rFonts w:asciiTheme="minorHAnsi" w:hAnsiTheme="minorHAnsi"/>
        </w:rPr>
        <w:t xml:space="preserve"> összhangban járjanak el. </w:t>
      </w:r>
    </w:p>
    <w:p w14:paraId="7FFFE9EE" w14:textId="77777777" w:rsidR="008A78E3" w:rsidRPr="006A6890" w:rsidRDefault="008A78E3" w:rsidP="009D65E3">
      <w:pPr>
        <w:rPr>
          <w:rFonts w:asciiTheme="minorHAnsi" w:hAnsiTheme="minorHAnsi"/>
        </w:rPr>
      </w:pPr>
      <w:r w:rsidRPr="006A6890">
        <w:rPr>
          <w:rFonts w:asciiTheme="minorHAnsi" w:hAnsiTheme="minorHAnsi"/>
        </w:rPr>
        <w:t>A megfelelő kockázatmérés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balloon/bullet konstrukció, a törlesztési késedelem hiánya sokszor elfedi azt a tényt, hogy az ügyfél jövedelemtermelő képessége még a szponzor figyelembevételével sem elegendő a hitel visszafizetéséhez, mely a nemteljesítés (default) fogalmának jogszabályban meghatározott feltétele.</w:t>
      </w:r>
    </w:p>
    <w:p w14:paraId="7FFFE9EF" w14:textId="77777777" w:rsidR="008A78E3" w:rsidRPr="006A6890" w:rsidRDefault="008A78E3" w:rsidP="009D65E3">
      <w:pPr>
        <w:rPr>
          <w:rFonts w:asciiTheme="minorHAnsi" w:hAnsiTheme="minorHAnsi"/>
        </w:rPr>
      </w:pPr>
      <w:r w:rsidRPr="006A6890">
        <w:rPr>
          <w:rFonts w:asciiTheme="minorHAnsi" w:hAnsiTheme="minorHAnsi"/>
        </w:rPr>
        <w:t>Megfelelő default darabszám esetén elvárt a PD/LGD- (esetleg veszteségráta-) alapú kockázatmérés és tőkekövetelmény-számítás alkalmazása (arányossági elvek figyelembevételével). A belső tőkekövetelmény-számításhoz alkalmazott paraméterbecslés során az SL kitettségek speciális kockázati jellemzőiből fakadó számos probléma merült fel a felügyeleti felülvizsgálatok során és a tőkekövetelmény meghatározásakor, melynek kezelésére az intézményeknek a jövőben továbbra is kiemelt hangsúlyt kell fektetniük, az alábbiakat kiemelve:</w:t>
      </w:r>
    </w:p>
    <w:p w14:paraId="7FFFE9F0" w14:textId="77777777" w:rsidR="008A78E3" w:rsidRPr="006A6890" w:rsidRDefault="008A78E3" w:rsidP="00181755">
      <w:pPr>
        <w:pStyle w:val="felsorolsos"/>
        <w:rPr>
          <w:rFonts w:asciiTheme="minorHAnsi" w:hAnsiTheme="minorHAnsi"/>
        </w:rPr>
      </w:pPr>
      <w:r w:rsidRPr="006A6890">
        <w:rPr>
          <w:rFonts w:asciiTheme="minorHAnsi" w:hAnsiTheme="minorHAnsi"/>
        </w:rPr>
        <w:t>Az elemszámból fakadó becslési-statisztikai bizonytalanságok konzervatív pótlékkal történő kezelése.</w:t>
      </w:r>
    </w:p>
    <w:p w14:paraId="7FFFE9F1" w14:textId="77777777" w:rsidR="008A78E3" w:rsidRPr="006A6890" w:rsidRDefault="008A78E3" w:rsidP="00181755">
      <w:pPr>
        <w:pStyle w:val="felsorolsos"/>
        <w:rPr>
          <w:rFonts w:asciiTheme="minorHAnsi" w:hAnsiTheme="minorHAnsi"/>
        </w:rPr>
      </w:pPr>
      <w:r w:rsidRPr="006A6890">
        <w:rPr>
          <w:rFonts w:asciiTheme="minorHAnsi" w:hAnsiTheme="minorHAnsi"/>
        </w:rPr>
        <w:t>A PD-LGD korrelációjának a projekt hitelképességével összefüggő PD és a projektingatlan értékével összefüggő LGD közötti szoros korreláció kezelése.</w:t>
      </w:r>
    </w:p>
    <w:p w14:paraId="7FFFE9F2" w14:textId="77777777" w:rsidR="008A78E3" w:rsidRPr="006A6890" w:rsidRDefault="008A78E3" w:rsidP="00181755">
      <w:pPr>
        <w:pStyle w:val="felsorolsos"/>
        <w:rPr>
          <w:rFonts w:asciiTheme="minorHAnsi" w:hAnsiTheme="minorHAnsi"/>
        </w:rPr>
      </w:pPr>
      <w:r w:rsidRPr="006A6890">
        <w:rPr>
          <w:rFonts w:asciiTheme="minorHAnsi" w:hAnsiTheme="minorHAnsi"/>
        </w:rPr>
        <w:t>A projekt ingatlan értékének, jövedelemtermelő képességének ciklusokkal szembeni érzékenységével összefüggésben az LGD downturn értékének meghatározása.</w:t>
      </w:r>
    </w:p>
    <w:p w14:paraId="7FFFE9F3" w14:textId="77777777" w:rsidR="008A78E3" w:rsidRPr="006A6890" w:rsidRDefault="008A78E3" w:rsidP="00181755">
      <w:pPr>
        <w:pStyle w:val="felsorolsos"/>
        <w:rPr>
          <w:rFonts w:asciiTheme="minorHAnsi" w:hAnsiTheme="minorHAnsi"/>
        </w:rPr>
      </w:pPr>
      <w:r w:rsidRPr="006A6890">
        <w:rPr>
          <w:rFonts w:asciiTheme="minorHAnsi" w:hAnsiTheme="minorHAnsi"/>
        </w:rPr>
        <w:t>A teljes gazdasági ciklus szempontjából reprezentatív mintaidőszak kiválasztása, a downturn időszakok megfelelő súllyal történő figyelembevétele, tekintve azt is, hogy a kereskedelmi ingatlanfinanszírozás esetében a válság hatásai lényegesen tovább elhúzódhatnak, mint a rendes vállalati kitettségek esetében.</w:t>
      </w:r>
    </w:p>
    <w:p w14:paraId="7FFFE9F4" w14:textId="77777777" w:rsidR="008A78E3" w:rsidRPr="006A6890" w:rsidRDefault="008A78E3" w:rsidP="009D65E3">
      <w:pPr>
        <w:rPr>
          <w:rFonts w:asciiTheme="minorHAnsi" w:hAnsiTheme="minorHAnsi"/>
        </w:rPr>
      </w:pPr>
      <w:r w:rsidRPr="006A6890">
        <w:rPr>
          <w:rFonts w:asciiTheme="minorHAnsi" w:hAnsiTheme="minorHAnsi"/>
        </w:rPr>
        <w:t>Külön figyelmet érdemel a jövedelemtermelő ingatlanfinanszírozás szempontjából releváns ciklikusság kérdése. A finanszírozott ingatlanok értéke rendkívül volatilis lehet, a különböző piaci események hatására gyakran változhat az ügylet élettartama alatt. Az ügyfél kockázata és az ingatlan értéke közötti szoros korreláció miatt az éppen magas ingatlanárakból fakadó alacsony LTV-ből nem feltétlenül következik az alacsony veszteség-potenciál,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tőkekövetelmény prociklikusságát is, azaz a downturn időszakban megnő, konjunkturális időszakban lecsökken a tőkekövetelmény,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a PD fejezetben ismertetett TTC koncepció alapján kezelendő</w:t>
      </w:r>
      <w:r>
        <w:rPr>
          <w:rFonts w:asciiTheme="minorHAnsi" w:hAnsiTheme="minorHAnsi"/>
          <w:vertAlign w:val="superscript"/>
        </w:rPr>
        <w:footnoteReference w:id="46"/>
      </w:r>
      <w:r w:rsidRPr="00CE3686">
        <w:rPr>
          <w:rFonts w:asciiTheme="minorHAnsi" w:hAnsiTheme="minorHAnsi"/>
          <w:vertAlign w:val="superscript"/>
        </w:rPr>
        <w:t>.</w:t>
      </w:r>
      <w:r w:rsidRPr="006A6890">
        <w:rPr>
          <w:rFonts w:asciiTheme="minorHAnsi" w:hAnsiTheme="minorHAnsi"/>
        </w:rPr>
        <w:t xml:space="preserve">  </w:t>
      </w:r>
    </w:p>
    <w:p w14:paraId="7FFFE9F5" w14:textId="77777777" w:rsidR="008A78E3" w:rsidRPr="006A6890" w:rsidRDefault="008A78E3" w:rsidP="009D65E3">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 azonban ebben az esetben is elvárja a PD becslés kvantitatív alapú visszamérését és slotting kategóriákhoz történő kalibrációját.</w:t>
      </w:r>
    </w:p>
    <w:p w14:paraId="7FFFE9F6" w14:textId="77777777" w:rsidR="008A78E3" w:rsidRPr="006A6890" w:rsidRDefault="008A78E3" w:rsidP="009D65E3">
      <w:pPr>
        <w:rPr>
          <w:rFonts w:asciiTheme="minorHAnsi" w:hAnsiTheme="minorHAnsi"/>
        </w:rPr>
      </w:pPr>
      <w:r w:rsidRPr="006A6890">
        <w:rPr>
          <w:rFonts w:asciiTheme="minorHAnsi" w:hAnsiTheme="minorHAnsi"/>
        </w:rPr>
        <w:t>Az SL szegmensben a ciklikus minősítési változók ciklikusságának problémája kiemelten vizsgálandó. E szegmensben jellemzően a minősítő rendszer változói erősen korrelálnak a gazdasági változókkal, amelynek következtében a gazdaság változását követő migrációk miatt a tőkekövetelmény is ciklikus lesz. 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megoldást.  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FFFE9F7" w14:textId="77777777" w:rsidR="008A78E3" w:rsidRPr="006A6890" w:rsidRDefault="008A78E3" w:rsidP="009D65E3">
      <w:pPr>
        <w:rPr>
          <w:rFonts w:asciiTheme="minorHAnsi" w:hAnsiTheme="minorHAnsi"/>
        </w:rPr>
      </w:pPr>
      <w:r w:rsidRPr="006A6890">
        <w:rPr>
          <w:rFonts w:asciiTheme="minorHAnsi" w:hAnsiTheme="minorHAnsi"/>
        </w:rPr>
        <w:t>Gyakran előforduló probléma, hogy az intézmény arra alapozza tőkekövetelmény-számítási módszertanát, hogy a korábbi rossz minőségű projekt portfólió már nem reprezentatív a jelenlegi projekt portfólió szempontjából. Az MNB azonban elvárja, hogy az intézmény kvantitatív alapon igazolni tudja a portfólióminőség javulását. Az MNB meglátása szerint az újonnan folyósított projektek kedvezőbb kockázati profiljának alátámasztását egy, a fentebb részletezett szempontokat figyelembe vevő TTC szemléletű minősítő rendszer alkalmazása tudja biztosítani.</w:t>
      </w:r>
    </w:p>
    <w:p w14:paraId="7FFFE9F8" w14:textId="77777777" w:rsidR="008A78E3" w:rsidRPr="006A6890" w:rsidRDefault="008A78E3" w:rsidP="009D65E3">
      <w:pPr>
        <w:rPr>
          <w:rFonts w:asciiTheme="minorHAnsi" w:hAnsiTheme="minorHAnsi"/>
        </w:rPr>
      </w:pPr>
      <w:r w:rsidRPr="006A6890">
        <w:rPr>
          <w:rFonts w:asciiTheme="minorHAnsi" w:hAnsiTheme="minorHAnsi"/>
        </w:rPr>
        <w:t>Általánosan elmondható az is, hogy a nemteljesítő ingatlanfinanszírozási kitettségek esetében az intézmények nem jártak el kellően körültekintően a kockázatok felmérésekor, ugyanis a szükséges értékvesztést időben elnyújtva számolták el. 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Az MNB ezért továbbra is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az ingatlan, ingatlanok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 Ennek egy lehetséges megvalósítása a projektértékelés alapjául szolgáló cash-flow stresszelése lehet. Elvárás, hogy az intézmények mérjék fel az adott SL kitettség stressztűrő képességét, amelyet elsősorban a projekt cash-flow tervének stresszelésén keresztül, árfolyam-stressz, bérleti díj csökkenés vagy egyéb romló ingatlanpiaci tendenciák beépítésével vizsgálhatnak.</w:t>
      </w:r>
    </w:p>
    <w:p w14:paraId="7FFFE9F9" w14:textId="77777777" w:rsidR="008A78E3" w:rsidRPr="006A6890" w:rsidRDefault="008A78E3" w:rsidP="009D65E3">
      <w:pPr>
        <w:rPr>
          <w:rFonts w:asciiTheme="minorHAnsi" w:hAnsiTheme="minorHAnsi"/>
        </w:rPr>
      </w:pPr>
      <w:r w:rsidRPr="006A6890">
        <w:rPr>
          <w:rFonts w:asciiTheme="minorHAnsi" w:hAnsiTheme="minorHAnsi"/>
        </w:rPr>
        <w:t>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Az MNB tapasztalatai alapján elvárható, hogy az intézmények a nemteljesítő nettó SL kitettség legalább 12%-át elérő tőkekövetelményt képezzenek a belső tőkekövetelmény-számítás során, mely kifejezi a várható körülményekkel összhangban értékelt projektek értékének „nem várt” csökkenését. Az MNB a 12%-os benchmark szint megfelelőségét a gazdasági ciklustól függően felülvizsgálja majd, hiszen konjunktúra esetén a további értékcsökkenés lényegesen nagyobb lehet, mint downturn helyzetben</w:t>
      </w:r>
      <w:r>
        <w:rPr>
          <w:rFonts w:asciiTheme="minorHAnsi" w:hAnsiTheme="minorHAnsi"/>
          <w:vertAlign w:val="superscript"/>
        </w:rPr>
        <w:footnoteReference w:id="47"/>
      </w:r>
      <w:r w:rsidRPr="00CE3686">
        <w:rPr>
          <w:rFonts w:asciiTheme="minorHAnsi" w:hAnsiTheme="minorHAnsi"/>
          <w:vertAlign w:val="superscript"/>
        </w:rPr>
        <w:t>.</w:t>
      </w:r>
    </w:p>
    <w:p w14:paraId="7FFFE9FA" w14:textId="77777777" w:rsidR="008A78E3" w:rsidRPr="006A6890" w:rsidRDefault="008A78E3" w:rsidP="009D65E3">
      <w:pPr>
        <w:rPr>
          <w:rFonts w:asciiTheme="minorHAnsi" w:hAnsiTheme="minorHAnsi"/>
        </w:rPr>
      </w:pPr>
      <w:bookmarkStart w:id="831" w:name="_Mérlegen_kívüli_tételek"/>
      <w:bookmarkStart w:id="832" w:name="_Toc378592172"/>
      <w:bookmarkStart w:id="833" w:name="_Toc461095212"/>
      <w:bookmarkStart w:id="834" w:name="_Toc461179868"/>
      <w:bookmarkStart w:id="835" w:name="_Toc461201311"/>
      <w:bookmarkStart w:id="836" w:name="_Toc461547954"/>
      <w:bookmarkStart w:id="837" w:name="_Toc462401992"/>
      <w:bookmarkStart w:id="838" w:name="_Toc462403113"/>
      <w:bookmarkStart w:id="839" w:name="_Toc462403437"/>
      <w:bookmarkStart w:id="840" w:name="_Toc468180556"/>
      <w:bookmarkStart w:id="841" w:name="_Toc468181065"/>
      <w:bookmarkEnd w:id="831"/>
      <w:r w:rsidRPr="006A6890">
        <w:rPr>
          <w:rFonts w:asciiTheme="minorHAnsi" w:hAnsiTheme="minorHAnsi"/>
        </w:rPr>
        <w:t>Amennyiben a felügyelt intézmény ingatlanalapnak nyújt hitelt, e kitettségek tőkekövetelményének vizsgálatakor az MNB a kereskedelmi ingatlan projektek kockázati súlyait, mint benchmark értékeket figyelembe veszi.</w:t>
      </w:r>
    </w:p>
    <w:p w14:paraId="7FFFE9FB" w14:textId="77777777" w:rsidR="008A78E3" w:rsidRPr="006A6890" w:rsidRDefault="008A78E3" w:rsidP="000067C8">
      <w:pPr>
        <w:pStyle w:val="Cmsor4"/>
        <w:ind w:left="864"/>
        <w:rPr>
          <w:rFonts w:asciiTheme="minorHAnsi" w:hAnsiTheme="minorHAnsi"/>
        </w:rPr>
      </w:pPr>
      <w:bookmarkStart w:id="842" w:name="_Toc45119965"/>
      <w:bookmarkStart w:id="843" w:name="_Toc58512248"/>
      <w:bookmarkStart w:id="844" w:name="_Toc158036669"/>
      <w:r w:rsidRPr="006A6890">
        <w:rPr>
          <w:rFonts w:asciiTheme="minorHAnsi" w:hAnsiTheme="minorHAnsi"/>
        </w:rPr>
        <w:t>Ingatlanfinanszírozási projekt tőkekövetelmény és várható veszteség – felügy</w:t>
      </w:r>
      <w:r>
        <w:rPr>
          <w:rFonts w:asciiTheme="minorHAnsi" w:hAnsiTheme="minorHAnsi"/>
        </w:rPr>
        <w:t>e</w:t>
      </w:r>
      <w:r w:rsidRPr="006A6890">
        <w:rPr>
          <w:rFonts w:asciiTheme="minorHAnsi" w:hAnsiTheme="minorHAnsi"/>
        </w:rPr>
        <w:t>leti benchmark</w:t>
      </w:r>
      <w:bookmarkEnd w:id="842"/>
      <w:bookmarkEnd w:id="843"/>
      <w:bookmarkEnd w:id="844"/>
    </w:p>
    <w:p w14:paraId="7FFFE9FC" w14:textId="77777777" w:rsidR="008A78E3" w:rsidRPr="00C637AB" w:rsidRDefault="008A78E3"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2008-2009-es pénzügyi válság tapasztalatai alapján az MNB nem tartja megfelelőnek a sztenderd tőkekövetelmény mértékét az ingatlanfinanszírozási projekt ügyletek kockázatának megfelelő fedezésére. Megbízható </w:t>
      </w:r>
      <w:r>
        <w:rPr>
          <w:rFonts w:asciiTheme="minorHAnsi" w:hAnsiTheme="minorHAnsi"/>
        </w:rPr>
        <w:t xml:space="preserve">(széleskörű adatgyűjtésből származó) </w:t>
      </w:r>
      <w:r w:rsidRPr="00C637AB">
        <w:rPr>
          <w:rFonts w:asciiTheme="minorHAnsi" w:hAnsiTheme="minorHAnsi"/>
        </w:rPr>
        <w:t>adato</w:t>
      </w:r>
      <w:r>
        <w:rPr>
          <w:rFonts w:asciiTheme="minorHAnsi" w:hAnsiTheme="minorHAnsi"/>
        </w:rPr>
        <w:t>y</w:t>
      </w:r>
      <w:r w:rsidRPr="00C637AB">
        <w:rPr>
          <w:rFonts w:asciiTheme="minorHAnsi" w:hAnsiTheme="minorHAnsi"/>
        </w:rPr>
        <w:t>kon alapuló statisztikai modell hiányában ezen ügyletek kockázati súlyozását az MNB saját benchmark modellel határozza meg. A modellel célunk az azonosított kockázati faktorok szerinti</w:t>
      </w:r>
      <w:r>
        <w:rPr>
          <w:rFonts w:asciiTheme="minorHAnsi" w:hAnsiTheme="minorHAnsi"/>
        </w:rPr>
        <w:t xml:space="preserve"> portfóliók kockázatosságának felmérése</w:t>
      </w:r>
      <w:r w:rsidRPr="00C637AB">
        <w:rPr>
          <w:rFonts w:asciiTheme="minorHAnsi" w:hAnsiTheme="minorHAnsi"/>
        </w:rPr>
        <w:t xml:space="preserve">, az alkalmazott tőkekövetelmény szintek összemérhetővé tétele. </w:t>
      </w:r>
    </w:p>
    <w:p w14:paraId="7FFFE9FD" w14:textId="77777777" w:rsidR="008A78E3" w:rsidRPr="00C637AB" w:rsidRDefault="008A78E3" w:rsidP="000A567A">
      <w:pPr>
        <w:rPr>
          <w:rFonts w:asciiTheme="minorHAnsi" w:hAnsiTheme="minorHAnsi"/>
        </w:rPr>
      </w:pPr>
      <w:r w:rsidRPr="00C637AB">
        <w:rPr>
          <w:rFonts w:asciiTheme="minorHAnsi" w:hAnsiTheme="minorHAnsi"/>
        </w:rPr>
        <w:t>A</w:t>
      </w:r>
      <w:r>
        <w:rPr>
          <w:rFonts w:asciiTheme="minorHAnsi" w:hAnsiTheme="minorHAnsi"/>
        </w:rPr>
        <w:t>z MNB a</w:t>
      </w:r>
      <w:r w:rsidRPr="00C637AB">
        <w:rPr>
          <w:rFonts w:asciiTheme="minorHAnsi" w:hAnsiTheme="minorHAnsi"/>
        </w:rPr>
        <w:t xml:space="preserve"> szakértői modell PD</w:t>
      </w:r>
      <w:r>
        <w:rPr>
          <w:rFonts w:asciiTheme="minorHAnsi" w:hAnsiTheme="minorHAnsi"/>
        </w:rPr>
        <w:t>-jében</w:t>
      </w:r>
      <w:r w:rsidRPr="00C637AB">
        <w:rPr>
          <w:rFonts w:asciiTheme="minorHAnsi" w:hAnsiTheme="minorHAnsi"/>
        </w:rPr>
        <w:t xml:space="preserve"> a következő kockázati tényezőket veszi figyelembe:</w:t>
      </w:r>
    </w:p>
    <w:p w14:paraId="7FFFE9FE" w14:textId="77777777" w:rsidR="008A78E3" w:rsidRPr="00EC6B0B" w:rsidRDefault="008A78E3"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finanszírozott eszköz típusa (csökkenő kockázati sorrendben: telek, hotel, ipari ingatlan, retail, iroda és lakóprojekt).</w:t>
      </w:r>
    </w:p>
    <w:p w14:paraId="7FFFE9FF" w14:textId="77777777" w:rsidR="008A78E3" w:rsidRPr="00EC6B0B" w:rsidRDefault="008A78E3"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Fejlesztési fázis (fejlesztés alatti és működő projekt)</w:t>
      </w:r>
    </w:p>
    <w:p w14:paraId="7FFFEA00" w14:textId="77777777" w:rsidR="008A78E3" w:rsidRPr="00EC6B0B" w:rsidRDefault="008A78E3"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 xml:space="preserve">Működő projektek esetén a tény DSCR, melyet az utolsó tény </w:t>
      </w:r>
      <w:r>
        <w:rPr>
          <w:rFonts w:asciiTheme="minorHAnsi" w:hAnsiTheme="minorHAnsi"/>
          <w:sz w:val="22"/>
          <w:szCs w:val="22"/>
        </w:rPr>
        <w:t xml:space="preserve">adósságszolgálatra rendelkezésre álló jövedelem </w:t>
      </w:r>
      <w:r w:rsidRPr="00EC6B0B">
        <w:rPr>
          <w:rFonts w:asciiTheme="minorHAnsi" w:hAnsiTheme="minorHAnsi"/>
          <w:sz w:val="22"/>
          <w:szCs w:val="22"/>
        </w:rPr>
        <w:t>és az eredeti hitelösszeg alapján határozunk meg, 10 éves egyenletes, csak a tőkekitettség visszafizetését feltételezve.</w:t>
      </w:r>
    </w:p>
    <w:p w14:paraId="7FFFEA01" w14:textId="77777777" w:rsidR="008A78E3" w:rsidRPr="00EC6B0B" w:rsidRDefault="008A78E3"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A projekt mérete (</w:t>
      </w:r>
      <w:r>
        <w:rPr>
          <w:rFonts w:asciiTheme="minorHAnsi" w:hAnsiTheme="minorHAnsi"/>
          <w:sz w:val="22"/>
          <w:szCs w:val="22"/>
        </w:rPr>
        <w:t>méret növekedésével csökkenő PD</w:t>
      </w:r>
      <w:r w:rsidRPr="00EC6B0B">
        <w:rPr>
          <w:rFonts w:asciiTheme="minorHAnsi" w:hAnsiTheme="minorHAnsi"/>
          <w:sz w:val="22"/>
          <w:szCs w:val="22"/>
        </w:rPr>
        <w:t>)</w:t>
      </w:r>
      <w:r>
        <w:rPr>
          <w:rFonts w:asciiTheme="minorHAnsi" w:hAnsiTheme="minorHAnsi"/>
          <w:sz w:val="22"/>
          <w:szCs w:val="22"/>
        </w:rPr>
        <w:t>.</w:t>
      </w:r>
    </w:p>
    <w:p w14:paraId="7FFFEA02" w14:textId="77777777" w:rsidR="008A78E3" w:rsidRPr="00C637AB" w:rsidRDefault="008A78E3" w:rsidP="00C637AB">
      <w:pPr>
        <w:rPr>
          <w:rFonts w:asciiTheme="minorHAnsi" w:hAnsiTheme="minorHAnsi"/>
        </w:rPr>
      </w:pPr>
      <w:r w:rsidRPr="00A71A36">
        <w:rPr>
          <w:rFonts w:asciiTheme="minorHAnsi" w:hAnsiTheme="minorHAnsi"/>
        </w:rPr>
        <w:t>A</w:t>
      </w:r>
      <w:r>
        <w:rPr>
          <w:rFonts w:asciiTheme="minorHAnsi" w:hAnsiTheme="minorHAnsi"/>
        </w:rPr>
        <w:t xml:space="preserve"> benchmark </w:t>
      </w:r>
      <w:r w:rsidRPr="00A71A36">
        <w:rPr>
          <w:rFonts w:asciiTheme="minorHAnsi" w:hAnsiTheme="minorHAnsi"/>
        </w:rPr>
        <w:t>LGD</w:t>
      </w:r>
      <w:r>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Pr>
          <w:rFonts w:asciiTheme="minorHAnsi" w:hAnsiTheme="minorHAnsi"/>
        </w:rPr>
        <w:t>u</w:t>
      </w:r>
      <w:r w:rsidRPr="00C637AB">
        <w:rPr>
          <w:rFonts w:asciiTheme="minorHAnsi" w:hAnsiTheme="minorHAnsi"/>
        </w:rPr>
        <w:t>k:</w:t>
      </w:r>
    </w:p>
    <w:p w14:paraId="7FFFEA03" w14:textId="77777777" w:rsidR="008A78E3" w:rsidRPr="00EC6B0B" w:rsidRDefault="008A78E3"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Likvid fedezetek (óvadék, intézményi kezesség, állami garancia – teljes összegükben, diszkontálás nélkül térülnek)</w:t>
      </w:r>
    </w:p>
    <w:p w14:paraId="7FFFEA04" w14:textId="77777777" w:rsidR="008A78E3" w:rsidRPr="00EC6B0B" w:rsidRDefault="008A78E3"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Működő projektek esetén az utolsó ismert értékbecslés alapú LTV (fejlesztési fázis esetén a prospect LTV értékét nem vizsgáljuk, az LGD egységes, 65%)</w:t>
      </w:r>
    </w:p>
    <w:p w14:paraId="7FFFEA05" w14:textId="77777777" w:rsidR="008A78E3" w:rsidRPr="00EC6B0B" w:rsidRDefault="008A78E3"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Lokáció, csökkenő kockázati sorren</w:t>
      </w:r>
      <w:r>
        <w:rPr>
          <w:rFonts w:asciiTheme="minorHAnsi" w:hAnsiTheme="minorHAnsi"/>
          <w:sz w:val="22"/>
          <w:szCs w:val="22"/>
        </w:rPr>
        <w:t>d</w:t>
      </w:r>
      <w:r w:rsidRPr="00EC6B0B">
        <w:rPr>
          <w:rFonts w:asciiTheme="minorHAnsi" w:hAnsiTheme="minorHAnsi"/>
          <w:sz w:val="22"/>
          <w:szCs w:val="22"/>
        </w:rPr>
        <w:t>ben</w:t>
      </w:r>
      <w:r>
        <w:rPr>
          <w:rFonts w:asciiTheme="minorHAnsi" w:hAnsiTheme="minorHAnsi"/>
          <w:sz w:val="22"/>
          <w:szCs w:val="22"/>
        </w:rPr>
        <w:t>:</w:t>
      </w:r>
      <w:r w:rsidRPr="00EC6B0B">
        <w:rPr>
          <w:rFonts w:asciiTheme="minorHAnsi" w:hAnsiTheme="minorHAnsi"/>
          <w:sz w:val="22"/>
          <w:szCs w:val="22"/>
        </w:rPr>
        <w:t xml:space="preserve"> vidék, Budapest.</w:t>
      </w:r>
    </w:p>
    <w:p w14:paraId="7FFFEA06" w14:textId="77777777" w:rsidR="008A78E3" w:rsidRPr="00EC6B0B" w:rsidRDefault="008A78E3"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 xml:space="preserve">Finanszírozás devizaneme: </w:t>
      </w:r>
      <w:r>
        <w:rPr>
          <w:rFonts w:asciiTheme="minorHAnsi" w:hAnsiTheme="minorHAnsi"/>
          <w:sz w:val="22"/>
          <w:szCs w:val="22"/>
        </w:rPr>
        <w:t xml:space="preserve">HUF finanszírozás esetén nincs korrekció. </w:t>
      </w:r>
      <w:r w:rsidRPr="00EC6B0B">
        <w:rPr>
          <w:rFonts w:asciiTheme="minorHAnsi" w:hAnsiTheme="minorHAnsi"/>
          <w:sz w:val="22"/>
          <w:szCs w:val="22"/>
        </w:rPr>
        <w:t>EUR finanszírozás esetén az LTV-t növeljük az EAD 15%-os, más devizanem esetén 35%-os sokkolásával. A fejlesztési fázisban lévő projektek egységes LGD értékeit is rontja az FX sokk alkalmazása.</w:t>
      </w:r>
    </w:p>
    <w:p w14:paraId="7FFFEA07" w14:textId="77777777" w:rsidR="008A78E3" w:rsidRPr="00A71A36" w:rsidRDefault="008A78E3" w:rsidP="00EC6B0B">
      <w:pPr>
        <w:rPr>
          <w:rFonts w:asciiTheme="minorHAnsi" w:hAnsiTheme="minorHAnsi"/>
        </w:rPr>
      </w:pPr>
      <w:r>
        <w:rPr>
          <w:rFonts w:asciiTheme="minorHAnsi" w:hAnsiTheme="minorHAnsi"/>
        </w:rPr>
        <w:t>A tőkekövetelmény nagyságát nagyvállalati eszközkorreláció alkalmazásával, egységes 5 éves lejárati paraméterrel határozzuk meg. Értékesítési célú lakóprojektek esetén a rövidebb futamidőt az MNB 2,5 évvel közelíti.</w:t>
      </w:r>
    </w:p>
    <w:p w14:paraId="7FFFEA08" w14:textId="77777777" w:rsidR="008A78E3" w:rsidRDefault="008A78E3" w:rsidP="00A71A36">
      <w:pPr>
        <w:rPr>
          <w:rFonts w:asciiTheme="minorHAnsi" w:hAnsiTheme="minorHAnsi"/>
        </w:rPr>
      </w:pPr>
      <w:bookmarkStart w:id="845" w:name="_Hlk55490716"/>
      <w:r w:rsidRPr="00EC6B0B">
        <w:rPr>
          <w:rFonts w:asciiTheme="minorHAnsi" w:hAnsiTheme="minorHAnsi"/>
        </w:rPr>
        <w:t>A benchmark modellt az MNB elsősorban kis, saját módszertannal és adatokkal nem rendelkező intézményeknél alkalmazza</w:t>
      </w:r>
      <w:r>
        <w:rPr>
          <w:rFonts w:asciiTheme="minorHAnsi" w:hAnsiTheme="minorHAnsi"/>
        </w:rPr>
        <w:t>, de összehasonlítási, valamint tőkekövetelmény meghatározásicélból fejlett módszertant követő nagybankok esetében is használhatja</w:t>
      </w:r>
      <w:r w:rsidRPr="00EC6B0B">
        <w:rPr>
          <w:rFonts w:asciiTheme="minorHAnsi" w:hAnsiTheme="minorHAnsi"/>
        </w:rPr>
        <w:t>.</w:t>
      </w:r>
      <w:bookmarkEnd w:id="845"/>
    </w:p>
    <w:p w14:paraId="7FFFEA09" w14:textId="77777777" w:rsidR="008A78E3" w:rsidRPr="00EC6B0B" w:rsidRDefault="008A78E3"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48"/>
      </w:r>
      <w:r>
        <w:rPr>
          <w:rFonts w:asciiTheme="minorHAnsi" w:hAnsiTheme="minorHAnsi"/>
        </w:rPr>
        <w:t xml:space="preserve"> vonatkozó szempontjai alapján. </w:t>
      </w:r>
      <w:r w:rsidRPr="00EC6B0B">
        <w:rPr>
          <w:rFonts w:asciiTheme="minorHAnsi" w:hAnsiTheme="minorHAnsi"/>
        </w:rPr>
        <w:t xml:space="preserve"> </w:t>
      </w:r>
    </w:p>
    <w:p w14:paraId="7FFFEA0A" w14:textId="77777777" w:rsidR="008A78E3" w:rsidRPr="006A6890" w:rsidRDefault="008A78E3" w:rsidP="00181755">
      <w:pPr>
        <w:pStyle w:val="Cmsor4"/>
        <w:rPr>
          <w:rFonts w:asciiTheme="minorHAnsi" w:hAnsiTheme="minorHAnsi"/>
        </w:rPr>
      </w:pPr>
      <w:bookmarkStart w:id="846" w:name="_Toc468191451"/>
      <w:bookmarkStart w:id="847" w:name="_Toc45119966"/>
      <w:bookmarkStart w:id="848" w:name="_Toc58512249"/>
      <w:bookmarkStart w:id="849" w:name="_Toc158036670"/>
      <w:r w:rsidRPr="006A6890">
        <w:rPr>
          <w:rFonts w:asciiTheme="minorHAnsi" w:hAnsiTheme="minorHAnsi"/>
        </w:rPr>
        <w:t>Mérlegen kívüli tételek kezelése</w:t>
      </w:r>
      <w:bookmarkEnd w:id="832"/>
      <w:bookmarkEnd w:id="833"/>
      <w:bookmarkEnd w:id="834"/>
      <w:bookmarkEnd w:id="835"/>
      <w:bookmarkEnd w:id="836"/>
      <w:bookmarkEnd w:id="837"/>
      <w:bookmarkEnd w:id="838"/>
      <w:bookmarkEnd w:id="839"/>
      <w:bookmarkEnd w:id="840"/>
      <w:bookmarkEnd w:id="841"/>
      <w:bookmarkEnd w:id="846"/>
      <w:bookmarkEnd w:id="847"/>
      <w:bookmarkEnd w:id="848"/>
      <w:bookmarkEnd w:id="849"/>
    </w:p>
    <w:p w14:paraId="7FFFEA0B" w14:textId="77777777" w:rsidR="008A78E3" w:rsidRPr="006A6890" w:rsidRDefault="008A78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a teljeskörű és a fókuszált ICAAP felülvizsgálat alá tartozó intézményeket ösztönzi a saját hitelegyenértékesi tényező (CCF) becslésének elvégzésére (az arányossági elvek figyelembevétele mellett). A saját becslés esetén az MNB alapvetően a CRR szerinti feltételek teljesülését várja el a 2. pillérben is. </w:t>
      </w:r>
    </w:p>
    <w:p w14:paraId="7FFFEA0C" w14:textId="77777777" w:rsidR="008A78E3" w:rsidRPr="006A6890" w:rsidRDefault="008A78E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és az alacsony/közepes kockázatú, 20%-os CCF-fel rendelkező mérlegen kívüli tételek, melyeken – az MNB tapasztalatai és az intézmények saját becslései alapján – az alkalmazott CCF nem ragadja meg e tételek valós kockázatát. Ezen kitettségek esetén a saját becslés kialakítására ösztönző jelleggel magasabb, 50%-os paraméterérték előírása indokolt 2. pillérben. </w:t>
      </w:r>
    </w:p>
    <w:p w14:paraId="7FFFEA0D" w14:textId="77777777" w:rsidR="008A78E3" w:rsidRPr="006A6890" w:rsidRDefault="008A78E3"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esetében fennálló hitelkeretek. Ezek a mérlegen kívüli tételek jellemzően a projekt megvalósulásának következő fázisaihoz kapcsolódó hitelkeretek, esetleg pl. árfolyam- vagy kamatkockázat fedezetére szolgáló treasury keretek. Ezen keretek defaultkori lehívásának valószínűsége statisztikailag nehezen mérhető, azonban az MNB úgy ítéli, hogy downturn helyzetben a kihasználtság nagyon magas lehet. Az MNB a kihasználtság becslése kapcsán fontosnak tartja, hogy az intézmény meg tudja különböztetni, hogy a becsléshez felhasznált ügyletek működő vagy fejlesztési/beruházási fázisban vannak. A működő projektek esetén a mérleg alatti kitettségek jellemzően az üzemeltetéshez, a működés biztosításához szükségesek, így mivel az intézmény érdeke a működés fenntartása, feltételezhető, hogy a mérleg alatti kitettség negatív körülmények között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Ennek megfelelően az MNB álláspontja szerint az ügylet defaultkori fázisa kardinális pont a mérlegen kívüli tételek kihasználtságának becslése kapcsán, ezért az MNB – amennyiben az intézmény nem rendelkezik megbízható banki becsléssel/visszaméréssel – az ügylet fázisától (illetve ezen információ hiányában az aktuális keretkihasználtságtól függően) határozza meg a 2. pillér szerinti CCF értéket ezen szegmens esetén. Ennek eredményeként az MNB a fejlesztési/beruházási fázisban lévő ügyletek esetén (illetve defaultkori 50% alatti keretkihasználtság esetén) az 1. pillér szerinti, CRR-ben rögzített CCF-eket alkalmazza, de legalább 50%-os CCF-et, míg működési fázisú ügyletek esetén (illetve 50% és annál nagyobb kihasználtság esetén) 100%-os CCF érték beállítása indokolt 2. pillérben. </w:t>
      </w:r>
    </w:p>
    <w:p w14:paraId="7FFFEA0E" w14:textId="77777777" w:rsidR="008A78E3" w:rsidRPr="006A6890" w:rsidRDefault="008A78E3" w:rsidP="009D65E3">
      <w:pPr>
        <w:rPr>
          <w:rFonts w:asciiTheme="minorHAnsi" w:hAnsiTheme="minorHAnsi"/>
        </w:rPr>
      </w:pPr>
      <w:r w:rsidRPr="006A6890">
        <w:rPr>
          <w:rFonts w:asciiTheme="minorHAnsi" w:hAnsiTheme="minorHAnsi"/>
        </w:rPr>
        <w:t>Az MNB – arányossági elvek figyelembevételével – a teljeskörű és fókuszált ICAAP vizsgálat alá tartozó intézmények esetében elvárja a lakossági hitelkártya és folyószámlahitelek esetében a saját, megbízható downturn CCF-becslés kidolgozását. Ennek hiányában az MNB 100%-os CCF-et alkalmaz a SREP tőkekövetelmény meghatározásakor.</w:t>
      </w:r>
    </w:p>
    <w:p w14:paraId="7FFFEA0F" w14:textId="77777777" w:rsidR="008A78E3" w:rsidRPr="006A6890" w:rsidRDefault="008A78E3" w:rsidP="009D65E3">
      <w:pPr>
        <w:rPr>
          <w:rFonts w:asciiTheme="minorHAnsi" w:hAnsiTheme="minorHAnsi"/>
        </w:rPr>
      </w:pPr>
      <w:r w:rsidRPr="006A6890">
        <w:rPr>
          <w:rFonts w:asciiTheme="minorHAnsi" w:hAnsiTheme="minorHAnsi"/>
        </w:rPr>
        <w:t xml:space="preserve">Az MNB elvárja belső módszer esetén a CCF-becsléshez kapcsolódó leggyakrabban alkalmazott becslési módszertanok (bootstrap szimuláció, döntési fa, konzervatív pótlék számítása esetén konfidencia intervallumok) közti választás szakmai alátámasztását, indoklását. </w:t>
      </w:r>
    </w:p>
    <w:p w14:paraId="7FFFEA10" w14:textId="77777777" w:rsidR="008A78E3" w:rsidRPr="006A6890" w:rsidRDefault="008A78E3" w:rsidP="009D65E3">
      <w:pPr>
        <w:rPr>
          <w:rFonts w:asciiTheme="minorHAnsi" w:hAnsiTheme="minorHAnsi"/>
        </w:rPr>
      </w:pPr>
      <w:r w:rsidRPr="006A6890">
        <w:rPr>
          <w:rFonts w:asciiTheme="minorHAnsi" w:hAnsiTheme="minorHAnsi"/>
        </w:rPr>
        <w:t xml:space="preserve">Az MNB a kockázatérzékeny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a keretkihasználtság és a hitelkeret között jellemzően szignifikáns pozitív irányú kapcsolat áll fenn, így ez az összefüggés is vizsgálandó a hitelegyenértékesítési tényező becslése során. </w:t>
      </w:r>
    </w:p>
    <w:p w14:paraId="7FFFEA11" w14:textId="77777777" w:rsidR="008A78E3" w:rsidRPr="006A6890" w:rsidRDefault="008A78E3"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 is, és az eredmény tükrében határozza meg a CCF értéket. Az intézményeknek a downturn becslés biztosítása érdekében kezelniük kell a CCF-becslésben felhasznált magyarázó változók ciklikus viselkedését.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w:t>
      </w:r>
      <w:r>
        <w:rPr>
          <w:rFonts w:asciiTheme="minorHAnsi" w:hAnsiTheme="minorHAnsi"/>
        </w:rPr>
        <w:t>-</w:t>
      </w:r>
      <w:r w:rsidRPr="006A6890">
        <w:rPr>
          <w:rFonts w:asciiTheme="minorHAnsi" w:hAnsiTheme="minorHAnsi"/>
        </w:rPr>
        <w:t>kihasználtságokat tükrözzék.</w:t>
      </w:r>
    </w:p>
    <w:p w14:paraId="7FFFEA12" w14:textId="77777777" w:rsidR="008A78E3" w:rsidRPr="006A6890" w:rsidRDefault="008A78E3" w:rsidP="009D65E3">
      <w:pPr>
        <w:rPr>
          <w:rFonts w:asciiTheme="minorHAnsi" w:hAnsiTheme="minorHAnsi"/>
        </w:rPr>
      </w:pPr>
      <w:r w:rsidRPr="006A6890">
        <w:rPr>
          <w:rFonts w:asciiTheme="minorHAnsi" w:hAnsiTheme="minorHAnsi"/>
        </w:rPr>
        <w:t xml:space="preserve">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az intézményeknek meg kell vizsgálniuk, hogy a limitmódosítások hogyan hatnak (torzítás iránya és mértéke) a becslésre. </w:t>
      </w:r>
    </w:p>
    <w:p w14:paraId="7FFFEA13" w14:textId="77777777" w:rsidR="008A78E3" w:rsidRPr="006A6890" w:rsidRDefault="008A78E3"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az adott termékszegmens esetén külön-külön történik a hitelegyenértékesítési tényező becslése a keretkihasználtság mértéke szerint kialakított alszegmenseken belül. Az ügyletek elválasztására a felügyelt intézmény szakértőileg vagy statisztikailag határozhat meg küszöb értéket a keretkihasználtság szintjére vonatkozóan. A keretkihasználtság szerint megbontott termékszegmenseken belül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Pr="006A6890">
        <w:rPr>
          <w:rFonts w:asciiTheme="minorHAnsi" w:hAnsiTheme="minorHAnsi"/>
          <w:b/>
        </w:rPr>
        <w:t xml:space="preserve"> </w:t>
      </w:r>
    </w:p>
    <w:p w14:paraId="7FFFEA14" w14:textId="77777777" w:rsidR="008A78E3" w:rsidRPr="006A6890" w:rsidRDefault="008A78E3" w:rsidP="00181755">
      <w:pPr>
        <w:pStyle w:val="Cmsor4"/>
        <w:rPr>
          <w:rFonts w:asciiTheme="minorHAnsi" w:hAnsiTheme="minorHAnsi"/>
        </w:rPr>
      </w:pPr>
      <w:bookmarkStart w:id="850" w:name="_Partnerkockázat"/>
      <w:bookmarkStart w:id="851" w:name="_Toc378592173"/>
      <w:bookmarkStart w:id="852" w:name="_Toc461095213"/>
      <w:bookmarkStart w:id="853" w:name="_Toc461179869"/>
      <w:bookmarkStart w:id="854" w:name="_Toc461201312"/>
      <w:bookmarkStart w:id="855" w:name="_Toc461547955"/>
      <w:bookmarkStart w:id="856" w:name="_Toc462401993"/>
      <w:bookmarkStart w:id="857" w:name="_Toc462403114"/>
      <w:bookmarkStart w:id="858" w:name="_Toc462403438"/>
      <w:bookmarkStart w:id="859" w:name="_Toc468180557"/>
      <w:bookmarkStart w:id="860" w:name="_Toc468181066"/>
      <w:bookmarkStart w:id="861" w:name="_Toc468191452"/>
      <w:bookmarkStart w:id="862" w:name="_Toc45119967"/>
      <w:bookmarkStart w:id="863" w:name="_Toc58512250"/>
      <w:bookmarkStart w:id="864" w:name="_Toc158036671"/>
      <w:bookmarkEnd w:id="850"/>
      <w:r w:rsidRPr="006A6890">
        <w:rPr>
          <w:rFonts w:asciiTheme="minorHAnsi" w:hAnsiTheme="minorHAnsi"/>
        </w:rPr>
        <w:t>Partnerkockázat</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7FFFEA15"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A16" w14:textId="77777777" w:rsidR="008A78E3" w:rsidRPr="006A6890" w:rsidRDefault="008A78E3" w:rsidP="009D65E3">
      <w:pPr>
        <w:rPr>
          <w:rFonts w:asciiTheme="minorHAnsi" w:hAnsiTheme="minorHAnsi"/>
        </w:rPr>
      </w:pPr>
      <w:r w:rsidRPr="006A6890">
        <w:rPr>
          <w:rFonts w:asciiTheme="minorHAnsi" w:hAnsiTheme="minorHAnsi"/>
        </w:rPr>
        <w:t>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Az egyéb definíciók esetében az MNB a CRR 272. cikkében található definíciókat tekinti irányadónak.</w:t>
      </w:r>
    </w:p>
    <w:p w14:paraId="7FFFEA17"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A18" w14:textId="77777777" w:rsidR="008A78E3" w:rsidRPr="006A6890" w:rsidRDefault="008A78E3" w:rsidP="009D65E3">
      <w:pPr>
        <w:rPr>
          <w:rFonts w:asciiTheme="minorHAnsi" w:hAnsiTheme="minorHAnsi"/>
        </w:rPr>
      </w:pPr>
      <w:r w:rsidRPr="006A6890">
        <w:rPr>
          <w:rFonts w:asciiTheme="minorHAnsi" w:hAnsiTheme="minorHAnsi"/>
        </w:rPr>
        <w:t>A partnerkockázatok értékelése és kezelése lényegesen eltér a direkt hitelezés kockázataitól. Egyrészt a partnerkockázatilag érintett ügyletek kötésének általában elsődlegesen nem célja hitelkockázat vállalása, hanem piaci kockázatok fedezése vagy vállalása. További fontos különbség, hogy a pozíció kitettsége napról napra változik, így ezt rendszeresen monitorozni kell és figyelembe kell venni a kitettségek lehetséges jövőbeli változásait.</w:t>
      </w:r>
    </w:p>
    <w:p w14:paraId="7FFFEA19" w14:textId="77777777" w:rsidR="008A78E3" w:rsidRPr="006A6890" w:rsidRDefault="008A78E3" w:rsidP="009D65E3">
      <w:pPr>
        <w:rPr>
          <w:rFonts w:asciiTheme="minorHAnsi" w:hAnsiTheme="minorHAnsi"/>
        </w:rPr>
      </w:pPr>
      <w:r w:rsidRPr="006A6890">
        <w:rPr>
          <w:rFonts w:asciiTheme="minorHAnsi" w:hAnsiTheme="minorHAnsi"/>
        </w:rPr>
        <w:t>A partnerkockázat kezelésekor az MNB elvárja az intézményektől:</w:t>
      </w:r>
    </w:p>
    <w:p w14:paraId="7FFFEA1A" w14:textId="77777777" w:rsidR="008A78E3" w:rsidRPr="006A6890" w:rsidRDefault="008A78E3" w:rsidP="00BE6D5A">
      <w:pPr>
        <w:pStyle w:val="felsorolsos"/>
        <w:rPr>
          <w:rFonts w:asciiTheme="minorHAnsi" w:hAnsiTheme="minorHAnsi"/>
        </w:rPr>
      </w:pPr>
      <w:r w:rsidRPr="006A6890">
        <w:rPr>
          <w:rFonts w:asciiTheme="minorHAnsi" w:hAnsiTheme="minorHAnsi"/>
        </w:rPr>
        <w:t>az ügyfelek rendszeres monitoringját;</w:t>
      </w:r>
    </w:p>
    <w:p w14:paraId="7FFFEA1B" w14:textId="77777777" w:rsidR="008A78E3" w:rsidRPr="006A6890" w:rsidRDefault="008A78E3" w:rsidP="00BE6D5A">
      <w:pPr>
        <w:pStyle w:val="felsorolsos"/>
        <w:rPr>
          <w:rFonts w:asciiTheme="minorHAnsi" w:hAnsiTheme="minorHAnsi"/>
        </w:rPr>
      </w:pPr>
      <w:r w:rsidRPr="006A6890">
        <w:rPr>
          <w:rFonts w:asciiTheme="minorHAnsi" w:hAnsiTheme="minorHAnsi"/>
        </w:rPr>
        <w:t>az ügyletek és az ügyfelek felé irányuló kitettségek legalább napi gyakoriságú értékelését;</w:t>
      </w:r>
    </w:p>
    <w:p w14:paraId="7FFFEA1C" w14:textId="77777777" w:rsidR="008A78E3" w:rsidRPr="006A6890" w:rsidRDefault="008A78E3" w:rsidP="00BE6D5A">
      <w:pPr>
        <w:pStyle w:val="felsorolsos"/>
        <w:rPr>
          <w:rFonts w:asciiTheme="minorHAnsi" w:hAnsiTheme="minorHAnsi"/>
        </w:rPr>
      </w:pPr>
      <w:r w:rsidRPr="006A6890">
        <w:rPr>
          <w:rFonts w:asciiTheme="minorHAnsi" w:hAnsiTheme="minorHAnsi"/>
        </w:rPr>
        <w:t>a kapott és adott fedezetek, kezdeti és változó letétek legalább napi gyakoriságú figyelését;</w:t>
      </w:r>
    </w:p>
    <w:p w14:paraId="7FFFEA1D" w14:textId="77777777" w:rsidR="008A78E3" w:rsidRPr="006A6890" w:rsidRDefault="008A78E3" w:rsidP="00BE6D5A">
      <w:pPr>
        <w:pStyle w:val="felsorolsos"/>
        <w:rPr>
          <w:rFonts w:asciiTheme="minorHAnsi" w:hAnsiTheme="minorHAnsi"/>
        </w:rPr>
      </w:pPr>
      <w:r w:rsidRPr="006A6890">
        <w:rPr>
          <w:rFonts w:asciiTheme="minorHAnsi" w:hAnsiTheme="minorHAnsi"/>
        </w:rPr>
        <w:t>a rossz irányú kockázatok figyelését;</w:t>
      </w:r>
    </w:p>
    <w:p w14:paraId="7FFFEA1E" w14:textId="77777777" w:rsidR="008A78E3" w:rsidRPr="006A6890" w:rsidRDefault="008A78E3" w:rsidP="00BE6D5A">
      <w:pPr>
        <w:pStyle w:val="felsorolsos"/>
        <w:rPr>
          <w:rFonts w:asciiTheme="minorHAnsi" w:hAnsiTheme="minorHAnsi"/>
        </w:rPr>
      </w:pPr>
      <w:r w:rsidRPr="006A6890">
        <w:rPr>
          <w:rFonts w:asciiTheme="minorHAnsi" w:hAnsiTheme="minorHAnsi"/>
        </w:rPr>
        <w:t>az ügyfelek kitettségére vonatkozó limitek felállítását;</w:t>
      </w:r>
    </w:p>
    <w:p w14:paraId="7FFFEA1F" w14:textId="77777777" w:rsidR="008A78E3" w:rsidRPr="006A6890" w:rsidRDefault="008A78E3" w:rsidP="00BE6D5A">
      <w:pPr>
        <w:pStyle w:val="felsorolsos"/>
        <w:rPr>
          <w:rFonts w:asciiTheme="minorHAnsi" w:hAnsiTheme="minorHAnsi"/>
        </w:rPr>
      </w:pPr>
      <w:r w:rsidRPr="006A6890">
        <w:rPr>
          <w:rFonts w:asciiTheme="minorHAnsi" w:hAnsiTheme="minorHAnsi"/>
        </w:rPr>
        <w:t>az ügyletek limitterhelésének konzervatív számítását, figyelembe véve az ügylet kockázatát és a partnerrel kötött nettósítási és letéti keretszerződéseket is;</w:t>
      </w:r>
    </w:p>
    <w:p w14:paraId="7FFFEA20" w14:textId="77777777" w:rsidR="008A78E3" w:rsidRPr="006A6890" w:rsidRDefault="008A78E3" w:rsidP="00BE6D5A">
      <w:pPr>
        <w:pStyle w:val="felsorolsos"/>
        <w:rPr>
          <w:rFonts w:asciiTheme="minorHAnsi" w:hAnsiTheme="minorHAnsi"/>
        </w:rPr>
      </w:pPr>
      <w:r w:rsidRPr="006A6890">
        <w:rPr>
          <w:rFonts w:asciiTheme="minorHAnsi" w:hAnsiTheme="minorHAnsi"/>
        </w:rPr>
        <w:t>az ügyletek rendszeres és megbízható jelentését az EMIR adatbázisba a hatályos jogszabályoknak megfelelően.</w:t>
      </w:r>
    </w:p>
    <w:p w14:paraId="7FFFEA21" w14:textId="77777777" w:rsidR="008A78E3" w:rsidRPr="006A6890" w:rsidRDefault="008A78E3" w:rsidP="009D65E3">
      <w:pPr>
        <w:rPr>
          <w:rFonts w:asciiTheme="minorHAnsi" w:hAnsiTheme="minorHAnsi"/>
        </w:rPr>
      </w:pPr>
      <w:r w:rsidRPr="006A6890">
        <w:rPr>
          <w:rFonts w:asciiTheme="minorHAnsi" w:hAnsiTheme="minorHAnsi"/>
        </w:rPr>
        <w:t>Az MNB ajánlja, hogy a modern pénz- és tőkepiaci kockázatkezelés irányvonalainak megfelelően az intézmények az esetek minél nagyobb részében:</w:t>
      </w:r>
    </w:p>
    <w:p w14:paraId="7FFFEA22" w14:textId="77777777" w:rsidR="008A78E3" w:rsidRPr="006A6890" w:rsidRDefault="008A78E3" w:rsidP="00BE6D5A">
      <w:pPr>
        <w:pStyle w:val="felsorolsos"/>
        <w:rPr>
          <w:rFonts w:asciiTheme="minorHAnsi" w:hAnsiTheme="minorHAnsi"/>
        </w:rPr>
      </w:pPr>
      <w:r w:rsidRPr="006A6890">
        <w:rPr>
          <w:rFonts w:asciiTheme="minorHAnsi" w:hAnsiTheme="minorHAnsi"/>
        </w:rPr>
        <w:t>kössenek nettósítási megállapodásokat az ügyfeleivel;</w:t>
      </w:r>
    </w:p>
    <w:p w14:paraId="7FFFEA23" w14:textId="77777777" w:rsidR="008A78E3" w:rsidRPr="006A6890" w:rsidRDefault="008A78E3" w:rsidP="00BE6D5A">
      <w:pPr>
        <w:pStyle w:val="felsorolsos"/>
        <w:rPr>
          <w:rFonts w:asciiTheme="minorHAnsi" w:hAnsiTheme="minorHAnsi"/>
        </w:rPr>
      </w:pPr>
      <w:r w:rsidRPr="006A6890">
        <w:rPr>
          <w:rFonts w:asciiTheme="minorHAnsi" w:hAnsiTheme="minorHAnsi"/>
        </w:rPr>
        <w:t>gondoskodjanak a szükséges fedezetek bevonásáról;</w:t>
      </w:r>
    </w:p>
    <w:p w14:paraId="7FFFEA24" w14:textId="77777777" w:rsidR="008A78E3" w:rsidRPr="006A6890" w:rsidRDefault="008A78E3" w:rsidP="00BE6D5A">
      <w:pPr>
        <w:pStyle w:val="felsorolsos"/>
        <w:rPr>
          <w:rFonts w:asciiTheme="minorHAnsi" w:hAnsiTheme="minorHAnsi"/>
        </w:rPr>
      </w:pPr>
      <w:r w:rsidRPr="006A6890">
        <w:rPr>
          <w:rFonts w:asciiTheme="minorHAnsi" w:hAnsiTheme="minorHAnsi"/>
        </w:rPr>
        <w:t>gondoskodjanak a kezdeti és változó letétek elszámolásának keretszerződéséről és annak folyamatos működtetéséről; és</w:t>
      </w:r>
    </w:p>
    <w:p w14:paraId="7FFFEA25" w14:textId="77777777" w:rsidR="008A78E3" w:rsidRPr="006A6890" w:rsidRDefault="008A78E3" w:rsidP="00BE6D5A">
      <w:pPr>
        <w:pStyle w:val="felsorolsos"/>
        <w:rPr>
          <w:rFonts w:asciiTheme="minorHAnsi" w:hAnsiTheme="minorHAnsi"/>
        </w:rPr>
      </w:pPr>
      <w:r w:rsidRPr="006A6890">
        <w:rPr>
          <w:rFonts w:asciiTheme="minorHAnsi" w:hAnsiTheme="minorHAnsi"/>
        </w:rPr>
        <w:t>intézkedjenek a központi szerződő felen keresztüli klíringről.</w:t>
      </w:r>
    </w:p>
    <w:p w14:paraId="7FFFEA26"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A27" w14:textId="77777777" w:rsidR="008A78E3" w:rsidRDefault="008A78E3"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w:t>
      </w:r>
      <w:r>
        <w:rPr>
          <w:rFonts w:asciiTheme="minorHAnsi" w:hAnsiTheme="minorHAnsi"/>
        </w:rPr>
        <w:t>ú</w:t>
      </w:r>
      <w:r w:rsidRPr="006A6890">
        <w:rPr>
          <w:rFonts w:asciiTheme="minorHAnsi" w:hAnsiTheme="minorHAnsi"/>
        </w:rPr>
        <w:t>ráját.</w:t>
      </w:r>
      <w:r>
        <w:rPr>
          <w:rFonts w:asciiTheme="minorHAnsi" w:hAnsiTheme="minorHAnsi"/>
        </w:rPr>
        <w:t xml:space="preserve"> Az új sztenderd módszertan (SA-CCR) kockázatérzékenyebb mint a korábbi, hazai szektorban széles körben alkalmazott piaci árazás szerinti módszer, így olyan szavatolótőke-követelményeket eredményez, amelyek jobban tükrözik az intézmények származtatott ügyleteivel kapcsolatos kockázatokat.</w:t>
      </w:r>
    </w:p>
    <w:p w14:paraId="7FFFEA28" w14:textId="77777777" w:rsidR="008A78E3" w:rsidRPr="00B944EB" w:rsidRDefault="008A78E3" w:rsidP="000D51C6">
      <w:r>
        <w:rPr>
          <w:rFonts w:asciiTheme="minorHAnsi" w:hAnsiTheme="minorHAnsi"/>
        </w:rPr>
        <w:t xml:space="preserve">Az intézményeknek a második pilléres tőkekövetelmény számításánál vizsgálnia szükséges, </w:t>
      </w:r>
      <w:r>
        <w:t>hogy a kockázat mértéke indokolja-e az 1. pillérhez képest összetettebb és konzervatívabb tőkeszámítási módszertan alkalmazását. Ugyanakkor általános esetekben az MNB az SA-CCR-t módszertant megfelelően kockázatérzékenynek tartja a 2. pilléres tőkeszükséglet számítására is. Az eredeti kitettség szerinti módszertant alkalmazó intézményeknél, az alkalmazott módszertan egyszerűsített és kevésbé kockázatérzékeny volta miatt 2. pillérben javasolt a potenciális jövőbeli kitettség meghatározásánál a 282. cikk (4) részében meghatározott szorzószámoknál konzervatívabb értékek használata 2. pillérben.</w:t>
      </w:r>
    </w:p>
    <w:p w14:paraId="7FFFEA29" w14:textId="77777777" w:rsidR="008A78E3" w:rsidRPr="006A6890" w:rsidRDefault="008A78E3" w:rsidP="009D65E3">
      <w:pPr>
        <w:rPr>
          <w:rFonts w:asciiTheme="minorHAnsi" w:hAnsiTheme="minorHAnsi"/>
        </w:rPr>
      </w:pPr>
    </w:p>
    <w:p w14:paraId="7FFFEA2A" w14:textId="77777777" w:rsidR="008A78E3" w:rsidRPr="006A6890" w:rsidRDefault="008A78E3" w:rsidP="009D65E3">
      <w:pPr>
        <w:rPr>
          <w:rFonts w:asciiTheme="minorHAnsi" w:hAnsiTheme="minorHAnsi"/>
        </w:rPr>
      </w:pPr>
      <w:r w:rsidRPr="006A6890">
        <w:rPr>
          <w:rFonts w:asciiTheme="minorHAnsi" w:hAnsiTheme="minorHAnsi"/>
        </w:rPr>
        <w:t>A partnerkockázati tőkekövetelmény meghatározása során az MNB elvárja, hogy az intézmények az alábbi módon járjanak el:</w:t>
      </w:r>
    </w:p>
    <w:p w14:paraId="7FFFEA2B" w14:textId="77777777" w:rsidR="008A78E3" w:rsidRPr="006A6890" w:rsidRDefault="008A78E3" w:rsidP="00BE6D5A">
      <w:pPr>
        <w:pStyle w:val="felsorolsos"/>
        <w:rPr>
          <w:rFonts w:asciiTheme="minorHAnsi" w:hAnsiTheme="minorHAnsi"/>
        </w:rPr>
      </w:pPr>
      <w:r w:rsidRPr="006A6890">
        <w:rPr>
          <w:rFonts w:asciiTheme="minorHAnsi" w:hAnsiTheme="minorHAnsi"/>
        </w:rPr>
        <w:t>A banki és a kereskedési könyvben szereplő ügyleteket egyaránt vegyék figyelembe.</w:t>
      </w:r>
    </w:p>
    <w:p w14:paraId="7FFFEA2C" w14:textId="77777777" w:rsidR="008A78E3" w:rsidRPr="006A6890" w:rsidRDefault="008A78E3" w:rsidP="00BE6D5A">
      <w:pPr>
        <w:pStyle w:val="felsorolsos"/>
        <w:rPr>
          <w:rFonts w:asciiTheme="minorHAnsi" w:hAnsiTheme="minorHAnsi"/>
        </w:rPr>
      </w:pPr>
      <w:r w:rsidRPr="006A6890">
        <w:rPr>
          <w:rFonts w:asciiTheme="minorHAnsi" w:hAnsiTheme="minorHAnsi"/>
        </w:rPr>
        <w:t>Az ügyletek adott típusára konzisztens tőkekövetelményszámítási módszertant alkalmazzanak.</w:t>
      </w:r>
    </w:p>
    <w:p w14:paraId="7FFFEA2D" w14:textId="77777777" w:rsidR="008A78E3" w:rsidRPr="006A6890" w:rsidRDefault="008A78E3" w:rsidP="00BE6D5A">
      <w:pPr>
        <w:pStyle w:val="felsorolsos"/>
        <w:rPr>
          <w:rFonts w:asciiTheme="minorHAnsi" w:hAnsiTheme="minorHAnsi"/>
        </w:rPr>
      </w:pPr>
      <w:r w:rsidRPr="006A6890">
        <w:rPr>
          <w:rFonts w:asciiTheme="minorHAnsi" w:hAnsiTheme="minorHAnsi"/>
        </w:rPr>
        <w:t>A tőkekövetelmény számítása során felhasznált adatok minőségét, az ügylet értékelését is beleértve módszeresen ellenőrizzék.</w:t>
      </w:r>
    </w:p>
    <w:p w14:paraId="7FFFEA2E" w14:textId="77777777" w:rsidR="008A78E3" w:rsidRPr="006A6890" w:rsidRDefault="008A78E3" w:rsidP="00BE6D5A">
      <w:pPr>
        <w:pStyle w:val="felsorolsos"/>
        <w:rPr>
          <w:rFonts w:asciiTheme="minorHAnsi" w:hAnsiTheme="minorHAnsi"/>
        </w:rPr>
      </w:pPr>
      <w:r w:rsidRPr="006A6890">
        <w:rPr>
          <w:rFonts w:asciiTheme="minorHAnsi" w:hAnsiTheme="minorHAnsi"/>
        </w:rPr>
        <w:t>A partnerkockázat kezeléséhez kötődő kapott és adott fedezeteket legalább napi gyakorisággal értékeljék az ügyfél vagy nettósítási halmaz szintjén.</w:t>
      </w:r>
    </w:p>
    <w:p w14:paraId="7FFFEA2F" w14:textId="77777777" w:rsidR="008A78E3" w:rsidRPr="006A6890" w:rsidRDefault="008A78E3" w:rsidP="00BE6D5A">
      <w:pPr>
        <w:pStyle w:val="felsorolsos"/>
        <w:rPr>
          <w:rFonts w:asciiTheme="minorHAnsi" w:hAnsiTheme="minorHAnsi"/>
        </w:rPr>
      </w:pPr>
      <w:r w:rsidRPr="006A6890">
        <w:rPr>
          <w:rFonts w:asciiTheme="minorHAnsi" w:hAnsiTheme="minorHAnsi"/>
        </w:rPr>
        <w:t>A tőkekövetelmény-számítás során legyenek képesek azonosítani a kiírt opciós ügyleteket (beleértve minden olyan ügyletet, amelynek a piaci értéke sosem pozitív) és hogy az opciós prémium kifizetése már megvalósult, vagy a jövőben fog megtörténni; valamint azokat az ügyleteket, ahol MTM módon rendszeresen újra megállapítják a feltételeket olyan módon, hogy a szerződés piaci értéke 0 legyen.</w:t>
      </w:r>
    </w:p>
    <w:p w14:paraId="7FFFEA30" w14:textId="77777777" w:rsidR="008A78E3" w:rsidRPr="006A6890" w:rsidRDefault="008A78E3" w:rsidP="00BE6D5A">
      <w:pPr>
        <w:pStyle w:val="felsorolsos"/>
        <w:rPr>
          <w:rFonts w:asciiTheme="minorHAnsi" w:hAnsiTheme="minorHAnsi"/>
        </w:rPr>
      </w:pPr>
      <w:r w:rsidRPr="006A6890">
        <w:rPr>
          <w:rFonts w:asciiTheme="minorHAnsi" w:hAnsiTheme="minorHAnsi"/>
        </w:rPr>
        <w:t>A tőkekövetelmény-számítás során képesek azonosítani, hogy az egyes ügyleteket központi szerződő félen keresztül kötötték-e, és ha igen, akkor melyikkel, közvetve vagy közvetlenül.</w:t>
      </w:r>
    </w:p>
    <w:p w14:paraId="7FFFEA31" w14:textId="77777777" w:rsidR="008A78E3" w:rsidRPr="006A6890" w:rsidRDefault="008A78E3" w:rsidP="00037775">
      <w:pPr>
        <w:pStyle w:val="felsorolsos"/>
        <w:rPr>
          <w:rFonts w:asciiTheme="minorHAnsi" w:hAnsiTheme="minorHAnsi"/>
        </w:rPr>
      </w:pPr>
      <w:r w:rsidRPr="006A6890">
        <w:rPr>
          <w:rFonts w:asciiTheme="minorHAnsi" w:hAnsiTheme="minorHAnsi"/>
        </w:rPr>
        <w:t>Az MNB a CRR 291. cikk (1) bekezdésében található definíció alapján egyedi rossz irányú kockázatnak tekinti azt a kockázatot, amikor, ha a partnerrel szembeni jövőbeli kitettség várhatóan magas, akkor a partner nemteljesítésének valószínűsége is magas. A CRR 291. cikk (5) bekezdése alapján amennyiben az intézmény egyedi rossz irányú kockázattal terhelt ügyletet azonosít, akkor arra a tőkekövetelményt külön nettósítási halmazban kell számszerűsítenie</w:t>
      </w:r>
      <w:r>
        <w:rPr>
          <w:rFonts w:asciiTheme="minorHAnsi" w:hAnsiTheme="minorHAnsi"/>
        </w:rPr>
        <w:t>.</w:t>
      </w:r>
    </w:p>
    <w:p w14:paraId="7FFFEA32" w14:textId="77777777" w:rsidR="008A78E3" w:rsidRPr="006A6890" w:rsidRDefault="008A78E3" w:rsidP="00185637">
      <w:pPr>
        <w:pStyle w:val="felsorolsos"/>
        <w:rPr>
          <w:rFonts w:asciiTheme="minorHAnsi" w:hAnsiTheme="minorHAnsi"/>
        </w:rPr>
      </w:pPr>
      <w:r w:rsidRPr="006A6890">
        <w:rPr>
          <w:rFonts w:asciiTheme="minorHAnsi" w:hAnsiTheme="minorHAnsi"/>
        </w:rPr>
        <w:t>A nettósítást a tőkekövetelmény-számításban csak felügyeleti engedéllyel ismerhetik el a CRR 295-298. cikkeinek megfelelően.</w:t>
      </w:r>
    </w:p>
    <w:p w14:paraId="7FFFEA33" w14:textId="77777777" w:rsidR="008A78E3" w:rsidRPr="006A6890" w:rsidRDefault="008A78E3" w:rsidP="00185637">
      <w:pPr>
        <w:pStyle w:val="felsorolsos"/>
        <w:rPr>
          <w:rFonts w:asciiTheme="minorHAnsi" w:hAnsiTheme="minorHAnsi"/>
        </w:rPr>
      </w:pPr>
      <w:r w:rsidRPr="006A6890">
        <w:rPr>
          <w:rFonts w:asciiTheme="minorHAnsi" w:hAnsiTheme="minorHAnsi"/>
        </w:rPr>
        <w:t>A kiírt opciós ügyletekre is kell potenciális jövőbeli kitettséget használni, ha azok olyan nettósítási halmazban szerepelnek, ahol vannak nem kiírt opciós ügyletek, azaz potenciálisan pozitív értékű ügyletek is, a 2013_666 sz. EBA-Q&amp;A</w:t>
      </w:r>
      <w:r>
        <w:rPr>
          <w:rStyle w:val="Lbjegyzet-hivatkozs"/>
          <w:rFonts w:asciiTheme="minorHAnsi" w:hAnsiTheme="minorHAnsi"/>
        </w:rPr>
        <w:footnoteReference w:id="49"/>
      </w:r>
      <w:r w:rsidRPr="006A6890">
        <w:rPr>
          <w:rFonts w:asciiTheme="minorHAnsi" w:hAnsiTheme="minorHAnsi"/>
        </w:rPr>
        <w:t xml:space="preserve"> és a 2015_2195 sz. EBA-Q&amp;A</w:t>
      </w:r>
      <w:r>
        <w:rPr>
          <w:rStyle w:val="Lbjegyzet-hivatkozs"/>
          <w:rFonts w:asciiTheme="minorHAnsi" w:hAnsiTheme="minorHAnsi"/>
        </w:rPr>
        <w:footnoteReference w:id="50"/>
      </w:r>
      <w:r w:rsidRPr="006A6890">
        <w:rPr>
          <w:rFonts w:asciiTheme="minorHAnsi" w:hAnsiTheme="minorHAnsi"/>
        </w:rPr>
        <w:t xml:space="preserve"> alapján. </w:t>
      </w:r>
    </w:p>
    <w:p w14:paraId="7FFFEA34" w14:textId="77777777" w:rsidR="008A78E3" w:rsidRPr="006A6890" w:rsidRDefault="008A78E3" w:rsidP="00C560A0">
      <w:pPr>
        <w:pStyle w:val="felsorolsos"/>
        <w:rPr>
          <w:rFonts w:asciiTheme="minorHAnsi" w:hAnsiTheme="minorHAnsi"/>
        </w:rPr>
      </w:pPr>
      <w:r w:rsidRPr="006A6890">
        <w:rPr>
          <w:rFonts w:asciiTheme="minorHAnsi" w:hAnsiTheme="minorHAnsi"/>
        </w:rPr>
        <w:t>A közvetetten központi szerződő félen keresztül kötött ügyletek esetében az intézmény képes felmérni az elszámolási lánc minden tagjánál, hogy az érintett ügyletek és fedezetek elkülönítése és szegregációja megvalósul, azok fizetésképtelenségi eljárásba nem bevonhatók.</w:t>
      </w:r>
    </w:p>
    <w:p w14:paraId="7FFFEA35" w14:textId="77777777" w:rsidR="008A78E3" w:rsidRPr="006A6890" w:rsidRDefault="008A78E3" w:rsidP="00037775">
      <w:pPr>
        <w:pStyle w:val="felsorolsos"/>
        <w:rPr>
          <w:rFonts w:asciiTheme="minorHAnsi" w:hAnsiTheme="minorHAnsi"/>
        </w:rPr>
      </w:pPr>
      <w:r w:rsidRPr="006A6890">
        <w:rPr>
          <w:rFonts w:asciiTheme="minorHAnsi" w:hAnsiTheme="minorHAnsi"/>
        </w:rPr>
        <w:t>Az ügyfél-kockázati súlyok számítási módszertanának és paramétereinek meg kell egyeznie a partnerkockázati és a direkt hitelkitettségek esetében az 1. és a 2. pillér alatt egyaránt.</w:t>
      </w:r>
    </w:p>
    <w:p w14:paraId="7FFFEA36" w14:textId="77777777" w:rsidR="008A78E3" w:rsidRPr="006A6890" w:rsidRDefault="008A78E3" w:rsidP="00037775">
      <w:pPr>
        <w:pStyle w:val="felsorolsos"/>
        <w:rPr>
          <w:rFonts w:asciiTheme="minorHAnsi" w:hAnsiTheme="minorHAnsi"/>
        </w:rPr>
      </w:pPr>
      <w:r w:rsidRPr="006A6890">
        <w:rPr>
          <w:rFonts w:asciiTheme="minorHAnsi" w:hAnsiTheme="minorHAnsi"/>
        </w:rPr>
        <w:t>Amennyiben az intézmény 1. és 2. pilléres tőkekövetelmény-számítási módszertana eltér, abban az esetben az intézménynek a dokumentációkban részletesen ismer</w:t>
      </w:r>
      <w:r>
        <w:rPr>
          <w:rFonts w:asciiTheme="minorHAnsi" w:hAnsiTheme="minorHAnsi"/>
        </w:rPr>
        <w:t>t</w:t>
      </w:r>
      <w:r w:rsidRPr="006A6890">
        <w:rPr>
          <w:rFonts w:asciiTheme="minorHAnsi" w:hAnsiTheme="minorHAnsi"/>
        </w:rPr>
        <w:t>etnie kell az eltéréseket és a tőkekövetelmény számítása során az ügylet, illetve nettósítási halmaz szintjén is be kell tudnia mutatni a számszaki eltéréseket.</w:t>
      </w:r>
    </w:p>
    <w:p w14:paraId="7FFFEA37" w14:textId="77777777" w:rsidR="008A78E3" w:rsidRPr="006A6890" w:rsidRDefault="008A78E3" w:rsidP="00185637">
      <w:pPr>
        <w:pStyle w:val="felsorolsos"/>
        <w:rPr>
          <w:rFonts w:asciiTheme="minorHAnsi" w:hAnsiTheme="minorHAnsi"/>
        </w:rPr>
      </w:pPr>
      <w:r w:rsidRPr="006A6890">
        <w:rPr>
          <w:rFonts w:asciiTheme="minorHAnsi" w:hAnsiTheme="minorHAnsi"/>
        </w:rPr>
        <w:t>Az intézmények az opciós szerződések esetében nem használhatnak delta szorzót a névérték meghatározásához a 2014_907 sz. EBA-Q&amp;A</w:t>
      </w:r>
      <w:r>
        <w:rPr>
          <w:rStyle w:val="Lbjegyzet-hivatkozs"/>
          <w:rFonts w:asciiTheme="minorHAnsi" w:hAnsiTheme="minorHAnsi"/>
        </w:rPr>
        <w:footnoteReference w:id="51"/>
      </w:r>
      <w:r w:rsidRPr="006A6890">
        <w:rPr>
          <w:rFonts w:asciiTheme="minorHAnsi" w:hAnsiTheme="minorHAnsi"/>
        </w:rPr>
        <w:t xml:space="preserve"> alapján.</w:t>
      </w:r>
    </w:p>
    <w:p w14:paraId="7FFFEA38" w14:textId="77777777" w:rsidR="008A78E3" w:rsidRPr="006A6890" w:rsidRDefault="008A78E3" w:rsidP="004865B3">
      <w:pPr>
        <w:pStyle w:val="felsorolsos"/>
        <w:rPr>
          <w:rFonts w:asciiTheme="minorHAnsi" w:hAnsiTheme="minorHAnsi"/>
        </w:rPr>
      </w:pPr>
      <w:r w:rsidRPr="006A6890">
        <w:rPr>
          <w:rFonts w:asciiTheme="minorHAnsi" w:hAnsiTheme="minorHAnsi"/>
        </w:rPr>
        <w:t>A hatóság által elismert nettósítási megállapodás esetében a pótlási költséget a</w:t>
      </w:r>
      <w:r>
        <w:rPr>
          <w:rFonts w:asciiTheme="minorHAnsi" w:hAnsiTheme="minorHAnsi"/>
        </w:rPr>
        <w:t xml:space="preserve"> a CRR 275. cikke alapján szükséges meghatározni. Amennyiben nettósítási szerződésekkel nem vagy hatóság által nem elismert nettósítási megállapodásokkal rendelkezik az intézmény, úgy (a CRR 274. cikk (1) alapján) a pótlási költség számításánál egy ügylet egy önálló nettósítási halmaznak feleltethető meg.</w:t>
      </w:r>
      <w:bookmarkStart w:id="865" w:name="_Hlk493845348"/>
    </w:p>
    <w:bookmarkEnd w:id="865"/>
    <w:p w14:paraId="7FFFEA39" w14:textId="77777777" w:rsidR="008A78E3" w:rsidRPr="000D51C6" w:rsidRDefault="008A78E3" w:rsidP="004865B3">
      <w:pPr>
        <w:pStyle w:val="felsorolsos"/>
        <w:spacing w:after="150" w:line="276" w:lineRule="auto"/>
        <w:rPr>
          <w:rFonts w:asciiTheme="minorHAnsi" w:hAnsiTheme="minorHAnsi"/>
        </w:rPr>
      </w:pPr>
      <w:r>
        <w:rPr>
          <w:rFonts w:asciiTheme="minorHAnsi" w:hAnsiTheme="minorHAnsi"/>
        </w:rPr>
        <w:t>A kapott és adott fedezeteket a pótlási költség meghatározásánál a CRR 275. és 276. cikke szerint szükséges figyelembe venni.</w:t>
      </w:r>
    </w:p>
    <w:p w14:paraId="7FFFEA3A" w14:textId="77777777" w:rsidR="008A78E3" w:rsidRDefault="008A78E3" w:rsidP="000D51C6">
      <w:pPr>
        <w:pStyle w:val="felsorolsos"/>
        <w:spacing w:after="150" w:line="276" w:lineRule="auto"/>
        <w:rPr>
          <w:rFonts w:asciiTheme="minorHAnsi" w:hAnsiTheme="minorHAnsi"/>
        </w:rPr>
      </w:pPr>
      <w:r w:rsidRPr="00CF63A6">
        <w:rPr>
          <w:rFonts w:asciiTheme="minorHAnsi" w:hAnsiTheme="minorHAnsi"/>
        </w:rPr>
        <w:t>Egzotikus derivatívák és alaptermékek esetében járjanak el konzervatív módon.</w:t>
      </w:r>
    </w:p>
    <w:p w14:paraId="7FFFEA3B" w14:textId="77777777" w:rsidR="008A78E3" w:rsidRPr="006A6890" w:rsidRDefault="008A78E3" w:rsidP="00181755">
      <w:pPr>
        <w:pStyle w:val="Cmsor4"/>
        <w:rPr>
          <w:rFonts w:asciiTheme="minorHAnsi" w:hAnsiTheme="minorHAnsi"/>
        </w:rPr>
      </w:pPr>
      <w:bookmarkStart w:id="866" w:name="_Toc461095214"/>
      <w:bookmarkStart w:id="867" w:name="_Toc461179870"/>
      <w:bookmarkStart w:id="868" w:name="_Toc461201313"/>
      <w:bookmarkStart w:id="869" w:name="_Toc461547956"/>
      <w:bookmarkStart w:id="870" w:name="_Toc462401995"/>
      <w:bookmarkStart w:id="871" w:name="_Toc462403116"/>
      <w:bookmarkStart w:id="872" w:name="_Toc462403440"/>
      <w:bookmarkStart w:id="873" w:name="_Toc468180559"/>
      <w:bookmarkStart w:id="874" w:name="_Toc468181068"/>
      <w:bookmarkStart w:id="875" w:name="_Toc468191454"/>
      <w:bookmarkStart w:id="876" w:name="_Toc45119969"/>
      <w:bookmarkStart w:id="877" w:name="_Toc58512252"/>
      <w:bookmarkStart w:id="878" w:name="_Toc158036672"/>
      <w:r w:rsidRPr="006A6890">
        <w:rPr>
          <w:rFonts w:asciiTheme="minorHAnsi" w:hAnsiTheme="minorHAnsi"/>
        </w:rPr>
        <w:t>Hitelértékelési korrekciós kockázat (CVA)</w:t>
      </w:r>
      <w:bookmarkEnd w:id="866"/>
      <w:bookmarkEnd w:id="867"/>
      <w:bookmarkEnd w:id="868"/>
      <w:bookmarkEnd w:id="869"/>
      <w:bookmarkEnd w:id="870"/>
      <w:bookmarkEnd w:id="871"/>
      <w:bookmarkEnd w:id="872"/>
      <w:bookmarkEnd w:id="873"/>
      <w:bookmarkEnd w:id="874"/>
      <w:bookmarkEnd w:id="875"/>
      <w:bookmarkEnd w:id="876"/>
      <w:bookmarkEnd w:id="877"/>
      <w:bookmarkEnd w:id="878"/>
    </w:p>
    <w:p w14:paraId="7FFFEA3C" w14:textId="77777777" w:rsidR="008A78E3" w:rsidRPr="006A6890" w:rsidRDefault="008A78E3" w:rsidP="009D65E3">
      <w:pPr>
        <w:rPr>
          <w:rFonts w:asciiTheme="minorHAnsi" w:hAnsiTheme="minorHAnsi"/>
        </w:rPr>
      </w:pPr>
      <w:r w:rsidRPr="006A6890">
        <w:rPr>
          <w:rFonts w:asciiTheme="minorHAnsi" w:hAnsiTheme="minorHAnsi"/>
        </w:rPr>
        <w:t xml:space="preserve">A 2014. elejétől hatályba lépett szabályozói változások nyomán a számszerűsítendő kockázatok köre, illetve a kitettségekhez kapcsolódó szavatoló tőke követelmény kibővült a partnerkockázati jellegű, de attól – CRR alapján – elkülönülő hitelértékelési korrekciós kockázattal. </w:t>
      </w:r>
    </w:p>
    <w:p w14:paraId="7FFFEA3D" w14:textId="77777777" w:rsidR="008A78E3" w:rsidRPr="006A6890" w:rsidRDefault="008A78E3" w:rsidP="009D65E3">
      <w:pPr>
        <w:rPr>
          <w:rFonts w:asciiTheme="minorHAnsi" w:hAnsiTheme="minorHAnsi"/>
        </w:rPr>
      </w:pPr>
      <w:r w:rsidRPr="006A6890">
        <w:rPr>
          <w:rFonts w:asciiTheme="minorHAnsi" w:hAnsiTheme="minorHAnsi"/>
        </w:rPr>
        <w:t xml:space="preserve">Az intézményeknek a kockázatok kezelésére szolgáló szabályozásukat, folyamataikat, módszereiket, eljárásaikat és rendszereiket olyan módon kell kialakítaniuk (vagy fejleszteniük) és működtetniük, hogy azok megfelelő módon tartalmazzák a kockázatok újonnan megjelenő elemeit is, különös tekintettel a CVA-hoz kapcsolódó kockázatokra. A jelenlegi szabályozási előírások alapján számszerűsített CVA-hoz kapcsolódó kockázatok viszonylag alacsony szintűnek mondhatók, a hazai intézmények között. Az arányosság elvét szem előtt tartva az MNB e kockázat nagyságának és tőkeszükségletének meghatározásakor - megfelelő folyamatbeli elemek megléte esetén – jelenleg nem tartja elengedhetetlennek fejlett belső modellek alkalmazását az ICAAP során. Természetesen, amennyiben a kockázati pozíciók nagysága és/vagy összetettsége, illetve esetlegesen a szabályozás változása ezt indokolttá teszi, az alkalmazott módszer fejlesztése is elvárt. </w:t>
      </w:r>
    </w:p>
    <w:p w14:paraId="7FFFEA3E" w14:textId="77777777" w:rsidR="008A78E3" w:rsidRPr="006A6890" w:rsidRDefault="008A78E3" w:rsidP="009D65E3">
      <w:pPr>
        <w:rPr>
          <w:rFonts w:asciiTheme="minorHAnsi" w:hAnsiTheme="minorHAnsi"/>
        </w:rPr>
      </w:pPr>
      <w:r w:rsidRPr="006A6890">
        <w:rPr>
          <w:rFonts w:asciiTheme="minorHAnsi" w:hAnsiTheme="minorHAnsi"/>
        </w:rPr>
        <w:t>A CVA-kockázati tőkekövetelmény számítása során az MNB elvárja az intézményektől, hogy:</w:t>
      </w:r>
    </w:p>
    <w:p w14:paraId="7FFFEA3F" w14:textId="77777777" w:rsidR="008A78E3" w:rsidRPr="00504905" w:rsidRDefault="008A78E3" w:rsidP="00185637">
      <w:pPr>
        <w:pStyle w:val="felsorolsos"/>
        <w:rPr>
          <w:rFonts w:asciiTheme="minorHAnsi" w:hAnsiTheme="minorHAnsi"/>
        </w:rPr>
      </w:pPr>
      <w:r w:rsidRPr="006A6890">
        <w:rPr>
          <w:rFonts w:asciiTheme="minorHAnsi" w:hAnsiTheme="minorHAnsi"/>
        </w:rPr>
        <w:t>rendszeresen ellenőrizzék a CRR 382. cikk (4) bekezdése alapján fennálló mentességeket az ügyfelekre vonatkozóan,</w:t>
      </w:r>
    </w:p>
    <w:p w14:paraId="7FFFEA40" w14:textId="77777777" w:rsidR="008A78E3" w:rsidRPr="00504905" w:rsidRDefault="008A78E3" w:rsidP="00185637">
      <w:pPr>
        <w:pStyle w:val="felsorolsos"/>
        <w:rPr>
          <w:rFonts w:asciiTheme="minorHAnsi" w:hAnsiTheme="minorHAnsi"/>
        </w:rPr>
      </w:pPr>
      <w:r>
        <w:rPr>
          <w:rFonts w:asciiTheme="minorHAnsi" w:hAnsiTheme="minorHAnsi"/>
        </w:rPr>
        <w:t>az ICAAP felülvizsgálatok során részletesen, analitikákkal alátámasztva mutassák be a CRR 382. cikk (4) bekezdés a) pontja alapján a</w:t>
      </w:r>
      <w:r w:rsidRPr="0093257F">
        <w:rPr>
          <w:rFonts w:asciiTheme="minorHAnsi" w:hAnsiTheme="minorHAnsi"/>
        </w:rPr>
        <w:t xml:space="preserve"> 648/2012/EU rendelet 2. cikke 9. pontjának fogalommeghatározása szerinti nem pénzügyi szerződő felekkel kötött ügyletek</w:t>
      </w:r>
      <w:r>
        <w:rPr>
          <w:rFonts w:asciiTheme="minorHAnsi" w:hAnsiTheme="minorHAnsi"/>
        </w:rPr>
        <w:t>et</w:t>
      </w:r>
      <w:r w:rsidRPr="0093257F">
        <w:rPr>
          <w:rFonts w:asciiTheme="minorHAnsi" w:hAnsiTheme="minorHAnsi"/>
        </w:rPr>
        <w:t>, illetve harmadik országban található székhellyel rendelkező nem pénzügyi szerződő felekkel kötött ügyletek</w:t>
      </w:r>
      <w:r>
        <w:rPr>
          <w:rFonts w:asciiTheme="minorHAnsi" w:hAnsiTheme="minorHAnsi"/>
        </w:rPr>
        <w:t>et, illetve mutassák be annak folyamatát, hogy mi alapján mentesítik azokat a CVA-kockázathoz kapcsolódó tőkekövetelmény számítása alól, amennyiben ez releváns,</w:t>
      </w:r>
    </w:p>
    <w:p w14:paraId="7FFFEA41" w14:textId="77777777" w:rsidR="008A78E3" w:rsidRPr="006A6890" w:rsidRDefault="008A78E3" w:rsidP="00EA1217">
      <w:pPr>
        <w:pStyle w:val="felsorolsos"/>
      </w:pPr>
      <w:r>
        <w:t>az ICAAP felülvizsgálatok során részletesen, analitikákkal alátámasztva mutassák be a CRR 382. cikk (2) bekezdésének ellenőrzése érdekében az</w:t>
      </w:r>
      <w:r w:rsidRPr="00F80359">
        <w:t xml:space="preserve"> </w:t>
      </w:r>
      <w:r w:rsidRPr="00F80359">
        <w:rPr>
          <w:rFonts w:asciiTheme="minorHAnsi" w:hAnsiTheme="minorHAnsi"/>
        </w:rPr>
        <w:t>értékpapír-finanszírozási ügyletekből származó kitettség</w:t>
      </w:r>
      <w:r>
        <w:rPr>
          <w:rFonts w:asciiTheme="minorHAnsi" w:hAnsiTheme="minorHAnsi"/>
        </w:rPr>
        <w:t>ei</w:t>
      </w:r>
      <w:r w:rsidRPr="00F80359">
        <w:rPr>
          <w:rFonts w:asciiTheme="minorHAnsi" w:hAnsiTheme="minorHAnsi"/>
        </w:rPr>
        <w:t>ket,</w:t>
      </w:r>
    </w:p>
    <w:p w14:paraId="7FFFEA42" w14:textId="77777777" w:rsidR="008A78E3" w:rsidRPr="006A6890" w:rsidRDefault="008A78E3" w:rsidP="00185637">
      <w:pPr>
        <w:pStyle w:val="felsorolsos"/>
        <w:rPr>
          <w:rFonts w:asciiTheme="minorHAnsi" w:hAnsiTheme="minorHAnsi"/>
        </w:rPr>
      </w:pPr>
      <w:r w:rsidRPr="006A6890">
        <w:rPr>
          <w:rFonts w:asciiTheme="minorHAnsi" w:hAnsiTheme="minorHAnsi"/>
        </w:rPr>
        <w:t>rendszeresen monitorozzák az ügyfelek hitelminőségi besorolását,</w:t>
      </w:r>
    </w:p>
    <w:p w14:paraId="7FFFEA43" w14:textId="77777777" w:rsidR="008A78E3" w:rsidRPr="006A6890" w:rsidRDefault="008A78E3" w:rsidP="00185637">
      <w:pPr>
        <w:pStyle w:val="felsorolsos"/>
        <w:rPr>
          <w:rFonts w:asciiTheme="minorHAnsi" w:hAnsiTheme="minorHAnsi"/>
        </w:rPr>
      </w:pPr>
      <w:r w:rsidRPr="006A6890">
        <w:rPr>
          <w:rFonts w:asciiTheme="minorHAnsi" w:hAnsiTheme="minorHAnsi"/>
        </w:rPr>
        <w:t>mutassák be az MNB-nek a tőkekövetelmény-számítás lépéseit,</w:t>
      </w:r>
      <w:r>
        <w:rPr>
          <w:rFonts w:asciiTheme="minorHAnsi" w:hAnsiTheme="minorHAnsi"/>
        </w:rPr>
        <w:t xml:space="preserve"> analitikákkal alátámasztva,</w:t>
      </w:r>
    </w:p>
    <w:p w14:paraId="7FFFEA44" w14:textId="77777777" w:rsidR="008A78E3" w:rsidRPr="00F80359" w:rsidRDefault="008A78E3" w:rsidP="00185637">
      <w:pPr>
        <w:pStyle w:val="felsorolsos"/>
        <w:rPr>
          <w:rFonts w:asciiTheme="minorHAnsi" w:hAnsiTheme="minorHAnsi"/>
        </w:rPr>
      </w:pPr>
      <w:r w:rsidRPr="006A6890">
        <w:rPr>
          <w:rFonts w:asciiTheme="minorHAnsi" w:hAnsiTheme="minorHAnsi"/>
        </w:rPr>
        <w:t>amennyiben az intézmény 1. és 2. pilléres tőkekövetelmény-számítási módszertana eltér, abban az esetben az intézménynek a dokumentációkban részletesen ismeretnie kell az eltéréseket, és a tőkekövetelmény számítása során az ügyfél szintjén is be kell tudnia mutatni a számszaki eltéréseket</w:t>
      </w:r>
      <w:r>
        <w:rPr>
          <w:rFonts w:asciiTheme="minorHAnsi" w:hAnsiTheme="minorHAnsi"/>
        </w:rPr>
        <w:t>,</w:t>
      </w:r>
    </w:p>
    <w:p w14:paraId="7FFFEA45" w14:textId="77777777" w:rsidR="008A78E3" w:rsidRPr="006A6890" w:rsidRDefault="008A78E3" w:rsidP="00185637">
      <w:pPr>
        <w:pStyle w:val="felsorolsos"/>
        <w:rPr>
          <w:rFonts w:asciiTheme="minorHAnsi" w:hAnsiTheme="minorHAnsi"/>
        </w:rPr>
      </w:pPr>
      <w:r>
        <w:rPr>
          <w:rFonts w:asciiTheme="minorHAnsi" w:hAnsiTheme="minorHAnsi"/>
        </w:rPr>
        <w:t xml:space="preserve">mutassák be az MNB-nek, hogy a CRR tervezett módosítása kapcsán várhatóan 2025. január 1-től hatályba lépő új CVA-kockázathoz kapcsolódó tőkekövetelmény-számítási módszertanok közül melyik módszertan bevezetése mellett döntöttek, illetve mutassák be a várható tőkekövetelmény-hatásokat. </w:t>
      </w:r>
    </w:p>
    <w:p w14:paraId="7FFFEA46" w14:textId="77777777" w:rsidR="008A78E3" w:rsidRPr="006A6890" w:rsidRDefault="008A78E3" w:rsidP="00181755">
      <w:pPr>
        <w:pStyle w:val="Cmsor4"/>
        <w:rPr>
          <w:rFonts w:asciiTheme="minorHAnsi" w:hAnsiTheme="minorHAnsi"/>
        </w:rPr>
      </w:pPr>
      <w:bookmarkStart w:id="879" w:name="_Toc461095215"/>
      <w:bookmarkStart w:id="880" w:name="_Toc461179871"/>
      <w:bookmarkStart w:id="881" w:name="_Toc461201314"/>
      <w:bookmarkStart w:id="882" w:name="_Toc461547957"/>
      <w:bookmarkStart w:id="883" w:name="_Toc462401996"/>
      <w:bookmarkStart w:id="884" w:name="_Toc462403117"/>
      <w:bookmarkStart w:id="885" w:name="_Toc462403441"/>
      <w:bookmarkStart w:id="886" w:name="_Toc468180560"/>
      <w:bookmarkStart w:id="887" w:name="_Toc468181069"/>
      <w:bookmarkStart w:id="888" w:name="_Toc468191455"/>
      <w:bookmarkStart w:id="889" w:name="_Toc45119970"/>
      <w:bookmarkStart w:id="890" w:name="_Toc58512253"/>
      <w:bookmarkStart w:id="891" w:name="_Toc158036673"/>
      <w:r w:rsidRPr="006A6890">
        <w:rPr>
          <w:rFonts w:asciiTheme="minorHAnsi" w:hAnsiTheme="minorHAnsi"/>
        </w:rPr>
        <w:t>Devizahitelezés kockázata</w:t>
      </w:r>
      <w:bookmarkEnd w:id="879"/>
      <w:bookmarkEnd w:id="880"/>
      <w:bookmarkEnd w:id="881"/>
      <w:bookmarkEnd w:id="882"/>
      <w:bookmarkEnd w:id="883"/>
      <w:bookmarkEnd w:id="884"/>
      <w:bookmarkEnd w:id="885"/>
      <w:bookmarkEnd w:id="886"/>
      <w:bookmarkEnd w:id="887"/>
      <w:bookmarkEnd w:id="888"/>
      <w:bookmarkEnd w:id="889"/>
      <w:bookmarkEnd w:id="890"/>
      <w:bookmarkEnd w:id="891"/>
    </w:p>
    <w:p w14:paraId="7FFFEA47"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A48" w14:textId="77777777" w:rsidR="008A78E3" w:rsidRPr="006A6890" w:rsidRDefault="008A78E3" w:rsidP="009D65E3">
      <w:pPr>
        <w:rPr>
          <w:rFonts w:asciiTheme="minorHAnsi" w:hAnsiTheme="minorHAnsi"/>
        </w:rPr>
      </w:pPr>
      <w:r w:rsidRPr="006A6890">
        <w:rPr>
          <w:rFonts w:asciiTheme="minorHAnsi" w:hAnsiTheme="minorHAnsi"/>
        </w:rPr>
        <w:t>Devizahitelezés kockázata a kölcsönfelvevő lakóhelye/székhelye szerinti ország törvényes fizetőeszközétől eltérő pénznemben történő hitelezésből fakadó veszteség potenciális veszélye.</w:t>
      </w:r>
    </w:p>
    <w:p w14:paraId="7FFFEA49"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A4A" w14:textId="77777777" w:rsidR="008A78E3" w:rsidRPr="006A6890" w:rsidRDefault="008A78E3" w:rsidP="009D65E3">
      <w:pPr>
        <w:rPr>
          <w:rFonts w:asciiTheme="minorHAnsi" w:hAnsiTheme="minorHAnsi"/>
        </w:rPr>
      </w:pPr>
      <w:r w:rsidRPr="006A6890">
        <w:rPr>
          <w:rFonts w:asciiTheme="minorHAnsi" w:hAnsiTheme="minorHAnsi"/>
        </w:rPr>
        <w:t>A hitelkockázat értékelése során az intézményeknek külön kell értékelniük a fedezettel nem rendelkező ügyfelek</w:t>
      </w:r>
      <w:r>
        <w:rPr>
          <w:rStyle w:val="Lbjegyzet-hivatkozs"/>
          <w:rFonts w:asciiTheme="minorHAnsi" w:hAnsiTheme="minorHAnsi"/>
        </w:rPr>
        <w:footnoteReference w:id="52"/>
      </w:r>
      <w:r w:rsidRPr="006A6890">
        <w:rPr>
          <w:rFonts w:asciiTheme="minorHAnsi" w:hAnsiTheme="minorHAnsi"/>
        </w:rPr>
        <w:t xml:space="preserve"> felé fennálló, devizában denominált kitettségekből eredő hitelkockázatot, valamint annak materialitását.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7FFFEA4B" w14:textId="77777777" w:rsidR="008A78E3" w:rsidRPr="006A6890" w:rsidRDefault="008A78E3" w:rsidP="009D65E3">
      <w:pPr>
        <w:rPr>
          <w:rFonts w:asciiTheme="minorHAnsi" w:hAnsiTheme="minorHAnsi"/>
        </w:rPr>
      </w:pPr>
      <w:r w:rsidRPr="006A6890">
        <w:rPr>
          <w:rFonts w:asciiTheme="minorHAnsi" w:hAnsiTheme="minorHAnsi"/>
        </w:rPr>
        <w:t>Összhangban az EBA SREP Ajánlásával materiálisnak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7FFFEA4C"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A4D" w14:textId="77777777" w:rsidR="008A78E3" w:rsidRPr="006A6890" w:rsidRDefault="008A78E3" w:rsidP="009D65E3">
      <w:pPr>
        <w:rPr>
          <w:rFonts w:asciiTheme="minorHAnsi" w:hAnsiTheme="minorHAnsi"/>
        </w:rPr>
      </w:pPr>
      <w:r w:rsidRPr="006A6890">
        <w:rPr>
          <w:rFonts w:asciiTheme="minorHAnsi" w:hAnsiTheme="minorHAnsi"/>
        </w:rPr>
        <w:t>Az MNB elvárja, hogy az intézmények megfelelő kockázatkezelési mechanizmusokat működtessenek a devizahitelezés kockázatainak mérésére és kontrollálására. Ennek keretében az MNB elvárja, hogy az intézmények</w:t>
      </w:r>
    </w:p>
    <w:p w14:paraId="7FFFEA4E"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meghatározzák a devizahitelezéssel kapcsolatos kockázati étvágyukat és devizahitelezési politikájukat, valamint megállapítsanak konkrét limiteket (pl.: kitettség-specifikus küszöbértékeket),</w:t>
      </w:r>
    </w:p>
    <w:p w14:paraId="7FFFEA4F"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tartsák be a devizahitelezéssel kapcsolatosan meghatározott limiteket, de azok potenciális túllépésének esetére is rendelkezzenek megelőző és utólagos kockázatkezelési eljárásokkal,</w:t>
      </w:r>
    </w:p>
    <w:p w14:paraId="7FFFEA50"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felülvizsgálatával kapcsolatos folyamataiba,</w:t>
      </w:r>
    </w:p>
    <w:p w14:paraId="7FFFEA51"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p>
    <w:p w14:paraId="7FFFEA52"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a monitoringozás során az intézmények rendelkezzenek információval az ügyletek devizakockázatáról, melynek során kövessék nyomon az devizahitelezési kitettségek kapcsán a fedezettség szintjét, a természetes fedezettséget (ideértve a devizaszámla meglétét és forgalmát is),</w:t>
      </w:r>
    </w:p>
    <w:p w14:paraId="7FFFEA53"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biztosítsák az árfolyammozgások devizában denominált portfóliók hitelkockázatára gyakorolt hatásának folyamatos monitorozását,</w:t>
      </w:r>
    </w:p>
    <w:p w14:paraId="7FFFEA54"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p>
    <w:p w14:paraId="7FFFEA55"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fedezetértékelési szabályzatukba építsék bele a devizában denominált fedezetek miatti magasabb kockázat prudens kezelésére vonatkozó szabályokat (pl.: magasabb haircut-ok alkalmazása révén), valamint rögzítsék a kitettség és a fedezet eltérő devizaneméből fakadó devizaeltérés (FX mismatch) kezelésére vonatkozó előírásokat; rendszeres időközönként vizsgálják felül a deviza hitelt felvevő ügyfelek fedezeti pozícióját,</w:t>
      </w:r>
    </w:p>
    <w:p w14:paraId="7FFFEA56"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p>
    <w:p w14:paraId="7FFFEA57" w14:textId="77777777" w:rsidR="008A78E3" w:rsidRPr="006A6890" w:rsidRDefault="008A78E3" w:rsidP="00780492">
      <w:pPr>
        <w:numPr>
          <w:ilvl w:val="0"/>
          <w:numId w:val="12"/>
        </w:numPr>
        <w:rPr>
          <w:rFonts w:asciiTheme="minorHAnsi" w:hAnsiTheme="minorHAnsi"/>
        </w:rPr>
      </w:pPr>
      <w:r w:rsidRPr="006A6890">
        <w:rPr>
          <w:rFonts w:asciiTheme="minorHAnsi" w:hAnsiTheme="minorHAnsi"/>
        </w:rPr>
        <w:t xml:space="preserve">építsenek bele egy potenciális árfolyamsokk hatást az EAD kalkulációjukba. </w:t>
      </w:r>
    </w:p>
    <w:p w14:paraId="7FFFEA58" w14:textId="77777777" w:rsidR="008A78E3" w:rsidRPr="006A6890" w:rsidRDefault="008A78E3"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7FFFEA59"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7FFFEA5A"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prudens, előretekintő módon határozzák meg a kapcsolódó tőkeszükségletet, figyelembe véve a koncentrációs kockázatot is (domináns devizák),</w:t>
      </w:r>
    </w:p>
    <w:p w14:paraId="7FFFEA5B"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7FFFEA5C"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 stressz-tesztek során alkalmazzanak kellően súlyos szcenáriókat.</w:t>
      </w:r>
    </w:p>
    <w:p w14:paraId="7FFFEA5D" w14:textId="77777777" w:rsidR="008A78E3" w:rsidRPr="006A6890" w:rsidRDefault="008A78E3" w:rsidP="009D65E3">
      <w:pPr>
        <w:rPr>
          <w:rFonts w:asciiTheme="minorHAnsi" w:hAnsiTheme="minorHAnsi"/>
        </w:rPr>
      </w:pPr>
      <w:r w:rsidRPr="006A6890">
        <w:rPr>
          <w:rFonts w:asciiTheme="minorHAnsi" w:hAnsiTheme="minorHAnsi"/>
        </w:rPr>
        <w:t xml:space="preserve">Az MNB elvárja, hogy az intézmény a természetes fedezettség vizsgálatát rendszeresen, legalább évente végezze el (nem csak hiteljóváhagyáskor). Az előterjesztéseknél az intézménynek külön fejezetben vizsgálnia kell a természetes fedezettség meglétét. A természetes fedezettség vizsgálata terjedjen ki az alábbi szempontokra is: </w:t>
      </w:r>
    </w:p>
    <w:p w14:paraId="7FFFEA5E"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az adós devizaárfolyam-kockázat fedezeti stratégiája,</w:t>
      </w:r>
    </w:p>
    <w:p w14:paraId="7FFFEA5F"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az adós devizás aktuális és jövőbeni várható kiadásai,</w:t>
      </w:r>
    </w:p>
    <w:p w14:paraId="7FFFEA60" w14:textId="77777777" w:rsidR="008A78E3" w:rsidRPr="006A6890" w:rsidRDefault="008A78E3" w:rsidP="00780492">
      <w:pPr>
        <w:numPr>
          <w:ilvl w:val="0"/>
          <w:numId w:val="13"/>
        </w:numPr>
        <w:rPr>
          <w:rFonts w:asciiTheme="minorHAnsi" w:hAnsiTheme="minorHAnsi"/>
        </w:rPr>
      </w:pPr>
      <w:r w:rsidRPr="006A6890">
        <w:rPr>
          <w:rFonts w:asciiTheme="minorHAnsi" w:hAnsiTheme="minorHAnsi"/>
        </w:rPr>
        <w:t>az adós bevételének elemzése, ideértve többek között: bevétele milyen devizanemben keletkezik, közvetve visel-e az adós devizakockázatot (pl.: ha EUR-os bérleti díj ellenére a bérlő bevételei HUF-ban keletkeznek), illetve, hogy az adós értékesítési tevékenysége milyen ország irányába történik (pl.: devizahazai országba, belföldre, vagy harmadik országba. Utóbbi két esetben elemezni szükséges, hogy mennyire érzékeny a kereslet a devizaárfolyam változására).</w:t>
      </w:r>
    </w:p>
    <w:p w14:paraId="7FFFEA61" w14:textId="77777777" w:rsidR="008A78E3" w:rsidRPr="006A6890" w:rsidRDefault="008A78E3" w:rsidP="009D65E3">
      <w:pPr>
        <w:rPr>
          <w:rFonts w:asciiTheme="minorHAnsi" w:hAnsiTheme="minorHAnsi"/>
        </w:rPr>
      </w:pPr>
      <w:r w:rsidRPr="006A6890">
        <w:rPr>
          <w:rFonts w:asciiTheme="minorHAnsi" w:hAnsiTheme="minorHAnsi"/>
        </w:rPr>
        <w:t>Az ICAAP felülvizsgálat során a devizahitelezés kockázatkezelése kapcsán az MNB értékeli a fenti szempontrendszer mentén, hogy a devizahitelezés kockázatának kezelési és tőkekövetelmény-számítási folyamatai, illetve modelljei megfelelően kialakítottak-e, valamint vizsgálja a kockázat fedezéséhez számított tőkeszükséglet megfelelőségét.</w:t>
      </w:r>
    </w:p>
    <w:p w14:paraId="7FFFEA62" w14:textId="77777777" w:rsidR="008A78E3" w:rsidRPr="006A6890" w:rsidRDefault="008A78E3" w:rsidP="009D65E3">
      <w:pPr>
        <w:rPr>
          <w:rFonts w:asciiTheme="minorHAnsi" w:hAnsiTheme="minorHAnsi"/>
        </w:rPr>
      </w:pPr>
      <w:r w:rsidRPr="006A6890">
        <w:rPr>
          <w:rFonts w:asciiTheme="minorHAnsi" w:hAnsiTheme="minorHAnsi"/>
        </w:rPr>
        <w:t xml:space="preserve">Amennyiben az MNB 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7FFFEA63" w14:textId="77777777" w:rsidR="008A78E3" w:rsidRPr="006A6890" w:rsidRDefault="008A78E3" w:rsidP="00181755">
      <w:pPr>
        <w:pStyle w:val="Cmsor4"/>
        <w:rPr>
          <w:rFonts w:asciiTheme="minorHAnsi" w:hAnsiTheme="minorHAnsi"/>
        </w:rPr>
      </w:pPr>
      <w:bookmarkStart w:id="892" w:name="_Toc461095216"/>
      <w:bookmarkStart w:id="893" w:name="_Toc461179872"/>
      <w:bookmarkStart w:id="894" w:name="_Toc461201315"/>
      <w:bookmarkStart w:id="895" w:name="_Toc461547958"/>
      <w:bookmarkStart w:id="896" w:name="_Toc462401997"/>
      <w:bookmarkStart w:id="897" w:name="_Toc462403118"/>
      <w:bookmarkStart w:id="898" w:name="_Toc462403442"/>
      <w:bookmarkStart w:id="899" w:name="_Toc468180561"/>
      <w:bookmarkStart w:id="900" w:name="_Toc468181070"/>
      <w:bookmarkStart w:id="901" w:name="_Toc468191456"/>
      <w:bookmarkStart w:id="902" w:name="_Toc45119971"/>
      <w:bookmarkStart w:id="903" w:name="_Toc58512254"/>
      <w:bookmarkStart w:id="904" w:name="_Toc158036674"/>
      <w:r w:rsidRPr="006A6890">
        <w:rPr>
          <w:rFonts w:asciiTheme="minorHAnsi" w:hAnsiTheme="minorHAnsi"/>
        </w:rPr>
        <w:t>Reziduális kockázat</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7FFFEA64"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A65" w14:textId="77777777" w:rsidR="008A78E3" w:rsidRPr="006A6890" w:rsidRDefault="008A78E3"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7FFFEA66" w14:textId="77777777" w:rsidR="008A78E3" w:rsidRPr="006A6890" w:rsidRDefault="008A78E3" w:rsidP="009D65E3">
      <w:pPr>
        <w:rPr>
          <w:rFonts w:asciiTheme="minorHAnsi" w:hAnsiTheme="minorHAnsi"/>
        </w:rPr>
      </w:pPr>
      <w:r w:rsidRPr="006A6890">
        <w:rPr>
          <w:rFonts w:asciiTheme="minorHAnsi" w:hAnsiTheme="minorHAnsi"/>
        </w:rPr>
        <w:t xml:space="preserve">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likvidációs kockázat), amely a kockázatcsökkentés hatását ronthatja. </w:t>
      </w:r>
    </w:p>
    <w:p w14:paraId="7FFFEA67" w14:textId="77777777" w:rsidR="008A78E3" w:rsidRPr="006A6890" w:rsidRDefault="008A78E3" w:rsidP="009D65E3">
      <w:pPr>
        <w:rPr>
          <w:rFonts w:asciiTheme="minorHAnsi" w:hAnsiTheme="minorHAnsi"/>
        </w:rPr>
      </w:pPr>
      <w:r w:rsidRPr="006A6890">
        <w:rPr>
          <w:rFonts w:asciiTheme="minorHAnsi" w:hAnsiTheme="minorHAnsi"/>
        </w:rPr>
        <w:t xml:space="preserve">Ez a helyzet például akkor, </w:t>
      </w:r>
    </w:p>
    <w:p w14:paraId="7FFFEA68" w14:textId="77777777" w:rsidR="008A78E3" w:rsidRPr="006A6890" w:rsidRDefault="008A78E3"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p>
    <w:p w14:paraId="7FFFEA69" w14:textId="77777777" w:rsidR="008A78E3" w:rsidRPr="006A6890" w:rsidRDefault="008A78E3"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7FFFEA6A"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A6B" w14:textId="77777777" w:rsidR="008A78E3" w:rsidRPr="006A6890" w:rsidRDefault="008A78E3" w:rsidP="009D65E3">
      <w:pPr>
        <w:rPr>
          <w:rFonts w:asciiTheme="minorHAnsi" w:hAnsiTheme="minorHAnsi"/>
        </w:rPr>
      </w:pPr>
      <w:r w:rsidRPr="006A6890">
        <w:rPr>
          <w:rFonts w:asciiTheme="minorHAnsi" w:hAnsiTheme="minorHAnsi"/>
        </w:rPr>
        <w:t xml:space="preserve">A reziduális kockázatot alapvetően 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 </w:t>
      </w:r>
    </w:p>
    <w:p w14:paraId="7FFFEA6C" w14:textId="77777777" w:rsidR="008A78E3" w:rsidRPr="006A6890" w:rsidRDefault="008A78E3" w:rsidP="009D65E3">
      <w:pPr>
        <w:rPr>
          <w:rFonts w:asciiTheme="minorHAnsi" w:hAnsiTheme="minorHAnsi"/>
        </w:rPr>
      </w:pPr>
      <w:r w:rsidRPr="006A6890">
        <w:rPr>
          <w:rFonts w:asciiTheme="minorHAnsi" w:hAnsiTheme="minorHAnsi"/>
        </w:rPr>
        <w:t>A reziduális kockázat nyomon követésére és mérséklésére szolgálhatnak a kockázati limitek is. Az intézmény reziduális kockázati limitek (többek között i) fedezetek érvényesíthetőségéhez (pl.: garanciák lehívhatóságának sikeressége), ii) ingatlanárak jelentős elmozdulásához (pl.: árindex változása), valamint iii) fedezetekhez kapcsolódó csalások, jogi eljárások gyakoriságához, veszteségéhez (akár működési kockázaton belül) kapcsolódó limitek) alkalmazásával korlátozhatja a kockázatát. Fontos, hogy a szakmai terület meghatározott időközönként beszámoljon a vezető területnek a limitek eredményeiről, vagy legalább az effektív trigger szintet elérő, vagy azt meghaladó értékekről és a megfogalmazott akciótervekről, végrehajtott intézkedésekről.</w:t>
      </w:r>
    </w:p>
    <w:p w14:paraId="7FFFEA6D" w14:textId="77777777" w:rsidR="008A78E3" w:rsidRPr="006A6890" w:rsidRDefault="008A78E3"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7FFFEA6E"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A6F" w14:textId="77777777" w:rsidR="008A78E3" w:rsidRPr="006A6890" w:rsidRDefault="008A78E3"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7FFFEA70" w14:textId="77777777" w:rsidR="008A78E3" w:rsidRPr="006A6890" w:rsidRDefault="008A78E3" w:rsidP="009D65E3">
      <w:pPr>
        <w:rPr>
          <w:rFonts w:asciiTheme="minorHAnsi" w:hAnsiTheme="minorHAnsi"/>
        </w:rPr>
      </w:pPr>
      <w:r w:rsidRPr="006A6890">
        <w:rPr>
          <w:rFonts w:asciiTheme="minorHAnsi" w:hAnsiTheme="minorHAnsi"/>
        </w:rPr>
        <w:t xml:space="preserve">Az MNB a teljeskörű ICAAP felülvizsgálatok során az intézmények esetén a reziduális kockázatok számbavételének módját és tőkekövetelményét elsősorban csak az LGD-becslési módszertan vonatkozásában vizsgálja. Léteznek ugyanakkor a reziduális kockázatokkal kapcsolatosan olyan felügyeleti elvárások is, melyek többek között a fedezetek kezelését, értékelését, nyilvántartását, érvényesíthetőségét érintik, amelyeket az MNB jellemzően a folyamatos felügyelés keretében, valamint az átfogó és célvizsgálatok során értékel. </w:t>
      </w:r>
    </w:p>
    <w:p w14:paraId="7FFFEA71" w14:textId="77777777" w:rsidR="008A78E3" w:rsidRPr="006A6890" w:rsidRDefault="008A78E3" w:rsidP="009D65E3">
      <w:pPr>
        <w:rPr>
          <w:rFonts w:asciiTheme="minorHAnsi" w:hAnsiTheme="minorHAnsi"/>
        </w:rPr>
      </w:pPr>
      <w:r w:rsidRPr="006A6890">
        <w:rPr>
          <w:rFonts w:asciiTheme="minorHAnsi" w:hAnsiTheme="minorHAnsi"/>
        </w:rPr>
        <w:t xml:space="preserve">Az MNB minimálisan a következőket várja el a teljeskörű ICAAP felülvizsgálat keretében: </w:t>
      </w:r>
    </w:p>
    <w:p w14:paraId="7FFFEA72"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intézmények mérjék fel és monitoringozzák a kezesek és a fedezetek megoszlását, valamint indokolt esetben (pl.: jelentős koncentráció esetén) tegyék meg a szükséges intézkedéseket.  </w:t>
      </w:r>
    </w:p>
    <w:p w14:paraId="7FFFEA73"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7FFFEA74"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 gyűjtsék a fedezetekből származó megtérülési adatokat, a megtérüléshez kapcsolódó költségeket, valamint készítsenek rendszeres elemzést a tapasztalatokról, és számszerűsítsék a fedezetek értékcsökkenéséből, korlátozott érvényesíthetőségéből származó potenciális veszteségeket.</w:t>
      </w:r>
    </w:p>
    <w:p w14:paraId="7FFFEA75"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Dolgozzanak ki részletes módszertant a fedezetérték-diszkontokra vonatkozó szabályok felülvizsgálatára és visszamérésére vonatkozóan. Az intézményeknek legalább évente dokumentáltan szükséges visszamérniük az általuk alkalmazott fedezetérték diszkontok megfelelőségét a tényleges tapasztalatok, illetve a fedezeti megtérülési adatok alapján. Amennyiben a visszamérés eredménye indokolja, akkor szükséges a diszkontokat módosítani. </w:t>
      </w:r>
    </w:p>
    <w:p w14:paraId="7FFFEA76"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 vizsgálják a fedezet és a fedezetnyújtó hitelképessége közötti összefüggést, és jelentős korreláció esetén tegyék meg a szükséges lépéseket (pl.: konzervatívabb fedezeti szorzó vagy LGD-ben egyéb konzervatív pótlék alkalmazásával)</w:t>
      </w:r>
      <w:r>
        <w:rPr>
          <w:rStyle w:val="Lbjegyzet-hivatkozs"/>
          <w:rFonts w:asciiTheme="minorHAnsi" w:hAnsiTheme="minorHAnsi"/>
        </w:rPr>
        <w:footnoteReference w:id="53"/>
      </w:r>
      <w:r w:rsidRPr="006A6890">
        <w:rPr>
          <w:rFonts w:asciiTheme="minorHAnsi" w:hAnsiTheme="minorHAnsi"/>
        </w:rPr>
        <w:t xml:space="preserve">. </w:t>
      </w:r>
    </w:p>
    <w:p w14:paraId="7FFFEA77"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 megfelelően kezeljék a rendszereikben, a kockázatkezelésükben és a tőkekövetelmény-számításukban a fedezet-ügylet allokációt.</w:t>
      </w:r>
    </w:p>
    <w:p w14:paraId="7FFFEA78" w14:textId="77777777" w:rsidR="008A78E3" w:rsidRPr="006A6890" w:rsidRDefault="008A78E3" w:rsidP="009D65E3">
      <w:pPr>
        <w:rPr>
          <w:rFonts w:asciiTheme="minorHAnsi" w:hAnsiTheme="minorHAnsi"/>
        </w:rPr>
      </w:pPr>
      <w:r w:rsidRPr="006A6890">
        <w:rPr>
          <w:rFonts w:asciiTheme="minorHAnsi" w:hAnsiTheme="minorHAnsi"/>
        </w:rPr>
        <w:t>Az intézmények a saját LGD becslésükben vegyék figyelembe az alkalmazott fedezeti érték meghatározásánál a megelőző terheket, valamint a fedezetekből származó reális megtérülést (pl.: visszamért fedezetérték-diszkontok révén). Fontos továbbá, hogy az LGD becslés során az intézmények a fedezeti adatokra vonatkozó megfelelő adatminőséggel biztosítsák a becslés megfelelőségét és pontosságát.</w:t>
      </w:r>
    </w:p>
    <w:p w14:paraId="7FFFEA79" w14:textId="77777777" w:rsidR="008A78E3" w:rsidRPr="006A6890" w:rsidRDefault="008A78E3" w:rsidP="00181755">
      <w:pPr>
        <w:pStyle w:val="Cmsor4"/>
        <w:rPr>
          <w:rStyle w:val="Kiemels"/>
          <w:rFonts w:asciiTheme="minorHAnsi" w:hAnsiTheme="minorHAnsi"/>
          <w:i/>
          <w:iCs/>
        </w:rPr>
      </w:pPr>
      <w:bookmarkStart w:id="905" w:name="_Toc461095217"/>
      <w:bookmarkStart w:id="906" w:name="_Toc461179873"/>
      <w:bookmarkStart w:id="907" w:name="_Toc461201316"/>
      <w:bookmarkStart w:id="908" w:name="_Toc461547959"/>
      <w:bookmarkStart w:id="909" w:name="_Toc462401998"/>
      <w:bookmarkStart w:id="910" w:name="_Toc462403119"/>
      <w:bookmarkStart w:id="911" w:name="_Toc462403443"/>
      <w:bookmarkStart w:id="912" w:name="_Toc468180562"/>
      <w:bookmarkStart w:id="913" w:name="_Toc468181071"/>
      <w:bookmarkStart w:id="914" w:name="_Toc468191457"/>
      <w:bookmarkStart w:id="915" w:name="_Toc45119972"/>
      <w:bookmarkStart w:id="916" w:name="_Toc58512255"/>
      <w:bookmarkStart w:id="917" w:name="_Toc158036675"/>
      <w:r w:rsidRPr="006A6890">
        <w:rPr>
          <w:rStyle w:val="Kiemels"/>
          <w:rFonts w:asciiTheme="minorHAnsi" w:hAnsiTheme="minorHAnsi"/>
          <w:i/>
          <w:iCs/>
        </w:rPr>
        <w:t>Elszámolási</w:t>
      </w:r>
      <w:r>
        <w:rPr>
          <w:rStyle w:val="Kiemels"/>
          <w:rFonts w:asciiTheme="minorHAnsi" w:hAnsiTheme="minorHAnsi"/>
          <w:i/>
          <w:iCs/>
        </w:rPr>
        <w:t>/szállítási</w:t>
      </w:r>
      <w:r w:rsidRPr="006A6890">
        <w:rPr>
          <w:rStyle w:val="Kiemels"/>
          <w:rFonts w:asciiTheme="minorHAnsi" w:hAnsiTheme="minorHAnsi"/>
          <w:i/>
          <w:iCs/>
        </w:rPr>
        <w:t xml:space="preserve"> kockázat (settlement risk)</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7FFFEA7A"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A7B" w14:textId="77777777" w:rsidR="008A78E3" w:rsidRPr="006A6890" w:rsidRDefault="008A78E3" w:rsidP="009D65E3">
      <w:pPr>
        <w:rPr>
          <w:rFonts w:asciiTheme="minorHAnsi" w:hAnsiTheme="minorHAnsi"/>
        </w:rPr>
      </w:pPr>
      <w:r w:rsidRPr="006A6890">
        <w:rPr>
          <w:rFonts w:asciiTheme="minorHAnsi" w:hAnsiTheme="minorHAnsi"/>
        </w:rPr>
        <w:t>Az elszámolási kockázat</w:t>
      </w:r>
      <w:r w:rsidRPr="006A6890">
        <w:rPr>
          <w:rStyle w:val="Lbjegyzet-hivatkozs"/>
          <w:rFonts w:asciiTheme="minorHAnsi" w:hAnsiTheme="minorHAnsi"/>
        </w:rPr>
        <w:t xml:space="preserve"> </w:t>
      </w:r>
      <w:r w:rsidRPr="006A6890">
        <w:rPr>
          <w:rFonts w:asciiTheme="minorHAnsi" w:hAnsiTheme="minorHAnsi"/>
        </w:rPr>
        <w:t>annak a kockázata, hogy az ügyletben</w:t>
      </w:r>
      <w:r>
        <w:rPr>
          <w:rStyle w:val="Lbjegyzet-hivatkozs"/>
          <w:rFonts w:asciiTheme="minorHAnsi" w:hAnsiTheme="minorHAnsi"/>
        </w:rPr>
        <w:footnoteReference w:id="54"/>
      </w:r>
      <w:r w:rsidRPr="006A6890">
        <w:rPr>
          <w:rFonts w:asciiTheme="minorHAnsi" w:hAnsiTheme="minorHAnsi"/>
        </w:rPr>
        <w:t xml:space="preserve"> részt vevő egyik fél az elszámolás időpontjában nem vagy nem a szerződés szerint teljesíti szállítási/fizetési kötelezettségét, aminek következtében a másik félnek pénzügyi vesztesége keletkezik. Az elszámolási kockázat magában foglalhat hitel- és likviditási kockázati elemeket is, amennyiben az származhat a nem teljesítő fél fizetőképességének romlásából, esetleges csődjéből, illetve a piaci, likviditási körülmények kedvezőtlen alakulásából.</w:t>
      </w:r>
    </w:p>
    <w:p w14:paraId="7FFFEA7C"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A7D" w14:textId="77777777" w:rsidR="008A78E3" w:rsidRPr="006A6890" w:rsidRDefault="008A78E3" w:rsidP="009D65E3">
      <w:pPr>
        <w:rPr>
          <w:rFonts w:asciiTheme="minorHAnsi" w:hAnsiTheme="minorHAnsi"/>
        </w:rPr>
      </w:pPr>
      <w:r w:rsidRPr="006A6890">
        <w:rPr>
          <w:rFonts w:asciiTheme="minorHAnsi" w:hAnsiTheme="minorHAnsi"/>
        </w:rPr>
        <w:t>Az elszámolási kockázat megítélésekor, a CRR 378. cikk által előírt módszertant követve a kockázat nagysága - az ügylet értéke mellett - teljesítés időbeli késedelmének mértékétől függ. A CRR az 1. pillérben a szállítási határidőt követő ötödik munkanaptól (SD</w:t>
      </w:r>
      <w:r>
        <w:rPr>
          <w:rFonts w:asciiTheme="minorHAnsi" w:hAnsiTheme="minorHAnsi"/>
          <w:vertAlign w:val="superscript"/>
        </w:rPr>
        <w:footnoteReference w:id="55"/>
      </w:r>
      <w:r w:rsidRPr="006A6890">
        <w:rPr>
          <w:rFonts w:asciiTheme="minorHAnsi" w:hAnsiTheme="minorHAnsi"/>
        </w:rPr>
        <w:t>+5), vagyis a négy munkanapot meghaladó késedelem esetén tekinti az elszámolási kockázatot ténylegesnek.</w:t>
      </w:r>
    </w:p>
    <w:p w14:paraId="7FFFEA7E" w14:textId="77777777" w:rsidR="008A78E3" w:rsidRPr="006A6890" w:rsidRDefault="008A78E3"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 késedelemmel történik meg az ügyletek elszámolása.</w:t>
      </w:r>
      <w:r>
        <w:rPr>
          <w:rFonts w:asciiTheme="minorHAnsi" w:hAnsiTheme="minorHAnsi"/>
          <w:vertAlign w:val="superscript"/>
        </w:rPr>
        <w:footnoteReference w:id="56"/>
      </w:r>
      <w:r w:rsidRPr="006A6890">
        <w:rPr>
          <w:rFonts w:asciiTheme="minorHAnsi" w:hAnsiTheme="minorHAnsi"/>
        </w:rPr>
        <w:t xml:space="preserve"> Tekintettel arra, hogy az elszámolási napot követő négy munkanapon belül teljesített (elszámolt) ügyletek is pótlási többletköltséggel járhatnak, az MNB az ICAAP keretében ezek nyomon követését, kezelését is szükségesnek ítéli.</w:t>
      </w:r>
    </w:p>
    <w:p w14:paraId="7FFFEA7F" w14:textId="77777777" w:rsidR="008A78E3" w:rsidRPr="006A6890" w:rsidRDefault="008A78E3" w:rsidP="009D65E3">
      <w:pPr>
        <w:rPr>
          <w:rFonts w:asciiTheme="minorHAnsi" w:hAnsiTheme="minorHAnsi"/>
        </w:rPr>
      </w:pPr>
      <w:r w:rsidRPr="006A6890">
        <w:rPr>
          <w:rFonts w:asciiTheme="minorHAnsi" w:hAnsiTheme="minorHAnsi"/>
        </w:rPr>
        <w:t xml:space="preserve">Az elszámolási kockázat számszerűsítésének alapja a nem teljesített ügyletnek a teljesítés időpontjában érvényes piaci értéke és a szerződésben rögzített (kötési) érték pozitív különbözete, azaz a pótlási költség. A kockázat mértékét tehát az árfolyam változékonysága, valamint az ügyletkötés és szerződés szerinti teljesítés között eltelt idő hossza befolyásolja. A partner nem-teljesítése az ügyleten elérhető árfolyamnyereség elmaradását jelentheti, vagyis a szerződéses ár és a nem-teljesítéskori árfolyam különbségeként meghatározott pótlási költség kiegészülhet az árfolyam-nyereség elmaradásának vagy csökkentett értéken történő realizálásának „alternatív költségével” is.  </w:t>
      </w:r>
    </w:p>
    <w:p w14:paraId="7FFFEA80" w14:textId="77777777" w:rsidR="008A78E3" w:rsidRPr="006A6890" w:rsidRDefault="008A78E3"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7FFFEA81"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7FFFEA82" w14:textId="77777777" w:rsidR="008A78E3" w:rsidRPr="006A6890" w:rsidRDefault="008A78E3"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7FFFEA83" w14:textId="77777777" w:rsidR="008A78E3" w:rsidRPr="006A6890" w:rsidRDefault="008A78E3"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7FFFEA84" w14:textId="77777777" w:rsidR="008A78E3" w:rsidRPr="006A6890" w:rsidRDefault="008A78E3"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p>
    <w:p w14:paraId="7FFFEA85" w14:textId="77777777" w:rsidR="008A78E3" w:rsidRPr="006A6890" w:rsidRDefault="008A78E3" w:rsidP="009D65E3">
      <w:pPr>
        <w:rPr>
          <w:rFonts w:asciiTheme="minorHAnsi" w:hAnsiTheme="minorHAnsi"/>
        </w:rPr>
      </w:pPr>
      <w:r w:rsidRPr="006A6890">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 lehet a pótlólagos tőkeképzés.</w:t>
      </w:r>
    </w:p>
    <w:p w14:paraId="7FFFEA86" w14:textId="77777777" w:rsidR="008A78E3" w:rsidRPr="006A6890" w:rsidRDefault="008A78E3" w:rsidP="00181755">
      <w:pPr>
        <w:rPr>
          <w:rFonts w:asciiTheme="minorHAnsi" w:hAnsiTheme="minorHAnsi"/>
          <w:b/>
        </w:rPr>
      </w:pPr>
      <w:r w:rsidRPr="006A6890">
        <w:rPr>
          <w:rFonts w:asciiTheme="minorHAnsi" w:hAnsiTheme="minorHAnsi"/>
          <w:b/>
        </w:rPr>
        <w:t>ICAAP felülvizsgálat, tőkeszükséglet számítás</w:t>
      </w:r>
    </w:p>
    <w:p w14:paraId="7FFFEA87" w14:textId="77777777" w:rsidR="008A78E3" w:rsidRPr="006A6890" w:rsidRDefault="008A78E3" w:rsidP="00EA0541">
      <w:pPr>
        <w:rPr>
          <w:rFonts w:asciiTheme="minorHAnsi" w:hAnsiTheme="minorHAnsi"/>
        </w:rPr>
      </w:pPr>
      <w:r w:rsidRPr="006A6890">
        <w:rPr>
          <w:rFonts w:asciiTheme="minorHAnsi" w:hAnsiTheme="minorHAnsi"/>
        </w:rPr>
        <w:t>A CRR előírásai szerint az 1. pillérben a pótlólagos tőkekövetelmény alapja a nem teljesített ügyletnek a teljesítés időpontjában érvényes piaci értéke és a szerződésben rögzített (kötési) érték pozitív különbözete, vagyis a pótlási költség, amelynek értékét a 378. cikk 1. táblázatában foglalt súlyokkal szorozva adódik a tőkeszükséglet. A táblázatban az 5 munkanapnál rövidebb késedelem esetén nulla százalékos súlyt tartalmaz, az ilyen ügyletek kockázatára a szabályozói pillérben nem szükséges tőkét allokálni.</w:t>
      </w:r>
    </w:p>
    <w:p w14:paraId="7FFFEA88" w14:textId="77777777" w:rsidR="008A78E3" w:rsidRPr="006A6890" w:rsidRDefault="008A78E3" w:rsidP="00EA0541">
      <w:pPr>
        <w:rPr>
          <w:rFonts w:asciiTheme="minorHAnsi" w:hAnsiTheme="minorHAnsi"/>
        </w:rPr>
      </w:pPr>
      <w:r w:rsidRPr="006A6890">
        <w:rPr>
          <w:rFonts w:asciiTheme="minorHAnsi" w:hAnsiTheme="minorHAnsi"/>
        </w:rPr>
        <w:t>Az MNB az ICAAP felül</w:t>
      </w:r>
      <w:r>
        <w:rPr>
          <w:rFonts w:asciiTheme="minorHAnsi" w:hAnsiTheme="minorHAnsi"/>
        </w:rPr>
        <w:t>v</w:t>
      </w:r>
      <w:r w:rsidRPr="006A6890">
        <w:rPr>
          <w:rFonts w:asciiTheme="minorHAnsi" w:hAnsiTheme="minorHAnsi"/>
        </w:rPr>
        <w:t>izsgálat során a tőkeszükséglet meghatározására az 1. pillérben alkalmazott megközelítést alapvetően megfelelőnek tartja, ugyanakkor néhány szempontból az ott előírtaknál szigorúbb eljárást tart célszerűnek. Egyrészt a négy munkanapon belüli késedelem helyett a nulla százalékos súly használatának lehetőségét a 2 munkanapos késedelemre tartja célszerűnek csökkenteni, tekintve, hogy a pótlási költség ezen ügyletek esetén is megjelenik. Az alkalmazandó kockázati súly megegyezik az említett táblázat 5-15 napos sávjához rendelt értékkel, azaz: 8%.</w:t>
      </w:r>
    </w:p>
    <w:p w14:paraId="7FFFEA89" w14:textId="77777777" w:rsidR="008A78E3" w:rsidRPr="006A6890" w:rsidRDefault="008A78E3" w:rsidP="009319E7">
      <w:pPr>
        <w:pStyle w:val="Cmsor4"/>
        <w:rPr>
          <w:rStyle w:val="Kiemels"/>
          <w:rFonts w:asciiTheme="minorHAnsi" w:hAnsiTheme="minorHAnsi"/>
          <w:i/>
          <w:iCs/>
        </w:rPr>
      </w:pPr>
      <w:bookmarkStart w:id="918" w:name="_Toc118450018"/>
      <w:bookmarkEnd w:id="918"/>
      <w:r w:rsidRPr="006A6890">
        <w:rPr>
          <w:rFonts w:asciiTheme="minorHAnsi" w:hAnsiTheme="minorHAnsi"/>
        </w:rPr>
        <w:t xml:space="preserve"> </w:t>
      </w:r>
      <w:bookmarkStart w:id="919" w:name="_Toc45119973"/>
      <w:bookmarkStart w:id="920" w:name="_Toc58512256"/>
      <w:bookmarkStart w:id="921" w:name="_Toc158036676"/>
      <w:r w:rsidRPr="006A6890">
        <w:rPr>
          <w:rStyle w:val="Kiemels"/>
          <w:rFonts w:asciiTheme="minorHAnsi" w:hAnsiTheme="minorHAnsi"/>
          <w:i/>
          <w:iCs/>
        </w:rPr>
        <w:t>Nyitva szállítás</w:t>
      </w:r>
      <w:bookmarkEnd w:id="919"/>
      <w:bookmarkEnd w:id="920"/>
      <w:bookmarkEnd w:id="921"/>
      <w:r w:rsidRPr="006A6890">
        <w:rPr>
          <w:rStyle w:val="Kiemels"/>
          <w:rFonts w:asciiTheme="minorHAnsi" w:hAnsiTheme="minorHAnsi"/>
          <w:i/>
          <w:iCs/>
        </w:rPr>
        <w:t xml:space="preserve"> </w:t>
      </w:r>
    </w:p>
    <w:p w14:paraId="7FFFEA8A" w14:textId="77777777" w:rsidR="008A78E3" w:rsidRPr="006A6890" w:rsidRDefault="008A78E3" w:rsidP="00A4040E">
      <w:pPr>
        <w:rPr>
          <w:rFonts w:asciiTheme="minorHAnsi" w:hAnsiTheme="minorHAnsi"/>
          <w:b/>
        </w:rPr>
      </w:pPr>
      <w:r w:rsidRPr="006A6890">
        <w:rPr>
          <w:rFonts w:asciiTheme="minorHAnsi" w:hAnsiTheme="minorHAnsi"/>
          <w:b/>
        </w:rPr>
        <w:t>Definíció</w:t>
      </w:r>
    </w:p>
    <w:p w14:paraId="7FFFEA8B" w14:textId="77777777" w:rsidR="008A78E3" w:rsidRPr="006A6890" w:rsidRDefault="008A78E3" w:rsidP="00EA0541">
      <w:pPr>
        <w:rPr>
          <w:rFonts w:asciiTheme="minorHAnsi" w:hAnsiTheme="minorHAnsi"/>
        </w:rPr>
      </w:pPr>
      <w:r w:rsidRPr="006A6890">
        <w:rPr>
          <w:rFonts w:asciiTheme="minorHAnsi" w:hAnsiTheme="minorHAnsi"/>
        </w:rPr>
        <w:t>A nyitva szállítási kockázat az értékpapír, deviza, áru vagy azok származékos instrumentumaira vonatkozó adásvételi ügyletek esetén akkor jelentkezik, amikor a tranzakcióban részt vevő egyik fél visszavonhatatlanul teljesíti szerződéses kötelezettségét, hogy a másik fél részéről a teljesítése még nem történt meg, szállít mielőtt a másik fél fizetést teljesít vagy fizet mielőtt a másik fél szállít. Az egyoldalú teljesítés nyomán lényegében hitelviszony keletkezik, ahol a nem teljesítő fél az adós.</w:t>
      </w:r>
    </w:p>
    <w:p w14:paraId="7FFFEA8C" w14:textId="77777777" w:rsidR="008A78E3" w:rsidRPr="006A6890" w:rsidRDefault="008A78E3" w:rsidP="00A4040E">
      <w:pPr>
        <w:rPr>
          <w:rFonts w:asciiTheme="minorHAnsi" w:hAnsiTheme="minorHAnsi"/>
          <w:b/>
        </w:rPr>
      </w:pPr>
      <w:r w:rsidRPr="006A6890">
        <w:rPr>
          <w:rFonts w:asciiTheme="minorHAnsi" w:hAnsiTheme="minorHAnsi"/>
          <w:b/>
        </w:rPr>
        <w:t>Kockázatértékelés és -kezelés</w:t>
      </w:r>
    </w:p>
    <w:p w14:paraId="7FFFEA8D" w14:textId="77777777" w:rsidR="008A78E3" w:rsidRPr="006A6890" w:rsidRDefault="008A78E3"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értékével vagy a teljes kifizetett vételárral egyezik meg.</w:t>
      </w:r>
    </w:p>
    <w:p w14:paraId="7FFFEA8E" w14:textId="77777777" w:rsidR="008A78E3" w:rsidRPr="006A6890" w:rsidRDefault="008A78E3" w:rsidP="00EA0541">
      <w:pPr>
        <w:rPr>
          <w:rFonts w:asciiTheme="minorHAnsi" w:hAnsiTheme="minorHAnsi"/>
        </w:rPr>
      </w:pPr>
      <w:r w:rsidRPr="006A6890">
        <w:rPr>
          <w:rFonts w:asciiTheme="minorHAnsi" w:hAnsiTheme="minorHAnsi"/>
        </w:rPr>
        <w:t>A nyitva szállítás kockázatát ugyanakkor megszüntetheti, illetve csökkentheti a DVP (delivery versus payment), illetve RVP (receive versus payment) elvű elszámolás, illetve a központi szerződő fél</w:t>
      </w:r>
      <w:r>
        <w:rPr>
          <w:rStyle w:val="Lbjegyzet-hivatkozs"/>
          <w:rFonts w:asciiTheme="minorHAnsi" w:hAnsiTheme="minorHAnsi"/>
        </w:rPr>
        <w:footnoteReference w:id="57"/>
      </w:r>
      <w:r w:rsidRPr="006A6890">
        <w:rPr>
          <w:rFonts w:asciiTheme="minorHAnsi" w:hAnsiTheme="minorHAnsi"/>
        </w:rPr>
        <w:t xml:space="preserve"> (central counterparty, CCP) partnerek közé állása, vagy a CLS rendszer</w:t>
      </w:r>
      <w:r>
        <w:rPr>
          <w:rFonts w:asciiTheme="minorHAnsi" w:hAnsiTheme="minorHAnsi"/>
          <w:vertAlign w:val="superscript"/>
        </w:rPr>
        <w:footnoteReference w:id="58"/>
      </w:r>
      <w:r w:rsidRPr="006A6890">
        <w:rPr>
          <w:rFonts w:asciiTheme="minorHAnsi" w:hAnsiTheme="minorHAnsi"/>
        </w:rPr>
        <w:t xml:space="preserve"> használata. Mivel az elszámolási rendszerek mechanizmusai – ezen eszközök, elvek alkalmazásával – többnyire biztosítják a nyitva szállítási kockázat minimalizálását, az elszámolóházakon (CCP-ken) keresztüli elszámolások kockázata a pótlási költségre korlátozódik. Az elszámolóházakon kívül bilaterálisan elszámolt ügyletek során azonban – a partner minősítésétől függően – szükséges figyelembe venni, monitorozni és kezelni a nyitva szállítás kockázatát is, ez esetben ugyanis nincs olyan, az ügyletkötő felek között álló harmadik fél, illetve mechanizmus, amely biztosíthatná a DVP (RVP) elv érvényesülését. E tekintetben az intézménytől elvárt a limit- és partnerminősítési rendszerek alkalmazása, és a megfelelő monitoring tevékenység.</w:t>
      </w:r>
    </w:p>
    <w:p w14:paraId="7FFFEA8F" w14:textId="77777777" w:rsidR="008A78E3" w:rsidRPr="006A6890" w:rsidRDefault="008A78E3" w:rsidP="00A4040E">
      <w:pPr>
        <w:rPr>
          <w:rFonts w:asciiTheme="minorHAnsi" w:hAnsiTheme="minorHAnsi"/>
          <w:b/>
        </w:rPr>
      </w:pPr>
      <w:r w:rsidRPr="006A6890">
        <w:rPr>
          <w:rFonts w:asciiTheme="minorHAnsi" w:hAnsiTheme="minorHAnsi"/>
          <w:b/>
        </w:rPr>
        <w:t>ICAAP felülvizsgálat, tőkeszükséglet számítás</w:t>
      </w:r>
    </w:p>
    <w:p w14:paraId="7FFFEA90" w14:textId="77777777" w:rsidR="008A78E3" w:rsidRPr="006A6890" w:rsidRDefault="008A78E3"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 illetve a tőkeszükséglet bank általi meghatározásának megítélésekor az említett cikkben foglaltakat tekinti irányadónak.</w:t>
      </w:r>
    </w:p>
    <w:p w14:paraId="7FFFEA91" w14:textId="77777777" w:rsidR="008A78E3" w:rsidRPr="006A6890" w:rsidRDefault="008A78E3" w:rsidP="00181755">
      <w:pPr>
        <w:pStyle w:val="Cmsor4"/>
        <w:rPr>
          <w:rFonts w:asciiTheme="minorHAnsi" w:hAnsiTheme="minorHAnsi"/>
        </w:rPr>
      </w:pPr>
      <w:bookmarkStart w:id="922" w:name="_Toc461095218"/>
      <w:bookmarkStart w:id="923" w:name="_Toc461179874"/>
      <w:bookmarkStart w:id="924" w:name="_Toc461201317"/>
      <w:bookmarkStart w:id="925" w:name="_Toc461547960"/>
      <w:bookmarkStart w:id="926" w:name="_Toc462401999"/>
      <w:bookmarkStart w:id="927" w:name="_Toc462403120"/>
      <w:bookmarkStart w:id="928" w:name="_Toc462403444"/>
      <w:bookmarkStart w:id="929" w:name="_Toc468180563"/>
      <w:bookmarkStart w:id="930" w:name="_Toc468181072"/>
      <w:bookmarkStart w:id="931" w:name="_Toc468191458"/>
      <w:bookmarkStart w:id="932" w:name="_Toc45119974"/>
      <w:bookmarkStart w:id="933" w:name="_Toc58512257"/>
      <w:bookmarkStart w:id="934" w:name="_Toc158036677"/>
      <w:r w:rsidRPr="006A6890">
        <w:rPr>
          <w:rFonts w:asciiTheme="minorHAnsi" w:hAnsiTheme="minorHAnsi"/>
        </w:rPr>
        <w:t>Értékpapírosítás kockázata</w:t>
      </w:r>
      <w:r>
        <w:rPr>
          <w:rFonts w:asciiTheme="minorHAnsi" w:hAnsiTheme="minorHAnsi"/>
          <w:vertAlign w:val="superscript"/>
        </w:rPr>
        <w:footnoteReference w:id="59"/>
      </w:r>
      <w:bookmarkEnd w:id="922"/>
      <w:bookmarkEnd w:id="923"/>
      <w:bookmarkEnd w:id="924"/>
      <w:bookmarkEnd w:id="925"/>
      <w:bookmarkEnd w:id="926"/>
      <w:bookmarkEnd w:id="927"/>
      <w:bookmarkEnd w:id="928"/>
      <w:bookmarkEnd w:id="929"/>
      <w:bookmarkEnd w:id="930"/>
      <w:bookmarkEnd w:id="931"/>
      <w:bookmarkEnd w:id="932"/>
      <w:bookmarkEnd w:id="933"/>
      <w:bookmarkEnd w:id="934"/>
    </w:p>
    <w:p w14:paraId="7FFFEA92" w14:textId="77777777" w:rsidR="008A78E3" w:rsidRPr="006A6890" w:rsidRDefault="008A78E3" w:rsidP="004C2D3B">
      <w:pPr>
        <w:rPr>
          <w:rFonts w:asciiTheme="minorHAnsi" w:hAnsiTheme="minorHAnsi"/>
          <w:b/>
        </w:rPr>
      </w:pPr>
      <w:r w:rsidRPr="006A6890">
        <w:rPr>
          <w:rFonts w:asciiTheme="minorHAnsi" w:hAnsiTheme="minorHAnsi"/>
          <w:b/>
        </w:rPr>
        <w:t>Definíció</w:t>
      </w:r>
    </w:p>
    <w:p w14:paraId="7FFFEA93" w14:textId="77777777" w:rsidR="008A78E3" w:rsidRPr="006A6890" w:rsidRDefault="008A78E3" w:rsidP="004C2D3B">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7FFFEA94" w14:textId="77777777" w:rsidR="008A78E3" w:rsidRPr="006A6890" w:rsidRDefault="008A78E3" w:rsidP="004C2D3B">
      <w:pPr>
        <w:rPr>
          <w:rFonts w:asciiTheme="minorHAnsi" w:hAnsiTheme="minorHAnsi"/>
          <w:b/>
        </w:rPr>
      </w:pPr>
      <w:r w:rsidRPr="006A6890">
        <w:rPr>
          <w:rFonts w:asciiTheme="minorHAnsi" w:hAnsiTheme="minorHAnsi"/>
          <w:b/>
        </w:rPr>
        <w:t>Kockázatértékelés és -kezelés</w:t>
      </w:r>
    </w:p>
    <w:p w14:paraId="7FFFEA95" w14:textId="77777777" w:rsidR="008A78E3" w:rsidRPr="006A6890" w:rsidRDefault="008A78E3" w:rsidP="004C2D3B">
      <w:pPr>
        <w:rPr>
          <w:rFonts w:asciiTheme="minorHAnsi" w:hAnsiTheme="minorHAnsi"/>
        </w:rPr>
      </w:pPr>
      <w:r w:rsidRPr="006A6890">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7FFFEA96" w14:textId="77777777" w:rsidR="008A78E3" w:rsidRPr="006A6890" w:rsidRDefault="008A78E3" w:rsidP="004C2D3B">
      <w:pPr>
        <w:rPr>
          <w:rFonts w:asciiTheme="minorHAnsi" w:hAnsiTheme="minorHAnsi"/>
          <w:b/>
        </w:rPr>
      </w:pPr>
      <w:r w:rsidRPr="006A6890">
        <w:rPr>
          <w:rFonts w:asciiTheme="minorHAnsi" w:hAnsiTheme="minorHAnsi"/>
          <w:b/>
        </w:rPr>
        <w:t>ICAAP felülvizsgálat</w:t>
      </w:r>
    </w:p>
    <w:p w14:paraId="7FFFEA97" w14:textId="77777777" w:rsidR="008A78E3" w:rsidRPr="006A6890" w:rsidRDefault="008A78E3"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7FFFEA98" w14:textId="77777777" w:rsidR="008A78E3" w:rsidRPr="006A6890" w:rsidRDefault="008A78E3"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7FFFEA99" w14:textId="77777777" w:rsidR="008A78E3" w:rsidRPr="006A6890" w:rsidRDefault="008A78E3"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935" w:name="_Hlk55902431"/>
      <w:r>
        <w:rPr>
          <w:rFonts w:asciiTheme="minorHAnsi" w:hAnsiTheme="minorHAnsi"/>
        </w:rPr>
        <w:t xml:space="preserve">az </w:t>
      </w:r>
      <w:r w:rsidRPr="00237499">
        <w:rPr>
          <w:rFonts w:asciiTheme="minorHAnsi" w:hAnsiTheme="minorHAnsi"/>
        </w:rPr>
        <w:t xml:space="preserve">értékpapírosítás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935"/>
      <w:r>
        <w:rPr>
          <w:rStyle w:val="Lbjegyzet-hivatkozs"/>
          <w:rFonts w:asciiTheme="minorHAnsi" w:hAnsiTheme="minorHAnsi"/>
        </w:rPr>
        <w:footnoteReference w:id="60"/>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Pr>
          <w:rStyle w:val="Lbjegyzet-hivatkozs"/>
        </w:rPr>
        <w:footnoteReference w:id="61"/>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2"/>
      </w:r>
      <w:r>
        <w:rPr>
          <w:rFonts w:asciiTheme="minorHAnsi" w:hAnsiTheme="minorHAnsi"/>
        </w:rPr>
        <w:t xml:space="preserve"> </w:t>
      </w:r>
      <w:r w:rsidRPr="006A6890">
        <w:rPr>
          <w:rFonts w:asciiTheme="minorHAnsi" w:hAnsiTheme="minorHAnsi"/>
        </w:rPr>
        <w:t xml:space="preserve">képezik. </w:t>
      </w:r>
    </w:p>
    <w:p w14:paraId="7FFFEA9A" w14:textId="77777777" w:rsidR="008A78E3" w:rsidRPr="006A6890" w:rsidRDefault="008A78E3" w:rsidP="004C2D3B">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7FFFEA9B" w14:textId="77777777" w:rsidR="008A78E3" w:rsidRPr="006A6890" w:rsidRDefault="008A78E3" w:rsidP="00CD1B46">
      <w:pPr>
        <w:numPr>
          <w:ilvl w:val="0"/>
          <w:numId w:val="31"/>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7FFFEA9C" w14:textId="77777777" w:rsidR="008A78E3" w:rsidRPr="006A6890" w:rsidRDefault="008A78E3" w:rsidP="00CD1B46">
      <w:pPr>
        <w:numPr>
          <w:ilvl w:val="0"/>
          <w:numId w:val="31"/>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7FFFEA9D" w14:textId="77777777" w:rsidR="008A78E3" w:rsidRPr="006A6890" w:rsidRDefault="008A78E3"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7FFFEA9E" w14:textId="77777777" w:rsidR="008A78E3" w:rsidRPr="006A6890" w:rsidRDefault="008A78E3" w:rsidP="004C2D3B">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Pr>
          <w:rFonts w:asciiTheme="minorHAnsi" w:hAnsiTheme="minorHAnsi"/>
          <w:vertAlign w:val="superscript"/>
        </w:rPr>
        <w:footnoteReference w:id="63"/>
      </w:r>
    </w:p>
    <w:p w14:paraId="7FFFEA9F" w14:textId="77777777" w:rsidR="008A78E3" w:rsidRDefault="008A78E3" w:rsidP="004C2D3B">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7FFFEAA0" w14:textId="77777777" w:rsidR="008A78E3" w:rsidRPr="00114B64" w:rsidRDefault="008A78E3" w:rsidP="004C2D3B">
      <w:pPr>
        <w:rPr>
          <w:rFonts w:asciiTheme="minorHAnsi" w:hAnsiTheme="minorHAnsi"/>
        </w:rPr>
      </w:pPr>
      <w:r w:rsidRPr="00114B64">
        <w:rPr>
          <w:rFonts w:asciiTheme="minorHAnsi" w:hAnsiTheme="minorHAnsi"/>
        </w:rPr>
        <w:t>A CRR-t módosító (EU) 2017/2401 rendelet</w:t>
      </w:r>
      <w:r>
        <w:rPr>
          <w:rFonts w:asciiTheme="minorHAnsi" w:hAnsiTheme="minorHAnsi"/>
          <w:vertAlign w:val="superscript"/>
        </w:rPr>
        <w:footnoteReference w:id="64"/>
      </w:r>
      <w:r w:rsidRPr="00114B64">
        <w:rPr>
          <w:rFonts w:asciiTheme="minorHAnsi" w:hAnsiTheme="minorHAnsi"/>
        </w:rPr>
        <w:t xml:space="preserve"> az értékpapírosítási pozíciók kockázati súlyainak kiszámításához kiegészítő paraméterként bevezette az ügyletrészsorozat lejáratát. A belső vagy a külső minősítésen alapuló megközelítést (SEC-IRBA-t vagy SEC-ERBA-t) alkalmazó intézményeknek ezen módosítás következtében meg kell adniuk ezt a paramétert az értékpapírosítási pozícióikra alkalmazandó kockázattal súlyozott kitettségérték kiszámításakor. </w:t>
      </w:r>
    </w:p>
    <w:p w14:paraId="7FFFEAA1" w14:textId="77777777" w:rsidR="008A78E3" w:rsidRPr="00114B64" w:rsidRDefault="008A78E3" w:rsidP="004C2D3B">
      <w:pPr>
        <w:rPr>
          <w:rFonts w:asciiTheme="minorHAnsi" w:hAnsiTheme="minorHAnsi"/>
        </w:rPr>
      </w:pPr>
      <w:r w:rsidRPr="00114B64">
        <w:rPr>
          <w:rFonts w:asciiTheme="minorHAnsi" w:hAnsiTheme="minorHAnsi"/>
        </w:rPr>
        <w:t>A CRR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(WAM-módszer)</w:t>
      </w:r>
      <w:r>
        <w:rPr>
          <w:rFonts w:asciiTheme="minorHAnsi" w:hAnsiTheme="minorHAnsi"/>
          <w:vertAlign w:val="superscript"/>
        </w:rPr>
        <w:footnoteReference w:id="65"/>
      </w:r>
      <w:r w:rsidRPr="00114B64">
        <w:rPr>
          <w:rFonts w:asciiTheme="minorHAnsi" w:hAnsiTheme="minorHAnsi"/>
        </w:rPr>
        <w:t xml:space="preserve">, illetve </w:t>
      </w:r>
      <w:bookmarkStart w:id="937" w:name="_Hlk54856991"/>
      <w:r w:rsidRPr="00114B64">
        <w:rPr>
          <w:rFonts w:asciiTheme="minorHAnsi" w:hAnsiTheme="minorHAnsi"/>
        </w:rPr>
        <w:t xml:space="preserve">az ügyletrészsorozat jogilag rögzített végső lejárati ideje </w:t>
      </w:r>
      <w:bookmarkEnd w:id="937"/>
      <w:r w:rsidRPr="00114B64">
        <w:rPr>
          <w:rFonts w:asciiTheme="minorHAnsi" w:hAnsiTheme="minorHAnsi"/>
        </w:rPr>
        <w:t>szerint</w:t>
      </w:r>
      <w:r>
        <w:rPr>
          <w:rFonts w:asciiTheme="minorHAnsi" w:hAnsiTheme="minorHAnsi"/>
          <w:vertAlign w:val="superscript"/>
        </w:rPr>
        <w:footnoteReference w:id="66"/>
      </w:r>
      <w:r w:rsidRPr="00114B64">
        <w:rPr>
          <w:rFonts w:asciiTheme="minorHAnsi" w:hAnsiTheme="minorHAnsi"/>
        </w:rPr>
        <w:t xml:space="preserve">. A WAM-módszer és a végső jogi lejárati megközelítés közötti választás az intézmények saját mérlegelési jogkörébe tartozik. </w:t>
      </w:r>
    </w:p>
    <w:p w14:paraId="7FFFEAA2" w14:textId="77777777" w:rsidR="008A78E3" w:rsidRPr="006A6890" w:rsidRDefault="008A78E3"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WAM-módszer szerinti meghatározásáról 2020. május 4-én iránymutatásokat adott ki</w:t>
      </w:r>
      <w:r>
        <w:rPr>
          <w:rFonts w:asciiTheme="minorHAnsi" w:hAnsiTheme="minorHAnsi"/>
        </w:rPr>
        <w:t xml:space="preserve"> (</w:t>
      </w:r>
      <w:r w:rsidRPr="00114B64">
        <w:rPr>
          <w:rFonts w:asciiTheme="minorHAnsi" w:hAnsiTheme="minorHAnsi"/>
        </w:rPr>
        <w:t>EBA/GL/2020/04</w:t>
      </w:r>
      <w:r>
        <w:rPr>
          <w:rFonts w:asciiTheme="minorHAnsi" w:hAnsiTheme="minorHAnsi"/>
        </w:rPr>
        <w:t>),</w:t>
      </w:r>
      <w:r>
        <w:rPr>
          <w:rStyle w:val="Lbjegyzet-hivatkozs"/>
          <w:rFonts w:asciiTheme="minorHAnsi" w:hAnsiTheme="minorHAnsi"/>
        </w:rPr>
        <w:footnoteReference w:id="67"/>
      </w:r>
      <w:r>
        <w:rPr>
          <w:rFonts w:asciiTheme="minorHAnsi" w:hAnsiTheme="minorHAnsi"/>
        </w:rPr>
        <w:t xml:space="preserve"> </w:t>
      </w:r>
      <w:r w:rsidRPr="00114B64">
        <w:rPr>
          <w:rFonts w:asciiTheme="minorHAnsi" w:hAnsiTheme="minorHAnsi"/>
        </w:rPr>
        <w:t>amelynek keretében meghatározza továbbá a CRR 257. cikkében hivatkozott szerződés szerinti kifizetéseket, továbbá a WAM-módszer alkalmazásához szükséges adatokat, valamint annak nyomon követését és végrehajtását.</w:t>
      </w:r>
    </w:p>
    <w:p w14:paraId="7FFFEAA3" w14:textId="77777777" w:rsidR="008A78E3" w:rsidRPr="006A6890" w:rsidRDefault="008A78E3" w:rsidP="004C2D3B">
      <w:pPr>
        <w:rPr>
          <w:rFonts w:asciiTheme="minorHAnsi" w:hAnsiTheme="minorHAnsi"/>
        </w:rPr>
      </w:pPr>
      <w:r w:rsidRPr="006A6890">
        <w:rPr>
          <w:rFonts w:asciiTheme="minorHAnsi" w:hAnsiTheme="minorHAnsi"/>
        </w:rPr>
        <w:t>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7FFFEAA4" w14:textId="77777777" w:rsidR="008A78E3" w:rsidRPr="006A6890" w:rsidRDefault="008A78E3" w:rsidP="00181755">
      <w:pPr>
        <w:pStyle w:val="Cmsor4"/>
        <w:rPr>
          <w:rFonts w:asciiTheme="minorHAnsi" w:hAnsiTheme="minorHAnsi"/>
        </w:rPr>
      </w:pPr>
      <w:bookmarkStart w:id="938" w:name="_Toc461095219"/>
      <w:bookmarkStart w:id="939" w:name="_Toc461179875"/>
      <w:bookmarkStart w:id="940" w:name="_Toc461201318"/>
      <w:bookmarkStart w:id="941" w:name="_Toc461547961"/>
      <w:bookmarkStart w:id="942" w:name="_Toc462402000"/>
      <w:bookmarkStart w:id="943" w:name="_Toc462403121"/>
      <w:bookmarkStart w:id="944" w:name="_Toc462403445"/>
      <w:bookmarkStart w:id="945" w:name="_Toc468180564"/>
      <w:bookmarkStart w:id="946" w:name="_Toc468181073"/>
      <w:bookmarkStart w:id="947" w:name="_Toc468191459"/>
      <w:bookmarkStart w:id="948" w:name="_Toc45119975"/>
      <w:bookmarkStart w:id="949" w:name="_Toc58512258"/>
      <w:bookmarkStart w:id="950" w:name="_Toc158036678"/>
      <w:r w:rsidRPr="006A6890">
        <w:rPr>
          <w:rFonts w:asciiTheme="minorHAnsi" w:hAnsiTheme="minorHAnsi"/>
        </w:rPr>
        <w:t>Koncentrációs kockázat</w:t>
      </w:r>
      <w:bookmarkEnd w:id="938"/>
      <w:bookmarkEnd w:id="939"/>
      <w:bookmarkEnd w:id="940"/>
      <w:bookmarkEnd w:id="941"/>
      <w:bookmarkEnd w:id="942"/>
      <w:bookmarkEnd w:id="943"/>
      <w:bookmarkEnd w:id="944"/>
      <w:bookmarkEnd w:id="945"/>
      <w:bookmarkEnd w:id="946"/>
      <w:bookmarkEnd w:id="947"/>
      <w:bookmarkEnd w:id="948"/>
      <w:bookmarkEnd w:id="949"/>
      <w:bookmarkEnd w:id="950"/>
    </w:p>
    <w:p w14:paraId="7FFFEAA5"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AA6" w14:textId="77777777" w:rsidR="008A78E3" w:rsidRPr="006A6890" w:rsidRDefault="008A78E3" w:rsidP="00EA0541">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Pr>
          <w:rFonts w:asciiTheme="minorHAnsi" w:hAnsiTheme="minorHAnsi"/>
          <w:vertAlign w:val="superscript"/>
        </w:rPr>
        <w:footnoteReference w:id="68"/>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7FFFEAA7"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AA8" w14:textId="77777777" w:rsidR="008A78E3" w:rsidRPr="006A6890" w:rsidRDefault="008A78E3"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7FFFEAA9"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7FFFEAAA"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7FFFEAAB" w14:textId="77777777" w:rsidR="008A78E3" w:rsidRPr="006A6890" w:rsidRDefault="008A78E3"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7FFFEAAC"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7FFFEAAD"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intézményeknek megfelelő irányítási rendszerrel kell rendelkezniük annak érdekében, hogy a koncentrációs kockázatokra vonatkozó politikákat, eljárásrendeket és limiteket figyelni, értékelni, kezelni, míg a kockázatokat csökkenteni tudják.</w:t>
      </w:r>
    </w:p>
    <w:p w14:paraId="7FFFEAAE"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7FFFEAAF" w14:textId="77777777" w:rsidR="008A78E3" w:rsidRPr="006A6890" w:rsidRDefault="008A78E3" w:rsidP="00EA0541">
      <w:pPr>
        <w:rPr>
          <w:rFonts w:asciiTheme="minorHAnsi" w:hAnsiTheme="minorHAnsi"/>
        </w:rPr>
      </w:pPr>
      <w:r w:rsidRPr="006A6890">
        <w:rPr>
          <w:rFonts w:asciiTheme="minorHAnsi" w:hAnsiTheme="minorHAnsi"/>
        </w:rPr>
        <w:t>A koncentrációs kockázatok kézben tartására alkalmas módszerek:</w:t>
      </w:r>
    </w:p>
    <w:p w14:paraId="7FFFEAB0" w14:textId="77777777" w:rsidR="008A78E3" w:rsidRPr="006A6890" w:rsidRDefault="008A78E3" w:rsidP="00181755">
      <w:pPr>
        <w:pStyle w:val="felsorolsos"/>
        <w:rPr>
          <w:rFonts w:asciiTheme="minorHAnsi" w:hAnsiTheme="minorHAnsi"/>
        </w:rPr>
      </w:pPr>
      <w:r w:rsidRPr="006A6890">
        <w:rPr>
          <w:rFonts w:asciiTheme="minorHAnsi" w:hAnsiTheme="minorHAnsi"/>
        </w:rPr>
        <w:t>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deviza, ország- és termék-/ügylet, fedezet koncentrációs mérésekkel.)</w:t>
      </w:r>
    </w:p>
    <w:p w14:paraId="7FFFEAB1" w14:textId="77777777" w:rsidR="008A78E3" w:rsidRPr="006A6890" w:rsidRDefault="008A78E3" w:rsidP="00181755">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7FFFEAB2" w14:textId="77777777" w:rsidR="008A78E3" w:rsidRPr="006A6890" w:rsidRDefault="008A78E3" w:rsidP="00181755">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7FFFEAB3"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AB4" w14:textId="77777777" w:rsidR="008A78E3" w:rsidRPr="006A6890" w:rsidRDefault="008A78E3" w:rsidP="00EA0541">
      <w:pPr>
        <w:rPr>
          <w:rFonts w:asciiTheme="minorHAnsi" w:hAnsiTheme="minorHAnsi"/>
        </w:rPr>
      </w:pPr>
      <w:r w:rsidRPr="006A6890">
        <w:rPr>
          <w:rFonts w:asciiTheme="minorHAnsi" w:hAnsiTheme="minorHAnsi"/>
        </w:rPr>
        <w:t xml:space="preserve">A kitettségek koncentrációja fontos kockázati tényező, hiszen nem tökéletesen diverzifikált egyedi és részkockázatok esetén a tőkekövetelmény-számítás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7FFFEAB5" w14:textId="77777777" w:rsidR="008A78E3" w:rsidRPr="006A6890" w:rsidRDefault="008A78E3" w:rsidP="00EA0541">
      <w:pPr>
        <w:rPr>
          <w:rFonts w:asciiTheme="minorHAnsi" w:hAnsiTheme="minorHAnsi"/>
        </w:rPr>
      </w:pPr>
      <w:r w:rsidRPr="006A6890">
        <w:rPr>
          <w:rFonts w:asciiTheme="minorHAnsi" w:hAnsiTheme="minorHAnsi"/>
        </w:rPr>
        <w:t xml:space="preserve">Mivel a kitettségek koncentrációja számos különböző dimenzióban jelentkezhet (egyedi ügylethez, ügyfélcsoportokhoz kapcsolódóan, földrajzi, szektorális, terméktípus szerint, denominációhoz kötötten, kockázatokon belül vagy azok között stb.), a koncentráció azonosítása és prudens számbavétele igen összetett feladat. </w:t>
      </w:r>
    </w:p>
    <w:p w14:paraId="7FFFEAB6" w14:textId="77777777" w:rsidR="008A78E3" w:rsidRPr="006A6890" w:rsidRDefault="008A78E3"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SREP Ajánlással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Az MNB kiemeli, hogy a saját tulajdonú ingatlanok, köztük a banküzemi ingatlanok is jelenthetnek túlzott mértékű koncentrációs kockázatot, amelyet az intézménynek ICAAP alatt tőkekövetelménnyel szükséges kezelnie. </w:t>
      </w:r>
    </w:p>
    <w:p w14:paraId="7FFFEAB7" w14:textId="77777777" w:rsidR="008A78E3" w:rsidRPr="006A6890" w:rsidRDefault="008A78E3" w:rsidP="00EA0541">
      <w:pPr>
        <w:rPr>
          <w:rFonts w:asciiTheme="minorHAnsi" w:hAnsiTheme="minorHAnsi"/>
        </w:rPr>
      </w:pPr>
      <w:r w:rsidRPr="006A6890">
        <w:rPr>
          <w:rFonts w:asciiTheme="minorHAnsi" w:hAnsiTheme="minorHAnsi"/>
        </w:rPr>
        <w:t xml:space="preserve">Az MNB minden intézmény esetében vélelmezi a koncentrációs kockázat materialitását, az intézményekre hárítva ennek ellenkezőjének bizonyítási kényszerét. A koncentrációs kockázat tőkekövetelményét az MNB az alkalmazott tőkekövetelmény-számítási modellek feltevéseire, e módszerek következetes alkalmazására, illetve azok számszerű eredményére tekintettel határozza meg. Külön koncentrációs kockázati tőkekövetelmény-számítási modell hiányában a kitettségek eloszlásából és jellemzőiből kiindulva, a 2. pilléres kockázati módszerek ismeretében, érzékenység-vizsgálatokkal és szimulációs eljárásokat alkalmazva számszerűsíti a gazdasági tőkeszükséglet indokolt mértékét. </w:t>
      </w:r>
    </w:p>
    <w:p w14:paraId="7FFFEAB8" w14:textId="77777777" w:rsidR="008A78E3" w:rsidRPr="006A6890" w:rsidRDefault="008A78E3" w:rsidP="00181755">
      <w:pPr>
        <w:rPr>
          <w:rFonts w:asciiTheme="minorHAnsi" w:hAnsiTheme="minorHAnsi"/>
          <w:b/>
        </w:rPr>
      </w:pPr>
      <w:r w:rsidRPr="006A6890">
        <w:rPr>
          <w:rFonts w:asciiTheme="minorHAnsi" w:hAnsiTheme="minorHAnsi"/>
          <w:b/>
        </w:rPr>
        <w:t>Hitelezés koncentrációs kockázata</w:t>
      </w:r>
    </w:p>
    <w:p w14:paraId="7FFFEAB9" w14:textId="77777777" w:rsidR="008A78E3" w:rsidRPr="006A6890" w:rsidRDefault="008A78E3"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Pr>
          <w:rFonts w:asciiTheme="minorHAnsi" w:hAnsiTheme="minorHAnsi"/>
          <w:vertAlign w:val="superscript"/>
        </w:rPr>
        <w:footnoteReference w:id="69"/>
      </w:r>
      <w:r w:rsidRPr="006A6890">
        <w:rPr>
          <w:rFonts w:asciiTheme="minorHAnsi" w:hAnsiTheme="minorHAnsi"/>
        </w:rPr>
        <w:t xml:space="preserve"> </w:t>
      </w:r>
    </w:p>
    <w:p w14:paraId="7FFFEABA" w14:textId="77777777" w:rsidR="008A78E3" w:rsidRPr="006A6890" w:rsidRDefault="008A78E3"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Pr>
          <w:rFonts w:asciiTheme="minorHAnsi" w:hAnsiTheme="minorHAnsi"/>
          <w:vertAlign w:val="superscript"/>
        </w:rPr>
        <w:footnoteReference w:id="70"/>
      </w:r>
      <w:r w:rsidRPr="006A6890">
        <w:rPr>
          <w:rFonts w:asciiTheme="minorHAnsi" w:hAnsiTheme="minorHAnsi"/>
        </w:rPr>
        <w:t xml:space="preserve"> A koncentráció tágabb értelmezése magában foglalja a következőket is: ágazati koncentráció, a földrajzi koncentráció, termék koncentráció, adott külföldi devizanemben fennálló koncentráció, illetve a hitelkockázat csökkentő eszközök koncentrációja (hitelkockázat csökkentő eszközök fajtájának vagy kibocsátójának koncentrációja) stb. </w:t>
      </w:r>
    </w:p>
    <w:p w14:paraId="7FFFEABB" w14:textId="77777777" w:rsidR="008A78E3" w:rsidRPr="006A6890" w:rsidRDefault="008A78E3" w:rsidP="00EA0541">
      <w:pPr>
        <w:rPr>
          <w:rFonts w:asciiTheme="minorHAnsi" w:hAnsiTheme="minorHAnsi"/>
        </w:rPr>
      </w:pPr>
      <w:r w:rsidRPr="006A6890">
        <w:rPr>
          <w:rFonts w:asciiTheme="minorHAnsi" w:hAnsiTheme="minorHAnsi"/>
        </w:rPr>
        <w:t>A definícióból következően a koncentrációs kockázatoknak két fő köre van:</w:t>
      </w:r>
    </w:p>
    <w:p w14:paraId="7FFFEABC"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ügyféllel vagy az egymással kapcsolatban álló </w:t>
      </w:r>
      <w:r w:rsidRPr="004B5D1A">
        <w:rPr>
          <w:rFonts w:asciiTheme="minorHAnsi" w:hAnsiTheme="minorHAnsi"/>
        </w:rPr>
        <w:t xml:space="preserve">ügyfelek </w:t>
      </w:r>
      <w:r w:rsidRPr="006A6890">
        <w:rPr>
          <w:rFonts w:asciiTheme="minorHAnsi" w:hAnsiTheme="minorHAnsi"/>
        </w:rPr>
        <w:t>csoportjával szemben fennálló kitettség nemteljesítése a veszély forrása,</w:t>
      </w:r>
    </w:p>
    <w:p w14:paraId="7FFFEABD" w14:textId="77777777" w:rsidR="008A78E3" w:rsidRPr="006A6890" w:rsidRDefault="008A78E3" w:rsidP="00181755">
      <w:pPr>
        <w:pStyle w:val="felsorolsos"/>
        <w:rPr>
          <w:rFonts w:asciiTheme="minorHAnsi" w:hAnsiTheme="minorHAnsi"/>
        </w:rPr>
      </w:pPr>
      <w:r w:rsidRPr="006A6890">
        <w:rPr>
          <w:rFonts w:asciiTheme="minorHAnsi" w:hAnsiTheme="minorHAnsi"/>
        </w:rPr>
        <w:t>az okozati (szektor) koncentráció: a közös okra/okokra visszavezethető együttes nemteljesítés veszélye.</w:t>
      </w:r>
    </w:p>
    <w:p w14:paraId="7FFFEABE" w14:textId="77777777" w:rsidR="008A78E3" w:rsidRPr="006A6890" w:rsidRDefault="008A78E3" w:rsidP="00EA0541">
      <w:pPr>
        <w:rPr>
          <w:rFonts w:asciiTheme="minorHAnsi" w:hAnsiTheme="minorHAnsi"/>
        </w:rPr>
      </w:pPr>
      <w:r w:rsidRPr="006A6890">
        <w:rPr>
          <w:rFonts w:asciiTheme="minorHAnsi" w:hAnsiTheme="minorHAnsi"/>
        </w:rPr>
        <w:t>A Hpt. 108. cikk 5) bekezdés b)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7FFFEABF" w14:textId="77777777" w:rsidR="008A78E3" w:rsidRPr="006A6890" w:rsidRDefault="008A78E3" w:rsidP="00EA0541">
      <w:pPr>
        <w:rPr>
          <w:rFonts w:asciiTheme="minorHAnsi" w:hAnsiTheme="minorHAnsi"/>
        </w:rPr>
      </w:pPr>
      <w:r w:rsidRPr="006A6890">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7FFFEAC0" w14:textId="77777777" w:rsidR="008A78E3" w:rsidRDefault="008A78E3" w:rsidP="00EA0541">
      <w:pPr>
        <w:rPr>
          <w:rFonts w:asciiTheme="minorHAnsi" w:hAnsiTheme="minorHAnsi"/>
        </w:rPr>
      </w:pPr>
      <w:r w:rsidRPr="006A6890">
        <w:rPr>
          <w:rFonts w:asciiTheme="minorHAnsi" w:hAnsiTheme="minorHAnsi"/>
        </w:rPr>
        <w:t>Az egyes ügyfelekkel és ügyfélcsoportokkal szemben fennálló nagykockázati kockázat koncentrációját az MNB egységesen benchmark jelleggel IRB szimuláció segítsé</w:t>
      </w:r>
      <w:r>
        <w:rPr>
          <w:rFonts w:asciiTheme="minorHAnsi" w:hAnsiTheme="minorHAnsi"/>
        </w:rPr>
        <w:t>gé</w:t>
      </w:r>
      <w:r w:rsidRPr="006A6890">
        <w:rPr>
          <w:rFonts w:asciiTheme="minorHAnsi" w:hAnsiTheme="minorHAnsi"/>
        </w:rPr>
        <w:t>vel méri fel a felügyelt intézményeknél függetlenül attól, hogy az adott intézmény más módszertan segítségével méri fel koncentrációs kockázatát (pl. portfóliómodellen belüli kezelés, Gordy-Lütkebohmert modell, Herfindahl–Hirschman-index, egyéb szimulációs technikák).</w:t>
      </w:r>
    </w:p>
    <w:p w14:paraId="7FFFEAC1" w14:textId="77777777" w:rsidR="008A78E3" w:rsidRPr="006A6890" w:rsidRDefault="008A78E3" w:rsidP="00EA0541">
      <w:pPr>
        <w:rPr>
          <w:rFonts w:asciiTheme="minorHAnsi" w:hAnsiTheme="minorHAnsi"/>
        </w:rPr>
      </w:pPr>
    </w:p>
    <w:p w14:paraId="7FFFEAC2" w14:textId="77777777" w:rsidR="008A78E3" w:rsidRPr="006A6890" w:rsidRDefault="008A78E3" w:rsidP="00181755">
      <w:pPr>
        <w:rPr>
          <w:rFonts w:asciiTheme="minorHAnsi" w:hAnsiTheme="minorHAnsi"/>
          <w:u w:val="single"/>
        </w:rPr>
      </w:pPr>
      <w:r w:rsidRPr="006A6890">
        <w:rPr>
          <w:rFonts w:asciiTheme="minorHAnsi" w:hAnsiTheme="minorHAnsi"/>
          <w:u w:val="single"/>
        </w:rPr>
        <w:t>Hiány</w:t>
      </w:r>
      <w:r>
        <w:rPr>
          <w:rFonts w:asciiTheme="minorHAnsi" w:hAnsiTheme="minorHAnsi"/>
          <w:u w:val="single"/>
        </w:rPr>
        <w:t>z</w:t>
      </w:r>
      <w:r w:rsidRPr="006A6890">
        <w:rPr>
          <w:rFonts w:asciiTheme="minorHAnsi" w:hAnsiTheme="minorHAnsi"/>
          <w:u w:val="single"/>
        </w:rPr>
        <w:t>ó paraméterek pótlásának módszertana</w:t>
      </w:r>
    </w:p>
    <w:p w14:paraId="7FFFEAC3" w14:textId="77777777" w:rsidR="008A78E3" w:rsidRPr="006A6890" w:rsidRDefault="008A78E3" w:rsidP="00EA0541">
      <w:pPr>
        <w:rPr>
          <w:rFonts w:asciiTheme="minorHAnsi" w:hAnsiTheme="minorHAnsi"/>
        </w:rPr>
      </w:pPr>
      <w:r w:rsidRPr="006A6890">
        <w:rPr>
          <w:rFonts w:asciiTheme="minorHAnsi" w:hAnsiTheme="minorHAnsi"/>
        </w:rPr>
        <w:t xml:space="preserve">A sztenderd módszertant alkalmazó intézmények esetében a kockázati paramétereket felügyeleti benchmark módszertanokat használva határozzuk meg és pótoljuk. Ezáltal lehetővé téve a koncentrációs kockázat tőkekövetelményének IRB szimuláció segítségével történő számszerűsítését ezen intézmények esetében is. </w:t>
      </w:r>
    </w:p>
    <w:p w14:paraId="7FFFEAC4" w14:textId="77777777" w:rsidR="008A78E3" w:rsidRPr="006A6890" w:rsidRDefault="008A78E3" w:rsidP="00EA0541">
      <w:pPr>
        <w:rPr>
          <w:rFonts w:asciiTheme="minorHAnsi" w:hAnsiTheme="minorHAnsi"/>
        </w:rPr>
      </w:pPr>
      <w:r w:rsidRPr="006A6890">
        <w:rPr>
          <w:rFonts w:asciiTheme="minorHAnsi" w:hAnsiTheme="minorHAnsi"/>
        </w:rPr>
        <w:t>A CRD 78. cikke alapján végrehajtott Benchmarking Exercise (V 2.1.8-es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alapján adunk csődvalószínűség becslést, logaritmikus kapcsolatot tételezve fel a minősítési kategória és a PD között. A minősítési kategóriához a 3 nagy nemzetközi minősítő</w:t>
      </w:r>
      <w:r>
        <w:rPr>
          <w:rStyle w:val="Lbjegyzet-hivatkozs"/>
          <w:rFonts w:asciiTheme="minorHAnsi" w:hAnsiTheme="minorHAnsi"/>
        </w:rPr>
        <w:footnoteReference w:id="71"/>
      </w:r>
      <w:r w:rsidRPr="006A6890">
        <w:rPr>
          <w:rFonts w:asciiTheme="minorHAnsi" w:hAnsiTheme="minorHAnsi"/>
        </w:rPr>
        <w:t xml:space="preserve"> adatait használjuk fel. Hasonlóan a szuverén kitettségekhez, a pénzügyi intézmények PD paramétereinek meghatározásához a EU be</w:t>
      </w:r>
      <w:r>
        <w:rPr>
          <w:rFonts w:asciiTheme="minorHAnsi" w:hAnsiTheme="minorHAnsi"/>
        </w:rPr>
        <w:t>n</w:t>
      </w:r>
      <w:r w:rsidRPr="006A6890">
        <w:rPr>
          <w:rFonts w:asciiTheme="minorHAnsi" w:hAnsiTheme="minorHAnsi"/>
        </w:rPr>
        <w:t>chmark alapján a felügyelet számára elérhetővé tett PD-k értékét emeljük át. Azokra az adósokra, ahol az EBA adatsor nem tartalmaz adatot, az adott pénzügyi intézmények nemzetközi minősítése alapján regresszálunk PD értéket</w:t>
      </w:r>
      <w:r>
        <w:rPr>
          <w:rStyle w:val="Lbjegyzet-hivatkozs"/>
          <w:rFonts w:asciiTheme="minorHAnsi" w:hAnsiTheme="minorHAnsi"/>
        </w:rPr>
        <w:footnoteReference w:id="72"/>
      </w:r>
      <w:r w:rsidRPr="006A6890">
        <w:rPr>
          <w:rFonts w:asciiTheme="minorHAnsi" w:hAnsiTheme="minorHAnsi"/>
        </w:rPr>
        <w:t>.</w:t>
      </w:r>
    </w:p>
    <w:p w14:paraId="7FFFEAC5" w14:textId="77777777" w:rsidR="008A78E3" w:rsidRPr="006A6890" w:rsidRDefault="008A78E3" w:rsidP="00181755">
      <w:pPr>
        <w:rPr>
          <w:rFonts w:asciiTheme="minorHAnsi" w:hAnsiTheme="minorHAnsi"/>
          <w:u w:val="single"/>
        </w:rPr>
      </w:pPr>
      <w:r w:rsidRPr="006A6890">
        <w:rPr>
          <w:rFonts w:asciiTheme="minorHAnsi" w:hAnsiTheme="minorHAnsi"/>
          <w:u w:val="single"/>
        </w:rPr>
        <w:t>Felügyeleti szimulációs módszertan</w:t>
      </w:r>
    </w:p>
    <w:p w14:paraId="7FFFEAC6" w14:textId="77777777" w:rsidR="008A78E3" w:rsidRPr="006A6890" w:rsidRDefault="008A78E3" w:rsidP="00EA0541">
      <w:pPr>
        <w:rPr>
          <w:rFonts w:asciiTheme="minorHAnsi" w:hAnsiTheme="minorHAnsi"/>
        </w:rPr>
      </w:pPr>
      <w:r w:rsidRPr="006A6890">
        <w:rPr>
          <w:rFonts w:asciiTheme="minorHAnsi" w:hAnsiTheme="minorHAnsi"/>
        </w:rPr>
        <w:t>Az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 majd vizsgálja, hogy a fizetési képesség a feltétel nélküli csődvalószínűség, mint küszöbérték alá esik-e. Az MNB a szimuláció során a felügyelt intézmény PD/LGD paraméterrel rendelkező élő ügyleteit ügyfélcsoport-szintre aggregálja. Az ügyfélcsoportot az MNB alapvetően a CRR 4. cikk 39. pontja alapján határozza meg, azonban a felügyeleti felülvizsgálat f</w:t>
      </w:r>
      <w:bookmarkStart w:id="951" w:name="_Hlk23421217"/>
      <w:r w:rsidRPr="006A6890">
        <w:rPr>
          <w:rFonts w:asciiTheme="minorHAnsi" w:hAnsiTheme="minorHAnsi"/>
        </w:rPr>
        <w:t>eltárhat olyan, az 1. pillérben nem azonosított közös kockázati tényezőket, melyek szükségessé tehetik az 1. pillérben különálló ügyfelek ügyfélcsoportba történő sorolását</w:t>
      </w:r>
      <w:bookmarkEnd w:id="951"/>
      <w:r w:rsidRPr="006A6890">
        <w:rPr>
          <w:rFonts w:asciiTheme="minorHAnsi" w:hAnsiTheme="minorHAnsi"/>
        </w:rPr>
        <w:t>, és potenciális együttes defaultjuk esetén a megfelelő tőkefedezet biztosítását a 2. pillér alatt. Az aggregálás során a kockázati paramétereket (PD, LGD, R) EAD*LGD súlyozással számítja. A szimuláció során az így kapott ügyfélcsoport-szintre aggregált élő ügyletek analitikáját az MNB két részre osztja: nemlakosság és a granularitási limitet</w:t>
      </w:r>
      <w:r>
        <w:rPr>
          <w:rFonts w:asciiTheme="minorHAnsi" w:hAnsiTheme="minorHAnsi"/>
          <w:vertAlign w:val="superscript"/>
        </w:rPr>
        <w:footnoteReference w:id="73"/>
      </w:r>
      <w:r w:rsidRPr="006A6890">
        <w:rPr>
          <w:rFonts w:asciiTheme="minorHAnsi" w:hAnsiTheme="minorHAnsi"/>
        </w:rPr>
        <w:t xml:space="preserve"> meghaladó kitettséggel rendelkező lakossági ügyfelek, mint a portfólió nem granuláris része, melyekre IRB szimulációt alkalmaz, valamint a granularitási limitet meg nem haladó kitettséggel rendelkező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(ügyfelek, ügyfélcsoportok) alapján meghatározott veszteség, valamint a portfólió granuláris részét reprezentáló ügyletek alapján számszerűsített feltételes várható veszteség összegeként áll elő azon veszteségeloszlás, melynek 99,9-edik percentilisének és a feltétel nélküli várható veszteségnek a különbsége adja azon tőkekövetelményt, mely az esetleges nagykockázati koncentrációs kockázatra is fedezetet nyújt. Az így kapott tőkekövetelményt az MNB az úgynevezett „tisztított IRB” tőkekövetelménnyel veti össze: a felügyelt intézmény eredeti, ügyletszintű IRB tőkekövetelmény számításából eliminálja a KKV-szorzót, lejárati korrekciót, valamint az 1,06-os szorzót tekintettel arra a tényre, hogy ezen korrekciók a szimulációs módszertanban sem vehetőek figyelembe. Az MNB pótlólagos többlet-tőkekövetelményt</w:t>
      </w:r>
      <w:r>
        <w:rPr>
          <w:rFonts w:asciiTheme="minorHAnsi" w:hAnsiTheme="minorHAnsi"/>
          <w:vertAlign w:val="superscript"/>
        </w:rPr>
        <w:footnoteReference w:id="74"/>
      </w:r>
      <w:r w:rsidRPr="006A6890">
        <w:rPr>
          <w:rFonts w:asciiTheme="minorHAnsi" w:hAnsiTheme="minorHAnsi"/>
        </w:rPr>
        <w:t xml:space="preserve"> a koncentrációs kockázatok fedezésére a tisztított IRB, valamint a szimuláció során kapott, a koncentrációs kockázatot is fedező tőkekövetelmények hányadosa alapján, multiplikatív módon a következőképp számszerűsíti: </w:t>
      </w:r>
    </w:p>
    <w:p w14:paraId="7FFFEAC7" w14:textId="77777777" w:rsidR="008A78E3" w:rsidRPr="006A6890" w:rsidRDefault="008A78E3" w:rsidP="00CD1B46">
      <w:pPr>
        <w:pStyle w:val="Listaszerbekezds"/>
        <w:numPr>
          <w:ilvl w:val="0"/>
          <w:numId w:val="55"/>
        </w:numPr>
        <w:rPr>
          <w:rFonts w:asciiTheme="minorHAnsi" w:hAnsiTheme="minorHAnsi"/>
          <w:sz w:val="22"/>
          <w:szCs w:val="22"/>
        </w:rPr>
      </w:pPr>
      <w:r w:rsidRPr="006A6890">
        <w:rPr>
          <w:rFonts w:asciiTheme="minorHAnsi" w:hAnsiTheme="minorHAnsi"/>
          <w:sz w:val="22"/>
          <w:szCs w:val="22"/>
        </w:rPr>
        <w:t>képezi a granularitási korrekció utáni IRB tőkekövetelményt, ahol az IRB tőkekövetelmény az 1,06-os szozó nélküli tényleges (lejárati korrekciót és KKV-szorzót ugyanakkor tartalmazó) tőkekövetelmény, a granularitási korrekció pedig a koncentrációs kockázatot is fedező, szimuláció alapú tőkekövetelmény, valamint a tisztított IRB hányadosa</w:t>
      </w:r>
    </w:p>
    <w:p w14:paraId="7FFFEAC8" w14:textId="77777777" w:rsidR="008A78E3" w:rsidRPr="00EC6B0B" w:rsidRDefault="008A78E3" w:rsidP="00CD1B46">
      <w:pPr>
        <w:pStyle w:val="Listaszerbekezds"/>
        <w:numPr>
          <w:ilvl w:val="0"/>
          <w:numId w:val="55"/>
        </w:numPr>
        <w:rPr>
          <w:rFonts w:asciiTheme="minorHAnsi" w:hAnsiTheme="minorHAnsi"/>
        </w:rPr>
      </w:pPr>
      <w:r w:rsidRPr="006A6890">
        <w:rPr>
          <w:rFonts w:asciiTheme="minorHAnsi" w:hAnsiTheme="minorHAnsi"/>
          <w:sz w:val="22"/>
          <w:szCs w:val="22"/>
        </w:rPr>
        <w:t>az MNB által előírható, a koncentrációs kockázatok fedezését szolgáló többlet-tőkekövetelmény az így kapott, granularitási korrekció utáni IRB tőkekövetelmény és a felügyelt intézmény tényleges (1,06-os és KKV-szorzót, valamint lejárati korrekciót tartalmazó) IRB tőkekövetelményének különbségeként áll elő.</w:t>
      </w:r>
    </w:p>
    <w:p w14:paraId="7FFFEAC9" w14:textId="77777777" w:rsidR="008A78E3" w:rsidRPr="006A6890" w:rsidRDefault="008A78E3"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7FFFEACA" w14:textId="77777777" w:rsidR="008A78E3" w:rsidRPr="006A6890" w:rsidRDefault="008A78E3" w:rsidP="00EA0541">
      <w:pPr>
        <w:rPr>
          <w:rFonts w:asciiTheme="minorHAnsi" w:hAnsiTheme="minorHAnsi"/>
        </w:rPr>
      </w:pPr>
      <w:r w:rsidRPr="006A6890">
        <w:rPr>
          <w:rFonts w:asciiTheme="minorHAnsi" w:hAnsiTheme="minorHAnsi"/>
        </w:rPr>
        <w:t>A hitelkockázati koncentráció méréséhez használt mérőszámok:</w:t>
      </w:r>
    </w:p>
    <w:p w14:paraId="7FFFEACB" w14:textId="77777777" w:rsidR="008A78E3" w:rsidRPr="006A6890" w:rsidRDefault="008A78E3"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7FFFEACC" w14:textId="77777777" w:rsidR="008A78E3" w:rsidRPr="006A6890" w:rsidRDefault="008A78E3"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7FFFEACD" w14:textId="77777777" w:rsidR="008A78E3" w:rsidRPr="006A6890" w:rsidRDefault="008A78E3"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 Hirschman index</w:t>
      </w:r>
      <w:r>
        <w:rPr>
          <w:rFonts w:asciiTheme="minorHAnsi" w:hAnsiTheme="minorHAnsi"/>
        </w:rPr>
        <w:t xml:space="preserve">, hitelkockázattal súlyozott </w:t>
      </w:r>
      <w:r w:rsidRPr="006A6890">
        <w:rPr>
          <w:rFonts w:asciiTheme="minorHAnsi" w:hAnsiTheme="minorHAnsi"/>
        </w:rPr>
        <w:t>Herfindahl-Hirschman index),</w:t>
      </w:r>
    </w:p>
    <w:p w14:paraId="7FFFEACE" w14:textId="77777777" w:rsidR="008A78E3" w:rsidRPr="006A6890" w:rsidRDefault="008A78E3"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korrelációi és varianciái/kovarianciái,</w:t>
      </w:r>
    </w:p>
    <w:p w14:paraId="7FFFEACF" w14:textId="77777777" w:rsidR="008A78E3" w:rsidRDefault="008A78E3"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7FFFEAD0" w14:textId="77777777" w:rsidR="008A78E3" w:rsidRDefault="008A78E3" w:rsidP="005041F1">
      <w:pPr>
        <w:pStyle w:val="felsorolsos"/>
        <w:numPr>
          <w:ilvl w:val="0"/>
          <w:numId w:val="0"/>
        </w:numPr>
        <w:rPr>
          <w:rFonts w:asciiTheme="minorHAnsi" w:hAnsiTheme="minorHAnsi"/>
        </w:rPr>
      </w:pPr>
    </w:p>
    <w:p w14:paraId="7FFFEAD1" w14:textId="77777777" w:rsidR="008A78E3" w:rsidRDefault="008A78E3"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(súlyozott HHI)</w:t>
      </w:r>
    </w:p>
    <w:p w14:paraId="7FFFEAD2" w14:textId="77777777" w:rsidR="008A78E3" w:rsidRDefault="008A78E3" w:rsidP="005041F1">
      <w:r>
        <w:t>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Herfindahl-Hirschman-index (súlyozott HHI) számszerűsítését javasolja. A HHI index széleskörben elterjedt koncentrációs mérőszám, azonban a kitettség alapján számolt HHI a koncentrációs kockázat szempontjából nem tud különbséget tenni az azonos kitettségű, de eltérő hitelkockázatú ügyletek között. A hitelkockázattal súlyozott HHI koncentrációs mérőszám ezt a hiányosságot igyekszik minimalizálni a kisbankok számára is rendelkezésre álló fedezeti adatok és ügyfél minősítő rendszerek (PD érték), valamint az adott szegmensek kockázati sajátosságait is figyelembe véve.</w:t>
      </w:r>
    </w:p>
    <w:p w14:paraId="7FFFEAD3" w14:textId="77777777" w:rsidR="008A78E3" w:rsidRDefault="008A78E3" w:rsidP="005041F1">
      <w:r>
        <w:t>Annak érdekében, hogy a koncentrációs kockázati HHI index a felügyeleti elvárással összhangban az ügyfélcsoport-koncentrációt is mérje, a kalulációt a teljesítő ügyfelek ügyfélcsoport szintre aggregált kitettségeire szükséges elvégezni. Felügyeleti szempontból a Magyar Állammal szembeni (és azzal ekvivalens), valamint az anyabankkal szemben fennálló kitettségek koncentrációs kockázatával nem szükséges számolni, ezért ezek a kitettségek a számításból kiszűrhetőek.</w:t>
      </w:r>
    </w:p>
    <w:p w14:paraId="7FFFEAD4" w14:textId="77777777" w:rsidR="008A78E3" w:rsidRPr="00FB0F16" w:rsidRDefault="008A78E3"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7FFFEAD5" w14:textId="77777777" w:rsidR="008A78E3" w:rsidRDefault="008A78E3" w:rsidP="005041F1">
      <w:pPr>
        <w:rPr>
          <w:rFonts w:eastAsiaTheme="minorEastAsia"/>
          <w:i/>
          <w:iCs/>
        </w:rPr>
      </w:pPr>
      <w:r w:rsidRPr="00CE3686">
        <w:rPr>
          <w:rFonts w:eastAsiaTheme="minorEastAsia"/>
          <w:i/>
        </w:rPr>
        <w:t>ahol</w:t>
      </w:r>
    </w:p>
    <w:p w14:paraId="7FFFEAD6" w14:textId="77777777" w:rsidR="008A78E3" w:rsidRDefault="008A78E3" w:rsidP="005041F1">
      <w:pPr>
        <w:rPr>
          <w:rFonts w:eastAsiaTheme="minorEastAsia"/>
          <w:i/>
          <w:iCs/>
        </w:rPr>
      </w:pPr>
      <w:r>
        <w:rPr>
          <w:rFonts w:eastAsiaTheme="minorEastAsia"/>
          <w:i/>
          <w:iCs/>
        </w:rPr>
        <w:t>s=1 a nem granuláris portfólió</w:t>
      </w:r>
      <w:r>
        <w:rPr>
          <w:rStyle w:val="Lbjegyzet-hivatkozs"/>
          <w:rFonts w:eastAsiaTheme="minorEastAsia"/>
          <w:i/>
          <w:iCs/>
        </w:rPr>
        <w:footnoteReference w:id="75"/>
      </w:r>
      <w:r>
        <w:rPr>
          <w:rFonts w:eastAsiaTheme="minorEastAsia"/>
          <w:i/>
          <w:iCs/>
        </w:rPr>
        <w:t>;</w:t>
      </w:r>
    </w:p>
    <w:p w14:paraId="7FFFEAD7" w14:textId="77777777" w:rsidR="008A78E3" w:rsidRDefault="008A78E3" w:rsidP="005041F1">
      <w:pPr>
        <w:rPr>
          <w:rFonts w:eastAsiaTheme="minorEastAsia"/>
          <w:i/>
          <w:iCs/>
        </w:rPr>
      </w:pPr>
      <w:r w:rsidRPr="00013CFE">
        <w:rPr>
          <w:rFonts w:eastAsiaTheme="minorEastAsia"/>
          <w:i/>
          <w:iCs/>
        </w:rPr>
        <w:t>w_ij az LTV és a PD minősítés alapján meghatározott súly:</w:t>
      </w:r>
    </w:p>
    <w:p w14:paraId="7FFFEAD8" w14:textId="77777777" w:rsidR="008A78E3" w:rsidRPr="00013CFE" w:rsidRDefault="008A78E3" w:rsidP="005041F1">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27C4C" w14:paraId="7FFFEADB"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FFEAD9" w14:textId="77777777" w:rsidR="008A78E3" w:rsidRPr="00FB0F16" w:rsidRDefault="008A78E3" w:rsidP="000B016B">
            <w:pPr>
              <w:spacing w:after="0"/>
              <w:jc w:val="center"/>
              <w:rPr>
                <w:rFonts w:cs="Calibri"/>
                <w:b/>
                <w:bCs/>
              </w:rPr>
            </w:pPr>
            <w:r w:rsidRPr="00013CFE">
              <w:rPr>
                <w:rFonts w:cs="Calibri"/>
                <w:b/>
                <w:bCs/>
              </w:rPr>
              <w:t>w_ij</w:t>
            </w:r>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FFEADA" w14:textId="77777777" w:rsidR="008A78E3" w:rsidRPr="00FB0F16" w:rsidRDefault="008A78E3" w:rsidP="000B016B">
            <w:pPr>
              <w:spacing w:after="0"/>
              <w:jc w:val="center"/>
              <w:rPr>
                <w:rFonts w:cs="Calibri"/>
                <w:b/>
                <w:bCs/>
              </w:rPr>
            </w:pPr>
            <w:r>
              <w:rPr>
                <w:rFonts w:cs="Calibri"/>
                <w:b/>
                <w:bCs/>
              </w:rPr>
              <w:t>LTV</w:t>
            </w:r>
            <w:r>
              <w:rPr>
                <w:rStyle w:val="Lbjegyzet-hivatkozs"/>
                <w:rFonts w:cs="Calibri"/>
                <w:b/>
                <w:bCs/>
              </w:rPr>
              <w:footnoteReference w:id="76"/>
            </w:r>
          </w:p>
        </w:tc>
      </w:tr>
      <w:tr w:rsidR="00527C4C" w14:paraId="7FFFEAE2"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7FFFEADC" w14:textId="77777777" w:rsidR="008A78E3" w:rsidRPr="00FB0F16" w:rsidRDefault="008A78E3"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FFFEADD" w14:textId="77777777" w:rsidR="008A78E3" w:rsidRPr="00FB0F16" w:rsidRDefault="008A78E3"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7FFFEADE" w14:textId="77777777" w:rsidR="008A78E3" w:rsidRPr="00FB0F16" w:rsidRDefault="008A78E3"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7FFFEADF" w14:textId="77777777" w:rsidR="008A78E3" w:rsidRPr="00FB0F16" w:rsidRDefault="008A78E3"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7FFFEAE0" w14:textId="77777777" w:rsidR="008A78E3" w:rsidRPr="00FB0F16" w:rsidRDefault="008A78E3"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7FFFEAE1" w14:textId="77777777" w:rsidR="008A78E3" w:rsidRPr="00FB0F16" w:rsidRDefault="008A78E3" w:rsidP="000B016B">
            <w:pPr>
              <w:spacing w:after="0"/>
              <w:jc w:val="right"/>
              <w:rPr>
                <w:rFonts w:cs="Calibri"/>
                <w:b/>
                <w:bCs/>
              </w:rPr>
            </w:pPr>
            <w:r w:rsidRPr="00FB0F16">
              <w:rPr>
                <w:rFonts w:cs="Calibri"/>
                <w:b/>
                <w:bCs/>
              </w:rPr>
              <w:t>5</w:t>
            </w:r>
            <w:r>
              <w:rPr>
                <w:rFonts w:cs="Calibri"/>
                <w:b/>
                <w:bCs/>
              </w:rPr>
              <w:t xml:space="preserve"> (&gt;1.3), fedezetlen</w:t>
            </w:r>
          </w:p>
        </w:tc>
      </w:tr>
      <w:tr w:rsidR="00527C4C" w14:paraId="7FFFEAEA"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FFEAE3" w14:textId="77777777" w:rsidR="008A78E3" w:rsidRPr="00FB0F16" w:rsidRDefault="008A78E3" w:rsidP="000B016B">
            <w:pPr>
              <w:spacing w:after="0"/>
              <w:jc w:val="center"/>
              <w:rPr>
                <w:rFonts w:cs="Calibri"/>
                <w:b/>
                <w:bCs/>
              </w:rPr>
            </w:pPr>
            <w:r w:rsidRPr="00FB0F16">
              <w:rPr>
                <w:rFonts w:cs="Calibri"/>
                <w:b/>
                <w:bCs/>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FFFEAE4" w14:textId="77777777" w:rsidR="008A78E3" w:rsidRPr="00FB0F16" w:rsidRDefault="008A78E3"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7FFFEAE5" w14:textId="77777777" w:rsidR="008A78E3" w:rsidRPr="00FB0F16" w:rsidRDefault="008A78E3"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7FFFEAE6" w14:textId="77777777" w:rsidR="008A78E3" w:rsidRPr="00FB0F16" w:rsidRDefault="008A78E3"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7FFFEAE7" w14:textId="77777777" w:rsidR="008A78E3" w:rsidRPr="00FB0F16" w:rsidRDefault="008A78E3"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7FFFEAE8" w14:textId="77777777" w:rsidR="008A78E3" w:rsidRPr="00FB0F16" w:rsidRDefault="008A78E3"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7FFFEAE9" w14:textId="77777777" w:rsidR="008A78E3" w:rsidRPr="00FB0F16" w:rsidRDefault="008A78E3" w:rsidP="000B016B">
            <w:pPr>
              <w:spacing w:after="0"/>
              <w:jc w:val="right"/>
              <w:rPr>
                <w:rFonts w:cs="Calibri"/>
              </w:rPr>
            </w:pPr>
            <w:r w:rsidRPr="00FB0F16">
              <w:rPr>
                <w:rFonts w:cs="Calibri"/>
              </w:rPr>
              <w:t>4.79%</w:t>
            </w:r>
          </w:p>
        </w:tc>
      </w:tr>
      <w:tr w:rsidR="00527C4C" w14:paraId="7FFFEAF2"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FFFEAEB" w14:textId="77777777" w:rsidR="008A78E3" w:rsidRPr="00FB0F16" w:rsidRDefault="008A78E3"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FFFEAEC" w14:textId="77777777" w:rsidR="008A78E3" w:rsidRPr="00FB0F16" w:rsidRDefault="008A78E3"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7FFFEAED" w14:textId="77777777" w:rsidR="008A78E3" w:rsidRPr="00FB0F16" w:rsidRDefault="008A78E3"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7FFFEAEE" w14:textId="77777777" w:rsidR="008A78E3" w:rsidRPr="00FB0F16" w:rsidRDefault="008A78E3"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7FFFEAEF" w14:textId="77777777" w:rsidR="008A78E3" w:rsidRPr="00FB0F16" w:rsidRDefault="008A78E3"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FFFEAF0" w14:textId="77777777" w:rsidR="008A78E3" w:rsidRPr="00FB0F16" w:rsidRDefault="008A78E3"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7FFFEAF1" w14:textId="77777777" w:rsidR="008A78E3" w:rsidRPr="00FB0F16" w:rsidRDefault="008A78E3" w:rsidP="000B016B">
            <w:pPr>
              <w:spacing w:after="0"/>
              <w:jc w:val="right"/>
              <w:rPr>
                <w:rFonts w:cs="Calibri"/>
              </w:rPr>
            </w:pPr>
            <w:r w:rsidRPr="00FB0F16">
              <w:rPr>
                <w:rFonts w:cs="Calibri"/>
              </w:rPr>
              <w:t>10.63%</w:t>
            </w:r>
          </w:p>
        </w:tc>
      </w:tr>
      <w:tr w:rsidR="00527C4C" w14:paraId="7FFFEAFA"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FFFEAF3" w14:textId="77777777" w:rsidR="008A78E3" w:rsidRPr="00FB0F16" w:rsidRDefault="008A78E3"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FFFEAF4" w14:textId="77777777" w:rsidR="008A78E3" w:rsidRPr="00FB0F16" w:rsidRDefault="008A78E3"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7FFFEAF5" w14:textId="77777777" w:rsidR="008A78E3" w:rsidRPr="00FB0F16" w:rsidRDefault="008A78E3"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7FFFEAF6" w14:textId="77777777" w:rsidR="008A78E3" w:rsidRPr="00FB0F16" w:rsidRDefault="008A78E3"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FFFEAF7" w14:textId="77777777" w:rsidR="008A78E3" w:rsidRPr="00FB0F16" w:rsidRDefault="008A78E3"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7FFFEAF8" w14:textId="77777777" w:rsidR="008A78E3" w:rsidRPr="00FB0F16" w:rsidRDefault="008A78E3"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7FFFEAF9" w14:textId="77777777" w:rsidR="008A78E3" w:rsidRPr="00FB0F16" w:rsidRDefault="008A78E3" w:rsidP="000B016B">
            <w:pPr>
              <w:spacing w:after="0"/>
              <w:jc w:val="right"/>
              <w:rPr>
                <w:rFonts w:cs="Calibri"/>
              </w:rPr>
            </w:pPr>
            <w:r w:rsidRPr="00FB0F16">
              <w:rPr>
                <w:rFonts w:cs="Calibri"/>
              </w:rPr>
              <w:t>13.89%</w:t>
            </w:r>
          </w:p>
        </w:tc>
      </w:tr>
      <w:tr w:rsidR="00527C4C" w14:paraId="7FFFEB02"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FFFEAFB" w14:textId="77777777" w:rsidR="008A78E3" w:rsidRPr="00FB0F16" w:rsidRDefault="008A78E3"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FFFEAFC" w14:textId="77777777" w:rsidR="008A78E3" w:rsidRPr="00FB0F16" w:rsidRDefault="008A78E3"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7FFFEAFD" w14:textId="77777777" w:rsidR="008A78E3" w:rsidRPr="00FB0F16" w:rsidRDefault="008A78E3"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FFFEAFE" w14:textId="77777777" w:rsidR="008A78E3" w:rsidRPr="00FB0F16" w:rsidRDefault="008A78E3"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7FFFEAFF" w14:textId="77777777" w:rsidR="008A78E3" w:rsidRPr="00FB0F16" w:rsidRDefault="008A78E3"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7FFFEB00" w14:textId="77777777" w:rsidR="008A78E3" w:rsidRPr="00FB0F16" w:rsidRDefault="008A78E3"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7FFFEB01" w14:textId="77777777" w:rsidR="008A78E3" w:rsidRPr="00FB0F16" w:rsidRDefault="008A78E3" w:rsidP="000B016B">
            <w:pPr>
              <w:spacing w:after="0"/>
              <w:jc w:val="right"/>
              <w:rPr>
                <w:rFonts w:cs="Calibri"/>
              </w:rPr>
            </w:pPr>
            <w:r w:rsidRPr="00FB0F16">
              <w:rPr>
                <w:rFonts w:cs="Calibri"/>
              </w:rPr>
              <w:t>16.89%</w:t>
            </w:r>
          </w:p>
        </w:tc>
      </w:tr>
      <w:tr w:rsidR="00527C4C" w14:paraId="7FFFEB0A"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FFFEB03" w14:textId="77777777" w:rsidR="008A78E3" w:rsidRPr="00FB0F16" w:rsidRDefault="008A78E3"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FFFEB04" w14:textId="77777777" w:rsidR="008A78E3" w:rsidRPr="00FB0F16" w:rsidRDefault="008A78E3"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7FFFEB05" w14:textId="77777777" w:rsidR="008A78E3" w:rsidRPr="00FB0F16" w:rsidRDefault="008A78E3"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7FFFEB06" w14:textId="77777777" w:rsidR="008A78E3" w:rsidRPr="00FB0F16" w:rsidRDefault="008A78E3"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7FFFEB07" w14:textId="77777777" w:rsidR="008A78E3" w:rsidRPr="00FB0F16" w:rsidRDefault="008A78E3"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7FFFEB08" w14:textId="77777777" w:rsidR="008A78E3" w:rsidRPr="00FB0F16" w:rsidRDefault="008A78E3"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7FFFEB09" w14:textId="77777777" w:rsidR="008A78E3" w:rsidRPr="00FB0F16" w:rsidRDefault="008A78E3" w:rsidP="000B016B">
            <w:pPr>
              <w:spacing w:after="0"/>
              <w:jc w:val="right"/>
              <w:rPr>
                <w:rFonts w:cs="Calibri"/>
              </w:rPr>
            </w:pPr>
            <w:r w:rsidRPr="00FB0F16">
              <w:rPr>
                <w:rFonts w:cs="Calibri"/>
              </w:rPr>
              <w:t>21.64%</w:t>
            </w:r>
          </w:p>
        </w:tc>
      </w:tr>
    </w:tbl>
    <w:p w14:paraId="7FFFEB0B" w14:textId="77777777" w:rsidR="008A78E3" w:rsidRDefault="008A78E3" w:rsidP="005041F1">
      <w:pPr>
        <w:rPr>
          <w:i/>
          <w:iCs/>
        </w:rPr>
      </w:pPr>
      <w:r>
        <w:rPr>
          <w:i/>
          <w:iCs/>
        </w:rPr>
        <w:tab/>
      </w:r>
    </w:p>
    <w:p w14:paraId="7FFFEB0C" w14:textId="77777777" w:rsidR="008A78E3" w:rsidRDefault="008A78E3" w:rsidP="005041F1">
      <w:pPr>
        <w:rPr>
          <w:i/>
          <w:iCs/>
        </w:rPr>
      </w:pPr>
      <w:r>
        <w:rPr>
          <w:i/>
          <w:iCs/>
        </w:rPr>
        <w:tab/>
      </w:r>
      <w:r>
        <w:rPr>
          <w:i/>
          <w:iCs/>
        </w:rPr>
        <w:tab/>
        <w:t>s=0</w:t>
      </w:r>
    </w:p>
    <w:p w14:paraId="7FFFEB0D" w14:textId="77777777" w:rsidR="008A78E3" w:rsidRDefault="009D2DEA"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7FFFEB0E" w14:textId="77777777" w:rsidR="008A78E3" w:rsidRDefault="008A78E3" w:rsidP="005041F1">
      <w:pPr>
        <w:rPr>
          <w:i/>
          <w:iCs/>
        </w:rPr>
      </w:pPr>
      <w:r>
        <w:rPr>
          <w:i/>
          <w:iCs/>
        </w:rPr>
        <w:t xml:space="preserve"> és </w:t>
      </w:r>
      <w:r w:rsidRPr="00013CFE">
        <w:rPr>
          <w:i/>
          <w:iCs/>
        </w:rPr>
        <w:t>x_k</w:t>
      </w:r>
      <w:r>
        <w:rPr>
          <w:i/>
          <w:iCs/>
        </w:rPr>
        <w:t xml:space="preserve"> a szegmens alapú kockázati korrekció:</w:t>
      </w:r>
    </w:p>
    <w:p w14:paraId="7FFFEB0F" w14:textId="77777777" w:rsidR="008A78E3" w:rsidRPr="00013CFE" w:rsidRDefault="008A78E3"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27C4C" w14:paraId="7FFFEB12"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FFFEB10" w14:textId="77777777" w:rsidR="008A78E3" w:rsidRPr="00013CFE" w:rsidRDefault="008A78E3"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FFFEB11" w14:textId="77777777" w:rsidR="008A78E3" w:rsidRPr="00013CFE" w:rsidRDefault="008A78E3" w:rsidP="000B016B">
            <w:pPr>
              <w:spacing w:after="0"/>
              <w:jc w:val="left"/>
              <w:rPr>
                <w:rFonts w:cs="Calibri"/>
                <w:b/>
                <w:bCs/>
              </w:rPr>
            </w:pPr>
            <w:r w:rsidRPr="00013CFE">
              <w:rPr>
                <w:rFonts w:cs="Calibri"/>
                <w:b/>
                <w:bCs/>
              </w:rPr>
              <w:t>x_k</w:t>
            </w:r>
          </w:p>
        </w:tc>
      </w:tr>
      <w:tr w:rsidR="00527C4C" w14:paraId="7FFFEB1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FFEB13" w14:textId="77777777" w:rsidR="008A78E3" w:rsidRPr="00013CFE" w:rsidRDefault="008A78E3" w:rsidP="000B016B">
            <w:pPr>
              <w:spacing w:after="0"/>
              <w:jc w:val="left"/>
              <w:rPr>
                <w:rFonts w:cs="Calibri"/>
              </w:rPr>
            </w:pPr>
            <w:r w:rsidRPr="00013CFE">
              <w:rPr>
                <w:rFonts w:cs="Calibri"/>
              </w:rPr>
              <w:t>alacsony</w:t>
            </w:r>
            <w:r>
              <w:rPr>
                <w:rStyle w:val="Lbjegyzet-hivatkozs"/>
                <w:rFonts w:cs="Calibri"/>
              </w:rPr>
              <w:footnoteReference w:id="77"/>
            </w:r>
          </w:p>
        </w:tc>
        <w:tc>
          <w:tcPr>
            <w:tcW w:w="960" w:type="dxa"/>
            <w:tcBorders>
              <w:top w:val="nil"/>
              <w:left w:val="nil"/>
              <w:bottom w:val="single" w:sz="4" w:space="0" w:color="auto"/>
              <w:right w:val="single" w:sz="4" w:space="0" w:color="auto"/>
            </w:tcBorders>
            <w:shd w:val="clear" w:color="auto" w:fill="auto"/>
            <w:noWrap/>
            <w:vAlign w:val="bottom"/>
            <w:hideMark/>
          </w:tcPr>
          <w:p w14:paraId="7FFFEB14" w14:textId="77777777" w:rsidR="008A78E3" w:rsidRPr="00013CFE" w:rsidRDefault="008A78E3" w:rsidP="000B016B">
            <w:pPr>
              <w:spacing w:after="0"/>
              <w:jc w:val="right"/>
              <w:rPr>
                <w:rFonts w:cs="Calibri"/>
              </w:rPr>
            </w:pPr>
            <w:r w:rsidRPr="00013CFE">
              <w:rPr>
                <w:rFonts w:cs="Calibri"/>
              </w:rPr>
              <w:t>30%</w:t>
            </w:r>
          </w:p>
        </w:tc>
      </w:tr>
      <w:tr w:rsidR="00527C4C" w14:paraId="7FFFEB18"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FFEB16" w14:textId="77777777" w:rsidR="008A78E3" w:rsidRPr="00013CFE" w:rsidRDefault="008A78E3"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78"/>
            </w:r>
          </w:p>
        </w:tc>
        <w:tc>
          <w:tcPr>
            <w:tcW w:w="960" w:type="dxa"/>
            <w:tcBorders>
              <w:top w:val="nil"/>
              <w:left w:val="nil"/>
              <w:bottom w:val="single" w:sz="4" w:space="0" w:color="auto"/>
              <w:right w:val="single" w:sz="4" w:space="0" w:color="auto"/>
            </w:tcBorders>
            <w:shd w:val="clear" w:color="auto" w:fill="auto"/>
            <w:noWrap/>
            <w:vAlign w:val="bottom"/>
            <w:hideMark/>
          </w:tcPr>
          <w:p w14:paraId="7FFFEB17" w14:textId="77777777" w:rsidR="008A78E3" w:rsidRPr="00013CFE" w:rsidRDefault="008A78E3" w:rsidP="000B016B">
            <w:pPr>
              <w:spacing w:after="0"/>
              <w:jc w:val="right"/>
              <w:rPr>
                <w:rFonts w:cs="Calibri"/>
              </w:rPr>
            </w:pPr>
            <w:r w:rsidRPr="00013CFE">
              <w:rPr>
                <w:rFonts w:cs="Calibri"/>
              </w:rPr>
              <w:t>170%</w:t>
            </w:r>
          </w:p>
        </w:tc>
      </w:tr>
    </w:tbl>
    <w:p w14:paraId="7FFFEB19" w14:textId="77777777" w:rsidR="008A78E3" w:rsidRDefault="008A78E3" w:rsidP="005041F1">
      <w:pPr>
        <w:pStyle w:val="felsorolsos"/>
        <w:numPr>
          <w:ilvl w:val="0"/>
          <w:numId w:val="0"/>
        </w:numPr>
        <w:rPr>
          <w:rFonts w:asciiTheme="minorHAnsi" w:hAnsiTheme="minorHAnsi"/>
        </w:rPr>
      </w:pPr>
    </w:p>
    <w:p w14:paraId="7FFFEB1A" w14:textId="77777777" w:rsidR="008A78E3" w:rsidRDefault="008A78E3" w:rsidP="005041F1">
      <w:pPr>
        <w:pStyle w:val="felsorolsos"/>
        <w:numPr>
          <w:ilvl w:val="0"/>
          <w:numId w:val="0"/>
        </w:numPr>
        <w:rPr>
          <w:rFonts w:asciiTheme="minorHAnsi" w:hAnsiTheme="minorHAnsi"/>
        </w:rPr>
      </w:pPr>
      <w:r>
        <w:rPr>
          <w:rFonts w:asciiTheme="minorHAnsi" w:hAnsiTheme="minorHAnsi"/>
        </w:rPr>
        <w:t>A súlyozott HHI és az ICAAP felülvizsgálat során a koncentrációs kockázati SREP tőkekövetelmény meghatározásához alkalmazott granularitási korrekció között közelítően lineáris kapcsolat áll fenn:</w:t>
      </w:r>
    </w:p>
    <w:p w14:paraId="7FFFEB1B" w14:textId="77777777" w:rsidR="008A78E3" w:rsidRPr="00CF5BC7" w:rsidRDefault="008A78E3" w:rsidP="005041F1">
      <w:pPr>
        <w:pStyle w:val="felsorolsos"/>
        <w:numPr>
          <w:ilvl w:val="0"/>
          <w:numId w:val="0"/>
        </w:numPr>
        <w:rPr>
          <w:rFonts w:asciiTheme="minorHAnsi" w:hAnsiTheme="minorHAnsi"/>
        </w:rPr>
      </w:pPr>
      <m:oMathPara>
        <m:oMath>
          <m:r>
            <w:rPr>
              <w:rFonts w:ascii="Cambria Math" w:hAnsi="Cambria Math"/>
            </w:rPr>
            <m:t>gra</m:t>
          </m:r>
          <m:sSub>
            <m:sSubPr>
              <m:ctrlPr>
                <w:rPr>
                  <w:rFonts w:ascii="Cambria Math" w:hAnsi="Cambria Math"/>
                  <w:i/>
                </w:rPr>
              </m:ctrlPr>
            </m:sSubPr>
            <m:e>
              <m:r>
                <w:rPr>
                  <w:rFonts w:ascii="Cambria Math" w:hAnsi="Cambria Math"/>
                </w:rPr>
                <m:t>n</m:t>
              </m:r>
            </m:e>
            <m:sub>
              <m:r>
                <w:rPr>
                  <w:rFonts w:ascii="Cambria Math" w:hAnsi="Cambria Math"/>
                </w:rPr>
                <m:t>korr</m:t>
              </m:r>
            </m:sub>
          </m:sSub>
          <m:r>
            <w:rPr>
              <w:rFonts w:ascii="Cambria Math" w:hAnsi="Cambria Math"/>
            </w:rPr>
            <m:t>=0.0015432*HH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+1.0099386</m:t>
          </m:r>
        </m:oMath>
      </m:oMathPara>
    </w:p>
    <w:p w14:paraId="7FFFEB1C" w14:textId="77777777" w:rsidR="008A78E3" w:rsidRDefault="008A78E3" w:rsidP="005041F1">
      <w:pPr>
        <w:pStyle w:val="felsorolsos"/>
        <w:numPr>
          <w:ilvl w:val="0"/>
          <w:numId w:val="0"/>
        </w:numPr>
        <w:rPr>
          <w:rFonts w:asciiTheme="minorHAnsi" w:hAnsiTheme="minorHAnsi"/>
        </w:rPr>
      </w:pPr>
      <w:r>
        <w:rPr>
          <w:rFonts w:asciiTheme="minorHAnsi" w:hAnsiTheme="minorHAnsi"/>
        </w:rPr>
        <w:t>Fontos kiemelni, hogy az így kapott granularitási korrekció csak egy közelítő érték a korábban bemutatott, felügyeleti szimulációs módszartan eredményeként kapott granularitási korrekcióhoz, hiszen a pontos érték az ICAAP felülvizsgálat során felülvizsgált hitelkockázati paramétereken alapul.</w:t>
      </w:r>
    </w:p>
    <w:p w14:paraId="7FFFEB1D" w14:textId="77777777" w:rsidR="008A78E3" w:rsidRPr="00EC6B0B" w:rsidRDefault="008A78E3" w:rsidP="005041F1">
      <w:pPr>
        <w:pStyle w:val="felsorolsos"/>
        <w:numPr>
          <w:ilvl w:val="0"/>
          <w:numId w:val="0"/>
        </w:numPr>
        <w:rPr>
          <w:rFonts w:asciiTheme="minorHAnsi" w:hAnsiTheme="minorHAnsi"/>
        </w:rPr>
      </w:pPr>
      <w:r>
        <w:rPr>
          <w:rFonts w:asciiTheme="minorHAnsi" w:hAnsiTheme="minorHAnsi"/>
        </w:rPr>
        <w:t>Ugyanakkor a bemutatott korrigált HHI mutatószám jó eszköznek bizonyul a koncentrációs kockázat nyomonkövetésére. Az alábbi skála 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527C4C" w14:paraId="7FFFEB20"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EB1E" w14:textId="77777777" w:rsidR="008A78E3" w:rsidRPr="00CF5BC7" w:rsidRDefault="008A78E3" w:rsidP="00EC6B0B">
            <w:pPr>
              <w:spacing w:after="0"/>
              <w:jc w:val="center"/>
              <w:rPr>
                <w:rFonts w:cs="Calibri"/>
                <w:b/>
                <w:bCs/>
              </w:rPr>
            </w:pPr>
            <w:r w:rsidRPr="00CF5BC7">
              <w:rPr>
                <w:rFonts w:cs="Calibri"/>
                <w:b/>
                <w:bCs/>
              </w:rPr>
              <w:t>HHI_korr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FFEB1F" w14:textId="77777777" w:rsidR="008A78E3" w:rsidRPr="00CF5BC7" w:rsidRDefault="008A78E3" w:rsidP="00EC6B0B">
            <w:pPr>
              <w:spacing w:after="0"/>
              <w:jc w:val="center"/>
              <w:rPr>
                <w:rFonts w:cs="Calibri"/>
                <w:b/>
                <w:bCs/>
              </w:rPr>
            </w:pPr>
            <w:r w:rsidRPr="00CF5BC7">
              <w:rPr>
                <w:rFonts w:cs="Calibri"/>
                <w:b/>
                <w:bCs/>
              </w:rPr>
              <w:t>granularitási korrekció</w:t>
            </w:r>
          </w:p>
        </w:tc>
      </w:tr>
      <w:tr w:rsidR="00527C4C" w14:paraId="7FFFEB2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FFFEB21" w14:textId="77777777" w:rsidR="008A78E3" w:rsidRPr="00CF5BC7" w:rsidRDefault="008A78E3"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FFFEB22" w14:textId="77777777" w:rsidR="008A78E3" w:rsidRPr="00CF5BC7" w:rsidRDefault="008A78E3" w:rsidP="00CF5BC7">
            <w:pPr>
              <w:spacing w:after="0"/>
              <w:jc w:val="left"/>
              <w:rPr>
                <w:rFonts w:cs="Calibri"/>
              </w:rPr>
            </w:pPr>
            <w:r w:rsidRPr="00CF5BC7">
              <w:rPr>
                <w:rFonts w:cs="Calibri"/>
              </w:rPr>
              <w:t xml:space="preserve">             1.47    </w:t>
            </w:r>
          </w:p>
        </w:tc>
      </w:tr>
      <w:tr w:rsidR="00527C4C" w14:paraId="7FFFEB26"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FFFEB24" w14:textId="77777777" w:rsidR="008A78E3" w:rsidRPr="00CF5BC7" w:rsidRDefault="008A78E3"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FFFEB25" w14:textId="77777777" w:rsidR="008A78E3" w:rsidRPr="00CF5BC7" w:rsidRDefault="008A78E3" w:rsidP="00CF5BC7">
            <w:pPr>
              <w:spacing w:after="0"/>
              <w:jc w:val="left"/>
              <w:rPr>
                <w:rFonts w:cs="Calibri"/>
              </w:rPr>
            </w:pPr>
            <w:r w:rsidRPr="00CF5BC7">
              <w:rPr>
                <w:rFonts w:cs="Calibri"/>
              </w:rPr>
              <w:t xml:space="preserve">             1.32    </w:t>
            </w:r>
          </w:p>
        </w:tc>
      </w:tr>
      <w:tr w:rsidR="00527C4C" w14:paraId="7FFFEB29"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7FFFEB27" w14:textId="77777777" w:rsidR="008A78E3" w:rsidRPr="00CF5BC7" w:rsidRDefault="008A78E3"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7FFFEB28" w14:textId="77777777" w:rsidR="008A78E3" w:rsidRPr="00CF5BC7" w:rsidRDefault="008A78E3" w:rsidP="00CF5BC7">
            <w:pPr>
              <w:spacing w:after="0"/>
              <w:jc w:val="left"/>
              <w:rPr>
                <w:rFonts w:cs="Calibri"/>
              </w:rPr>
            </w:pPr>
            <w:r w:rsidRPr="00CF5BC7">
              <w:rPr>
                <w:rFonts w:cs="Calibri"/>
              </w:rPr>
              <w:t xml:space="preserve">             1.16    </w:t>
            </w:r>
          </w:p>
        </w:tc>
      </w:tr>
      <w:tr w:rsidR="00527C4C" w14:paraId="7FFFEB2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FFFEB2A" w14:textId="77777777" w:rsidR="008A78E3" w:rsidRPr="00CF5BC7" w:rsidRDefault="008A78E3"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FFFEB2B" w14:textId="77777777" w:rsidR="008A78E3" w:rsidRPr="00CF5BC7" w:rsidRDefault="008A78E3" w:rsidP="00CF5BC7">
            <w:pPr>
              <w:spacing w:after="0"/>
              <w:jc w:val="left"/>
              <w:rPr>
                <w:rFonts w:cs="Calibri"/>
              </w:rPr>
            </w:pPr>
            <w:r w:rsidRPr="00CF5BC7">
              <w:rPr>
                <w:rFonts w:cs="Calibri"/>
              </w:rPr>
              <w:t xml:space="preserve">             1.13    </w:t>
            </w:r>
          </w:p>
        </w:tc>
      </w:tr>
      <w:tr w:rsidR="00527C4C" w14:paraId="7FFFEB2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FFFEB2D" w14:textId="77777777" w:rsidR="008A78E3" w:rsidRPr="00CF5BC7" w:rsidRDefault="008A78E3"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FFFEB2E" w14:textId="77777777" w:rsidR="008A78E3" w:rsidRPr="00CF5BC7" w:rsidRDefault="008A78E3" w:rsidP="00CF5BC7">
            <w:pPr>
              <w:spacing w:after="0"/>
              <w:jc w:val="left"/>
              <w:rPr>
                <w:rFonts w:cs="Calibri"/>
              </w:rPr>
            </w:pPr>
            <w:r w:rsidRPr="00CF5BC7">
              <w:rPr>
                <w:rFonts w:cs="Calibri"/>
              </w:rPr>
              <w:t xml:space="preserve">             1.10    </w:t>
            </w:r>
          </w:p>
        </w:tc>
      </w:tr>
      <w:tr w:rsidR="00527C4C" w14:paraId="7FFFEB32"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7FFFEB30" w14:textId="77777777" w:rsidR="008A78E3" w:rsidRPr="00CF5BC7" w:rsidRDefault="008A78E3"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7FFFEB31" w14:textId="77777777" w:rsidR="008A78E3" w:rsidRPr="00CF5BC7" w:rsidRDefault="008A78E3" w:rsidP="00CF5BC7">
            <w:pPr>
              <w:spacing w:after="0"/>
              <w:jc w:val="left"/>
              <w:rPr>
                <w:rFonts w:cs="Calibri"/>
              </w:rPr>
            </w:pPr>
            <w:r w:rsidRPr="00CF5BC7">
              <w:rPr>
                <w:rFonts w:cs="Calibri"/>
              </w:rPr>
              <w:t xml:space="preserve">             1.07    </w:t>
            </w:r>
          </w:p>
        </w:tc>
      </w:tr>
      <w:tr w:rsidR="00527C4C" w14:paraId="7FFFEB35"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7FFFEB33" w14:textId="77777777" w:rsidR="008A78E3" w:rsidRPr="00CF5BC7" w:rsidRDefault="008A78E3"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7FFFEB34" w14:textId="77777777" w:rsidR="008A78E3" w:rsidRPr="00CF5BC7" w:rsidRDefault="008A78E3" w:rsidP="00CF5BC7">
            <w:pPr>
              <w:spacing w:after="0"/>
              <w:jc w:val="left"/>
              <w:rPr>
                <w:rFonts w:cs="Calibri"/>
              </w:rPr>
            </w:pPr>
            <w:r w:rsidRPr="00CF5BC7">
              <w:rPr>
                <w:rFonts w:cs="Calibri"/>
              </w:rPr>
              <w:t xml:space="preserve">             1.06    </w:t>
            </w:r>
          </w:p>
        </w:tc>
      </w:tr>
      <w:tr w:rsidR="00527C4C" w14:paraId="7FFFEB38"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7FFFEB36" w14:textId="77777777" w:rsidR="008A78E3" w:rsidRPr="00CF5BC7" w:rsidRDefault="008A78E3"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7FFFEB37" w14:textId="77777777" w:rsidR="008A78E3" w:rsidRPr="00CF5BC7" w:rsidRDefault="008A78E3" w:rsidP="00CF5BC7">
            <w:pPr>
              <w:spacing w:after="0"/>
              <w:jc w:val="left"/>
              <w:rPr>
                <w:rFonts w:cs="Calibri"/>
              </w:rPr>
            </w:pPr>
            <w:r w:rsidRPr="00CF5BC7">
              <w:rPr>
                <w:rFonts w:cs="Calibri"/>
              </w:rPr>
              <w:t xml:space="preserve">             1.04    </w:t>
            </w:r>
          </w:p>
        </w:tc>
      </w:tr>
      <w:tr w:rsidR="00527C4C" w14:paraId="7FFFEB3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FFFEB39" w14:textId="77777777" w:rsidR="008A78E3" w:rsidRPr="00CF5BC7" w:rsidRDefault="008A78E3"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FFFEB3A" w14:textId="77777777" w:rsidR="008A78E3" w:rsidRPr="00CF5BC7" w:rsidRDefault="008A78E3" w:rsidP="00CF5BC7">
            <w:pPr>
              <w:spacing w:after="0"/>
              <w:jc w:val="left"/>
              <w:rPr>
                <w:rFonts w:cs="Calibri"/>
              </w:rPr>
            </w:pPr>
            <w:r w:rsidRPr="00CF5BC7">
              <w:rPr>
                <w:rFonts w:cs="Calibri"/>
              </w:rPr>
              <w:t xml:space="preserve">             1.01    </w:t>
            </w:r>
          </w:p>
        </w:tc>
      </w:tr>
    </w:tbl>
    <w:p w14:paraId="7FFFEB3C" w14:textId="77777777" w:rsidR="008A78E3" w:rsidRPr="00EC6B0B" w:rsidRDefault="008A78E3" w:rsidP="00EC6B0B">
      <w:pPr>
        <w:pStyle w:val="felsorolsos"/>
        <w:numPr>
          <w:ilvl w:val="0"/>
          <w:numId w:val="0"/>
        </w:numPr>
        <w:rPr>
          <w:rFonts w:asciiTheme="minorHAnsi" w:hAnsiTheme="minorHAnsi"/>
          <w:i/>
          <w:iCs/>
          <w:sz w:val="16"/>
          <w:szCs w:val="16"/>
        </w:rPr>
      </w:pPr>
      <w:r w:rsidRPr="00EC6B0B">
        <w:rPr>
          <w:rFonts w:asciiTheme="minorHAnsi" w:hAnsiTheme="minorHAnsi"/>
          <w:i/>
          <w:iCs/>
          <w:sz w:val="16"/>
          <w:szCs w:val="16"/>
        </w:rPr>
        <w:t>Megjegyzés: a 6%-os granularitsi korrekciós szint alatt az ICAAP felülvizsgálatok során az MNB nem szab ki addicionális tőkekövetelményt a koncentrációs kockázat fedezésére.</w:t>
      </w:r>
    </w:p>
    <w:p w14:paraId="7FFFEB3D" w14:textId="77777777" w:rsidR="008A78E3" w:rsidRPr="006A6890" w:rsidRDefault="008A78E3" w:rsidP="00EA0541">
      <w:pPr>
        <w:rPr>
          <w:rFonts w:asciiTheme="minorHAnsi" w:hAnsiTheme="minorHAnsi"/>
        </w:rPr>
      </w:pPr>
      <w:r w:rsidRPr="006A6890">
        <w:rPr>
          <w:rFonts w:asciiTheme="minorHAnsi" w:hAnsiTheme="minorHAnsi"/>
        </w:rPr>
        <w:t>A nagykockázati limit túllépése esetén alkalmazott felügyeleti intézkedések:</w:t>
      </w:r>
    </w:p>
    <w:p w14:paraId="7FFFEB3E" w14:textId="77777777" w:rsidR="008A78E3" w:rsidRPr="006A6890" w:rsidRDefault="008A78E3" w:rsidP="00CD1B46">
      <w:pPr>
        <w:pStyle w:val="Listaszerbekezds"/>
        <w:numPr>
          <w:ilvl w:val="0"/>
          <w:numId w:val="47"/>
        </w:numPr>
        <w:rPr>
          <w:rFonts w:asciiTheme="minorHAnsi" w:hAnsiTheme="minorHAnsi"/>
          <w:color w:val="000000"/>
          <w:sz w:val="22"/>
        </w:rPr>
      </w:pPr>
      <w:r w:rsidRPr="006A6890">
        <w:rPr>
          <w:rFonts w:asciiTheme="minorHAnsi" w:hAnsiTheme="minorHAnsi"/>
          <w:color w:val="000000"/>
          <w:sz w:val="22"/>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szab ki.</w:t>
      </w:r>
    </w:p>
    <w:p w14:paraId="7FFFEB3F" w14:textId="77777777" w:rsidR="008A78E3" w:rsidRPr="006A6890" w:rsidRDefault="008A78E3" w:rsidP="00CD1B46">
      <w:pPr>
        <w:pStyle w:val="Listaszerbekezds"/>
        <w:numPr>
          <w:ilvl w:val="0"/>
          <w:numId w:val="47"/>
        </w:numPr>
        <w:spacing w:after="240"/>
        <w:rPr>
          <w:rFonts w:asciiTheme="minorHAnsi" w:hAnsiTheme="minorHAnsi"/>
          <w:color w:val="000000"/>
          <w:sz w:val="22"/>
        </w:rPr>
      </w:pPr>
      <w:r w:rsidRPr="006A6890">
        <w:rPr>
          <w:rFonts w:asciiTheme="minorHAnsi" w:hAnsiTheme="minorHAnsi"/>
          <w:color w:val="000000"/>
          <w:sz w:val="22"/>
        </w:rPr>
        <w:t xml:space="preserve">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írhatja elő. </w:t>
      </w:r>
    </w:p>
    <w:p w14:paraId="7FFFEB40" w14:textId="77777777" w:rsidR="008A78E3" w:rsidRPr="006A6890" w:rsidRDefault="008A78E3" w:rsidP="00181755">
      <w:pPr>
        <w:pStyle w:val="Cmsor4"/>
        <w:rPr>
          <w:rFonts w:asciiTheme="minorHAnsi" w:hAnsiTheme="minorHAnsi"/>
        </w:rPr>
      </w:pPr>
      <w:bookmarkStart w:id="952" w:name="_Toc461095220"/>
      <w:bookmarkStart w:id="953" w:name="_Toc461179876"/>
      <w:bookmarkStart w:id="954" w:name="_Toc461201319"/>
      <w:bookmarkStart w:id="955" w:name="_Toc461547962"/>
      <w:bookmarkStart w:id="956" w:name="_Toc462402001"/>
      <w:bookmarkStart w:id="957" w:name="_Toc462403122"/>
      <w:bookmarkStart w:id="958" w:name="_Toc462403446"/>
      <w:bookmarkStart w:id="959" w:name="_Toc468180565"/>
      <w:bookmarkStart w:id="960" w:name="_Toc468181074"/>
      <w:bookmarkStart w:id="961" w:name="_Toc468191460"/>
      <w:bookmarkStart w:id="962" w:name="_Toc45119976"/>
      <w:bookmarkStart w:id="963" w:name="_Toc58512259"/>
      <w:bookmarkStart w:id="964" w:name="_Toc158036679"/>
      <w:r w:rsidRPr="006A6890">
        <w:rPr>
          <w:rFonts w:asciiTheme="minorHAnsi" w:hAnsiTheme="minorHAnsi"/>
        </w:rPr>
        <w:t>Országkockázat</w:t>
      </w:r>
      <w:bookmarkEnd w:id="952"/>
      <w:bookmarkEnd w:id="953"/>
      <w:bookmarkEnd w:id="954"/>
      <w:bookmarkEnd w:id="955"/>
      <w:bookmarkEnd w:id="956"/>
      <w:bookmarkEnd w:id="957"/>
      <w:bookmarkEnd w:id="958"/>
      <w:bookmarkEnd w:id="959"/>
      <w:bookmarkEnd w:id="960"/>
      <w:bookmarkEnd w:id="961"/>
      <w:bookmarkEnd w:id="962"/>
      <w:bookmarkEnd w:id="963"/>
      <w:bookmarkEnd w:id="964"/>
    </w:p>
    <w:p w14:paraId="7FFFEB41"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B42" w14:textId="77777777" w:rsidR="008A78E3" w:rsidRPr="006A6890" w:rsidRDefault="008A78E3"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7FFFEB43" w14:textId="77777777" w:rsidR="008A78E3" w:rsidRPr="006A6890" w:rsidRDefault="008A78E3" w:rsidP="00EA0541">
      <w:pPr>
        <w:rPr>
          <w:rFonts w:asciiTheme="minorHAnsi" w:hAnsiTheme="minorHAnsi"/>
        </w:rPr>
      </w:pPr>
      <w:r w:rsidRPr="006A6890">
        <w:rPr>
          <w:rFonts w:asciiTheme="minorHAnsi" w:hAnsiTheme="minorHAnsi"/>
        </w:rPr>
        <w:t>Az országkockázat alkotó elemei az alábbiak:</w:t>
      </w:r>
    </w:p>
    <w:p w14:paraId="7FFFEB44" w14:textId="77777777" w:rsidR="008A78E3" w:rsidRPr="006A6890" w:rsidRDefault="008A78E3" w:rsidP="00181755">
      <w:pPr>
        <w:pStyle w:val="felsorolsos"/>
        <w:keepNext/>
        <w:rPr>
          <w:rFonts w:asciiTheme="minorHAnsi" w:hAnsiTheme="minorHAnsi"/>
        </w:rPr>
      </w:pPr>
      <w:r w:rsidRPr="006A6890">
        <w:rPr>
          <w:rFonts w:asciiTheme="minorHAnsi" w:hAnsiTheme="minorHAnsi"/>
        </w:rPr>
        <w:t>transzfer-kockázat, amely azon kockázatot jelenti, ahol a szerződés kötelezettje (kölcsön felvevője, értékpapír vevője, stb.) nem tud eleget tenni fizetési kötelezettségének a szerződés szerinti devizában, miközben rendelkezik a szükséges pénzösszeggel a helyi devizában,</w:t>
      </w:r>
    </w:p>
    <w:p w14:paraId="7FFFEB45" w14:textId="77777777" w:rsidR="008A78E3" w:rsidRPr="006A6890" w:rsidRDefault="008A78E3"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7FFFEB46"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7FFFEB47" w14:textId="77777777" w:rsidR="008A78E3" w:rsidRPr="006A6890" w:rsidRDefault="008A78E3" w:rsidP="00EA0541">
      <w:pPr>
        <w:rPr>
          <w:rFonts w:asciiTheme="minorHAnsi" w:hAnsiTheme="minorHAnsi"/>
        </w:rPr>
      </w:pPr>
      <w:r w:rsidRPr="006A6890">
        <w:rPr>
          <w:rFonts w:asciiTheme="minorHAnsi" w:hAnsiTheme="minorHAnsi"/>
        </w:rPr>
        <w:t>Az országkockázat egyes elemei a CRR-ben is megjelennek:</w:t>
      </w:r>
    </w:p>
    <w:p w14:paraId="7FFFEB48" w14:textId="77777777" w:rsidR="008A78E3" w:rsidRPr="006A6890" w:rsidRDefault="008A78E3"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7FFFEB49" w14:textId="77777777" w:rsidR="008A78E3" w:rsidRPr="006A6890" w:rsidRDefault="008A78E3"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7FFFEB4A" w14:textId="77777777" w:rsidR="008A78E3" w:rsidRPr="006A6890" w:rsidRDefault="008A78E3"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7FFFEB4B"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B4C" w14:textId="77777777" w:rsidR="008A78E3" w:rsidRPr="006A6890" w:rsidRDefault="008A78E3"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7FFFEB4D"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ország-limitet az egyes országok tekintetében,</w:t>
      </w:r>
    </w:p>
    <w:p w14:paraId="7FFFEB4E"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7FFFEB4F"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ország-limitek megállapításáért felelős személyt vagy szervezeti egységet,</w:t>
      </w:r>
    </w:p>
    <w:p w14:paraId="7FFFEB50"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7FFFEB51" w14:textId="77777777" w:rsidR="008A78E3" w:rsidRPr="006A6890" w:rsidRDefault="008A78E3"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7FFFEB52"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ország-limitek felülvizsgálatának rendszerét, gyakoriságát,</w:t>
      </w:r>
    </w:p>
    <w:p w14:paraId="7FFFEB53"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ország-limitek kihasználtságára vonatkozó monitoring folyamatát, </w:t>
      </w:r>
    </w:p>
    <w:p w14:paraId="7FFFEB54" w14:textId="77777777" w:rsidR="008A78E3" w:rsidRPr="006A6890" w:rsidRDefault="008A78E3" w:rsidP="00181755">
      <w:pPr>
        <w:pStyle w:val="felsorolsos"/>
        <w:rPr>
          <w:rFonts w:asciiTheme="minorHAnsi" w:hAnsiTheme="minorHAnsi"/>
        </w:rPr>
      </w:pPr>
      <w:r w:rsidRPr="006A6890">
        <w:rPr>
          <w:rFonts w:asciiTheme="minorHAnsi" w:hAnsiTheme="minorHAnsi"/>
        </w:rPr>
        <w:t>az ország-limitek túllépésének esetére vonatkozó eljárási elveket.</w:t>
      </w:r>
    </w:p>
    <w:p w14:paraId="7FFFEB55"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B56" w14:textId="77777777" w:rsidR="008A78E3" w:rsidRPr="006A6890" w:rsidRDefault="008A78E3"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7FFFEB57" w14:textId="77777777" w:rsidR="008A78E3" w:rsidRPr="006A6890" w:rsidRDefault="008A78E3" w:rsidP="00EA0541">
      <w:pPr>
        <w:rPr>
          <w:rFonts w:asciiTheme="minorHAnsi" w:hAnsiTheme="minorHAnsi"/>
        </w:rPr>
      </w:pPr>
      <w:r w:rsidRPr="006A6890">
        <w:rPr>
          <w:rFonts w:asciiTheme="minorHAnsi" w:hAnsiTheme="minorHAnsi"/>
        </w:rPr>
        <w:t xml:space="preserve">Az MNB elvárja, hogy a Magyarországon kívül materiális kitettségekkel rendelkező intézmények az országkockázatot szabályzatban rögzített effektív limitrendszer alkalmazásával kezeljék, továbbá a tőkekövetelmény-számítási modellparaméterek megfelelő kalibrálása révén vagy alkalmas stressz-elemzések eredményeit felhasználva addicionális tőkeképzéssel is fedezzék. </w:t>
      </w:r>
    </w:p>
    <w:p w14:paraId="7FFFEB58" w14:textId="77777777" w:rsidR="008A78E3" w:rsidRPr="006A6890" w:rsidRDefault="008A78E3" w:rsidP="00EA0541">
      <w:pPr>
        <w:rPr>
          <w:rFonts w:asciiTheme="minorHAnsi" w:hAnsiTheme="minorHAnsi"/>
        </w:rPr>
      </w:pPr>
      <w:r w:rsidRPr="006A6890">
        <w:rPr>
          <w:rFonts w:asciiTheme="minorHAnsi" w:hAnsiTheme="minorHAnsi"/>
        </w:rPr>
        <w:t>Az MNB az országkockázatok ICAAP alatti vizsgálata során értékeli:</w:t>
      </w:r>
    </w:p>
    <w:p w14:paraId="7FFFEB59" w14:textId="77777777" w:rsidR="008A78E3" w:rsidRPr="006A6890" w:rsidRDefault="008A78E3"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A koncentráció mértékét az országkockázati kitettség minden típusán belül, beleértve a kormányzatokkal szembeni kitettségeket, az egész intézmény hitelportfóliójának arányában (ügyfelenként és összegenként),</w:t>
      </w:r>
    </w:p>
    <w:p w14:paraId="7FFFEB5A" w14:textId="77777777" w:rsidR="008A78E3" w:rsidRPr="006A6890" w:rsidRDefault="008A78E3"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A hitelfelvevő országának gazdasági erejét és stabilitását, és a pontos kifizetésekkel, valamint súlyos nemteljesítő események előfordulásával kapcsolatos múltbeli teljesítményét,</w:t>
      </w:r>
    </w:p>
    <w:p w14:paraId="7FFFEB5B" w14:textId="77777777" w:rsidR="008A78E3" w:rsidRPr="006A6890" w:rsidRDefault="008A78E3"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 xml:space="preserve">A kormányzati beavatkozás egyéb formáinak kockázatát, amelyek lényegesen ronthatják a hitelfelvevők hitelképességét (pl. betétek befagyasztása, kisajátítás vagy büntető adóztatás); </w:t>
      </w:r>
    </w:p>
    <w:p w14:paraId="7FFFEB5C" w14:textId="77777777" w:rsidR="008A78E3" w:rsidRPr="006A6890" w:rsidRDefault="008A78E3"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Egy olyan esemény (pl. természeti vagy társadalmi/politikai esemény) lehetőségéből eredő kockázatokat, amely hatással van egész országra, és az adósok nagy csoportjának nemteljesítéséhez vezet (kollektív adóskockázat),</w:t>
      </w:r>
    </w:p>
    <w:p w14:paraId="7FFFEB5D" w14:textId="77777777" w:rsidR="008A78E3" w:rsidRPr="006A6890" w:rsidRDefault="008A78E3" w:rsidP="00CD1B46">
      <w:pPr>
        <w:pStyle w:val="Listaszerbekezds"/>
        <w:numPr>
          <w:ilvl w:val="0"/>
          <w:numId w:val="17"/>
        </w:numPr>
        <w:spacing w:after="240"/>
        <w:ind w:left="771" w:hanging="357"/>
        <w:rPr>
          <w:rFonts w:asciiTheme="minorHAnsi" w:hAnsiTheme="minorHAnsi"/>
        </w:rPr>
      </w:pPr>
      <w:r w:rsidRPr="006A6890">
        <w:rPr>
          <w:rFonts w:asciiTheme="minorHAnsi" w:hAnsiTheme="minorHAnsi"/>
          <w:sz w:val="22"/>
          <w:szCs w:val="22"/>
        </w:rPr>
        <w:t>Határokon átnyúló devizahitelezéssel összefüggő transzferkockázatokat.</w:t>
      </w:r>
    </w:p>
    <w:p w14:paraId="7FFFEB5E" w14:textId="77777777" w:rsidR="008A78E3" w:rsidRPr="006A6890" w:rsidRDefault="008A78E3" w:rsidP="00EA72C5">
      <w:pPr>
        <w:pStyle w:val="Cmsor4"/>
        <w:rPr>
          <w:rFonts w:asciiTheme="minorHAnsi" w:hAnsiTheme="minorHAnsi"/>
        </w:rPr>
      </w:pPr>
      <w:bookmarkStart w:id="965" w:name="_Toc45119977"/>
      <w:bookmarkStart w:id="966" w:name="_Toc58512260"/>
      <w:bookmarkStart w:id="967" w:name="_Toc158036680"/>
      <w:r w:rsidRPr="006A6890">
        <w:rPr>
          <w:rFonts w:asciiTheme="minorHAnsi" w:hAnsiTheme="minorHAnsi"/>
        </w:rPr>
        <w:t>Egyéb eszközök kockázatai</w:t>
      </w:r>
      <w:bookmarkEnd w:id="965"/>
      <w:bookmarkEnd w:id="966"/>
      <w:bookmarkEnd w:id="967"/>
    </w:p>
    <w:p w14:paraId="7FFFEB5F" w14:textId="77777777" w:rsidR="008A78E3" w:rsidRPr="006A6890" w:rsidRDefault="008A78E3"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2.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FFFEB60" w14:textId="77777777" w:rsidR="008A78E3" w:rsidRPr="006A6890" w:rsidRDefault="008A78E3"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7FFFEB61" w14:textId="77777777" w:rsidR="008A78E3" w:rsidRPr="006A6890" w:rsidRDefault="008A78E3" w:rsidP="00EA0541">
      <w:pPr>
        <w:rPr>
          <w:rFonts w:asciiTheme="minorHAnsi" w:hAnsiTheme="minorHAnsi"/>
        </w:rPr>
      </w:pPr>
      <w:r w:rsidRPr="006A6890">
        <w:rPr>
          <w:rFonts w:asciiTheme="minorHAnsi" w:hAnsiTheme="minorHAnsi"/>
        </w:rPr>
        <w:t>Amennyiben a Bank ingatlan befektetési alapban rendelkezik befektetési jegyekkel, az MNB vizsgálja az ezen kitettségre beállított tőkekövetelmény szintjét az alap nettó eszközértékének historikus éves volatilitását figyelembe vevő kalkulált tőkeigénnyel, melyet a következő egyszerű módon képez:</w:t>
      </w:r>
    </w:p>
    <w:p w14:paraId="7FFFEB62" w14:textId="77777777" w:rsidR="008A78E3" w:rsidRPr="006A6890" w:rsidRDefault="008A78E3"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7FFFEB63" w14:textId="77777777" w:rsidR="008A78E3" w:rsidRPr="006A6890" w:rsidRDefault="008A78E3" w:rsidP="00EA0541">
      <w:pPr>
        <w:rPr>
          <w:rFonts w:asciiTheme="minorHAnsi" w:hAnsiTheme="minorHAnsi"/>
        </w:rPr>
      </w:pPr>
      <w:bookmarkStart w:id="968" w:name="_Hitelkockázati_tőkekövetelmény_szám"/>
      <w:bookmarkStart w:id="969" w:name="_Toc378592174"/>
      <w:bookmarkStart w:id="970" w:name="_Toc461095221"/>
      <w:bookmarkStart w:id="971" w:name="_Toc461179877"/>
      <w:bookmarkStart w:id="972" w:name="_Toc461201320"/>
      <w:bookmarkStart w:id="973" w:name="_Toc461547963"/>
      <w:bookmarkStart w:id="974" w:name="_Toc462402002"/>
      <w:bookmarkStart w:id="975" w:name="_Toc462403123"/>
      <w:bookmarkStart w:id="976" w:name="_Toc462403447"/>
      <w:bookmarkStart w:id="977" w:name="_Toc468180566"/>
      <w:bookmarkStart w:id="978" w:name="_Toc468181075"/>
      <w:bookmarkEnd w:id="968"/>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7FFFEB64" w14:textId="77777777" w:rsidR="008A78E3" w:rsidRPr="006A6890" w:rsidRDefault="008A78E3" w:rsidP="00181755">
      <w:pPr>
        <w:pStyle w:val="Cmsor4"/>
        <w:rPr>
          <w:rFonts w:asciiTheme="minorHAnsi" w:hAnsiTheme="minorHAnsi"/>
        </w:rPr>
      </w:pPr>
      <w:bookmarkStart w:id="979" w:name="_Toc468191461"/>
      <w:bookmarkStart w:id="980" w:name="_Toc45119978"/>
      <w:bookmarkStart w:id="981" w:name="_Toc58512261"/>
      <w:bookmarkStart w:id="982" w:name="_Toc158036681"/>
      <w:r w:rsidRPr="006A6890">
        <w:rPr>
          <w:rFonts w:asciiTheme="minorHAnsi" w:hAnsiTheme="minorHAnsi"/>
        </w:rPr>
        <w:t>Hitelkockázati tőkekövetelmény számítása</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7FFFEB65" w14:textId="77777777" w:rsidR="008A78E3" w:rsidRPr="006A6890" w:rsidRDefault="008A78E3" w:rsidP="00EA0541">
      <w:pPr>
        <w:rPr>
          <w:rFonts w:asciiTheme="minorHAnsi" w:hAnsiTheme="minorHAnsi"/>
        </w:rPr>
      </w:pPr>
      <w:r w:rsidRPr="006A6890">
        <w:rPr>
          <w:rFonts w:asciiTheme="minorHAnsi" w:hAnsiTheme="minorHAnsi"/>
        </w:rPr>
        <w:t xml:space="preserve">Belső minősítésen alapuló hitelkockázati modellek használata esetén a 2. pilléres tőkeszükséglet alapvetően a kitettségek hosszú távú (TTC), illetve visszaeséskori (downturn) kockázati paraméterei, a hitelportfólió kitettségi jellemzői és a tőkekövetelmény-számítási modell mögöttes feltevései alapján, a teljesítő portfólió nem várt veszteségeként (UL) számítódik. A tőkekövetelmény-számítási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7FFFEB66" w14:textId="77777777" w:rsidR="008A78E3" w:rsidRPr="006A6890" w:rsidRDefault="008A78E3" w:rsidP="00EA0541">
      <w:pPr>
        <w:rPr>
          <w:rFonts w:asciiTheme="minorHAnsi" w:hAnsiTheme="minorHAnsi"/>
        </w:rPr>
      </w:pPr>
      <w:r w:rsidRPr="006A6890">
        <w:rPr>
          <w:rFonts w:asciiTheme="minorHAnsi" w:hAnsiTheme="minorHAnsi"/>
        </w:rPr>
        <w:t>Az „értékvesztés-EL (portfólió várt vesztesége)” különbséggel a CRR az 1. pillérben a rendelkezésre álló tőke megfelelő korrigálását</w:t>
      </w:r>
      <w:r>
        <w:rPr>
          <w:rFonts w:asciiTheme="minorHAnsi" w:hAnsiTheme="minorHAnsi"/>
          <w:vertAlign w:val="superscript"/>
        </w:rPr>
        <w:footnoteReference w:id="79"/>
      </w:r>
      <w:r w:rsidRPr="006A6890">
        <w:rPr>
          <w:rFonts w:asciiTheme="minorHAnsi" w:hAnsiTheme="minorHAnsi"/>
        </w:rPr>
        <w:t xml:space="preserve"> írja elő. A CRR alapján a várható veszteség és az értékvesztés közötti negatív eltérést (hiányt) le kell vonni az IRB-t alkalmazó intézmények esetén a CET 1 tőkéből, többletet pedig az RWA 0,6%-ának mértékéig járulékos tőkeként lehet figyelembe venni.</w:t>
      </w:r>
    </w:p>
    <w:p w14:paraId="7FFFEB67" w14:textId="77777777" w:rsidR="008A78E3" w:rsidRPr="006A6890" w:rsidRDefault="008A78E3" w:rsidP="00EA0541">
      <w:pPr>
        <w:rPr>
          <w:rFonts w:asciiTheme="minorHAnsi" w:hAnsiTheme="minorHAnsi"/>
        </w:rPr>
      </w:pPr>
      <w:r w:rsidRPr="006A6890">
        <w:rPr>
          <w:rFonts w:asciiTheme="minorHAnsi" w:hAnsiTheme="minorHAnsi"/>
        </w:rPr>
        <w:t xml:space="preserve">A 2. pillérben az EBA SREP Ajánlásnak 324. pontja szerint az értékvesztéssel nem megfelelően fedezett várható veszteséget (EL) tőkekövetelménnyel kell fedezni. Az Ajánlás alapján az a szabályozói szándék, hogy a szavatoló tőke se minőségi, se mennyiségi szempontból ne térhessen el az 1. és a 2. pillérben. Ennek megfelelően az ICAAP felülvizsgálat során számított értékvesztés hiányt, (illetve az IRB-t alkalmazó intézmények esetében annak az 1. pilléres értékhez mért különbségét) tőkekövetelmény formájában írja elő az MNB mind a sztenderd, mind az IRB-t alkalmazó intézmények esetében 2015. évtől. </w:t>
      </w:r>
    </w:p>
    <w:p w14:paraId="7FFFEB68" w14:textId="77777777" w:rsidR="008A78E3" w:rsidRPr="006A6890" w:rsidRDefault="008A78E3" w:rsidP="00EA0541">
      <w:pPr>
        <w:rPr>
          <w:rFonts w:asciiTheme="minorHAnsi" w:hAnsiTheme="minorHAnsi"/>
        </w:rPr>
      </w:pPr>
      <w:r w:rsidRPr="006A6890">
        <w:rPr>
          <w:rFonts w:asciiTheme="minorHAnsi" w:hAnsiTheme="minorHAnsi"/>
        </w:rPr>
        <w:t>Amennyiben az ICAAP felülvizsgálat során az 1. pillérben IRB-t alkalmazó intézmények esetében a felülvizsgálat az IRB kockázati paraméterek nem megfelelő megállapítását tárja fel, és ebből adódik az IRB shortfall különbség a 2. pillérben, akkor az intézménynek az 1. pilléres modelljében szükséges kezelnie a vizsgálatot követően a jelentésben vagy felügyeleti határozatban rögzített, modellt érintő releváns megállapításokat. Az MNB azonban a nem megfelelően megállapított paraméterek miatt le nem fedett kockázatok fedezésére pótlólagos tőkekövetelményt ír elő azzal, hogy amennyiben az intézmény az MNB előírásainak megfelelően módosítja az 1. pilléres modelljét, akkor ez a többlet-tőkekövetelmény az MNB által felülvizsgálható.</w:t>
      </w:r>
    </w:p>
    <w:p w14:paraId="7FFFEB69" w14:textId="77777777" w:rsidR="008A78E3" w:rsidRPr="006A6890" w:rsidRDefault="008A78E3" w:rsidP="00181755">
      <w:pPr>
        <w:pStyle w:val="Cmsor4"/>
        <w:rPr>
          <w:rFonts w:asciiTheme="minorHAnsi" w:hAnsiTheme="minorHAnsi"/>
        </w:rPr>
      </w:pPr>
      <w:bookmarkStart w:id="983" w:name="_Toc45119979"/>
      <w:bookmarkStart w:id="984" w:name="_Toc452540565"/>
      <w:bookmarkStart w:id="985" w:name="_Toc462402003"/>
      <w:bookmarkStart w:id="986" w:name="_Toc462403124"/>
      <w:bookmarkStart w:id="987" w:name="_Toc462403448"/>
      <w:bookmarkStart w:id="988" w:name="_Toc468180567"/>
      <w:bookmarkStart w:id="989" w:name="_Toc468181076"/>
      <w:bookmarkStart w:id="990" w:name="_Toc468191462"/>
      <w:bookmarkStart w:id="991" w:name="_Toc58512262"/>
      <w:bookmarkStart w:id="992" w:name="_Toc158036682"/>
      <w:r>
        <w:rPr>
          <w:rFonts w:asciiTheme="minorHAnsi" w:hAnsiTheme="minorHAnsi"/>
        </w:rPr>
        <w:t>MNB által</w:t>
      </w:r>
      <w:r w:rsidRPr="006A6890">
        <w:rPr>
          <w:rFonts w:asciiTheme="minorHAnsi" w:hAnsiTheme="minorHAnsi"/>
        </w:rPr>
        <w:t xml:space="preserve"> nyújtott tőkekövetelmény </w:t>
      </w:r>
      <w:bookmarkEnd w:id="983"/>
      <w:r w:rsidRPr="006A6890">
        <w:rPr>
          <w:rFonts w:asciiTheme="minorHAnsi" w:hAnsiTheme="minorHAnsi"/>
        </w:rPr>
        <w:t>kedvezmény</w:t>
      </w:r>
      <w:bookmarkEnd w:id="984"/>
      <w:bookmarkEnd w:id="985"/>
      <w:bookmarkEnd w:id="986"/>
      <w:bookmarkEnd w:id="987"/>
      <w:bookmarkEnd w:id="988"/>
      <w:bookmarkEnd w:id="989"/>
      <w:bookmarkEnd w:id="990"/>
      <w:r>
        <w:rPr>
          <w:rFonts w:asciiTheme="minorHAnsi" w:hAnsiTheme="minorHAnsi"/>
        </w:rPr>
        <w:t>ek</w:t>
      </w:r>
      <w:bookmarkEnd w:id="991"/>
      <w:bookmarkEnd w:id="992"/>
    </w:p>
    <w:p w14:paraId="7FFFEB6A" w14:textId="77777777" w:rsidR="008A78E3" w:rsidRDefault="008A78E3" w:rsidP="00EA0541">
      <w:pPr>
        <w:rPr>
          <w:rFonts w:asciiTheme="minorHAnsi" w:hAnsiTheme="minorHAnsi"/>
        </w:rPr>
      </w:pPr>
    </w:p>
    <w:p w14:paraId="7FFFEB6B" w14:textId="77777777" w:rsidR="008A78E3" w:rsidRDefault="008A78E3" w:rsidP="007E7749">
      <w:pPr>
        <w:pStyle w:val="Cmsor5"/>
        <w:numPr>
          <w:ilvl w:val="0"/>
          <w:numId w:val="0"/>
        </w:numPr>
        <w:ind w:left="1008" w:hanging="1008"/>
        <w:rPr>
          <w:rFonts w:eastAsia="Calibri" w:cs="Calibri"/>
          <w:b w:val="0"/>
          <w:i/>
          <w:iCs/>
          <w:szCs w:val="20"/>
          <w:u w:val="single"/>
          <w:lang w:eastAsia="en-US"/>
        </w:rPr>
      </w:pPr>
      <w:bookmarkStart w:id="993" w:name="_Hlk52963992"/>
      <w:r w:rsidRPr="00421735">
        <w:rPr>
          <w:rFonts w:eastAsia="Calibri" w:cs="Calibri"/>
          <w:i/>
          <w:iCs/>
          <w:szCs w:val="20"/>
          <w:u w:val="single"/>
          <w:lang w:eastAsia="en-US"/>
        </w:rPr>
        <w:t>Lakáscélú Zöld Tőkekövetelmény-kedvezmény</w:t>
      </w:r>
    </w:p>
    <w:p w14:paraId="7FFFEB6C" w14:textId="77777777" w:rsidR="008A78E3" w:rsidRPr="00821EEB" w:rsidRDefault="008A78E3" w:rsidP="007E7749">
      <w:pPr>
        <w:rPr>
          <w:rFonts w:eastAsia="Calibri"/>
        </w:rPr>
      </w:pPr>
      <w:r w:rsidRPr="00821EEB">
        <w:rPr>
          <w:rFonts w:eastAsia="Calibri"/>
        </w:rPr>
        <w:t>Az MNB 202</w:t>
      </w:r>
      <w:r>
        <w:rPr>
          <w:rFonts w:eastAsia="Calibri"/>
        </w:rPr>
        <w:t>1</w:t>
      </w:r>
      <w:r w:rsidRPr="00821EEB">
        <w:rPr>
          <w:rFonts w:eastAsia="Calibri"/>
        </w:rPr>
        <w:t xml:space="preserve">. január </w:t>
      </w:r>
      <w:r>
        <w:rPr>
          <w:rFonts w:eastAsia="Calibri"/>
        </w:rPr>
        <w:t>28</w:t>
      </w:r>
      <w:r w:rsidRPr="00821EEB">
        <w:rPr>
          <w:rFonts w:eastAsia="Calibri"/>
        </w:rPr>
        <w:t>-t</w:t>
      </w:r>
      <w:r>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rogramját, mely 2020. január 1. és 202</w:t>
      </w:r>
      <w:r>
        <w:rPr>
          <w:rFonts w:eastAsia="Calibri"/>
        </w:rPr>
        <w:t>5</w:t>
      </w:r>
      <w:r w:rsidRPr="00821EEB">
        <w:rPr>
          <w:rFonts w:eastAsia="Calibri"/>
        </w:rPr>
        <w:t xml:space="preserve">. december 31. között </w:t>
      </w:r>
      <w:r>
        <w:rPr>
          <w:rFonts w:eastAsia="Calibri"/>
        </w:rPr>
        <w:t xml:space="preserve">(Időtartam) új lakóépület építése vagy adásvétele, használt lakóépület felújítása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 xml:space="preserve">Tájékoztató a lakáscélú Zöld Tőkekövetelmény-kedvezmény Program </w:t>
      </w:r>
      <w:r>
        <w:rPr>
          <w:rFonts w:eastAsia="Calibri"/>
          <w:i/>
          <w:iCs/>
        </w:rPr>
        <w:t xml:space="preserve">módosított </w:t>
      </w:r>
      <w:r w:rsidRPr="00C51FD1">
        <w:rPr>
          <w:rFonts w:eastAsia="Calibri"/>
          <w:i/>
          <w:iCs/>
        </w:rPr>
        <w:t>feltételeiről</w:t>
      </w:r>
      <w:r>
        <w:rPr>
          <w:rStyle w:val="Lbjegyzet-hivatkozs"/>
          <w:rFonts w:eastAsia="Calibri"/>
          <w:i/>
          <w:iCs/>
        </w:rPr>
        <w:footnoteReference w:id="80"/>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w:t>
      </w:r>
      <w:r>
        <w:rPr>
          <w:rFonts w:eastAsia="Calibri"/>
        </w:rPr>
        <w:t>, a Kedvezményben legfeljebb 5 éve résztvevő,</w:t>
      </w:r>
      <w:r w:rsidRPr="00821EEB">
        <w:rPr>
          <w:rFonts w:eastAsia="Calibri"/>
        </w:rPr>
        <w:t xml:space="preserve"> teljesítő állományon számolt bruttó (mérlegen belüli és kívüli) kitettsége.</w:t>
      </w:r>
    </w:p>
    <w:p w14:paraId="7FFFEB6D" w14:textId="77777777" w:rsidR="008A78E3" w:rsidRPr="00821EEB" w:rsidRDefault="008A78E3" w:rsidP="007E7749">
      <w:pPr>
        <w:rPr>
          <w:rFonts w:eastAsia="Calibri"/>
        </w:rPr>
      </w:pPr>
      <w:r w:rsidRPr="00821EEB">
        <w:rPr>
          <w:rFonts w:eastAsia="Calibri"/>
        </w:rPr>
        <w:t>A Kedvezmény mérték</w:t>
      </w:r>
      <w:r>
        <w:rPr>
          <w:rFonts w:eastAsia="Calibri"/>
        </w:rPr>
        <w:t>ét</w:t>
      </w:r>
      <w:r w:rsidRPr="00821EEB">
        <w:rPr>
          <w:rFonts w:eastAsia="Calibri"/>
        </w:rPr>
        <w:t xml:space="preserve"> a Kedvezmény alapjára vetítve </w:t>
      </w:r>
      <w:r>
        <w:rPr>
          <w:rFonts w:eastAsia="Calibri"/>
        </w:rPr>
        <w:t xml:space="preserve">kell számítani. </w:t>
      </w:r>
      <w:r w:rsidRPr="00E124D8">
        <w:rPr>
          <w:rFonts w:eastAsia="Calibri"/>
        </w:rPr>
        <w:t>Új lakás adásvétele vagy építése esetén</w:t>
      </w:r>
      <w:r>
        <w:rPr>
          <w:rFonts w:eastAsia="Calibri"/>
        </w:rPr>
        <w:t xml:space="preserve"> </w:t>
      </w:r>
      <w:r w:rsidRPr="00E124D8">
        <w:rPr>
          <w:rFonts w:eastAsia="Calibri"/>
        </w:rPr>
        <w:t xml:space="preserve">a </w:t>
      </w:r>
      <w:r>
        <w:rPr>
          <w:rFonts w:eastAsia="Calibri"/>
        </w:rPr>
        <w:t xml:space="preserve">2022.06.09. előtti </w:t>
      </w:r>
      <w:r w:rsidRPr="00E124D8">
        <w:rPr>
          <w:rFonts w:eastAsia="Calibri"/>
        </w:rPr>
        <w:t>hitelszerződések esetében legfeljebb 90 kWh/m2/év</w:t>
      </w:r>
      <w:r>
        <w:rPr>
          <w:rFonts w:eastAsia="Calibri"/>
        </w:rPr>
        <w:t xml:space="preserve"> és </w:t>
      </w:r>
      <w:r w:rsidRPr="00E124D8">
        <w:rPr>
          <w:rFonts w:eastAsia="Calibri"/>
        </w:rPr>
        <w:t xml:space="preserve">„BB” energetikai minőség, </w:t>
      </w:r>
      <w:r>
        <w:rPr>
          <w:rFonts w:eastAsia="Calibri"/>
        </w:rPr>
        <w:t xml:space="preserve">a 2022.06.09. és 2023.10.31. között </w:t>
      </w:r>
      <w:r w:rsidRPr="00E124D8">
        <w:rPr>
          <w:rFonts w:eastAsia="Calibri"/>
        </w:rPr>
        <w:t>aláírt hitelszerződések esetében legfeljebb 80 kWh/m2/év</w:t>
      </w:r>
      <w:r>
        <w:rPr>
          <w:rFonts w:eastAsia="Calibri"/>
        </w:rPr>
        <w:t xml:space="preserve"> és </w:t>
      </w:r>
      <w:r w:rsidRPr="00E124D8">
        <w:rPr>
          <w:rFonts w:eastAsia="Calibri"/>
        </w:rPr>
        <w:t>„BB” energetikai minőség</w:t>
      </w:r>
      <w:r>
        <w:rPr>
          <w:rFonts w:eastAsia="Calibri"/>
        </w:rPr>
        <w:t xml:space="preserve">, a 2023.11.1. után kötött </w:t>
      </w:r>
      <w:r w:rsidRPr="00E124D8">
        <w:rPr>
          <w:rFonts w:eastAsia="Calibri"/>
        </w:rPr>
        <w:t xml:space="preserve">hitelszerződések esetében legfeljebb </w:t>
      </w:r>
      <w:r>
        <w:rPr>
          <w:rFonts w:eastAsia="Calibri"/>
        </w:rPr>
        <w:t>68</w:t>
      </w:r>
      <w:r w:rsidRPr="00E124D8">
        <w:rPr>
          <w:rFonts w:eastAsia="Calibri"/>
        </w:rPr>
        <w:t xml:space="preserve"> kWh/m2/év</w:t>
      </w:r>
      <w:r>
        <w:rPr>
          <w:rFonts w:eastAsia="Calibri"/>
        </w:rPr>
        <w:t xml:space="preserve"> </w:t>
      </w:r>
      <w:r w:rsidRPr="00E124D8">
        <w:rPr>
          <w:rFonts w:eastAsia="Calibri"/>
        </w:rPr>
        <w:t xml:space="preserve">összesített energetikai jellemző </w:t>
      </w:r>
      <w:r>
        <w:rPr>
          <w:rFonts w:eastAsia="Calibri"/>
        </w:rPr>
        <w:t xml:space="preserve">és „A+” </w:t>
      </w:r>
      <w:r w:rsidRPr="00E124D8">
        <w:rPr>
          <w:rFonts w:eastAsia="Calibri"/>
        </w:rPr>
        <w:t>energetikai minőség szerinti besoroláskor 5%</w:t>
      </w:r>
      <w:r>
        <w:rPr>
          <w:rFonts w:eastAsia="Calibri"/>
        </w:rPr>
        <w:t>.</w:t>
      </w:r>
      <w:r w:rsidRPr="00E124D8">
        <w:rPr>
          <w:rFonts w:eastAsia="Calibri"/>
        </w:rPr>
        <w:t xml:space="preserve"> </w:t>
      </w:r>
      <w:r>
        <w:t>2023. október 31-ig beadott építési engedély kérelmek esetében „AA”, illetve 2023. november 1-jét követően beadott építési engedély kérelmek esetén „A++”, vagy annál kedvezőbb energetikai minőség szerinti besoroláskor 7%</w:t>
      </w:r>
      <w:r w:rsidRPr="00E124D8">
        <w:rPr>
          <w:rFonts w:eastAsia="Calibri"/>
        </w:rPr>
        <w:t xml:space="preserve"> </w:t>
      </w:r>
      <w:r>
        <w:rPr>
          <w:rFonts w:eastAsia="Calibri"/>
        </w:rPr>
        <w:t>.</w:t>
      </w:r>
      <w:r w:rsidRPr="00E124D8">
        <w:rPr>
          <w:rFonts w:eastAsia="Calibri"/>
        </w:rPr>
        <w:t>Korszerűsítési intézkedés esetén 5%, kivéve, ha</w:t>
      </w:r>
      <w:r>
        <w:rPr>
          <w:rFonts w:eastAsia="Calibri"/>
        </w:rPr>
        <w:t xml:space="preserve"> a </w:t>
      </w:r>
      <w:r w:rsidRPr="00E124D8">
        <w:rPr>
          <w:rFonts w:eastAsia="Calibri"/>
        </w:rPr>
        <w:t>hitelszerződé</w:t>
      </w:r>
      <w:r>
        <w:rPr>
          <w:rFonts w:eastAsia="Calibri"/>
        </w:rPr>
        <w:t>s</w:t>
      </w:r>
      <w:r w:rsidRPr="00E124D8">
        <w:rPr>
          <w:rFonts w:eastAsia="Calibri"/>
        </w:rPr>
        <w:t xml:space="preserve"> </w:t>
      </w:r>
      <w:r>
        <w:t xml:space="preserve">2023. október 31. előtti és </w:t>
      </w:r>
      <w:r w:rsidRPr="00E124D8">
        <w:rPr>
          <w:rFonts w:eastAsia="Calibri"/>
        </w:rPr>
        <w:t xml:space="preserve"> a </w:t>
      </w:r>
      <w:bookmarkStart w:id="994" w:name="_Hlk145945053"/>
      <w:r>
        <w:rPr>
          <w:rFonts w:eastAsia="Calibri"/>
        </w:rPr>
        <w:t>k</w:t>
      </w:r>
      <w:r w:rsidRPr="00E124D8">
        <w:rPr>
          <w:rFonts w:eastAsia="Calibri"/>
        </w:rPr>
        <w:t xml:space="preserve">orszerűsítési intézkedés </w:t>
      </w:r>
      <w:bookmarkEnd w:id="994"/>
      <w:r w:rsidRPr="00E124D8">
        <w:rPr>
          <w:rFonts w:eastAsia="Calibri"/>
        </w:rPr>
        <w:t>végrehajtása után a lakóépület energetikai minőség szerinti besorolása „AA” vagy annál kedvezőbb, akkor 7%</w:t>
      </w:r>
      <w:r>
        <w:rPr>
          <w:rFonts w:eastAsia="Calibri"/>
        </w:rPr>
        <w:t xml:space="preserve">. </w:t>
      </w:r>
      <w:r>
        <w:t>Felújítás és használt lakóépület adásvétele esetén 5%, kivéve, ha a Felújítás végrehajtása után a vásárolt, használt lakóépület energetikai minőség szerinti besorolása 2023. október 31-ig beadott építési engedély kérelmek esetében „AA”, illetve 2023. november 1-jét követően beadott építési engedély kérelmek esetén „A++” vagy annál kedvezőbb, akkor 7%.</w:t>
      </w:r>
      <w:r>
        <w:rPr>
          <w:rFonts w:eastAsia="Calibri"/>
        </w:rPr>
        <w:t xml:space="preserve"> </w:t>
      </w:r>
      <w:r w:rsidRPr="00821EEB">
        <w:rPr>
          <w:rFonts w:eastAsia="Calibri"/>
        </w:rPr>
        <w:t>A Kedvezmény maximuma szegmensenként (lakáscélú jelzáloghitel, szabadfelhasználású jelzáloghitel, személyi kölcsön) a kedvezménnyel érintett ügyletek ICAAP-felülvizsgál</w:t>
      </w:r>
      <w:r>
        <w:rPr>
          <w:rFonts w:eastAsia="Calibri"/>
        </w:rPr>
        <w:t>a</w:t>
      </w:r>
      <w:r w:rsidRPr="00821EEB">
        <w:rPr>
          <w:rFonts w:eastAsia="Calibri"/>
        </w:rPr>
        <w:t xml:space="preserve">t során meghatározott SREP tőkekövetelményének értéke. A </w:t>
      </w:r>
      <w:r w:rsidRPr="00EE67C2">
        <w:rPr>
          <w:rFonts w:eastAsia="Calibri"/>
        </w:rPr>
        <w:t xml:space="preserve"> zöld vállalati és önkormányzati tőkekövetelmény-kedvezmény és a lakáscélú zöld</w:t>
      </w:r>
      <w:r w:rsidRPr="00821EEB">
        <w:rPr>
          <w:rFonts w:eastAsia="Calibri"/>
        </w:rPr>
        <w:t xml:space="preserve"> </w:t>
      </w:r>
      <w:r w:rsidRPr="00EE67C2">
        <w:rPr>
          <w:rFonts w:eastAsia="Calibri"/>
        </w:rPr>
        <w:t>tőkekövetelmény-kedvezmények együttes összege nem haladhatja meg a hitelintézet teljes kockázati kitettség értékének (TREA) 1,5%-át.</w:t>
      </w:r>
      <w:r>
        <w:rPr>
          <w:rFonts w:eastAsia="Calibri"/>
        </w:rPr>
        <w:t xml:space="preserve"> </w:t>
      </w:r>
      <w:r w:rsidRPr="00821EEB">
        <w:rPr>
          <w:rFonts w:eastAsia="Calibri"/>
        </w:rPr>
        <w:t xml:space="preserve">Kedvezmény a teljes SREP tőkekövetelmény (TSCR mutató) hitelkockázat részéből kerül levonásra. </w:t>
      </w:r>
    </w:p>
    <w:p w14:paraId="7FFFEB6E" w14:textId="77777777" w:rsidR="008A78E3" w:rsidRDefault="008A78E3" w:rsidP="007E7749">
      <w:r>
        <w:t>A Kedvezményt állományi szinten 10 éven keresztül biztosítja az MNB: azt első alkalommal a 2021. évi ICAAP felülvizsgálat során határozza meg az ICAAP felülvizsgálat vonatkozási időpontjában fennálló állomány megfelelő részére, majd az ezt követő további 10 évben az ICAAP felülvizsgálatok során „aktualizálja” minden évben az adott évi zöld hitelállományra kiszámolva. Azaz, utolsó alkalommal a 2031. évi ICAAP felülvizsgálatokban érvényesíthető a Kedvezmény. Ügylet szinten, azaz egy adott HITREG azonosítóval azonosított kitettségre maximum 5 éven keresztül érvényesíthető a Kedvezmény, így legfeljebb 5 egymást követő ICAAP felülvizsgálat során érvényesíthető. A Kedvezmény 2025. december 31-én vagy azt megelőzően keletkezett kitettségekre érvényesíthető. A Kedvezmény érvényesítése utólagosan, a Kedvezmény alapjának megállapítása során figyelembe vett időpontot követő naptári évben végzett ICAAP-felülvizsgálat keretében meghatározott TSCR mutató hatálybalépésének megfelelően történik.</w:t>
      </w:r>
    </w:p>
    <w:p w14:paraId="7FFFEB6F" w14:textId="77777777" w:rsidR="008A78E3" w:rsidRPr="00B23F18" w:rsidRDefault="008A78E3"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7FFFEB70" w14:textId="77777777" w:rsidR="008A78E3" w:rsidRPr="00B944EB" w:rsidRDefault="008A78E3" w:rsidP="007E7749"/>
    <w:bookmarkEnd w:id="993"/>
    <w:p w14:paraId="7FFFEB71" w14:textId="77777777" w:rsidR="008A78E3" w:rsidRPr="00EC6B0B" w:rsidRDefault="008A78E3"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7FFFEB72" w14:textId="77777777" w:rsidR="008A78E3" w:rsidRPr="00C316B5" w:rsidRDefault="008A78E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1"/>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7FFFEB73" w14:textId="77777777" w:rsidR="008A78E3" w:rsidRPr="00C316B5" w:rsidRDefault="008A78E3"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 xml:space="preserve">2021. évi ICAAP felülvizsgálatoktól kezdve az MNB úgy kívánja javítani a bankszektor kockázati profilját, és pozitív ösztönzőn keresztül csökkenteni a bankrendszer kitettségét az átállási kockázatokra, </w:t>
      </w:r>
      <w:r w:rsidRPr="0051678E">
        <w:rPr>
          <w:rFonts w:asciiTheme="minorHAnsi" w:eastAsia="Calibri" w:hAnsiTheme="minorHAnsi" w:cs="Calibri"/>
          <w:bCs/>
          <w:lang w:eastAsia="en-US"/>
        </w:rPr>
        <w:t>hogy a program Tájékoz</w:t>
      </w:r>
      <w:r>
        <w:rPr>
          <w:rFonts w:asciiTheme="minorHAnsi" w:eastAsia="Calibri" w:hAnsiTheme="minorHAnsi" w:cs="Calibri"/>
          <w:bCs/>
          <w:lang w:eastAsia="en-US"/>
        </w:rPr>
        <w:t>t</w:t>
      </w:r>
      <w:r w:rsidRPr="0051678E">
        <w:rPr>
          <w:rFonts w:asciiTheme="minorHAnsi" w:eastAsia="Calibri" w:hAnsiTheme="minorHAnsi" w:cs="Calibri"/>
          <w:bCs/>
          <w:lang w:eastAsia="en-US"/>
        </w:rPr>
        <w:t>ató dokumentumának Mellékletében</w:t>
      </w:r>
      <w:r>
        <w:rPr>
          <w:rStyle w:val="Lbjegyzet-hivatkozs"/>
          <w:rFonts w:asciiTheme="minorHAnsi" w:eastAsia="Calibri" w:hAnsiTheme="minorHAnsi" w:cs="Calibri"/>
          <w:bCs/>
          <w:lang w:eastAsia="en-US"/>
        </w:rPr>
        <w:footnoteReference w:id="82"/>
      </w:r>
      <w:r w:rsidRPr="0051678E">
        <w:rPr>
          <w:rFonts w:asciiTheme="minorHAnsi" w:eastAsia="Calibri" w:hAnsiTheme="minorHAnsi" w:cs="Calibri"/>
          <w:bCs/>
          <w:lang w:eastAsia="en-US"/>
        </w:rPr>
        <w:t xml:space="preserve"> meghatározott kritériumokat teljesítő környezetileg fenntartható vállalati és önkormányzati kitettségek adott évi tőkekövetelményének egy részét vagy teljes egészét elengedi a 2. pillérben. </w:t>
      </w:r>
    </w:p>
    <w:p w14:paraId="7FFFEB74" w14:textId="77777777" w:rsidR="008A78E3" w:rsidRDefault="008A78E3" w:rsidP="00456B36">
      <w:pPr>
        <w:rPr>
          <w:rFonts w:asciiTheme="minorHAnsi" w:eastAsia="Calibri" w:hAnsiTheme="minorHAnsi" w:cs="Calibri"/>
          <w:bCs/>
          <w:lang w:eastAsia="en-US"/>
        </w:rPr>
      </w:pPr>
      <w:r w:rsidRPr="00FD375C">
        <w:rPr>
          <w:rFonts w:asciiTheme="minorHAnsi" w:eastAsia="Calibri" w:hAnsiTheme="minorHAnsi" w:cs="Calibri"/>
          <w:bCs/>
          <w:lang w:eastAsia="en-US"/>
        </w:rPr>
        <w:t>A Kedvezmény mértéke az ICAAP felülvizsgálat vonatkozási időpontjában fennálló érintett állomány teljes bruttó kitettségének 5%-a vagy - EU Taxonómiának való teljes megfelelés esetén - 7%-a, azzal a kitétellel, hogy a 2. pilléres tőkekövetelmény szintje 0 Ft alá nem csökkenhet az állományon. A</w:t>
      </w:r>
      <w:r>
        <w:rPr>
          <w:rFonts w:asciiTheme="minorHAnsi" w:eastAsia="Calibri" w:hAnsiTheme="minorHAnsi" w:cs="Calibri"/>
          <w:bCs/>
          <w:lang w:eastAsia="en-US"/>
        </w:rPr>
        <w:t>z</w:t>
      </w:r>
      <w:r w:rsidRPr="00FD375C">
        <w:rPr>
          <w:rFonts w:asciiTheme="minorHAnsi" w:eastAsia="Calibri" w:hAnsiTheme="minorHAnsi" w:cs="Calibri"/>
          <w:bCs/>
          <w:lang w:eastAsia="en-US"/>
        </w:rPr>
        <w:t xml:space="preserve"> ICAAP felülvizsgálatok során a zöld vállalati és önkormányzati tőkekövetelmény-kedvezmény és a lakáscélú zöld tőke-követelmény-kedvezmények együttes összege nem haladhatja meg a hitelintézet teljes kockázati kitettség értékének (TREA) 1,5%-át.</w:t>
      </w:r>
    </w:p>
    <w:p w14:paraId="7FFFEB75" w14:textId="77777777" w:rsidR="008A78E3" w:rsidRPr="00C316B5" w:rsidRDefault="008A78E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7FFFEB76" w14:textId="77777777" w:rsidR="008A78E3" w:rsidRPr="00C316B5" w:rsidRDefault="008A78E3"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ICAAP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eastAsia="en-US"/>
        </w:rPr>
        <w:t xml:space="preserve">jelző </w:t>
      </w:r>
      <w:r w:rsidRPr="00C316B5">
        <w:rPr>
          <w:rFonts w:asciiTheme="minorHAnsi" w:eastAsia="Calibri" w:hAnsiTheme="minorHAnsi" w:cs="Calibri"/>
          <w:bCs/>
          <w:sz w:val="22"/>
          <w:szCs w:val="22"/>
          <w:lang w:eastAsia="en-US"/>
        </w:rPr>
        <w:t>zöld flag (megjelölés) alkalmazása</w:t>
      </w:r>
      <w:r>
        <w:rPr>
          <w:rFonts w:asciiTheme="minorHAnsi" w:eastAsia="Calibri" w:hAnsiTheme="minorHAnsi" w:cs="Calibri"/>
          <w:bCs/>
          <w:sz w:val="22"/>
          <w:szCs w:val="22"/>
          <w:lang w:eastAsia="en-US"/>
        </w:rPr>
        <w:t>, valamint</w:t>
      </w:r>
    </w:p>
    <w:p w14:paraId="7FFFEB77" w14:textId="77777777" w:rsidR="008A78E3" w:rsidRPr="00C316B5" w:rsidRDefault="008A78E3"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egy negyedéves, az érintett ügyletek HITREG azonosítóját listaszerűen tartalmazó önkéntes adatszolgáltatás teljesítése az MNB felé, továbbá</w:t>
      </w:r>
    </w:p>
    <w:p w14:paraId="7FFFEB78" w14:textId="77777777" w:rsidR="008A78E3" w:rsidRPr="00E45DAE" w:rsidRDefault="008A78E3"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eastAsia="en-US"/>
        </w:rPr>
        <w:t>program Tájékoztató dokumentumának 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eastAsia="en-US"/>
        </w:rPr>
        <w:t>é</w:t>
      </w:r>
      <w:r w:rsidRPr="005019D6">
        <w:rPr>
          <w:rFonts w:asciiTheme="minorHAnsi" w:eastAsia="Calibri" w:hAnsiTheme="minorHAnsi" w:cs="Calibri"/>
          <w:bCs/>
          <w:sz w:val="22"/>
          <w:szCs w:val="22"/>
          <w:lang w:eastAsia="en-US"/>
        </w:rPr>
        <w:t xml:space="preserve">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Pr>
          <w:rFonts w:asciiTheme="minorHAnsi" w:eastAsia="Calibri" w:hAnsiTheme="minorHAnsi" w:cs="Calibri"/>
          <w:bCs/>
          <w:sz w:val="22"/>
          <w:szCs w:val="22"/>
          <w:lang w:eastAsia="en-US"/>
        </w:rPr>
        <w:t>f</w:t>
      </w:r>
      <w:r w:rsidRPr="005019D6">
        <w:rPr>
          <w:rFonts w:asciiTheme="minorHAnsi" w:eastAsia="Calibri" w:hAnsiTheme="minorHAnsi" w:cs="Calibri"/>
          <w:bCs/>
          <w:sz w:val="22"/>
          <w:szCs w:val="22"/>
          <w:lang w:eastAsia="en-US"/>
        </w:rPr>
        <w:t>eltüntetése mind az ICAAP analitikában, mind az önkéntes adatszolgáltatásban is.</w:t>
      </w:r>
    </w:p>
    <w:p w14:paraId="7FFFEB79" w14:textId="77777777" w:rsidR="008A78E3" w:rsidRPr="00E45DAE" w:rsidRDefault="008A78E3" w:rsidP="00C56CD3">
      <w:pPr>
        <w:rPr>
          <w:rFonts w:asciiTheme="minorHAnsi" w:eastAsia="Calibri" w:hAnsiTheme="minorHAnsi" w:cs="Calibri"/>
          <w:bCs/>
          <w:lang w:eastAsia="en-US"/>
        </w:rPr>
      </w:pPr>
      <w:r w:rsidRPr="00FE080F">
        <w:rPr>
          <w:rFonts w:asciiTheme="minorHAnsi" w:eastAsia="Calibri" w:hAnsiTheme="minorHAnsi" w:cs="Calibri"/>
          <w:bCs/>
          <w:lang w:eastAsia="en-US"/>
        </w:rPr>
        <w:t xml:space="preserve">A zöld flaget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és akkor is alkalmazni kell, ha egy ügylet csak részben finanszíroz zöld hitelcélt. A</w:t>
      </w:r>
      <w:r w:rsidRPr="005E60C7">
        <w:rPr>
          <w:rFonts w:asciiTheme="minorHAnsi" w:eastAsia="Calibri" w:hAnsiTheme="minorHAnsi" w:cs="Calibri"/>
          <w:bCs/>
          <w:lang w:eastAsia="en-US"/>
        </w:rPr>
        <w:t>z önkéntes adatszolgáltatás pontos tartalm</w:t>
      </w:r>
      <w:r>
        <w:rPr>
          <w:rFonts w:asciiTheme="minorHAnsi" w:eastAsia="Calibri" w:hAnsiTheme="minorHAnsi" w:cs="Calibri"/>
          <w:bCs/>
          <w:lang w:eastAsia="en-US"/>
        </w:rPr>
        <w:t xml:space="preserve">át </w:t>
      </w:r>
      <w:r w:rsidRPr="005E60C7">
        <w:rPr>
          <w:rFonts w:asciiTheme="minorHAnsi" w:eastAsia="Calibri" w:hAnsiTheme="minorHAnsi" w:cs="Calibri"/>
          <w:bCs/>
          <w:lang w:eastAsia="en-US"/>
        </w:rPr>
        <w:t>(táblakép és kitöltési útmutató</w:t>
      </w:r>
      <w:r>
        <w:rPr>
          <w:rStyle w:val="Lbjegyzet-hivatkozs"/>
          <w:rFonts w:asciiTheme="minorHAnsi" w:eastAsia="Calibri" w:hAnsiTheme="minorHAnsi" w:cs="Calibri"/>
          <w:bCs/>
          <w:lang w:eastAsia="en-US"/>
        </w:rPr>
        <w:footnoteReference w:id="83"/>
      </w:r>
      <w:r w:rsidRPr="005E60C7">
        <w:rPr>
          <w:rFonts w:asciiTheme="minorHAnsi" w:eastAsia="Calibri" w:hAnsiTheme="minorHAnsi" w:cs="Calibri"/>
          <w:bCs/>
          <w:lang w:eastAsia="en-US"/>
        </w:rPr>
        <w:t>)</w:t>
      </w:r>
      <w:r>
        <w:rPr>
          <w:rFonts w:asciiTheme="minorHAnsi" w:eastAsia="Calibri" w:hAnsiTheme="minorHAnsi" w:cs="Calibri"/>
          <w:bCs/>
          <w:lang w:eastAsia="en-US"/>
        </w:rPr>
        <w:t xml:space="preserve"> folyamatosan aktualizált változatban </w:t>
      </w:r>
      <w:r w:rsidRPr="005E60C7">
        <w:rPr>
          <w:rFonts w:asciiTheme="minorHAnsi" w:eastAsia="Calibri" w:hAnsiTheme="minorHAnsi" w:cs="Calibri"/>
          <w:bCs/>
          <w:lang w:eastAsia="en-US"/>
        </w:rPr>
        <w:t>az MNB a zoldpenzugyek.hu-n publikálja</w:t>
      </w:r>
      <w:r>
        <w:rPr>
          <w:rFonts w:asciiTheme="minorHAnsi" w:eastAsia="Calibri" w:hAnsiTheme="minorHAnsi" w:cs="Calibri"/>
          <w:bCs/>
          <w:lang w:eastAsia="en-US"/>
        </w:rPr>
        <w:t>.</w:t>
      </w:r>
    </w:p>
    <w:p w14:paraId="7FFFEB7A" w14:textId="77777777" w:rsidR="008A78E3" w:rsidRDefault="008A78E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7FFFEB7B" w14:textId="77777777" w:rsidR="008A78E3" w:rsidRDefault="008A78E3"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E45DAE">
        <w:rPr>
          <w:rFonts w:asciiTheme="minorHAnsi" w:eastAsia="Calibri" w:hAnsiTheme="minorHAnsi" w:cs="Calibri"/>
          <w:bCs/>
          <w:sz w:val="22"/>
          <w:szCs w:val="22"/>
          <w:lang w:eastAsia="en-US"/>
        </w:rPr>
        <w:t xml:space="preserve"> 2021-es ICAAP felülvizsgál</w:t>
      </w:r>
      <w:r>
        <w:rPr>
          <w:rFonts w:asciiTheme="minorHAnsi" w:eastAsia="Calibri" w:hAnsiTheme="minorHAnsi" w:cs="Calibri"/>
          <w:bCs/>
          <w:sz w:val="22"/>
          <w:szCs w:val="22"/>
          <w:lang w:eastAsia="en-US"/>
        </w:rPr>
        <w:t>októl kezdődően a program megszűnéséig</w:t>
      </w:r>
      <w:r w:rsidRPr="00E45DAE">
        <w:rPr>
          <w:rFonts w:asciiTheme="minorHAnsi" w:eastAsia="Calibri" w:hAnsiTheme="minorHAnsi" w:cs="Calibri"/>
          <w:bCs/>
          <w:sz w:val="22"/>
          <w:szCs w:val="22"/>
          <w:lang w:eastAsia="en-US"/>
        </w:rPr>
        <w:t xml:space="preserve"> szükség</w:t>
      </w:r>
      <w:r>
        <w:rPr>
          <w:rFonts w:asciiTheme="minorHAnsi" w:eastAsia="Calibri" w:hAnsiTheme="minorHAnsi" w:cs="Calibri"/>
          <w:bCs/>
          <w:sz w:val="22"/>
          <w:szCs w:val="22"/>
          <w:lang w:eastAsia="en-US"/>
        </w:rPr>
        <w:t>es</w:t>
      </w:r>
      <w:r w:rsidRPr="00E45DAE">
        <w:rPr>
          <w:rFonts w:asciiTheme="minorHAnsi" w:eastAsia="Calibri" w:hAnsiTheme="minorHAnsi" w:cs="Calibri"/>
          <w:bCs/>
          <w:sz w:val="22"/>
          <w:szCs w:val="22"/>
          <w:lang w:eastAsia="en-US"/>
        </w:rPr>
        <w:t xml:space="preserve"> a</w:t>
      </w:r>
      <w:r>
        <w:rPr>
          <w:rFonts w:asciiTheme="minorHAnsi" w:eastAsia="Calibri" w:hAnsiTheme="minorHAnsi" w:cs="Calibri"/>
          <w:bCs/>
          <w:sz w:val="22"/>
          <w:szCs w:val="22"/>
          <w:lang w:eastAsia="en-US"/>
        </w:rPr>
        <w:t>z ICAAP analitikában a</w:t>
      </w:r>
      <w:r w:rsidRPr="00E45DAE">
        <w:rPr>
          <w:rFonts w:asciiTheme="minorHAnsi" w:eastAsia="Calibri" w:hAnsiTheme="minorHAnsi" w:cs="Calibri"/>
          <w:bCs/>
          <w:sz w:val="22"/>
          <w:szCs w:val="22"/>
          <w:lang w:eastAsia="en-US"/>
        </w:rPr>
        <w:t xml:space="preserve"> zöld flag alkalmazása és</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eastAsia="en-US"/>
        </w:rPr>
        <w:t>öld</w:t>
      </w:r>
      <w:r w:rsidRPr="00A754F4">
        <w:rPr>
          <w:rFonts w:asciiTheme="minorHAnsi" w:eastAsia="Calibri" w:hAnsiTheme="minorHAnsi" w:cs="Calibri"/>
          <w:bCs/>
          <w:sz w:val="22"/>
          <w:szCs w:val="22"/>
          <w:lang w:eastAsia="en-US"/>
        </w:rPr>
        <w:t xml:space="preserve"> arányszám feltüntetés</w:t>
      </w:r>
      <w:r>
        <w:rPr>
          <w:rFonts w:asciiTheme="minorHAnsi" w:eastAsia="Calibri" w:hAnsiTheme="minorHAnsi" w:cs="Calibri"/>
          <w:bCs/>
          <w:sz w:val="22"/>
          <w:szCs w:val="22"/>
          <w:lang w:eastAsia="en-US"/>
        </w:rPr>
        <w:t>e</w:t>
      </w:r>
      <w:r w:rsidRPr="00A754F4">
        <w:rPr>
          <w:rFonts w:asciiTheme="minorHAnsi" w:eastAsia="Calibri" w:hAnsiTheme="minorHAnsi" w:cs="Calibri"/>
          <w:bCs/>
          <w:sz w:val="22"/>
          <w:szCs w:val="22"/>
          <w:lang w:eastAsia="en-US"/>
        </w:rPr>
        <w:t xml:space="preserve">. </w:t>
      </w:r>
    </w:p>
    <w:p w14:paraId="7FFFEB7C" w14:textId="77777777" w:rsidR="008A78E3" w:rsidRDefault="008A78E3"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p>
    <w:p w14:paraId="7FFFEB7D" w14:textId="77777777" w:rsidR="008A78E3" w:rsidRPr="00E45DAE" w:rsidRDefault="008A78E3"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A 2020. január 1. és 2020. december 31. közötti hitelfolyósításokat és kötvényvásárlásokat először a 2020. negyedik negyedévi vonatkozási időpontú adatszolgáltatásnak szükséges tartalmaznia. A 2022. évben vagy később megkezdett ICAAP felülvizsgálatok során a Kedvezményt először igénybe vevő hitelintézetek esetén az első adatszolgáltatást az ICAAP felülvizsgálat kezdetét megelőző utolsó lezárt negyedévvégi állapotra vonatkozóan szükséges megküldeni, határideje a vonatkozási időpontot követő 50. naptári nap, de legkésőbb az ICAAP vizsgálat megkezdésének napja.</w:t>
      </w:r>
    </w:p>
    <w:p w14:paraId="7FFFEB7E" w14:textId="77777777" w:rsidR="008A78E3" w:rsidRPr="00C316B5" w:rsidRDefault="008A78E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7FFFEB7F" w14:textId="77777777" w:rsidR="008A78E3" w:rsidRDefault="008A78E3" w:rsidP="00C56CD3">
      <w:pPr>
        <w:rPr>
          <w:rFonts w:asciiTheme="minorHAnsi" w:hAnsiTheme="minorHAnsi"/>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7FFFEB80" w14:textId="77777777" w:rsidR="008A78E3" w:rsidRPr="00C316B5" w:rsidRDefault="008A78E3" w:rsidP="00C56CD3">
      <w:pPr>
        <w:rPr>
          <w:rFonts w:asciiTheme="minorHAnsi" w:eastAsia="Calibri" w:hAnsiTheme="minorHAnsi" w:cs="Calibri"/>
          <w:bCs/>
          <w:lang w:eastAsia="en-US"/>
        </w:rPr>
      </w:pPr>
      <w:r>
        <w:t xml:space="preserve">A Kedvezményt állományi szinten 10 éven keresztül biztosítja az MNB: azt első alkalommal a 2021. évi ICAAP felülvizsgálat során határozza meg az ICAAP felülvizsgálat vonatkozási időpontjában fennálló állomány megfelelő részére, majd az ezt követő további 10 évben az ICAAP felülvizsgálatok során „aktualizálja” minden évben az adott évi zöld hitelállományra kiszámolva. Azaz, utolsó alkalommal a 2031. évi ICAAP felülvizsgálatokban érvényesíthető a Kedvezmény. Ügylet szinten, azaz egy adott HITREG azonosítóval azonosított kitettségre maximum 5 éven keresztül érvényesíthető a Kedvezmény. Tehát az első ZVT azonosító kódú adatszolgáltatást követően, melyben egy intézmény a kitettséget egy adott HITREG azonosítóval szerepeltette, ugyanaz az intézmény ugyanazt a kitettséget és HITREG azonosítót legfeljebb további 19 folytatólagos negyedéves adatszolgáltatásban szerepeltetheti, illetve, az adott kitettségre a Kedvezményt 5 egymást követő ICAAP felülvizsgálat során érvényesítheti. A Kedvezmény 2025. december 31-én vagy azt megelőzően keletkezett kitettségekre érvényesíthető </w:t>
      </w:r>
    </w:p>
    <w:p w14:paraId="7FFFEB81" w14:textId="77777777" w:rsidR="008A78E3" w:rsidRDefault="008A78E3" w:rsidP="00EA0541">
      <w:pPr>
        <w:rPr>
          <w:rFonts w:asciiTheme="minorHAnsi" w:hAnsiTheme="minorHAnsi"/>
        </w:rPr>
      </w:pPr>
      <w:r w:rsidRPr="00C316B5">
        <w:rPr>
          <w:rFonts w:asciiTheme="minorHAnsi" w:hAnsiTheme="minorHAnsi"/>
        </w:rPr>
        <w:t xml:space="preserve">Azon, környezetileg fenntartható kihelyezések definícióját, melyekre a zöld vállalati és önkormányzati tőkekövetelmény-kedvezményt igénybe lehet venni, a </w:t>
      </w:r>
      <w:r>
        <w:rPr>
          <w:rFonts w:asciiTheme="minorHAnsi" w:eastAsia="Calibri" w:hAnsiTheme="minorHAnsi" w:cs="Calibri"/>
          <w:bCs/>
          <w:lang w:eastAsia="en-US"/>
        </w:rPr>
        <w:t>program Tájékoztató dokumentumának M</w:t>
      </w:r>
      <w:r w:rsidRPr="005019D6">
        <w:rPr>
          <w:rFonts w:asciiTheme="minorHAnsi" w:eastAsia="Calibri" w:hAnsiTheme="minorHAnsi" w:cs="Calibri"/>
          <w:bCs/>
          <w:lang w:eastAsia="en-US"/>
        </w:rPr>
        <w:t>elléklet</w:t>
      </w:r>
      <w:r>
        <w:rPr>
          <w:rFonts w:asciiTheme="minorHAnsi" w:eastAsia="Calibri" w:hAnsiTheme="minorHAnsi" w:cs="Calibri"/>
          <w:bCs/>
          <w:lang w:eastAsia="en-US"/>
        </w:rPr>
        <w:t>e</w:t>
      </w:r>
      <w:r w:rsidRPr="005019D6">
        <w:rPr>
          <w:rFonts w:asciiTheme="minorHAnsi" w:eastAsia="Calibri" w:hAnsiTheme="minorHAnsi" w:cs="Calibri"/>
          <w:bCs/>
          <w:lang w:eastAsia="en-US"/>
        </w:rPr>
        <w:t xml:space="preserve"> </w:t>
      </w:r>
      <w:r w:rsidRPr="00C316B5">
        <w:rPr>
          <w:rFonts w:asciiTheme="minorHAnsi" w:hAnsiTheme="minorHAnsi"/>
        </w:rPr>
        <w:t xml:space="preserve">tartalmazza. Az </w:t>
      </w:r>
      <w:r>
        <w:rPr>
          <w:rFonts w:asciiTheme="minorHAnsi" w:hAnsiTheme="minorHAnsi"/>
        </w:rPr>
        <w:t>MNB folyamatosan vizsgálja M</w:t>
      </w:r>
      <w:r w:rsidRPr="00C316B5">
        <w:rPr>
          <w:rFonts w:asciiTheme="minorHAnsi" w:hAnsiTheme="minorHAnsi"/>
        </w:rPr>
        <w:t>ellékletben szereplő definíciós lista bőv</w:t>
      </w:r>
      <w:r>
        <w:rPr>
          <w:rFonts w:asciiTheme="minorHAnsi" w:hAnsiTheme="minorHAnsi"/>
        </w:rPr>
        <w:t>ítési lehetőségeit</w:t>
      </w:r>
      <w:r w:rsidRPr="00C316B5">
        <w:rPr>
          <w:rFonts w:asciiTheme="minorHAnsi" w:hAnsiTheme="minorHAnsi"/>
        </w:rPr>
        <w:t>.</w:t>
      </w:r>
    </w:p>
    <w:p w14:paraId="7FFFEB82" w14:textId="77777777" w:rsidR="008A78E3" w:rsidRDefault="008A78E3" w:rsidP="00EA0541">
      <w:pPr>
        <w:rPr>
          <w:rFonts w:asciiTheme="minorHAnsi" w:hAnsiTheme="minorHAnsi"/>
        </w:rPr>
      </w:pPr>
      <w:r>
        <w:rPr>
          <w:rFonts w:asciiTheme="minorHAnsi" w:hAnsiTheme="minorHAnsi"/>
        </w:rPr>
        <w:t>A tőkekövetelmény-kedvezményhez tartozó példaszámításokat a kézikönyv 14. számú melléklete tartalmazza.</w:t>
      </w:r>
    </w:p>
    <w:p w14:paraId="7FFFEB83" w14:textId="77777777" w:rsidR="008A78E3" w:rsidRPr="00EC6B0B" w:rsidRDefault="008A78E3" w:rsidP="00EC6B0B">
      <w:pPr>
        <w:pStyle w:val="Cmsor5"/>
        <w:numPr>
          <w:ilvl w:val="0"/>
          <w:numId w:val="0"/>
        </w:numPr>
        <w:ind w:left="1008" w:hanging="1008"/>
        <w:rPr>
          <w:rFonts w:asciiTheme="minorHAnsi" w:hAnsiTheme="minorHAnsi"/>
          <w:bCs/>
          <w:u w:val="single"/>
        </w:rPr>
      </w:pPr>
      <w:r w:rsidRPr="00EC6B0B">
        <w:rPr>
          <w:rFonts w:eastAsia="Calibri" w:cs="Calibri"/>
          <w:i/>
          <w:iCs/>
          <w:szCs w:val="20"/>
          <w:u w:val="single"/>
          <w:lang w:eastAsia="en-US"/>
        </w:rPr>
        <w:t>DLT projekt – tőkekövetelmény-kedvezmény</w:t>
      </w:r>
    </w:p>
    <w:p w14:paraId="7FFFEB84" w14:textId="77777777" w:rsidR="008A78E3" w:rsidRPr="003134F1" w:rsidRDefault="008A78E3" w:rsidP="003134F1">
      <w:pPr>
        <w:rPr>
          <w:rFonts w:asciiTheme="minorHAnsi" w:hAnsiTheme="minorHAnsi"/>
        </w:rPr>
      </w:pPr>
      <w:r w:rsidRPr="003134F1">
        <w:rPr>
          <w:rFonts w:asciiTheme="minorHAnsi" w:hAnsiTheme="minorHAnsi"/>
        </w:rPr>
        <w:t>A</w:t>
      </w:r>
      <w:r>
        <w:rPr>
          <w:rFonts w:asciiTheme="minorHAnsi" w:hAnsiTheme="minorHAnsi"/>
        </w:rPr>
        <w:t>z</w:t>
      </w:r>
      <w:r w:rsidRPr="003134F1">
        <w:rPr>
          <w:rFonts w:asciiTheme="minorHAnsi" w:hAnsiTheme="minorHAnsi"/>
        </w:rPr>
        <w:t xml:space="preserve"> MNB ösztönözni kívánja, hogy a hitelintézetek </w:t>
      </w:r>
      <w:r>
        <w:rPr>
          <w:rFonts w:asciiTheme="minorHAnsi" w:hAnsiTheme="minorHAnsi"/>
        </w:rPr>
        <w:t>hitel</w:t>
      </w:r>
      <w:r w:rsidRPr="003134F1">
        <w:rPr>
          <w:rFonts w:asciiTheme="minorHAnsi" w:hAnsiTheme="minorHAnsi"/>
        </w:rPr>
        <w:t xml:space="preserve">kockázatát csökkentő lakásbiztosítási fedezetek DLT technológia (Distributed Ledger Technology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7FFFEB85" w14:textId="77777777" w:rsidR="008A78E3" w:rsidRPr="003134F1" w:rsidRDefault="008A78E3" w:rsidP="003134F1">
      <w:pPr>
        <w:rPr>
          <w:rFonts w:asciiTheme="minorHAnsi" w:hAnsiTheme="minorHAnsi"/>
        </w:rPr>
      </w:pPr>
      <w:r>
        <w:rPr>
          <w:rFonts w:asciiTheme="minorHAnsi" w:hAnsiTheme="minorHAnsi"/>
        </w:rPr>
        <w:t>Az MNB k</w:t>
      </w:r>
      <w:r w:rsidRPr="003134F1">
        <w:rPr>
          <w:rFonts w:asciiTheme="minorHAnsi" w:hAnsiTheme="minorHAnsi"/>
        </w:rPr>
        <w:t>ifejezett cél</w:t>
      </w:r>
      <w:r>
        <w:rPr>
          <w:rFonts w:asciiTheme="minorHAnsi" w:hAnsiTheme="minorHAnsi"/>
        </w:rPr>
        <w:t>ja</w:t>
      </w:r>
      <w:r w:rsidRPr="003134F1">
        <w:rPr>
          <w:rFonts w:asciiTheme="minorHAnsi" w:hAnsiTheme="minorHAnsi"/>
        </w:rPr>
        <w:t>, hogy a bankszektor minél több tagja csatlakozzon a DLT rendszerhez</w:t>
      </w:r>
      <w:r>
        <w:rPr>
          <w:rFonts w:asciiTheme="minorHAnsi" w:hAnsiTheme="minorHAnsi"/>
        </w:rPr>
        <w:t xml:space="preserve"> (Blockchain)</w:t>
      </w:r>
      <w:r w:rsidRPr="003134F1">
        <w:rPr>
          <w:rFonts w:asciiTheme="minorHAnsi" w:hAnsiTheme="minorHAnsi"/>
        </w:rPr>
        <w:t xml:space="preserve">, </w:t>
      </w:r>
      <w:r>
        <w:rPr>
          <w:rFonts w:asciiTheme="minorHAnsi" w:hAnsiTheme="minorHAnsi"/>
        </w:rPr>
        <w:t xml:space="preserve">annak érdekében, </w:t>
      </w:r>
      <w:r w:rsidRPr="003134F1">
        <w:rPr>
          <w:rFonts w:asciiTheme="minorHAnsi" w:hAnsiTheme="minorHAnsi"/>
        </w:rPr>
        <w:t>hogy az</w:t>
      </w:r>
      <w:r>
        <w:rPr>
          <w:rFonts w:asciiTheme="minorHAnsi" w:hAnsiTheme="minorHAnsi"/>
        </w:rPr>
        <w:t xml:space="preserve"> intézmények hitelkockázatát csökkentse a mögöttes fedezetek figyelembevehetőségének növelése révén. A DLT-hez csatlakozó intézmények számának növekedése továbbá az</w:t>
      </w:r>
      <w:r w:rsidRPr="003134F1">
        <w:rPr>
          <w:rFonts w:asciiTheme="minorHAnsi" w:hAnsiTheme="minorHAnsi"/>
        </w:rPr>
        <w:t xml:space="preserve"> egyes intézményekre háruló költségek nagyság</w:t>
      </w:r>
      <w:r>
        <w:rPr>
          <w:rFonts w:asciiTheme="minorHAnsi" w:hAnsiTheme="minorHAnsi"/>
        </w:rPr>
        <w:t>át is csökkenti</w:t>
      </w:r>
      <w:r w:rsidRPr="003134F1">
        <w:rPr>
          <w:rFonts w:asciiTheme="minorHAnsi" w:hAnsiTheme="minorHAnsi"/>
        </w:rPr>
        <w:t xml:space="preserve">. A bankok oldaláról a fizetési konstrukció portfolió-arányosan kerülne kialakításra és a díjfizetéssel 5 év alatt </w:t>
      </w:r>
      <w:r>
        <w:rPr>
          <w:rFonts w:asciiTheme="minorHAnsi" w:hAnsiTheme="minorHAnsi"/>
        </w:rPr>
        <w:t>térítenék meg</w:t>
      </w:r>
      <w:r w:rsidRPr="003134F1">
        <w:rPr>
          <w:rFonts w:asciiTheme="minorHAnsi" w:hAnsiTheme="minorHAnsi"/>
        </w:rPr>
        <w:t xml:space="preserve"> az MNB beruházását. Az MNB szándéknyilatkozatokat kér</w:t>
      </w:r>
      <w:r>
        <w:rPr>
          <w:rFonts w:asciiTheme="minorHAnsi" w:hAnsiTheme="minorHAnsi"/>
        </w:rPr>
        <w:t>t</w:t>
      </w:r>
      <w:r w:rsidRPr="003134F1">
        <w:rPr>
          <w:rFonts w:asciiTheme="minorHAnsi" w:hAnsiTheme="minorHAnsi"/>
        </w:rPr>
        <w:t xml:space="preserve"> a hitelintézetektől és biztosítóktól, amelyben a nyilatkozattevők vállalják a DLT lakásbiztosítás projektben történő részvételt, valamint a költségfelosztási elvek alapján adódó rész megfizetését.</w:t>
      </w:r>
    </w:p>
    <w:p w14:paraId="7FFFEB86" w14:textId="77777777" w:rsidR="008A78E3" w:rsidRDefault="008A78E3" w:rsidP="003134F1">
      <w:pPr>
        <w:rPr>
          <w:rFonts w:asciiTheme="minorHAnsi" w:hAnsiTheme="minorHAnsi"/>
        </w:rPr>
      </w:pPr>
      <w:r w:rsidRPr="003134F1">
        <w:rPr>
          <w:rFonts w:asciiTheme="minorHAnsi" w:hAnsiTheme="minorHAnsi"/>
        </w:rPr>
        <w:t xml:space="preserve">A csatlakozó hitelintézetek számára az MNB tőkekövetelmény-kedvezményt </w:t>
      </w:r>
      <w:r>
        <w:rPr>
          <w:rFonts w:asciiTheme="minorHAnsi" w:hAnsiTheme="minorHAnsi"/>
        </w:rPr>
        <w:t>biztosít majd</w:t>
      </w:r>
      <w:r w:rsidRPr="003134F1">
        <w:rPr>
          <w:rFonts w:asciiTheme="minorHAnsi" w:hAnsiTheme="minorHAnsi"/>
        </w:rPr>
        <w:t xml:space="preserve"> a jelzáloghitelekre vonatkozó </w:t>
      </w:r>
      <w:r>
        <w:rPr>
          <w:rFonts w:asciiTheme="minorHAnsi" w:hAnsiTheme="minorHAnsi"/>
        </w:rPr>
        <w:t>2. p</w:t>
      </w:r>
      <w:r w:rsidRPr="003134F1">
        <w:rPr>
          <w:rFonts w:asciiTheme="minorHAnsi" w:hAnsiTheme="minorHAnsi"/>
        </w:rPr>
        <w:t>illér</w:t>
      </w:r>
      <w:r>
        <w:rPr>
          <w:rFonts w:asciiTheme="minorHAnsi" w:hAnsiTheme="minorHAnsi"/>
        </w:rPr>
        <w:t>es</w:t>
      </w:r>
      <w:r w:rsidRPr="003134F1">
        <w:rPr>
          <w:rFonts w:asciiTheme="minorHAnsi" w:hAnsiTheme="minorHAnsi"/>
        </w:rPr>
        <w:t xml:space="preserve"> (SREP) tőkekövetelményből. A kedvezmény első alkalommal </w:t>
      </w:r>
      <w:r>
        <w:rPr>
          <w:rFonts w:asciiTheme="minorHAnsi" w:hAnsiTheme="minorHAnsi"/>
        </w:rPr>
        <w:t xml:space="preserve">a rendszer indulását követő első </w:t>
      </w:r>
      <w:r w:rsidRPr="003134F1">
        <w:rPr>
          <w:rFonts w:asciiTheme="minorHAnsi" w:hAnsiTheme="minorHAnsi"/>
        </w:rPr>
        <w:t>ICAAP felülvizsgálat során kerül számszerűsítésre</w:t>
      </w:r>
      <w:r>
        <w:rPr>
          <w:rFonts w:asciiTheme="minorHAnsi" w:hAnsiTheme="minorHAnsi"/>
        </w:rPr>
        <w:t>, és</w:t>
      </w:r>
      <w:r w:rsidRPr="003134F1">
        <w:rPr>
          <w:rFonts w:asciiTheme="minorHAnsi" w:hAnsiTheme="minorHAnsi"/>
        </w:rPr>
        <w:t xml:space="preserve"> mindaddig</w:t>
      </w:r>
      <w:r>
        <w:rPr>
          <w:rFonts w:asciiTheme="minorHAnsi" w:hAnsiTheme="minorHAnsi"/>
        </w:rPr>
        <w:t xml:space="preserve"> alkalmazandó lesz</w:t>
      </w:r>
      <w:r w:rsidRPr="003134F1">
        <w:rPr>
          <w:rFonts w:asciiTheme="minorHAnsi" w:hAnsiTheme="minorHAnsi"/>
        </w:rPr>
        <w:t>, amíg a hitelintézet a DLT rendszert használja. A kedvezmény mértéké</w:t>
      </w:r>
      <w:r>
        <w:rPr>
          <w:rFonts w:asciiTheme="minorHAnsi" w:hAnsiTheme="minorHAnsi"/>
        </w:rPr>
        <w:t xml:space="preserve">ről a későbbiekben dönt majd az MNB. </w:t>
      </w:r>
    </w:p>
    <w:p w14:paraId="7FFFEB87" w14:textId="77777777" w:rsidR="008A78E3" w:rsidRPr="00CD1B46" w:rsidRDefault="008A78E3" w:rsidP="00CD1B46">
      <w:pPr>
        <w:pStyle w:val="Cmsor4"/>
        <w:rPr>
          <w:rFonts w:asciiTheme="minorHAnsi" w:hAnsiTheme="minorHAnsi"/>
          <w:b w:val="0"/>
          <w:bCs w:val="0"/>
          <w:i w:val="0"/>
          <w:iCs w:val="0"/>
          <w:color w:val="000000"/>
        </w:rPr>
      </w:pPr>
      <w:bookmarkStart w:id="996" w:name="_Toc158036683"/>
      <w:r>
        <w:rPr>
          <w:rFonts w:asciiTheme="minorHAnsi" w:hAnsiTheme="minorHAnsi"/>
        </w:rPr>
        <w:t>V</w:t>
      </w:r>
      <w:r w:rsidRPr="00CD1B46">
        <w:rPr>
          <w:rFonts w:asciiTheme="minorHAnsi" w:hAnsiTheme="minorHAnsi"/>
          <w:b w:val="0"/>
          <w:bCs w:val="0"/>
          <w:i w:val="0"/>
          <w:iCs w:val="0"/>
        </w:rPr>
        <w:t>eszteségplafon mellett nyújtott (viszont)garancia tőkekövetelmény csökkentő hatásának érvényesítése</w:t>
      </w:r>
      <w:bookmarkEnd w:id="996"/>
    </w:p>
    <w:p w14:paraId="7FFFEB88" w14:textId="77777777" w:rsidR="008A78E3" w:rsidRDefault="008A78E3" w:rsidP="008E677E">
      <w:pPr>
        <w:rPr>
          <w:rFonts w:asciiTheme="minorHAnsi" w:hAnsiTheme="minorHAnsi"/>
        </w:rPr>
      </w:pPr>
      <w:r>
        <w:rPr>
          <w:rFonts w:asciiTheme="minorHAnsi" w:hAnsiTheme="minorHAnsi"/>
        </w:rPr>
        <w:t>V</w:t>
      </w:r>
      <w:r w:rsidRPr="008E677E">
        <w:rPr>
          <w:rFonts w:asciiTheme="minorHAnsi" w:hAnsiTheme="minorHAnsi"/>
        </w:rPr>
        <w:t>eszteségplafon (cap) mellett nyújtott (viszont)garanciák tőkekövetelmény csökkentő hatását 1. pillérben jellemzően nem lehet figyelembe venni, mert a CRR 213. cikkében és a 215. cikk (1) bekezdésében meghatározott előírások nem teljesülnek.</w:t>
      </w:r>
      <w:r>
        <w:rPr>
          <w:rFonts w:asciiTheme="minorHAnsi" w:hAnsiTheme="minorHAnsi"/>
        </w:rPr>
        <w:t xml:space="preserve"> </w:t>
      </w:r>
      <w:r w:rsidRPr="008E677E">
        <w:rPr>
          <w:rFonts w:asciiTheme="minorHAnsi" w:hAnsiTheme="minorHAnsi"/>
        </w:rPr>
        <w:t xml:space="preserve">A finanszírozó számára nem ismert, hogy a veszteségplafon milyen mértékben vonatkozik a finanszírozott ügyletre (a fedezet mértéke tehát nem világosan meghatározott és kétségbevonhatatlan), emellett a finanszírozónak közvetlen ellenőrzésén kívül esik ennek a veszteségplafonnak a kezelése, aktuális kihasználtsága. Egy esetleges beváltási igény esetén – különösen válsághelyzetben – nem biztosított, hogy a (viszont)garancia minden esetben rendelkezik a veszteségplafonon belül szabad kerettel és így teljesíthető a finanszírozó felé vállalt kezesség. </w:t>
      </w:r>
    </w:p>
    <w:p w14:paraId="7FFFEB89" w14:textId="77777777" w:rsidR="008A78E3" w:rsidRPr="00D428E7" w:rsidRDefault="008A78E3" w:rsidP="00CD1B46">
      <w:r>
        <w:rPr>
          <w:rFonts w:asciiTheme="minorHAnsi" w:hAnsiTheme="minorHAnsi"/>
        </w:rPr>
        <w:t>Amennyiben e</w:t>
      </w:r>
      <w:r w:rsidRPr="008E677E">
        <w:rPr>
          <w:rFonts w:asciiTheme="minorHAnsi" w:hAnsiTheme="minorHAnsi"/>
        </w:rPr>
        <w:t xml:space="preserve">zen konstrukciók esetén  </w:t>
      </w:r>
      <w:r>
        <w:rPr>
          <w:rFonts w:asciiTheme="minorHAnsi" w:hAnsiTheme="minorHAnsi"/>
        </w:rPr>
        <w:t xml:space="preserve">a garancia tőkekövetelmény csökkentő hatását az 1. pillérben nem lehet figyelembe venni, </w:t>
      </w:r>
      <w:r w:rsidRPr="008E677E">
        <w:rPr>
          <w:rFonts w:asciiTheme="minorHAnsi" w:hAnsiTheme="minorHAnsi"/>
        </w:rPr>
        <w:t xml:space="preserve">az MNB a </w:t>
      </w:r>
      <w:r>
        <w:rPr>
          <w:rFonts w:asciiTheme="minorHAnsi" w:hAnsiTheme="minorHAnsi"/>
        </w:rPr>
        <w:t>(viszont)</w:t>
      </w:r>
      <w:r w:rsidRPr="008E677E">
        <w:rPr>
          <w:rFonts w:asciiTheme="minorHAnsi" w:hAnsiTheme="minorHAnsi"/>
        </w:rPr>
        <w:t>garantőr minőségéhez kapcsolódó alacsonyabb tőkekövetelményt az éves ICAAP felülvizsgálatok során</w:t>
      </w:r>
      <w:r>
        <w:rPr>
          <w:rFonts w:asciiTheme="minorHAnsi" w:hAnsiTheme="minorHAnsi"/>
        </w:rPr>
        <w:t>, a SREP szorzó segítségével érvényesíti</w:t>
      </w:r>
      <w:r w:rsidRPr="008E677E">
        <w:rPr>
          <w:rFonts w:asciiTheme="minorHAnsi" w:hAnsiTheme="minorHAnsi"/>
        </w:rPr>
        <w:t>.</w:t>
      </w:r>
      <w:r w:rsidRPr="00CD1B46">
        <w:rPr>
          <w:rFonts w:asciiTheme="minorHAnsi" w:hAnsiTheme="minorHAnsi"/>
        </w:rPr>
        <w:t xml:space="preserve"> </w:t>
      </w:r>
    </w:p>
    <w:p w14:paraId="7FFFEB8A" w14:textId="77777777" w:rsidR="008A78E3" w:rsidRPr="00CD1B46" w:rsidRDefault="008A78E3" w:rsidP="00CD1B46">
      <w:pPr>
        <w:pStyle w:val="Listaszerbekezds"/>
        <w:rPr>
          <w:rFonts w:asciiTheme="minorHAnsi" w:hAnsiTheme="minorHAnsi"/>
        </w:rPr>
      </w:pPr>
    </w:p>
    <w:p w14:paraId="7FFFEB8B" w14:textId="77777777" w:rsidR="008A78E3" w:rsidRPr="006A6890" w:rsidRDefault="008A78E3" w:rsidP="00181755">
      <w:pPr>
        <w:pStyle w:val="Cmsor3"/>
        <w:rPr>
          <w:rFonts w:asciiTheme="minorHAnsi" w:hAnsiTheme="minorHAnsi"/>
        </w:rPr>
      </w:pPr>
      <w:bookmarkStart w:id="997" w:name="_Toc26349040"/>
      <w:bookmarkStart w:id="998" w:name="_Toc26349181"/>
      <w:bookmarkStart w:id="999" w:name="_III.2.1.2_Működési_kockázat"/>
      <w:bookmarkStart w:id="1000" w:name="_Toc378256235"/>
      <w:bookmarkStart w:id="1001" w:name="_Toc378592043"/>
      <w:bookmarkStart w:id="1002" w:name="_Toc461095222"/>
      <w:bookmarkStart w:id="1003" w:name="_Toc461179878"/>
      <w:bookmarkStart w:id="1004" w:name="_Toc461201321"/>
      <w:bookmarkStart w:id="1005" w:name="_Toc461547964"/>
      <w:bookmarkStart w:id="1006" w:name="_Toc462402004"/>
      <w:bookmarkStart w:id="1007" w:name="_Toc462403125"/>
      <w:bookmarkStart w:id="1008" w:name="_Toc462403449"/>
      <w:bookmarkStart w:id="1009" w:name="_Toc468180568"/>
      <w:bookmarkStart w:id="1010" w:name="_Toc468181077"/>
      <w:bookmarkStart w:id="1011" w:name="_Toc468191463"/>
      <w:bookmarkStart w:id="1012" w:name="_Toc45119980"/>
      <w:bookmarkStart w:id="1013" w:name="_Toc58512263"/>
      <w:bookmarkStart w:id="1014" w:name="_Toc158036684"/>
      <w:bookmarkEnd w:id="997"/>
      <w:bookmarkEnd w:id="998"/>
      <w:bookmarkEnd w:id="999"/>
      <w:r w:rsidRPr="006A6890">
        <w:rPr>
          <w:rFonts w:asciiTheme="minorHAnsi" w:hAnsiTheme="minorHAnsi"/>
        </w:rPr>
        <w:t>Működési jellegű kockázat</w:t>
      </w:r>
      <w:bookmarkEnd w:id="1000"/>
      <w:bookmarkEnd w:id="1001"/>
      <w:bookmarkEnd w:id="1002"/>
      <w:bookmarkEnd w:id="1003"/>
      <w:bookmarkEnd w:id="1004"/>
      <w:bookmarkEnd w:id="1005"/>
      <w:bookmarkEnd w:id="1006"/>
      <w:bookmarkEnd w:id="1007"/>
      <w:bookmarkEnd w:id="1008"/>
      <w:bookmarkEnd w:id="1009"/>
      <w:bookmarkEnd w:id="1010"/>
      <w:bookmarkEnd w:id="1011"/>
      <w:r w:rsidRPr="006A6890">
        <w:rPr>
          <w:rFonts w:asciiTheme="minorHAnsi" w:hAnsiTheme="minorHAnsi"/>
        </w:rPr>
        <w:t>ok</w:t>
      </w:r>
      <w:bookmarkEnd w:id="1012"/>
      <w:bookmarkEnd w:id="1013"/>
      <w:bookmarkEnd w:id="1014"/>
    </w:p>
    <w:p w14:paraId="7FFFEB8C" w14:textId="77777777" w:rsidR="008A78E3" w:rsidRPr="006A6890" w:rsidRDefault="008A78E3" w:rsidP="004B5D1A">
      <w:pPr>
        <w:pStyle w:val="Cmsor3"/>
        <w:numPr>
          <w:ilvl w:val="0"/>
          <w:numId w:val="0"/>
        </w:numPr>
        <w:rPr>
          <w:rFonts w:asciiTheme="minorHAnsi" w:hAnsiTheme="minorHAnsi"/>
        </w:rPr>
      </w:pPr>
      <w:bookmarkStart w:id="1015" w:name="_Toc45119981"/>
      <w:bookmarkStart w:id="1016" w:name="_Toc58512264"/>
      <w:bookmarkStart w:id="1017" w:name="_Toc158036685"/>
      <w:r w:rsidRPr="006A6890">
        <w:rPr>
          <w:rFonts w:asciiTheme="minorHAnsi" w:hAnsiTheme="minorHAnsi"/>
        </w:rPr>
        <w:t xml:space="preserve">V.2.2.1 </w:t>
      </w:r>
      <w:r w:rsidRPr="006A6890">
        <w:rPr>
          <w:rFonts w:asciiTheme="minorHAnsi" w:hAnsiTheme="minorHAnsi"/>
          <w:iCs/>
        </w:rPr>
        <w:t>Működési kockázat</w:t>
      </w:r>
      <w:bookmarkEnd w:id="1015"/>
      <w:bookmarkEnd w:id="1016"/>
      <w:bookmarkEnd w:id="1017"/>
    </w:p>
    <w:p w14:paraId="7FFFEB8D"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B8E" w14:textId="77777777" w:rsidR="008A78E3" w:rsidRPr="006A6890" w:rsidRDefault="008A78E3" w:rsidP="00EA0541">
      <w:pPr>
        <w:rPr>
          <w:rFonts w:asciiTheme="minorHAnsi" w:hAnsiTheme="minorHAnsi"/>
        </w:rPr>
      </w:pPr>
      <w:r w:rsidRPr="006A6890">
        <w:rPr>
          <w:rFonts w:asciiTheme="minorHAnsi" w:hAnsiTheme="minorHAnsi"/>
        </w:rPr>
        <w:t>A működési kockázat a CRR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FFFEB8F" w14:textId="77777777" w:rsidR="008A78E3" w:rsidRPr="006A6890" w:rsidRDefault="008A78E3" w:rsidP="00181755">
      <w:pPr>
        <w:rPr>
          <w:rFonts w:asciiTheme="minorHAnsi" w:hAnsiTheme="minorHAnsi"/>
          <w:b/>
        </w:rPr>
      </w:pPr>
      <w:r w:rsidRPr="006A6890">
        <w:rPr>
          <w:rFonts w:asciiTheme="minorHAnsi" w:hAnsiTheme="minorHAnsi"/>
          <w:b/>
        </w:rPr>
        <w:t>Kockázatértékelés és -kezelés</w:t>
      </w:r>
    </w:p>
    <w:p w14:paraId="7FFFEB90" w14:textId="77777777" w:rsidR="008A78E3" w:rsidRPr="006A6890" w:rsidRDefault="008A78E3" w:rsidP="00EA0541">
      <w:pPr>
        <w:rPr>
          <w:rFonts w:asciiTheme="minorHAnsi" w:hAnsiTheme="minorHAnsi"/>
        </w:rPr>
      </w:pPr>
      <w:r w:rsidRPr="006A6890">
        <w:rPr>
          <w:rFonts w:asciiTheme="minorHAnsi" w:hAnsiTheme="minorHAnsi"/>
        </w:rPr>
        <w:t>Alapelv, hogy minden intézmény képes legyen felmérni a működési kockázati profilját és kitettségét, illetve azt a megfelelő mértékű tőke megképzésével fedezze. Az ICAAP keretében minden intézmény tekintetében elvárás, hogy belső szabályzatban fektesse le a működési kockázati tőkeszámítási eljárását, a kockázatok</w:t>
      </w:r>
      <w:r>
        <w:rPr>
          <w:rFonts w:asciiTheme="minorHAnsi" w:hAnsiTheme="minorHAnsi"/>
        </w:rPr>
        <w:t xml:space="preserve"> azonosítására,</w:t>
      </w:r>
      <w:r w:rsidRPr="006A6890">
        <w:rPr>
          <w:rFonts w:asciiTheme="minorHAnsi" w:hAnsiTheme="minorHAnsi"/>
        </w:rPr>
        <w:t xml:space="preserve"> felmérésére, monitoringjára és kezelésére vonatkozó eljárási rendszerét, illetve annak igazolási eljárását, hogy a számított tőkeszükséglet és a kockázatkezelési rendszer prudens módon képes</w:t>
      </w:r>
      <w:r>
        <w:rPr>
          <w:rFonts w:asciiTheme="minorHAnsi" w:hAnsiTheme="minorHAnsi"/>
        </w:rPr>
        <w:t xml:space="preserve"> csökkenteni, illetve fedezni</w:t>
      </w:r>
      <w:r w:rsidRPr="006A6890">
        <w:rPr>
          <w:rFonts w:asciiTheme="minorHAnsi" w:hAnsiTheme="minorHAnsi"/>
        </w:rPr>
        <w:t xml:space="preserve"> az intézmény valószínűsíthető és nem várt működési kockázati veszteségeit. A kockázatártékelési- és kezelési tevékenységet, annak irányítását és ellenőrzését az intézménynek a méretével és a működési kockázataival arányos módon kell kialakítania, melynek célja, hogy az intézmény a működési kockázati kitettségét elfogadható, </w:t>
      </w:r>
      <w:r>
        <w:rPr>
          <w:rFonts w:asciiTheme="minorHAnsi" w:hAnsiTheme="minorHAnsi"/>
        </w:rPr>
        <w:t xml:space="preserve">a </w:t>
      </w:r>
      <w:r w:rsidRPr="006A6890">
        <w:rPr>
          <w:rFonts w:asciiTheme="minorHAnsi" w:hAnsiTheme="minorHAnsi"/>
        </w:rPr>
        <w:t>teherviselő képességének</w:t>
      </w:r>
      <w:r>
        <w:rPr>
          <w:rFonts w:asciiTheme="minorHAnsi" w:hAnsiTheme="minorHAnsi"/>
        </w:rPr>
        <w:t xml:space="preserve"> és a </w:t>
      </w:r>
      <w:r w:rsidRPr="006A6890">
        <w:rPr>
          <w:rFonts w:asciiTheme="minorHAnsi" w:hAnsiTheme="minorHAnsi"/>
        </w:rPr>
        <w:t>kockázati étvágyának megfelelő mértékűre korlátozza.</w:t>
      </w:r>
    </w:p>
    <w:p w14:paraId="7FFFEB91" w14:textId="77777777" w:rsidR="008A78E3" w:rsidRPr="006A6890" w:rsidRDefault="008A78E3" w:rsidP="00EA0541">
      <w:pPr>
        <w:rPr>
          <w:rFonts w:asciiTheme="minorHAnsi" w:hAnsiTheme="minorHAnsi"/>
        </w:rPr>
      </w:pPr>
      <w:r w:rsidRPr="006A6890">
        <w:rPr>
          <w:rFonts w:asciiTheme="minorHAnsi" w:hAnsiTheme="minorHAnsi"/>
        </w:rPr>
        <w:t>Az intézmény felsővezetésének tudatában kell lennie az intézmény működési kockázatai</w:t>
      </w:r>
      <w:r>
        <w:rPr>
          <w:rFonts w:asciiTheme="minorHAnsi" w:hAnsiTheme="minorHAnsi"/>
        </w:rPr>
        <w:t>val</w:t>
      </w:r>
      <w:r w:rsidRPr="006A6890">
        <w:rPr>
          <w:rFonts w:asciiTheme="minorHAnsi" w:hAnsiTheme="minorHAnsi"/>
        </w:rPr>
        <w:t>, mind a realizált veszteségek, mind a potenciális fenyegetettség</w:t>
      </w:r>
      <w:r>
        <w:rPr>
          <w:rFonts w:asciiTheme="minorHAnsi" w:hAnsiTheme="minorHAnsi"/>
        </w:rPr>
        <w:t>ek</w:t>
      </w:r>
      <w:r w:rsidRPr="006A6890">
        <w:rPr>
          <w:rFonts w:asciiTheme="minorHAnsi" w:hAnsiTheme="minorHAnsi"/>
        </w:rPr>
        <w:t xml:space="preserve"> tekintetében. Ennek érdekében szükséges kialakítani a működési kockázatok jelentési útvonalát és a jelentések kereteit, valamint meg kell határozni, hogy mely irányító testületek hatáskörébe tartozik a működési kockázatok elfogadásához és/vagy csökkentéséhez kapcsolódó döntéshozatal.</w:t>
      </w:r>
    </w:p>
    <w:p w14:paraId="7FFFEB92" w14:textId="77777777" w:rsidR="008A78E3" w:rsidRPr="006A6890" w:rsidRDefault="008A78E3" w:rsidP="00EA0541">
      <w:pPr>
        <w:rPr>
          <w:rFonts w:asciiTheme="minorHAnsi" w:hAnsiTheme="minorHAnsi"/>
        </w:rPr>
      </w:pPr>
      <w:r w:rsidRPr="006A6890">
        <w:rPr>
          <w:rFonts w:asciiTheme="minorHAnsi" w:hAnsiTheme="minorHAnsi"/>
        </w:rPr>
        <w:t>A működési kockázati fenyegetettség bekövetkezett kockázati eseményekben realizálódhat. Minden intézmény tekintetében elvárás, hogy alakítsa ki ezen események gyűjtésének folyamatát, kritériumait és küszöbértékét, valamint naprakész nyilvántartással rendelkezzen a bekövetkezett működési kockázati eseményeiről.</w:t>
      </w:r>
      <w:r>
        <w:rPr>
          <w:rFonts w:asciiTheme="minorHAnsi" w:hAnsiTheme="minorHAnsi"/>
        </w:rPr>
        <w:t xml:space="preserve"> Az adatgyűjtési küszöbértéket az intézmény méretével arányosan szükséges meghatározni.</w:t>
      </w:r>
    </w:p>
    <w:p w14:paraId="7FFFEB93" w14:textId="77777777" w:rsidR="008A78E3" w:rsidRPr="006A6890" w:rsidRDefault="008A78E3" w:rsidP="00EA0541">
      <w:pPr>
        <w:rPr>
          <w:rFonts w:asciiTheme="minorHAnsi" w:hAnsiTheme="minorHAnsi"/>
        </w:rPr>
      </w:pPr>
      <w:r w:rsidRPr="006A6890">
        <w:rPr>
          <w:rFonts w:asciiTheme="minorHAnsi" w:hAnsiTheme="minorHAnsi"/>
        </w:rPr>
        <w:t>A működési kockázati profil felmérése akkor tekinthető teljesnek, ha az a múltban bekövetkezett veszteségek azonosítása mellett kiterjed az intézmény jelenbeni és jövőbeni kockázataira is. Ennek megfelelően az intézményeknek olyan módszereket kell alkalmazni</w:t>
      </w:r>
      <w:r>
        <w:rPr>
          <w:rFonts w:asciiTheme="minorHAnsi" w:hAnsiTheme="minorHAnsi"/>
        </w:rPr>
        <w:t>uk</w:t>
      </w:r>
      <w:r w:rsidRPr="006A6890">
        <w:rPr>
          <w:rFonts w:asciiTheme="minorHAnsi" w:hAnsiTheme="minorHAnsi"/>
        </w:rPr>
        <w:t xml:space="preserve"> – az arányosság elvének figyelembe vételével – amelyek megragadják a potenciális működési kockázatokat is. Ezen módszerek közé tartozik</w:t>
      </w:r>
    </w:p>
    <w:p w14:paraId="7FFFEB94" w14:textId="77777777" w:rsidR="008A78E3" w:rsidRPr="006A6890" w:rsidRDefault="008A78E3"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működési kockázati forgatókönyv-elemzés, amely az alacsony bekövetkezési valószínűségű, de nagy veszteséghatású potenciális eseményeket számszerűsíti,</w:t>
      </w:r>
    </w:p>
    <w:p w14:paraId="7FFFEB95" w14:textId="77777777" w:rsidR="008A78E3" w:rsidRPr="006A6890" w:rsidRDefault="008A78E3"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kulcskockázati indikátorok meghatározása, gyűjtése és kiértékelése, amely a működési kockázatok szintjének elmozdulását hivatott jelezni,</w:t>
      </w:r>
    </w:p>
    <w:p w14:paraId="7FFFEB96" w14:textId="77777777" w:rsidR="008A78E3" w:rsidRPr="006A6890" w:rsidRDefault="008A78E3"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működési kockázati önértékelés, amely az intézmény folyamataiban rejlő működési kockázatokat és azok kontrolljait azonosítja és értékeli.</w:t>
      </w:r>
    </w:p>
    <w:p w14:paraId="7FFFEB97" w14:textId="77777777" w:rsidR="008A78E3" w:rsidRPr="006A6890" w:rsidRDefault="008A78E3" w:rsidP="00EA0541">
      <w:pPr>
        <w:rPr>
          <w:rFonts w:asciiTheme="minorHAnsi" w:hAnsiTheme="minorHAnsi"/>
        </w:rPr>
      </w:pPr>
      <w:r w:rsidRPr="006A6890">
        <w:rPr>
          <w:rFonts w:asciiTheme="minorHAnsi" w:hAnsiTheme="minorHAnsi"/>
        </w:rPr>
        <w:t>A működési kockázatok kezelése az egyes tevékenységek és eseménytípusok jellegéhez igazodóan, de központi kontroll mellett megvalósított és nyilvántartott tevékenység, mely magában foglalja:</w:t>
      </w:r>
    </w:p>
    <w:p w14:paraId="7FFFEB98" w14:textId="77777777" w:rsidR="008A78E3" w:rsidRPr="006A6890" w:rsidRDefault="008A78E3" w:rsidP="00CD1B46">
      <w:pPr>
        <w:pStyle w:val="Listaszerbekezds"/>
        <w:numPr>
          <w:ilvl w:val="0"/>
          <w:numId w:val="61"/>
        </w:numPr>
        <w:rPr>
          <w:rFonts w:asciiTheme="minorHAnsi" w:hAnsiTheme="minorHAnsi"/>
          <w:sz w:val="22"/>
          <w:szCs w:val="22"/>
        </w:rPr>
      </w:pPr>
      <w:r w:rsidRPr="006A6890">
        <w:rPr>
          <w:rFonts w:asciiTheme="minorHAnsi" w:hAnsiTheme="minorHAnsi"/>
          <w:sz w:val="22"/>
          <w:szCs w:val="22"/>
        </w:rPr>
        <w:t>a kockázati események bekövetkezésének és/vagy megismétlődésének megakadályozását (folyamatba</w:t>
      </w:r>
      <w:r>
        <w:rPr>
          <w:rFonts w:asciiTheme="minorHAnsi" w:hAnsiTheme="minorHAnsi"/>
          <w:sz w:val="22"/>
          <w:szCs w:val="22"/>
        </w:rPr>
        <w:t>, IT rendszerekbe</w:t>
      </w:r>
      <w:r w:rsidRPr="006A6890">
        <w:rPr>
          <w:rFonts w:asciiTheme="minorHAnsi" w:hAnsiTheme="minorHAnsi"/>
          <w:sz w:val="22"/>
          <w:szCs w:val="22"/>
        </w:rPr>
        <w:t xml:space="preserve"> épített és vezetői ellenőrzés, védelmi rendszerek által),</w:t>
      </w:r>
    </w:p>
    <w:p w14:paraId="7FFFEB99" w14:textId="77777777" w:rsidR="008A78E3" w:rsidRPr="006A6890" w:rsidRDefault="008A78E3" w:rsidP="00CD1B46">
      <w:pPr>
        <w:pStyle w:val="Listaszerbekezds"/>
        <w:numPr>
          <w:ilvl w:val="0"/>
          <w:numId w:val="61"/>
        </w:numPr>
        <w:rPr>
          <w:rFonts w:asciiTheme="minorHAnsi" w:hAnsiTheme="minorHAnsi"/>
          <w:sz w:val="22"/>
          <w:szCs w:val="22"/>
        </w:rPr>
      </w:pPr>
      <w:r w:rsidRPr="006A6890">
        <w:rPr>
          <w:rFonts w:asciiTheme="minorHAnsi" w:hAnsiTheme="minorHAnsi"/>
          <w:sz w:val="22"/>
          <w:szCs w:val="22"/>
        </w:rPr>
        <w:t>a kritikus helyzetek kezelését (azonnali intézkedési tervek, üzletmenet-folytonosság menedzsment által), illetve</w:t>
      </w:r>
    </w:p>
    <w:p w14:paraId="7FFFEB9A" w14:textId="77777777" w:rsidR="008A78E3" w:rsidRPr="006A6890" w:rsidRDefault="008A78E3" w:rsidP="00CD1B46">
      <w:pPr>
        <w:pStyle w:val="Listaszerbekezds"/>
        <w:numPr>
          <w:ilvl w:val="0"/>
          <w:numId w:val="61"/>
        </w:numPr>
        <w:rPr>
          <w:rFonts w:asciiTheme="minorHAnsi" w:hAnsiTheme="minorHAnsi"/>
        </w:rPr>
      </w:pPr>
      <w:r w:rsidRPr="006A6890">
        <w:rPr>
          <w:rFonts w:asciiTheme="minorHAnsi" w:hAnsiTheme="minorHAnsi"/>
          <w:sz w:val="22"/>
          <w:szCs w:val="22"/>
        </w:rPr>
        <w:t>a bekövetkezett károk enyhítésére szolgáló intézkedéseket (pl.: biztosítások, követeléskezelési folyamatok üzemeltetése által).</w:t>
      </w:r>
    </w:p>
    <w:p w14:paraId="7FFFEB9B" w14:textId="77777777" w:rsidR="008A78E3" w:rsidRPr="006A6890" w:rsidRDefault="008A78E3" w:rsidP="00EA0541">
      <w:pPr>
        <w:rPr>
          <w:rFonts w:asciiTheme="minorHAnsi" w:hAnsiTheme="minorHAnsi"/>
        </w:rPr>
      </w:pPr>
      <w:r w:rsidRPr="006A6890">
        <w:rPr>
          <w:rFonts w:asciiTheme="minorHAnsi" w:hAnsiTheme="minorHAnsi"/>
        </w:rPr>
        <w:t>A kockázatok csökkentése érdekében meghozott intézkedések meghatározása, nyomon követése és hatásának visszamérése elengedhetetlen ahhoz, hogy az intézmény meg tudja határozni a reziduális működési kockázatait.</w:t>
      </w:r>
    </w:p>
    <w:p w14:paraId="7FFFEB9C" w14:textId="77777777" w:rsidR="008A78E3" w:rsidRPr="006A6890" w:rsidRDefault="008A78E3" w:rsidP="00181755">
      <w:pPr>
        <w:rPr>
          <w:rFonts w:asciiTheme="minorHAnsi" w:hAnsiTheme="minorHAnsi"/>
          <w:b/>
        </w:rPr>
      </w:pPr>
      <w:r w:rsidRPr="006A6890">
        <w:rPr>
          <w:rFonts w:asciiTheme="minorHAnsi" w:hAnsiTheme="minorHAnsi"/>
          <w:b/>
        </w:rPr>
        <w:t>Tőkekövetelmény-számítás</w:t>
      </w:r>
    </w:p>
    <w:p w14:paraId="7FFFEB9D" w14:textId="77777777" w:rsidR="008A78E3" w:rsidRPr="006A6890" w:rsidRDefault="008A78E3" w:rsidP="00EA0541">
      <w:pPr>
        <w:rPr>
          <w:rFonts w:asciiTheme="minorHAnsi" w:hAnsiTheme="minorHAnsi"/>
        </w:rPr>
      </w:pPr>
      <w:r w:rsidRPr="006A6890">
        <w:rPr>
          <w:rFonts w:asciiTheme="minorHAnsi" w:hAnsiTheme="minorHAnsi"/>
        </w:rPr>
        <w:t>A számított és megképzett tőke az inherens kockázatok és az ezeket mérséklő kontrollok eredményeképpen fennálló – időben változó mértékű – reziduális kockázatot hivatott pufferként lefedni.</w:t>
      </w:r>
    </w:p>
    <w:p w14:paraId="7FFFEB9E" w14:textId="77777777" w:rsidR="008A78E3" w:rsidRDefault="008A78E3" w:rsidP="00EA0541">
      <w:pPr>
        <w:rPr>
          <w:rFonts w:asciiTheme="minorHAnsi" w:hAnsiTheme="minorHAnsi"/>
        </w:rPr>
      </w:pPr>
      <w:r w:rsidRPr="006A6890">
        <w:rPr>
          <w:rFonts w:asciiTheme="minorHAnsi" w:hAnsiTheme="minorHAnsi"/>
        </w:rPr>
        <w:t xml:space="preserve">Az alkalmazott kockázatkezelési gyakorlat mellett </w:t>
      </w:r>
      <w:r>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Pr>
          <w:rFonts w:asciiTheme="minorHAnsi" w:hAnsiTheme="minorHAnsi"/>
        </w:rPr>
        <w:t>az alábbi módszerek használhatók:</w:t>
      </w:r>
    </w:p>
    <w:p w14:paraId="7FFFEB9F" w14:textId="77777777" w:rsidR="008A78E3" w:rsidRPr="00EC6B0B" w:rsidRDefault="008A78E3" w:rsidP="00CD1B46">
      <w:pPr>
        <w:pStyle w:val="Listaszerbekezds"/>
        <w:numPr>
          <w:ilvl w:val="0"/>
          <w:numId w:val="76"/>
        </w:numPr>
        <w:rPr>
          <w:rFonts w:asciiTheme="minorHAnsi" w:hAnsiTheme="minorHAnsi"/>
          <w:sz w:val="22"/>
          <w:szCs w:val="22"/>
        </w:rPr>
      </w:pPr>
      <w:r w:rsidRPr="00CE3686">
        <w:rPr>
          <w:rFonts w:asciiTheme="minorHAnsi" w:hAnsiTheme="minorHAnsi"/>
          <w:sz w:val="22"/>
        </w:rPr>
        <w:t xml:space="preserve">saját modellen alapuló fejlett módszer (AMA), </w:t>
      </w:r>
      <w:r>
        <w:rPr>
          <w:rFonts w:asciiTheme="minorHAnsi" w:hAnsiTheme="minorHAnsi"/>
          <w:sz w:val="22"/>
          <w:szCs w:val="22"/>
        </w:rPr>
        <w:t xml:space="preserve">amely </w:t>
      </w:r>
      <w:r w:rsidRPr="004B5D1A">
        <w:rPr>
          <w:rFonts w:asciiTheme="minorHAnsi" w:hAnsiTheme="minorHAnsi"/>
          <w:sz w:val="22"/>
        </w:rPr>
        <w:t>kockázatérzékeny módon, a lehetséges veszteségek valószínűségi eloszlását felhasználva számszerűsíti a tőkefedezet mértékét</w:t>
      </w:r>
      <w:r>
        <w:rPr>
          <w:rFonts w:asciiTheme="minorHAnsi" w:hAnsiTheme="minorHAnsi"/>
          <w:sz w:val="22"/>
        </w:rPr>
        <w:t>,</w:t>
      </w:r>
      <w:r w:rsidRPr="004B5D1A">
        <w:rPr>
          <w:rFonts w:asciiTheme="minorHAnsi" w:hAnsiTheme="minorHAnsi"/>
          <w:sz w:val="22"/>
        </w:rPr>
        <w:t xml:space="preserve"> </w:t>
      </w:r>
      <w:r w:rsidRPr="00CE3686">
        <w:rPr>
          <w:rFonts w:asciiTheme="minorHAnsi" w:hAnsiTheme="minorHAnsi"/>
          <w:sz w:val="22"/>
        </w:rPr>
        <w:t xml:space="preserve">vagy </w:t>
      </w:r>
    </w:p>
    <w:p w14:paraId="7FFFEBA0" w14:textId="77777777" w:rsidR="008A78E3" w:rsidRPr="00EC6B0B" w:rsidRDefault="008A78E3" w:rsidP="00CD1B46">
      <w:pPr>
        <w:pStyle w:val="Listaszerbekezds"/>
        <w:numPr>
          <w:ilvl w:val="0"/>
          <w:numId w:val="76"/>
        </w:numPr>
        <w:rPr>
          <w:rFonts w:asciiTheme="minorHAnsi" w:hAnsiTheme="minorHAnsi"/>
          <w:sz w:val="22"/>
          <w:szCs w:val="22"/>
        </w:rPr>
      </w:pPr>
      <w:r w:rsidRPr="00CE3686">
        <w:rPr>
          <w:rFonts w:asciiTheme="minorHAnsi" w:hAnsiTheme="minorHAnsi"/>
          <w:sz w:val="22"/>
        </w:rPr>
        <w:t xml:space="preserve">az intézmény méretével arányos, fix kockázati súlyok alkalmazásán alapuló egyszerűbb </w:t>
      </w:r>
      <w:r>
        <w:rPr>
          <w:rFonts w:asciiTheme="minorHAnsi" w:hAnsiTheme="minorHAnsi"/>
          <w:sz w:val="22"/>
          <w:szCs w:val="22"/>
        </w:rPr>
        <w:t>– kevésbé kockázatérzékeny –</w:t>
      </w:r>
      <w:r w:rsidRPr="00EC6B0B">
        <w:rPr>
          <w:rFonts w:asciiTheme="minorHAnsi" w:hAnsiTheme="minorHAnsi"/>
          <w:sz w:val="22"/>
          <w:szCs w:val="22"/>
        </w:rPr>
        <w:t xml:space="preserve"> </w:t>
      </w:r>
      <w:r w:rsidRPr="00CE3686">
        <w:rPr>
          <w:rFonts w:asciiTheme="minorHAnsi" w:hAnsiTheme="minorHAnsi"/>
          <w:sz w:val="22"/>
        </w:rPr>
        <w:t>módszerek (az alapmutató (BIA), valamint sztenderd (TSA) és alternatív sztenderd (ASA) módszer</w:t>
      </w:r>
      <w:r w:rsidRPr="00EC6B0B">
        <w:rPr>
          <w:rFonts w:asciiTheme="minorHAnsi" w:hAnsiTheme="minorHAnsi"/>
          <w:sz w:val="22"/>
          <w:szCs w:val="22"/>
        </w:rPr>
        <w:t>)</w:t>
      </w:r>
      <w:r>
        <w:rPr>
          <w:rFonts w:asciiTheme="minorHAnsi" w:hAnsiTheme="minorHAnsi"/>
          <w:sz w:val="22"/>
          <w:szCs w:val="22"/>
        </w:rPr>
        <w:t xml:space="preserve">, </w:t>
      </w:r>
      <w:r w:rsidRPr="004B5D1A">
        <w:rPr>
          <w:rFonts w:asciiTheme="minorHAnsi" w:hAnsiTheme="minorHAnsi"/>
          <w:sz w:val="22"/>
        </w:rPr>
        <w:t>a</w:t>
      </w:r>
      <w:r>
        <w:rPr>
          <w:rFonts w:asciiTheme="minorHAnsi" w:hAnsiTheme="minorHAnsi"/>
          <w:sz w:val="22"/>
        </w:rPr>
        <w:t>melyek az</w:t>
      </w:r>
      <w:r w:rsidRPr="004B5D1A">
        <w:rPr>
          <w:rFonts w:asciiTheme="minorHAnsi" w:hAnsiTheme="minorHAnsi"/>
          <w:sz w:val="22"/>
        </w:rPr>
        <w:t xml:space="preserve"> üzleti eredményhez igazodó irányadó mutató alapján számítják a tőkekövetelményt</w:t>
      </w:r>
      <w:r>
        <w:rPr>
          <w:rFonts w:asciiTheme="minorHAnsi" w:hAnsiTheme="minorHAnsi"/>
          <w:sz w:val="22"/>
          <w:szCs w:val="22"/>
        </w:rPr>
        <w:t>.</w:t>
      </w:r>
    </w:p>
    <w:p w14:paraId="7FFFEBA1" w14:textId="77777777" w:rsidR="008A78E3" w:rsidRDefault="008A78E3" w:rsidP="00A4658F">
      <w:pPr>
        <w:rPr>
          <w:rFonts w:asciiTheme="minorHAnsi" w:hAnsiTheme="minorHAnsi"/>
        </w:rPr>
      </w:pPr>
      <w:r w:rsidRPr="00EC6B0B">
        <w:rPr>
          <w:rFonts w:asciiTheme="minorHAnsi" w:hAnsiTheme="minorHAnsi"/>
        </w:rPr>
        <w:t xml:space="preserve">A TSA és az ASA </w:t>
      </w:r>
      <w:r>
        <w:rPr>
          <w:rFonts w:asciiTheme="minorHAnsi" w:hAnsiTheme="minorHAnsi"/>
        </w:rPr>
        <w:t xml:space="preserve">módszer </w:t>
      </w:r>
      <w:r w:rsidRPr="00EC6B0B">
        <w:rPr>
          <w:rFonts w:asciiTheme="minorHAnsi" w:hAnsiTheme="minorHAnsi"/>
        </w:rPr>
        <w:t xml:space="preserve">alkalmazása felügyeleti bejelentéshez, az AMA használata – validációt követően – felügyeleti engedélyhez kötött. </w:t>
      </w:r>
    </w:p>
    <w:p w14:paraId="7FFFEBA2" w14:textId="77777777" w:rsidR="008A78E3" w:rsidRPr="00EC6B0B" w:rsidRDefault="008A78E3" w:rsidP="00A4658F">
      <w:pPr>
        <w:rPr>
          <w:rFonts w:asciiTheme="minorHAnsi" w:hAnsiTheme="minorHAnsi"/>
        </w:rPr>
      </w:pPr>
      <w:r w:rsidRPr="00A851C7">
        <w:rPr>
          <w:rFonts w:asciiTheme="minorHAnsi" w:hAnsiTheme="minorHAnsi"/>
        </w:rPr>
        <w:t>A Bázel III véglegezése keretében a Bázeli Bankfelügyeleti Bizottság felülvizsgálta a működési kockázati tőkekövetelmény kiszámítására vonatkozó előírásokat. A tapasztalatok alapján a jelenlegi sztenderd módszerek nem kellően kockázatérzékenyek, míg a fejlett mérési módszer (AMA) keretében alkalmazott belső modellezési módszertanok között olyan nagy különbségek azonosíthatók, amelyek megnehezítik az összehasonlításukat. Erre figyelemmel a Bázel III véglegezésének EU-s implementációja keretében a CRR módosításának tervezete valamennyi jelenleg alkalmazandó módszer helyett egyetlen új módszert vezet be</w:t>
      </w:r>
      <w:r>
        <w:rPr>
          <w:rFonts w:asciiTheme="minorHAnsi" w:hAnsiTheme="minorHAnsi"/>
        </w:rPr>
        <w:t>: Standardised Measurement Approach</w:t>
      </w:r>
      <w:r w:rsidRPr="00A851C7">
        <w:rPr>
          <w:rFonts w:asciiTheme="minorHAnsi" w:hAnsiTheme="minorHAnsi"/>
        </w:rPr>
        <w:t xml:space="preserve"> (</w:t>
      </w:r>
      <w:r>
        <w:rPr>
          <w:rFonts w:asciiTheme="minorHAnsi" w:hAnsiTheme="minorHAnsi"/>
        </w:rPr>
        <w:t xml:space="preserve">SMA, </w:t>
      </w:r>
      <w:r w:rsidRPr="00A851C7">
        <w:rPr>
          <w:rFonts w:asciiTheme="minorHAnsi" w:hAnsiTheme="minorHAnsi"/>
        </w:rPr>
        <w:t>új sztenderd módszer). Az új szabályok várhatóan 2025. január 1-jétől lesznek alkalmazandók.</w:t>
      </w:r>
    </w:p>
    <w:p w14:paraId="7FFFEBA3" w14:textId="77777777" w:rsidR="008A78E3" w:rsidRPr="006A6890" w:rsidRDefault="008A78E3" w:rsidP="00EA0541">
      <w:pPr>
        <w:rPr>
          <w:rFonts w:asciiTheme="minorHAnsi" w:hAnsiTheme="minorHAnsi"/>
        </w:rPr>
      </w:pPr>
      <w:r w:rsidRPr="006A6890">
        <w:rPr>
          <w:rFonts w:asciiTheme="minorHAnsi" w:hAnsiTheme="minorHAnsi"/>
        </w:rPr>
        <w:t>A fejlett mérési módszer (AMA) esetében a kockázatok számszerűsítése és minősítése során a működési kockázatok intézményre gyakorolt hatását komplexen kell értékelni. Ez az átfogó szemlélet magában foglalja a múltbeli események hatása mellett a szélsőséges működési koc</w:t>
      </w:r>
      <w:r>
        <w:rPr>
          <w:rFonts w:asciiTheme="minorHAnsi" w:hAnsiTheme="minorHAnsi"/>
        </w:rPr>
        <w:t>k</w:t>
      </w:r>
      <w:r w:rsidRPr="006A6890">
        <w:rPr>
          <w:rFonts w:asciiTheme="minorHAnsi" w:hAnsiTheme="minorHAnsi"/>
        </w:rPr>
        <w:t xml:space="preserve">ázati események (szcenáriók) lehetőségének, a külső körülmények </w:t>
      </w:r>
      <w:r>
        <w:rPr>
          <w:rFonts w:asciiTheme="minorHAnsi" w:hAnsiTheme="minorHAnsi"/>
        </w:rPr>
        <w:t xml:space="preserve">és </w:t>
      </w:r>
      <w:r w:rsidRPr="006A6890">
        <w:rPr>
          <w:rFonts w:asciiTheme="minorHAnsi" w:hAnsiTheme="minorHAnsi"/>
        </w:rPr>
        <w:t>a</w:t>
      </w:r>
      <w:r>
        <w:rPr>
          <w:rFonts w:asciiTheme="minorHAnsi" w:hAnsiTheme="minorHAnsi"/>
        </w:rPr>
        <w:t xml:space="preserve"> belső kontrollkörnyezet változásának, a</w:t>
      </w:r>
      <w:r w:rsidRPr="006A6890">
        <w:rPr>
          <w:rFonts w:asciiTheme="minorHAnsi" w:hAnsiTheme="minorHAnsi"/>
        </w:rPr>
        <w:t xml:space="preserve"> kényszerű és szándékolt stratégiaváltás, valamint a szabályozói környezet változásának számbavételét is. A kockázati események bekövetkezési valószínűsége mellett a</w:t>
      </w:r>
      <w:r>
        <w:rPr>
          <w:rFonts w:asciiTheme="minorHAnsi" w:hAnsiTheme="minorHAnsi"/>
        </w:rPr>
        <w:t>zok</w:t>
      </w:r>
      <w:r w:rsidRPr="006A6890">
        <w:rPr>
          <w:rFonts w:asciiTheme="minorHAnsi" w:hAnsiTheme="minorHAnsi"/>
        </w:rPr>
        <w:t xml:space="preserve"> hatását is értékelni kell az egyes tevékenységek</w:t>
      </w:r>
      <w:r>
        <w:rPr>
          <w:rFonts w:asciiTheme="minorHAnsi" w:hAnsiTheme="minorHAnsi"/>
        </w:rPr>
        <w:t xml:space="preserve">, illetve </w:t>
      </w:r>
      <w:r w:rsidRPr="006A6890">
        <w:rPr>
          <w:rFonts w:asciiTheme="minorHAnsi" w:hAnsiTheme="minorHAnsi"/>
        </w:rPr>
        <w:t>munkafolyamatok kockázatainak felmérése során.</w:t>
      </w:r>
    </w:p>
    <w:p w14:paraId="7FFFEBA4" w14:textId="77777777" w:rsidR="008A78E3" w:rsidRPr="006A6890" w:rsidRDefault="008A78E3" w:rsidP="00EA0541">
      <w:pPr>
        <w:rPr>
          <w:rFonts w:asciiTheme="minorHAnsi" w:hAnsiTheme="minorHAnsi"/>
        </w:rPr>
      </w:pPr>
      <w:r w:rsidRPr="006A6890">
        <w:rPr>
          <w:rFonts w:asciiTheme="minorHAnsi" w:hAnsiTheme="minorHAnsi"/>
        </w:rPr>
        <w:t>Az egyszerűbb (BIA, illetve TSA, ASA) módszerek alkalmazása esetén is követelmény, hogy a vállalatirányítási rendszer részét képezze a működési kockázatok teljeskörű áttekintése, ésszerű mérséklése. Az intézménynek rendelkeznie kell az általa számított tőke</w:t>
      </w:r>
      <w:r>
        <w:rPr>
          <w:rFonts w:asciiTheme="minorHAnsi" w:hAnsiTheme="minorHAnsi"/>
        </w:rPr>
        <w:t>követelmény szint</w:t>
      </w:r>
      <w:r w:rsidRPr="006A6890">
        <w:rPr>
          <w:rFonts w:asciiTheme="minorHAnsi" w:hAnsiTheme="minorHAnsi"/>
        </w:rPr>
        <w:t xml:space="preserve"> elégségességét alátámasztó eljárással</w:t>
      </w:r>
      <w:r>
        <w:rPr>
          <w:rFonts w:asciiTheme="minorHAnsi" w:hAnsiTheme="minorHAnsi"/>
        </w:rPr>
        <w:t>, melynek</w:t>
      </w:r>
      <w:r w:rsidRPr="006A6890">
        <w:rPr>
          <w:rFonts w:asciiTheme="minorHAnsi" w:hAnsiTheme="minorHAnsi"/>
        </w:rPr>
        <w:t xml:space="preserve"> – a tőke ténylegesen bekövetkezett károkkal való összevetésén túl – a kockázatok rendszerszintű felmérésén kell alapulnia. Mivel az egyszerűbb módszerek alkalmazása esetén a tőkeszámítás csak közelítő eredményt ad és esetenként (pl.</w:t>
      </w:r>
      <w:r>
        <w:rPr>
          <w:rFonts w:asciiTheme="minorHAnsi" w:hAnsiTheme="minorHAnsi"/>
        </w:rPr>
        <w:t>:</w:t>
      </w:r>
      <w:r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Pr>
          <w:rFonts w:asciiTheme="minorHAnsi" w:hAnsiTheme="minorHAnsi"/>
        </w:rPr>
        <w:t xml:space="preserve"> </w:t>
      </w:r>
      <w:r w:rsidRPr="006A6890">
        <w:rPr>
          <w:rFonts w:asciiTheme="minorHAnsi" w:hAnsiTheme="minorHAnsi"/>
        </w:rPr>
        <w:t>szükség esetén</w:t>
      </w:r>
      <w:r>
        <w:rPr>
          <w:rFonts w:asciiTheme="minorHAnsi" w:hAnsiTheme="minorHAnsi"/>
        </w:rPr>
        <w:t xml:space="preserve"> </w:t>
      </w:r>
      <w:r w:rsidRPr="006A6890">
        <w:rPr>
          <w:rFonts w:asciiTheme="minorHAnsi" w:hAnsiTheme="minorHAnsi"/>
        </w:rPr>
        <w:t xml:space="preserve">– a tőkekövetelményt növelni kell. </w:t>
      </w:r>
    </w:p>
    <w:p w14:paraId="7FFFEBA5" w14:textId="77777777" w:rsidR="008A78E3" w:rsidRPr="006A6890" w:rsidRDefault="008A78E3"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kockázati profilját és a konszolidált tőkekötelezettséghez való hozzájárulását.</w:t>
      </w:r>
    </w:p>
    <w:p w14:paraId="7FFFEBA6"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BA7" w14:textId="77777777" w:rsidR="008A78E3" w:rsidRPr="006A6890" w:rsidRDefault="008A78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minden ICAAP felülvizsgálat alá tartozó intézménytől elvárja, hogy – függetlenül az 1. pillérben választott, szabályozói tőkeszámítási módszertantól – a 2. pillérben gondosan mérje fel működési profilját és kockázatait.</w:t>
      </w:r>
    </w:p>
    <w:p w14:paraId="7FFFEBA8" w14:textId="77777777" w:rsidR="008A78E3" w:rsidRPr="006A6890" w:rsidRDefault="008A78E3" w:rsidP="00EA0541">
      <w:pPr>
        <w:rPr>
          <w:rFonts w:asciiTheme="minorHAnsi" w:hAnsiTheme="minorHAnsi"/>
        </w:rPr>
      </w:pPr>
      <w:r w:rsidRPr="006A6890">
        <w:rPr>
          <w:rFonts w:asciiTheme="minorHAnsi" w:hAnsiTheme="minorHAnsi"/>
        </w:rPr>
        <w:t xml:space="preserve">Az alkalmazott kockázatfeltáró módszertanok tekintetében az MNB különbséget tesz a komplex pénzügyi szolgáltatást nyújtó </w:t>
      </w:r>
      <w:r>
        <w:rPr>
          <w:rFonts w:asciiTheme="minorHAnsi" w:hAnsiTheme="minorHAnsi"/>
        </w:rPr>
        <w:t xml:space="preserve">és/vagy </w:t>
      </w:r>
      <w:r w:rsidRPr="006A6890">
        <w:rPr>
          <w:rFonts w:asciiTheme="minorHAnsi" w:hAnsiTheme="minorHAnsi"/>
        </w:rPr>
        <w:t>nagy méretű bankok és kis méretű (1000 milliárd alatti mérlegfőösszegű) bankok között annak érdekében, hogy az arányosság elve a gyakorlatban is megvalósuljon</w:t>
      </w:r>
      <w:r>
        <w:rPr>
          <w:rStyle w:val="Lbjegyzet-hivatkozs"/>
          <w:rFonts w:asciiTheme="minorHAnsi" w:hAnsiTheme="minorHAnsi"/>
        </w:rPr>
        <w:footnoteReference w:id="84"/>
      </w:r>
      <w:r w:rsidRPr="006A6890">
        <w:rPr>
          <w:rFonts w:asciiTheme="minorHAnsi" w:hAnsiTheme="minorHAnsi"/>
        </w:rPr>
        <w:t>:</w:t>
      </w:r>
    </w:p>
    <w:p w14:paraId="7FFFEBA9" w14:textId="77777777" w:rsidR="008A78E3" w:rsidRPr="006A6890" w:rsidRDefault="008A78E3" w:rsidP="00CD1B46">
      <w:pPr>
        <w:pStyle w:val="Listaszerbekezds"/>
        <w:numPr>
          <w:ilvl w:val="0"/>
          <w:numId w:val="62"/>
        </w:numPr>
        <w:rPr>
          <w:rFonts w:asciiTheme="minorHAnsi" w:hAnsiTheme="minorHAnsi"/>
          <w:sz w:val="22"/>
          <w:szCs w:val="22"/>
        </w:rPr>
      </w:pPr>
      <w:r w:rsidRPr="006A6890">
        <w:rPr>
          <w:rFonts w:asciiTheme="minorHAnsi" w:hAnsiTheme="minorHAnsi"/>
          <w:sz w:val="22"/>
          <w:szCs w:val="22"/>
        </w:rPr>
        <w:t>a múltbeli veszteségadatok gyűjtése, illetve ebből eredően egy naprakész veszteség-adatbázis összeállítása és karban tartása minden intézmény számára követelmény,</w:t>
      </w:r>
    </w:p>
    <w:p w14:paraId="7FFFEBAA" w14:textId="77777777" w:rsidR="008A78E3" w:rsidRPr="006A6890" w:rsidRDefault="008A78E3" w:rsidP="00CD1B46">
      <w:pPr>
        <w:pStyle w:val="Listaszerbekezds"/>
        <w:numPr>
          <w:ilvl w:val="0"/>
          <w:numId w:val="62"/>
        </w:numPr>
        <w:rPr>
          <w:rFonts w:asciiTheme="minorHAnsi" w:hAnsiTheme="minorHAnsi"/>
          <w:sz w:val="22"/>
          <w:szCs w:val="22"/>
        </w:rPr>
      </w:pPr>
      <w:r w:rsidRPr="006A6890">
        <w:rPr>
          <w:rFonts w:asciiTheme="minorHAnsi" w:hAnsiTheme="minorHAnsi"/>
          <w:sz w:val="22"/>
          <w:szCs w:val="22"/>
        </w:rPr>
        <w:t>a kulcskockázati indiká</w:t>
      </w:r>
      <w:r>
        <w:rPr>
          <w:rFonts w:asciiTheme="minorHAnsi" w:hAnsiTheme="minorHAnsi"/>
          <w:sz w:val="22"/>
          <w:szCs w:val="22"/>
        </w:rPr>
        <w:t>to</w:t>
      </w:r>
      <w:r w:rsidRPr="006A6890">
        <w:rPr>
          <w:rFonts w:asciiTheme="minorHAnsi" w:hAnsiTheme="minorHAnsi"/>
          <w:sz w:val="22"/>
          <w:szCs w:val="22"/>
        </w:rPr>
        <w:t>rok monitoringja, szcenárióelemzési tevékenység és a működési kockázati önértékelés minden nagybank esetében elvárt,</w:t>
      </w:r>
    </w:p>
    <w:p w14:paraId="7FFFEBAB" w14:textId="77777777" w:rsidR="008A78E3" w:rsidRPr="006A6890" w:rsidRDefault="008A78E3" w:rsidP="00CD1B46">
      <w:pPr>
        <w:pStyle w:val="Listaszerbekezds"/>
        <w:numPr>
          <w:ilvl w:val="0"/>
          <w:numId w:val="62"/>
        </w:numPr>
        <w:rPr>
          <w:rFonts w:asciiTheme="minorHAnsi" w:hAnsiTheme="minorHAnsi"/>
        </w:rPr>
      </w:pPr>
      <w:r w:rsidRPr="006A6890">
        <w:rPr>
          <w:rFonts w:asciiTheme="minorHAnsi" w:hAnsiTheme="minorHAnsi"/>
          <w:sz w:val="22"/>
          <w:szCs w:val="22"/>
        </w:rPr>
        <w:t>a kis bankok esetében elvárt, hogy a kulcskockázati indiká</w:t>
      </w:r>
      <w:r>
        <w:rPr>
          <w:rFonts w:asciiTheme="minorHAnsi" w:hAnsiTheme="minorHAnsi"/>
          <w:sz w:val="22"/>
          <w:szCs w:val="22"/>
        </w:rPr>
        <w:t>to</w:t>
      </w:r>
      <w:r w:rsidRPr="006A6890">
        <w:rPr>
          <w:rFonts w:asciiTheme="minorHAnsi" w:hAnsiTheme="minorHAnsi"/>
          <w:sz w:val="22"/>
          <w:szCs w:val="22"/>
        </w:rPr>
        <w:t>rok mon</w:t>
      </w:r>
      <w:r>
        <w:rPr>
          <w:rFonts w:asciiTheme="minorHAnsi" w:hAnsiTheme="minorHAnsi"/>
          <w:sz w:val="22"/>
          <w:szCs w:val="22"/>
        </w:rPr>
        <w:t>i</w:t>
      </w:r>
      <w:r w:rsidRPr="006A6890">
        <w:rPr>
          <w:rFonts w:asciiTheme="minorHAnsi" w:hAnsiTheme="minorHAnsi"/>
          <w:sz w:val="22"/>
          <w:szCs w:val="22"/>
        </w:rPr>
        <w:t xml:space="preserve">toringja, a szcenárióelemzés vagy a működési kockázati önértékelés közül legalább egy módszertan választásával mérjék fel a potenciális működési kockázataikat. A választott módszertan tekintetében az elvárások a nagybanki elvárásokkal azonosak. </w:t>
      </w:r>
    </w:p>
    <w:p w14:paraId="7FFFEBAC" w14:textId="77777777" w:rsidR="008A78E3" w:rsidRPr="006A6890" w:rsidRDefault="008A78E3" w:rsidP="00EA0541">
      <w:pPr>
        <w:rPr>
          <w:rFonts w:asciiTheme="minorHAnsi" w:hAnsiTheme="minorHAnsi"/>
        </w:rPr>
      </w:pPr>
      <w:r w:rsidRPr="006A6890">
        <w:rPr>
          <w:rFonts w:asciiTheme="minorHAnsi" w:hAnsiTheme="minorHAnsi"/>
        </w:rPr>
        <w:t>Az MNB a keretrendszer egyes elemeire vonatkozóan az alábbi gyakorlatok kialakítását és integrálását várja el az intézményektől, melyek teljesülését rendszeresen, az ICAAP felülvizsgálat során vizsgálja meg.</w:t>
      </w:r>
    </w:p>
    <w:p w14:paraId="7FFFEBAD" w14:textId="77777777" w:rsidR="008A78E3" w:rsidRPr="00CE3686" w:rsidRDefault="008A78E3" w:rsidP="00EA0541">
      <w:pPr>
        <w:rPr>
          <w:rFonts w:asciiTheme="minorHAnsi" w:hAnsiTheme="minorHAnsi"/>
          <w:b/>
        </w:rPr>
      </w:pPr>
      <w:r w:rsidRPr="00CE3686">
        <w:rPr>
          <w:rFonts w:asciiTheme="minorHAnsi" w:hAnsiTheme="minorHAnsi"/>
          <w:b/>
        </w:rPr>
        <w:t>1. A működési kockázati keretrendszer</w:t>
      </w:r>
    </w:p>
    <w:p w14:paraId="7FFFEBAE"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Az intézménynek jól dokumentált, szabályzatban rögzített működési kockázatkezelési keretrendszerrel kell rendelkeznie, melyben a kockázatok</w:t>
      </w:r>
      <w:r>
        <w:rPr>
          <w:rFonts w:asciiTheme="minorHAnsi" w:hAnsiTheme="minorHAnsi"/>
        </w:rPr>
        <w:t xml:space="preserve"> azonosítása,</w:t>
      </w:r>
      <w:r w:rsidRPr="006A6890">
        <w:rPr>
          <w:rFonts w:asciiTheme="minorHAnsi" w:hAnsiTheme="minorHAnsi"/>
        </w:rPr>
        <w:t xml:space="preserve"> értékelése és kezelése jól körülhatárolt hatás- és felelősségi körök mentén történik.</w:t>
      </w:r>
    </w:p>
    <w:p w14:paraId="7FFFEBAF"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 működési kockázatkezelési keretrendszert rendszeresen, legalább éves gyakorisággal független felülvizsgálatnak kell alávetni. A vizsgálat megvalósulhat a többi kockázatkezelési keretrendszerrel integráltan vagy elkülönülten is.</w:t>
      </w:r>
    </w:p>
    <w:p w14:paraId="7FFFEBB0"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 működési kockázatkezelési tevékenységet az intézmények</w:t>
      </w:r>
      <w:r>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p>
    <w:p w14:paraId="7FFFEBB1"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Pr>
          <w:rFonts w:asciiTheme="minorHAnsi" w:hAnsiTheme="minorHAnsi"/>
        </w:rPr>
        <w:t xml:space="preserve"> minőségének</w:t>
      </w:r>
      <w:r w:rsidRPr="006A6890">
        <w:rPr>
          <w:rFonts w:asciiTheme="minorHAnsi" w:hAnsiTheme="minorHAnsi"/>
        </w:rPr>
        <w:t xml:space="preserve"> ellenőrzését mindenkor biztosítani szükséges.</w:t>
      </w:r>
    </w:p>
    <w:p w14:paraId="7FFFEBB2"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 mely elengedhetetlenné teszi a rendszeres</w:t>
      </w:r>
      <w:r>
        <w:rPr>
          <w:rFonts w:asciiTheme="minorHAnsi" w:hAnsiTheme="minorHAnsi"/>
        </w:rPr>
        <w:t xml:space="preserve"> – legalább negyedéves gyakoriságú –</w:t>
      </w:r>
      <w:r w:rsidRPr="006A6890">
        <w:rPr>
          <w:rFonts w:asciiTheme="minorHAnsi" w:hAnsiTheme="minorHAnsi"/>
        </w:rPr>
        <w:t xml:space="preserve"> működési kockázati jelentések formájában tett beszámolást.</w:t>
      </w:r>
    </w:p>
    <w:p w14:paraId="7FFFEBB3" w14:textId="77777777" w:rsidR="008A78E3" w:rsidRPr="00CE3686" w:rsidRDefault="008A78E3" w:rsidP="00EA0541">
      <w:pPr>
        <w:rPr>
          <w:rFonts w:asciiTheme="minorHAnsi" w:hAnsiTheme="minorHAnsi"/>
          <w:b/>
        </w:rPr>
      </w:pPr>
      <w:r w:rsidRPr="00CE3686">
        <w:rPr>
          <w:rFonts w:asciiTheme="minorHAnsi" w:hAnsiTheme="minorHAnsi"/>
          <w:b/>
        </w:rPr>
        <w:t>2. Veszteségadat-gyűjtés</w:t>
      </w:r>
    </w:p>
    <w:p w14:paraId="7FFFEBB4"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Az intézménynek biztosítani</w:t>
      </w:r>
      <w:r>
        <w:rPr>
          <w:rFonts w:asciiTheme="minorHAnsi" w:hAnsiTheme="minorHAnsi"/>
        </w:rPr>
        <w:t>a</w:t>
      </w:r>
      <w:r w:rsidRPr="006A6890">
        <w:rPr>
          <w:rFonts w:asciiTheme="minorHAnsi" w:hAnsiTheme="minorHAnsi"/>
        </w:rPr>
        <w:t xml:space="preserve"> kell a teljes működését lefedő veszteségadat-gyűjtési tevékenység kialakítását, valamint a rögzített események, veszteségek és megtérülések független validációját (4 szem elve). Fejlett módszertant alkalmazó intézmény esetén a tőkekövetelmény számításban kizárólag validált</w:t>
      </w:r>
      <w:r>
        <w:rPr>
          <w:rStyle w:val="Lbjegyzet-hivatkozs"/>
          <w:rFonts w:asciiTheme="minorHAnsi" w:hAnsiTheme="minorHAnsi"/>
        </w:rPr>
        <w:footnoteReference w:id="85"/>
      </w:r>
      <w:r w:rsidRPr="006A6890">
        <w:rPr>
          <w:rFonts w:asciiTheme="minorHAnsi" w:hAnsiTheme="minorHAnsi"/>
        </w:rPr>
        <w:t xml:space="preserve"> események szerepeljenek. </w:t>
      </w:r>
    </w:p>
    <w:p w14:paraId="7FFFEBB5"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Az adatgyűjtésnek legalább azon</w:t>
      </w:r>
      <w:r>
        <w:rPr>
          <w:rFonts w:asciiTheme="minorHAnsi" w:hAnsiTheme="minorHAnsi"/>
        </w:rPr>
        <w:t xml:space="preserve"> –</w:t>
      </w:r>
      <w:r w:rsidRPr="00F6713E">
        <w:rPr>
          <w:rFonts w:asciiTheme="minorHAnsi" w:hAnsiTheme="minorHAnsi"/>
        </w:rPr>
        <w:t xml:space="preserve"> intézmény által meghatározott limit feletti </w:t>
      </w:r>
      <w:r>
        <w:rPr>
          <w:rFonts w:asciiTheme="minorHAnsi" w:hAnsiTheme="minorHAnsi"/>
        </w:rPr>
        <w:t>–</w:t>
      </w:r>
      <w:r w:rsidRPr="006A6890">
        <w:rPr>
          <w:rFonts w:asciiTheme="minorHAnsi" w:hAnsiTheme="minorHAnsi"/>
        </w:rPr>
        <w:t xml:space="preserve"> eseményekre ki kell terjednie, amelyek hatása kimutatható a számviteli </w:t>
      </w:r>
      <w:r>
        <w:rPr>
          <w:rFonts w:asciiTheme="minorHAnsi" w:hAnsiTheme="minorHAnsi"/>
        </w:rPr>
        <w:t xml:space="preserve">(főkönyvi vagy analitikus) </w:t>
      </w:r>
      <w:r w:rsidRPr="006A6890">
        <w:rPr>
          <w:rFonts w:asciiTheme="minorHAnsi" w:hAnsiTheme="minorHAnsi"/>
        </w:rPr>
        <w:t>nyilvántartásokban, de javasolt azon események gyűjtése is, amelynek nincs közvetlen hatása a tőkére és az eredményre, de kockázatcsökkentő intézkedést igényelnek.</w:t>
      </w:r>
      <w:r>
        <w:rPr>
          <w:rFonts w:asciiTheme="minorHAnsi" w:hAnsiTheme="minorHAnsi"/>
        </w:rPr>
        <w:t xml:space="preserve"> Ilyen események lehetnek az elmaradt hasznok, a majdnem veszteségek (near miss) és a nem számszerűsíthető hatású káresemények.</w:t>
      </w:r>
    </w:p>
    <w:p w14:paraId="7FFFEBB6"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Az adatgyűjtésnek ki kell terjednie a hitel- és a piaci kockázathoz kapcsolódó működési kockázati eseményekre is. Az adatgyűjtés során az</w:t>
      </w:r>
      <w:r w:rsidRPr="00DD4330">
        <w:rPr>
          <w:rFonts w:asciiTheme="minorHAnsi" w:hAnsiTheme="minorHAnsi"/>
        </w:rPr>
        <w:t xml:space="preserve"> azonos kiváltó okra visszavezethető</w:t>
      </w:r>
      <w:r>
        <w:rPr>
          <w:rStyle w:val="Lbjegyzet-hivatkozs"/>
          <w:rFonts w:asciiTheme="minorHAnsi" w:hAnsiTheme="minorHAnsi"/>
        </w:rPr>
        <w:footnoteReference w:id="86"/>
      </w:r>
      <w:r w:rsidRPr="00DD4330">
        <w:rPr>
          <w:rFonts w:asciiTheme="minorHAnsi" w:hAnsiTheme="minorHAnsi"/>
        </w:rPr>
        <w:t>, azaz</w:t>
      </w:r>
      <w:r w:rsidRPr="006A6890">
        <w:rPr>
          <w:rFonts w:asciiTheme="minorHAnsi" w:hAnsiTheme="minorHAnsi"/>
        </w:rPr>
        <w:t xml:space="preserve"> eseménysorozatokhoz és az eseménycsoportokhoz kapcsolódó eseményeket külön jelölni szükséges.</w:t>
      </w:r>
    </w:p>
    <w:p w14:paraId="7FFFEBB7"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Pr>
          <w:rFonts w:asciiTheme="minorHAnsi" w:hAnsiTheme="minorHAnsi"/>
        </w:rPr>
        <w:t xml:space="preserve"> </w:t>
      </w:r>
      <w:r w:rsidRPr="00471F6F">
        <w:rPr>
          <w:rFonts w:asciiTheme="minorHAnsi" w:hAnsiTheme="minorHAnsi"/>
        </w:rPr>
        <w:t>Amennyiben egy esemény az intézmény egészét vagy több üzletágat érint, az esemény az üzletágak között megosztandó</w:t>
      </w:r>
      <w:r>
        <w:rPr>
          <w:rFonts w:asciiTheme="minorHAnsi" w:hAnsiTheme="minorHAnsi"/>
        </w:rPr>
        <w:t>,</w:t>
      </w:r>
      <w:r w:rsidRPr="00471F6F">
        <w:rPr>
          <w:rFonts w:asciiTheme="minorHAnsi" w:hAnsiTheme="minorHAnsi"/>
        </w:rPr>
        <w:t xml:space="preserve"> vagy lehetővé kell tenni az összbanki eseményként történő besorolását.</w:t>
      </w:r>
      <w:r>
        <w:rPr>
          <w:rFonts w:asciiTheme="minorHAnsi" w:hAnsiTheme="minorHAnsi"/>
        </w:rPr>
        <w:t xml:space="preserve"> A több üzletágat érintő események besorolási gyakorlatáról a hatályos szabályzatban rendelkezni szükséges.</w:t>
      </w:r>
    </w:p>
    <w:p w14:paraId="7FFFEBB8"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 xml:space="preserve">A kockázati események hatásaként keletkező veszteségek </w:t>
      </w:r>
      <w:r>
        <w:rPr>
          <w:rFonts w:asciiTheme="minorHAnsi" w:hAnsiTheme="minorHAnsi"/>
        </w:rPr>
        <w:t>veszteségtípusba sorolása</w:t>
      </w:r>
      <w:r w:rsidRPr="006A6890">
        <w:rPr>
          <w:rFonts w:asciiTheme="minorHAnsi" w:hAnsiTheme="minorHAnsi"/>
        </w:rPr>
        <w:t xml:space="preserve"> szükséges, amely lehet leírás, jogi költség, bírság, meg nem térült visszkereset, ügyfél- és egyéb kártérítés, tárgyi eszköz veszteség, céltartalék, </w:t>
      </w:r>
      <w:r>
        <w:rPr>
          <w:rFonts w:asciiTheme="minorHAnsi" w:hAnsiTheme="minorHAnsi"/>
        </w:rPr>
        <w:t xml:space="preserve">jogosan járó </w:t>
      </w:r>
      <w:r w:rsidRPr="006A6890">
        <w:rPr>
          <w:rFonts w:asciiTheme="minorHAnsi" w:hAnsiTheme="minorHAnsi"/>
        </w:rPr>
        <w:t xml:space="preserve">elmaradt </w:t>
      </w:r>
      <w:r>
        <w:rPr>
          <w:rFonts w:asciiTheme="minorHAnsi" w:hAnsiTheme="minorHAnsi"/>
        </w:rPr>
        <w:t>bevétel</w:t>
      </w:r>
      <w:r w:rsidRPr="006A6890">
        <w:rPr>
          <w:rFonts w:asciiTheme="minorHAnsi" w:hAnsiTheme="minorHAnsi"/>
        </w:rPr>
        <w:t xml:space="preserve"> stb.</w:t>
      </w:r>
      <w:r>
        <w:rPr>
          <w:rFonts w:asciiTheme="minorHAnsi" w:hAnsiTheme="minorHAnsi"/>
        </w:rPr>
        <w:t xml:space="preserve"> A veszteségekhez hasonlóan a megtérülések típusba sorolása is szükséges, az intézmény által azonosított forrásoknak megfelelően.</w:t>
      </w:r>
    </w:p>
    <w:p w14:paraId="7FFFEBB9" w14:textId="77777777" w:rsidR="008A78E3" w:rsidRPr="006A6890" w:rsidRDefault="008A78E3" w:rsidP="00CD1B46">
      <w:pPr>
        <w:numPr>
          <w:ilvl w:val="0"/>
          <w:numId w:val="28"/>
        </w:numPr>
        <w:rPr>
          <w:rFonts w:asciiTheme="minorHAnsi" w:hAnsiTheme="minorHAnsi"/>
        </w:rPr>
      </w:pPr>
      <w:r w:rsidRPr="006A6890">
        <w:rPr>
          <w:rFonts w:asciiTheme="minorHAnsi" w:hAnsiTheme="minorHAnsi"/>
        </w:rPr>
        <w:t>A veszteségadat-gyűjtés teljeskörűsége érdekében az intézménynek gondoskod</w:t>
      </w:r>
      <w:r>
        <w:rPr>
          <w:rFonts w:asciiTheme="minorHAnsi" w:hAnsiTheme="minorHAnsi"/>
        </w:rPr>
        <w:t>n</w:t>
      </w:r>
      <w:r w:rsidRPr="006A6890">
        <w:rPr>
          <w:rFonts w:asciiTheme="minorHAnsi" w:hAnsiTheme="minorHAnsi"/>
        </w:rPr>
        <w:t xml:space="preserve">ia kell arról, hogy a tevékenységben részt vevő munkatársak </w:t>
      </w:r>
      <w:r>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7FFFEBBA" w14:textId="77777777" w:rsidR="008A78E3" w:rsidRPr="00877F8A" w:rsidRDefault="008A78E3" w:rsidP="00CD1B46">
      <w:pPr>
        <w:numPr>
          <w:ilvl w:val="0"/>
          <w:numId w:val="28"/>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Pr="006A6890">
        <w:rPr>
          <w:rFonts w:asciiTheme="minorHAnsi" w:hAnsiTheme="minorHAnsi"/>
        </w:rPr>
        <w:t>az intézménynek ki kell alakítani azt a kontrollmechanizmust, amely biztosítja az adatgyűjtési folyamat teljeskörűségét és megfelelőségét</w:t>
      </w:r>
      <w:r>
        <w:rPr>
          <w:rFonts w:asciiTheme="minorHAnsi" w:hAnsiTheme="minorHAnsi"/>
        </w:rPr>
        <w:t>,</w:t>
      </w:r>
      <w:r w:rsidRPr="006A6890">
        <w:rPr>
          <w:rFonts w:asciiTheme="minorHAnsi" w:hAnsiTheme="minorHAnsi"/>
        </w:rPr>
        <w:t xml:space="preserve"> és azt át kell ültetni a rendszeres monitoringtevékenységébe. </w:t>
      </w:r>
      <w:r>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7FFFEBBB" w14:textId="77777777" w:rsidR="008A78E3" w:rsidRPr="00E87D60" w:rsidRDefault="008A78E3" w:rsidP="00CD1B46">
      <w:pPr>
        <w:pStyle w:val="Listaszerbekezds"/>
        <w:numPr>
          <w:ilvl w:val="0"/>
          <w:numId w:val="28"/>
        </w:numPr>
        <w:rPr>
          <w:rFonts w:asciiTheme="minorHAnsi" w:hAnsiTheme="minorHAnsi"/>
        </w:rPr>
      </w:pPr>
      <w:r>
        <w:rPr>
          <w:rFonts w:asciiTheme="minorHAnsi" w:hAnsiTheme="minorHAnsi"/>
          <w:sz w:val="22"/>
          <w:szCs w:val="22"/>
        </w:rPr>
        <w:t>A fenti kontrollmechanizmus részeként a</w:t>
      </w:r>
      <w:r w:rsidRPr="006A6890">
        <w:rPr>
          <w:rFonts w:asciiTheme="minorHAnsi" w:hAnsiTheme="minorHAnsi"/>
          <w:sz w:val="22"/>
          <w:szCs w:val="22"/>
        </w:rPr>
        <w:t xml:space="preserve"> realizált veszteségek</w:t>
      </w:r>
      <w:r w:rsidRPr="00CE3686">
        <w:rPr>
          <w:rFonts w:asciiTheme="minorHAnsi" w:hAnsiTheme="minorHAnsi"/>
          <w:sz w:val="22"/>
        </w:rPr>
        <w:t xml:space="preserve"> </w:t>
      </w:r>
      <w:r>
        <w:rPr>
          <w:rFonts w:asciiTheme="minorHAnsi" w:hAnsiTheme="minorHAnsi"/>
          <w:sz w:val="22"/>
          <w:szCs w:val="22"/>
        </w:rPr>
        <w:t>főkönyvi vagy analitikus</w:t>
      </w:r>
      <w:r w:rsidRPr="006A6890">
        <w:rPr>
          <w:rFonts w:asciiTheme="minorHAnsi" w:hAnsiTheme="minorHAnsi"/>
          <w:sz w:val="22"/>
          <w:szCs w:val="22"/>
        </w:rPr>
        <w:t xml:space="preserve"> számviteli nyilvántartásokban történő azonosítása</w:t>
      </w:r>
      <w:r>
        <w:rPr>
          <w:rFonts w:asciiTheme="minorHAnsi" w:hAnsiTheme="minorHAnsi"/>
          <w:sz w:val="22"/>
          <w:szCs w:val="22"/>
        </w:rPr>
        <w:t xml:space="preserve"> szükséges</w:t>
      </w:r>
      <w:r w:rsidRPr="006A6890">
        <w:rPr>
          <w:rFonts w:asciiTheme="minorHAnsi" w:hAnsiTheme="minorHAnsi"/>
          <w:sz w:val="22"/>
          <w:szCs w:val="22"/>
        </w:rPr>
        <w:t xml:space="preserve"> a kétoldalú</w:t>
      </w:r>
      <w:r w:rsidRPr="004B5D1A">
        <w:rPr>
          <w:rFonts w:asciiTheme="minorHAnsi" w:hAnsiTheme="minorHAnsi"/>
          <w:sz w:val="22"/>
        </w:rPr>
        <w:t xml:space="preserve"> egyeztetés </w:t>
      </w:r>
      <w:r w:rsidRPr="006A6890">
        <w:rPr>
          <w:rFonts w:asciiTheme="minorHAnsi" w:hAnsiTheme="minorHAnsi"/>
          <w:sz w:val="22"/>
          <w:szCs w:val="22"/>
        </w:rPr>
        <w:t>módszerével</w:t>
      </w:r>
      <w:r>
        <w:rPr>
          <w:rFonts w:asciiTheme="minorHAnsi" w:hAnsiTheme="minorHAnsi"/>
          <w:sz w:val="22"/>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7FFFEBBC" w14:textId="77777777" w:rsidR="008A78E3" w:rsidRPr="00CD363D" w:rsidRDefault="008A78E3" w:rsidP="00CD1B46">
      <w:pPr>
        <w:numPr>
          <w:ilvl w:val="0"/>
          <w:numId w:val="28"/>
        </w:numPr>
        <w:rPr>
          <w:rFonts w:asciiTheme="minorHAnsi" w:hAnsiTheme="minorHAnsi"/>
        </w:rPr>
      </w:pPr>
      <w:r w:rsidRPr="006A6890">
        <w:rPr>
          <w:rFonts w:asciiTheme="minorHAnsi" w:hAnsiTheme="minorHAnsi"/>
        </w:rPr>
        <w:t xml:space="preserve">Az </w:t>
      </w:r>
      <w:r>
        <w:rPr>
          <w:rFonts w:asciiTheme="minorHAnsi" w:hAnsiTheme="minorHAnsi"/>
        </w:rPr>
        <w:t xml:space="preserve">adatgyűjtés során azonosott károk aggregáltan, a legnagyobb egyedi veszteségek pedig tételesen kerüljenek bemutatásra a menedzsment riportokban, </w:t>
      </w:r>
      <w:r w:rsidRPr="006A6890">
        <w:rPr>
          <w:rFonts w:asciiTheme="minorHAnsi" w:hAnsiTheme="minorHAnsi"/>
        </w:rPr>
        <w:t>a hozzá</w:t>
      </w:r>
      <w:r>
        <w:rPr>
          <w:rFonts w:asciiTheme="minorHAnsi" w:hAnsiTheme="minorHAnsi"/>
        </w:rPr>
        <w:t>juk</w:t>
      </w:r>
      <w:r w:rsidRPr="006A6890">
        <w:rPr>
          <w:rFonts w:asciiTheme="minorHAnsi" w:hAnsiTheme="minorHAnsi"/>
        </w:rPr>
        <w:t xml:space="preserve"> kapcsolódó kockázatcsökkentő intézkedésekkel együtt</w:t>
      </w:r>
      <w:r>
        <w:rPr>
          <w:rFonts w:asciiTheme="minorHAnsi" w:hAnsiTheme="minorHAnsi"/>
        </w:rPr>
        <w:t>.</w:t>
      </w:r>
    </w:p>
    <w:p w14:paraId="7FFFEBBD" w14:textId="77777777" w:rsidR="008A78E3" w:rsidRPr="00CE3686" w:rsidRDefault="008A78E3" w:rsidP="00EA0541">
      <w:pPr>
        <w:rPr>
          <w:rFonts w:asciiTheme="minorHAnsi" w:hAnsiTheme="minorHAnsi"/>
          <w:b/>
        </w:rPr>
      </w:pPr>
      <w:r w:rsidRPr="00CE3686">
        <w:rPr>
          <w:rFonts w:asciiTheme="minorHAnsi" w:hAnsiTheme="minorHAnsi"/>
          <w:b/>
        </w:rPr>
        <w:t>3. Kulcskockázati indikátorok (KRI-k)</w:t>
      </w:r>
    </w:p>
    <w:p w14:paraId="7FFFEBBE"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 xml:space="preserve">Az intézmény működési kockázati profilja kulcskockázati indikátorokkal megfelelően </w:t>
      </w:r>
      <w:r>
        <w:rPr>
          <w:rFonts w:asciiTheme="minorHAnsi" w:hAnsiTheme="minorHAnsi"/>
        </w:rPr>
        <w:t>–</w:t>
      </w:r>
      <w:r w:rsidRPr="006A6890">
        <w:rPr>
          <w:rFonts w:asciiTheme="minorHAnsi" w:hAnsiTheme="minorHAnsi"/>
        </w:rPr>
        <w:t xml:space="preserve"> azaz minden releváns üzletágra és eseménytípusra vonatkozóan </w:t>
      </w:r>
      <w:r>
        <w:rPr>
          <w:rFonts w:asciiTheme="minorHAnsi" w:hAnsiTheme="minorHAnsi"/>
        </w:rPr>
        <w:t>–</w:t>
      </w:r>
      <w:r w:rsidRPr="006A6890">
        <w:rPr>
          <w:rFonts w:asciiTheme="minorHAnsi" w:hAnsiTheme="minorHAnsi"/>
        </w:rPr>
        <w:t xml:space="preserve"> legyen lefedve, melyhez elengedhetetlen a kockázati profil rendszeres felmérése. A kockázatok teljes körű megragadása érdekében az MNB </w:t>
      </w:r>
      <w:r>
        <w:rPr>
          <w:rFonts w:asciiTheme="minorHAnsi" w:hAnsiTheme="minorHAnsi"/>
        </w:rPr>
        <w:t>elvárja</w:t>
      </w:r>
      <w:r w:rsidRPr="006A6890">
        <w:rPr>
          <w:rFonts w:asciiTheme="minorHAnsi" w:hAnsiTheme="minorHAnsi"/>
        </w:rPr>
        <w:t>, hogy az intézmény dokumentáltan vizsgálja meg a 13. sz</w:t>
      </w:r>
      <w:r>
        <w:rPr>
          <w:rFonts w:asciiTheme="minorHAnsi" w:hAnsiTheme="minorHAnsi"/>
        </w:rPr>
        <w:t>ámú</w:t>
      </w:r>
      <w:r w:rsidRPr="006A6890">
        <w:rPr>
          <w:rFonts w:asciiTheme="minorHAnsi" w:hAnsiTheme="minorHAnsi"/>
        </w:rPr>
        <w:t xml:space="preserve"> mellékletben lévő mutatók relevanciáját.</w:t>
      </w:r>
    </w:p>
    <w:p w14:paraId="7FFFEBBF"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A KRI lefedettség akkor tekinthető elfogadhatónak, ha az intézmény megfelelően alá tudja támasztani, hogy az üzemeltetett KRI mutató készlet a jelentős kockázatait valóban megragadja és megfelelően (tartalmi és küszöbérték relevancia) méri, illetve minden olyan</w:t>
      </w:r>
      <w:r>
        <w:rPr>
          <w:rFonts w:asciiTheme="minorHAnsi" w:hAnsiTheme="minorHAnsi"/>
        </w:rPr>
        <w:t xml:space="preserve"> jelentős</w:t>
      </w:r>
      <w:r w:rsidRPr="006A6890">
        <w:rPr>
          <w:rFonts w:asciiTheme="minorHAnsi" w:hAnsiTheme="minorHAnsi"/>
        </w:rPr>
        <w:t xml:space="preserve"> kockázatra került KRI megfogalmazásra, amelyre – jellegéből adódóan – nincs veszteségadat.</w:t>
      </w:r>
    </w:p>
    <w:p w14:paraId="7FFFEBC0"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p>
    <w:p w14:paraId="7FFFEBC1"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w:t>
      </w:r>
      <w:r>
        <w:rPr>
          <w:rFonts w:asciiTheme="minorHAnsi" w:hAnsiTheme="minorHAnsi"/>
        </w:rPr>
        <w:t>t</w:t>
      </w:r>
      <w:r w:rsidRPr="006A6890">
        <w:rPr>
          <w:rFonts w:asciiTheme="minorHAnsi" w:hAnsiTheme="minorHAnsi"/>
        </w:rPr>
        <w:t>kozóan, ha egy mutatószám értéke eléri a jelzési vagy a kritikus szintet.</w:t>
      </w:r>
    </w:p>
    <w:p w14:paraId="7FFFEBC2"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 xml:space="preserve">A kulcskockázati indikátorok </w:t>
      </w:r>
      <w:r>
        <w:rPr>
          <w:rFonts w:asciiTheme="minorHAnsi" w:hAnsiTheme="minorHAnsi"/>
        </w:rPr>
        <w:t xml:space="preserve">– legalább </w:t>
      </w:r>
      <w:r w:rsidRPr="006A6890">
        <w:rPr>
          <w:rFonts w:asciiTheme="minorHAnsi" w:hAnsiTheme="minorHAnsi"/>
        </w:rPr>
        <w:t>éves</w:t>
      </w:r>
      <w:r>
        <w:rPr>
          <w:rFonts w:asciiTheme="minorHAnsi" w:hAnsiTheme="minorHAnsi"/>
        </w:rPr>
        <w:t xml:space="preserve"> gyakoriságú –</w:t>
      </w:r>
      <w:r w:rsidRPr="006A6890">
        <w:rPr>
          <w:rFonts w:asciiTheme="minorHAnsi" w:hAnsiTheme="minorHAnsi"/>
        </w:rPr>
        <w:t xml:space="preserve"> relevancia és küszöbérték felülvizsgálata legyen biztosított és megfelelően dokumentált.</w:t>
      </w:r>
    </w:p>
    <w:p w14:paraId="7FFFEBC3" w14:textId="77777777" w:rsidR="008A78E3" w:rsidRPr="006A6890" w:rsidRDefault="008A78E3" w:rsidP="00CD1B46">
      <w:pPr>
        <w:numPr>
          <w:ilvl w:val="0"/>
          <w:numId w:val="27"/>
        </w:numPr>
        <w:rPr>
          <w:rFonts w:asciiTheme="minorHAnsi" w:hAnsiTheme="minorHAnsi"/>
        </w:rPr>
      </w:pPr>
      <w:r w:rsidRPr="006A6890">
        <w:rPr>
          <w:rFonts w:asciiTheme="minorHAnsi" w:hAnsiTheme="minorHAnsi"/>
        </w:rPr>
        <w:t>A kritikus szintet elérő mutatószámok és a hozzá kapcsolódó kockázatcsökkentő intézkedések képezzék részét a menedzsment riportoknak.</w:t>
      </w:r>
    </w:p>
    <w:p w14:paraId="7FFFEBC4" w14:textId="77777777" w:rsidR="008A78E3" w:rsidRPr="00CE3686" w:rsidRDefault="008A78E3" w:rsidP="00EA0541">
      <w:pPr>
        <w:rPr>
          <w:rFonts w:asciiTheme="minorHAnsi" w:hAnsiTheme="minorHAnsi"/>
          <w:b/>
        </w:rPr>
      </w:pPr>
      <w:r w:rsidRPr="00CE3686">
        <w:rPr>
          <w:rFonts w:asciiTheme="minorHAnsi" w:hAnsiTheme="minorHAnsi"/>
          <w:b/>
        </w:rPr>
        <w:t>4. Működési kockázati önértékelés</w:t>
      </w:r>
    </w:p>
    <w:p w14:paraId="7FFFEBC5" w14:textId="77777777" w:rsidR="008A78E3" w:rsidRPr="006A6890" w:rsidRDefault="008A78E3" w:rsidP="00CD1B46">
      <w:pPr>
        <w:pStyle w:val="Listaszerbekezds"/>
        <w:numPr>
          <w:ilvl w:val="0"/>
          <w:numId w:val="63"/>
        </w:numPr>
        <w:rPr>
          <w:rFonts w:asciiTheme="minorHAnsi" w:hAnsiTheme="minorHAnsi"/>
          <w:sz w:val="22"/>
          <w:szCs w:val="22"/>
        </w:rPr>
      </w:pPr>
      <w:r w:rsidRPr="004B5D1A">
        <w:rPr>
          <w:rFonts w:asciiTheme="minorHAnsi" w:hAnsiTheme="minorHAnsi"/>
          <w:sz w:val="22"/>
        </w:rPr>
        <w:t xml:space="preserve">Az intézmény végezzen </w:t>
      </w:r>
      <w:r w:rsidRPr="006A6890">
        <w:rPr>
          <w:rFonts w:asciiTheme="minorHAnsi" w:hAnsiTheme="minorHAnsi"/>
          <w:sz w:val="22"/>
          <w:szCs w:val="22"/>
        </w:rPr>
        <w:t>rendszeres</w:t>
      </w:r>
      <w:r w:rsidRPr="004B5D1A">
        <w:rPr>
          <w:rFonts w:asciiTheme="minorHAnsi" w:hAnsiTheme="minorHAnsi"/>
          <w:sz w:val="22"/>
        </w:rPr>
        <w:t xml:space="preserve"> működési kockázati önértékelést, </w:t>
      </w:r>
      <w:r w:rsidRPr="006A6890">
        <w:rPr>
          <w:rFonts w:asciiTheme="minorHAnsi" w:hAnsiTheme="minorHAnsi"/>
          <w:sz w:val="22"/>
          <w:szCs w:val="22"/>
        </w:rPr>
        <w:t>mely legalább kétéves ciklusban lefedi a teljes szervezetet.</w:t>
      </w:r>
    </w:p>
    <w:p w14:paraId="7FFFEBC6" w14:textId="77777777" w:rsidR="008A78E3" w:rsidRPr="006A6890" w:rsidRDefault="008A78E3" w:rsidP="00CD1B46">
      <w:pPr>
        <w:numPr>
          <w:ilvl w:val="0"/>
          <w:numId w:val="63"/>
        </w:numPr>
        <w:rPr>
          <w:rFonts w:asciiTheme="minorHAnsi" w:hAnsiTheme="minorHAnsi"/>
        </w:rPr>
      </w:pPr>
      <w:r w:rsidRPr="006A6890">
        <w:rPr>
          <w:rFonts w:asciiTheme="minorHAnsi" w:hAnsiTheme="minorHAnsi"/>
        </w:rPr>
        <w:t>A tevékenység terjedjen ki az önértékelésbe bevont folyamatok/szervezeti egységek kockázatainak és kontrolljainak azonosítására és értékelésére. A kockázatok és kontrollok értékelésére az intézménynek kvantitatív vagy kvalitatív skálát kell kialakítani, amely biztosítja az azonosított inherens és reziduális kockázatok egymáshoz való viszonyítását.</w:t>
      </w:r>
    </w:p>
    <w:p w14:paraId="7FFFEBC7" w14:textId="77777777" w:rsidR="008A78E3" w:rsidRPr="006A6890" w:rsidRDefault="008A78E3" w:rsidP="00CD1B46">
      <w:pPr>
        <w:numPr>
          <w:ilvl w:val="0"/>
          <w:numId w:val="63"/>
        </w:numPr>
        <w:rPr>
          <w:rFonts w:asciiTheme="minorHAnsi" w:hAnsiTheme="minorHAnsi"/>
        </w:rPr>
      </w:pPr>
      <w:r w:rsidRPr="006A6890">
        <w:rPr>
          <w:rFonts w:asciiTheme="minorHAnsi" w:hAnsiTheme="minorHAnsi"/>
        </w:rPr>
        <w:t>Elvárt, hogy az intézmény az önértékelés során a folyamatok értékeléséhez a kockázati profilnak megfelelő, kiegészítő informác</w:t>
      </w:r>
      <w:r>
        <w:rPr>
          <w:rFonts w:asciiTheme="minorHAnsi" w:hAnsiTheme="minorHAnsi"/>
        </w:rPr>
        <w:t>i</w:t>
      </w:r>
      <w:r w:rsidRPr="006A6890">
        <w:rPr>
          <w:rFonts w:asciiTheme="minorHAnsi" w:hAnsiTheme="minorHAnsi"/>
        </w:rPr>
        <w:t>ókat (pl.: veszteségadatok, kulcskockázati indikátorok, szcenáriók, sajtóhírek) biztosítson a résztvevők számára.</w:t>
      </w:r>
    </w:p>
    <w:p w14:paraId="7FFFEBC8" w14:textId="77777777" w:rsidR="008A78E3" w:rsidRPr="006A6890" w:rsidRDefault="008A78E3" w:rsidP="00CD1B46">
      <w:pPr>
        <w:numPr>
          <w:ilvl w:val="0"/>
          <w:numId w:val="63"/>
        </w:numPr>
        <w:rPr>
          <w:rFonts w:asciiTheme="minorHAnsi" w:hAnsiTheme="minorHAnsi"/>
        </w:rPr>
      </w:pPr>
      <w:r w:rsidRPr="006A6890">
        <w:rPr>
          <w:rFonts w:asciiTheme="minorHAnsi" w:hAnsiTheme="minorHAnsi"/>
        </w:rPr>
        <w:t>Az önértékelés</w:t>
      </w:r>
      <w:r>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7FFFEBC9" w14:textId="77777777" w:rsidR="008A78E3" w:rsidRPr="00CE3686" w:rsidRDefault="008A78E3" w:rsidP="00EA0541">
      <w:pPr>
        <w:rPr>
          <w:rFonts w:asciiTheme="minorHAnsi" w:hAnsiTheme="minorHAnsi"/>
          <w:b/>
        </w:rPr>
      </w:pPr>
      <w:r w:rsidRPr="00CE3686">
        <w:rPr>
          <w:rFonts w:asciiTheme="minorHAnsi" w:hAnsiTheme="minorHAnsi"/>
          <w:b/>
        </w:rPr>
        <w:t>5. Forgatókönyv-elemzés</w:t>
      </w:r>
    </w:p>
    <w:p w14:paraId="7FFFEBCA" w14:textId="77777777" w:rsidR="008A78E3" w:rsidRPr="00EC6B0B" w:rsidRDefault="008A78E3" w:rsidP="00CD1B46">
      <w:pPr>
        <w:pStyle w:val="Listaszerbekezds"/>
        <w:numPr>
          <w:ilvl w:val="0"/>
          <w:numId w:val="77"/>
        </w:numPr>
        <w:rPr>
          <w:rFonts w:asciiTheme="minorHAnsi" w:hAnsiTheme="minorHAnsi"/>
        </w:rPr>
      </w:pPr>
      <w:r w:rsidRPr="00CE3686">
        <w:rPr>
          <w:rFonts w:asciiTheme="minorHAnsi" w:hAnsiTheme="minorHAnsi"/>
          <w:sz w:val="22"/>
        </w:rPr>
        <w:t xml:space="preserve">Az intézmény mérje fel a magas veszteséggel járó, alacsony gyakoriságú események kockázatát szcenárióelemzések keretében. Elvárt, hogy az intézmény minden bázeli eseménykategóriát fedjen le forgatókönyvvel. A kockázatok teljes körű megragadása érdekében az MNB </w:t>
      </w:r>
      <w:r>
        <w:rPr>
          <w:rFonts w:asciiTheme="minorHAnsi" w:hAnsiTheme="minorHAnsi"/>
          <w:sz w:val="22"/>
          <w:szCs w:val="22"/>
        </w:rPr>
        <w:t>elvárja</w:t>
      </w:r>
      <w:r w:rsidRPr="00CE3686">
        <w:rPr>
          <w:rFonts w:asciiTheme="minorHAnsi" w:hAnsiTheme="minorHAnsi"/>
          <w:sz w:val="22"/>
        </w:rPr>
        <w:t>, hogy az intézmény dokumentáltan vizsgálja meg a 13</w:t>
      </w:r>
      <w:r>
        <w:rPr>
          <w:rFonts w:asciiTheme="minorHAnsi" w:hAnsiTheme="minorHAnsi"/>
          <w:sz w:val="22"/>
          <w:szCs w:val="22"/>
        </w:rPr>
        <w:t>.</w:t>
      </w:r>
      <w:r w:rsidRPr="00EC6B0B">
        <w:rPr>
          <w:rFonts w:asciiTheme="minorHAnsi" w:hAnsiTheme="minorHAnsi"/>
          <w:sz w:val="22"/>
          <w:szCs w:val="22"/>
        </w:rPr>
        <w:t xml:space="preserve"> sz</w:t>
      </w:r>
      <w:r>
        <w:rPr>
          <w:rFonts w:asciiTheme="minorHAnsi" w:hAnsiTheme="minorHAnsi"/>
          <w:sz w:val="22"/>
          <w:szCs w:val="22"/>
        </w:rPr>
        <w:t>ámú</w:t>
      </w:r>
      <w:r w:rsidRPr="00CE3686">
        <w:rPr>
          <w:rFonts w:asciiTheme="minorHAnsi" w:hAnsiTheme="minorHAnsi"/>
          <w:sz w:val="22"/>
        </w:rPr>
        <w:t xml:space="preserve"> mellékletben lévő szcenáriók relevanciáját.</w:t>
      </w:r>
    </w:p>
    <w:p w14:paraId="7FFFEBCB" w14:textId="77777777" w:rsidR="008A78E3" w:rsidRPr="006A6890" w:rsidRDefault="008A78E3" w:rsidP="00CD1B46">
      <w:pPr>
        <w:numPr>
          <w:ilvl w:val="0"/>
          <w:numId w:val="26"/>
        </w:numPr>
        <w:rPr>
          <w:rFonts w:asciiTheme="minorHAnsi" w:hAnsiTheme="minorHAnsi"/>
        </w:rPr>
      </w:pPr>
      <w:r w:rsidRPr="006A6890">
        <w:rPr>
          <w:rFonts w:asciiTheme="minorHAnsi" w:hAnsiTheme="minorHAnsi"/>
        </w:rPr>
        <w:t>A forgatóköny</w:t>
      </w:r>
      <w:r>
        <w:rPr>
          <w:rFonts w:asciiTheme="minorHAnsi" w:hAnsiTheme="minorHAnsi"/>
        </w:rPr>
        <w:t>v</w:t>
      </w:r>
      <w:r w:rsidRPr="006A6890">
        <w:rPr>
          <w:rFonts w:asciiTheme="minorHAnsi" w:hAnsiTheme="minorHAnsi"/>
        </w:rPr>
        <w:t>-elemzésbe minden témát érintő releváns szakterületet be kell vonni. Az MNB jó gyakorlatnak tartja a workshop alapú becslést, Delphi módszer alkalmazásával, illetve azt is, ha az intézmény a működési kockázati önértékelést egészíti ki worst case esetekre.</w:t>
      </w:r>
    </w:p>
    <w:p w14:paraId="7FFFEBCC" w14:textId="77777777" w:rsidR="008A78E3" w:rsidRPr="006A6890" w:rsidRDefault="008A78E3" w:rsidP="00CD1B46">
      <w:pPr>
        <w:numPr>
          <w:ilvl w:val="0"/>
          <w:numId w:val="26"/>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w:t>
      </w:r>
      <w:r>
        <w:rPr>
          <w:rFonts w:asciiTheme="minorHAnsi" w:hAnsiTheme="minorHAnsi"/>
        </w:rPr>
        <w:t>i</w:t>
      </w:r>
      <w:r w:rsidRPr="006A6890">
        <w:rPr>
          <w:rFonts w:asciiTheme="minorHAnsi" w:hAnsiTheme="minorHAnsi"/>
        </w:rPr>
        <w:t>ókat (pl.</w:t>
      </w:r>
      <w:r>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FFFEBCD" w14:textId="77777777" w:rsidR="008A78E3" w:rsidRPr="006A6890" w:rsidRDefault="008A78E3" w:rsidP="00CD1B46">
      <w:pPr>
        <w:numPr>
          <w:ilvl w:val="0"/>
          <w:numId w:val="26"/>
        </w:numPr>
        <w:rPr>
          <w:rFonts w:asciiTheme="minorHAnsi" w:hAnsiTheme="minorHAnsi"/>
        </w:rPr>
      </w:pPr>
      <w:r w:rsidRPr="006A6890">
        <w:rPr>
          <w:rFonts w:asciiTheme="minorHAnsi" w:hAnsiTheme="minorHAnsi"/>
        </w:rPr>
        <w:t>Az intézménynek indokolnia kell a szcenárióelemzésben – az előző évhez képest – bekövetkezett változásokat, mind a szcenárió megfogalmazása, mind a súlyossági és gyakorisági becslés esetében.</w:t>
      </w:r>
    </w:p>
    <w:p w14:paraId="7FFFEBCE" w14:textId="77777777" w:rsidR="008A78E3" w:rsidRPr="006A6890" w:rsidRDefault="008A78E3" w:rsidP="00CD1B46">
      <w:pPr>
        <w:numPr>
          <w:ilvl w:val="0"/>
          <w:numId w:val="26"/>
        </w:numPr>
        <w:rPr>
          <w:rFonts w:asciiTheme="minorHAnsi" w:hAnsiTheme="minorHAnsi"/>
        </w:rPr>
      </w:pPr>
      <w:r w:rsidRPr="006A6890">
        <w:rPr>
          <w:rFonts w:asciiTheme="minorHAnsi" w:hAnsiTheme="minorHAnsi"/>
        </w:rPr>
        <w:t>Elvárt, hogy az intézmény végezze el a szcenáriók konzisztencia-vizsgálatát, azaz az eredmények validálását (pl.</w:t>
      </w:r>
      <w:r>
        <w:rPr>
          <w:rFonts w:asciiTheme="minorHAnsi" w:hAnsiTheme="minorHAnsi"/>
        </w:rPr>
        <w:t>:</w:t>
      </w:r>
      <w:r w:rsidRPr="006A6890">
        <w:rPr>
          <w:rFonts w:asciiTheme="minorHAnsi" w:hAnsiTheme="minorHAnsi"/>
        </w:rPr>
        <w:t xml:space="preserve"> a becsült paraméterek külső- és belső veszteségadatokkal az intézmény vagyonával és jövedelmével való összevetésével) annak érdekében, hogy az intézmény méretét meghaladó szcenáriók ne kerüljenek megfogalmazásra.</w:t>
      </w:r>
    </w:p>
    <w:p w14:paraId="7FFFEBCF" w14:textId="77777777" w:rsidR="008A78E3" w:rsidRPr="006A6890" w:rsidRDefault="008A78E3" w:rsidP="00CD1B46">
      <w:pPr>
        <w:numPr>
          <w:ilvl w:val="0"/>
          <w:numId w:val="26"/>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7FFFEBD0" w14:textId="77777777" w:rsidR="008A78E3" w:rsidRPr="00CE3686" w:rsidRDefault="008A78E3" w:rsidP="00EA0541">
      <w:pPr>
        <w:rPr>
          <w:rFonts w:asciiTheme="minorHAnsi" w:hAnsiTheme="minorHAnsi"/>
          <w:b/>
        </w:rPr>
      </w:pPr>
      <w:r w:rsidRPr="00CE3686">
        <w:rPr>
          <w:rFonts w:asciiTheme="minorHAnsi" w:hAnsiTheme="minorHAnsi"/>
          <w:b/>
        </w:rPr>
        <w:t>6. Kockázatcsökkentő intézkedések nyilvántartása és nyomon követése</w:t>
      </w:r>
    </w:p>
    <w:p w14:paraId="7FFFEBD1" w14:textId="77777777" w:rsidR="008A78E3" w:rsidRDefault="008A78E3" w:rsidP="00CD1B46">
      <w:pPr>
        <w:numPr>
          <w:ilvl w:val="0"/>
          <w:numId w:val="25"/>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7FFFEBD2" w14:textId="77777777" w:rsidR="008A78E3" w:rsidRPr="006A6890" w:rsidRDefault="008A78E3" w:rsidP="00CD1B46">
      <w:pPr>
        <w:numPr>
          <w:ilvl w:val="0"/>
          <w:numId w:val="25"/>
        </w:numPr>
        <w:rPr>
          <w:rFonts w:asciiTheme="minorHAnsi" w:hAnsiTheme="minorHAnsi"/>
        </w:rPr>
      </w:pPr>
      <w:r w:rsidRPr="006A6890">
        <w:rPr>
          <w:rFonts w:asciiTheme="minorHAnsi" w:hAnsiTheme="minorHAnsi"/>
        </w:rPr>
        <w:t>Az intézmény a kockázatcsökkentő intézkedéseket minden releváns forrásból (veszteségadatok, KRI-k, önértékelés, szcenárióelemzés stb.), egységes struktúrában gyűjtse, melyre vonatkozóan minimálisan rögzítendő az intézkedés forrása, leírása, státusza, felelőse, határideje.</w:t>
      </w:r>
    </w:p>
    <w:p w14:paraId="7FFFEBD3" w14:textId="77777777" w:rsidR="008A78E3" w:rsidRPr="006A6890" w:rsidRDefault="008A78E3" w:rsidP="00CD1B46">
      <w:pPr>
        <w:numPr>
          <w:ilvl w:val="0"/>
          <w:numId w:val="25"/>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7FFFEBD4" w14:textId="77777777" w:rsidR="008A78E3" w:rsidRPr="006A6890" w:rsidRDefault="008A78E3" w:rsidP="00CD1B46">
      <w:pPr>
        <w:numPr>
          <w:ilvl w:val="0"/>
          <w:numId w:val="25"/>
        </w:numPr>
        <w:rPr>
          <w:rFonts w:asciiTheme="minorHAnsi" w:hAnsiTheme="minorHAnsi"/>
        </w:rPr>
      </w:pPr>
      <w:r w:rsidRPr="006A6890">
        <w:rPr>
          <w:rFonts w:asciiTheme="minorHAnsi" w:hAnsiTheme="minorHAnsi"/>
        </w:rPr>
        <w:t>Az intézmény – az általa meghatározott kritériumok alapján</w:t>
      </w:r>
      <w:r>
        <w:rPr>
          <w:rFonts w:asciiTheme="minorHAnsi" w:hAnsiTheme="minorHAnsi"/>
        </w:rPr>
        <w:t>, kvantitatív és kvalitatív módon</w:t>
      </w:r>
      <w:r w:rsidRPr="006A6890">
        <w:rPr>
          <w:rFonts w:asciiTheme="minorHAnsi" w:hAnsiTheme="minorHAnsi"/>
        </w:rPr>
        <w:t xml:space="preserve"> – rendszeres</w:t>
      </w:r>
      <w:r>
        <w:rPr>
          <w:rFonts w:asciiTheme="minorHAnsi" w:hAnsiTheme="minorHAnsi"/>
        </w:rPr>
        <w:t>en, de legalább éves gyakorisággal</w:t>
      </w:r>
      <w:r w:rsidRPr="006A6890">
        <w:rPr>
          <w:rFonts w:asciiTheme="minorHAnsi" w:hAnsiTheme="minorHAnsi"/>
        </w:rPr>
        <w:t xml:space="preserve"> mérje vissza azt, hogy a</w:t>
      </w:r>
      <w:r>
        <w:rPr>
          <w:rFonts w:asciiTheme="minorHAnsi" w:hAnsiTheme="minorHAnsi"/>
        </w:rPr>
        <w:t>z adott évben</w:t>
      </w:r>
      <w:r w:rsidRPr="006A6890">
        <w:rPr>
          <w:rFonts w:asciiTheme="minorHAnsi" w:hAnsiTheme="minorHAnsi"/>
        </w:rPr>
        <w:t xml:space="preserve"> lezárt kockázatcsökkentő intézkedés betöltötte-e a célját. </w:t>
      </w:r>
    </w:p>
    <w:p w14:paraId="7FFFEBD5" w14:textId="77777777" w:rsidR="008A78E3" w:rsidRPr="006A6890" w:rsidRDefault="008A78E3" w:rsidP="00CD1B46">
      <w:pPr>
        <w:numPr>
          <w:ilvl w:val="0"/>
          <w:numId w:val="30"/>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7FFFEBD6" w14:textId="77777777" w:rsidR="008A78E3" w:rsidRPr="006A6890" w:rsidRDefault="008A78E3"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7FFFEBD7" w14:textId="77777777" w:rsidR="008A78E3" w:rsidRPr="006A6890" w:rsidRDefault="008A78E3"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tőkekövetelmény-számítás esetén az intézményeknek fel kell mérnie saját (egyedi) kockázati kitettségét is, továbbá ismernie kell a tőkeszükséglet érzékenységét a modell bemeneti változóinak módosulására (azaz a tőkekövetelmény számítására alkalmazott csoportszintű modell felépítését, módszertanát, paramétereit helyi, szakértői szinten is ismernie kell),</w:t>
      </w:r>
    </w:p>
    <w:p w14:paraId="7FFFEBD8" w14:textId="77777777" w:rsidR="008A78E3" w:rsidRPr="006A6890" w:rsidRDefault="008A78E3"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Pr>
          <w:rFonts w:asciiTheme="minorHAnsi" w:hAnsiTheme="minorHAnsi"/>
        </w:rPr>
        <w:t>vállalat</w:t>
      </w:r>
      <w:r w:rsidRPr="006A6890">
        <w:rPr>
          <w:rFonts w:asciiTheme="minorHAnsi" w:hAnsiTheme="minorHAnsi"/>
        </w:rPr>
        <w:t xml:space="preserve"> által üzemeltetett belső modell segítségével, a </w:t>
      </w:r>
      <w:r>
        <w:rPr>
          <w:rFonts w:asciiTheme="minorHAnsi" w:hAnsiTheme="minorHAnsi"/>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p>
    <w:p w14:paraId="7FFFEBD9" w14:textId="77777777" w:rsidR="008A78E3" w:rsidRPr="006A6890" w:rsidRDefault="008A78E3"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tőkekövetelmény-számításban felhasznált veszteségadatok teljeskörűségét és reprezentativitását – csakúgy, mint az illesztett függvények és alkalmazott szcenáriók paramétereinek megfelelőségét – demonstrálni kell,</w:t>
      </w:r>
    </w:p>
    <w:p w14:paraId="7FFFEBDA" w14:textId="77777777" w:rsidR="008A78E3" w:rsidRPr="006A6890" w:rsidRDefault="008A78E3" w:rsidP="00181755">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a belső tőkekövetelmény számításához felhasznált információk (veszteségadatok, önértékelési és szcenárióelemzési eredmények, stressz-tesztek, KRI-mutatók stb.) kerüljenek felhasználásra a kockázatkezelés során </w:t>
      </w:r>
      <w:r w:rsidRPr="004B5D1A">
        <w:rPr>
          <w:rFonts w:asciiTheme="minorHAnsi" w:hAnsiTheme="minorHAnsi"/>
        </w:rPr>
        <w:t>a</w:t>
      </w:r>
      <w:r w:rsidRPr="006A6890">
        <w:rPr>
          <w:rFonts w:asciiTheme="minorHAnsi" w:hAnsiTheme="minorHAnsi"/>
        </w:rPr>
        <w:t xml:space="preserve"> kockázati kitettség mérséklése végett.</w:t>
      </w:r>
    </w:p>
    <w:p w14:paraId="7FFFEBDB" w14:textId="77777777" w:rsidR="008A78E3" w:rsidRPr="006A6890" w:rsidRDefault="008A78E3" w:rsidP="00EA0541">
      <w:pPr>
        <w:rPr>
          <w:rFonts w:asciiTheme="minorHAnsi" w:hAnsiTheme="minorHAnsi"/>
        </w:rPr>
      </w:pPr>
      <w:r w:rsidRPr="006A6890">
        <w:rPr>
          <w:rFonts w:asciiTheme="minorHAnsi" w:hAnsiTheme="minorHAnsi"/>
        </w:rPr>
        <w:t>Mivel a működési kockázati fejlett módszerek esetén a kvalitatív követelmények legalább annyira hangsúlyosak, mint az alkalmazott tőkekövetelmény-számítási modell specifikációja, ezért az MNB a fejlett módszer eredményét csak akkor tudja tőkekövetelményként elfogadni, ha a fent említett területeken az intézmény átgondolt és magas színvonalú munkát végez.</w:t>
      </w:r>
    </w:p>
    <w:p w14:paraId="7FFFEBDC" w14:textId="77777777" w:rsidR="008A78E3" w:rsidRDefault="008A78E3"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w:t>
      </w:r>
      <w:r>
        <w:rPr>
          <w:rFonts w:asciiTheme="minorHAnsi" w:hAnsiTheme="minorHAnsi"/>
        </w:rPr>
        <w:t>mely után</w:t>
      </w:r>
      <w:r w:rsidRPr="006A6890">
        <w:rPr>
          <w:rFonts w:asciiTheme="minorHAnsi" w:hAnsiTheme="minorHAnsi"/>
        </w:rPr>
        <w:t xml:space="preserve"> ezek a szabályok lesznek majd kötelezőek a hazai intézményekre is. </w:t>
      </w:r>
      <w:r>
        <w:rPr>
          <w:rFonts w:asciiTheme="minorHAnsi" w:hAnsiTheme="minorHAnsi"/>
        </w:rPr>
        <w:t>Mivel</w:t>
      </w:r>
      <w:r w:rsidRPr="006A6890">
        <w:rPr>
          <w:rFonts w:asciiTheme="minorHAnsi" w:hAnsiTheme="minorHAnsi"/>
        </w:rPr>
        <w:t xml:space="preserve"> a hatályba lépés </w:t>
      </w:r>
      <w:r>
        <w:rPr>
          <w:rFonts w:asciiTheme="minorHAnsi" w:hAnsiTheme="minorHAnsi"/>
        </w:rPr>
        <w:t>tervezett</w:t>
      </w:r>
      <w:r w:rsidRPr="006A6890">
        <w:rPr>
          <w:rFonts w:asciiTheme="minorHAnsi" w:hAnsiTheme="minorHAnsi"/>
        </w:rPr>
        <w:t xml:space="preserve"> dátuma </w:t>
      </w:r>
      <w:r>
        <w:rPr>
          <w:rFonts w:asciiTheme="minorHAnsi" w:hAnsiTheme="minorHAnsi"/>
        </w:rPr>
        <w:t>2025. január 1.</w:t>
      </w:r>
      <w:r>
        <w:rPr>
          <w:rStyle w:val="Lbjegyzet-hivatkozs"/>
          <w:rFonts w:asciiTheme="minorHAnsi" w:hAnsiTheme="minorHAnsi"/>
        </w:rPr>
        <w:footnoteReference w:id="87"/>
      </w:r>
      <w:r w:rsidRPr="006A6890">
        <w:rPr>
          <w:rFonts w:asciiTheme="minorHAnsi" w:hAnsiTheme="minorHAnsi"/>
        </w:rPr>
        <w:t xml:space="preserve">, </w:t>
      </w:r>
      <w:r>
        <w:rPr>
          <w:rFonts w:asciiTheme="minorHAnsi" w:hAnsiTheme="minorHAnsi"/>
        </w:rPr>
        <w:t>ezért</w:t>
      </w:r>
      <w:r w:rsidRPr="006A6890">
        <w:rPr>
          <w:rFonts w:asciiTheme="minorHAnsi" w:hAnsiTheme="minorHAnsi"/>
        </w:rPr>
        <w:t xml:space="preserve"> az MNB az új 1. pilléres módszertanra való időben történő felkészülés érdekében elvárja </w:t>
      </w:r>
      <w:r>
        <w:rPr>
          <w:rFonts w:asciiTheme="minorHAnsi" w:hAnsiTheme="minorHAnsi"/>
        </w:rPr>
        <w:t xml:space="preserve">ICAAP keretében </w:t>
      </w:r>
      <w:r w:rsidRPr="006A6890">
        <w:rPr>
          <w:rFonts w:asciiTheme="minorHAnsi" w:hAnsiTheme="minorHAnsi"/>
        </w:rPr>
        <w:t>az intézményektől az SMA módszertan szerinti tőkekövetelmény</w:t>
      </w:r>
      <w:r>
        <w:rPr>
          <w:rFonts w:asciiTheme="minorHAnsi" w:hAnsiTheme="minorHAnsi"/>
        </w:rPr>
        <w:t xml:space="preserve"> – jelenleg ismert szabályok szerinti –</w:t>
      </w:r>
      <w:r w:rsidRPr="006A6890">
        <w:rPr>
          <w:rFonts w:asciiTheme="minorHAnsi" w:hAnsiTheme="minorHAnsi"/>
        </w:rPr>
        <w:t xml:space="preserve"> rendszeres, legalább éves gyakoriságú számszerűsítését is.</w:t>
      </w:r>
    </w:p>
    <w:p w14:paraId="7FFFEBDD" w14:textId="77777777" w:rsidR="008A78E3" w:rsidRPr="006A6890" w:rsidRDefault="008A78E3" w:rsidP="00EA0541">
      <w:pPr>
        <w:rPr>
          <w:rFonts w:asciiTheme="minorHAnsi" w:hAnsiTheme="minorHAnsi"/>
        </w:rPr>
      </w:pPr>
      <w:r>
        <w:rPr>
          <w:rFonts w:asciiTheme="minorHAnsi" w:hAnsiTheme="minorHAnsi"/>
        </w:rPr>
        <w:t>A</w:t>
      </w:r>
      <w:r w:rsidRPr="006A6890">
        <w:rPr>
          <w:rFonts w:asciiTheme="minorHAnsi" w:hAnsiTheme="minorHAnsi"/>
        </w:rPr>
        <w:t xml:space="preserve">z MNB </w:t>
      </w:r>
      <w:r>
        <w:rPr>
          <w:rFonts w:asciiTheme="minorHAnsi" w:hAnsiTheme="minorHAnsi"/>
        </w:rPr>
        <w:t>minden intézmény tekintetében elvárja</w:t>
      </w:r>
      <w:r w:rsidRPr="006A6890">
        <w:rPr>
          <w:rFonts w:asciiTheme="minorHAnsi" w:hAnsiTheme="minorHAnsi"/>
        </w:rPr>
        <w:t xml:space="preserve"> az aktuális tőkekövetelmény szint összevetését a számított SMA értékkel. Amennyiben a</w:t>
      </w:r>
      <w:r>
        <w:rPr>
          <w:rFonts w:asciiTheme="minorHAnsi" w:hAnsiTheme="minorHAnsi"/>
        </w:rPr>
        <w:t xml:space="preserve"> beállított</w:t>
      </w:r>
      <w:r w:rsidRPr="006A6890">
        <w:rPr>
          <w:rFonts w:asciiTheme="minorHAnsi" w:hAnsiTheme="minorHAnsi"/>
        </w:rPr>
        <w:t xml:space="preserve"> tőke</w:t>
      </w:r>
      <w:r>
        <w:rPr>
          <w:rFonts w:asciiTheme="minorHAnsi" w:hAnsiTheme="minorHAnsi"/>
        </w:rPr>
        <w:t>szükséglet</w:t>
      </w:r>
      <w:r w:rsidRPr="006A6890">
        <w:rPr>
          <w:rFonts w:asciiTheme="minorHAnsi" w:hAnsiTheme="minorHAnsi"/>
        </w:rPr>
        <w:t xml:space="preserve"> jelentősen alacsonyabb, mint a</w:t>
      </w:r>
      <w:r>
        <w:rPr>
          <w:rFonts w:asciiTheme="minorHAnsi" w:hAnsiTheme="minorHAnsi"/>
        </w:rPr>
        <w:t xml:space="preserve">z SMA </w:t>
      </w:r>
      <w:r w:rsidRPr="006A6890">
        <w:rPr>
          <w:rFonts w:asciiTheme="minorHAnsi" w:hAnsiTheme="minorHAnsi"/>
        </w:rPr>
        <w:t xml:space="preserve">módszerrel kalkulált érték, </w:t>
      </w:r>
      <w:r>
        <w:rPr>
          <w:rFonts w:asciiTheme="minorHAnsi" w:hAnsiTheme="minorHAnsi"/>
        </w:rPr>
        <w:t>elvárt az eltérés részletes indoklása, vagy a</w:t>
      </w:r>
      <w:r w:rsidRPr="006A6890">
        <w:rPr>
          <w:rFonts w:asciiTheme="minorHAnsi" w:hAnsiTheme="minorHAnsi"/>
        </w:rPr>
        <w:t xml:space="preserve"> különbség figyelembe vétele a 2. pilléres tőkeszámban.</w:t>
      </w:r>
    </w:p>
    <w:p w14:paraId="7FFFEBDE" w14:textId="77777777" w:rsidR="008A78E3" w:rsidRPr="006A6890" w:rsidRDefault="008A78E3" w:rsidP="00EA0541">
      <w:pPr>
        <w:rPr>
          <w:rFonts w:asciiTheme="minorHAnsi" w:hAnsiTheme="minorHAnsi"/>
        </w:rPr>
      </w:pPr>
      <w:r w:rsidRPr="006A6890">
        <w:rPr>
          <w:rFonts w:asciiTheme="minorHAnsi" w:hAnsiTheme="minorHAnsi"/>
        </w:rPr>
        <w:t>Az előzőekben felsoroltak tükrében az MNB minden intézménytől elvárja, hogy olyan működési kockázatkezelési keretrendszert alakíts</w:t>
      </w:r>
      <w:r>
        <w:rPr>
          <w:rFonts w:asciiTheme="minorHAnsi" w:hAnsiTheme="minorHAnsi"/>
        </w:rPr>
        <w:t>on</w:t>
      </w:r>
      <w:r w:rsidRPr="006A6890">
        <w:rPr>
          <w:rFonts w:asciiTheme="minorHAnsi" w:hAnsiTheme="minorHAnsi"/>
        </w:rPr>
        <w:t xml:space="preserve"> ki, </w:t>
      </w:r>
      <w:r>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FFFEBDF" w14:textId="77777777" w:rsidR="008A78E3" w:rsidRPr="00E60174" w:rsidRDefault="008A78E3" w:rsidP="00EA0541">
      <w:pPr>
        <w:rPr>
          <w:rFonts w:asciiTheme="minorHAnsi" w:hAnsiTheme="minorHAnsi"/>
        </w:rPr>
      </w:pPr>
      <w:r w:rsidRPr="00F41198">
        <w:rPr>
          <w:rFonts w:asciiTheme="minorHAnsi" w:hAnsiTheme="minorHAnsi"/>
        </w:rPr>
        <w:t xml:space="preserve">Amennyiben az MNB úgy ítéli meg, hogy </w:t>
      </w:r>
    </w:p>
    <w:p w14:paraId="7FFFEBE0" w14:textId="77777777" w:rsidR="008A78E3" w:rsidRDefault="008A78E3" w:rsidP="00CD1B46">
      <w:pPr>
        <w:pStyle w:val="Listaszerbekezds"/>
        <w:numPr>
          <w:ilvl w:val="0"/>
          <w:numId w:val="30"/>
        </w:numPr>
        <w:rPr>
          <w:rFonts w:asciiTheme="minorHAnsi" w:hAnsiTheme="minorHAnsi"/>
          <w:sz w:val="22"/>
          <w:szCs w:val="22"/>
        </w:rPr>
      </w:pPr>
      <w:r w:rsidRPr="00F41198">
        <w:rPr>
          <w:rFonts w:asciiTheme="minorHAnsi" w:hAnsiTheme="minorHAnsi"/>
        </w:rPr>
        <w:t>a 2. pillérben a működési kockázatokra képzett tőke nagysá</w:t>
      </w:r>
      <w:r w:rsidRPr="00E60174">
        <w:rPr>
          <w:rFonts w:asciiTheme="minorHAnsi" w:hAnsiTheme="minorHAnsi"/>
        </w:rPr>
        <w:t>ga</w:t>
      </w:r>
      <w:r w:rsidRPr="00CE3686">
        <w:rPr>
          <w:rFonts w:asciiTheme="minorHAnsi" w:hAnsiTheme="minorHAnsi"/>
          <w:sz w:val="22"/>
        </w:rPr>
        <w:t xml:space="preserve"> nem fedezi az intézmény meglévő és potenciális működési kockázatait,</w:t>
      </w:r>
    </w:p>
    <w:p w14:paraId="7FFFEBE1" w14:textId="77777777" w:rsidR="008A78E3" w:rsidRDefault="008A78E3" w:rsidP="00CD1B46">
      <w:pPr>
        <w:pStyle w:val="Listaszerbekezds"/>
        <w:numPr>
          <w:ilvl w:val="0"/>
          <w:numId w:val="30"/>
        </w:numPr>
        <w:rPr>
          <w:rFonts w:asciiTheme="minorHAnsi" w:hAnsiTheme="minorHAnsi"/>
          <w:sz w:val="22"/>
          <w:szCs w:val="22"/>
        </w:rPr>
      </w:pPr>
      <w:r w:rsidRPr="00CE3686">
        <w:rPr>
          <w:rFonts w:asciiTheme="minorHAnsi" w:hAnsiTheme="minorHAnsi"/>
          <w:sz w:val="22"/>
        </w:rPr>
        <w:t>hiányosságokat tapasztal az alkalmazott módszertanok megfelelősége és/vagy alkalmazása, valamint az adatminőség és adatszolgáltatás tekintetében,</w:t>
      </w:r>
    </w:p>
    <w:p w14:paraId="7FFFEBE2" w14:textId="77777777" w:rsidR="008A78E3" w:rsidRPr="00EC6B0B" w:rsidRDefault="008A78E3" w:rsidP="00CD1B46">
      <w:pPr>
        <w:pStyle w:val="Listaszerbekezds"/>
        <w:numPr>
          <w:ilvl w:val="0"/>
          <w:numId w:val="30"/>
        </w:numPr>
        <w:rPr>
          <w:rFonts w:asciiTheme="minorHAnsi" w:hAnsiTheme="minorHAnsi"/>
          <w:sz w:val="22"/>
          <w:szCs w:val="22"/>
        </w:rPr>
      </w:pPr>
      <w:r>
        <w:rPr>
          <w:rFonts w:asciiTheme="minorHAnsi" w:hAnsiTheme="minorHAnsi"/>
          <w:sz w:val="22"/>
          <w:szCs w:val="22"/>
        </w:rPr>
        <w:t xml:space="preserve">az SMA módszerrel kalkulált tőkeszükséglet jelentősen magasabb a jelenleg beállított szintnél, </w:t>
      </w:r>
    </w:p>
    <w:p w14:paraId="7FFFEBE3" w14:textId="77777777" w:rsidR="008A78E3" w:rsidRPr="00EC6B0B" w:rsidRDefault="008A78E3" w:rsidP="00880F22">
      <w:pPr>
        <w:rPr>
          <w:rFonts w:asciiTheme="minorHAnsi" w:hAnsiTheme="minorHAnsi"/>
        </w:rPr>
      </w:pPr>
      <w:r w:rsidRPr="00EC6B0B">
        <w:rPr>
          <w:rFonts w:asciiTheme="minorHAnsi" w:hAnsiTheme="minorHAnsi"/>
        </w:rPr>
        <w:t>többlettőke-követelményt ír elő a kockázatok teljes körű fedezése érdekében.</w:t>
      </w:r>
    </w:p>
    <w:p w14:paraId="7FFFEBE4" w14:textId="77777777" w:rsidR="008A78E3" w:rsidRPr="006A6890" w:rsidRDefault="008A78E3" w:rsidP="004B5D1A">
      <w:pPr>
        <w:pStyle w:val="Cmsor3"/>
        <w:numPr>
          <w:ilvl w:val="0"/>
          <w:numId w:val="0"/>
        </w:numPr>
        <w:rPr>
          <w:rFonts w:asciiTheme="minorHAnsi" w:hAnsiTheme="minorHAnsi"/>
        </w:rPr>
      </w:pPr>
      <w:bookmarkStart w:id="1018" w:name="_Toc45119982"/>
      <w:bookmarkStart w:id="1019" w:name="_Toc58512265"/>
      <w:bookmarkStart w:id="1020" w:name="_Toc158036686"/>
      <w:r w:rsidRPr="006A6890">
        <w:rPr>
          <w:rFonts w:asciiTheme="minorHAnsi" w:hAnsiTheme="minorHAnsi"/>
        </w:rPr>
        <w:t xml:space="preserve">V.2.2.1.1 </w:t>
      </w:r>
      <w:bookmarkStart w:id="1021" w:name="_Toc461095224"/>
      <w:bookmarkStart w:id="1022" w:name="_Toc461179880"/>
      <w:bookmarkStart w:id="1023" w:name="_Toc461201323"/>
      <w:bookmarkStart w:id="1024" w:name="_Toc461547966"/>
      <w:bookmarkStart w:id="1025" w:name="_Toc462402006"/>
      <w:bookmarkStart w:id="1026" w:name="_Toc462403127"/>
      <w:bookmarkStart w:id="1027" w:name="_Toc462403451"/>
      <w:bookmarkStart w:id="1028" w:name="_Toc468180570"/>
      <w:bookmarkStart w:id="1029" w:name="_Toc468181079"/>
      <w:bookmarkStart w:id="1030" w:name="_Toc468191465"/>
      <w:r w:rsidRPr="006A6890">
        <w:rPr>
          <w:rFonts w:asciiTheme="minorHAnsi" w:hAnsiTheme="minorHAnsi"/>
        </w:rPr>
        <w:t>Jogi kockázatok</w:t>
      </w:r>
      <w:bookmarkEnd w:id="1021"/>
      <w:bookmarkEnd w:id="1022"/>
      <w:bookmarkEnd w:id="1023"/>
      <w:bookmarkEnd w:id="1024"/>
      <w:bookmarkEnd w:id="1025"/>
      <w:bookmarkEnd w:id="1026"/>
      <w:bookmarkEnd w:id="1027"/>
      <w:bookmarkEnd w:id="1028"/>
      <w:bookmarkEnd w:id="1029"/>
      <w:bookmarkEnd w:id="1030"/>
      <w:r w:rsidRPr="006A6890">
        <w:rPr>
          <w:rFonts w:asciiTheme="minorHAnsi" w:hAnsiTheme="minorHAnsi"/>
        </w:rPr>
        <w:t xml:space="preserve"> és az üzletvitel kockázata</w:t>
      </w:r>
      <w:bookmarkEnd w:id="1018"/>
      <w:bookmarkEnd w:id="1019"/>
      <w:bookmarkEnd w:id="1020"/>
    </w:p>
    <w:p w14:paraId="7FFFEBE5" w14:textId="77777777" w:rsidR="008A78E3" w:rsidRPr="009D4E8E" w:rsidRDefault="008A78E3">
      <w:pPr>
        <w:rPr>
          <w:rFonts w:asciiTheme="minorHAnsi" w:hAnsiTheme="minorHAnsi"/>
          <w:b/>
        </w:rPr>
      </w:pPr>
      <w:r w:rsidRPr="009D4E8E">
        <w:rPr>
          <w:rFonts w:asciiTheme="minorHAnsi" w:hAnsiTheme="minorHAnsi"/>
          <w:b/>
        </w:rPr>
        <w:t>Definíció</w:t>
      </w:r>
    </w:p>
    <w:p w14:paraId="7FFFEBE6" w14:textId="77777777" w:rsidR="008A78E3" w:rsidRPr="006A6890" w:rsidRDefault="008A78E3"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 függetlenül attól, hogy azt szándékosan vagy gondatlanságból követték el.</w:t>
      </w:r>
    </w:p>
    <w:p w14:paraId="7FFFEBE7" w14:textId="77777777" w:rsidR="008A78E3" w:rsidRPr="006A6890" w:rsidRDefault="008A78E3" w:rsidP="00EA0541">
      <w:pPr>
        <w:rPr>
          <w:rFonts w:asciiTheme="minorHAnsi" w:hAnsiTheme="minorHAnsi"/>
          <w:bCs/>
        </w:rPr>
      </w:pPr>
      <w:r w:rsidRPr="006A6890">
        <w:rPr>
          <w:rFonts w:asciiTheme="minorHAnsi" w:hAnsiTheme="minorHAnsi"/>
        </w:rPr>
        <w:t>A jogi kockázat magában foglalja az üzletvitel kockázatát (conduct risk),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7FFFEBE8" w14:textId="77777777" w:rsidR="008A78E3" w:rsidRPr="006A6890" w:rsidRDefault="008A78E3" w:rsidP="00F16E2D">
      <w:pPr>
        <w:rPr>
          <w:rFonts w:asciiTheme="minorHAnsi" w:hAnsiTheme="minorHAnsi"/>
          <w:b/>
        </w:rPr>
      </w:pPr>
      <w:r w:rsidRPr="006A6890">
        <w:rPr>
          <w:rFonts w:asciiTheme="minorHAnsi" w:hAnsiTheme="minorHAnsi"/>
          <w:b/>
        </w:rPr>
        <w:t>Kockázatértékelés és -kezelés</w:t>
      </w:r>
    </w:p>
    <w:p w14:paraId="7FFFEBE9" w14:textId="77777777" w:rsidR="008A78E3" w:rsidRPr="006A6890" w:rsidRDefault="008A78E3"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Pr>
          <w:rFonts w:asciiTheme="minorHAnsi" w:hAnsiTheme="minorHAnsi"/>
        </w:rPr>
        <w:t xml:space="preserve">a </w:t>
      </w:r>
      <w:r w:rsidRPr="006A6890">
        <w:rPr>
          <w:rFonts w:asciiTheme="minorHAnsi" w:hAnsiTheme="minorHAnsi"/>
        </w:rPr>
        <w:t>stratégiájá</w:t>
      </w:r>
      <w:r>
        <w:rPr>
          <w:rFonts w:asciiTheme="minorHAnsi" w:hAnsiTheme="minorHAnsi"/>
        </w:rPr>
        <w:t>nak megvalósításából, a kínált termékeiből és nyújtott szolgáltatásaiból</w:t>
      </w:r>
      <w:r w:rsidRPr="006A6890">
        <w:rPr>
          <w:rFonts w:asciiTheme="minorHAnsi" w:hAnsiTheme="minorHAnsi"/>
        </w:rPr>
        <w:t xml:space="preserve"> </w:t>
      </w:r>
      <w:r>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7FFFEBEA" w14:textId="77777777" w:rsidR="008A78E3" w:rsidRPr="006A6890" w:rsidRDefault="008A78E3"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Pr>
          <w:rFonts w:asciiTheme="minorHAnsi" w:hAnsiTheme="minorHAnsi"/>
        </w:rPr>
        <w:t xml:space="preserve"> is</w:t>
      </w:r>
      <w:r w:rsidRPr="006A6890">
        <w:rPr>
          <w:rFonts w:asciiTheme="minorHAnsi" w:hAnsiTheme="minorHAnsi"/>
        </w:rPr>
        <w:t>.</w:t>
      </w:r>
    </w:p>
    <w:p w14:paraId="7FFFEBEB" w14:textId="77777777" w:rsidR="008A78E3" w:rsidRPr="006A6890" w:rsidRDefault="008A78E3" w:rsidP="00EA0541">
      <w:pPr>
        <w:rPr>
          <w:rFonts w:asciiTheme="minorHAnsi" w:hAnsiTheme="minorHAnsi"/>
          <w:bCs/>
        </w:rPr>
      </w:pPr>
      <w:r w:rsidRPr="006A6890">
        <w:rPr>
          <w:rFonts w:asciiTheme="minorHAnsi" w:hAnsiTheme="minorHAnsi"/>
        </w:rPr>
        <w:t>Az üzletviteli kockázat azonosítása</w:t>
      </w:r>
      <w:r w:rsidRPr="006A6890">
        <w:rPr>
          <w:rFonts w:asciiTheme="minorHAnsi" w:hAnsiTheme="minorHAnsi"/>
          <w:bCs/>
        </w:rPr>
        <w:t xml:space="preserve"> és értékelése során különös tekintettel kell lenni arra, hogy – az EBA felügyeleti felülvizsgálati folyamathoz kapcsolódóan közzétett ajánlása alapján – elsősorban az alábbi elemekben jelenhet meg: </w:t>
      </w:r>
    </w:p>
    <w:p w14:paraId="7FFFEBEC"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 xml:space="preserve">lakossági vagy vállalati termékek nem megfelelő értékesítése, </w:t>
      </w:r>
    </w:p>
    <w:p w14:paraId="7FFFEBED"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Pr>
          <w:rFonts w:asciiTheme="minorHAnsi" w:hAnsiTheme="minorHAnsi"/>
          <w:bCs/>
        </w:rPr>
        <w:t>ely</w:t>
      </w:r>
      <w:r w:rsidRPr="006A6890">
        <w:rPr>
          <w:rFonts w:asciiTheme="minorHAnsi" w:hAnsiTheme="minorHAnsi"/>
          <w:bCs/>
        </w:rPr>
        <w:t>re az ügyfélnek valójában nincs is szüksége,</w:t>
      </w:r>
    </w:p>
    <w:p w14:paraId="7FFFEBEE"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az üzletvitelben jelentkező érdekkonfliktusok</w:t>
      </w:r>
      <w:r>
        <w:rPr>
          <w:rStyle w:val="Lbjegyzet-hivatkozs"/>
          <w:rFonts w:asciiTheme="minorHAnsi" w:hAnsiTheme="minorHAnsi"/>
          <w:bCs/>
        </w:rPr>
        <w:footnoteReference w:id="88"/>
      </w:r>
      <w:r w:rsidRPr="006A6890">
        <w:rPr>
          <w:rFonts w:asciiTheme="minorHAnsi" w:hAnsiTheme="minorHAnsi"/>
          <w:bCs/>
        </w:rPr>
        <w:t>,</w:t>
      </w:r>
    </w:p>
    <w:p w14:paraId="7FFFEBEF"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kamatlábhoz, devizaárfolyamhoz vagy bármely más pénzügyi instrumentumhoz vagy index meghatározásához használt piaci referencia érték (benchmark) manipulálása az intézmény eredményének növelése érdekében,</w:t>
      </w:r>
    </w:p>
    <w:p w14:paraId="7FFFEBF0"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pénzügyi termékek vagy pénzügyi szolgáltatók közötti váltás lehetőségének az akadályozása,</w:t>
      </w:r>
    </w:p>
    <w:p w14:paraId="7FFFEBF1" w14:textId="77777777" w:rsidR="008A78E3" w:rsidRPr="006A6890" w:rsidRDefault="008A78E3"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rosszul kialakított értékesítési rendszer működtetése, amely érdekkonfliktusokat vagy rossz ösztönzőket tartalmaz,</w:t>
      </w:r>
    </w:p>
    <w:p w14:paraId="7FFFEBF2" w14:textId="77777777" w:rsidR="008A78E3" w:rsidRPr="00CE3686" w:rsidRDefault="008A78E3" w:rsidP="00CD1B46">
      <w:pPr>
        <w:pStyle w:val="Listaszerbekezds"/>
        <w:numPr>
          <w:ilvl w:val="0"/>
          <w:numId w:val="24"/>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7FFFEBF3" w14:textId="77777777" w:rsidR="008A78E3" w:rsidRPr="006A6890" w:rsidRDefault="008A78E3" w:rsidP="0022464F">
      <w:pPr>
        <w:autoSpaceDE w:val="0"/>
        <w:autoSpaceDN w:val="0"/>
        <w:adjustRightInd w:val="0"/>
        <w:spacing w:after="0"/>
        <w:ind w:left="720"/>
        <w:rPr>
          <w:rFonts w:asciiTheme="minorHAnsi" w:hAnsiTheme="minorHAnsi"/>
        </w:rPr>
      </w:pPr>
    </w:p>
    <w:p w14:paraId="7FFFEBF4" w14:textId="77777777" w:rsidR="008A78E3" w:rsidRPr="006A6890" w:rsidRDefault="008A78E3" w:rsidP="00025E27">
      <w:pPr>
        <w:rPr>
          <w:rFonts w:asciiTheme="minorHAnsi" w:hAnsiTheme="minorHAnsi"/>
          <w:b/>
        </w:rPr>
      </w:pPr>
      <w:r w:rsidRPr="006A6890">
        <w:rPr>
          <w:rFonts w:asciiTheme="minorHAnsi" w:hAnsiTheme="minorHAnsi"/>
          <w:b/>
        </w:rPr>
        <w:t>ICAAP felülvizsgálat</w:t>
      </w:r>
    </w:p>
    <w:p w14:paraId="7FFFEBF5" w14:textId="77777777" w:rsidR="008A78E3" w:rsidRPr="006A6890" w:rsidRDefault="008A78E3"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 eljárásrendet dolgoz ki a jogi és az üzletviteli kockázat</w:t>
      </w:r>
      <w:r>
        <w:rPr>
          <w:rFonts w:asciiTheme="minorHAnsi" w:hAnsiTheme="minorHAnsi"/>
        </w:rPr>
        <w:t>o</w:t>
      </w:r>
      <w:r w:rsidRPr="006A6890">
        <w:rPr>
          <w:rFonts w:asciiTheme="minorHAnsi" w:hAnsiTheme="minorHAnsi"/>
        </w:rPr>
        <w:t>k azonosítására és kezelésére. Emellett gyűjti és kezeli az ezen kockázatokhoz kapcsolódó veszteségek adatait, illetve a szcenárióelemzési és önértékelési folyamataiba, valamint a KRI keretrendszer</w:t>
      </w:r>
      <w:r>
        <w:rPr>
          <w:rFonts w:asciiTheme="minorHAnsi" w:hAnsiTheme="minorHAnsi"/>
        </w:rPr>
        <w:t>é</w:t>
      </w:r>
      <w:r w:rsidRPr="006A6890">
        <w:rPr>
          <w:rFonts w:asciiTheme="minorHAnsi" w:hAnsiTheme="minorHAnsi"/>
        </w:rPr>
        <w:t>be beépíti a jogi és üzletviteli kockázatok azonosítását és nyomonkövetését.</w:t>
      </w:r>
    </w:p>
    <w:p w14:paraId="7FFFEBF6" w14:textId="77777777" w:rsidR="008A78E3" w:rsidRPr="006A6890" w:rsidRDefault="008A78E3"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7FFFEBF7" w14:textId="77777777" w:rsidR="008A78E3" w:rsidRPr="006A6890" w:rsidRDefault="008A78E3"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7FFFEBF8" w14:textId="77777777" w:rsidR="008A78E3" w:rsidRPr="006A6890" w:rsidRDefault="008A78E3" w:rsidP="00CD1B46">
      <w:pPr>
        <w:pStyle w:val="Listaszerbekezds"/>
        <w:numPr>
          <w:ilvl w:val="0"/>
          <w:numId w:val="64"/>
        </w:numPr>
        <w:rPr>
          <w:rFonts w:asciiTheme="minorHAnsi" w:hAnsiTheme="minorHAnsi"/>
        </w:rPr>
      </w:pPr>
      <w:r w:rsidRPr="00CD363D">
        <w:rPr>
          <w:rFonts w:asciiTheme="minorHAnsi" w:hAnsiTheme="minorHAnsi"/>
          <w:color w:val="000000"/>
          <w:sz w:val="22"/>
          <w:szCs w:val="22"/>
        </w:rPr>
        <w:t>A kockázatok azonosítására</w:t>
      </w:r>
      <w:r w:rsidRPr="004B5D1A">
        <w:rPr>
          <w:rFonts w:asciiTheme="minorHAnsi" w:hAnsiTheme="minorHAnsi"/>
          <w:sz w:val="22"/>
        </w:rPr>
        <w:t>, a kapcsolódó veszteségek megelőzésére, a kockázatkezelésre és riportolásra vonatkozó eljárások bevezetés</w:t>
      </w:r>
      <w:r>
        <w:rPr>
          <w:rFonts w:asciiTheme="minorHAnsi" w:hAnsiTheme="minorHAnsi"/>
          <w:sz w:val="22"/>
        </w:rPr>
        <w:t>e</w:t>
      </w:r>
      <w:r w:rsidRPr="004B5D1A">
        <w:rPr>
          <w:rFonts w:asciiTheme="minorHAnsi" w:hAnsiTheme="minorHAnsi"/>
          <w:sz w:val="22"/>
        </w:rPr>
        <w:t xml:space="preserve"> és alkalmazás</w:t>
      </w:r>
      <w:r>
        <w:rPr>
          <w:rFonts w:asciiTheme="minorHAnsi" w:hAnsiTheme="minorHAnsi"/>
          <w:sz w:val="22"/>
        </w:rPr>
        <w:t>a</w:t>
      </w:r>
      <w:r w:rsidRPr="004B5D1A">
        <w:rPr>
          <w:rFonts w:asciiTheme="minorHAnsi" w:hAnsiTheme="minorHAnsi"/>
          <w:sz w:val="22"/>
        </w:rPr>
        <w:t>:</w:t>
      </w:r>
    </w:p>
    <w:p w14:paraId="7FFFEBF9"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bCs/>
        </w:rPr>
        <w:t>a jogi és üzletviteli kockázat fogalmának, elvárt kezelési módjának rögzítése az intézmény belső szabályozásában,</w:t>
      </w:r>
    </w:p>
    <w:p w14:paraId="7FFFEBFA"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bCs/>
        </w:rPr>
        <w:t>az üzletviteli kockázattal érintett események jelzésének biztosítottságát és az üzletvitel kockázatához köthető események jelölését a veszteség adatbázisban (</w:t>
      </w:r>
      <w:r>
        <w:rPr>
          <w:rFonts w:asciiTheme="minorHAnsi" w:hAnsiTheme="minorHAnsi"/>
          <w:bCs/>
        </w:rPr>
        <w:t>2011. január 1-től folyamatosan)</w:t>
      </w:r>
      <w:r w:rsidRPr="006A6890">
        <w:rPr>
          <w:rFonts w:asciiTheme="minorHAnsi" w:hAnsiTheme="minorHAnsi"/>
          <w:bCs/>
        </w:rPr>
        <w:t>,</w:t>
      </w:r>
    </w:p>
    <w:p w14:paraId="7FFFEBFB"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bCs/>
        </w:rPr>
        <w:t>a jogi és üzletviteli kockázatra utaló figyelmeztető jelzések gyűjtését és nyomon követését biztosító mutatók felvétele az intézmény kulcskockázati indikátor rendszerébe (például: peres ügyek, ügyfélpanaszok, jogos ügyfélpanaszok, hatósági bírságok, belső csalások és jogszabályi változások kapcsán meghatározott mutatók bevezetése és értékalakulásának folyamatos nyomon követése),</w:t>
      </w:r>
    </w:p>
    <w:p w14:paraId="7FFFEBFC"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bCs/>
        </w:rPr>
        <w:t xml:space="preserve">a jogi és üzletviteli kockázatának beépítése az intézmény önértékelési és szcenárióelemzési gyakorlatába, azaz mindazon folyamatok és kapcsolódó kockázatok körének meghatározása, mely </w:t>
      </w:r>
      <w:r>
        <w:rPr>
          <w:rFonts w:asciiTheme="minorHAnsi" w:hAnsiTheme="minorHAnsi"/>
          <w:bCs/>
        </w:rPr>
        <w:t xml:space="preserve">jogi vagy </w:t>
      </w:r>
      <w:r w:rsidRPr="006A6890">
        <w:rPr>
          <w:rFonts w:asciiTheme="minorHAnsi" w:hAnsiTheme="minorHAnsi"/>
        </w:rPr>
        <w:t>üzletvitel kockázat kiváltó oka lehet,</w:t>
      </w:r>
    </w:p>
    <w:p w14:paraId="7FFFEBFD"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rPr>
        <w:t>a veszteségesemények, szcenárióelemzések és önértékelések során feltárt jogi és üzletviteli kockázathoz kapcsolódóan meghozott intézkedések nyomon követésének és visszamérésének biztosítása,</w:t>
      </w:r>
    </w:p>
    <w:p w14:paraId="7FFFEBFE" w14:textId="77777777" w:rsidR="008A78E3" w:rsidRPr="006A6890" w:rsidRDefault="008A78E3" w:rsidP="00CD1B46">
      <w:pPr>
        <w:numPr>
          <w:ilvl w:val="1"/>
          <w:numId w:val="65"/>
        </w:numPr>
        <w:rPr>
          <w:rFonts w:asciiTheme="minorHAnsi" w:hAnsiTheme="minorHAnsi"/>
          <w:bCs/>
        </w:rPr>
      </w:pPr>
      <w:r w:rsidRPr="006A6890">
        <w:rPr>
          <w:rFonts w:asciiTheme="minorHAnsi" w:hAnsiTheme="minorHAnsi"/>
        </w:rPr>
        <w:t>a veszteségadatok, önértékelések, szcenárióelemzések során feltárt, jogi és üzletviteli kockázatához kapcsolódó események, folyamatok és intézkedések beépítése a menedzsment részére készített riportokba.</w:t>
      </w:r>
    </w:p>
    <w:p w14:paraId="7FFFEBFF" w14:textId="77777777" w:rsidR="008A78E3" w:rsidRPr="004B5D1A" w:rsidRDefault="008A78E3" w:rsidP="00CD1B46">
      <w:pPr>
        <w:pStyle w:val="Listaszerbekezds"/>
        <w:numPr>
          <w:ilvl w:val="0"/>
          <w:numId w:val="64"/>
        </w:numPr>
        <w:rPr>
          <w:rFonts w:asciiTheme="minorHAnsi" w:hAnsiTheme="minorHAnsi"/>
        </w:rPr>
      </w:pPr>
      <w:r w:rsidRPr="006A6890">
        <w:rPr>
          <w:rFonts w:asciiTheme="minorHAnsi" w:hAnsiTheme="minorHAnsi" w:cstheme="minorHAnsi"/>
          <w:sz w:val="22"/>
          <w:szCs w:val="22"/>
        </w:rPr>
        <w:t>Az</w:t>
      </w:r>
      <w:r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nyomonkövethető</w:t>
      </w:r>
      <w:r w:rsidRPr="006A6890">
        <w:rPr>
          <w:rFonts w:asciiTheme="minorHAnsi" w:hAnsiTheme="minorHAnsi" w:cstheme="minorHAnsi"/>
          <w:sz w:val="22"/>
          <w:szCs w:val="22"/>
        </w:rPr>
        <w:t xml:space="preserve"> az</w:t>
      </w:r>
      <w:r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Pr="006A6890">
        <w:rPr>
          <w:rFonts w:asciiTheme="minorHAnsi" w:hAnsiTheme="minorHAnsi" w:cstheme="minorHAnsi"/>
          <w:sz w:val="22"/>
          <w:szCs w:val="22"/>
        </w:rPr>
        <w:t xml:space="preserve">A termékleltár dokumentumot </w:t>
      </w:r>
      <w:r>
        <w:rPr>
          <w:rFonts w:asciiTheme="minorHAnsi" w:hAnsiTheme="minorHAnsi" w:cstheme="minorHAnsi"/>
          <w:sz w:val="22"/>
          <w:szCs w:val="22"/>
        </w:rPr>
        <w:t xml:space="preserve">releváns, minden üzletágra kiterjedően, </w:t>
      </w:r>
      <w:r w:rsidRPr="006A6890">
        <w:rPr>
          <w:rFonts w:asciiTheme="minorHAnsi" w:hAnsiTheme="minorHAnsi" w:cstheme="minorHAnsi"/>
          <w:sz w:val="22"/>
          <w:szCs w:val="22"/>
        </w:rPr>
        <w:t>termékenként vagy termékcsoportonként, egy objektív szempontokon nyugvó materialitási küszöb figyelembe vételével, az alábbi információtartalommal célszerű kialakítani</w:t>
      </w:r>
      <w:r w:rsidRPr="004B5D1A">
        <w:rPr>
          <w:rFonts w:asciiTheme="minorHAnsi" w:hAnsiTheme="minorHAnsi"/>
          <w:sz w:val="22"/>
        </w:rPr>
        <w:t>:</w:t>
      </w:r>
    </w:p>
    <w:p w14:paraId="7FFFEC00" w14:textId="77777777" w:rsidR="008A78E3" w:rsidRPr="006A6890" w:rsidRDefault="008A78E3" w:rsidP="00CD1B46">
      <w:pPr>
        <w:numPr>
          <w:ilvl w:val="1"/>
          <w:numId w:val="65"/>
        </w:numPr>
        <w:spacing w:after="0"/>
        <w:ind w:left="1434" w:hanging="357"/>
        <w:rPr>
          <w:rFonts w:asciiTheme="minorHAnsi" w:hAnsiTheme="minorHAnsi"/>
          <w:bCs/>
        </w:rPr>
      </w:pPr>
      <w:r w:rsidRPr="006A6890">
        <w:rPr>
          <w:rFonts w:asciiTheme="minorHAnsi" w:hAnsiTheme="minorHAnsi"/>
          <w:bCs/>
        </w:rPr>
        <w:t>a termék általános jellemzői, amelyek az alábbiak lehetnek:</w:t>
      </w:r>
    </w:p>
    <w:p w14:paraId="7FFFEC01" w14:textId="77777777" w:rsidR="008A78E3" w:rsidRPr="004B5D1A" w:rsidRDefault="008A78E3" w:rsidP="00CD1B46">
      <w:pPr>
        <w:numPr>
          <w:ilvl w:val="2"/>
          <w:numId w:val="65"/>
        </w:numPr>
        <w:spacing w:after="0"/>
      </w:pPr>
      <w:r w:rsidRPr="006A6890">
        <w:rPr>
          <w:rFonts w:asciiTheme="minorHAnsi" w:hAnsiTheme="minorHAnsi"/>
          <w:bCs/>
        </w:rPr>
        <w:t>termék/termékcsoport</w:t>
      </w:r>
      <w:r w:rsidRPr="004B5D1A">
        <w:rPr>
          <w:rFonts w:asciiTheme="minorHAnsi" w:hAnsiTheme="minorHAnsi"/>
        </w:rPr>
        <w:t xml:space="preserve"> megnevezése</w:t>
      </w:r>
      <w:r w:rsidRPr="006A6890">
        <w:rPr>
          <w:rFonts w:asciiTheme="minorHAnsi" w:hAnsiTheme="minorHAnsi"/>
          <w:bCs/>
        </w:rPr>
        <w:t>, változatai, szegmense, gazdája</w:t>
      </w:r>
    </w:p>
    <w:p w14:paraId="7FFFEC02" w14:textId="77777777" w:rsidR="008A78E3" w:rsidRPr="006A6890" w:rsidRDefault="008A78E3" w:rsidP="00CD1B46">
      <w:pPr>
        <w:numPr>
          <w:ilvl w:val="2"/>
          <w:numId w:val="65"/>
        </w:numPr>
        <w:spacing w:after="0"/>
        <w:rPr>
          <w:rFonts w:asciiTheme="minorHAnsi" w:hAnsiTheme="minorHAnsi"/>
          <w:bCs/>
        </w:rPr>
      </w:pPr>
      <w:r w:rsidRPr="006A6890">
        <w:rPr>
          <w:rFonts w:asciiTheme="minorHAnsi" w:hAnsiTheme="minorHAnsi"/>
          <w:bCs/>
        </w:rPr>
        <w:t xml:space="preserve">a </w:t>
      </w:r>
      <w:r w:rsidRPr="004B5D1A">
        <w:rPr>
          <w:rFonts w:asciiTheme="minorHAnsi" w:hAnsiTheme="minorHAnsi"/>
        </w:rPr>
        <w:t xml:space="preserve">termék </w:t>
      </w:r>
      <w:r w:rsidRPr="006A6890">
        <w:rPr>
          <w:rFonts w:asciiTheme="minorHAnsi" w:hAnsiTheme="minorHAnsi"/>
          <w:bCs/>
        </w:rPr>
        <w:t>bevezetésének adatai (dátuma, kapcsolódó fórumok stb</w:t>
      </w:r>
      <w:r>
        <w:rPr>
          <w:rFonts w:asciiTheme="minorHAnsi" w:hAnsiTheme="minorHAnsi"/>
          <w:bCs/>
        </w:rPr>
        <w:t>.</w:t>
      </w:r>
      <w:r w:rsidRPr="006A6890">
        <w:rPr>
          <w:rFonts w:asciiTheme="minorHAnsi" w:hAnsiTheme="minorHAnsi"/>
          <w:bCs/>
        </w:rPr>
        <w:t>)</w:t>
      </w:r>
    </w:p>
    <w:p w14:paraId="7FFFEC03" w14:textId="77777777" w:rsidR="008A78E3" w:rsidRPr="006A6890" w:rsidRDefault="008A78E3" w:rsidP="00CD1B46">
      <w:pPr>
        <w:numPr>
          <w:ilvl w:val="2"/>
          <w:numId w:val="65"/>
        </w:numPr>
        <w:spacing w:after="0"/>
        <w:rPr>
          <w:rFonts w:asciiTheme="minorHAnsi" w:hAnsiTheme="minorHAnsi"/>
          <w:bCs/>
        </w:rPr>
      </w:pPr>
      <w:r w:rsidRPr="006A6890">
        <w:rPr>
          <w:rFonts w:asciiTheme="minorHAnsi" w:hAnsiTheme="minorHAnsi"/>
          <w:bCs/>
        </w:rPr>
        <w:t>termékspecifikus jogszabályok és IT rendszerek</w:t>
      </w:r>
    </w:p>
    <w:p w14:paraId="7FFFEC04" w14:textId="77777777" w:rsidR="008A78E3" w:rsidRPr="006A6890" w:rsidRDefault="008A78E3" w:rsidP="00CD1B46">
      <w:pPr>
        <w:numPr>
          <w:ilvl w:val="2"/>
          <w:numId w:val="65"/>
        </w:numPr>
        <w:ind w:left="2154" w:hanging="357"/>
        <w:rPr>
          <w:rFonts w:asciiTheme="minorHAnsi" w:hAnsiTheme="minorHAnsi"/>
          <w:bCs/>
        </w:rPr>
      </w:pPr>
      <w:r w:rsidRPr="006A6890">
        <w:rPr>
          <w:rFonts w:asciiTheme="minorHAnsi" w:hAnsiTheme="minorHAnsi"/>
          <w:bCs/>
        </w:rPr>
        <w:t>a termékhez kapcsolódó értékesítési csatornák és célok</w:t>
      </w:r>
    </w:p>
    <w:p w14:paraId="7FFFEC05" w14:textId="77777777" w:rsidR="008A78E3" w:rsidRPr="004B5D1A" w:rsidRDefault="008A78E3" w:rsidP="00CD1B46">
      <w:pPr>
        <w:numPr>
          <w:ilvl w:val="1"/>
          <w:numId w:val="65"/>
        </w:numPr>
        <w:spacing w:after="0"/>
        <w:ind w:left="1434" w:hanging="357"/>
      </w:pPr>
      <w:r w:rsidRPr="006A6890">
        <w:rPr>
          <w:bCs/>
        </w:rPr>
        <w:t>a</w:t>
      </w:r>
      <w:r w:rsidRPr="004B5D1A">
        <w:rPr>
          <w:rFonts w:asciiTheme="minorHAnsi" w:eastAsia="Calibri" w:hAnsiTheme="minorHAnsi"/>
          <w:color w:val="17365D" w:themeColor="text2" w:themeShade="BF"/>
          <w:sz w:val="20"/>
          <w:szCs w:val="24"/>
          <w:lang w:eastAsia="en-US"/>
        </w:rPr>
        <w:t xml:space="preserve"> </w:t>
      </w:r>
      <w:r w:rsidRPr="00EA0541">
        <w:rPr>
          <w:rFonts w:asciiTheme="minorHAnsi" w:hAnsiTheme="minorHAnsi"/>
        </w:rPr>
        <w:t>termék</w:t>
      </w:r>
      <w:r w:rsidRPr="004B5D1A">
        <w:rPr>
          <w:rFonts w:asciiTheme="minorHAnsi" w:eastAsia="Calibri" w:hAnsiTheme="minorHAnsi"/>
          <w:color w:val="17365D" w:themeColor="text2" w:themeShade="BF"/>
          <w:sz w:val="20"/>
          <w:szCs w:val="24"/>
          <w:lang w:eastAsia="en-US"/>
        </w:rPr>
        <w:t xml:space="preserve"> </w:t>
      </w:r>
      <w:r w:rsidRPr="004B5D1A">
        <w:rPr>
          <w:rFonts w:asciiTheme="minorHAnsi" w:hAnsiTheme="minorHAnsi"/>
        </w:rPr>
        <w:t xml:space="preserve">üzletviteli kockázati </w:t>
      </w:r>
      <w:r w:rsidRPr="006A6890">
        <w:rPr>
          <w:rFonts w:asciiTheme="minorHAnsi" w:hAnsiTheme="minorHAnsi"/>
          <w:bCs/>
        </w:rPr>
        <w:t>besorolása az alábbiak figyelembe vételével:</w:t>
      </w:r>
      <w:r w:rsidRPr="004B5D1A">
        <w:rPr>
          <w:rFonts w:asciiTheme="minorHAnsi" w:hAnsiTheme="minorHAnsi"/>
        </w:rPr>
        <w:t xml:space="preserve"> </w:t>
      </w:r>
    </w:p>
    <w:p w14:paraId="7FFFEC06" w14:textId="77777777" w:rsidR="008A78E3" w:rsidRPr="004B5D1A" w:rsidRDefault="008A78E3" w:rsidP="00CD1B46">
      <w:pPr>
        <w:numPr>
          <w:ilvl w:val="2"/>
          <w:numId w:val="65"/>
        </w:numPr>
        <w:spacing w:after="0"/>
      </w:pPr>
      <w:r w:rsidRPr="004B5D1A">
        <w:rPr>
          <w:rFonts w:asciiTheme="minorHAnsi" w:hAnsiTheme="minorHAnsi"/>
        </w:rPr>
        <w:t>kapcsolódó</w:t>
      </w:r>
      <w:r w:rsidRPr="006A6890">
        <w:rPr>
          <w:rFonts w:asciiTheme="minorHAnsi" w:hAnsiTheme="minorHAnsi"/>
          <w:bCs/>
        </w:rPr>
        <w:t xml:space="preserve"> (kötelező vagy opcionális)</w:t>
      </w:r>
      <w:r w:rsidRPr="004B5D1A">
        <w:rPr>
          <w:rFonts w:asciiTheme="minorHAnsi" w:hAnsiTheme="minorHAnsi"/>
        </w:rPr>
        <w:t xml:space="preserve"> termékek és szolgáltatások</w:t>
      </w:r>
    </w:p>
    <w:p w14:paraId="7FFFEC07" w14:textId="77777777" w:rsidR="008A78E3" w:rsidRPr="004B5D1A" w:rsidRDefault="008A78E3" w:rsidP="00CD1B46">
      <w:pPr>
        <w:numPr>
          <w:ilvl w:val="2"/>
          <w:numId w:val="65"/>
        </w:numPr>
        <w:spacing w:after="0"/>
      </w:pPr>
      <w:r w:rsidRPr="004B5D1A">
        <w:rPr>
          <w:rFonts w:asciiTheme="minorHAnsi" w:hAnsiTheme="minorHAnsi"/>
        </w:rPr>
        <w:t xml:space="preserve">a termék esetében fennálló </w:t>
      </w:r>
      <w:r w:rsidRPr="006A6890">
        <w:rPr>
          <w:rFonts w:asciiTheme="minorHAnsi" w:hAnsiTheme="minorHAnsi"/>
          <w:bCs/>
        </w:rPr>
        <w:t xml:space="preserve">esetleges </w:t>
      </w:r>
      <w:r w:rsidRPr="004B5D1A">
        <w:rPr>
          <w:rFonts w:asciiTheme="minorHAnsi" w:hAnsiTheme="minorHAnsi"/>
        </w:rPr>
        <w:t>információs aszimmetria</w:t>
      </w:r>
    </w:p>
    <w:p w14:paraId="7FFFEC08" w14:textId="77777777" w:rsidR="008A78E3" w:rsidRPr="004B5D1A" w:rsidRDefault="008A78E3" w:rsidP="00CD1B46">
      <w:pPr>
        <w:numPr>
          <w:ilvl w:val="2"/>
          <w:numId w:val="65"/>
        </w:numPr>
        <w:spacing w:after="0"/>
      </w:pPr>
      <w:r w:rsidRPr="004B5D1A">
        <w:rPr>
          <w:rFonts w:asciiTheme="minorHAnsi" w:hAnsiTheme="minorHAnsi"/>
        </w:rPr>
        <w:t>érdekkonfliktusok, potenciális agresszív értékesítés lehetőségének azonosítása</w:t>
      </w:r>
    </w:p>
    <w:p w14:paraId="7FFFEC09" w14:textId="77777777" w:rsidR="008A78E3" w:rsidRPr="004B5D1A" w:rsidRDefault="008A78E3" w:rsidP="00CD1B46">
      <w:pPr>
        <w:numPr>
          <w:ilvl w:val="2"/>
          <w:numId w:val="65"/>
        </w:numPr>
        <w:spacing w:after="0"/>
      </w:pPr>
      <w:r w:rsidRPr="004B5D1A">
        <w:rPr>
          <w:rFonts w:asciiTheme="minorHAnsi" w:hAnsiTheme="minorHAnsi"/>
        </w:rPr>
        <w:t>termékhez kapcsolódó referencia értékek</w:t>
      </w:r>
    </w:p>
    <w:p w14:paraId="7FFFEC0A" w14:textId="77777777" w:rsidR="008A78E3" w:rsidRPr="004B5D1A" w:rsidRDefault="008A78E3" w:rsidP="00CD1B46">
      <w:pPr>
        <w:numPr>
          <w:ilvl w:val="2"/>
          <w:numId w:val="65"/>
        </w:numPr>
        <w:spacing w:after="0"/>
      </w:pPr>
      <w:r w:rsidRPr="004B5D1A">
        <w:rPr>
          <w:rFonts w:asciiTheme="minorHAnsi" w:hAnsiTheme="minorHAnsi"/>
        </w:rPr>
        <w:t xml:space="preserve">termék megszüntetésének </w:t>
      </w:r>
      <w:r w:rsidRPr="006A6890">
        <w:rPr>
          <w:rFonts w:asciiTheme="minorHAnsi" w:hAnsiTheme="minorHAnsi"/>
          <w:bCs/>
        </w:rPr>
        <w:t xml:space="preserve">vagy cserélésének </w:t>
      </w:r>
      <w:r w:rsidRPr="004B5D1A">
        <w:rPr>
          <w:rFonts w:asciiTheme="minorHAnsi" w:hAnsiTheme="minorHAnsi"/>
        </w:rPr>
        <w:t xml:space="preserve">esetleges nehézségei, </w:t>
      </w:r>
      <w:r w:rsidRPr="006A6890">
        <w:rPr>
          <w:rFonts w:asciiTheme="minorHAnsi" w:hAnsiTheme="minorHAnsi"/>
          <w:bCs/>
        </w:rPr>
        <w:t>korlátai</w:t>
      </w:r>
    </w:p>
    <w:p w14:paraId="7FFFEC0B" w14:textId="77777777" w:rsidR="008A78E3" w:rsidRPr="004B5D1A" w:rsidRDefault="008A78E3" w:rsidP="00CD1B46">
      <w:pPr>
        <w:numPr>
          <w:ilvl w:val="2"/>
          <w:numId w:val="65"/>
        </w:numPr>
        <w:spacing w:after="0"/>
      </w:pPr>
      <w:r w:rsidRPr="006A6890">
        <w:rPr>
          <w:rFonts w:asciiTheme="minorHAnsi" w:hAnsiTheme="minorHAnsi"/>
          <w:bCs/>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rPr>
        <w:t xml:space="preserve"> és kézhez vett elmarasztaló határozatok/bírságok</w:t>
      </w:r>
    </w:p>
    <w:p w14:paraId="7FFFEC0C" w14:textId="77777777" w:rsidR="008A78E3" w:rsidRPr="004B5D1A" w:rsidRDefault="008A78E3" w:rsidP="00CD1B46">
      <w:pPr>
        <w:numPr>
          <w:ilvl w:val="2"/>
          <w:numId w:val="65"/>
        </w:numPr>
        <w:ind w:left="2154" w:hanging="357"/>
      </w:pPr>
      <w:r w:rsidRPr="006A6890">
        <w:rPr>
          <w:rFonts w:asciiTheme="minorHAnsi" w:hAnsiTheme="minorHAnsi"/>
          <w:bCs/>
        </w:rPr>
        <w:t>a</w:t>
      </w:r>
      <w:r w:rsidRPr="004B5D1A">
        <w:rPr>
          <w:rFonts w:asciiTheme="minorHAnsi" w:hAnsiTheme="minorHAnsi"/>
        </w:rPr>
        <w:t xml:space="preserve"> kapcsolódó belső ellenőri vizsgálatok</w:t>
      </w:r>
      <w:r w:rsidRPr="006A6890">
        <w:rPr>
          <w:rFonts w:asciiTheme="minorHAnsi" w:hAnsiTheme="minorHAnsi"/>
          <w:bCs/>
        </w:rPr>
        <w:t xml:space="preserve"> és annak eredménye az elmúlt évben</w:t>
      </w:r>
    </w:p>
    <w:p w14:paraId="7FFFEC0D" w14:textId="77777777" w:rsidR="008A78E3" w:rsidRPr="006A6890" w:rsidRDefault="008A78E3" w:rsidP="00CD1B46">
      <w:pPr>
        <w:numPr>
          <w:ilvl w:val="1"/>
          <w:numId w:val="65"/>
        </w:numPr>
        <w:spacing w:after="0"/>
        <w:ind w:left="1434" w:hanging="357"/>
        <w:rPr>
          <w:rFonts w:asciiTheme="minorHAnsi" w:hAnsiTheme="minorHAnsi"/>
          <w:bCs/>
        </w:rPr>
      </w:pPr>
      <w:r w:rsidRPr="006A6890">
        <w:rPr>
          <w:rFonts w:asciiTheme="minorHAnsi" w:hAnsiTheme="minorHAnsi"/>
          <w:bCs/>
        </w:rPr>
        <w:t>a termékhez kapcsolódó kontrollok értékelése:</w:t>
      </w:r>
    </w:p>
    <w:p w14:paraId="7FFFEC0E" w14:textId="77777777" w:rsidR="008A78E3" w:rsidRPr="006A6890" w:rsidRDefault="008A78E3" w:rsidP="00CD1B46">
      <w:pPr>
        <w:numPr>
          <w:ilvl w:val="2"/>
          <w:numId w:val="65"/>
        </w:numPr>
        <w:spacing w:after="0"/>
        <w:rPr>
          <w:rFonts w:asciiTheme="minorHAnsi" w:hAnsiTheme="minorHAnsi"/>
          <w:bCs/>
        </w:rPr>
      </w:pPr>
      <w:r w:rsidRPr="006A6890">
        <w:rPr>
          <w:rFonts w:asciiTheme="minorHAnsi" w:hAnsiTheme="minorHAnsi"/>
          <w:bCs/>
        </w:rPr>
        <w:t>a folyamatba épített kontrollok megléte és minősége</w:t>
      </w:r>
      <w:r>
        <w:rPr>
          <w:rFonts w:asciiTheme="minorHAnsi" w:hAnsiTheme="minorHAnsi"/>
          <w:bCs/>
        </w:rPr>
        <w:t xml:space="preserve"> </w:t>
      </w:r>
      <w:r w:rsidRPr="00572CE4">
        <w:rPr>
          <w:rFonts w:asciiTheme="minorHAnsi" w:hAnsiTheme="minorHAnsi"/>
          <w:bCs/>
        </w:rPr>
        <w:t>(abból a szempontból, hogy képes-e érdemben csökkenteni a működési kockáz</w:t>
      </w:r>
      <w:r>
        <w:rPr>
          <w:rFonts w:asciiTheme="minorHAnsi" w:hAnsiTheme="minorHAnsi"/>
          <w:bCs/>
        </w:rPr>
        <w:t>a</w:t>
      </w:r>
      <w:r w:rsidRPr="00572CE4">
        <w:rPr>
          <w:rFonts w:asciiTheme="minorHAnsi" w:hAnsiTheme="minorHAnsi"/>
          <w:bCs/>
        </w:rPr>
        <w:t>tot)</w:t>
      </w:r>
    </w:p>
    <w:p w14:paraId="7FFFEC0F" w14:textId="77777777" w:rsidR="008A78E3" w:rsidRPr="004B5D1A" w:rsidRDefault="008A78E3" w:rsidP="00CD1B46">
      <w:pPr>
        <w:numPr>
          <w:ilvl w:val="2"/>
          <w:numId w:val="65"/>
        </w:numPr>
        <w:spacing w:after="0"/>
      </w:pPr>
      <w:r w:rsidRPr="004B5D1A">
        <w:rPr>
          <w:rFonts w:asciiTheme="minorHAnsi" w:hAnsiTheme="minorHAnsi"/>
        </w:rPr>
        <w:t>termékhez kapcsolódó oktatások</w:t>
      </w:r>
    </w:p>
    <w:p w14:paraId="7FFFEC10" w14:textId="77777777" w:rsidR="008A78E3" w:rsidRPr="00A61804" w:rsidRDefault="008A78E3" w:rsidP="00CD1B46">
      <w:pPr>
        <w:numPr>
          <w:ilvl w:val="2"/>
          <w:numId w:val="65"/>
        </w:numPr>
        <w:spacing w:after="0"/>
        <w:rPr>
          <w:color w:val="auto"/>
        </w:rPr>
      </w:pPr>
      <w:r w:rsidRPr="006A6890">
        <w:rPr>
          <w:bCs/>
        </w:rPr>
        <w:t xml:space="preserve"> a </w:t>
      </w:r>
      <w:r w:rsidRPr="00A61804">
        <w:rPr>
          <w:bCs/>
          <w:color w:val="auto"/>
        </w:rPr>
        <w:t>termékekhez</w:t>
      </w:r>
      <w:r w:rsidRPr="00CE3686">
        <w:rPr>
          <w:rFonts w:asciiTheme="minorHAnsi" w:eastAsia="Calibri" w:hAnsiTheme="minorHAnsi"/>
          <w:color w:val="auto"/>
        </w:rPr>
        <w:t xml:space="preserve"> kapcsolódó automata kalkulátorok</w:t>
      </w:r>
      <w:r w:rsidRPr="00A61804">
        <w:rPr>
          <w:rFonts w:asciiTheme="minorHAnsi" w:hAnsiTheme="minorHAnsi"/>
          <w:bCs/>
          <w:color w:val="auto"/>
        </w:rPr>
        <w:t xml:space="preserve"> és annak</w:t>
      </w:r>
      <w:r w:rsidRPr="00A61804">
        <w:rPr>
          <w:rFonts w:asciiTheme="minorHAnsi" w:hAnsiTheme="minorHAnsi"/>
          <w:color w:val="auto"/>
        </w:rPr>
        <w:t xml:space="preserve"> validációja</w:t>
      </w:r>
    </w:p>
    <w:p w14:paraId="7FFFEC11" w14:textId="77777777" w:rsidR="008A78E3" w:rsidRPr="00604B8E" w:rsidRDefault="008A78E3" w:rsidP="00CD1B46">
      <w:pPr>
        <w:numPr>
          <w:ilvl w:val="2"/>
          <w:numId w:val="65"/>
        </w:numPr>
        <w:ind w:left="2154" w:hanging="357"/>
        <w:rPr>
          <w:color w:val="auto"/>
        </w:rPr>
      </w:pPr>
      <w:r w:rsidRPr="00CE3686">
        <w:rPr>
          <w:rFonts w:asciiTheme="minorHAnsi" w:eastAsia="Calibri" w:hAnsiTheme="minorHAnsi"/>
          <w:color w:val="auto"/>
        </w:rPr>
        <w:t>megszűnt termékek esetén az ügyfél tájékoztatás módja</w:t>
      </w:r>
      <w:r w:rsidRPr="00A61804">
        <w:rPr>
          <w:rFonts w:asciiTheme="minorHAnsi" w:hAnsiTheme="minorHAnsi"/>
          <w:bCs/>
          <w:color w:val="auto"/>
        </w:rPr>
        <w:t xml:space="preserve"> és a kiváltó</w:t>
      </w:r>
      <w:r w:rsidRPr="00A61804">
        <w:rPr>
          <w:rFonts w:asciiTheme="minorHAnsi" w:hAnsiTheme="minorHAnsi"/>
          <w:color w:val="auto"/>
        </w:rPr>
        <w:t xml:space="preserve"> termékek </w:t>
      </w:r>
      <w:r w:rsidRPr="00086129">
        <w:rPr>
          <w:rFonts w:asciiTheme="minorHAnsi" w:hAnsiTheme="minorHAnsi"/>
          <w:bCs/>
          <w:color w:val="auto"/>
        </w:rPr>
        <w:t>megnevezése</w:t>
      </w:r>
      <w:r w:rsidRPr="00A61804">
        <w:rPr>
          <w:rFonts w:asciiTheme="minorHAnsi" w:hAnsiTheme="minorHAnsi"/>
          <w:color w:val="auto"/>
        </w:rPr>
        <w:t>.</w:t>
      </w:r>
    </w:p>
    <w:p w14:paraId="7FFFEC12" w14:textId="77777777" w:rsidR="008A78E3" w:rsidRPr="00A61804" w:rsidRDefault="008A78E3" w:rsidP="00CD363D">
      <w:pPr>
        <w:ind w:left="708"/>
        <w:rPr>
          <w:color w:val="auto"/>
        </w:rPr>
      </w:pPr>
      <w:r w:rsidRPr="006A6890">
        <w:rPr>
          <w:rFonts w:asciiTheme="minorHAnsi" w:hAnsiTheme="minorHAnsi" w:cstheme="minorHAnsi"/>
        </w:rPr>
        <w:t>A termékleltár dokumentumot</w:t>
      </w:r>
      <w:r>
        <w:rPr>
          <w:rFonts w:asciiTheme="minorHAnsi" w:hAnsiTheme="minorHAnsi" w:cstheme="minorHAnsi"/>
        </w:rPr>
        <w:t xml:space="preserve"> évente egyszer felül kell vizsgálni és a menedzsment részére be kell mutatni a feltárt kockázatok kezelésére szolgáltató intézkedési tervvel együtt.</w:t>
      </w:r>
    </w:p>
    <w:p w14:paraId="7FFFEC13" w14:textId="77777777" w:rsidR="008A78E3" w:rsidRPr="006A6890" w:rsidRDefault="008A78E3" w:rsidP="00CD1B46">
      <w:pPr>
        <w:pStyle w:val="Listaszerbekezds"/>
        <w:numPr>
          <w:ilvl w:val="0"/>
          <w:numId w:val="64"/>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7FFFEC14"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7FFFEC15"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belső ellenőrzési rendszerek</w:t>
      </w:r>
      <w:r>
        <w:rPr>
          <w:rFonts w:asciiTheme="minorHAnsi" w:hAnsiTheme="minorHAnsi"/>
          <w:bCs/>
        </w:rPr>
        <w:t xml:space="preserve"> -</w:t>
      </w:r>
      <w:r w:rsidRPr="006A6890">
        <w:rPr>
          <w:rFonts w:asciiTheme="minorHAnsi" w:hAnsiTheme="minorHAnsi"/>
          <w:bCs/>
        </w:rPr>
        <w:t xml:space="preserve"> ideértve a belső auditot és a folyamatba épített ellenőrzéseket</w:t>
      </w:r>
      <w:r>
        <w:rPr>
          <w:rFonts w:asciiTheme="minorHAnsi" w:hAnsiTheme="minorHAnsi"/>
          <w:bCs/>
        </w:rPr>
        <w:t xml:space="preserve"> -</w:t>
      </w:r>
      <w:r w:rsidRPr="006A6890">
        <w:rPr>
          <w:rFonts w:asciiTheme="minorHAnsi" w:hAnsiTheme="minorHAnsi"/>
          <w:bCs/>
        </w:rPr>
        <w:t xml:space="preserve">, amelyek képesek meggátolni a gondatlan vagy szándékos károkozást, </w:t>
      </w:r>
    </w:p>
    <w:p w14:paraId="7FFFEC16"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szigorú jogi és kockázati kontroll az új termékek kidolgozása során</w:t>
      </w:r>
      <w:r>
        <w:rPr>
          <w:rFonts w:asciiTheme="minorHAnsi" w:hAnsiTheme="minorHAnsi"/>
          <w:bCs/>
        </w:rPr>
        <w:t xml:space="preserve"> (annak bevezetése előtt)</w:t>
      </w:r>
      <w:r w:rsidRPr="006A6890">
        <w:rPr>
          <w:rFonts w:asciiTheme="minorHAnsi" w:hAnsiTheme="minorHAnsi"/>
          <w:bCs/>
        </w:rPr>
        <w:t xml:space="preserve">, amely felméri egy új termékből származó lehetséges kockázatokat mind az intézmény, mind az ügyfelek vonatkozásában, különösen a hosszútávra szóló termékek esetében, </w:t>
      </w:r>
    </w:p>
    <w:p w14:paraId="7FFFEC17"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7FFFEC18"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FFFEC19"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 xml:space="preserve">a termékek egyszerűsítése, ügyféldöntési tanácsadás javítása, pénzügyi kultúra, tudatosság fejlesztése, </w:t>
      </w:r>
    </w:p>
    <w:p w14:paraId="7FFFEC1A"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értékesítési és javadalmazási ösztönzők, belső oktatás</w:t>
      </w:r>
      <w:r>
        <w:rPr>
          <w:rFonts w:asciiTheme="minorHAnsi" w:hAnsiTheme="minorHAnsi"/>
          <w:bCs/>
        </w:rPr>
        <w:t>ok</w:t>
      </w:r>
      <w:r w:rsidRPr="006A6890">
        <w:rPr>
          <w:rFonts w:asciiTheme="minorHAnsi" w:hAnsiTheme="minorHAnsi"/>
          <w:bCs/>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7FFFEC1B"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termék struktúra kialakítása, automatikusan összekapcsolt pénzügyi termékek csak a legindokoltabb esetben (pl.</w:t>
      </w:r>
      <w:r>
        <w:rPr>
          <w:rFonts w:asciiTheme="minorHAnsi" w:hAnsiTheme="minorHAnsi"/>
          <w:bCs/>
        </w:rPr>
        <w:t>:</w:t>
      </w:r>
      <w:r w:rsidRPr="006A6890">
        <w:rPr>
          <w:rFonts w:asciiTheme="minorHAnsi" w:hAnsiTheme="minorHAnsi"/>
          <w:bCs/>
        </w:rPr>
        <w:t xml:space="preserve"> kiegészítő élet- vagy vagyonbiztosítás) történő alkalmazása, ezek jogi kockázatainak megfelelő és fair kezelése szerződések szintjén, </w:t>
      </w:r>
    </w:p>
    <w:p w14:paraId="7FFFEC1C"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7FFFEC1D" w14:textId="77777777" w:rsidR="008A78E3" w:rsidRPr="006A6890" w:rsidRDefault="008A78E3" w:rsidP="00CD1B46">
      <w:pPr>
        <w:numPr>
          <w:ilvl w:val="0"/>
          <w:numId w:val="66"/>
        </w:numPr>
        <w:autoSpaceDE w:val="0"/>
        <w:autoSpaceDN w:val="0"/>
        <w:adjustRightInd w:val="0"/>
        <w:spacing w:after="0"/>
        <w:rPr>
          <w:rFonts w:asciiTheme="minorHAnsi" w:hAnsiTheme="minorHAnsi"/>
          <w:bCs/>
        </w:rPr>
      </w:pPr>
      <w:r w:rsidRPr="006A6890">
        <w:rPr>
          <w:rFonts w:asciiTheme="minorHAnsi" w:hAnsiTheme="minorHAnsi"/>
          <w:bCs/>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7FFFEC1E" w14:textId="77777777" w:rsidR="008A78E3" w:rsidRPr="006A6890" w:rsidRDefault="008A78E3" w:rsidP="00CD1B46">
      <w:pPr>
        <w:numPr>
          <w:ilvl w:val="0"/>
          <w:numId w:val="66"/>
        </w:numPr>
        <w:rPr>
          <w:rFonts w:asciiTheme="minorHAnsi" w:hAnsiTheme="minorHAnsi"/>
          <w:bCs/>
        </w:rPr>
      </w:pPr>
      <w:r w:rsidRPr="006A6890">
        <w:rPr>
          <w:rFonts w:asciiTheme="minorHAnsi" w:hAnsiTheme="minorHAnsi"/>
          <w:bCs/>
        </w:rPr>
        <w:t>a fejlett módszertant alkalmazó intézmények esetében az üzletvitel kockázatának megfelelő figyelembe vétel</w:t>
      </w:r>
      <w:r>
        <w:rPr>
          <w:rFonts w:asciiTheme="minorHAnsi" w:hAnsiTheme="minorHAnsi"/>
          <w:bCs/>
        </w:rPr>
        <w:t>e</w:t>
      </w:r>
      <w:r w:rsidRPr="006A6890">
        <w:rPr>
          <w:rFonts w:asciiTheme="minorHAnsi" w:hAnsiTheme="minorHAnsi"/>
          <w:bCs/>
        </w:rPr>
        <w:t xml:space="preserve"> a tőkekövetelmény számítása során is.</w:t>
      </w:r>
    </w:p>
    <w:p w14:paraId="7FFFEC1F" w14:textId="77777777" w:rsidR="008A78E3" w:rsidRDefault="008A78E3"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Pr>
          <w:rFonts w:asciiTheme="minorHAnsi" w:hAnsiTheme="minorHAnsi"/>
        </w:rPr>
        <w:t>hat</w:t>
      </w:r>
      <w:r w:rsidRPr="006A6890">
        <w:rPr>
          <w:rFonts w:asciiTheme="minorHAnsi" w:hAnsiTheme="minorHAnsi"/>
        </w:rPr>
        <w:t xml:space="preserve">. </w:t>
      </w:r>
    </w:p>
    <w:p w14:paraId="7FFFEC20" w14:textId="77777777" w:rsidR="008A78E3" w:rsidRPr="006A6890" w:rsidRDefault="008A78E3" w:rsidP="00EA0541">
      <w:pPr>
        <w:rPr>
          <w:rFonts w:asciiTheme="minorHAnsi" w:hAnsiTheme="minorHAnsi"/>
        </w:rPr>
      </w:pPr>
    </w:p>
    <w:p w14:paraId="7FFFEC21" w14:textId="77777777" w:rsidR="008A78E3" w:rsidRPr="006A6890" w:rsidRDefault="008A78E3" w:rsidP="00CD1B46">
      <w:pPr>
        <w:pStyle w:val="Cmsor3"/>
        <w:numPr>
          <w:ilvl w:val="0"/>
          <w:numId w:val="0"/>
        </w:numPr>
        <w:rPr>
          <w:rFonts w:asciiTheme="minorHAnsi" w:hAnsiTheme="minorHAnsi"/>
        </w:rPr>
      </w:pPr>
      <w:bookmarkStart w:id="1031" w:name="_Toc45119983"/>
      <w:bookmarkStart w:id="1032" w:name="_Toc58512266"/>
      <w:bookmarkStart w:id="1033" w:name="_Toc158036687"/>
      <w:r w:rsidRPr="006A6890">
        <w:rPr>
          <w:rFonts w:asciiTheme="minorHAnsi" w:hAnsiTheme="minorHAnsi"/>
        </w:rPr>
        <w:t>V.2.2.1.</w:t>
      </w:r>
      <w:bookmarkEnd w:id="1031"/>
      <w:bookmarkEnd w:id="1032"/>
      <w:r>
        <w:rPr>
          <w:rFonts w:asciiTheme="minorHAnsi" w:hAnsiTheme="minorHAnsi"/>
        </w:rPr>
        <w:t xml:space="preserve"> </w:t>
      </w:r>
      <w:r w:rsidRPr="006A6890">
        <w:rPr>
          <w:rFonts w:asciiTheme="minorHAnsi" w:hAnsiTheme="minorHAnsi"/>
        </w:rPr>
        <w:t>ICAAP felülvizsgálat</w:t>
      </w:r>
      <w:bookmarkEnd w:id="1033"/>
    </w:p>
    <w:p w14:paraId="7FFFEC22" w14:textId="77777777" w:rsidR="008A78E3" w:rsidRPr="006A6890" w:rsidRDefault="008A78E3"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7FFFEC23" w14:textId="77777777" w:rsidR="008A78E3" w:rsidRPr="006A6890" w:rsidRDefault="008A78E3"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 kritikusak az intézmény alapvető tevékenységeinek megfelelő működése, rendelkezésre állása, folytonossága és biztonságossága szempontjából.</w:t>
      </w:r>
    </w:p>
    <w:p w14:paraId="7FFFEC24" w14:textId="77777777" w:rsidR="008A78E3" w:rsidRPr="006A6890" w:rsidRDefault="008A78E3" w:rsidP="00EA0541">
      <w:pPr>
        <w:rPr>
          <w:rFonts w:asciiTheme="minorHAnsi" w:hAnsiTheme="minorHAnsi"/>
        </w:rPr>
      </w:pPr>
      <w:r w:rsidRPr="006A6890">
        <w:rPr>
          <w:rFonts w:asciiTheme="minorHAnsi" w:hAnsiTheme="minorHAnsi"/>
        </w:rPr>
        <w:t xml:space="preserve">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 az alábbiak közül legalább egy feltételnek meg kell felelniük: </w:t>
      </w:r>
    </w:p>
    <w:p w14:paraId="7FFFEC25"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az intézmény alapvető üzleti tevékenységeit és forgalmazási csatornáit (pl.</w:t>
      </w:r>
      <w:r>
        <w:rPr>
          <w:rFonts w:asciiTheme="minorHAnsi" w:hAnsiTheme="minorHAnsi"/>
        </w:rPr>
        <w:t>:</w:t>
      </w:r>
      <w:r w:rsidRPr="006A6890">
        <w:rPr>
          <w:rFonts w:asciiTheme="minorHAnsi" w:hAnsiTheme="minorHAnsi"/>
        </w:rPr>
        <w:t xml:space="preserve"> ATM-ek, internet és mobilbanki szolgáltatások) támogatják; </w:t>
      </w:r>
    </w:p>
    <w:p w14:paraId="7FFFEC26"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7FFFEC27"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7FFFEC28"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olyan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7FFFEC29" w14:textId="77777777" w:rsidR="008A78E3" w:rsidRPr="006A6890" w:rsidRDefault="008A78E3" w:rsidP="00CD1B46">
      <w:pPr>
        <w:numPr>
          <w:ilvl w:val="0"/>
          <w:numId w:val="29"/>
        </w:numPr>
        <w:rPr>
          <w:rFonts w:asciiTheme="minorHAnsi" w:hAnsiTheme="minorHAnsi"/>
        </w:rPr>
      </w:pPr>
      <w:r w:rsidRPr="006A6890">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7FFFEC2A" w14:textId="77777777" w:rsidR="008A78E3" w:rsidRPr="006A6890" w:rsidRDefault="008A78E3"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7FFFEC2B" w14:textId="77777777" w:rsidR="008A78E3" w:rsidRPr="006A6890" w:rsidRDefault="008A78E3" w:rsidP="00CD1B46">
      <w:pPr>
        <w:numPr>
          <w:ilvl w:val="0"/>
          <w:numId w:val="29"/>
        </w:numPr>
        <w:spacing w:after="0"/>
        <w:ind w:left="714" w:hanging="357"/>
        <w:rPr>
          <w:rFonts w:asciiTheme="minorHAnsi" w:hAnsiTheme="minorHAnsi"/>
        </w:rPr>
      </w:pPr>
      <w:r w:rsidRPr="006A6890">
        <w:rPr>
          <w:rFonts w:asciiTheme="minorHAnsi" w:hAnsiTheme="minorHAnsi"/>
        </w:rPr>
        <w:t>IKT rendelkezésre állási és folytonossági kockázat,</w:t>
      </w:r>
    </w:p>
    <w:p w14:paraId="7FFFEC2C" w14:textId="77777777" w:rsidR="008A78E3" w:rsidRPr="006A6890" w:rsidRDefault="008A78E3" w:rsidP="00CD1B46">
      <w:pPr>
        <w:numPr>
          <w:ilvl w:val="0"/>
          <w:numId w:val="29"/>
        </w:numPr>
        <w:spacing w:after="0"/>
        <w:ind w:left="714" w:hanging="357"/>
        <w:rPr>
          <w:rFonts w:asciiTheme="minorHAnsi" w:hAnsiTheme="minorHAnsi"/>
        </w:rPr>
      </w:pPr>
      <w:r w:rsidRPr="006A6890">
        <w:rPr>
          <w:rFonts w:asciiTheme="minorHAnsi" w:hAnsiTheme="minorHAnsi"/>
        </w:rPr>
        <w:t>IKT biztonsági kockázat,</w:t>
      </w:r>
    </w:p>
    <w:p w14:paraId="7FFFEC2D" w14:textId="77777777" w:rsidR="008A78E3" w:rsidRPr="006A6890" w:rsidRDefault="008A78E3" w:rsidP="00CD1B46">
      <w:pPr>
        <w:numPr>
          <w:ilvl w:val="0"/>
          <w:numId w:val="29"/>
        </w:numPr>
        <w:spacing w:after="0"/>
        <w:ind w:left="714" w:hanging="357"/>
        <w:rPr>
          <w:rFonts w:asciiTheme="minorHAnsi" w:hAnsiTheme="minorHAnsi"/>
        </w:rPr>
      </w:pPr>
      <w:r w:rsidRPr="006A6890">
        <w:rPr>
          <w:rFonts w:asciiTheme="minorHAnsi" w:hAnsiTheme="minorHAnsi"/>
        </w:rPr>
        <w:t>IKT-változások kockázata,</w:t>
      </w:r>
    </w:p>
    <w:p w14:paraId="7FFFEC2E" w14:textId="77777777" w:rsidR="008A78E3" w:rsidRPr="006A6890" w:rsidRDefault="008A78E3" w:rsidP="00CD1B46">
      <w:pPr>
        <w:numPr>
          <w:ilvl w:val="0"/>
          <w:numId w:val="29"/>
        </w:numPr>
        <w:spacing w:after="0"/>
        <w:ind w:left="714" w:hanging="357"/>
        <w:rPr>
          <w:rFonts w:asciiTheme="minorHAnsi" w:hAnsiTheme="minorHAnsi"/>
        </w:rPr>
      </w:pPr>
      <w:r w:rsidRPr="006A6890">
        <w:rPr>
          <w:rFonts w:asciiTheme="minorHAnsi" w:hAnsiTheme="minorHAnsi"/>
        </w:rPr>
        <w:t>IKT adatintegritási kockázat,</w:t>
      </w:r>
    </w:p>
    <w:p w14:paraId="7FFFEC2F" w14:textId="77777777" w:rsidR="008A78E3" w:rsidRPr="006A6890" w:rsidRDefault="008A78E3" w:rsidP="00CD1B46">
      <w:pPr>
        <w:numPr>
          <w:ilvl w:val="0"/>
          <w:numId w:val="29"/>
        </w:numPr>
        <w:spacing w:after="0"/>
        <w:ind w:left="714" w:hanging="357"/>
        <w:rPr>
          <w:rFonts w:asciiTheme="minorHAnsi" w:hAnsiTheme="minorHAnsi"/>
        </w:rPr>
      </w:pPr>
      <w:r w:rsidRPr="006A6890">
        <w:rPr>
          <w:rFonts w:asciiTheme="minorHAnsi" w:hAnsiTheme="minorHAnsi"/>
        </w:rPr>
        <w:t>IKT kiszervezési kockázat.</w:t>
      </w:r>
    </w:p>
    <w:p w14:paraId="7FFFEC30" w14:textId="77777777" w:rsidR="008A78E3" w:rsidRPr="006A6890" w:rsidRDefault="008A78E3" w:rsidP="00443BF0">
      <w:pPr>
        <w:spacing w:after="0"/>
        <w:rPr>
          <w:rFonts w:asciiTheme="minorHAnsi" w:hAnsiTheme="minorHAnsi"/>
        </w:rPr>
      </w:pPr>
    </w:p>
    <w:p w14:paraId="7FFFEC31" w14:textId="77777777" w:rsidR="008A78E3" w:rsidRPr="006A6890" w:rsidRDefault="008A78E3" w:rsidP="004B5D1A">
      <w:pPr>
        <w:pStyle w:val="Cmsor3"/>
        <w:numPr>
          <w:ilvl w:val="0"/>
          <w:numId w:val="0"/>
        </w:numPr>
        <w:rPr>
          <w:rFonts w:asciiTheme="minorHAnsi" w:hAnsiTheme="minorHAnsi"/>
        </w:rPr>
      </w:pPr>
      <w:bookmarkStart w:id="1034" w:name="_Toc378592059"/>
      <w:bookmarkStart w:id="1035" w:name="_Toc461095223"/>
      <w:bookmarkStart w:id="1036" w:name="_Toc461179879"/>
      <w:bookmarkStart w:id="1037" w:name="_Toc461201322"/>
      <w:bookmarkStart w:id="1038" w:name="_Toc461547965"/>
      <w:bookmarkStart w:id="1039" w:name="_Toc462402005"/>
      <w:bookmarkStart w:id="1040" w:name="_Toc462403126"/>
      <w:bookmarkStart w:id="1041" w:name="_Toc462403450"/>
      <w:bookmarkStart w:id="1042" w:name="_Toc468180569"/>
      <w:bookmarkStart w:id="1043" w:name="_Toc468181078"/>
      <w:bookmarkStart w:id="1044" w:name="_Toc468191464"/>
      <w:bookmarkStart w:id="1045" w:name="_Toc45119984"/>
      <w:bookmarkStart w:id="1046" w:name="_Toc58512267"/>
      <w:bookmarkStart w:id="1047" w:name="_Toc158036688"/>
      <w:r w:rsidRPr="006A6890">
        <w:rPr>
          <w:rFonts w:asciiTheme="minorHAnsi" w:hAnsiTheme="minorHAnsi"/>
        </w:rPr>
        <w:t>V.2.2.2 Reputációs kockázat</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FFFEC32"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C33" w14:textId="77777777" w:rsidR="008A78E3" w:rsidRPr="006A6890" w:rsidRDefault="008A78E3" w:rsidP="00EA0541">
      <w:pPr>
        <w:rPr>
          <w:rFonts w:asciiTheme="minorHAnsi" w:hAnsiTheme="minorHAnsi"/>
        </w:rPr>
      </w:pPr>
      <w:r w:rsidRPr="006A6890">
        <w:rPr>
          <w:rFonts w:asciiTheme="minorHAnsi" w:hAnsiTheme="minorHAnsi"/>
        </w:rPr>
        <w:t>A működési</w:t>
      </w:r>
      <w:r>
        <w:rPr>
          <w:rFonts w:asciiTheme="minorHAnsi" w:hAnsiTheme="minorHAnsi"/>
        </w:rPr>
        <w:t xml:space="preserve"> jellegű</w:t>
      </w:r>
      <w:r w:rsidRPr="006A6890">
        <w:rPr>
          <w:rFonts w:asciiTheme="minorHAnsi" w:hAnsiTheme="minorHAnsi"/>
        </w:rPr>
        <w:t xml:space="preserve"> kockázato</w:t>
      </w:r>
      <w:r>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7FFFEC34" w14:textId="77777777" w:rsidR="008A78E3" w:rsidRPr="006A6890" w:rsidRDefault="008A78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 eseti vagy ismétlődő informatikai rendszerleállások és az ügyfeleket közvetlenül érintő szolgáltatáskiesések, belső vagy külső csalások, illetve a kedvezőtlen hatósági vélemény vagy intézkedések.</w:t>
      </w:r>
    </w:p>
    <w:p w14:paraId="7FFFEC35" w14:textId="77777777" w:rsidR="008A78E3" w:rsidRPr="006A6890" w:rsidRDefault="008A78E3" w:rsidP="00EA0541">
      <w:pPr>
        <w:rPr>
          <w:rFonts w:asciiTheme="minorHAnsi" w:hAnsiTheme="minorHAnsi"/>
        </w:rPr>
      </w:pPr>
      <w:r w:rsidRPr="006A6890">
        <w:rPr>
          <w:rFonts w:asciiTheme="minorHAnsi" w:hAnsiTheme="minorHAnsi"/>
        </w:rPr>
        <w:t>Szintén reputációs kockázattal járhat a magas presztízsű, elsősorban privát banki ügyfelekkel szemben végzett tevékenység túlzott koncentrációja is (pl.: kockázatosabb befektetési termékek nyújtása, kockázatosabb vagyonkezelés, derivatív termékek értékesítése), ugyanis bármilyen negatív körülmény hatására a befektetői bizalom sérülhet, amely komoly kihatással lehet az intézmény jövedelmezőségére és tőkehelyzetére.</w:t>
      </w:r>
    </w:p>
    <w:p w14:paraId="7FFFEC36" w14:textId="77777777" w:rsidR="008A78E3" w:rsidRPr="006A6890" w:rsidRDefault="008A78E3" w:rsidP="00EA0541">
      <w:pPr>
        <w:rPr>
          <w:rFonts w:asciiTheme="minorHAnsi" w:hAnsiTheme="minorHAnsi"/>
        </w:rPr>
      </w:pPr>
      <w:r w:rsidRPr="006A6890">
        <w:rPr>
          <w:rFonts w:asciiTheme="minorHAnsi" w:hAnsiTheme="minorHAnsi"/>
        </w:rPr>
        <w:t xml:space="preserve">Jelentős mértékű reputációs kockázatra utalhatnak az intézmény teljesítményét, színvonalát megítélő külső személyek vagy szervezetek több irányból érkező, nagyszámú, visszatérően elhangzó, széles körű nyilvánosságot kapott negatív nyilatkozatai (pl. médián/közösségi médián keresztül), illetve az olyan események vagy az intézmény olyan teljesítményei, amelyek az említett nyilatkozatok alapjául szolgálhatnak. </w:t>
      </w:r>
    </w:p>
    <w:p w14:paraId="7FFFEC37" w14:textId="77777777" w:rsidR="008A78E3" w:rsidRPr="006A6890" w:rsidRDefault="008A78E3" w:rsidP="00EA0541">
      <w:pPr>
        <w:rPr>
          <w:rFonts w:asciiTheme="minorHAnsi" w:hAnsiTheme="minorHAnsi"/>
        </w:rPr>
      </w:pPr>
      <w:r w:rsidRPr="006A6890">
        <w:rPr>
          <w:rFonts w:asciiTheme="minorHAnsi" w:hAnsiTheme="minorHAnsi"/>
        </w:rPr>
        <w:t>Lehetnek olyan külső tényezők is, amelyek annak ellenére okoznak reputációs kockázatot, hogy függetlenek az adott intézmény tevékenységétől (pl. anyabank megítélése, más intézmény miatt a teljes szektor megítélése romlott stb.).</w:t>
      </w:r>
    </w:p>
    <w:p w14:paraId="7FFFEC38"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C39" w14:textId="77777777" w:rsidR="008A78E3" w:rsidRPr="006A6890" w:rsidRDefault="008A78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 eseményekről, intézkedésekről. Ilyenek lehetnek többek között például a következők:</w:t>
      </w:r>
    </w:p>
    <w:p w14:paraId="7FFFEC3A" w14:textId="77777777" w:rsidR="008A78E3" w:rsidRPr="006A6890" w:rsidRDefault="008A78E3" w:rsidP="00181755">
      <w:pPr>
        <w:pStyle w:val="felsorolsos"/>
        <w:rPr>
          <w:rFonts w:asciiTheme="minorHAnsi" w:hAnsiTheme="minorHAnsi"/>
        </w:rPr>
      </w:pPr>
      <w:r w:rsidRPr="006A6890">
        <w:rPr>
          <w:rFonts w:asciiTheme="minorHAnsi" w:hAnsiTheme="minorHAnsi"/>
        </w:rPr>
        <w:t>a hatóságok (MNB, Gazdasági Versenyhivatal, Nemzeti Adó- és Vámhivatal) által kibocsátott nyilvános, intézményt terhelő elmarasztaló határozatai, intézkedései és kiszabott büntetései,</w:t>
      </w:r>
    </w:p>
    <w:p w14:paraId="7FFFEC3B" w14:textId="77777777" w:rsidR="008A78E3" w:rsidRPr="006A6890" w:rsidRDefault="008A78E3" w:rsidP="00181755">
      <w:pPr>
        <w:pStyle w:val="felsorolsos"/>
        <w:rPr>
          <w:rFonts w:asciiTheme="minorHAnsi" w:hAnsiTheme="minorHAnsi"/>
        </w:rPr>
      </w:pPr>
      <w:r w:rsidRPr="006A6890">
        <w:rPr>
          <w:rFonts w:asciiTheme="minorHAnsi" w:hAnsiTheme="minorHAnsi"/>
        </w:rPr>
        <w:t>ügyfélelégedettségi felmérések eredményének kiértékelése,</w:t>
      </w:r>
    </w:p>
    <w:p w14:paraId="7FFFEC3C" w14:textId="77777777" w:rsidR="008A78E3" w:rsidRPr="006A6890" w:rsidRDefault="008A78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 tendenciái,</w:t>
      </w:r>
    </w:p>
    <w:p w14:paraId="7FFFEC3D"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7FFFEC3E" w14:textId="77777777" w:rsidR="008A78E3" w:rsidRPr="006A6890" w:rsidRDefault="008A78E3" w:rsidP="00181755">
      <w:pPr>
        <w:pStyle w:val="felsorolsos"/>
        <w:rPr>
          <w:rFonts w:asciiTheme="minorHAnsi" w:hAnsiTheme="minorHAnsi"/>
        </w:rPr>
      </w:pPr>
      <w:r w:rsidRPr="006A6890">
        <w:rPr>
          <w:rFonts w:asciiTheme="minorHAnsi" w:hAnsiTheme="minorHAnsi"/>
        </w:rPr>
        <w:t>az elmúlt időszak informatikai rendszerleállásai, szolgáltatáskiesései és azok következményei, hatása az ügyfelekre és egyéb stakeholderekre,</w:t>
      </w:r>
    </w:p>
    <w:p w14:paraId="7FFFEC3F"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intézménynél elkövetett belső és külső csalások, valamint a válaszként hozott intézkedések,</w:t>
      </w:r>
    </w:p>
    <w:p w14:paraId="7FFFEC40" w14:textId="77777777" w:rsidR="008A78E3" w:rsidRPr="006A6890" w:rsidRDefault="008A78E3" w:rsidP="00181755">
      <w:pPr>
        <w:pStyle w:val="felsorolsos"/>
        <w:rPr>
          <w:rFonts w:asciiTheme="minorHAnsi" w:hAnsiTheme="minorHAnsi"/>
        </w:rPr>
      </w:pPr>
      <w:r w:rsidRPr="006A6890">
        <w:rPr>
          <w:rFonts w:asciiTheme="minorHAnsi" w:hAnsiTheme="minorHAnsi"/>
        </w:rPr>
        <w:t>média által gerjesztett valós vagy valótlan, de a jó hírnevet veszélyeztető állítások,</w:t>
      </w:r>
    </w:p>
    <w:p w14:paraId="7FFFEC41"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továbbá az intézmény legfontosabb társadalmi és karitatív tevékenységei. </w:t>
      </w:r>
    </w:p>
    <w:p w14:paraId="7FFFEC42" w14:textId="77777777" w:rsidR="008A78E3" w:rsidRPr="006A6890" w:rsidRDefault="008A78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 befektetői bizalomvesztés, krízis, válsághelyzet stb.), illetve azok potenciális következményeit, és a megfelelő intézményi folyamatokra (pl.</w:t>
      </w:r>
      <w:r>
        <w:rPr>
          <w:rFonts w:asciiTheme="minorHAnsi" w:hAnsiTheme="minorHAnsi"/>
        </w:rPr>
        <w:t>:</w:t>
      </w:r>
      <w:r w:rsidRPr="006A6890">
        <w:rPr>
          <w:rFonts w:asciiTheme="minorHAnsi" w:hAnsiTheme="minorHAnsi"/>
        </w:rPr>
        <w:t xml:space="preserve"> sajtó- és közösségi média figyelés, szcenárióelemzés), mechanizmusokra és akciótervekre hivatkozva demonstrálják ezen események hatékony észlelésének és kezelésének a képességét. Fontos hangsúlyozni, hogy a reputációs kockázatkezelési eszközök integráns részét kell, képezzék az intézmény vállalatirányítási keretrendszerének és szemléletének, és arányosak az intézmény méretével és a rendszerben betöltött szerepével. </w:t>
      </w:r>
    </w:p>
    <w:p w14:paraId="7FFFEC43" w14:textId="77777777" w:rsidR="008A78E3" w:rsidRPr="006A6890" w:rsidRDefault="008A78E3" w:rsidP="00EA0541">
      <w:pPr>
        <w:rPr>
          <w:rFonts w:asciiTheme="minorHAnsi" w:hAnsiTheme="minorHAnsi"/>
        </w:rPr>
      </w:pPr>
      <w:r w:rsidRPr="006A6890">
        <w:rPr>
          <w:rFonts w:asciiTheme="minorHAnsi" w:hAnsiTheme="minorHAnsi"/>
        </w:rPr>
        <w:t>A kockázatkontroll megfelelősségének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 ezen szakterületek szerepét az üzleti területek által kezdeményezett termék- és szolgáltatásfejlesztési és -árazási folyamatokba, elkerülendő vagy mérséklendő a helytelen piaci gyakorlat, üzletviteli kockázat (conduct risk) hírnévromboló hatását. Vizsgálandó továbbá, hogy az intézmény mennyire veszi figyelembe stratégiájának, üzleti terveinek és általában a magatartásának a hatását a saját reputációjára. Az MNB továbbá elvárja, hogy az intézmény rendszeresen monitorozza, mérje fel és számszerűsítse a privát banki ügyfelekkel szembeni kockázatokat, kitettségeket, azok koncentrációját, melynek során minősítse a portfóliókat kockázatosság szempontjából mérlegelve a bizalomvesztés következtében bekövetkező ügyfélvesztés, illetve ügyfelek megtartásáért szükséges intézkedéseket, és azok miatt elszenvedhető veszteség mértékét.</w:t>
      </w:r>
    </w:p>
    <w:p w14:paraId="7FFFEC44" w14:textId="77777777" w:rsidR="008A78E3" w:rsidRPr="006A6890" w:rsidRDefault="008A78E3" w:rsidP="00EA0541">
      <w:pPr>
        <w:rPr>
          <w:rFonts w:asciiTheme="minorHAnsi" w:hAnsiTheme="minorHAnsi"/>
        </w:rPr>
      </w:pPr>
      <w:r w:rsidRPr="006A6890">
        <w:rPr>
          <w:rFonts w:asciiTheme="minorHAnsi" w:hAnsiTheme="minorHAnsi"/>
        </w:rPr>
        <w:t xml:space="preserve">A reputációs kockázatokat az MNB álláspontja szerint elsősorban szabályzatokkal, hatékony folyamatokkal, intézkedési tervekkel célszerű kezelni. Aggasztó intézményi gyakorlat, jelentős mértékű reputációs kockázat esetén – a megfelelő mechanizmusok és folyamatszabályozás megteremtéséig, illetve a korábbi gyakorlatból fakadó, már nem mérsékelhető vagy a jövőben újra potenciálisan felmerülő veszteségek fedezésének céljából – az MNB mindamellett pótlólagos tőkeképzést is szükségesnek tarthat. </w:t>
      </w:r>
    </w:p>
    <w:p w14:paraId="7FFFEC45" w14:textId="77777777" w:rsidR="008A78E3" w:rsidRPr="006A6890" w:rsidRDefault="008A78E3"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7FFFEC46" w14:textId="77777777" w:rsidR="008A78E3" w:rsidRDefault="008A78E3" w:rsidP="0022464F">
      <w:pPr>
        <w:jc w:val="center"/>
        <w:rPr>
          <w:rFonts w:asciiTheme="minorHAnsi" w:hAnsiTheme="minorHAnsi"/>
        </w:rPr>
      </w:pPr>
      <w:r w:rsidRPr="006A6890">
        <w:rPr>
          <w:rFonts w:asciiTheme="minorHAnsi" w:hAnsiTheme="minorHAnsi"/>
          <w:noProof/>
        </w:rPr>
        <w:drawing>
          <wp:inline distT="0" distB="0" distL="0" distR="0" wp14:anchorId="7FFFF087" wp14:editId="7FFFF088">
            <wp:extent cx="4924425" cy="3629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924425" cy="3629025"/>
                    </a:xfrm>
                    <a:prstGeom prst="rect">
                      <a:avLst/>
                    </a:prstGeom>
                    <a:noFill/>
                    <a:ln>
                      <a:noFill/>
                    </a:ln>
                  </pic:spPr>
                </pic:pic>
              </a:graphicData>
            </a:graphic>
          </wp:inline>
        </w:drawing>
      </w:r>
    </w:p>
    <w:p w14:paraId="7FFFEC47" w14:textId="77777777" w:rsidR="008A78E3" w:rsidRDefault="008A78E3" w:rsidP="00AB2106">
      <w:pPr>
        <w:rPr>
          <w:rFonts w:asciiTheme="minorHAnsi" w:hAnsiTheme="minorHAnsi"/>
        </w:rPr>
      </w:pPr>
    </w:p>
    <w:p w14:paraId="7FFFEC48" w14:textId="77777777" w:rsidR="008A78E3" w:rsidRPr="00AC5DB7" w:rsidRDefault="008A78E3" w:rsidP="00AB2106">
      <w:pPr>
        <w:pStyle w:val="Cmsor3"/>
        <w:rPr>
          <w:rFonts w:asciiTheme="minorHAnsi" w:hAnsiTheme="minorHAnsi"/>
        </w:rPr>
      </w:pPr>
      <w:bookmarkStart w:id="1048" w:name="_Toc461547969"/>
      <w:bookmarkStart w:id="1049" w:name="_Toc462402009"/>
      <w:bookmarkStart w:id="1050" w:name="_Toc462403130"/>
      <w:bookmarkStart w:id="1051" w:name="_Toc462403454"/>
      <w:bookmarkStart w:id="1052" w:name="_Toc462403883"/>
      <w:bookmarkStart w:id="1053" w:name="_Toc462645751"/>
      <w:bookmarkStart w:id="1054" w:name="_Toc468180573"/>
      <w:bookmarkStart w:id="1055" w:name="_Toc461547972"/>
      <w:bookmarkStart w:id="1056" w:name="_Toc462402012"/>
      <w:bookmarkStart w:id="1057" w:name="_Toc462403133"/>
      <w:bookmarkStart w:id="1058" w:name="_Toc462403457"/>
      <w:bookmarkStart w:id="1059" w:name="_Toc462403886"/>
      <w:bookmarkStart w:id="1060" w:name="_Toc462645754"/>
      <w:bookmarkStart w:id="1061" w:name="_Toc468180576"/>
      <w:bookmarkStart w:id="1062" w:name="_Toc461547975"/>
      <w:bookmarkStart w:id="1063" w:name="_Toc462402015"/>
      <w:bookmarkStart w:id="1064" w:name="_Toc462403136"/>
      <w:bookmarkStart w:id="1065" w:name="_Toc462403460"/>
      <w:bookmarkStart w:id="1066" w:name="_Toc462403889"/>
      <w:bookmarkStart w:id="1067" w:name="_Toc462645757"/>
      <w:bookmarkStart w:id="1068" w:name="_Toc468180579"/>
      <w:bookmarkStart w:id="1069" w:name="_Toc461547987"/>
      <w:bookmarkStart w:id="1070" w:name="_Toc462402027"/>
      <w:bookmarkStart w:id="1071" w:name="_Toc462403148"/>
      <w:bookmarkStart w:id="1072" w:name="_Toc462403472"/>
      <w:bookmarkStart w:id="1073" w:name="_Toc462403901"/>
      <w:bookmarkStart w:id="1074" w:name="_Toc462645769"/>
      <w:bookmarkStart w:id="1075" w:name="_Toc468180591"/>
      <w:bookmarkStart w:id="1076" w:name="_Toc378256236"/>
      <w:bookmarkStart w:id="1077" w:name="_Toc378592044"/>
      <w:bookmarkStart w:id="1078" w:name="_Toc461095228"/>
      <w:bookmarkStart w:id="1079" w:name="_Toc461179884"/>
      <w:bookmarkStart w:id="1080" w:name="_Toc461201327"/>
      <w:bookmarkStart w:id="1081" w:name="_Toc461547996"/>
      <w:bookmarkStart w:id="1082" w:name="_Toc462402036"/>
      <w:bookmarkStart w:id="1083" w:name="_Toc462403157"/>
      <w:bookmarkStart w:id="1084" w:name="_Toc462403481"/>
      <w:bookmarkStart w:id="1085" w:name="_Toc468180600"/>
      <w:bookmarkStart w:id="1086" w:name="_Toc468181081"/>
      <w:bookmarkStart w:id="1087" w:name="_Toc468191467"/>
      <w:bookmarkStart w:id="1088" w:name="_Toc45119985"/>
      <w:bookmarkStart w:id="1089" w:name="_Toc58512268"/>
      <w:bookmarkStart w:id="1090" w:name="_Toc158036689"/>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AC5DB7">
        <w:rPr>
          <w:rFonts w:asciiTheme="minorHAnsi" w:hAnsiTheme="minorHAnsi"/>
        </w:rPr>
        <w:t>Piaci kockázat</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7FFFEC49" w14:textId="77777777" w:rsidR="008A78E3" w:rsidRPr="0055569D" w:rsidRDefault="008A78E3" w:rsidP="00AB2106">
      <w:pPr>
        <w:rPr>
          <w:rFonts w:asciiTheme="minorHAnsi" w:hAnsiTheme="minorHAnsi"/>
          <w:b/>
          <w:color w:val="auto"/>
        </w:rPr>
      </w:pPr>
      <w:r w:rsidRPr="0055569D">
        <w:rPr>
          <w:rFonts w:asciiTheme="minorHAnsi" w:hAnsiTheme="minorHAnsi"/>
          <w:b/>
          <w:color w:val="auto"/>
        </w:rPr>
        <w:t>Definíció</w:t>
      </w:r>
    </w:p>
    <w:p w14:paraId="7FFFEC4A"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7FFFEC4B" w14:textId="77777777" w:rsidR="008A78E3" w:rsidRPr="0055569D" w:rsidRDefault="008A78E3" w:rsidP="00AB2106">
      <w:pPr>
        <w:rPr>
          <w:rFonts w:asciiTheme="minorHAnsi" w:hAnsiTheme="minorHAnsi"/>
          <w:color w:val="auto"/>
        </w:rPr>
      </w:pPr>
      <w:r w:rsidRPr="0055569D">
        <w:rPr>
          <w:rFonts w:asciiTheme="minorHAnsi" w:hAnsiTheme="minorHAnsi"/>
          <w:color w:val="auto"/>
        </w:rPr>
        <w:t>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Pr>
          <w:rFonts w:asciiTheme="minorHAnsi" w:hAnsiTheme="minorHAnsi"/>
          <w:color w:val="auto"/>
          <w:vertAlign w:val="superscript"/>
        </w:rPr>
        <w:footnoteReference w:id="89"/>
      </w:r>
      <w:r w:rsidRPr="0055569D">
        <w:rPr>
          <w:rFonts w:asciiTheme="minorHAnsi" w:hAnsiTheme="minorHAnsi"/>
          <w:color w:val="auto"/>
        </w:rPr>
        <w:t xml:space="preserve"> </w:t>
      </w:r>
    </w:p>
    <w:p w14:paraId="7FFFEC4C" w14:textId="77777777" w:rsidR="008A78E3" w:rsidRPr="0055569D" w:rsidRDefault="008A78E3" w:rsidP="00AB2106">
      <w:pPr>
        <w:rPr>
          <w:rFonts w:asciiTheme="minorHAnsi" w:hAnsiTheme="minorHAnsi"/>
          <w:color w:val="auto"/>
        </w:rPr>
      </w:pPr>
      <w:r w:rsidRPr="0055569D">
        <w:rPr>
          <w:rFonts w:asciiTheme="minorHAnsi" w:hAnsiTheme="minorHAnsi"/>
          <w:color w:val="auto"/>
        </w:rPr>
        <w:t>A piaci kockázat elemei:</w:t>
      </w:r>
    </w:p>
    <w:p w14:paraId="7FFFEC4D" w14:textId="77777777" w:rsidR="008A78E3" w:rsidRPr="00AC5DB7" w:rsidRDefault="008A78E3" w:rsidP="00AB2106">
      <w:pPr>
        <w:pStyle w:val="felsorolsos"/>
        <w:rPr>
          <w:rFonts w:asciiTheme="minorHAnsi" w:hAnsiTheme="minorHAnsi"/>
        </w:rPr>
      </w:pPr>
      <w:r w:rsidRPr="00AC5DB7">
        <w:rPr>
          <w:rFonts w:asciiTheme="minorHAnsi" w:hAnsiTheme="minorHAnsi"/>
        </w:rPr>
        <w:t>pozíciókockázat: kereskedési könyvi kamat- és árfolyamkockázat</w:t>
      </w:r>
    </w:p>
    <w:p w14:paraId="7FFFEC4E" w14:textId="77777777" w:rsidR="008A78E3" w:rsidRPr="0055569D" w:rsidRDefault="008A78E3"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hitelviszonyt megtestesítő instrumentumok egyedi és általános kockázata</w:t>
      </w:r>
    </w:p>
    <w:p w14:paraId="7FFFEC4F" w14:textId="77777777" w:rsidR="008A78E3" w:rsidRPr="0055569D" w:rsidRDefault="008A78E3"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tulajdoni részesedést megtestesítő instrumentumok egyedi és általános kockázata</w:t>
      </w:r>
    </w:p>
    <w:p w14:paraId="7FFFEC50" w14:textId="77777777" w:rsidR="008A78E3" w:rsidRPr="0055569D" w:rsidRDefault="008A78E3"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értékpapírosítási és korreláció kereskedési pozíciók egyedi kockázata</w:t>
      </w:r>
    </w:p>
    <w:p w14:paraId="7FFFEC51" w14:textId="77777777" w:rsidR="008A78E3" w:rsidRPr="00AC5DB7" w:rsidRDefault="008A78E3" w:rsidP="00AB2106">
      <w:pPr>
        <w:pStyle w:val="felsorolsos"/>
        <w:ind w:left="1066" w:hanging="357"/>
        <w:rPr>
          <w:rFonts w:asciiTheme="minorHAnsi" w:hAnsiTheme="minorHAnsi"/>
        </w:rPr>
      </w:pPr>
      <w:r w:rsidRPr="00AC5DB7">
        <w:rPr>
          <w:rFonts w:asciiTheme="minorHAnsi" w:hAnsiTheme="minorHAnsi"/>
        </w:rPr>
        <w:t>a tevékenység egészében meglévő devizaárfolyam-kockázat,</w:t>
      </w:r>
    </w:p>
    <w:p w14:paraId="7FFFEC52" w14:textId="77777777" w:rsidR="008A78E3" w:rsidRPr="00AC5DB7" w:rsidRDefault="008A78E3" w:rsidP="00AB2106">
      <w:pPr>
        <w:pStyle w:val="felsorolsos"/>
        <w:ind w:left="1066" w:hanging="357"/>
        <w:rPr>
          <w:rFonts w:asciiTheme="minorHAnsi" w:hAnsiTheme="minorHAnsi"/>
        </w:rPr>
      </w:pPr>
      <w:r w:rsidRPr="00AC5DB7">
        <w:rPr>
          <w:rFonts w:asciiTheme="minorHAnsi" w:hAnsiTheme="minorHAnsi"/>
        </w:rPr>
        <w:t>a tevékenység egészében meglévő árukockázat.</w:t>
      </w:r>
    </w:p>
    <w:p w14:paraId="7FFFEC53"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kereskedési könyv elemei azok a pénzügyi eszközből vagy áruból álló pozíciók, amelyeket az intézmény kereskedési szándékkal vagy a kereskedési könyv elemeinek fedezése céljából tart. </w:t>
      </w:r>
    </w:p>
    <w:p w14:paraId="7FFFEC54" w14:textId="77777777" w:rsidR="008A78E3" w:rsidRPr="0055569D" w:rsidRDefault="008A78E3" w:rsidP="00AB2106">
      <w:pPr>
        <w:rPr>
          <w:rFonts w:asciiTheme="minorHAnsi" w:hAnsiTheme="minorHAnsi"/>
          <w:b/>
          <w:color w:val="auto"/>
        </w:rPr>
      </w:pPr>
      <w:r w:rsidRPr="0055569D">
        <w:rPr>
          <w:rFonts w:asciiTheme="minorHAnsi" w:hAnsiTheme="minorHAnsi"/>
          <w:b/>
          <w:color w:val="auto"/>
        </w:rPr>
        <w:t>Kockázatértékelés és -kezelés</w:t>
      </w:r>
    </w:p>
    <w:p w14:paraId="7FFFEC55"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Az intézmény vezetőségének rendszeresen át kell tekintenie a kereskedési könyvben lévő, piaci kockázatnak kitett pozícióit, a külső piaci környezetet, valamint a külső és belső változásokra megfelelő időben kell reagálnia. Célszerű az intézménynek erre a feladatra önálló egységet, bizottságot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 </w:t>
      </w:r>
    </w:p>
    <w:p w14:paraId="7FFFEC56" w14:textId="77777777" w:rsidR="008A78E3" w:rsidRPr="0055569D" w:rsidRDefault="008A78E3" w:rsidP="00AB2106">
      <w:pPr>
        <w:rPr>
          <w:rFonts w:asciiTheme="minorHAnsi" w:hAnsiTheme="minorHAnsi"/>
          <w:color w:val="auto"/>
        </w:rPr>
      </w:pPr>
      <w:r w:rsidRPr="0055569D">
        <w:rPr>
          <w:rFonts w:asciiTheme="minorHAnsi" w:hAnsiTheme="minorHAnsi"/>
          <w:color w:val="auto"/>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7FFFEC57" w14:textId="77777777" w:rsidR="008A78E3" w:rsidRPr="0055569D" w:rsidRDefault="008A78E3" w:rsidP="00AB2106">
      <w:pPr>
        <w:rPr>
          <w:rFonts w:asciiTheme="minorHAnsi" w:hAnsiTheme="minorHAnsi"/>
          <w:color w:val="auto"/>
        </w:rPr>
      </w:pPr>
      <w:r w:rsidRPr="0055569D">
        <w:rPr>
          <w:rFonts w:asciiTheme="minorHAnsi" w:hAnsiTheme="minorHAnsi"/>
          <w:color w:val="auto"/>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7FFFEC58"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piaci kockázatokat az intézménynek megfelelő kontrollmechanizmusokkal kell a vezetőség által meghatározott, illetve jóváhagyott stratégia/politika/belső szabályozás által megengedett mértéken belül tartania. A kereskedési könyvi árfolyam- és kamatpozíció, továbbá áru- és devizakockázatok kontrollálása érdekében az intézményeknek megfelelő limitrendszert kell működtetnie.  A kockázatnak kitett pozíciók nagyságát korlátozó volumenlimitek mellett a kockázat (pl. VaR limit) illetve a veszteség (pl. stop loss) mértékének keretek között tartását célzó limitek alkalmazása célszerű. A limitrendszer magában foglalja a napon belüli és overnight limiteket, ahol szükséges, üzletkötőkre, instrumentumokra, devizanemekre és különféle pozíciókra vonatkozóan. </w:t>
      </w:r>
    </w:p>
    <w:p w14:paraId="7FFFEC59" w14:textId="77777777" w:rsidR="008A78E3" w:rsidRPr="0055569D" w:rsidRDefault="008A78E3" w:rsidP="00AB2106">
      <w:pPr>
        <w:rPr>
          <w:rFonts w:asciiTheme="minorHAnsi" w:hAnsiTheme="minorHAnsi"/>
          <w:color w:val="auto"/>
        </w:rPr>
      </w:pPr>
      <w:r w:rsidRPr="0055569D">
        <w:rPr>
          <w:rFonts w:asciiTheme="minorHAnsi" w:hAnsiTheme="minorHAnsi"/>
          <w:color w:val="auto"/>
        </w:rPr>
        <w:t>A limittúllépések figyelemmel kísérése és rögzítése a piaci kockázat kezelési terület feladata. Ezen folyamatokról és szankciókról szabályzatban kell rendelkezni.</w:t>
      </w:r>
    </w:p>
    <w:p w14:paraId="7FFFEC5A" w14:textId="77777777" w:rsidR="008A78E3" w:rsidRPr="0055569D" w:rsidRDefault="008A78E3" w:rsidP="00AB2106">
      <w:pPr>
        <w:rPr>
          <w:rFonts w:asciiTheme="minorHAnsi" w:hAnsiTheme="minorHAnsi"/>
          <w:color w:val="auto"/>
        </w:rPr>
      </w:pPr>
      <w:r w:rsidRPr="0055569D">
        <w:rPr>
          <w:rFonts w:asciiTheme="minorHAnsi" w:hAnsiTheme="minorHAnsi"/>
          <w:color w:val="auto"/>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FFFEC5B"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7FFFEC5C" w14:textId="77777777" w:rsidR="008A78E3" w:rsidRPr="0055569D" w:rsidRDefault="008A78E3" w:rsidP="00AB2106">
      <w:pPr>
        <w:rPr>
          <w:rFonts w:asciiTheme="minorHAnsi" w:hAnsiTheme="minorHAnsi"/>
          <w:color w:val="auto"/>
        </w:rPr>
      </w:pPr>
      <w:r w:rsidRPr="0055569D">
        <w:rPr>
          <w:rFonts w:asciiTheme="minorHAnsi" w:hAnsiTheme="minorHAnsi"/>
          <w:color w:val="auto"/>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Pr>
          <w:rStyle w:val="Lbjegyzet-hivatkozs"/>
          <w:rFonts w:asciiTheme="minorHAnsi" w:hAnsiTheme="minorHAnsi"/>
          <w:color w:val="auto"/>
        </w:rPr>
        <w:footnoteReference w:id="90"/>
      </w:r>
      <w:r w:rsidRPr="0055569D">
        <w:rPr>
          <w:rFonts w:asciiTheme="minorHAnsi" w:hAnsiTheme="minorHAnsi"/>
          <w:color w:val="auto"/>
        </w:rPr>
        <w:t xml:space="preserve"> mekkora tartalék megképzése indokolt</w:t>
      </w:r>
      <w:r>
        <w:rPr>
          <w:rStyle w:val="Lbjegyzet-hivatkozs"/>
          <w:rFonts w:asciiTheme="minorHAnsi" w:hAnsiTheme="minorHAnsi"/>
          <w:color w:val="auto"/>
        </w:rPr>
        <w:footnoteReference w:id="91"/>
      </w:r>
      <w:r w:rsidRPr="0055569D">
        <w:rPr>
          <w:rFonts w:asciiTheme="minorHAnsi" w:hAnsiTheme="minorHAnsi"/>
          <w:color w:val="auto"/>
        </w:rPr>
        <w:t xml:space="preserve">. </w:t>
      </w:r>
    </w:p>
    <w:p w14:paraId="7FFFEC5D" w14:textId="77777777" w:rsidR="008A78E3" w:rsidRPr="0055569D" w:rsidRDefault="008A78E3" w:rsidP="00AB2106">
      <w:pPr>
        <w:rPr>
          <w:rFonts w:asciiTheme="minorHAnsi" w:hAnsiTheme="minorHAnsi"/>
          <w:color w:val="auto"/>
        </w:rPr>
      </w:pPr>
      <w:r w:rsidRPr="0055569D">
        <w:rPr>
          <w:rFonts w:asciiTheme="minorHAnsi" w:hAnsiTheme="minorHAnsi"/>
          <w:color w:val="auto"/>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7FFFEC5E" w14:textId="77777777" w:rsidR="008A78E3" w:rsidRPr="0055569D" w:rsidRDefault="008A78E3" w:rsidP="00AB2106">
      <w:pPr>
        <w:rPr>
          <w:rFonts w:asciiTheme="minorHAnsi" w:hAnsiTheme="minorHAnsi"/>
          <w:b/>
          <w:color w:val="auto"/>
        </w:rPr>
      </w:pPr>
      <w:r w:rsidRPr="0055569D">
        <w:rPr>
          <w:rFonts w:asciiTheme="minorHAnsi" w:hAnsiTheme="minorHAnsi"/>
          <w:b/>
          <w:color w:val="auto"/>
        </w:rPr>
        <w:t>Tőkekövetelmény-számítás</w:t>
      </w:r>
    </w:p>
    <w:p w14:paraId="7FFFEC5F" w14:textId="77777777" w:rsidR="008A78E3" w:rsidRPr="0055569D" w:rsidRDefault="008A78E3" w:rsidP="00AB2106">
      <w:pPr>
        <w:rPr>
          <w:rFonts w:asciiTheme="minorHAnsi" w:hAnsiTheme="minorHAnsi"/>
          <w:color w:val="auto"/>
        </w:rPr>
      </w:pPr>
      <w:r w:rsidRPr="0055569D">
        <w:rPr>
          <w:rFonts w:asciiTheme="minorHAnsi" w:hAnsiTheme="minorHAnsi"/>
          <w:color w:val="auto"/>
        </w:rPr>
        <w:t>A piaci kockázatok mérése és a kockázatokra elkülönített tőkeszükséglet meghatározása a kereskedési könyvi pozíciók, illetve a tevékenység egészében felmerülő árfolyam- és árukockázat esetén elvárt.</w:t>
      </w:r>
    </w:p>
    <w:p w14:paraId="7FFFEC60" w14:textId="77777777" w:rsidR="008A78E3" w:rsidRPr="0055569D" w:rsidRDefault="008A78E3" w:rsidP="00AB2106">
      <w:pPr>
        <w:rPr>
          <w:color w:val="auto"/>
        </w:rPr>
      </w:pPr>
      <w:r w:rsidRPr="0055569D">
        <w:rPr>
          <w:rFonts w:asciiTheme="minorHAnsi" w:hAnsiTheme="minorHAnsi"/>
          <w:color w:val="auto"/>
        </w:rPr>
        <w:t xml:space="preserve">Az MNB elvárja a felügyelt intézményektől, hogy az 1. pilléres tőkekövetelmény-számítás </w:t>
      </w:r>
      <w:r w:rsidRPr="00E87D60">
        <w:rPr>
          <w:rFonts w:asciiTheme="minorHAnsi" w:hAnsiTheme="minorHAnsi"/>
          <w:color w:val="auto"/>
        </w:rPr>
        <w:t xml:space="preserve">és az ehhez tartozó jelentési kötelezettségek </w:t>
      </w:r>
      <w:r w:rsidRPr="0055569D">
        <w:rPr>
          <w:rFonts w:asciiTheme="minorHAnsi" w:hAnsiTheme="minorHAnsi"/>
          <w:color w:val="auto"/>
        </w:rPr>
        <w:t xml:space="preserve">összhangban </w:t>
      </w:r>
      <w:r w:rsidRPr="00E87D60">
        <w:rPr>
          <w:rFonts w:asciiTheme="minorHAnsi" w:hAnsiTheme="minorHAnsi"/>
          <w:color w:val="auto"/>
        </w:rPr>
        <w:t>legyenek</w:t>
      </w:r>
      <w:r w:rsidRPr="0055569D">
        <w:rPr>
          <w:rFonts w:asciiTheme="minorHAnsi" w:hAnsiTheme="minorHAnsi"/>
          <w:color w:val="auto"/>
        </w:rPr>
        <w:t xml:space="preserve"> a </w:t>
      </w:r>
      <w:r w:rsidRPr="00E87D60">
        <w:rPr>
          <w:rFonts w:asciiTheme="minorHAnsi" w:hAnsiTheme="minorHAnsi"/>
          <w:color w:val="auto"/>
        </w:rPr>
        <w:t>CRR2/FRTB</w:t>
      </w:r>
      <w:r w:rsidRPr="0055569D">
        <w:rPr>
          <w:rFonts w:asciiTheme="minorHAnsi" w:hAnsiTheme="minorHAnsi"/>
          <w:color w:val="auto"/>
        </w:rPr>
        <w:t xml:space="preserve"> előírásaival</w:t>
      </w:r>
      <w:r w:rsidRPr="00E87D60">
        <w:rPr>
          <w:rFonts w:asciiTheme="minorHAnsi" w:hAnsiTheme="minorHAnsi"/>
          <w:color w:val="auto"/>
        </w:rPr>
        <w:t>, és az ehhez</w:t>
      </w:r>
      <w:r w:rsidRPr="0055569D">
        <w:rPr>
          <w:rFonts w:asciiTheme="minorHAnsi" w:hAnsiTheme="minorHAnsi"/>
          <w:color w:val="auto"/>
        </w:rPr>
        <w:t xml:space="preserve"> kapcsolódó </w:t>
      </w:r>
      <w:r w:rsidRPr="00E87D60">
        <w:rPr>
          <w:rFonts w:asciiTheme="minorHAnsi" w:hAnsiTheme="minorHAnsi"/>
          <w:color w:val="auto"/>
        </w:rPr>
        <w:t>iránymutatásokkal (pl.</w:t>
      </w:r>
      <w:r w:rsidRPr="0055569D">
        <w:rPr>
          <w:rFonts w:asciiTheme="minorHAnsi" w:hAnsiTheme="minorHAnsi"/>
          <w:color w:val="auto"/>
        </w:rPr>
        <w:t xml:space="preserve"> EBA/GL/2020/09 </w:t>
      </w:r>
      <w:r w:rsidRPr="00E87D60">
        <w:rPr>
          <w:rFonts w:asciiTheme="minorHAnsi" w:hAnsiTheme="minorHAnsi"/>
          <w:color w:val="auto"/>
        </w:rPr>
        <w:t xml:space="preserve">– </w:t>
      </w:r>
      <w:r w:rsidRPr="0055569D">
        <w:rPr>
          <w:rFonts w:asciiTheme="minorHAnsi" w:hAnsiTheme="minorHAnsi"/>
          <w:color w:val="auto"/>
        </w:rPr>
        <w:t>Guidelines on structural FX</w:t>
      </w:r>
      <w:r w:rsidRPr="00E87D60">
        <w:rPr>
          <w:rFonts w:asciiTheme="minorHAnsi" w:hAnsiTheme="minorHAnsi"/>
          <w:color w:val="auto"/>
        </w:rPr>
        <w:t xml:space="preserve">). </w:t>
      </w:r>
    </w:p>
    <w:p w14:paraId="7FFFEC61" w14:textId="77777777" w:rsidR="008A78E3" w:rsidRPr="0055569D" w:rsidRDefault="008A78E3" w:rsidP="00AB2106">
      <w:pPr>
        <w:rPr>
          <w:rFonts w:asciiTheme="minorHAnsi" w:hAnsiTheme="minorHAnsi"/>
          <w:color w:val="auto"/>
        </w:rPr>
      </w:pPr>
      <w:r>
        <w:rPr>
          <w:rFonts w:asciiTheme="minorHAnsi" w:hAnsiTheme="minorHAnsi"/>
          <w:color w:val="auto"/>
        </w:rPr>
        <w:t xml:space="preserve">Minden </w:t>
      </w:r>
      <w:r w:rsidRPr="0055569D">
        <w:rPr>
          <w:rFonts w:asciiTheme="minorHAnsi" w:hAnsiTheme="minorHAnsi"/>
          <w:color w:val="auto"/>
        </w:rPr>
        <w:t>kereskedési portfólióval,</w:t>
      </w:r>
      <w:r>
        <w:rPr>
          <w:rFonts w:asciiTheme="minorHAnsi" w:hAnsiTheme="minorHAnsi"/>
          <w:color w:val="auto"/>
        </w:rPr>
        <w:t xml:space="preserve"> </w:t>
      </w:r>
      <w:r w:rsidRPr="0055569D">
        <w:rPr>
          <w:rFonts w:asciiTheme="minorHAnsi" w:hAnsiTheme="minorHAnsi"/>
          <w:color w:val="auto"/>
        </w:rPr>
        <w:t>pozíciókkal rendelkező intézményre vonatkozóan elvárás, hogy a piaci kockázatok, – beleértve a tevékenység egészében fennálló devizaárfolyam kockázatot – kimutatása pontosabb, kockázatérzékenyebb módszerekkel történjen</w:t>
      </w:r>
      <w:r>
        <w:rPr>
          <w:rFonts w:asciiTheme="minorHAnsi" w:hAnsiTheme="minorHAnsi"/>
          <w:color w:val="auto"/>
        </w:rPr>
        <w:t>,</w:t>
      </w:r>
      <w:r w:rsidRPr="0055569D">
        <w:rPr>
          <w:rFonts w:asciiTheme="minorHAnsi" w:hAnsiTheme="minorHAnsi"/>
          <w:color w:val="auto"/>
        </w:rPr>
        <w:t xml:space="preserve"> tehát attól függetlenül, hogy a felügyeleti jelentéstételi kötelezettségnek az intézmény mely módszer szerint tesz eleget (sztenderd vagy belső modell-módszer), </w:t>
      </w:r>
      <w:r>
        <w:rPr>
          <w:rFonts w:asciiTheme="minorHAnsi" w:hAnsiTheme="minorHAnsi"/>
          <w:color w:val="auto"/>
        </w:rPr>
        <w:t>elvárás</w:t>
      </w:r>
      <w:r w:rsidRPr="0055569D">
        <w:rPr>
          <w:rFonts w:asciiTheme="minorHAnsi" w:hAnsiTheme="minorHAnsi"/>
          <w:color w:val="auto"/>
        </w:rPr>
        <w:t>, hogy az ICAAP részeként valamilyen fejlett, kockáztatott-érték (VaR) alapon működő módszertant fejlesszen ki és alkalmazzon. Utóbbi esetben operatív kockázatkezelés céljából (pl. limitek meghatározásakor) elfogadott, ha a belső modell alkalmazásakor az intézmény a kockázatait (megítélése szerint) jobban tükröző paramétereket</w:t>
      </w:r>
      <w:r>
        <w:rPr>
          <w:color w:val="auto"/>
          <w:vertAlign w:val="superscript"/>
        </w:rPr>
        <w:footnoteReference w:id="92"/>
      </w:r>
      <w:r w:rsidRPr="0055569D">
        <w:rPr>
          <w:rFonts w:asciiTheme="minorHAnsi" w:hAnsiTheme="minorHAnsi"/>
          <w:color w:val="auto"/>
        </w:rPr>
        <w:t xml:space="preserve"> használja, és nem a szabályozásban rögzítetteket, azonban tőkekövetelmény számításához az MNB 99%-os konfidenciaszintet, és 10 napos tartási periódust vár el a VaR alapú számítások esetében. Továbbá figyelembe véve a szabályozási fejleményeket (Fundamental Review of Trading Book – FRTB), az expected shortfall (ES) modell alkalmazása is elfogadható. </w:t>
      </w:r>
      <w:r w:rsidRPr="00E87D60">
        <w:rPr>
          <w:rFonts w:asciiTheme="minorHAnsi" w:hAnsiTheme="minorHAnsi"/>
          <w:color w:val="auto"/>
        </w:rPr>
        <w:t xml:space="preserve">(Megjegyzés: </w:t>
      </w:r>
      <w:r w:rsidRPr="0055569D">
        <w:rPr>
          <w:rFonts w:asciiTheme="minorHAnsi" w:hAnsiTheme="minorHAnsi"/>
          <w:color w:val="auto"/>
        </w:rPr>
        <w:t xml:space="preserve">Az </w:t>
      </w:r>
      <w:r w:rsidRPr="00E87D60">
        <w:rPr>
          <w:rFonts w:asciiTheme="minorHAnsi" w:hAnsiTheme="minorHAnsi"/>
          <w:color w:val="auto"/>
        </w:rPr>
        <w:t xml:space="preserve">1. pillér alatti alternatív belső modellben alkalmazott </w:t>
      </w:r>
      <w:r w:rsidRPr="0055569D">
        <w:rPr>
          <w:rFonts w:asciiTheme="minorHAnsi" w:hAnsiTheme="minorHAnsi"/>
          <w:color w:val="auto"/>
        </w:rPr>
        <w:t xml:space="preserve">ES-modell alkalmazása </w:t>
      </w:r>
      <w:r w:rsidRPr="00E87D60">
        <w:rPr>
          <w:rFonts w:asciiTheme="minorHAnsi" w:hAnsiTheme="minorHAnsi"/>
          <w:color w:val="auto"/>
        </w:rPr>
        <w:t>során</w:t>
      </w:r>
      <w:r w:rsidRPr="0055569D">
        <w:rPr>
          <w:rFonts w:asciiTheme="minorHAnsi" w:hAnsiTheme="minorHAnsi"/>
          <w:color w:val="auto"/>
        </w:rPr>
        <w:t xml:space="preserve"> az MNB elvárja, hogy az intézmények </w:t>
      </w:r>
      <w:r w:rsidRPr="00E87D60">
        <w:rPr>
          <w:rFonts w:asciiTheme="minorHAnsi" w:hAnsiTheme="minorHAnsi"/>
          <w:color w:val="auto"/>
        </w:rPr>
        <w:t>kövessenek minden megjelent EBA iránymutatást, pl. EBA/GL/2021/07 Iránymutatás</w:t>
      </w:r>
      <w:r w:rsidRPr="0055569D">
        <w:rPr>
          <w:rFonts w:asciiTheme="minorHAnsi" w:hAnsiTheme="minorHAnsi"/>
          <w:color w:val="auto"/>
        </w:rPr>
        <w:t xml:space="preserve"> a </w:t>
      </w:r>
      <w:r w:rsidRPr="00E87D60">
        <w:rPr>
          <w:rFonts w:asciiTheme="minorHAnsi" w:hAnsiTheme="minorHAnsi"/>
          <w:color w:val="auto"/>
        </w:rPr>
        <w:t xml:space="preserve">beérkező adatok IMA-ban </w:t>
      </w:r>
      <w:r w:rsidRPr="0055569D">
        <w:rPr>
          <w:rFonts w:asciiTheme="minorHAnsi" w:hAnsiTheme="minorHAnsi"/>
          <w:color w:val="auto"/>
        </w:rPr>
        <w:t>történő használatáról</w:t>
      </w:r>
      <w:r w:rsidRPr="00E87D60">
        <w:rPr>
          <w:rFonts w:asciiTheme="minorHAnsi" w:hAnsiTheme="minorHAnsi"/>
          <w:color w:val="auto"/>
        </w:rPr>
        <w:t>.)</w:t>
      </w:r>
    </w:p>
    <w:p w14:paraId="7FFFEC62"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deviza árfolyamkockázatra vonatkozóan az egyszerűsített felügyeleti felülvizsgálat körébe tartozó hitelintézetek esetében is elvárt a felügyeleti honlapon található VaR modell vagy az intézmény által fejlesztett belső modell alkalmazása, akkor is, ha a nyitott pozíció nagysága nem haladja meg a CRR által a szavatoló tőke 2%-ban meghatározott küszöbértéket. </w:t>
      </w:r>
    </w:p>
    <w:p w14:paraId="7FFFEC63"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7FFFEC64" w14:textId="77777777" w:rsidR="008A78E3" w:rsidRPr="0055569D" w:rsidRDefault="008A78E3" w:rsidP="00AB2106">
      <w:pPr>
        <w:rPr>
          <w:rFonts w:asciiTheme="minorHAnsi" w:hAnsiTheme="minorHAnsi"/>
          <w:color w:val="auto"/>
        </w:rPr>
      </w:pPr>
      <w:r w:rsidRPr="0055569D">
        <w:rPr>
          <w:rFonts w:asciiTheme="minorHAnsi" w:hAnsiTheme="minorHAnsi"/>
          <w:color w:val="auto"/>
        </w:rPr>
        <w:t>Az EBA iránymutatást</w:t>
      </w:r>
      <w:r>
        <w:rPr>
          <w:rFonts w:asciiTheme="minorHAnsi" w:hAnsiTheme="minorHAnsi"/>
          <w:color w:val="auto"/>
          <w:vertAlign w:val="superscript"/>
        </w:rPr>
        <w:footnoteReference w:id="93"/>
      </w:r>
      <w:r w:rsidRPr="0055569D">
        <w:rPr>
          <w:rFonts w:asciiTheme="minorHAnsi" w:hAnsiTheme="minorHAnsi"/>
          <w:color w:val="auto"/>
        </w:rPr>
        <w:t xml:space="preserve"> adott ki a piaci kockázat szabályozói tőkekövetelményét belső modell módszerrel (Internal Model Approach) számító intézmények számára. A „Guidelines on Stressed Value At Risk”</w:t>
      </w:r>
      <w:r>
        <w:rPr>
          <w:rStyle w:val="Lbjegyzet-hivatkozs"/>
          <w:rFonts w:asciiTheme="minorHAnsi" w:hAnsiTheme="minorHAnsi"/>
          <w:color w:val="auto"/>
        </w:rPr>
        <w:footnoteReference w:id="94"/>
      </w:r>
      <w:r w:rsidRPr="0055569D">
        <w:rPr>
          <w:rFonts w:asciiTheme="minorHAnsi" w:hAnsiTheme="minorHAnsi"/>
          <w:color w:val="auto"/>
        </w:rPr>
        <w:t xml:space="preserve"> iránymutatásokat tartalmaz a stressz periódus meghatározására, a stresszelt VaR módszertanra és a use teszt-re vonatkozóan. Az MNB az ICAAP során belső modelleket használó intézményektől elvárja, hogy a hivatkozott EBA iránymutatást a modell kialakítása során figyelembe vegyék. </w:t>
      </w:r>
    </w:p>
    <w:p w14:paraId="7FFFEC65" w14:textId="77777777" w:rsidR="008A78E3" w:rsidRPr="0055569D" w:rsidRDefault="008A78E3" w:rsidP="00AB2106">
      <w:pPr>
        <w:rPr>
          <w:rFonts w:asciiTheme="minorHAnsi" w:hAnsiTheme="minorHAnsi"/>
          <w:color w:val="auto"/>
        </w:rPr>
      </w:pPr>
      <w:r w:rsidRPr="0055569D">
        <w:rPr>
          <w:rFonts w:asciiTheme="minorHAnsi" w:hAnsiTheme="minorHAnsi"/>
          <w:color w:val="auto"/>
        </w:rPr>
        <w:t>A 2. pilléres tőkekövetelmény meghatározása során az MNB elvárja, hogy a bankok a stresszelt kockáztatott értéket is vegyék figyelembe oly módon, hogy amennyiben a normál VaR alapú tőkekövetelményt az utolsó stresszelt VaR és az előző 60 nap átlagos stresszelt VaR 1,5-szerese</w:t>
      </w:r>
      <w:r>
        <w:rPr>
          <w:rStyle w:val="Lbjegyzet-hivatkozs"/>
          <w:rFonts w:asciiTheme="minorHAnsi" w:hAnsiTheme="minorHAnsi"/>
          <w:color w:val="auto"/>
        </w:rPr>
        <w:footnoteReference w:id="95"/>
      </w:r>
      <w:r w:rsidRPr="0055569D">
        <w:rPr>
          <w:rFonts w:asciiTheme="minorHAnsi" w:hAnsiTheme="minorHAnsi"/>
          <w:color w:val="auto"/>
        </w:rPr>
        <w:t xml:space="preserve"> közül a nagyobb érték meghaladja, úgy a stresszelt kockáztatott érték alapon számolt érték adja a 2. pillérben alkalmazandó tőkekövetelményt.</w:t>
      </w:r>
    </w:p>
    <w:p w14:paraId="7FFFEC66" w14:textId="77777777" w:rsidR="008A78E3" w:rsidRPr="0055569D" w:rsidRDefault="009D2DE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Teljes</m:t>
              </m:r>
            </m:sub>
          </m:sSub>
          <m:r>
            <w:rPr>
              <w:rFonts w:ascii="Cambria Math" w:hAnsi="Cambria Math"/>
              <w:color w:val="auto"/>
            </w:rPr>
            <m:t>=Max(</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 xml:space="preserve">; </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VaR </m:t>
              </m:r>
            </m:sub>
          </m:sSub>
          <m:r>
            <w:rPr>
              <w:rFonts w:ascii="Cambria Math" w:hAnsi="Cambria Math"/>
              <w:color w:val="auto"/>
            </w:rPr>
            <m:t>)</m:t>
          </m:r>
        </m:oMath>
      </m:oMathPara>
    </w:p>
    <w:p w14:paraId="7FFFEC67" w14:textId="77777777" w:rsidR="008A78E3" w:rsidRPr="0055569D" w:rsidRDefault="009D2DE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(1,5*átlag</m:t>
          </m:r>
          <m:d>
            <m:dPr>
              <m:ctrlPr>
                <w:rPr>
                  <w:rFonts w:ascii="Cambria Math" w:hAnsi="Cambria Math"/>
                  <w:i/>
                  <w:color w:val="auto"/>
                </w:rPr>
              </m:ctrlPr>
            </m:dPr>
            <m:e>
              <m:r>
                <w:rPr>
                  <w:rFonts w:ascii="Cambria Math" w:hAnsi="Cambria Math"/>
                  <w:color w:val="auto"/>
                </w:rPr>
                <m:t>előző 60 nap SVaR</m:t>
              </m:r>
            </m:e>
          </m:d>
          <m:r>
            <w:rPr>
              <w:rFonts w:ascii="Cambria Math" w:hAnsi="Cambria Math"/>
              <w:color w:val="auto"/>
            </w:rPr>
            <m:t>, 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FFFEC68" w14:textId="77777777" w:rsidR="008A78E3" w:rsidRPr="0055569D" w:rsidRDefault="009D2DE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(k*átlag</m:t>
          </m:r>
          <m:d>
            <m:dPr>
              <m:ctrlPr>
                <w:rPr>
                  <w:rFonts w:ascii="Cambria Math" w:hAnsi="Cambria Math"/>
                  <w:i/>
                  <w:color w:val="auto"/>
                </w:rPr>
              </m:ctrlPr>
            </m:dPr>
            <m:e>
              <m:r>
                <w:rPr>
                  <w:rFonts w:ascii="Cambria Math" w:hAnsi="Cambria Math"/>
                  <w:color w:val="auto"/>
                </w:rPr>
                <m:t>előző 60 nap VaR</m:t>
              </m:r>
            </m:e>
          </m:d>
          <m:r>
            <w:rPr>
              <w:rFonts w:ascii="Cambria Math" w:hAnsi="Cambria Math"/>
              <w:color w:val="auto"/>
            </w:rPr>
            <m:t>, 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FFFEC69" w14:textId="77777777" w:rsidR="008A78E3" w:rsidRPr="0055569D" w:rsidRDefault="008A78E3" w:rsidP="00AB2106">
      <w:pPr>
        <w:rPr>
          <w:rFonts w:asciiTheme="minorHAnsi" w:hAnsiTheme="minorHAnsi"/>
          <w:color w:val="auto"/>
          <w:sz w:val="20"/>
        </w:rPr>
      </w:pPr>
      <w:r w:rsidRPr="0055569D">
        <w:rPr>
          <w:rFonts w:asciiTheme="minorHAnsi" w:hAnsiTheme="minorHAnsi"/>
          <w:color w:val="auto"/>
          <w:sz w:val="20"/>
        </w:rPr>
        <w:t xml:space="preserve">ahol k: a back test </w:t>
      </w:r>
      <w:r w:rsidRPr="00E87D60">
        <w:rPr>
          <w:rFonts w:asciiTheme="minorHAnsi" w:hAnsiTheme="minorHAnsi"/>
          <w:color w:val="auto"/>
          <w:sz w:val="20"/>
        </w:rPr>
        <w:t>eredményétől</w:t>
      </w:r>
      <w:r w:rsidRPr="0055569D">
        <w:rPr>
          <w:rFonts w:asciiTheme="minorHAnsi" w:hAnsiTheme="minorHAnsi"/>
          <w:color w:val="auto"/>
          <w:sz w:val="20"/>
        </w:rPr>
        <w:t xml:space="preserve"> függő korrekciós faktor, minimum =3</w:t>
      </w:r>
    </w:p>
    <w:p w14:paraId="7FFFEC6A"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belső modelleket használók számára alapkövetelmény, hogy megtörténjen a modell teljesítményének rendszeres visszamérése és értékelése. A visszamérés és értékelés eredményeit a piaci kockázatkezelésért felelős felsővezetői testületnek rendszeresen át kell tekintenie. </w:t>
      </w:r>
    </w:p>
    <w:p w14:paraId="7FFFEC6B" w14:textId="77777777" w:rsidR="008A78E3" w:rsidRPr="0055569D" w:rsidRDefault="008A78E3" w:rsidP="00AB2106">
      <w:pPr>
        <w:rPr>
          <w:rFonts w:asciiTheme="minorHAnsi" w:hAnsiTheme="minorHAnsi"/>
          <w:color w:val="auto"/>
        </w:rPr>
      </w:pPr>
    </w:p>
    <w:p w14:paraId="7FFFEC6C" w14:textId="77777777" w:rsidR="008A78E3" w:rsidRPr="0055569D" w:rsidRDefault="008A78E3" w:rsidP="00AB2106">
      <w:pPr>
        <w:rPr>
          <w:rFonts w:asciiTheme="minorHAnsi" w:hAnsiTheme="minorHAnsi"/>
          <w:b/>
          <w:color w:val="auto"/>
        </w:rPr>
      </w:pPr>
      <w:r w:rsidRPr="0055569D">
        <w:rPr>
          <w:rFonts w:asciiTheme="minorHAnsi" w:hAnsiTheme="minorHAnsi"/>
          <w:b/>
          <w:color w:val="auto"/>
        </w:rPr>
        <w:t>ICAAP felülvizsgálat</w:t>
      </w:r>
    </w:p>
    <w:p w14:paraId="7FFFEC6D" w14:textId="77777777" w:rsidR="008A78E3" w:rsidRPr="0055569D" w:rsidRDefault="008A78E3" w:rsidP="00AB2106">
      <w:pPr>
        <w:rPr>
          <w:rFonts w:asciiTheme="minorHAnsi" w:hAnsiTheme="minorHAnsi"/>
          <w:color w:val="auto"/>
        </w:rPr>
      </w:pPr>
      <w:r w:rsidRPr="0055569D">
        <w:rPr>
          <w:rFonts w:asciiTheme="minorHAnsi" w:hAnsiTheme="minorHAnsi"/>
          <w:color w:val="auto"/>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kereskedési portfólióval rendelkező intézmény az összes lényeges kockázati tényezőre vonatkozóan historikus vagy matematikai-statisztikai módszerekkel is felmérje kockázati kitettségét. Az MNB a teljeskörű és fókuszált ICAAP felülvizsgálat alá tartozó intézmények esetében ennek hiányában az adott kitettség-profilhoz igazodó mértékű pótlólagos tőkeszükségletet ír elő a kereskedési könyvben jelentkező piaci kockázatok fedezeteként. </w:t>
      </w:r>
    </w:p>
    <w:p w14:paraId="7FFFEC6E" w14:textId="77777777" w:rsidR="008A78E3" w:rsidRPr="0055569D" w:rsidRDefault="008A78E3" w:rsidP="00AB2106">
      <w:pPr>
        <w:rPr>
          <w:rFonts w:asciiTheme="minorHAnsi" w:hAnsiTheme="minorHAnsi"/>
          <w:color w:val="auto"/>
        </w:rPr>
      </w:pPr>
      <w:r w:rsidRPr="0055569D">
        <w:rPr>
          <w:rFonts w:asciiTheme="minorHAnsi" w:hAnsiTheme="minorHAnsi"/>
          <w:color w:val="auto"/>
        </w:rPr>
        <w:t>A belső tőkeszámítás szemléletmódjával összhangban</w:t>
      </w:r>
      <w:r>
        <w:rPr>
          <w:rFonts w:asciiTheme="minorHAnsi" w:hAnsiTheme="minorHAnsi"/>
          <w:color w:val="auto"/>
        </w:rPr>
        <w:t>, a VaR- és sVaR-számítások esetén</w:t>
      </w:r>
      <w:r w:rsidRPr="0055569D">
        <w:rPr>
          <w:rFonts w:asciiTheme="minorHAnsi" w:hAnsiTheme="minorHAnsi"/>
          <w:color w:val="auto"/>
        </w:rPr>
        <w:t xml:space="preserve">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teljeskörű és fókuszált ICAAP felülvizsgálat alá tartozó intézmények esetében csak a következő feltételek fennállása esetén találja teljes mértékben megfelelőnek a piaci kockázatok kezelését a 2. pillérben: </w:t>
      </w:r>
    </w:p>
    <w:p w14:paraId="7FFFEC6F" w14:textId="77777777" w:rsidR="008A78E3" w:rsidRPr="00AC5DB7" w:rsidRDefault="008A78E3" w:rsidP="00AB2106">
      <w:pPr>
        <w:pStyle w:val="felsorolsos"/>
        <w:rPr>
          <w:rFonts w:asciiTheme="minorHAnsi" w:hAnsiTheme="minorHAnsi"/>
        </w:rPr>
      </w:pPr>
      <w:r w:rsidRPr="00AC5DB7">
        <w:rPr>
          <w:rFonts w:asciiTheme="minorHAnsi" w:hAnsiTheme="minorHAnsi"/>
        </w:rPr>
        <w:t>Az intézmény rendelkezik „stresszelt kockáztatott érték” (továbbiakban sVaR) mutatóval is.</w:t>
      </w:r>
    </w:p>
    <w:p w14:paraId="7FFFEC70" w14:textId="77777777" w:rsidR="008A78E3" w:rsidRPr="00AC5DB7" w:rsidRDefault="008A78E3" w:rsidP="00AB2106">
      <w:pPr>
        <w:pStyle w:val="felsorolsos"/>
        <w:rPr>
          <w:rFonts w:asciiTheme="minorHAnsi" w:hAnsiTheme="minorHAnsi"/>
        </w:rPr>
      </w:pPr>
      <w:r w:rsidRPr="00AC5DB7">
        <w:rPr>
          <w:rFonts w:asciiTheme="minorHAnsi" w:hAnsiTheme="minorHAnsi"/>
        </w:rPr>
        <w:t>A stresszelt kockáztatott érték szerepet kap a tőkeszükséglet meghatározásának folyamatában.</w:t>
      </w:r>
    </w:p>
    <w:p w14:paraId="7FFFEC71" w14:textId="77777777" w:rsidR="008A78E3" w:rsidRPr="00AC5DB7" w:rsidRDefault="008A78E3" w:rsidP="00AB2106">
      <w:pPr>
        <w:pStyle w:val="felsorolsos"/>
        <w:rPr>
          <w:rFonts w:asciiTheme="minorHAnsi" w:hAnsiTheme="minorHAnsi"/>
        </w:rPr>
      </w:pPr>
      <w:r w:rsidRPr="00AC5DB7">
        <w:rPr>
          <w:rFonts w:asciiTheme="minorHAnsi" w:hAnsiTheme="minorHAnsi"/>
        </w:rPr>
        <w:t>Az intézmény az összesített kockázat VaR és sVaR mellett a következő kockázati kategóriákra önálló VaR és sVaR számokat is</w:t>
      </w:r>
      <w:r>
        <w:rPr>
          <w:rFonts w:asciiTheme="minorHAnsi" w:hAnsiTheme="minorHAnsi"/>
        </w:rPr>
        <w:t xml:space="preserve"> számol (</w:t>
      </w:r>
      <w:r w:rsidRPr="00AC5DB7">
        <w:rPr>
          <w:rFonts w:asciiTheme="minorHAnsi" w:hAnsiTheme="minorHAnsi"/>
        </w:rPr>
        <w:t>kamatlábkockázat, devizaárfolyam-kockázat, részvénykockázat, árukockázat</w:t>
      </w:r>
      <w:r>
        <w:rPr>
          <w:rFonts w:asciiTheme="minorHAnsi" w:hAnsiTheme="minorHAnsi"/>
        </w:rPr>
        <w:t>). Az intézmény nem alkalmazhatja az 1.pilléres módszertanokat egyik kockázati faktor esetén sem.</w:t>
      </w:r>
    </w:p>
    <w:p w14:paraId="7FFFEC72" w14:textId="77777777" w:rsidR="008A78E3" w:rsidRPr="00AC5DB7" w:rsidRDefault="008A78E3" w:rsidP="00AB2106">
      <w:pPr>
        <w:pStyle w:val="felsorolsos"/>
        <w:rPr>
          <w:rFonts w:asciiTheme="minorHAnsi" w:hAnsiTheme="minorHAnsi"/>
        </w:rPr>
      </w:pPr>
      <w:r w:rsidRPr="00AC5DB7">
        <w:rPr>
          <w:rFonts w:asciiTheme="minorHAnsi" w:hAnsiTheme="minorHAnsi"/>
        </w:rPr>
        <w:t>Az kockázati kategóriák önálló VaR számai mellett az MNB ajánlja, hogy az intézmény rendelkezzen komponens vagy inkrementális VaR jellegű számításokkal is.</w:t>
      </w:r>
    </w:p>
    <w:p w14:paraId="7FFFEC73" w14:textId="77777777" w:rsidR="008A78E3" w:rsidRPr="00AC5DB7" w:rsidRDefault="008A78E3" w:rsidP="00AB2106">
      <w:pPr>
        <w:pStyle w:val="felsorolsos"/>
        <w:rPr>
          <w:rFonts w:asciiTheme="minorHAnsi" w:hAnsiTheme="minorHAnsi"/>
        </w:rPr>
      </w:pPr>
      <w:r w:rsidRPr="00AC5DB7">
        <w:rPr>
          <w:rFonts w:asciiTheme="minorHAnsi" w:hAnsiTheme="minorHAnsi"/>
        </w:rPr>
        <w:t>A napi és helyi szintű kockázatmérést rendszeres visszamérés egészíti ki, amely során utólagosan összehasonlításra kerül a modell által generált kockázati mértéknek és a portfólió tényleges és hipotetikus múltbeli értékváltozásának viszonya. Hipotetikus értékváltozásnak a változatlan nap végi pozíciókkal számolt eredményhatást tekintjük. A tényleges értékváltozásnál az adott napi eredményből ki kell vonni a díjakat, jutalékokat és a nettó kamatbevételt. Itt az MNB elvárja az intézmény az önálló kockázati kategóriák VaR értékeinek és az összesített kockázati VaR értékek visszatesztelését is.</w:t>
      </w:r>
    </w:p>
    <w:p w14:paraId="7FFFEC74" w14:textId="77777777" w:rsidR="008A78E3" w:rsidRPr="00AC5DB7" w:rsidRDefault="008A78E3" w:rsidP="00AB2106">
      <w:pPr>
        <w:pStyle w:val="felsorolsos"/>
        <w:rPr>
          <w:rFonts w:asciiTheme="minorHAnsi" w:hAnsiTheme="minorHAnsi"/>
        </w:rPr>
      </w:pPr>
      <w:r w:rsidRPr="00AC5DB7">
        <w:rPr>
          <w:rFonts w:asciiTheme="minorHAnsi" w:hAnsiTheme="minorHAnsi"/>
        </w:rPr>
        <w:t>Az előbbiek mellett az MNB ajánlja, hogy az intézmény végezze el a kockázati modelljére a bázeli FRTB ajánlásban található PLA tesztet vagy hasonló eljárást a modell teljességének ellenőrzésére.</w:t>
      </w:r>
    </w:p>
    <w:p w14:paraId="7FFFEC75" w14:textId="77777777" w:rsidR="008A78E3" w:rsidRPr="00AC5DB7" w:rsidRDefault="008A78E3" w:rsidP="00AB2106">
      <w:pPr>
        <w:pStyle w:val="felsorolsos"/>
        <w:rPr>
          <w:rFonts w:asciiTheme="minorHAnsi" w:hAnsiTheme="minorHAnsi"/>
        </w:rPr>
      </w:pPr>
      <w:r w:rsidRPr="00AC5DB7">
        <w:rPr>
          <w:rFonts w:asciiTheme="minorHAnsi" w:hAnsiTheme="minorHAnsi"/>
        </w:rPr>
        <w:t>A belső kereskedési és kitettség-vállalási limitek az intézmény kockázati étvágyával és a kockázatmérési rendszer szofisztikáltságával egyaránt összhangban vannak.</w:t>
      </w:r>
    </w:p>
    <w:p w14:paraId="7FFFEC76" w14:textId="77777777" w:rsidR="008A78E3" w:rsidRPr="00AC5DB7" w:rsidRDefault="008A78E3" w:rsidP="00AB2106">
      <w:pPr>
        <w:pStyle w:val="felsorolsos"/>
        <w:rPr>
          <w:rFonts w:asciiTheme="minorHAnsi" w:hAnsiTheme="minorHAnsi"/>
        </w:rPr>
      </w:pPr>
      <w:r w:rsidRPr="00AC5DB7">
        <w:rPr>
          <w:rFonts w:asciiTheme="minorHAnsi" w:hAnsiTheme="minorHAnsi"/>
        </w:rPr>
        <w:t>A napi kockázatmérést időszakos stressz-tesztelési program egészíti ki, amely kiterjed az összes releváns kockázati faktor változásának vizsgálatára.</w:t>
      </w:r>
    </w:p>
    <w:p w14:paraId="7FFFEC77" w14:textId="77777777" w:rsidR="008A78E3" w:rsidRPr="00AC5DB7" w:rsidRDefault="008A78E3" w:rsidP="00AB2106">
      <w:pPr>
        <w:pStyle w:val="felsorolsos"/>
        <w:rPr>
          <w:rFonts w:asciiTheme="minorHAnsi" w:hAnsiTheme="minorHAnsi"/>
        </w:rPr>
      </w:pPr>
      <w:r w:rsidRPr="00AC5DB7">
        <w:rPr>
          <w:rFonts w:asciiTheme="minorHAnsi" w:hAnsiTheme="minorHAnsi"/>
        </w:rPr>
        <w:t>A piaci kockázati adatbázis folyamatosan frissítésre, az alkalmazott sokkok mértéke pedig újraértékelésre kerül.</w:t>
      </w:r>
    </w:p>
    <w:p w14:paraId="7FFFEC78" w14:textId="77777777" w:rsidR="008A78E3" w:rsidRPr="00AC5DB7" w:rsidRDefault="008A78E3" w:rsidP="00AB2106">
      <w:pPr>
        <w:pStyle w:val="felsorolsos"/>
        <w:rPr>
          <w:rFonts w:asciiTheme="minorHAnsi" w:hAnsiTheme="minorHAnsi"/>
        </w:rPr>
      </w:pPr>
      <w:r w:rsidRPr="00AC5DB7">
        <w:rPr>
          <w:rFonts w:asciiTheme="minorHAnsi" w:hAnsiTheme="minorHAnsi"/>
        </w:rPr>
        <w:t>A modellezéshez felhasznált piaci kockázati tényezők köre kiterjed a kereskedési könyvi pozíció inherens kockázataira, különösen pedig</w:t>
      </w:r>
    </w:p>
    <w:p w14:paraId="7FFFEC79" w14:textId="77777777" w:rsidR="008A78E3" w:rsidRPr="0055569D" w:rsidRDefault="008A78E3" w:rsidP="00CD1B46">
      <w:pPr>
        <w:pStyle w:val="alfelsorols"/>
        <w:numPr>
          <w:ilvl w:val="0"/>
          <w:numId w:val="48"/>
        </w:numPr>
        <w:rPr>
          <w:rFonts w:asciiTheme="minorHAnsi" w:hAnsiTheme="minorHAnsi"/>
          <w:color w:val="auto"/>
        </w:rPr>
      </w:pPr>
      <w:r w:rsidRPr="0055569D">
        <w:rPr>
          <w:rFonts w:asciiTheme="minorHAnsi" w:hAnsiTheme="minorHAnsi"/>
          <w:color w:val="auto"/>
        </w:rPr>
        <w:t>a releváns kockázati faktorokra,</w:t>
      </w:r>
    </w:p>
    <w:p w14:paraId="7FFFEC7A" w14:textId="77777777" w:rsidR="008A78E3" w:rsidRPr="0055569D" w:rsidRDefault="008A78E3" w:rsidP="00CD1B46">
      <w:pPr>
        <w:pStyle w:val="alfelsorols"/>
        <w:numPr>
          <w:ilvl w:val="0"/>
          <w:numId w:val="48"/>
        </w:numPr>
        <w:rPr>
          <w:rFonts w:asciiTheme="minorHAnsi" w:hAnsiTheme="minorHAnsi"/>
          <w:color w:val="auto"/>
        </w:rPr>
      </w:pPr>
      <w:r w:rsidRPr="0055569D">
        <w:rPr>
          <w:rFonts w:asciiTheme="minorHAnsi" w:hAnsiTheme="minorHAnsi"/>
          <w:color w:val="auto"/>
        </w:rPr>
        <w:t>a származtatott termékek nemlineáris sajátosságaira (a teljes újraértékelés módszere a preferált),</w:t>
      </w:r>
    </w:p>
    <w:p w14:paraId="7FFFEC7B" w14:textId="77777777" w:rsidR="008A78E3" w:rsidRPr="0055569D" w:rsidRDefault="008A78E3"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hozamgörbe szerkezetéből adódó sajátosságokra, </w:t>
      </w:r>
    </w:p>
    <w:p w14:paraId="7FFFEC7C" w14:textId="77777777" w:rsidR="008A78E3" w:rsidRPr="0055569D" w:rsidRDefault="008A78E3"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devizaárfolyamok és eszközárak volatilitásából fakadó kockázatokra, </w:t>
      </w:r>
    </w:p>
    <w:p w14:paraId="7FFFEC7D" w14:textId="77777777" w:rsidR="008A78E3" w:rsidRPr="0055569D" w:rsidRDefault="008A78E3" w:rsidP="00CD1B46">
      <w:pPr>
        <w:pStyle w:val="alfelsorols"/>
        <w:numPr>
          <w:ilvl w:val="0"/>
          <w:numId w:val="48"/>
        </w:numPr>
        <w:rPr>
          <w:rFonts w:asciiTheme="minorHAnsi" w:hAnsiTheme="minorHAnsi"/>
          <w:color w:val="auto"/>
        </w:rPr>
      </w:pPr>
      <w:r w:rsidRPr="0055569D">
        <w:rPr>
          <w:rFonts w:asciiTheme="minorHAnsi" w:hAnsiTheme="minorHAnsi"/>
          <w:color w:val="auto"/>
        </w:rPr>
        <w:t>a koncentrációs kockázatokra.</w:t>
      </w:r>
    </w:p>
    <w:p w14:paraId="7FFFEC7E" w14:textId="77777777" w:rsidR="008A78E3" w:rsidRPr="00AC5DB7" w:rsidRDefault="008A78E3" w:rsidP="00AB2106">
      <w:pPr>
        <w:pStyle w:val="felsorolsos"/>
        <w:rPr>
          <w:rFonts w:asciiTheme="minorHAnsi" w:hAnsiTheme="minorHAnsi"/>
        </w:rPr>
      </w:pPr>
      <w:r w:rsidRPr="00AC5DB7">
        <w:rPr>
          <w:rFonts w:asciiTheme="minorHAnsi" w:hAnsiTheme="minorHAnsi"/>
        </w:rPr>
        <w:t>A kockázati tényezők közötti empirikus korrelációk alkalmazása, a normalitás feltételezése, illetve a tartási periódus (pl. az idő négyzetgyökével történő) skálázás útján történő figyelembevétele esetén az alkalmazott módszer helyénvalósága igazolható és igazolásra kerül.</w:t>
      </w:r>
    </w:p>
    <w:p w14:paraId="7FFFEC7F" w14:textId="77777777" w:rsidR="008A78E3" w:rsidRPr="00AC5DB7" w:rsidRDefault="008A78E3" w:rsidP="00AB2106">
      <w:pPr>
        <w:pStyle w:val="felsorolsos"/>
        <w:rPr>
          <w:rFonts w:asciiTheme="minorHAnsi" w:hAnsiTheme="minorHAnsi"/>
        </w:rPr>
      </w:pPr>
      <w:r w:rsidRPr="00AC5DB7">
        <w:rPr>
          <w:rFonts w:asciiTheme="minorHAnsi" w:hAnsiTheme="minorHAnsi"/>
        </w:rPr>
        <w:t>A kockázati modellben szerepeltetett 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 Nyitott opciós pozíció esetében a releváns volatilitást is szerepeltetni kell, mint kockázati faktort, mivel ebben az esetben az opciós pozíció vega értéke nem nulla, azaz a pozíció érzékeny az implicit piaci volatilitás változására.</w:t>
      </w:r>
    </w:p>
    <w:p w14:paraId="7FFFEC80" w14:textId="77777777" w:rsidR="008A78E3" w:rsidRPr="00AC5DB7" w:rsidRDefault="008A78E3" w:rsidP="00AB2106">
      <w:pPr>
        <w:pStyle w:val="felsorolsos"/>
        <w:rPr>
          <w:rFonts w:asciiTheme="minorHAnsi" w:hAnsiTheme="minorHAnsi"/>
        </w:rPr>
      </w:pPr>
      <w:r w:rsidRPr="00AC5DB7">
        <w:rPr>
          <w:rFonts w:asciiTheme="minorHAnsi" w:hAnsiTheme="minorHAnsi"/>
        </w:rPr>
        <w:t>A kamatkockázati VaR számításakor az intézménynek az effektív vagy logaritmikus hozamok relatív (az aktuális szinttel egyenesen arányos) megváltozásának modellezése nem javasolt. Erre a megközelítésre azért van szükség, mert egy múltbeli kimért pl. 10%-os volatilitás más hozamsokkot eredményez magas (pl. 8% esetében 0,8%pont), közepes (pl. 3% esetében 0,3%pont) vagy nullaközeli hozamkörnyezetben (pl. 0% esetében 0,0%pont).</w:t>
      </w:r>
    </w:p>
    <w:p w14:paraId="7FFFEC81" w14:textId="77777777" w:rsidR="008A78E3" w:rsidRPr="00AC5DB7" w:rsidRDefault="008A78E3" w:rsidP="00AB2106">
      <w:pPr>
        <w:pStyle w:val="felsorolsos"/>
        <w:rPr>
          <w:rFonts w:asciiTheme="minorHAnsi" w:hAnsiTheme="minorHAnsi"/>
        </w:rPr>
      </w:pPr>
      <w:r w:rsidRPr="00AC5DB7">
        <w:rPr>
          <w:rFonts w:asciiTheme="minorHAnsi" w:hAnsiTheme="minorHAnsi"/>
        </w:rPr>
        <w:t>A bankcsoportok esetén a piaci kockázatok mérése, illetve a tőkeszükséglet meghatározása konszolidált szinten történik.</w:t>
      </w:r>
    </w:p>
    <w:p w14:paraId="7FFFEC82" w14:textId="77777777" w:rsidR="008A78E3" w:rsidRPr="0055569D" w:rsidRDefault="008A78E3" w:rsidP="00AB2106">
      <w:pPr>
        <w:rPr>
          <w:rFonts w:asciiTheme="minorHAnsi" w:hAnsiTheme="minorHAnsi"/>
          <w:color w:val="auto"/>
        </w:rPr>
      </w:pPr>
      <w:r w:rsidRPr="0055569D">
        <w:rPr>
          <w:rFonts w:asciiTheme="minorHAnsi" w:hAnsiTheme="minorHAnsi"/>
          <w:color w:val="auto"/>
        </w:rPr>
        <w:t>Nehezen értékelhető, nem transzparens vagy következetlen számítások esetén a pozíciók és a kockázati limitek figyelembevételével az MNB addicionális tőkekövetelményt állapíthat meg.</w:t>
      </w:r>
      <w:bookmarkStart w:id="1091" w:name="_Modellkockázat"/>
      <w:bookmarkEnd w:id="1091"/>
    </w:p>
    <w:p w14:paraId="7FFFEC83" w14:textId="77777777" w:rsidR="008A78E3" w:rsidRPr="00E87D60" w:rsidRDefault="008A78E3" w:rsidP="00AB2106">
      <w:pPr>
        <w:rPr>
          <w:rFonts w:asciiTheme="minorHAnsi" w:hAnsiTheme="minorHAnsi"/>
          <w:color w:val="auto"/>
        </w:rPr>
      </w:pPr>
    </w:p>
    <w:p w14:paraId="7FFFEC84" w14:textId="77777777" w:rsidR="008A78E3" w:rsidRPr="00AC5DB7" w:rsidRDefault="008A78E3" w:rsidP="00AB2106">
      <w:pPr>
        <w:pStyle w:val="Cmsor3"/>
        <w:rPr>
          <w:rStyle w:val="Kiemels"/>
          <w:rFonts w:asciiTheme="minorHAnsi" w:hAnsiTheme="minorHAnsi"/>
          <w:i/>
        </w:rPr>
      </w:pPr>
      <w:bookmarkStart w:id="1092" w:name="_Toc417311970"/>
      <w:bookmarkStart w:id="1093" w:name="_Toc417311971"/>
      <w:bookmarkStart w:id="1094" w:name="_Toc378592054"/>
      <w:bookmarkStart w:id="1095" w:name="_Toc461095230"/>
      <w:bookmarkStart w:id="1096" w:name="_Toc461179886"/>
      <w:bookmarkStart w:id="1097" w:name="_Toc461201329"/>
      <w:bookmarkStart w:id="1098" w:name="_Toc461547997"/>
      <w:bookmarkStart w:id="1099" w:name="_Toc462402037"/>
      <w:bookmarkStart w:id="1100" w:name="_Toc462403158"/>
      <w:bookmarkStart w:id="1101" w:name="_Toc462403482"/>
      <w:bookmarkStart w:id="1102" w:name="_Toc468180601"/>
      <w:bookmarkStart w:id="1103" w:name="_Toc468181082"/>
      <w:bookmarkStart w:id="1104" w:name="_Toc468191468"/>
      <w:bookmarkStart w:id="1105" w:name="_Toc45119986"/>
      <w:bookmarkStart w:id="1106" w:name="_Toc58512269"/>
      <w:bookmarkStart w:id="1107" w:name="_Toc158036690"/>
      <w:bookmarkEnd w:id="1092"/>
      <w:bookmarkEnd w:id="1093"/>
      <w:r w:rsidRPr="00AC5DB7">
        <w:rPr>
          <w:rStyle w:val="Kiemels"/>
          <w:rFonts w:asciiTheme="minorHAnsi" w:hAnsiTheme="minorHAnsi"/>
          <w:i/>
        </w:rPr>
        <w:t>Banki könyv kamatlábkockázata</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7FFFEC85" w14:textId="77777777" w:rsidR="008A78E3" w:rsidRPr="00C114D9" w:rsidRDefault="008A78E3" w:rsidP="00C114D9">
      <w:pPr>
        <w:rPr>
          <w:rFonts w:asciiTheme="minorHAnsi" w:hAnsiTheme="minorHAnsi" w:cstheme="minorHAnsi"/>
          <w:b/>
        </w:rPr>
      </w:pPr>
      <w:r w:rsidRPr="00C114D9">
        <w:rPr>
          <w:rFonts w:asciiTheme="minorHAnsi" w:hAnsiTheme="minorHAnsi" w:cstheme="minorHAnsi"/>
          <w:b/>
        </w:rPr>
        <w:t>Definíció</w:t>
      </w:r>
    </w:p>
    <w:p w14:paraId="7FFFEC86"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banki könyvből származó kamatlábkockázat annak a lehetősége, hogy a banki könyvi pozíciókból származó jövedelem és/vagy az intézmény gazdasági tőkeértéke kedvezőtlenül változik a piaci kamatlábak változásának következtében. </w:t>
      </w:r>
    </w:p>
    <w:p w14:paraId="7FFFEC87"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A banki könyvi kamatlábkockázati számítások során minden kamatérzékeny instrumentumot figyelembe kell venni, nem sorolandók ide azonban a nem kamatérzékeny pozíciók, mint pl. az elsődleges alapvető tőkéből levont eszközök és a nem kereskedési könyvben szereplő részvényjellegű kitettségek. Az instrumentumok besorolására vonatkozóan egyértelmű belső szabályzatokkal és eljárásokkal kell rendelkeznie az intézményeknek.</w:t>
      </w:r>
    </w:p>
    <w:p w14:paraId="7FFFEC88" w14:textId="77777777" w:rsidR="008A78E3" w:rsidRPr="00C114D9" w:rsidRDefault="008A78E3" w:rsidP="00C114D9">
      <w:pPr>
        <w:rPr>
          <w:rFonts w:asciiTheme="minorHAnsi" w:hAnsiTheme="minorHAnsi" w:cstheme="minorHAnsi"/>
          <w:b/>
        </w:rPr>
      </w:pPr>
      <w:r w:rsidRPr="00C114D9">
        <w:rPr>
          <w:rFonts w:asciiTheme="minorHAnsi" w:hAnsiTheme="minorHAnsi" w:cstheme="minorHAnsi"/>
          <w:b/>
        </w:rPr>
        <w:t>Kockázatértékelés és -kezelés</w:t>
      </w:r>
    </w:p>
    <w:p w14:paraId="7FFFEC89"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Elvárt, hogy az intézmények a kamatlábkockázat értékelésére és mérésére legalább egy eredményalapú és legalább egy gazdasági értéket mérő módszert is alkalmazzanak, amelyek együtt a banki könyvből eredő kamatlábkockázat valamennyi összetevőjét számba veszik (átárazódási, bázis- és opciós kockázat).</w:t>
      </w:r>
    </w:p>
    <w:p w14:paraId="7FFFEC8A"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jövedelmi hatás kimutatására többféle mutatószám alkalmazható, amelyek közül a leginkább elterjedt a nettó kamatbevétel (NII – Net Interest Income) és a nettó kamat marzs mutatók használata. A mutatókon kívül bármely más, az intézmény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7FFFEC8B"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Az intézmény gazdasági tőkeértéke (EVE – Economic Value of Equity) a banki könyvet alkotó eszköz-, forrás- és mérleg alatti tételek teljes pénzáramlásainak nettó jelenértékeként számítandó, oly módon, hogy az eszköz- és forrás pénzáramlásokat,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7FFFEC8C"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banki könyvben lévő kamatlábkockázat forrását tekintve az alábbi három főbb típusba sorolható: </w:t>
      </w:r>
    </w:p>
    <w:p w14:paraId="7FFFEC8D" w14:textId="77777777" w:rsidR="008A78E3" w:rsidRPr="00C114D9" w:rsidRDefault="008A78E3"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átárazási kockázat: a követelések és kötelezettségek és mérleg alatti tételek átárazási szerkezetének időbeli eltéréséből származó kockázat, amely magába foglalja a hozamgörbe szintjének, alakjának és meredekségének változásából származó kockázatot, </w:t>
      </w:r>
    </w:p>
    <w:p w14:paraId="7FFFEC8E" w14:textId="77777777" w:rsidR="008A78E3" w:rsidRPr="00C114D9" w:rsidRDefault="008A78E3"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báziskockázat: két, az eszközök, források és mérleg alatti tételek árazásának alapjául szolgáló instrumentum, illetve az árazott tétel és az instrumentum kamatlábának változása közötti kapcsolat, korreláció tökéletlenségéből származó kockázat, </w:t>
      </w:r>
    </w:p>
    <w:p w14:paraId="7FFFEC8F" w14:textId="77777777" w:rsidR="008A78E3" w:rsidRPr="00C114D9" w:rsidRDefault="008A78E3"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opciós kockázat: a banki termékekben rejlő rejtett vagy explicit, a termék kamatkockázatát befolyásoló tulajdonságaira vonatkozó opciókból származó kockázat. </w:t>
      </w:r>
    </w:p>
    <w:p w14:paraId="7FFFEC90"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banki könyv esetében a fentiek közül a hatását tekintve legjelentősebb kockázati típus általában az átárazási kockázat. </w:t>
      </w:r>
    </w:p>
    <w:p w14:paraId="7FFFEC91"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kamatlábkockázat 3 részkomponensének azonosítására, kezelésének módszereire a 2022/14 EBA GL 1. függelékében találhatók részletes szempontok.)</w:t>
      </w:r>
    </w:p>
    <w:p w14:paraId="7FFFEC92"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vezetői döntések aktív támogatása érdekében elvárt, hogy a belső jelentések a vezető testület számára a releváns aggregációs szinteken, kellő részletezettséggel legalább negyedévente, de elvárhatóan havonta készüljenek, és kerüljenek bemutatásra, és – többek között – tartalmazzák a tényleges kitettségek és a limitek összehasonlítását, az esetleges limittúllépés esetén teendő lépéseket, a kockázat mérési eredményeket, a tőkeszükséglet mértékét és változását. </w:t>
      </w:r>
    </w:p>
    <w:p w14:paraId="7FFFEC93" w14:textId="77777777" w:rsidR="008A78E3" w:rsidRPr="00C114D9" w:rsidRDefault="008A78E3" w:rsidP="00C114D9">
      <w:pPr>
        <w:rPr>
          <w:rFonts w:asciiTheme="minorHAnsi" w:hAnsiTheme="minorHAnsi" w:cstheme="minorHAnsi"/>
        </w:rPr>
      </w:pPr>
      <w:r w:rsidRPr="00C114D9">
        <w:rPr>
          <w:rFonts w:asciiTheme="minorHAnsi" w:hAnsiTheme="minorHAnsi" w:cstheme="minorHAnsi"/>
          <w:b/>
        </w:rPr>
        <w:t>ICAAP felülvizsgálat</w:t>
      </w:r>
    </w:p>
    <w:p w14:paraId="7FFFEC94"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banki könyvi kamatlábkockázatot az MNB minden intézmény esetében materiális kockázatnak tekinti, elvárja annak kvantitatív eszközök – az intézmény kamatlábkockázati kitettségével és pozícióinak összetettségével arányosan – széles körével és alkalmas modellel történő mérését és kezelését, az alábbi szempontok szerint: </w:t>
      </w:r>
    </w:p>
    <w:p w14:paraId="7FFFEC95"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7FFFEC96"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 követelések és származékos pozíciók. A mérésében szereplő egyes elemek (pl. nettó kamatbevétel, értékelési eredmény) kamat érzékenységét egymástól elkülönülten szükséges számszerűsíteni és a jelentésekben kimutatni. </w:t>
      </w:r>
    </w:p>
    <w:p w14:paraId="7FFFEC97"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7FFFEC98"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7FFFEC99"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kamatlábkockázat jövedelmi és tőkeérték 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7FFFEC9A"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alapul szolgáló feltételezések megalapozottak, óvatosak (prudensek),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kockázatok mérésével és számszerűsítésével foglalkozó munkatársak a módszertanokat és a feltételezéseket tökéletesen értsék meg, igazítsák az üzleti stratégiákhoz, rendszeres (legalább éves szintű) stresszteszteknek, validálásnak és felülvizsgálatoknak vessék alá. A jelentősebb változások dokumentáltak és az ügyvezetés jóváhagyásához kötöttek. </w:t>
      </w:r>
    </w:p>
    <w:p w14:paraId="7FFFEC9B"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FFFEC9C"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nemzetközi ajánlások alapján elvárt, ún. sztenderd kamatláb-sokkok alkalmazása részét képezze a hitelintézet banki könyvi kamatlábkockázat-mérési gyakorlatának.</w:t>
      </w:r>
    </w:p>
    <w:p w14:paraId="7FFFEC9D"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 olyan informatikai rendszert működtet, amely megfelelően támogatja a kamatlábkockázat méréséhez, kontrolljához és jelentéséhez szükséges eljárásokat és folyamatokat, mind egyedi, mind csoportszinten. A rendszerek legyenek képesek minden ügylet teljeskörű, egyértelmű rögzítésére, a gazdasági érték és pénzügyi eredmény mutatók kiszámítására, valamint kellően rugalmas, változatos stresszforgatókönyvek futtatására.</w:t>
      </w:r>
    </w:p>
    <w:p w14:paraId="7FFFEC9E"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Amennyiben az intézmény belső fedezeti ügyleteket (internal hedges) alkalmaz a banki és kereskedési könyv közötti kockázat-transzfer céljából, azoknak egyértelműen dokumentáltnak kell lenniük, a piaci árazást kell tükrözniük, és nem lehet céljuk a tőkekövetelmény csökkentése.</w:t>
      </w:r>
    </w:p>
    <w:p w14:paraId="7FFFEC9F"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banki könyvi kamatlábkockázat, valamint a kereskedési könyvi kockázatok és a devizaárfolyamkockázat között nem ismerhető el diverzifikációs hatás, a két portfólió tőkekövetelménye összeadódik a teljes tőkekövetelmény meghatározásakor.</w:t>
      </w:r>
    </w:p>
    <w:p w14:paraId="7FFFECA0"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modellezniük kell azt, hogy a látra szóló betéti állomány kamata és állománya miként változik a piaci kamatváltozások hatására. Az erre vonatkozó részletes elvárásokat a 3. függelék tartalmazza.</w:t>
      </w:r>
    </w:p>
    <w:p w14:paraId="7FFFECA1"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monitorozni és modellezni kell a hitel előtörlesztések kamatkockázati hatását. Hasonlóképpen, a betétfeltörések és a nemteljesítő kitettségek kamatkockázati sajátosságait is fel kell mérni, ezeket a hatásokat figyelembe kell venni a kamatkockázati számításokban.</w:t>
      </w:r>
      <w:r w:rsidRPr="00C114D9">
        <w:rPr>
          <w:rFonts w:asciiTheme="minorHAnsi" w:hAnsiTheme="minorHAnsi" w:cstheme="minorHAnsi"/>
          <w:i/>
          <w:sz w:val="22"/>
          <w:szCs w:val="22"/>
        </w:rPr>
        <w:t xml:space="preserve"> </w:t>
      </w:r>
      <w:r w:rsidRPr="00C114D9">
        <w:rPr>
          <w:rFonts w:asciiTheme="minorHAnsi" w:hAnsiTheme="minorHAnsi" w:cstheme="minorHAnsi"/>
          <w:sz w:val="22"/>
          <w:szCs w:val="22"/>
        </w:rPr>
        <w:t>A hitel előtörlesztések kamatkockázati hatásának vizsgálatánál az MNB egy jó gyakorlatnak tartja, ha az Intézmény alábbi lépéseket végzi el:</w:t>
      </w:r>
    </w:p>
    <w:p w14:paraId="7FFFECA2" w14:textId="77777777" w:rsidR="008A78E3" w:rsidRPr="00C114D9" w:rsidRDefault="008A78E3"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 rendelkezésre álló adatok függvényében az intézmény ügyletszinten vagy homogén portfóliókon (legalább deviza, főbb terméktípus és átárazódás típusa szerinti bontás) megvizsgálja az előtörlesztési ráta havi alakulását.</w:t>
      </w:r>
    </w:p>
    <w:p w14:paraId="7FFFECA3" w14:textId="77777777" w:rsidR="008A78E3" w:rsidRPr="00C114D9" w:rsidRDefault="008A78E3"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 historikus adatok alapján az intézmény megbecsüli a várható jövőbeli előtörlesztési ráta mértékét alap kamatszcenárióban.</w:t>
      </w:r>
    </w:p>
    <w:p w14:paraId="7FFFECA4" w14:textId="77777777" w:rsidR="008A78E3" w:rsidRPr="00C114D9" w:rsidRDefault="008A78E3"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intézmény megvizsgálja a rendelkezésre álló előtörlesztési ráták és piaci kamatszintek kapcsolatát, amely alapján meghatározza a ráta alakulását egy adott kamatszcenárióban.</w:t>
      </w:r>
    </w:p>
    <w:p w14:paraId="7FFFECA5" w14:textId="77777777" w:rsidR="008A78E3" w:rsidRPr="00C114D9" w:rsidRDefault="008A78E3"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egyes kamatszcenáriókban az intézmény megvizsgálja az előtörlesztések hatását a kockázati mutatókra, és amennyiben azt jelentősnek találja, úgy ezt a hatást beépíti a kamatkockázati tőkekövetelmény számításba is.</w:t>
      </w:r>
    </w:p>
    <w:p w14:paraId="7FFFECA6" w14:textId="77777777" w:rsidR="008A78E3" w:rsidRPr="00C114D9" w:rsidRDefault="008A78E3"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intézmények számára nem megengedett az alap forgatókönyv szerinti előtörlesztések minden szcenárióban azonos módon való, a kamat forgatókönyvek hatásait nem tükröző figyelembevétele, az előtörlesztés hatásait forgatókönyvenként külön-külön kell modellezni, és a kapott forgatókönyv-függő hatásokat kell a kamatlábkockázati számításokba beépíteni.</w:t>
      </w:r>
    </w:p>
    <w:p w14:paraId="7FFFECA7"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szemléletű számításoknál (ide értve a FV kalkulációt) az intézményeknek minden devizanem esetébenkockázatmentes hozamgörbével kell a pénzáramlásokat diszkontálni. Az intézmények által az egyes devizanemek esetében használt kockázatmentes hozamgörbékkel szemben elvárás, hogy a számítás vonatkozási napján megfigyelhető, legkisebb fizetési gyakoriságú instrumentumok (pénzpiaci kamatlábak, FRA, futures és swap ügyletek)</w:t>
      </w:r>
      <w:r>
        <w:rPr>
          <w:rStyle w:val="Lbjegyzet-hivatkozs"/>
          <w:rFonts w:asciiTheme="minorHAnsi" w:hAnsiTheme="minorHAnsi" w:cstheme="minorHAnsi"/>
          <w:sz w:val="22"/>
          <w:szCs w:val="22"/>
        </w:rPr>
        <w:footnoteReference w:id="96"/>
      </w:r>
      <w:r w:rsidRPr="00C114D9">
        <w:rPr>
          <w:rFonts w:asciiTheme="minorHAnsi" w:hAnsiTheme="minorHAnsi" w:cstheme="minorHAnsi"/>
          <w:sz w:val="22"/>
          <w:szCs w:val="22"/>
        </w:rPr>
        <w:t xml:space="preserve"> kamatlábaiból kerüljenek felépítésre. A sztenderd kamat sokkokat az alap kamatforgatókönyvben használt kockázatmentes hozamgörbéből számított, folytonos kamatlábakból álló (spot) zérókupon hozamgörbére elvárt alkalmazni.</w:t>
      </w:r>
    </w:p>
    <w:p w14:paraId="7FFFECA8"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 a nemzetközi ajánlásokban felsorolt feltételek mellett dönthetnek úgy, hogy az EVE és FV érzékenység számításához használt szerződés szerinti pénzáramlásokat csökkentik a hitelkockázati spread-del, vagy a kereskedelmi marzssal.</w:t>
      </w:r>
    </w:p>
    <w:p w14:paraId="7FFFECA9"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MNB elvárja, hogy az EVE és FV számítás során az intézmények az arányosság elvét szem előtt tartva törekedjenek a változó kamatozású ügyletek esetében a teljes, lejáratig tartó tőke- és kamat pénzáramlás megbecslésére, és ennek során vegyék figyelembe az ügyletekre jellemző összetett kamatfixing konvenciókat is (pl. szorzó használata, referencia kamatláb átlagolása, késleltetése). A kamat pénzáramlásokat az intézmények az egyes kamat forgatókönyvekben használt hozamgörbékből, névleges kamatlábként számolt forward kamatlábak alapján határozzák meg.</w:t>
      </w:r>
    </w:p>
    <w:p w14:paraId="7FFFECAA"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rPr>
        <w:t>A nettó kamatbevétel érzékenység számítása során az MNB a spread-eket is tartalmazó ügyleti kamatok használatát várja el, melyeket az alap és stressz forgatókönyvekben használt hozamgörbékből, névleges kamatlábakként számított forward kamatlábak alapján kell meghatározni.</w:t>
      </w:r>
      <w:r w:rsidRPr="00C114D9">
        <w:rPr>
          <w:rFonts w:asciiTheme="minorHAnsi" w:hAnsiTheme="minorHAnsi" w:cstheme="minorHAnsi"/>
          <w:sz w:val="22"/>
          <w:szCs w:val="22"/>
        </w:rPr>
        <w:t xml:space="preserve">Az MNB elvárja, hogy az intézmények – a kamatkockázat összetevőjeként – azonosítsák, felmérjék, elemezzék és ellenőrizzék a banki könyvben megjelenő felár kockázataikat, a kockázat kezelési folyamataikban és a tőkekövetelmény megállapítása során. </w:t>
      </w:r>
    </w:p>
    <w:p w14:paraId="7FFFECAB"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 legyenek tekintettel a termékekben rejlő automatikus és viselkedési opciókra.</w:t>
      </w:r>
    </w:p>
    <w:p w14:paraId="7FFFECAC"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a negatív kamatlábak esetében tekintettel kell lenniük a termékre jellemző kamatlábpadlókra, amelyek eredhetnek a szerződéses jellegből, törvényi háttérből vagy a jellemző ügyfélviselkedésből. A törvényi háttér alapján</w:t>
      </w:r>
      <w:r>
        <w:rPr>
          <w:rStyle w:val="Lbjegyzet-hivatkozs"/>
          <w:rFonts w:asciiTheme="minorHAnsi" w:hAnsiTheme="minorHAnsi" w:cstheme="minorHAnsi"/>
          <w:sz w:val="22"/>
          <w:szCs w:val="22"/>
        </w:rPr>
        <w:footnoteReference w:id="97"/>
      </w:r>
      <w:r w:rsidRPr="00C114D9">
        <w:rPr>
          <w:rFonts w:asciiTheme="minorHAnsi" w:hAnsiTheme="minorHAnsi" w:cstheme="minorHAnsi"/>
          <w:sz w:val="22"/>
          <w:szCs w:val="22"/>
        </w:rPr>
        <w:t xml:space="preserve"> a jogszabályok nem tesznek különbséget sem devizanem, sem pedig termékkör szerint a betéti kamatpadlóra vonatkozó előírások között. Bármely betétszerződés esetén, amely természetes személy ügyféllel áll fenn, a betéti kamatnak 0%-nál nagyobbnak kell lennie, ugyanakkor jogi személy ügyfél esetében kiköthető 0%-os vagy negatív előjelű kamat is. Továbbá a negatív irányú piaci kamatláb sokkok meghatározásánál is figyelembe kell venni a releváns nemzetközi iránymutatásokat, a lefele irányuló potenciális kamatváltozások mértékét korlátozó ajánlásokat. Az intézmények nem alkalmazhatnak kamatlábpadlókat a kamatlábkockázati számításaik során indokolatlan esetben.</w:t>
      </w:r>
    </w:p>
    <w:p w14:paraId="7FFFECAD" w14:textId="77777777" w:rsidR="008A78E3" w:rsidRPr="00197EC6" w:rsidRDefault="008A78E3" w:rsidP="00CD1B46">
      <w:pPr>
        <w:pStyle w:val="Listaszerbekezds"/>
        <w:numPr>
          <w:ilvl w:val="0"/>
          <w:numId w:val="34"/>
        </w:numPr>
        <w:spacing w:after="150" w:line="276" w:lineRule="auto"/>
        <w:rPr>
          <w:rFonts w:asciiTheme="minorHAnsi" w:hAnsiTheme="minorHAnsi" w:cstheme="minorHAnsi"/>
          <w:sz w:val="22"/>
          <w:szCs w:val="22"/>
        </w:rPr>
      </w:pPr>
      <w:r w:rsidRPr="00197EC6">
        <w:rPr>
          <w:rFonts w:asciiTheme="minorHAnsi" w:hAnsiTheme="minorHAnsi" w:cstheme="minorHAnsi"/>
          <w:sz w:val="22"/>
          <w:szCs w:val="22"/>
        </w:rPr>
        <w:t>Az intézmények számszerűsíthetik a HUF, EUR és USD devizanemekhez tartozó hozamgörbék mozgása közötti korreláció esetleges kockázatcsökkentő hatásának mértékét, és az ezen diverzifikációs hatással csökkentett, a HUF, EUR és USD devizanemekre összesítve kapott dEVE, illetve d</w:t>
      </w:r>
      <w:r w:rsidRPr="00CD1B46">
        <w:rPr>
          <w:rFonts w:asciiTheme="minorHAnsi" w:hAnsiTheme="minorHAnsi" w:cstheme="minorHAnsi"/>
          <w:sz w:val="22"/>
          <w:szCs w:val="22"/>
        </w:rPr>
        <w:t>INC</w:t>
      </w:r>
      <w:r w:rsidRPr="00197EC6">
        <w:rPr>
          <w:rFonts w:asciiTheme="minorHAnsi" w:hAnsiTheme="minorHAnsi" w:cstheme="minorHAnsi"/>
          <w:sz w:val="22"/>
          <w:szCs w:val="22"/>
        </w:rPr>
        <w:t xml:space="preserve"> alapján kalkulált periódus végi tőkeszükséglet értékét, és a periódus végi tőkeszükséglet összegét ennek megfelelő mértékben, de legfeljebb 15%-kal mérsékelhetik.</w:t>
      </w:r>
    </w:p>
    <w:p w14:paraId="7FFFECAE" w14:textId="77777777" w:rsidR="008A78E3" w:rsidRPr="00C114D9" w:rsidRDefault="008A78E3"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felár kockázat és a banki könyvi kamatkockázat ICAAP során történő kezelését illetően a jelen kézikönyvben nem részletezett kérdésekben a vonatkozó BIS</w:t>
      </w:r>
      <w:r>
        <w:rPr>
          <w:rFonts w:asciiTheme="minorHAnsi" w:hAnsiTheme="minorHAnsi" w:cstheme="minorHAnsi"/>
          <w:sz w:val="22"/>
          <w:szCs w:val="22"/>
          <w:vertAlign w:val="superscript"/>
        </w:rPr>
        <w:footnoteReference w:id="98"/>
      </w:r>
      <w:r w:rsidRPr="00C114D9">
        <w:rPr>
          <w:rFonts w:asciiTheme="minorHAnsi" w:hAnsiTheme="minorHAnsi" w:cstheme="minorHAnsi"/>
          <w:sz w:val="22"/>
          <w:szCs w:val="22"/>
        </w:rPr>
        <w:t xml:space="preserve"> és EBA</w:t>
      </w:r>
      <w:r>
        <w:rPr>
          <w:rFonts w:asciiTheme="minorHAnsi" w:hAnsiTheme="minorHAnsi" w:cstheme="minorHAnsi"/>
          <w:sz w:val="22"/>
          <w:szCs w:val="22"/>
          <w:vertAlign w:val="superscript"/>
        </w:rPr>
        <w:footnoteReference w:id="99"/>
      </w:r>
      <w:r w:rsidRPr="00C114D9">
        <w:rPr>
          <w:rFonts w:asciiTheme="minorHAnsi" w:hAnsiTheme="minorHAnsi" w:cstheme="minorHAnsi"/>
          <w:sz w:val="22"/>
          <w:szCs w:val="22"/>
        </w:rPr>
        <w:t xml:space="preserve"> iránymutatásokban </w:t>
      </w:r>
      <w:r w:rsidRPr="00C114D9">
        <w:rPr>
          <w:rFonts w:asciiTheme="minorHAnsi" w:hAnsiTheme="minorHAnsi" w:cstheme="minorHAnsi"/>
          <w:bCs/>
          <w:sz w:val="22"/>
          <w:szCs w:val="22"/>
        </w:rPr>
        <w:t>megfogalmazottakat kell irányadónak tekinteni.</w:t>
      </w:r>
      <w:r>
        <w:rPr>
          <w:rFonts w:asciiTheme="minorHAnsi" w:hAnsiTheme="minorHAnsi" w:cstheme="minorHAnsi"/>
          <w:bCs/>
          <w:sz w:val="22"/>
          <w:szCs w:val="22"/>
        </w:rPr>
        <w:t>A felár</w:t>
      </w:r>
      <w:r w:rsidRPr="005D5ADB">
        <w:rPr>
          <w:rFonts w:asciiTheme="minorHAnsi" w:hAnsiTheme="minorHAnsi" w:cstheme="minorHAnsi"/>
          <w:bCs/>
          <w:sz w:val="22"/>
          <w:szCs w:val="22"/>
        </w:rPr>
        <w:t xml:space="preserve"> kockázat azonosítása, mérése és ellenőrzése mellett a tőkekövetelmény számszerűsítésére </w:t>
      </w:r>
      <w:r>
        <w:rPr>
          <w:rFonts w:asciiTheme="minorHAnsi" w:hAnsiTheme="minorHAnsi" w:cstheme="minorHAnsi"/>
          <w:bCs/>
          <w:sz w:val="22"/>
          <w:szCs w:val="22"/>
        </w:rPr>
        <w:t xml:space="preserve">az MNB </w:t>
      </w:r>
      <w:r w:rsidRPr="005D5ADB">
        <w:rPr>
          <w:rFonts w:asciiTheme="minorHAnsi" w:hAnsiTheme="minorHAnsi" w:cstheme="minorHAnsi"/>
          <w:bCs/>
          <w:sz w:val="22"/>
          <w:szCs w:val="22"/>
        </w:rPr>
        <w:t>specifikusan – egyelőre – nem fogalmaz meg szigorú elvárásokat, a CSRRB kezelésére vonatkozó banki gyakorlatokat a vizsgálatok és a felügyelés során intézményenként egyedileg értékeli</w:t>
      </w:r>
      <w:r>
        <w:rPr>
          <w:rFonts w:asciiTheme="minorHAnsi" w:hAnsiTheme="minorHAnsi" w:cstheme="minorHAnsi"/>
          <w:bCs/>
          <w:sz w:val="22"/>
          <w:szCs w:val="22"/>
        </w:rPr>
        <w:t>.</w:t>
      </w:r>
    </w:p>
    <w:p w14:paraId="7FFFECAF" w14:textId="77777777" w:rsidR="008A78E3" w:rsidRPr="00C114D9" w:rsidRDefault="008A78E3" w:rsidP="00C114D9">
      <w:pPr>
        <w:rPr>
          <w:rFonts w:asciiTheme="minorHAnsi" w:hAnsiTheme="minorHAnsi" w:cstheme="minorHAnsi"/>
          <w:b/>
        </w:rPr>
      </w:pPr>
      <w:r w:rsidRPr="00C114D9">
        <w:rPr>
          <w:rFonts w:asciiTheme="minorHAnsi" w:hAnsiTheme="minorHAnsi" w:cstheme="minorHAnsi"/>
          <w:b/>
        </w:rPr>
        <w:t xml:space="preserve">A banki könyv kamatlábkockázatához kapcsolódó stressz-tesztek </w:t>
      </w:r>
    </w:p>
    <w:p w14:paraId="7FFFECB0"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Az MNB a banki könyvi kamatlábkockázat-kezelés részeként elvárja, hogy az intézmények rendszeresen (legalább negyedévente)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és irányú párhuzamos eltolódását magában foglaló forgatókönyvet kell tartalmaznia. Az alapnak tekintett párhuzamos hozamgörbe-sokk forgatókönyveken túlmenően, a kockázatok teljesebb felmérése érdekében elvárt a kamatlábak további stressz-szerű alakulásának, a hozamgörbék alakjának és meredekségének változását szimuláló forgatókönyvek alkalmazása is.</w:t>
      </w:r>
    </w:p>
    <w:p w14:paraId="7FFFECB1"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Elvárt, hogy az intézmény a banki könyvre vonatkozóan külön modellezze a sztenderd kamatláb-sokkok hatását</w:t>
      </w:r>
      <w:r>
        <w:rPr>
          <w:rFonts w:asciiTheme="minorHAnsi" w:hAnsiTheme="minorHAnsi" w:cstheme="minorHAnsi"/>
        </w:rPr>
        <w:t xml:space="preserve">, és ezt a tőkeszükséglet meghatározása során is vegye figyelembe </w:t>
      </w:r>
      <w:r w:rsidRPr="00C114D9">
        <w:rPr>
          <w:rFonts w:asciiTheme="minorHAnsi" w:hAnsiTheme="minorHAnsi" w:cstheme="minorHAnsi"/>
        </w:rPr>
        <w:t>minden</w:t>
      </w:r>
      <w:r>
        <w:rPr>
          <w:rFonts w:asciiTheme="minorHAnsi" w:hAnsiTheme="minorHAnsi" w:cstheme="minorHAnsi"/>
        </w:rPr>
        <w:t xml:space="preserve"> olyan</w:t>
      </w:r>
      <w:r w:rsidRPr="00C114D9">
        <w:rPr>
          <w:rFonts w:asciiTheme="minorHAnsi" w:hAnsiTheme="minorHAnsi" w:cstheme="minorHAnsi"/>
        </w:rPr>
        <w:t>, a mérlegében szereplő devizanem vonatkozásában, amely teljesíti legalább az alábbi feltételek egyikét:</w:t>
      </w:r>
    </w:p>
    <w:p w14:paraId="7FFFECB2" w14:textId="77777777" w:rsidR="008A78E3" w:rsidRDefault="008A78E3" w:rsidP="00CD1B46">
      <w:pPr>
        <w:pStyle w:val="Listaszerbekezds"/>
        <w:numPr>
          <w:ilvl w:val="0"/>
          <w:numId w:val="87"/>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adott devizanemben </w:t>
      </w:r>
      <w:r w:rsidRPr="00CD1B46">
        <w:rPr>
          <w:rFonts w:asciiTheme="minorHAnsi" w:hAnsiTheme="minorHAnsi" w:cstheme="minorHAnsi"/>
          <w:sz w:val="22"/>
          <w:szCs w:val="22"/>
        </w:rPr>
        <w:t>denominált, és nem a kereskedési könyvben nyilvántartott eszközeinek, forrásainak és mérlegen kívüli ügyleteinek összege meghaladja az összes banki könyvi tétel állományának 5%-át, illetve együttes összegük kiteszi ezen állomány legalább 90%-át (</w:t>
      </w:r>
      <w:r>
        <w:rPr>
          <w:rFonts w:asciiTheme="minorHAnsi" w:hAnsiTheme="minorHAnsi" w:cstheme="minorHAnsi"/>
          <w:sz w:val="22"/>
          <w:szCs w:val="22"/>
        </w:rPr>
        <w:t>azaz h</w:t>
      </w:r>
      <w:r w:rsidRPr="00CD1B46">
        <w:rPr>
          <w:rFonts w:asciiTheme="minorHAnsi" w:hAnsiTheme="minorHAnsi" w:cstheme="minorHAnsi"/>
          <w:sz w:val="22"/>
          <w:szCs w:val="22"/>
        </w:rPr>
        <w:t xml:space="preserve">a az 5%-nál nagyobb arányú devizák nem teszik ki a teljes banki könyv 90%-át, akkor a kisebb arányúak is bekerülnek a tőkeszükséglet számításba) </w:t>
      </w:r>
    </w:p>
    <w:p w14:paraId="7FFFECB3" w14:textId="77777777" w:rsidR="008A78E3" w:rsidRPr="00CD1B46" w:rsidRDefault="008A78E3" w:rsidP="00CD1B46">
      <w:pPr>
        <w:pStyle w:val="Listaszerbekezds"/>
        <w:numPr>
          <w:ilvl w:val="0"/>
          <w:numId w:val="87"/>
        </w:numPr>
        <w:spacing w:after="150" w:line="276" w:lineRule="auto"/>
        <w:rPr>
          <w:rFonts w:asciiTheme="minorHAnsi" w:hAnsiTheme="minorHAnsi" w:cstheme="minorHAnsi"/>
        </w:rPr>
      </w:pPr>
      <w:r w:rsidRPr="00CD1B46">
        <w:rPr>
          <w:rFonts w:asciiTheme="minorHAnsi" w:hAnsiTheme="minorHAnsi" w:cstheme="minorHAnsi"/>
          <w:sz w:val="22"/>
          <w:szCs w:val="22"/>
        </w:rPr>
        <w:t>az</w:t>
      </w:r>
      <w:r>
        <w:rPr>
          <w:rFonts w:asciiTheme="minorHAnsi" w:hAnsiTheme="minorHAnsi" w:cstheme="minorHAnsi"/>
          <w:sz w:val="22"/>
          <w:szCs w:val="22"/>
        </w:rPr>
        <w:t xml:space="preserve"> adott</w:t>
      </w:r>
      <w:r w:rsidRPr="00CD1B46">
        <w:rPr>
          <w:rFonts w:asciiTheme="minorHAnsi" w:hAnsiTheme="minorHAnsi" w:cstheme="minorHAnsi"/>
          <w:sz w:val="22"/>
          <w:szCs w:val="22"/>
        </w:rPr>
        <w:t xml:space="preserve"> devizanem hivatalos pénznemnek/törvényes fizetőeszköznek számít </w:t>
      </w:r>
      <w:r>
        <w:rPr>
          <w:rFonts w:asciiTheme="minorHAnsi" w:hAnsiTheme="minorHAnsi" w:cstheme="minorHAnsi"/>
          <w:sz w:val="22"/>
          <w:szCs w:val="22"/>
        </w:rPr>
        <w:t xml:space="preserve">valamely </w:t>
      </w:r>
      <w:r w:rsidRPr="00CD1B46">
        <w:rPr>
          <w:rFonts w:asciiTheme="minorHAnsi" w:hAnsiTheme="minorHAnsi" w:cstheme="minorHAnsi"/>
          <w:sz w:val="22"/>
          <w:szCs w:val="22"/>
        </w:rPr>
        <w:t>országban, melyben az intézmény prudenciális körbe tartozó csoporttagjai székhellyel rendelkeznek</w:t>
      </w:r>
    </w:p>
    <w:p w14:paraId="7FFFECB4" w14:textId="77777777" w:rsidR="008A78E3" w:rsidRPr="00CD1B46" w:rsidRDefault="008A78E3" w:rsidP="00CD1B46">
      <w:pPr>
        <w:pStyle w:val="Listaszerbekezds"/>
        <w:numPr>
          <w:ilvl w:val="0"/>
          <w:numId w:val="87"/>
        </w:numPr>
        <w:spacing w:after="150" w:line="276" w:lineRule="auto"/>
        <w:rPr>
          <w:rFonts w:asciiTheme="minorHAnsi" w:hAnsiTheme="minorHAnsi" w:cstheme="minorHAnsi"/>
        </w:rPr>
      </w:pPr>
      <w:r>
        <w:rPr>
          <w:rFonts w:asciiTheme="minorHAnsi" w:hAnsiTheme="minorHAnsi" w:cstheme="minorHAnsi"/>
          <w:sz w:val="22"/>
          <w:szCs w:val="22"/>
        </w:rPr>
        <w:t xml:space="preserve">az adott devizanemben </w:t>
      </w:r>
      <w:r w:rsidRPr="00E5139E">
        <w:rPr>
          <w:rFonts w:asciiTheme="minorHAnsi" w:hAnsiTheme="minorHAnsi" w:cstheme="minorHAnsi"/>
          <w:sz w:val="22"/>
          <w:szCs w:val="22"/>
        </w:rPr>
        <w:t>a</w:t>
      </w:r>
      <w:r>
        <w:rPr>
          <w:rFonts w:asciiTheme="minorHAnsi" w:hAnsiTheme="minorHAnsi" w:cstheme="minorHAnsi"/>
          <w:sz w:val="22"/>
          <w:szCs w:val="22"/>
        </w:rPr>
        <w:t>z intézmény</w:t>
      </w:r>
      <w:r w:rsidRPr="00E5139E">
        <w:rPr>
          <w:rFonts w:asciiTheme="minorHAnsi" w:hAnsiTheme="minorHAnsi" w:cstheme="minorHAnsi"/>
          <w:sz w:val="22"/>
          <w:szCs w:val="22"/>
        </w:rPr>
        <w:t xml:space="preserve"> előzetes becslései </w:t>
      </w:r>
      <w:r>
        <w:rPr>
          <w:rFonts w:asciiTheme="minorHAnsi" w:hAnsiTheme="minorHAnsi" w:cstheme="minorHAnsi"/>
          <w:sz w:val="22"/>
          <w:szCs w:val="22"/>
        </w:rPr>
        <w:t xml:space="preserve">(egyszerűsített számítás, szakértői megítélés) </w:t>
      </w:r>
      <w:r w:rsidRPr="00E5139E">
        <w:rPr>
          <w:rFonts w:asciiTheme="minorHAnsi" w:hAnsiTheme="minorHAnsi" w:cstheme="minorHAnsi"/>
          <w:sz w:val="22"/>
          <w:szCs w:val="22"/>
        </w:rPr>
        <w:t>szerint</w:t>
      </w:r>
      <w:r>
        <w:rPr>
          <w:rFonts w:asciiTheme="minorHAnsi" w:hAnsiTheme="minorHAnsi" w:cstheme="minorHAnsi"/>
          <w:sz w:val="22"/>
          <w:szCs w:val="22"/>
        </w:rPr>
        <w:t xml:space="preserve"> a </w:t>
      </w:r>
      <w:r w:rsidRPr="00E5139E">
        <w:rPr>
          <w:rFonts w:asciiTheme="minorHAnsi" w:hAnsiTheme="minorHAnsi" w:cstheme="minorHAnsi"/>
          <w:sz w:val="22"/>
          <w:szCs w:val="22"/>
        </w:rPr>
        <w:t>jövedelem</w:t>
      </w:r>
      <w:r>
        <w:rPr>
          <w:rFonts w:asciiTheme="minorHAnsi" w:hAnsiTheme="minorHAnsi" w:cstheme="minorHAnsi"/>
          <w:sz w:val="22"/>
          <w:szCs w:val="22"/>
        </w:rPr>
        <w:t xml:space="preserve"> </w:t>
      </w:r>
      <w:r w:rsidRPr="00E5139E">
        <w:rPr>
          <w:rFonts w:asciiTheme="minorHAnsi" w:hAnsiTheme="minorHAnsi" w:cstheme="minorHAnsi"/>
          <w:sz w:val="22"/>
          <w:szCs w:val="22"/>
        </w:rPr>
        <w:t>érzékenység</w:t>
      </w:r>
      <w:r>
        <w:rPr>
          <w:rFonts w:asciiTheme="minorHAnsi" w:hAnsiTheme="minorHAnsi" w:cstheme="minorHAnsi"/>
          <w:sz w:val="22"/>
          <w:szCs w:val="22"/>
        </w:rPr>
        <w:t>i</w:t>
      </w:r>
      <w:r w:rsidRPr="00E5139E">
        <w:rPr>
          <w:rFonts w:asciiTheme="minorHAnsi" w:hAnsiTheme="minorHAnsi" w:cstheme="minorHAnsi"/>
          <w:sz w:val="22"/>
          <w:szCs w:val="22"/>
        </w:rPr>
        <w:t xml:space="preserve"> és/vagy gazdasági tőkeérték érzékenység</w:t>
      </w:r>
      <w:r>
        <w:rPr>
          <w:rFonts w:asciiTheme="minorHAnsi" w:hAnsiTheme="minorHAnsi" w:cstheme="minorHAnsi"/>
          <w:sz w:val="22"/>
          <w:szCs w:val="22"/>
        </w:rPr>
        <w:t xml:space="preserve">i mutatókkal mért kockázati kitettség </w:t>
      </w:r>
      <w:r w:rsidRPr="00E5139E">
        <w:rPr>
          <w:rFonts w:asciiTheme="minorHAnsi" w:hAnsiTheme="minorHAnsi" w:cstheme="minorHAnsi"/>
          <w:sz w:val="22"/>
          <w:szCs w:val="22"/>
        </w:rPr>
        <w:t>meghaladja a teljes banki könyvre kalkulált érzékenységi mutatók 5%-át.</w:t>
      </w:r>
    </w:p>
    <w:p w14:paraId="7FFFECB5" w14:textId="77777777" w:rsidR="008A78E3" w:rsidRPr="00C114D9" w:rsidRDefault="008A78E3" w:rsidP="00C114D9">
      <w:pPr>
        <w:rPr>
          <w:rFonts w:asciiTheme="minorHAnsi" w:hAnsiTheme="minorHAnsi" w:cstheme="minorHAnsi"/>
          <w:i/>
        </w:rPr>
      </w:pPr>
      <w:r w:rsidRPr="00C114D9">
        <w:rPr>
          <w:rFonts w:asciiTheme="minorHAnsi" w:hAnsiTheme="minorHAnsi" w:cstheme="minorHAnsi"/>
          <w:b/>
          <w:bCs/>
          <w:i/>
        </w:rPr>
        <w:t>Felügyeleti outlier-tesztek</w:t>
      </w:r>
    </w:p>
    <w:p w14:paraId="7FFFECB6"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Bank belső stressztesztjei mellett a CRD 98. cikke alapján a Felügyeletnek rendszeresen felül kell vizsgálnia az intézmények nem kereskedési könyvi kamatlábkockázati kitettségét, ún. felügyeleti outlier tesztek keretében. Ezek számítása során az ehhez kapcsolódó EBA RTS</w:t>
      </w:r>
      <w:r>
        <w:rPr>
          <w:rStyle w:val="Lbjegyzet-hivatkozs"/>
          <w:rFonts w:asciiTheme="minorHAnsi" w:hAnsiTheme="minorHAnsi" w:cstheme="minorHAnsi"/>
        </w:rPr>
        <w:footnoteReference w:id="100"/>
      </w:r>
      <w:r w:rsidRPr="00C114D9">
        <w:rPr>
          <w:rFonts w:asciiTheme="minorHAnsi" w:hAnsiTheme="minorHAnsi" w:cstheme="minorHAnsi"/>
        </w:rPr>
        <w:t xml:space="preserve"> szerint szükséges eljárni:</w:t>
      </w:r>
    </w:p>
    <w:p w14:paraId="7FFFECB7" w14:textId="77777777" w:rsidR="008A78E3" w:rsidRPr="00C114D9" w:rsidRDefault="008A78E3" w:rsidP="00CD1B46">
      <w:pPr>
        <w:pStyle w:val="Listaszerbekezds"/>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EVE-érzékenység kapcsán a korábban, az EBA/GL/2018/02-ben (és a Hpt. 172. § (12)-ben) megfogalmazott 15%-os küszöbérték érvényes továbbra is, a 6 EBA-szcenárióban kiszámított gazdasági tőkecsökkenés legnagyobb negatív hatásának és az intézmény T1 tőkéjének hányadosaként.</w:t>
      </w:r>
    </w:p>
    <w:p w14:paraId="7FFFECB8" w14:textId="77777777" w:rsidR="008A78E3" w:rsidRPr="00C114D9" w:rsidRDefault="008A78E3" w:rsidP="00CD1B46">
      <w:pPr>
        <w:pStyle w:val="Listaszerbekezds"/>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nettó kamatjövedelem-érzékenység kapcsán pedig a 2 párhuzamos EBA hozamgörbe-szcenárióban bekövetkező veszteségek közül a rosszabb (nagyobb abszolút értékű negatív összeg) és az intézmény T1 tökéjének hányadosa nem haladhatja meg az EBA vonatkozó szabályozás technikai standardjában (RTS) meghatározott mindenkori mértéket. Az MNB a limitet az RTS időbeli hatályának megfelelően alkalmazza.</w:t>
      </w:r>
    </w:p>
    <w:p w14:paraId="7FFFECB9"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felügyeleti outlier teszt további paramétereit, valamint a mutatók sértése esetén alkalmazandó eljárást a korábban hivatkozott RTS, illetve a Hpt. 76, § (12) tartalmazza. Kiemelendő, hogy a forint devizára alkalmazott hozamgörbe-szcenáriók során a korábbi MNB ICAAP kézikönyvekben szereplő 250/350/160 bázispontos sokkmérték helyett 2023-tól kezdve az EBA által ajánlott 300/450/200 bázispontos mértékek alkalmazandóak.</w:t>
      </w:r>
    </w:p>
    <w:p w14:paraId="7FFFECBA"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Az MNB tehát elvárja az intézményektől, hogy a két outlier mutató szintjét rendszeresen számszerűsítsék és mutassák be belső kamatkockázati jelentéseikben. Elvárás továbbá, hogy a limit túllépés megállapítását (9R és/vagy COREP jelentés elkészülte) követő 5 munkanapon belül, az intézmény felügyelőnek küldött e-mailben a Bank az MNB felé írásos bejelentést tegyen, amelyben a túllépés tényén, mértékén és az érintett kamatforgatókönyv megnevezésén túlmenően annak okáról és a megszüntetése érdekében tervezett lépésekről is tájékoztatást ad. </w:t>
      </w:r>
      <w:r>
        <w:rPr>
          <w:rFonts w:asciiTheme="minorHAnsi" w:hAnsiTheme="minorHAnsi" w:cstheme="minorHAnsi"/>
        </w:rPr>
        <w:t>A jövedelem érzékenységi f</w:t>
      </w:r>
      <w:r w:rsidRPr="005D5ADB">
        <w:rPr>
          <w:rFonts w:asciiTheme="minorHAnsi" w:hAnsiTheme="minorHAnsi" w:cstheme="minorHAnsi"/>
        </w:rPr>
        <w:t xml:space="preserve">elügyeleti kiugró teszt (NII SOT) küszöbértékének esetleges túllépése értékelésekor </w:t>
      </w:r>
      <w:r>
        <w:rPr>
          <w:rFonts w:asciiTheme="minorHAnsi" w:hAnsiTheme="minorHAnsi" w:cstheme="minorHAnsi"/>
        </w:rPr>
        <w:t xml:space="preserve">az MNB az </w:t>
      </w:r>
      <w:r w:rsidRPr="005D5ADB">
        <w:rPr>
          <w:rFonts w:asciiTheme="minorHAnsi" w:hAnsiTheme="minorHAnsi" w:cstheme="minorHAnsi"/>
        </w:rPr>
        <w:t xml:space="preserve">EBA által közétett vélemény szerint </w:t>
      </w:r>
      <w:r>
        <w:rPr>
          <w:rFonts w:asciiTheme="minorHAnsi" w:hAnsiTheme="minorHAnsi" w:cstheme="minorHAnsi"/>
        </w:rPr>
        <w:t xml:space="preserve">jár el. </w:t>
      </w:r>
      <w:r w:rsidRPr="005D5ADB">
        <w:rPr>
          <w:rFonts w:asciiTheme="minorHAnsi" w:hAnsiTheme="minorHAnsi" w:cstheme="minorHAnsi"/>
        </w:rPr>
        <w:t xml:space="preserve"> Azaz, az NII SOT esetében a limit sértését nem </w:t>
      </w:r>
      <w:r>
        <w:rPr>
          <w:rFonts w:asciiTheme="minorHAnsi" w:hAnsiTheme="minorHAnsi" w:cstheme="minorHAnsi"/>
        </w:rPr>
        <w:t xml:space="preserve">szükségszerűen </w:t>
      </w:r>
      <w:r w:rsidRPr="005D5ADB">
        <w:rPr>
          <w:rFonts w:asciiTheme="minorHAnsi" w:hAnsiTheme="minorHAnsi" w:cstheme="minorHAnsi"/>
        </w:rPr>
        <w:t>követi az EVE-re vonatkozó limit megsértésekor alkalmazottakhoz hasonló erősségű felügyeleti reakció</w:t>
      </w:r>
      <w:r>
        <w:rPr>
          <w:rFonts w:asciiTheme="minorHAnsi" w:hAnsiTheme="minorHAnsi" w:cstheme="minorHAnsi"/>
        </w:rPr>
        <w:t xml:space="preserve">. A limit sértés megítélésekor </w:t>
      </w:r>
      <w:r w:rsidRPr="005D5ADB">
        <w:rPr>
          <w:rFonts w:asciiTheme="minorHAnsi" w:hAnsiTheme="minorHAnsi" w:cstheme="minorHAnsi"/>
        </w:rPr>
        <w:t xml:space="preserve"> egyéb szempontok is mérlegelés</w:t>
      </w:r>
      <w:r>
        <w:rPr>
          <w:rFonts w:asciiTheme="minorHAnsi" w:hAnsiTheme="minorHAnsi" w:cstheme="minorHAnsi"/>
        </w:rPr>
        <w:t>re</w:t>
      </w:r>
      <w:r w:rsidRPr="005D5ADB">
        <w:rPr>
          <w:rFonts w:asciiTheme="minorHAnsi" w:hAnsiTheme="minorHAnsi" w:cstheme="minorHAnsi"/>
        </w:rPr>
        <w:t xml:space="preserve"> kerülnek (pl. sértés mértéke, az NII SOT mutató historikus alakulása, a Bank aktuális és historikus EVE SOT mutató értéke, egyéb kamatkockázati mutatók vizsgálata stb.).</w:t>
      </w:r>
    </w:p>
    <w:p w14:paraId="7FFFECBB"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w:t>
      </w:r>
    </w:p>
    <w:p w14:paraId="7FFFECBC" w14:textId="77777777" w:rsidR="008A78E3" w:rsidRPr="00C114D9" w:rsidRDefault="008A78E3" w:rsidP="00C114D9">
      <w:pPr>
        <w:rPr>
          <w:rFonts w:asciiTheme="minorHAnsi" w:hAnsiTheme="minorHAnsi" w:cstheme="minorHAnsi"/>
        </w:rPr>
      </w:pPr>
    </w:p>
    <w:p w14:paraId="7FFFECBD" w14:textId="77777777" w:rsidR="008A78E3" w:rsidRPr="00C114D9" w:rsidRDefault="008A78E3" w:rsidP="00C114D9">
      <w:pPr>
        <w:rPr>
          <w:rFonts w:asciiTheme="minorHAnsi" w:hAnsiTheme="minorHAnsi" w:cstheme="minorHAnsi"/>
          <w:b/>
          <w:i/>
        </w:rPr>
      </w:pPr>
      <w:r w:rsidRPr="00C114D9">
        <w:rPr>
          <w:rFonts w:asciiTheme="minorHAnsi" w:hAnsiTheme="minorHAnsi" w:cstheme="minorHAnsi"/>
          <w:b/>
          <w:i/>
        </w:rPr>
        <w:t>További stressztesztek</w:t>
      </w:r>
    </w:p>
    <w:p w14:paraId="7FFFECBE"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Javasolt fordított stressztesztek futtatása is, a súlyos kamatláb-forgatókönyvek, valamint a stratégiából vagy ügyfélmagatartásból származó sérülékenységek azonosítására. </w:t>
      </w:r>
    </w:p>
    <w:p w14:paraId="7FFFECBF"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Ezenfelül alacsony kamatláb környezetben ajánlott, hogy figyelembe vegyenek negatív kamatlábforgatókönyveket is. </w:t>
      </w:r>
    </w:p>
    <w:p w14:paraId="7FFFECC0"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7FFFECC1"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nagyobb és összetettebb intézmények számára szofisztikáltabb és komplexebb forgatókönyvek futtatása tanácsos, amelyekben a feltételezések maguk is függenek a kamatláb változástól.</w:t>
      </w:r>
    </w:p>
    <w:p w14:paraId="7FFFECC2"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7FFFECC3"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sztenderd kamatláb-sokkok modellezése minimumkövetelmény, amelyet a fentiek szerint az intézmény sajátosságaihoz igazodó más megközelítésekkel ajánlott kiegészíteni. </w:t>
      </w:r>
    </w:p>
    <w:p w14:paraId="7FFFECC4" w14:textId="77777777" w:rsidR="008A78E3" w:rsidRPr="00C114D9" w:rsidRDefault="008A78E3" w:rsidP="00C114D9">
      <w:pPr>
        <w:rPr>
          <w:rFonts w:asciiTheme="minorHAnsi" w:hAnsiTheme="minorHAnsi" w:cstheme="minorHAnsi"/>
        </w:rPr>
      </w:pPr>
    </w:p>
    <w:p w14:paraId="7FFFECC5" w14:textId="77777777" w:rsidR="008A78E3" w:rsidRPr="00C114D9" w:rsidRDefault="008A78E3" w:rsidP="00C114D9">
      <w:pPr>
        <w:rPr>
          <w:rFonts w:asciiTheme="minorHAnsi" w:hAnsiTheme="minorHAnsi" w:cstheme="minorHAnsi"/>
          <w:b/>
        </w:rPr>
      </w:pPr>
      <w:r w:rsidRPr="00C114D9">
        <w:rPr>
          <w:rFonts w:asciiTheme="minorHAnsi" w:hAnsiTheme="minorHAnsi" w:cstheme="minorHAnsi"/>
          <w:b/>
        </w:rPr>
        <w:t xml:space="preserve">Tőkeszükséglet számítás </w:t>
      </w:r>
    </w:p>
    <w:p w14:paraId="7FFFECC6"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 </w:t>
      </w:r>
    </w:p>
    <w:p w14:paraId="7FFFECC7"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Az MNB elvárja, hogy az intézmények az ICAAP keretében meghatározzák a számszerűsített banki könyvi kamatkockázat tőkeigényét, illetve a kockázatok fedezetére tőkét allokáljanak. A tőkeszükséglet meghatározásakor olyan módszertan alkalmazandó, amely a belső kockázat mérési eredményeken alapul, és amely figyelembe veszi a rövid távú (jövedelmi) és hosszabb távú (tőke gazdasági értékének változásában megjelenő) hatásokat egyaránt. </w:t>
      </w:r>
    </w:p>
    <w:p w14:paraId="7FFFECC8"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 xml:space="preserve">A tőkekövetelmény jövedelmi összetevőjének számszerűsítésekor követendő alapelv, hogy annak tartalmaznia kell legalább a nettó kamatbevétel és a valósan értékelt pozícióknak (jellemzően értékpapírok, követelések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érzékenysége meghaladja a jövedelemből becsült várható tőkenövekmény mértékét. Ez a gyakorlatban azt jelenti, hogy a Bankok a jövedelem érzékenységet csökkentő tényezőként figyelembe vehetik a nettó kamatbevétel azon meghatározott részét, amely – a költségek és az adó levonása után – a banki tőke növekedésének forrása lehet. </w:t>
      </w:r>
    </w:p>
    <w:p w14:paraId="7FFFECC9"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hónap végére vonatkozóan kalkulált érték kizárólagos számításba vétele helyett, a számítást megelőző egy év eredményeit, a tőkekövetelmény alakulásának trendjét is figyelembe kell venni. Mindamellett a tőkeigény változékonysága – az időben stabilabbnak mutatkozóhoz viszonyítva – ténylegesen magasabb kockázati szintre utal, aminek a számításokban történő megjelenítése szintén elvárt.</w:t>
      </w:r>
      <w:r>
        <w:rPr>
          <w:rFonts w:asciiTheme="minorHAnsi" w:hAnsiTheme="minorHAnsi" w:cstheme="minorHAnsi"/>
        </w:rPr>
        <w:t xml:space="preserve"> </w:t>
      </w:r>
      <w:r w:rsidRPr="00C114D9">
        <w:rPr>
          <w:rFonts w:asciiTheme="minorHAnsi" w:hAnsiTheme="minorHAnsi" w:cstheme="minorHAnsi"/>
        </w:rPr>
        <w:t>(Ha a számítás által érin</w:t>
      </w:r>
      <w:r>
        <w:rPr>
          <w:rFonts w:asciiTheme="minorHAnsi" w:hAnsiTheme="minorHAnsi" w:cstheme="minorHAnsi"/>
        </w:rPr>
        <w:t>t</w:t>
      </w:r>
      <w:r w:rsidRPr="00C114D9">
        <w:rPr>
          <w:rFonts w:asciiTheme="minorHAnsi" w:hAnsiTheme="minorHAnsi" w:cstheme="minorHAnsi"/>
        </w:rPr>
        <w:t>ett időszak alatt módszertani változás(ok) történt(ek)</w:t>
      </w:r>
      <w:r>
        <w:rPr>
          <w:rFonts w:asciiTheme="minorHAnsi" w:hAnsiTheme="minorHAnsi" w:cstheme="minorHAnsi"/>
        </w:rPr>
        <w:t>,</w:t>
      </w:r>
      <w:r w:rsidRPr="00C114D9">
        <w:rPr>
          <w:rFonts w:asciiTheme="minorHAnsi" w:hAnsiTheme="minorHAnsi" w:cstheme="minorHAnsi"/>
        </w:rPr>
        <w:t xml:space="preserve"> a kalkulációt az </w:t>
      </w:r>
      <w:r>
        <w:rPr>
          <w:rFonts w:asciiTheme="minorHAnsi" w:hAnsiTheme="minorHAnsi" w:cstheme="minorHAnsi"/>
        </w:rPr>
        <w:t>aktuális</w:t>
      </w:r>
      <w:r w:rsidRPr="00C114D9">
        <w:rPr>
          <w:rFonts w:asciiTheme="minorHAnsi" w:hAnsiTheme="minorHAnsi" w:cstheme="minorHAnsi"/>
        </w:rPr>
        <w:t xml:space="preserve"> módszertant alkalmazva szükséges elvégezni a teljes időszakra. Ugyanakkor a módszertani változások hatásának kimutatása érdekében célszerű lehet a korábbi módszertan szerinti kalkulációk elvégzése is.)</w:t>
      </w:r>
    </w:p>
    <w:p w14:paraId="7FFFECCA"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tőkekövetelmény meghatározására a Banknak saját számítást kell alkalmaznia, az nem alapulhat kizárólag a felügyeleti számítások eredményeinek átvételén. Az MNB a Bank által meghatározott tőkekövetelmény megfelelőségének megítélésekor a saját benchmark számításainak eredményeit (is) figyelembe veszi. E benchmark számítások legfontosabb paraméterei a következők:</w:t>
      </w:r>
    </w:p>
    <w:p w14:paraId="7FFFECCB"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MNB az NII érzékenység számításánál statikus üzleti forgatókönyvet alkalmaz, azaz változatlan mérleg állományokkal és kockázati profillal számol, a lejáró állományokat azonos kockázati tulajdonságú és azonos mennyiségű új állomány pótolja. Kivételt képez ez alól a látra szóló betéti állomány kezelése, amelynek arányát a teljes, összességében változatlan volumenű betétállományon belül esetenként nem tekintjük állandónak. Ezen állomány - a lekötött betétek állományával szembeni - alakulása a különböző piaci forgatókönyvekben különböző lehet.</w:t>
      </w:r>
    </w:p>
    <w:p w14:paraId="7FFFECCC"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érzékenység meghatározása az ún. ’run-off’ modell alkalmazásával történik, azaz a mérlegben aktuálisan meglévő állományoknak a szerződéses vagy becsült futamidők szerinti kifutásával számol.</w:t>
      </w:r>
    </w:p>
    <w:p w14:paraId="7FFFECCD"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számítások során az MNB a nemzetközi ajánlásokban megjelenő 6 piaci forgatókönyvet</w:t>
      </w:r>
      <w:r>
        <w:rPr>
          <w:rStyle w:val="Lbjegyzet-hivatkozs"/>
          <w:rFonts w:asciiTheme="minorHAnsi" w:hAnsiTheme="minorHAnsi" w:cstheme="minorHAnsi"/>
          <w:sz w:val="22"/>
          <w:szCs w:val="22"/>
        </w:rPr>
        <w:footnoteReference w:id="101"/>
      </w:r>
      <w:r w:rsidRPr="00C114D9">
        <w:rPr>
          <w:rFonts w:asciiTheme="minorHAnsi" w:hAnsiTheme="minorHAnsi" w:cstheme="minorHAnsi"/>
          <w:sz w:val="22"/>
          <w:szCs w:val="22"/>
        </w:rPr>
        <w:t xml:space="preserve"> alkalmazza (2 ellentétes irányú, párhuzamos hozamgörbe sokk, 2 hozamgörbe meredekség változás, 2 hozamgörbe alakváltozás). Az alkalmazott eljárást és a kamatsokkok mértékét a 2. függelék tartalmazza.  </w:t>
      </w:r>
    </w:p>
    <w:p w14:paraId="7FFFECCE" w14:textId="77777777" w:rsidR="008A78E3" w:rsidRPr="000A67D4"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számításokat minden, a banki könyvi összes eszköz vagy forrás 5%-ánál nem kisebb állománnyal rendelkező, de együttesen legalább a teljes állomány 90%-át kitevő devizanemre külön elvégezzük. (Ha az 5%-nál nagyobb arányú devizák nem teszik ki a teljes banki könyv 90%-át, akkor a kisebb arányúak is bekerülnek a számításba.)</w:t>
      </w:r>
      <w:bookmarkStart w:id="1108" w:name="_Hlk500322470"/>
      <w:r w:rsidRPr="00C114D9">
        <w:rPr>
          <w:rFonts w:asciiTheme="minorHAnsi" w:hAnsiTheme="minorHAnsi" w:cstheme="minorHAnsi"/>
          <w:sz w:val="22"/>
          <w:szCs w:val="22"/>
        </w:rPr>
        <w:t xml:space="preserve"> A tőkeszükséglet számítása során azon devizanemeket is figyelembe vesszük, melyek </w:t>
      </w:r>
      <w:r w:rsidRPr="003D26EE">
        <w:rPr>
          <w:rFonts w:asciiTheme="minorHAnsi" w:hAnsiTheme="minorHAnsi" w:cstheme="minorHAnsi"/>
          <w:sz w:val="22"/>
          <w:szCs w:val="22"/>
        </w:rPr>
        <w:t>hivatalos pénznemnek/törvényes fizetőeszköznek számít</w:t>
      </w:r>
      <w:r>
        <w:rPr>
          <w:rFonts w:asciiTheme="minorHAnsi" w:hAnsiTheme="minorHAnsi" w:cstheme="minorHAnsi"/>
          <w:sz w:val="22"/>
          <w:szCs w:val="22"/>
        </w:rPr>
        <w:t>anak</w:t>
      </w:r>
      <w:r w:rsidRPr="003D26EE">
        <w:rPr>
          <w:rFonts w:asciiTheme="minorHAnsi" w:hAnsiTheme="minorHAnsi" w:cstheme="minorHAnsi"/>
          <w:sz w:val="22"/>
          <w:szCs w:val="22"/>
        </w:rPr>
        <w:t xml:space="preserve"> valamely országban, melyben az intézmény prudenciális körbe tartozó csoporttagjai székhellyel rendelkeznek</w:t>
      </w:r>
      <w:r>
        <w:rPr>
          <w:rFonts w:asciiTheme="minorHAnsi" w:hAnsiTheme="minorHAnsi" w:cstheme="minorHAnsi"/>
          <w:sz w:val="22"/>
          <w:szCs w:val="22"/>
        </w:rPr>
        <w:t xml:space="preserve">, illetve melyek </w:t>
      </w:r>
      <w:r w:rsidRPr="00C114D9">
        <w:rPr>
          <w:rFonts w:asciiTheme="minorHAnsi" w:hAnsiTheme="minorHAnsi" w:cstheme="minorHAnsi"/>
          <w:sz w:val="22"/>
          <w:szCs w:val="22"/>
        </w:rPr>
        <w:t xml:space="preserve">jövedelem- és/vagy gazdasági tőkeérték érzékenysége meghaladja a teljes banki könyvre kalkulált </w:t>
      </w:r>
      <w:r w:rsidRPr="000A67D4">
        <w:rPr>
          <w:rFonts w:asciiTheme="minorHAnsi" w:hAnsiTheme="minorHAnsi" w:cstheme="minorHAnsi"/>
          <w:sz w:val="22"/>
          <w:szCs w:val="22"/>
        </w:rPr>
        <w:t>érzékenységi mutatók 5%-át</w:t>
      </w:r>
      <w:r>
        <w:rPr>
          <w:rFonts w:asciiTheme="minorHAnsi" w:hAnsiTheme="minorHAnsi" w:cstheme="minorHAnsi"/>
          <w:sz w:val="22"/>
          <w:szCs w:val="22"/>
        </w:rPr>
        <w:t xml:space="preserve"> előzetes becsléseink (egyszerűsített számítás, szakértői megítélés) szerint</w:t>
      </w:r>
      <w:r w:rsidRPr="000A67D4">
        <w:rPr>
          <w:rFonts w:asciiTheme="minorHAnsi" w:hAnsiTheme="minorHAnsi" w:cstheme="minorHAnsi"/>
          <w:sz w:val="22"/>
          <w:szCs w:val="22"/>
        </w:rPr>
        <w:t>.</w:t>
      </w:r>
    </w:p>
    <w:bookmarkEnd w:id="1108"/>
    <w:p w14:paraId="7FFFECCF" w14:textId="77777777" w:rsidR="008A78E3" w:rsidRPr="00CD1B46" w:rsidRDefault="008A78E3" w:rsidP="00CD1B46">
      <w:pPr>
        <w:pStyle w:val="Listaszerbekezds"/>
        <w:numPr>
          <w:ilvl w:val="0"/>
          <w:numId w:val="54"/>
        </w:numPr>
        <w:spacing w:after="150" w:line="276" w:lineRule="auto"/>
        <w:rPr>
          <w:rFonts w:asciiTheme="minorHAnsi" w:hAnsiTheme="minorHAnsi" w:cstheme="minorHAnsi"/>
          <w:sz w:val="22"/>
          <w:szCs w:val="22"/>
        </w:rPr>
      </w:pPr>
      <w:r w:rsidRPr="00CD1B46">
        <w:rPr>
          <w:rFonts w:asciiTheme="minorHAnsi" w:hAnsiTheme="minorHAnsi" w:cstheme="minorHAnsi"/>
          <w:sz w:val="22"/>
          <w:szCs w:val="22"/>
        </w:rPr>
        <w:t>A HUF, EUR és USD devizanemekhez tartozó hozamgörbék mozgása közötti korreláció esetleges kockázat csökkentő hatását (diverzifikációs hatás) figyelembe vesszük olyan módon, hogy a periódus végi tőkeszükséglet értékét legfeljebb 15%-kal mérsékeljük. A diverzifikációs hatás mértékének MNB által alkalmazott számítási módszertanát a 4. függelék tartalmazza.</w:t>
      </w:r>
    </w:p>
    <w:p w14:paraId="7FFFECD0" w14:textId="77777777" w:rsidR="008A78E3" w:rsidRPr="00CD1B46" w:rsidRDefault="008A78E3" w:rsidP="00CD1B46">
      <w:pPr>
        <w:ind w:left="1080"/>
        <w:rPr>
          <w:rFonts w:asciiTheme="minorHAnsi" w:eastAsiaTheme="minorEastAsia" w:hAnsiTheme="minorHAnsi" w:cstheme="minorHAnsi"/>
        </w:rPr>
      </w:pPr>
    </w:p>
    <w:p w14:paraId="7FFFECD1"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tőkekövetelmény meghatározásában a piaci forgatókönyveknek mind a jövedelmi hatása, mind a tőkeértékre gyakorolt hatása (tőke gazdasági értékének érzékenysége) szerepet kap.</w:t>
      </w:r>
    </w:p>
    <w:p w14:paraId="7FFFECD2"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a nettó kamatbevételen kívül tartalmazza a valósan értékelt értékpapír portfólió, követelések, származékos kamat pozíciók és az esetlegesen figyelembe vett egyéb valósan értékelt pozíciók kamatsokk hatására bekövetkező értékváltozását is. A valósan értékelt pozíciók közül azokat, amelyek számvitel szerint fedezeti könyvelési kapcsolatban (hedge accounting) szerepelnek, nem kell figyelembe venni a jövedelem érzékenység számszerűsítése során. A FV érzékenység számítása során nem kell figyelembe venni az ügyletek azon pénzáramlásait sem, amelyek a számítás időpontját követő egy naptári éven belülre esnek.</w:t>
      </w:r>
    </w:p>
    <w:p w14:paraId="7FFFECD3"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tőkeszükséglet jövedelem érzékenységi összetevőjénél a mért érzékenységet csökkenti a nettó kamatbevételből becsült potenciális tőkenövekmény.</w:t>
      </w:r>
    </w:p>
    <w:p w14:paraId="7FFFECD4"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 definiált kamatkockázati tulajdonságokkal rendelkező instrumentumokon belül a – banki mérlegekben legjelentősebb arányú – látra szóló betéti termékekre vonatkozóan a számításhoz szükséges paraméterek meghatározása modellezéssel történik. Azon látra szóló betétállományok, melyek kamatozása referencia kamatlábhoz vagy indexhez kötött, változó kamatozású ügyletekként kezelendők a kamatlábkockázati számítások során. A modell részletesebb ismertetését a 3. függelék tartalmazza.</w:t>
      </w:r>
    </w:p>
    <w:p w14:paraId="7FFFECD5"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mérésének időhorizontja: 1 év.</w:t>
      </w:r>
    </w:p>
    <w:p w14:paraId="7FFFECD6"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nettó kamatbevétel érzékenység számítása során az MNB a spread-eket is tartalmazó ügyleti kamatok használatát várja el.</w:t>
      </w:r>
    </w:p>
    <w:p w14:paraId="7FFFECD7"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effektív tőkeszükséglet meghatározása a havi periódusok végére számított aktuális érték helyett a trendeket és a változékonyságot is számításba vevő metóduson alapul. A gyakorlatban ez az azonos módszertan szerint meghatározott periódus végi tőkekövetelmény összegek idősorából számított átlagos érték és szóródás figyelembevételét jelenti.</w:t>
      </w:r>
    </w:p>
    <w:p w14:paraId="7FFFECD8"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Mind az EVE, mind az INC (jövedelem) érzékenységi számítások esetén az alap forgatókönyv a számítás vonatkozási időpontjában a piacon megfigyelhető aktuális hozamgörbe alapján határozódik meg. </w:t>
      </w:r>
    </w:p>
    <w:p w14:paraId="7FFFECD9" w14:textId="77777777" w:rsidR="008A78E3" w:rsidRPr="00C114D9" w:rsidRDefault="008A78E3"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jövedelem érzékenységi számítások során az MNB alternatív alap forgatókönyvként alkalmazza azt, amelyben az eszköz, forrás és mérleg alatti tételek aktuálisan a mérlegben lévő, az utolsó kamatváltozás óta érvényes kamatlábainak változatlanságát feltételezi. A jövedelem érzékenység meghatározása a stressz kamatláb forgatókönyvekben megjelenő kamatlábaknak az ezen kamatokhoz viszonyított különbségein alapul. </w:t>
      </w:r>
    </w:p>
    <w:p w14:paraId="7FFFECDA" w14:textId="77777777" w:rsidR="008A78E3" w:rsidRPr="00C114D9" w:rsidRDefault="008A78E3" w:rsidP="00C114D9">
      <w:pPr>
        <w:rPr>
          <w:rFonts w:asciiTheme="minorHAnsi" w:hAnsiTheme="minorHAnsi" w:cstheme="minorHAnsi"/>
        </w:rPr>
      </w:pPr>
      <w:r w:rsidRPr="00C114D9">
        <w:rPr>
          <w:rFonts w:asciiTheme="minorHAnsi" w:hAnsiTheme="minorHAnsi" w:cstheme="minorHAnsi"/>
        </w:rPr>
        <w:t>A számítások részletes leírását az 1. függelék, míg az MNB által alkalmazott kamat forgatókönyvek meghatározását a 2. függelék tartalmazza.</w:t>
      </w:r>
    </w:p>
    <w:p w14:paraId="7FFFECDB" w14:textId="77777777" w:rsidR="008A78E3" w:rsidRPr="0055569D" w:rsidRDefault="008A78E3" w:rsidP="00181755">
      <w:pPr>
        <w:spacing w:after="240"/>
        <w:rPr>
          <w:rFonts w:asciiTheme="minorHAnsi" w:hAnsiTheme="minorHAnsi"/>
          <w:color w:val="auto"/>
        </w:rPr>
      </w:pPr>
    </w:p>
    <w:p w14:paraId="7FFFECDC" w14:textId="77777777" w:rsidR="008A78E3" w:rsidRPr="006A6890" w:rsidRDefault="008A78E3" w:rsidP="00181755">
      <w:pPr>
        <w:pStyle w:val="Cmsor3"/>
        <w:rPr>
          <w:rFonts w:asciiTheme="minorHAnsi" w:hAnsiTheme="minorHAnsi"/>
        </w:rPr>
      </w:pPr>
      <w:bookmarkStart w:id="1109" w:name="_Toc461547998"/>
      <w:bookmarkStart w:id="1110" w:name="_Toc462402038"/>
      <w:bookmarkStart w:id="1111" w:name="_Toc462403159"/>
      <w:bookmarkStart w:id="1112" w:name="_Toc462403483"/>
      <w:bookmarkStart w:id="1113" w:name="_Toc462403912"/>
      <w:bookmarkStart w:id="1114" w:name="_Toc462645780"/>
      <w:bookmarkStart w:id="1115" w:name="_Toc468180602"/>
      <w:bookmarkStart w:id="1116" w:name="_Toc468181083"/>
      <w:bookmarkStart w:id="1117" w:name="_Toc461547999"/>
      <w:bookmarkStart w:id="1118" w:name="_Toc462402039"/>
      <w:bookmarkStart w:id="1119" w:name="_Toc462403160"/>
      <w:bookmarkStart w:id="1120" w:name="_Toc462403484"/>
      <w:bookmarkStart w:id="1121" w:name="_Toc462403913"/>
      <w:bookmarkStart w:id="1122" w:name="_Toc462645781"/>
      <w:bookmarkStart w:id="1123" w:name="_Toc468180603"/>
      <w:bookmarkStart w:id="1124" w:name="_Toc468181084"/>
      <w:bookmarkStart w:id="1125" w:name="_Toc461095231"/>
      <w:bookmarkStart w:id="1126" w:name="_Toc461179887"/>
      <w:bookmarkStart w:id="1127" w:name="_Toc461548000"/>
      <w:bookmarkStart w:id="1128" w:name="_Toc462402040"/>
      <w:bookmarkStart w:id="1129" w:name="_Toc462403161"/>
      <w:bookmarkStart w:id="1130" w:name="_Toc462403485"/>
      <w:bookmarkStart w:id="1131" w:name="_Toc468180604"/>
      <w:bookmarkStart w:id="1132" w:name="_Toc468181085"/>
      <w:bookmarkStart w:id="1133" w:name="_Toc468191469"/>
      <w:bookmarkStart w:id="1134" w:name="_Toc45119987"/>
      <w:bookmarkStart w:id="1135" w:name="_Toc58512270"/>
      <w:bookmarkStart w:id="1136" w:name="_Toc158036691"/>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6A6890">
        <w:rPr>
          <w:rFonts w:asciiTheme="minorHAnsi" w:hAnsiTheme="minorHAnsi"/>
        </w:rPr>
        <w:t>Modellkockázat</w:t>
      </w:r>
      <w:bookmarkEnd w:id="1125"/>
      <w:bookmarkEnd w:id="1126"/>
      <w:bookmarkEnd w:id="1127"/>
      <w:bookmarkEnd w:id="1128"/>
      <w:bookmarkEnd w:id="1129"/>
      <w:bookmarkEnd w:id="1130"/>
      <w:bookmarkEnd w:id="1131"/>
      <w:bookmarkEnd w:id="1132"/>
      <w:bookmarkEnd w:id="1133"/>
      <w:bookmarkEnd w:id="1134"/>
      <w:bookmarkEnd w:id="1135"/>
      <w:bookmarkEnd w:id="1136"/>
    </w:p>
    <w:p w14:paraId="7FFFECDD"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CDE" w14:textId="77777777" w:rsidR="008A78E3" w:rsidRPr="006A6890" w:rsidRDefault="008A78E3" w:rsidP="00EA0541">
      <w:pPr>
        <w:rPr>
          <w:rFonts w:asciiTheme="minorHAnsi" w:hAnsiTheme="minorHAnsi"/>
        </w:rPr>
      </w:pPr>
      <w:r w:rsidRPr="006A6890">
        <w:rPr>
          <w:rFonts w:asciiTheme="minorHAnsi" w:hAnsiTheme="minorHAnsi"/>
        </w:rPr>
        <w:t>Az új EBA SREP Ajánlás a modellkockázatok két eltérő formáját különbözteti meg:</w:t>
      </w:r>
    </w:p>
    <w:p w14:paraId="7FFFECDF" w14:textId="77777777" w:rsidR="008A78E3" w:rsidRPr="006A6890" w:rsidRDefault="008A78E3" w:rsidP="00CD1B46">
      <w:pPr>
        <w:numPr>
          <w:ilvl w:val="0"/>
          <w:numId w:val="16"/>
        </w:numPr>
        <w:rPr>
          <w:rFonts w:asciiTheme="minorHAnsi" w:hAnsiTheme="minorHAnsi"/>
        </w:rPr>
      </w:pPr>
      <w:r w:rsidRPr="006A6890">
        <w:rPr>
          <w:rFonts w:asciiTheme="minorHAnsi" w:hAnsiTheme="minorHAnsi"/>
        </w:rPr>
        <w:t>szabályozó által jóváhagyott modell segítségével számszerűsített tőkekövetelmény potenciális alulbecsléséből fakadó kockázat,</w:t>
      </w:r>
    </w:p>
    <w:p w14:paraId="7FFFECE0" w14:textId="77777777" w:rsidR="008A78E3" w:rsidRPr="006A6890" w:rsidRDefault="008A78E3" w:rsidP="00CD1B46">
      <w:pPr>
        <w:numPr>
          <w:ilvl w:val="0"/>
          <w:numId w:val="16"/>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 ügyfélminősítés, értékvesztés képzés stb.).</w:t>
      </w:r>
    </w:p>
    <w:p w14:paraId="7FFFECE1" w14:textId="77777777" w:rsidR="008A78E3" w:rsidRPr="00443BF0" w:rsidRDefault="008A78E3" w:rsidP="00443BF0">
      <w:pPr>
        <w:rPr>
          <w:rFonts w:asciiTheme="minorHAnsi" w:hAnsiTheme="minorHAnsi"/>
        </w:rPr>
      </w:pPr>
      <w:r w:rsidRPr="006A6890">
        <w:rPr>
          <w:rFonts w:asciiTheme="minorHAnsi" w:hAnsiTheme="minorHAnsi"/>
        </w:rPr>
        <w:t>A fenti pontok közül az a) kapcsán az EBA SREP Ajánlás egyértelműen kimondja, hogy a körülírt kockázat az adott kockázattípuson belül kezelendő, míg a b) pont kapcsán körülírt kockázatok, mint modellkockázatok, a működési kockázatok alatt kezelendőek.</w:t>
      </w:r>
    </w:p>
    <w:p w14:paraId="7FFFECE2" w14:textId="77777777" w:rsidR="008A78E3" w:rsidRPr="006A6890" w:rsidRDefault="008A78E3"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Kockázatértékelés és -kezelés</w:t>
      </w:r>
    </w:p>
    <w:p w14:paraId="7FFFECE3" w14:textId="77777777" w:rsidR="008A78E3" w:rsidRPr="006A6890" w:rsidRDefault="008A78E3"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xml:space="preserve">. A modellhibákat érzékenységvizsgálatokkal, stressz-tesztekkel valamelyest körül lehet határolni, ezek gazdasági veszteséggé transzformálása viszont már igen nehéz feladat. Ezért ezen kockázat esetén nem a tőkével való fedezés, hanem a kockázatok megfelelő kezelése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7FFFECE4" w14:textId="77777777" w:rsidR="008A78E3" w:rsidRPr="006A6890" w:rsidRDefault="008A78E3" w:rsidP="00EA0541">
      <w:pPr>
        <w:rPr>
          <w:rFonts w:asciiTheme="minorHAnsi" w:hAnsiTheme="minorHAnsi"/>
        </w:rPr>
      </w:pPr>
      <w:r w:rsidRPr="006A6890">
        <w:rPr>
          <w:rFonts w:asciiTheme="minorHAnsi" w:hAnsiTheme="minorHAnsi"/>
        </w:rPr>
        <w:t>Az egyszerűbb tőkekövetelmény-számítási módszerek alkalmazása (hitelezési kockázat alulbecslése sztenderd módszer alkalmazása esetén, illetve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7FFFECE5" w14:textId="77777777" w:rsidR="008A78E3" w:rsidRPr="006A6890" w:rsidRDefault="008A78E3"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 paraméterbecslések, és eljárások nem kielégítőek, az adatminőség nem megfelelő, illetve az intézmény kimutatott minimum tőkeszükséglete nem elegendő a kockázatok fedezésére, az MNB a 2. pillérben az ICAAP felülvizsgálata során a kockázatkontroll minőség javításának előírásán túl – kellő indoklás mellett – pótlólagos tőkekövetelményt írhat elő.</w:t>
      </w:r>
    </w:p>
    <w:p w14:paraId="7FFFECE6" w14:textId="77777777" w:rsidR="008A78E3" w:rsidRPr="006A6890" w:rsidRDefault="008A78E3" w:rsidP="00EA0541">
      <w:pPr>
        <w:rPr>
          <w:rFonts w:asciiTheme="minorHAnsi" w:hAnsiTheme="minorHAnsi"/>
        </w:rPr>
      </w:pPr>
      <w:r w:rsidRPr="006A6890">
        <w:rPr>
          <w:rFonts w:asciiTheme="minorHAnsi" w:hAnsiTheme="minorHAnsi"/>
        </w:rPr>
        <w:t xml:space="preserve">Az MNB a tőkekövetelmény-számítási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7FFFECE7" w14:textId="77777777" w:rsidR="008A78E3" w:rsidRPr="006A6890" w:rsidRDefault="008A78E3"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p>
    <w:p w14:paraId="7FFFECE8" w14:textId="77777777" w:rsidR="008A78E3" w:rsidRPr="006A6890" w:rsidRDefault="008A78E3"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p>
    <w:p w14:paraId="7FFFECE9" w14:textId="77777777" w:rsidR="008A78E3" w:rsidRPr="006A6890" w:rsidRDefault="008A78E3"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 valamint kezeljék a gyenge adatminőség miatti potenciális torzításokat,</w:t>
      </w:r>
    </w:p>
    <w:p w14:paraId="7FFFECEA"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FFFECEB" w14:textId="77777777" w:rsidR="008A78E3" w:rsidRPr="006A6890" w:rsidRDefault="008A78E3"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Pr>
          <w:rFonts w:asciiTheme="minorHAnsi" w:hAnsiTheme="minorHAnsi"/>
        </w:rPr>
        <w:t xml:space="preserve"> </w:t>
      </w:r>
      <w:r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7FFFECEC" w14:textId="77777777" w:rsidR="008A78E3" w:rsidRPr="006A6890" w:rsidRDefault="008A78E3"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melyeknél az intézmény modellhasználata lényeges. Azon üzleti területek esetében, amelyeken jelentős a modellek használata, az MNB értékeli, hogy mennyire lehet jelentős a modellkockázat hatása.</w:t>
      </w:r>
    </w:p>
    <w:p w14:paraId="7FFFECED" w14:textId="77777777" w:rsidR="008A78E3" w:rsidRPr="006A6890" w:rsidRDefault="008A78E3"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7FFFECEE" w14:textId="77777777" w:rsidR="008A78E3" w:rsidRPr="006A6890" w:rsidRDefault="008A78E3"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FFFECEF" w14:textId="77777777" w:rsidR="008A78E3" w:rsidRPr="006A6890" w:rsidRDefault="008A78E3"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7FFFECF0" w14:textId="77777777" w:rsidR="008A78E3" w:rsidRPr="006A6890" w:rsidRDefault="008A78E3"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7FFFECF1" w14:textId="77777777" w:rsidR="008A78E3" w:rsidRPr="006A6890" w:rsidRDefault="008A78E3" w:rsidP="00CD1B46">
      <w:pPr>
        <w:numPr>
          <w:ilvl w:val="0"/>
          <w:numId w:val="35"/>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mellyel kapcsolatban az MNB az alábbi minimális elvárásokat fogalmazza meg</w:t>
      </w:r>
      <w:r w:rsidRPr="006A6890">
        <w:rPr>
          <w:rStyle w:val="Megllapts2"/>
          <w:rFonts w:asciiTheme="minorHAnsi" w:hAnsiTheme="minorHAnsi"/>
          <w:b w:val="0"/>
        </w:rPr>
        <w:t>:</w:t>
      </w:r>
    </w:p>
    <w:p w14:paraId="7FFFECF2"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7FFFECF3"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7FFFECF4"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7FFFECF5"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7FFFECF6"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7FFFECF7"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kerüljenek a modell üzemeltetésével kapcsolatos felelősségi körök modell szinten megnevezésre</w:t>
      </w:r>
      <w:r>
        <w:rPr>
          <w:rStyle w:val="Lbjegyzet-hivatkozs"/>
          <w:rFonts w:asciiTheme="minorHAnsi" w:hAnsiTheme="minorHAnsi"/>
        </w:rPr>
        <w:footnoteReference w:id="102"/>
      </w:r>
      <w:r w:rsidRPr="006A6890">
        <w:rPr>
          <w:rFonts w:asciiTheme="minorHAnsi" w:hAnsiTheme="minorHAnsi"/>
        </w:rPr>
        <w:t>,</w:t>
      </w:r>
    </w:p>
    <w:p w14:paraId="7FFFECF8"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kerüljön rögzítésre minden esetben az, ha a modellhez kapcsolódik termék vagy szegmens,</w:t>
      </w:r>
    </w:p>
    <w:p w14:paraId="7FFFECF9" w14:textId="77777777" w:rsidR="008A78E3" w:rsidRPr="006A6890" w:rsidRDefault="008A78E3" w:rsidP="00CD1B46">
      <w:pPr>
        <w:numPr>
          <w:ilvl w:val="1"/>
          <w:numId w:val="36"/>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7FFFECFA" w14:textId="77777777" w:rsidR="008A78E3" w:rsidRPr="006A6890" w:rsidRDefault="008A78E3" w:rsidP="00CD1B46">
      <w:pPr>
        <w:numPr>
          <w:ilvl w:val="0"/>
          <w:numId w:val="37"/>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FFFECFB" w14:textId="77777777" w:rsidR="008A78E3" w:rsidRPr="006A6890" w:rsidRDefault="008A78E3" w:rsidP="00181755">
      <w:pPr>
        <w:pStyle w:val="Cmsor3"/>
        <w:rPr>
          <w:rStyle w:val="Kiemels"/>
          <w:rFonts w:asciiTheme="minorHAnsi" w:hAnsiTheme="minorHAnsi"/>
          <w:i/>
        </w:rPr>
      </w:pPr>
      <w:bookmarkStart w:id="1137" w:name="_Toc468181086"/>
      <w:bookmarkStart w:id="1138" w:name="_Toc468181087"/>
      <w:bookmarkStart w:id="1139" w:name="_Toc468181088"/>
      <w:bookmarkStart w:id="1140" w:name="_Toc468181089"/>
      <w:bookmarkStart w:id="1141" w:name="_Toc468181090"/>
      <w:bookmarkStart w:id="1142" w:name="_Toc468181091"/>
      <w:bookmarkStart w:id="1143" w:name="_Toc468181092"/>
      <w:bookmarkStart w:id="1144" w:name="_Toc468181093"/>
      <w:bookmarkStart w:id="1145" w:name="_Toc468181094"/>
      <w:bookmarkStart w:id="1146" w:name="_Toc468181095"/>
      <w:bookmarkStart w:id="1147" w:name="_Toc461548011"/>
      <w:bookmarkStart w:id="1148" w:name="_Toc462402051"/>
      <w:bookmarkStart w:id="1149" w:name="_Toc462403172"/>
      <w:bookmarkStart w:id="1150" w:name="_Toc462403496"/>
      <w:bookmarkStart w:id="1151" w:name="_Toc462403925"/>
      <w:bookmarkStart w:id="1152" w:name="_Toc462645793"/>
      <w:bookmarkStart w:id="1153" w:name="_Toc468180615"/>
      <w:bookmarkStart w:id="1154" w:name="_Toc468181096"/>
      <w:bookmarkStart w:id="1155" w:name="_Toc468181097"/>
      <w:bookmarkStart w:id="1156" w:name="_Toc468181098"/>
      <w:bookmarkStart w:id="1157" w:name="_Toc468181099"/>
      <w:bookmarkStart w:id="1158" w:name="_Toc468181100"/>
      <w:bookmarkStart w:id="1159" w:name="_Toc468181101"/>
      <w:bookmarkStart w:id="1160" w:name="_Toc468181102"/>
      <w:bookmarkStart w:id="1161" w:name="_Toc468181103"/>
      <w:bookmarkStart w:id="1162" w:name="_Toc468181104"/>
      <w:bookmarkStart w:id="1163" w:name="_Toc468181105"/>
      <w:bookmarkStart w:id="1164" w:name="_Toc468181106"/>
      <w:bookmarkStart w:id="1165" w:name="_Toc461548022"/>
      <w:bookmarkStart w:id="1166" w:name="_Toc462402062"/>
      <w:bookmarkStart w:id="1167" w:name="_Toc462403183"/>
      <w:bookmarkStart w:id="1168" w:name="_Toc462403507"/>
      <w:bookmarkStart w:id="1169" w:name="_Toc462403936"/>
      <w:bookmarkStart w:id="1170" w:name="_Toc462645804"/>
      <w:bookmarkStart w:id="1171" w:name="_Toc468180626"/>
      <w:bookmarkStart w:id="1172" w:name="_Toc468181107"/>
      <w:bookmarkStart w:id="1173" w:name="_A_banki_könyv"/>
      <w:bookmarkStart w:id="1174" w:name="_Toc468181108"/>
      <w:bookmarkStart w:id="1175" w:name="_Toc468181109"/>
      <w:bookmarkStart w:id="1176" w:name="_Toc468181110"/>
      <w:bookmarkStart w:id="1177" w:name="_Toc468181111"/>
      <w:bookmarkStart w:id="1178" w:name="_Toc468181112"/>
      <w:bookmarkStart w:id="1179" w:name="_Toc468181113"/>
      <w:bookmarkStart w:id="1180" w:name="_Toc468181114"/>
      <w:bookmarkStart w:id="1181" w:name="_Toc468181115"/>
      <w:bookmarkStart w:id="1182" w:name="_Toc468181116"/>
      <w:bookmarkStart w:id="1183" w:name="_Toc468181117"/>
      <w:bookmarkStart w:id="1184" w:name="_Toc461548033"/>
      <w:bookmarkStart w:id="1185" w:name="_Toc462402073"/>
      <w:bookmarkStart w:id="1186" w:name="_Toc462403194"/>
      <w:bookmarkStart w:id="1187" w:name="_Toc462403518"/>
      <w:bookmarkStart w:id="1188" w:name="_Toc462403947"/>
      <w:bookmarkStart w:id="1189" w:name="_Toc462645815"/>
      <w:bookmarkStart w:id="1190" w:name="_Toc468180637"/>
      <w:bookmarkStart w:id="1191" w:name="_Toc468181118"/>
      <w:bookmarkStart w:id="1192" w:name="_Toc468181119"/>
      <w:bookmarkStart w:id="1193" w:name="_III.2.3.4_Likviditási_kockázat"/>
      <w:bookmarkStart w:id="1194" w:name="_Toc468181120"/>
      <w:bookmarkStart w:id="1195" w:name="_Toc468181121"/>
      <w:bookmarkStart w:id="1196" w:name="_Toc468181122"/>
      <w:bookmarkStart w:id="1197" w:name="_Toc461095233"/>
      <w:bookmarkStart w:id="1198" w:name="_Toc461179889"/>
      <w:bookmarkStart w:id="1199" w:name="_Toc461548038"/>
      <w:bookmarkStart w:id="1200" w:name="_Toc462402078"/>
      <w:bookmarkStart w:id="1201" w:name="_Toc462403199"/>
      <w:bookmarkStart w:id="1202" w:name="_Toc462403523"/>
      <w:bookmarkStart w:id="1203" w:name="_Toc468180642"/>
      <w:bookmarkStart w:id="1204" w:name="_Toc468181123"/>
      <w:bookmarkStart w:id="1205" w:name="_Toc468191470"/>
      <w:bookmarkStart w:id="1206" w:name="_Toc45119988"/>
      <w:bookmarkStart w:id="1207" w:name="_Toc58512271"/>
      <w:bookmarkStart w:id="1208" w:name="_Toc158036692"/>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6A6890">
        <w:rPr>
          <w:rStyle w:val="Kiemels"/>
          <w:rFonts w:asciiTheme="minorHAnsi" w:hAnsiTheme="minorHAnsi"/>
          <w:i/>
        </w:rPr>
        <w:t>Kockázatos portfóliók</w:t>
      </w:r>
      <w:bookmarkEnd w:id="1197"/>
      <w:bookmarkEnd w:id="1198"/>
      <w:bookmarkEnd w:id="1199"/>
      <w:bookmarkEnd w:id="1200"/>
      <w:bookmarkEnd w:id="1201"/>
      <w:bookmarkEnd w:id="1202"/>
      <w:bookmarkEnd w:id="1203"/>
      <w:bookmarkEnd w:id="1204"/>
      <w:bookmarkEnd w:id="1205"/>
      <w:bookmarkEnd w:id="1206"/>
      <w:bookmarkEnd w:id="1207"/>
      <w:bookmarkEnd w:id="1208"/>
    </w:p>
    <w:p w14:paraId="7FFFECFC" w14:textId="77777777" w:rsidR="008A78E3" w:rsidRPr="006A6890" w:rsidRDefault="008A78E3" w:rsidP="00EA0541">
      <w:pPr>
        <w:rPr>
          <w:rFonts w:asciiTheme="minorHAnsi" w:hAnsiTheme="minorHAnsi"/>
        </w:rPr>
      </w:pPr>
      <w:r w:rsidRPr="006A6890">
        <w:rPr>
          <w:rFonts w:asciiTheme="minorHAnsi" w:hAnsiTheme="minorHAnsi"/>
        </w:rPr>
        <w:t>Az MNB minden évben megjelenteti a kockázatos portfóliókról szóló tájékoztatóját (lásd: 4. számú melléklet),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leányvállalatok portfóliói esetén, amennyiben ezt a helyi sajátosságok indokolják, eltérhet a tájékoztatóban leírtaktól.</w:t>
      </w:r>
      <w:bookmarkStart w:id="1209" w:name="_III.2.3.5_Elszámolási_kockázat"/>
      <w:bookmarkEnd w:id="1209"/>
    </w:p>
    <w:p w14:paraId="7FFFECFD" w14:textId="77777777" w:rsidR="008A78E3" w:rsidRDefault="008A78E3" w:rsidP="00181755">
      <w:pPr>
        <w:pStyle w:val="Cmsor3"/>
        <w:rPr>
          <w:rStyle w:val="Kiemels"/>
          <w:rFonts w:asciiTheme="minorHAnsi" w:hAnsiTheme="minorHAnsi"/>
        </w:rPr>
      </w:pPr>
      <w:bookmarkStart w:id="1210" w:name="_III.2.3.6_Egyéb_lényeges"/>
      <w:bookmarkStart w:id="1211" w:name="_Toc158036693"/>
      <w:bookmarkStart w:id="1212" w:name="_Toc378592058"/>
      <w:bookmarkStart w:id="1213" w:name="_Toc461095234"/>
      <w:bookmarkStart w:id="1214" w:name="_Toc461179890"/>
      <w:bookmarkStart w:id="1215" w:name="_Toc461201333"/>
      <w:bookmarkStart w:id="1216" w:name="_Toc461548039"/>
      <w:bookmarkStart w:id="1217" w:name="_Toc462402079"/>
      <w:bookmarkStart w:id="1218" w:name="_Toc462403200"/>
      <w:bookmarkStart w:id="1219" w:name="_Toc462403524"/>
      <w:bookmarkStart w:id="1220" w:name="_Toc468180643"/>
      <w:bookmarkStart w:id="1221" w:name="_Toc468181124"/>
      <w:bookmarkStart w:id="1222" w:name="_Toc468191471"/>
      <w:bookmarkStart w:id="1223" w:name="_Toc45119989"/>
      <w:bookmarkEnd w:id="1210"/>
      <w:r>
        <w:rPr>
          <w:rStyle w:val="Kiemels"/>
          <w:rFonts w:asciiTheme="minorHAnsi" w:hAnsiTheme="minorHAnsi"/>
        </w:rPr>
        <w:t>A túlzott tőkeáttételi kockázat</w:t>
      </w:r>
      <w:bookmarkEnd w:id="1211"/>
    </w:p>
    <w:p w14:paraId="7FFFECFE" w14:textId="77777777" w:rsidR="008A78E3" w:rsidRDefault="008A78E3" w:rsidP="00EE2C35">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ICAAP felülvizsgálatokba.</w:t>
      </w:r>
      <w:r>
        <w:t xml:space="preserve"> </w:t>
      </w:r>
    </w:p>
    <w:p w14:paraId="7FFFECFF" w14:textId="77777777" w:rsidR="008A78E3" w:rsidRDefault="008A78E3" w:rsidP="00EE2C35">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 xml:space="preserve">t írhat elő. Az MNB </w:t>
      </w:r>
      <w:bookmarkStart w:id="1224" w:name="_Hlk118459254"/>
      <w:r>
        <w:t>az EBA SREP Ajánlás felülvizsgálatához kapcsolódóan kiadott konzultációs anyag</w:t>
      </w:r>
      <w:r>
        <w:rPr>
          <w:rStyle w:val="Lbjegyzet-hivatkozs"/>
        </w:rPr>
        <w:footnoteReference w:id="103"/>
      </w:r>
      <w:r>
        <w:t xml:space="preserve"> javaslatait megfontolva elsősorban 5 fő szempont alapján vizsgálja az intézmény túlzott tőkeáttételi kockázatát</w:t>
      </w:r>
      <w:bookmarkEnd w:id="1224"/>
      <w:r>
        <w:t xml:space="preserve">: </w:t>
      </w:r>
    </w:p>
    <w:p w14:paraId="7FFFED00" w14:textId="77777777" w:rsidR="008A78E3" w:rsidRDefault="008A78E3" w:rsidP="00CD1B46">
      <w:pPr>
        <w:pStyle w:val="Listaszerbekezds"/>
        <w:numPr>
          <w:ilvl w:val="0"/>
          <w:numId w:val="84"/>
        </w:numPr>
        <w:rPr>
          <w:rFonts w:ascii="Calibri" w:hAnsi="Calibri"/>
          <w:color w:val="000000"/>
          <w:sz w:val="22"/>
          <w:szCs w:val="22"/>
        </w:rPr>
      </w:pPr>
      <w:r>
        <w:rPr>
          <w:rFonts w:ascii="Calibri" w:hAnsi="Calibri"/>
          <w:color w:val="000000"/>
          <w:sz w:val="22"/>
          <w:szCs w:val="22"/>
        </w:rPr>
        <w:t>a tőkeáttételi mutató aktuális szintje és historikus volatilitása,</w:t>
      </w:r>
    </w:p>
    <w:p w14:paraId="7FFFED01" w14:textId="77777777" w:rsidR="008A78E3" w:rsidRDefault="008A78E3" w:rsidP="00CD1B46">
      <w:pPr>
        <w:pStyle w:val="Listaszerbekezds"/>
        <w:numPr>
          <w:ilvl w:val="0"/>
          <w:numId w:val="84"/>
        </w:numPr>
        <w:rPr>
          <w:rFonts w:ascii="Calibri" w:hAnsi="Calibri"/>
          <w:color w:val="000000"/>
          <w:sz w:val="22"/>
          <w:szCs w:val="22"/>
        </w:rPr>
      </w:pPr>
      <w:r>
        <w:rPr>
          <w:rFonts w:ascii="Calibri" w:hAnsi="Calibri"/>
          <w:color w:val="000000"/>
          <w:sz w:val="22"/>
          <w:szCs w:val="22"/>
        </w:rPr>
        <w:t>a j</w:t>
      </w:r>
      <w:r w:rsidRPr="00606714">
        <w:rPr>
          <w:rFonts w:ascii="Calibri" w:hAnsi="Calibri"/>
          <w:color w:val="000000"/>
          <w:sz w:val="22"/>
          <w:szCs w:val="22"/>
        </w:rPr>
        <w:t xml:space="preserve">övedelmezőség </w:t>
      </w:r>
      <w:r>
        <w:rPr>
          <w:rFonts w:ascii="Calibri" w:hAnsi="Calibri"/>
          <w:color w:val="000000"/>
          <w:sz w:val="22"/>
          <w:szCs w:val="22"/>
        </w:rPr>
        <w:t>stabilitása,</w:t>
      </w:r>
    </w:p>
    <w:p w14:paraId="7FFFED02" w14:textId="77777777" w:rsidR="008A78E3" w:rsidRDefault="008A78E3" w:rsidP="00CD1B46">
      <w:pPr>
        <w:pStyle w:val="Listaszerbekezds"/>
        <w:numPr>
          <w:ilvl w:val="0"/>
          <w:numId w:val="84"/>
        </w:numPr>
        <w:rPr>
          <w:rFonts w:ascii="Calibri" w:hAnsi="Calibri"/>
          <w:color w:val="000000"/>
          <w:sz w:val="22"/>
          <w:szCs w:val="22"/>
        </w:rPr>
      </w:pPr>
      <w:r>
        <w:rPr>
          <w:rFonts w:ascii="Calibri" w:hAnsi="Calibri"/>
          <w:color w:val="000000"/>
          <w:sz w:val="22"/>
          <w:szCs w:val="22"/>
        </w:rPr>
        <w:t>a finanszírozás stabilitása,</w:t>
      </w:r>
    </w:p>
    <w:p w14:paraId="7FFFED03" w14:textId="77777777" w:rsidR="008A78E3" w:rsidRDefault="008A78E3" w:rsidP="00CD1B46">
      <w:pPr>
        <w:pStyle w:val="Listaszerbekezds"/>
        <w:numPr>
          <w:ilvl w:val="0"/>
          <w:numId w:val="84"/>
        </w:numPr>
        <w:rPr>
          <w:rFonts w:ascii="Calibri" w:hAnsi="Calibri"/>
          <w:color w:val="000000"/>
          <w:sz w:val="22"/>
          <w:szCs w:val="22"/>
        </w:rPr>
      </w:pPr>
      <w:r>
        <w:rPr>
          <w:rFonts w:ascii="Calibri" w:hAnsi="Calibri"/>
          <w:color w:val="000000"/>
          <w:sz w:val="22"/>
          <w:szCs w:val="22"/>
        </w:rPr>
        <w:t>az üzleti modell stabilitása,</w:t>
      </w:r>
    </w:p>
    <w:p w14:paraId="7FFFED04" w14:textId="77777777" w:rsidR="008A78E3" w:rsidRPr="00606714" w:rsidRDefault="008A78E3" w:rsidP="00CD1B46">
      <w:pPr>
        <w:pStyle w:val="Listaszerbekezds"/>
        <w:numPr>
          <w:ilvl w:val="0"/>
          <w:numId w:val="84"/>
        </w:numPr>
        <w:rPr>
          <w:rFonts w:ascii="Calibri" w:hAnsi="Calibri"/>
          <w:color w:val="000000"/>
          <w:sz w:val="22"/>
          <w:szCs w:val="22"/>
        </w:rPr>
      </w:pPr>
      <w:r>
        <w:rPr>
          <w:rFonts w:ascii="Calibri" w:hAnsi="Calibri"/>
          <w:color w:val="000000"/>
          <w:sz w:val="22"/>
          <w:szCs w:val="22"/>
        </w:rPr>
        <w:t>a koncentráció mértéke.</w:t>
      </w:r>
    </w:p>
    <w:p w14:paraId="7FFFED05" w14:textId="77777777" w:rsidR="008A78E3" w:rsidRPr="00E87D60" w:rsidRDefault="008A78E3" w:rsidP="00E87D60">
      <w:r>
        <w:t xml:space="preserve">A fenti kategóriákat a tőkeáttétel szempontjából jól reprezentáló mutatószám- és limitrendszer alapján az MNB értékeli az intézmény túlzott tőkeáttételi kockázatát. Ehhez kapcsolódóan többletkövetelmény meghatározására egyrészt az intézmény által elért végső súlyozott pontszám (score) függvényében, másrészt az egyes mutatókra meghatározott limitek meghaladása esetén kerülhet sor. </w:t>
      </w:r>
    </w:p>
    <w:p w14:paraId="7FFFED06" w14:textId="77777777" w:rsidR="008A78E3" w:rsidRPr="006A6890" w:rsidRDefault="008A78E3" w:rsidP="00181755">
      <w:pPr>
        <w:pStyle w:val="Cmsor3"/>
        <w:rPr>
          <w:rStyle w:val="Kiemels"/>
          <w:rFonts w:asciiTheme="minorHAnsi" w:hAnsiTheme="minorHAnsi"/>
        </w:rPr>
      </w:pPr>
      <w:bookmarkStart w:id="1225" w:name="_Toc58512272"/>
      <w:bookmarkStart w:id="1226" w:name="_Toc158036694"/>
      <w:r w:rsidRPr="006A6890">
        <w:rPr>
          <w:rStyle w:val="Kiemels"/>
          <w:rFonts w:asciiTheme="minorHAnsi" w:hAnsiTheme="minorHAnsi"/>
        </w:rPr>
        <w:t>Egyéb lényeges kockázatok</w:t>
      </w:r>
      <w:bookmarkEnd w:id="1212"/>
      <w:bookmarkEnd w:id="1213"/>
      <w:bookmarkEnd w:id="1214"/>
      <w:bookmarkEnd w:id="1215"/>
      <w:bookmarkEnd w:id="1216"/>
      <w:bookmarkEnd w:id="1217"/>
      <w:bookmarkEnd w:id="1218"/>
      <w:bookmarkEnd w:id="1219"/>
      <w:bookmarkEnd w:id="1220"/>
      <w:bookmarkEnd w:id="1221"/>
      <w:bookmarkEnd w:id="1222"/>
      <w:bookmarkEnd w:id="1223"/>
      <w:bookmarkEnd w:id="1225"/>
      <w:bookmarkEnd w:id="1226"/>
    </w:p>
    <w:p w14:paraId="7FFFED07" w14:textId="77777777" w:rsidR="008A78E3" w:rsidRPr="006A6890" w:rsidRDefault="008A78E3" w:rsidP="00EA0541">
      <w:pPr>
        <w:rPr>
          <w:rFonts w:asciiTheme="minorHAnsi" w:hAnsiTheme="minorHAnsi"/>
        </w:rPr>
      </w:pPr>
      <w:r w:rsidRPr="006A6890">
        <w:rPr>
          <w:rFonts w:asciiTheme="minorHAnsi" w:hAnsiTheme="minorHAnsi"/>
        </w:rPr>
        <w:t>Az ICAAP 7. alapelvének elvárása, hogy az intézmény belső tőkeallokációs folyamata minden, a korábbiakban nem definiált, de az intézmény szempontjából lényeges kockázatra terjedjen ki. Megjelenhetnek ennek keretében 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azonban a definíciót, valamint a kockázat mérésére és kezelésére kialakított eljárásokat azonban részletesen be kell tudni mutatni az MNB számára.</w:t>
      </w:r>
    </w:p>
    <w:p w14:paraId="7FFFED08" w14:textId="77777777" w:rsidR="008A78E3" w:rsidRPr="006A6890" w:rsidRDefault="008A78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7FFFED09" w14:textId="77777777" w:rsidR="008A78E3" w:rsidRPr="006A6890" w:rsidRDefault="008A78E3" w:rsidP="00EA0541">
      <w:pPr>
        <w:rPr>
          <w:rFonts w:asciiTheme="minorHAnsi" w:hAnsiTheme="minorHAnsi"/>
        </w:rPr>
      </w:pPr>
      <w:r w:rsidRPr="006A6890">
        <w:rPr>
          <w:rFonts w:asciiTheme="minorHAnsi" w:hAnsiTheme="minorHAnsi"/>
        </w:rPr>
        <w:t>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kvantitatív módszerekkel végezhető el. Emiatt javasolt felmérésükre és kezelésükre részletes módszertan kidolgozása, amely meghatározza azokat a módszereket és eljárásokat, amelyekkel a kockázat feltárható, és mértéke kézben tartható.</w:t>
      </w:r>
    </w:p>
    <w:p w14:paraId="7FFFED0A" w14:textId="77777777" w:rsidR="008A78E3" w:rsidRPr="006A6890" w:rsidRDefault="008A78E3" w:rsidP="00EA0541">
      <w:pPr>
        <w:rPr>
          <w:rFonts w:asciiTheme="minorHAnsi" w:hAnsiTheme="minorHAnsi"/>
        </w:rPr>
      </w:pPr>
      <w:r w:rsidRPr="006A6890">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227" w:name="_Reputációs_kockázat"/>
      <w:bookmarkStart w:id="1228" w:name="_Stratégiai_kockázat"/>
      <w:bookmarkStart w:id="1229" w:name="_III._2.4_Külső"/>
      <w:bookmarkEnd w:id="1227"/>
      <w:bookmarkEnd w:id="1228"/>
      <w:bookmarkEnd w:id="1229"/>
    </w:p>
    <w:p w14:paraId="7FFFED0B" w14:textId="77777777" w:rsidR="008A78E3" w:rsidRPr="006A6890" w:rsidRDefault="008A78E3" w:rsidP="00181755">
      <w:pPr>
        <w:pStyle w:val="Cmsor4"/>
        <w:rPr>
          <w:rFonts w:asciiTheme="minorHAnsi" w:hAnsiTheme="minorHAnsi"/>
        </w:rPr>
      </w:pPr>
      <w:bookmarkStart w:id="1230" w:name="_Szabályozói_környezetből_adódó"/>
      <w:bookmarkStart w:id="1231" w:name="_Toc462403202"/>
      <w:bookmarkStart w:id="1232" w:name="_Toc462403526"/>
      <w:bookmarkStart w:id="1233" w:name="_Toc468180645"/>
      <w:bookmarkStart w:id="1234" w:name="_Toc468181126"/>
      <w:bookmarkStart w:id="1235" w:name="_Toc378592065"/>
      <w:bookmarkStart w:id="1236" w:name="_Toc461095237"/>
      <w:bookmarkStart w:id="1237" w:name="_Toc461179893"/>
      <w:bookmarkStart w:id="1238" w:name="_Toc461201336"/>
      <w:bookmarkStart w:id="1239" w:name="_Toc461548040"/>
      <w:bookmarkStart w:id="1240" w:name="_Toc462402080"/>
      <w:bookmarkStart w:id="1241" w:name="_Toc468191473"/>
      <w:bookmarkStart w:id="1242" w:name="_Toc45119990"/>
      <w:bookmarkStart w:id="1243" w:name="_Toc58512273"/>
      <w:bookmarkStart w:id="1244" w:name="_Toc158036695"/>
      <w:bookmarkEnd w:id="1230"/>
      <w:r w:rsidRPr="006A6890">
        <w:rPr>
          <w:rFonts w:asciiTheme="minorHAnsi" w:hAnsiTheme="minorHAnsi"/>
        </w:rPr>
        <w:t>Szabályozói környezetből adódó kockázat</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7FFFED0C" w14:textId="77777777" w:rsidR="008A78E3" w:rsidRPr="006A6890" w:rsidRDefault="008A78E3" w:rsidP="00181755">
      <w:pPr>
        <w:rPr>
          <w:rFonts w:asciiTheme="minorHAnsi" w:hAnsiTheme="minorHAnsi"/>
          <w:b/>
        </w:rPr>
      </w:pPr>
      <w:r w:rsidRPr="006A6890">
        <w:rPr>
          <w:rFonts w:asciiTheme="minorHAnsi" w:hAnsiTheme="minorHAnsi"/>
          <w:b/>
        </w:rPr>
        <w:t>Definíció</w:t>
      </w:r>
    </w:p>
    <w:p w14:paraId="7FFFED0D" w14:textId="77777777" w:rsidR="008A78E3" w:rsidRPr="006A6890" w:rsidRDefault="008A78E3" w:rsidP="00EA0541">
      <w:pPr>
        <w:rPr>
          <w:rFonts w:asciiTheme="minorHAnsi" w:hAnsiTheme="minorHAnsi"/>
        </w:rPr>
      </w:pPr>
      <w:r w:rsidRPr="006A6890">
        <w:rPr>
          <w:rFonts w:asciiTheme="minorHAnsi" w:hAnsiTheme="minorHAnsi"/>
        </w:rPr>
        <w:t xml:space="preserve">A szabályozói környezetből adódó kockázat közvetetten vagy közvetve tőkét, vagy a jövedelmezőséget érintő olyan kockázat, amely a nemzetközi vagy nemzeti hatóságok által előírt, intézmény számára alkalmazandó szabályok változásából, illetve új szabályok előírásából fakad. </w:t>
      </w:r>
    </w:p>
    <w:p w14:paraId="7FFFED0E" w14:textId="77777777" w:rsidR="008A78E3" w:rsidRPr="006A6890" w:rsidRDefault="008A78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részéről mindenképpen szükséges nem csak a hazai, hanem az EU-szintű jogszabály-előkészítés rendszeres nyomon követése, így különösen a CRD és a CRR csomaghoz kapcsolódó végrehajtási rendeletek megjelenésének figyelése. Az intézmények a szabályozói környezetből fakadó kockázatot folyamatokkal és/vagy tőkekövetelmény meghatározásával kezelhetik. </w:t>
      </w:r>
    </w:p>
    <w:p w14:paraId="7FFFED0F" w14:textId="77777777" w:rsidR="008A78E3" w:rsidRPr="006A6890" w:rsidRDefault="008A78E3" w:rsidP="00181755">
      <w:pPr>
        <w:rPr>
          <w:rFonts w:asciiTheme="minorHAnsi" w:hAnsiTheme="minorHAnsi"/>
          <w:b/>
        </w:rPr>
      </w:pPr>
      <w:r w:rsidRPr="006A6890">
        <w:rPr>
          <w:rFonts w:asciiTheme="minorHAnsi" w:hAnsiTheme="minorHAnsi"/>
          <w:b/>
        </w:rPr>
        <w:t>ICAAP felülvizsgálat</w:t>
      </w:r>
    </w:p>
    <w:p w14:paraId="7FFFED10" w14:textId="77777777" w:rsidR="008A78E3" w:rsidRPr="006A6890" w:rsidRDefault="008A78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és kövesse nyomon a szabályozói környezet változásait.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tájékoztatást kapjanak. Az MNB pozitívnak értékeli, ha az intézmény a jogszabályi változásokról rendszeresen összefoglalókat készít mind a vezetőség (riportokon keresztül), mind a munkavállalók számára (tájékoztató anyag legalább az intraneten való hozzáférhetőségének biztosítása révén). </w:t>
      </w:r>
    </w:p>
    <w:p w14:paraId="7FFFED11" w14:textId="77777777" w:rsidR="008A78E3" w:rsidRPr="006A6890" w:rsidRDefault="008A78E3" w:rsidP="00EA0541">
      <w:pPr>
        <w:rPr>
          <w:rFonts w:asciiTheme="minorHAnsi" w:hAnsiTheme="minorHAnsi"/>
        </w:rPr>
      </w:pPr>
      <w:r w:rsidRPr="006A6890">
        <w:rPr>
          <w:rFonts w:asciiTheme="minorHAnsi" w:hAnsiTheme="minorHAnsi"/>
        </w:rPr>
        <w:t xml:space="preserve">Az MNB továbbá elvárja, hogy az intézmény a belső szabályzatait hangolja össze a külső szabályozói környezettel, és azokat rendszeresen (legalább évente, releváns jogszabály-változás esetén ennél gyakrabban) vizsgálja felül, és harmonizálja a jogi keretrendszerrel. Egyes szakterületeket, vagy a teljes intézményt érintő releváns jogszabályok változása esetén szükséges, hogy az intézmény először azonosítsa a jogszabály által érintett belső szervezeti egységeket, majd az érintett területek bevonásával vizsgálja meg a szabályozási változások hatásait, és indokolt esetben oktatóanyagok készítésével (esetlegesen oktatások szervezésével) készítse fel a munkavállalalókat a munkájukat érintő szabályozási változásokra. </w:t>
      </w:r>
    </w:p>
    <w:p w14:paraId="7FFFED12" w14:textId="77777777" w:rsidR="008A78E3" w:rsidRPr="006A6890" w:rsidRDefault="008A78E3" w:rsidP="00EA0541">
      <w:pPr>
        <w:rPr>
          <w:rFonts w:asciiTheme="minorHAnsi" w:hAnsiTheme="minorHAnsi"/>
        </w:rPr>
      </w:pPr>
      <w:bookmarkStart w:id="1245" w:name="_Toc461201337"/>
      <w:r w:rsidRPr="006A6890">
        <w:rPr>
          <w:rFonts w:asciiTheme="minorHAnsi" w:hAnsiTheme="minorHAnsi"/>
        </w:rPr>
        <w:t>Az MNB elvárja, hogy az aktuális, valamint a prognosztizált szabályozói környezetből fakadó jelentős változásokat az intézmény építse be a stratégiájába és tervezési folyamataiba (pl.: üzleti és tőketervek, stb.). Az intézmény tevékenységét jelentősen érintő jogszabályi változások esetén előzetesen a potenciális hatások vizsgálata és elemzése, szcenáriók készítése, szükség esetén akciótervek kidolgozása, valamint stratégiai és üzleti terv módosítása is szükséges.</w:t>
      </w:r>
      <w:bookmarkStart w:id="1246" w:name="_Tőketervezés"/>
      <w:bookmarkStart w:id="1247" w:name="_Jövedelmezőség_kockázata"/>
      <w:bookmarkStart w:id="1248" w:name="_Gazdasági_környezetből_fakadó"/>
      <w:bookmarkEnd w:id="1245"/>
      <w:bookmarkEnd w:id="1246"/>
      <w:bookmarkEnd w:id="1247"/>
      <w:bookmarkEnd w:id="1248"/>
    </w:p>
    <w:p w14:paraId="7FFFED13" w14:textId="77777777" w:rsidR="008A78E3" w:rsidRPr="0055569D" w:rsidRDefault="008A78E3" w:rsidP="009F4CDA">
      <w:pPr>
        <w:pStyle w:val="Cmsor2"/>
      </w:pPr>
      <w:bookmarkStart w:id="1249" w:name="_III.3._Tőkeszükséglet_meghatározása"/>
      <w:bookmarkStart w:id="1250" w:name="_Toc462403203"/>
      <w:bookmarkStart w:id="1251" w:name="_Toc462403527"/>
      <w:bookmarkStart w:id="1252" w:name="_Toc468180646"/>
      <w:bookmarkStart w:id="1253" w:name="_Toc468181127"/>
      <w:bookmarkStart w:id="1254" w:name="_Toc468191474"/>
      <w:bookmarkStart w:id="1255" w:name="_Toc45119991"/>
      <w:bookmarkStart w:id="1256" w:name="_Toc58512274"/>
      <w:bookmarkStart w:id="1257" w:name="_Toc158036696"/>
      <w:bookmarkStart w:id="1258" w:name="_Toc378256240"/>
      <w:bookmarkStart w:id="1259" w:name="_Toc378592066"/>
      <w:bookmarkStart w:id="1260" w:name="_Toc461095240"/>
      <w:bookmarkStart w:id="1261" w:name="_Toc461179218"/>
      <w:bookmarkStart w:id="1262" w:name="_Toc461179896"/>
      <w:bookmarkStart w:id="1263" w:name="_Toc461197759"/>
      <w:bookmarkStart w:id="1264" w:name="_Toc461201340"/>
      <w:bookmarkStart w:id="1265" w:name="_Toc461548041"/>
      <w:bookmarkStart w:id="1266" w:name="_Toc462402081"/>
      <w:bookmarkEnd w:id="1249"/>
      <w:r w:rsidRPr="0055569D">
        <w:t>Stressztesztek</w:t>
      </w:r>
      <w:bookmarkEnd w:id="1250"/>
      <w:bookmarkEnd w:id="1251"/>
      <w:bookmarkEnd w:id="1252"/>
      <w:bookmarkEnd w:id="1253"/>
      <w:bookmarkEnd w:id="1254"/>
      <w:bookmarkEnd w:id="1255"/>
      <w:bookmarkEnd w:id="1256"/>
      <w:bookmarkEnd w:id="1257"/>
    </w:p>
    <w:p w14:paraId="7FFFED14" w14:textId="77777777" w:rsidR="008A78E3" w:rsidRPr="006A6890" w:rsidRDefault="008A78E3" w:rsidP="00EA0541">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 annak érdekében, hogy egy, a jövőben potenciálisan bekövetkező gazdasági visszaesés intézményekre gyakorolt negatív hatását eredményesen tompítani lehessen.</w:t>
      </w:r>
    </w:p>
    <w:p w14:paraId="7FFFED15" w14:textId="77777777" w:rsidR="008A78E3" w:rsidRPr="006A6890" w:rsidRDefault="008A78E3" w:rsidP="00EA0541">
      <w:pPr>
        <w:rPr>
          <w:rFonts w:asciiTheme="minorHAnsi" w:hAnsiTheme="minorHAnsi"/>
        </w:rPr>
      </w:pPr>
      <w:r w:rsidRPr="006A6890">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Pr>
          <w:rFonts w:asciiTheme="minorHAnsi" w:hAnsiTheme="minorHAnsi"/>
          <w:vertAlign w:val="superscript"/>
        </w:rPr>
        <w:footnoteReference w:id="104"/>
      </w:r>
      <w:r w:rsidRPr="006A6890">
        <w:rPr>
          <w:rFonts w:asciiTheme="minorHAnsi" w:hAnsiTheme="minorHAnsi"/>
        </w:rPr>
        <w:t xml:space="preserve"> vonatkozásában, mind pedig a 2. pilléres stresszteszteket</w:t>
      </w:r>
      <w:r>
        <w:rPr>
          <w:rFonts w:asciiTheme="minorHAnsi" w:hAnsiTheme="minorHAnsi"/>
          <w:vertAlign w:val="superscript"/>
        </w:rPr>
        <w:footnoteReference w:id="105"/>
      </w:r>
      <w:r w:rsidRPr="006A6890">
        <w:rPr>
          <w:rFonts w:asciiTheme="minorHAnsi" w:hAnsiTheme="minorHAnsi"/>
        </w:rPr>
        <w:t xml:space="preserve"> érintő általános rendelkezések tekintetében.</w:t>
      </w:r>
    </w:p>
    <w:p w14:paraId="7FFFED16" w14:textId="77777777" w:rsidR="008A78E3" w:rsidRPr="006A6890" w:rsidRDefault="008A78E3" w:rsidP="00EA0541">
      <w:pPr>
        <w:rPr>
          <w:rFonts w:asciiTheme="minorHAnsi" w:hAnsiTheme="minorHAnsi"/>
        </w:rPr>
      </w:pPr>
      <w:r w:rsidRPr="006A6890">
        <w:rPr>
          <w:rFonts w:asciiTheme="minorHAnsi" w:hAnsiTheme="minorHAnsi"/>
        </w:rPr>
        <w:t xml:space="preserve">Az MNB álláspontja szerint nincs egyetlen ”helyes”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stresszteszt programokat is végrehajthatnak. A teljeskörű SREP alá tartozó intézményektől az MNB azonban egyértelműen elvárja, hogy azok fejlett, komplex és integrált stressztesztelési keretrendszerrel rendelkezzenek. </w:t>
      </w:r>
    </w:p>
    <w:p w14:paraId="7FFFED17" w14:textId="77777777" w:rsidR="008A78E3" w:rsidRPr="006A6890" w:rsidRDefault="008A78E3" w:rsidP="00EA0541">
      <w:pPr>
        <w:rPr>
          <w:rFonts w:asciiTheme="minorHAnsi" w:hAnsiTheme="minorHAnsi"/>
        </w:rPr>
      </w:pPr>
      <w:r w:rsidRPr="006A6890">
        <w:rPr>
          <w:rFonts w:asciiTheme="minorHAnsi" w:hAnsiTheme="minorHAnsi"/>
        </w:rPr>
        <w:t>Az MNB a szofisztikált megközelítés híve, és elvárja a teljeskörű SREP alá tartozó intézményektől a különböző módszertanok (érzékenységvizsgálat, forgatókönyv-elemzés, ”reverse” stresszteszt) egyidejű alkalmazását:</w:t>
      </w:r>
    </w:p>
    <w:p w14:paraId="7FFFED18" w14:textId="77777777" w:rsidR="008A78E3" w:rsidRPr="006A6890" w:rsidRDefault="008A78E3" w:rsidP="00CD1B46">
      <w:pPr>
        <w:numPr>
          <w:ilvl w:val="0"/>
          <w:numId w:val="57"/>
        </w:numPr>
        <w:rPr>
          <w:rFonts w:asciiTheme="minorHAnsi" w:hAnsiTheme="minorHAnsi"/>
        </w:rPr>
      </w:pPr>
      <w:r w:rsidRPr="006A6890">
        <w:rPr>
          <w:rFonts w:asciiTheme="minorHAnsi" w:hAnsiTheme="minorHAnsi"/>
          <w:b/>
        </w:rPr>
        <w:t>Érzékenységvizsgálat:</w:t>
      </w:r>
      <w:r w:rsidRPr="006A6890">
        <w:rPr>
          <w:rFonts w:asciiTheme="minorHAnsi" w:hAnsiTheme="minorHAnsi"/>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 xml:space="preserve">Első lépésben az intézményeknek azonosítaniuk kell a releváns kockázati tényezőket, és biztosítaniuk kell, hogy a vizsgálat a kockázati tényezők minden releváns típusát lefedje. </w:t>
      </w:r>
      <w:bookmarkStart w:id="1267" w:name="OLE_LINK1"/>
      <w:r w:rsidRPr="006A6890">
        <w:rPr>
          <w:rFonts w:asciiTheme="minorHAnsi" w:hAnsiTheme="minorHAnsi"/>
        </w:rPr>
        <w:t>Az intézményeknek listát kell vezetniük az azonosított kockázati tényezőkről</w:t>
      </w:r>
      <w:bookmarkEnd w:id="1267"/>
      <w:r w:rsidRPr="006A6890">
        <w:rPr>
          <w:rFonts w:asciiTheme="minorHAnsi" w:hAnsiTheme="minorHAnsi"/>
        </w:rPr>
        <w:t xml:space="preserve">. 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7FFFED19" w14:textId="77777777" w:rsidR="008A78E3" w:rsidRPr="006A6890" w:rsidRDefault="008A78E3" w:rsidP="00CD1B46">
      <w:pPr>
        <w:numPr>
          <w:ilvl w:val="0"/>
          <w:numId w:val="57"/>
        </w:numPr>
        <w:rPr>
          <w:rFonts w:asciiTheme="minorHAnsi" w:hAnsiTheme="minorHAnsi"/>
          <w:b/>
        </w:rPr>
      </w:pPr>
      <w:r w:rsidRPr="006A6890">
        <w:rPr>
          <w:rFonts w:asciiTheme="minorHAnsi" w:hAnsiTheme="minorHAnsi"/>
          <w:b/>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7FFFED1A" w14:textId="77777777" w:rsidR="008A78E3" w:rsidRPr="00A64819" w:rsidRDefault="008A78E3" w:rsidP="00CD1B46">
      <w:pPr>
        <w:numPr>
          <w:ilvl w:val="0"/>
          <w:numId w:val="57"/>
        </w:numPr>
        <w:rPr>
          <w:rFonts w:asciiTheme="minorHAnsi" w:hAnsiTheme="minorHAnsi"/>
        </w:rPr>
      </w:pPr>
      <w:r w:rsidRPr="006A6890">
        <w:rPr>
          <w:rFonts w:asciiTheme="minorHAnsi" w:hAnsiTheme="minorHAnsi"/>
          <w:b/>
        </w:rPr>
        <w:t>Fordított („reverse”) stresszteszt:</w:t>
      </w:r>
      <w:r w:rsidRPr="006A6890">
        <w:rPr>
          <w:rFonts w:asciiTheme="minorHAnsi" w:hAnsiTheme="minorHAnsi"/>
        </w:rPr>
        <w:t xml:space="preserve"> olyan intézményi stresszteszt,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 A fordított stresszteszt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7FFFED1B" w14:textId="77777777" w:rsidR="008A78E3" w:rsidRPr="006A6890" w:rsidRDefault="008A78E3" w:rsidP="00213618">
      <w:pPr>
        <w:rPr>
          <w:rFonts w:asciiTheme="minorHAnsi" w:hAnsiTheme="minorHAnsi"/>
          <w:b/>
        </w:rPr>
      </w:pPr>
      <w:r w:rsidRPr="006A6890">
        <w:rPr>
          <w:rFonts w:asciiTheme="minorHAnsi" w:hAnsiTheme="minorHAnsi"/>
          <w:b/>
        </w:rPr>
        <w:t>ICAAP felülvizsgálat</w:t>
      </w:r>
    </w:p>
    <w:p w14:paraId="7FFFED1C" w14:textId="77777777" w:rsidR="008A78E3" w:rsidRPr="006A6890" w:rsidRDefault="008A78E3" w:rsidP="00EA0541">
      <w:pPr>
        <w:rPr>
          <w:rFonts w:asciiTheme="minorHAnsi" w:hAnsiTheme="minorHAnsi"/>
        </w:rPr>
      </w:pPr>
      <w:r w:rsidRPr="006A6890">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7FFFED1D" w14:textId="77777777" w:rsidR="008A78E3" w:rsidRPr="006A6890" w:rsidRDefault="008A78E3" w:rsidP="00EA0541">
      <w:pPr>
        <w:rPr>
          <w:rFonts w:asciiTheme="minorHAnsi" w:hAnsiTheme="minorHAnsi"/>
        </w:rPr>
      </w:pPr>
      <w:r w:rsidRPr="006A6890">
        <w:rPr>
          <w:rFonts w:asciiTheme="minorHAnsi" w:hAnsiTheme="minorHAnsi"/>
        </w:rPr>
        <w:t xml:space="preserve">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7FFFED1E" w14:textId="77777777" w:rsidR="008A78E3" w:rsidRPr="006A6890" w:rsidRDefault="008A78E3" w:rsidP="00EA0541">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Az arányosság elvét szem előtt tartva az MNB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7FFFED1F" w14:textId="77777777" w:rsidR="008A78E3" w:rsidRPr="006A6890" w:rsidRDefault="008A78E3"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7FFFED20" w14:textId="77777777" w:rsidR="008A78E3" w:rsidRPr="006A6890" w:rsidRDefault="008A78E3"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a stressztesztek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r>
        <w:rPr>
          <w:rFonts w:asciiTheme="minorHAnsi" w:hAnsiTheme="minorHAnsi"/>
          <w:sz w:val="22"/>
          <w:szCs w:val="22"/>
        </w:rPr>
        <w:t xml:space="preserve"> </w:t>
      </w:r>
      <w:r w:rsidRPr="00ED6EC8">
        <w:rPr>
          <w:rFonts w:asciiTheme="minorHAnsi" w:hAnsiTheme="minorHAnsi"/>
          <w:sz w:val="22"/>
          <w:szCs w:val="22"/>
        </w:rPr>
        <w:t>azzal a kikötéssel, hogy a stresszhelyzeti point-in-time kockázati paraméterek nem lehetnek alacsonyabbak a hosszútávú átlagos (TTC) paramétereknél</w:t>
      </w:r>
      <w:r w:rsidRPr="006A6890">
        <w:rPr>
          <w:rFonts w:asciiTheme="minorHAnsi" w:hAnsiTheme="minorHAnsi"/>
          <w:sz w:val="22"/>
          <w:szCs w:val="22"/>
        </w:rPr>
        <w:t>,</w:t>
      </w:r>
    </w:p>
    <w:p w14:paraId="7FFFED21" w14:textId="77777777" w:rsidR="008A78E3" w:rsidRPr="006A6890" w:rsidRDefault="008A78E3"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7FFFED22" w14:textId="77777777" w:rsidR="008A78E3" w:rsidRPr="006A6890" w:rsidRDefault="008A78E3"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FFFED23" w14:textId="77777777" w:rsidR="008A78E3" w:rsidRPr="006A6890" w:rsidRDefault="008A78E3"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7FFFED24" w14:textId="77777777" w:rsidR="008A78E3" w:rsidRPr="006A6890" w:rsidRDefault="008A78E3"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7FFFED25" w14:textId="77777777" w:rsidR="008A78E3" w:rsidRPr="00771F76" w:rsidRDefault="008A78E3" w:rsidP="00771F76">
      <w:pPr>
        <w:pStyle w:val="Cmsor3"/>
      </w:pPr>
      <w:bookmarkStart w:id="1268" w:name="_Toc45119992"/>
      <w:bookmarkStart w:id="1269" w:name="_Toc58512275"/>
      <w:bookmarkStart w:id="1270" w:name="_Toc158036697"/>
      <w:r w:rsidRPr="00771F76">
        <w:t>Az alkalmazott kockázati modellek megbízhatósága</w:t>
      </w:r>
      <w:bookmarkEnd w:id="1268"/>
      <w:bookmarkEnd w:id="1269"/>
      <w:bookmarkEnd w:id="1270"/>
    </w:p>
    <w:p w14:paraId="7FFFED26" w14:textId="77777777" w:rsidR="008A78E3" w:rsidRPr="006A6890" w:rsidRDefault="008A78E3" w:rsidP="00EA0541">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7FFFED27" w14:textId="77777777" w:rsidR="008A78E3" w:rsidRPr="00771F76" w:rsidRDefault="008A78E3" w:rsidP="00771F76">
      <w:pPr>
        <w:pStyle w:val="Cmsor3"/>
      </w:pPr>
      <w:bookmarkStart w:id="1271" w:name="_Toc45119993"/>
      <w:bookmarkStart w:id="1272" w:name="_Toc58512276"/>
      <w:bookmarkStart w:id="1273" w:name="_Toc158036698"/>
      <w:r w:rsidRPr="00771F76">
        <w:t>Integrált kockázatkezelési szemlélet érvényesítése</w:t>
      </w:r>
      <w:bookmarkEnd w:id="1271"/>
      <w:bookmarkEnd w:id="1272"/>
      <w:bookmarkEnd w:id="1273"/>
    </w:p>
    <w:p w14:paraId="7FFFED28" w14:textId="77777777" w:rsidR="008A78E3" w:rsidRPr="006A6890" w:rsidRDefault="008A78E3" w:rsidP="00EA0541">
      <w:pPr>
        <w:rPr>
          <w:rFonts w:asciiTheme="minorHAnsi" w:hAnsiTheme="minorHAnsi"/>
        </w:rPr>
      </w:pPr>
      <w:r w:rsidRPr="006A6890">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7FFFED29" w14:textId="77777777" w:rsidR="008A78E3" w:rsidRPr="006A6890" w:rsidRDefault="008A78E3" w:rsidP="006B2FCA">
      <w:pPr>
        <w:rPr>
          <w:rFonts w:asciiTheme="minorHAnsi" w:hAnsiTheme="minorHAnsi"/>
        </w:rPr>
      </w:pPr>
      <w:r w:rsidRPr="006A6890">
        <w:rPr>
          <w:rFonts w:asciiTheme="minorHAnsi" w:hAnsiTheme="minorHAnsi"/>
        </w:rPr>
        <w:t>Az integrált, átfogó szemléletű kockázatkezelést az MNB azért tartja kiemelten fontosnak, mert a kereszthatásokat figyelembe véve számos esetben az intézmény várakozásainál nagyobb kockázati kitettség adódik. Az MNB minden teljeskörű SREP alá tartozó intézménytől konszolidált szinten elvárja az integrált stressztesztek végzését.</w:t>
      </w:r>
    </w:p>
    <w:p w14:paraId="7FFFED2A" w14:textId="77777777" w:rsidR="008A78E3" w:rsidRPr="006A6890" w:rsidRDefault="008A78E3" w:rsidP="006B2FCA">
      <w:pPr>
        <w:pStyle w:val="Cmsor3"/>
        <w:rPr>
          <w:rFonts w:asciiTheme="minorHAnsi" w:hAnsiTheme="minorHAnsi"/>
        </w:rPr>
      </w:pPr>
      <w:bookmarkStart w:id="1274" w:name="_Toc158036699"/>
      <w:r>
        <w:rPr>
          <w:rFonts w:asciiTheme="minorHAnsi" w:hAnsiTheme="minorHAnsi"/>
        </w:rPr>
        <w:t>Felügyeleti minimumkövetelmények az intézmények belső stressztesztjére vonatkozóan</w:t>
      </w:r>
      <w:bookmarkEnd w:id="1274"/>
    </w:p>
    <w:p w14:paraId="7FFFED2B" w14:textId="77777777" w:rsidR="008A78E3" w:rsidRPr="006A6890" w:rsidRDefault="008A78E3" w:rsidP="00EA0541">
      <w:pPr>
        <w:rPr>
          <w:rFonts w:asciiTheme="minorHAnsi" w:hAnsiTheme="minorHAnsi"/>
        </w:rPr>
      </w:pPr>
      <w:r w:rsidRPr="006A6890">
        <w:rPr>
          <w:rFonts w:asciiTheme="minorHAnsi" w:hAnsiTheme="minorHAnsi"/>
        </w:rPr>
        <w:t>A fentiek tükrében a kizárólag a kockázati modellek inputparamétereinek változtatására (pl. PD-k eltolása, LGD-k növelése) kiterjedő stressztesztelési módszertant az MNB nem tartja elégségesnek. Elvárja továbbá, hogy az intézmény stressztesztelési programja minden esetben jól körülhatárolt és azonosítható legyen, 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7FFFED2C" w14:textId="77777777" w:rsidR="008A78E3" w:rsidRPr="006A6890" w:rsidRDefault="008A78E3" w:rsidP="00EA0541">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Pr>
          <w:rFonts w:asciiTheme="minorHAnsi" w:hAnsiTheme="minorHAnsi"/>
          <w:vertAlign w:val="superscript"/>
        </w:rPr>
        <w:footnoteReference w:id="106"/>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FFFED2D" w14:textId="77777777" w:rsidR="008A78E3" w:rsidRPr="006A6890" w:rsidRDefault="008A78E3" w:rsidP="00EA0541">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FFFED2E" w14:textId="77777777" w:rsidR="008A78E3" w:rsidRPr="006A6890" w:rsidRDefault="008A78E3" w:rsidP="00EA0541">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7FFFED2F"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7FFFED30"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7FFFED31"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 kockázati stratégia kialakítása folyamán,</w:t>
      </w:r>
    </w:p>
    <w:p w14:paraId="7FFFED32"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FFFED33"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7FFFED34"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7FFFED35" w14:textId="77777777" w:rsidR="008A78E3" w:rsidRPr="006A6890" w:rsidRDefault="008A78E3"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7FFFED36"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7FFFED37"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célját,</w:t>
      </w:r>
    </w:p>
    <w:p w14:paraId="7FFFED38"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gyakoriságát,</w:t>
      </w:r>
    </w:p>
    <w:p w14:paraId="7FFFED39"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alkalmazott adatokat (a stresszteszt során használt adatok, idősorok, paraméterek, portfóliók legyenek konzisztensek a szervezet más területein – kockázatkezelés / kontrolling / adatszolgáltatás / tőkekövetelmény számítás</w:t>
      </w:r>
      <w:r>
        <w:rPr>
          <w:rFonts w:asciiTheme="minorHAnsi" w:hAnsiTheme="minorHAnsi"/>
          <w:sz w:val="22"/>
          <w:szCs w:val="22"/>
        </w:rPr>
        <w:t xml:space="preserve"> – felhasználtakkal</w:t>
      </w:r>
      <w:r w:rsidRPr="006A6890">
        <w:rPr>
          <w:rFonts w:asciiTheme="minorHAnsi" w:hAnsiTheme="minorHAnsi"/>
          <w:sz w:val="22"/>
          <w:szCs w:val="22"/>
        </w:rPr>
        <w:t>),</w:t>
      </w:r>
    </w:p>
    <w:p w14:paraId="7FFFED3A"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eredmények felhasználását,</w:t>
      </w:r>
    </w:p>
    <w:p w14:paraId="7FFFED3B"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IT infrastruktúrát,</w:t>
      </w:r>
    </w:p>
    <w:p w14:paraId="7FFFED3C" w14:textId="77777777" w:rsidR="008A78E3" w:rsidRPr="006A6890" w:rsidRDefault="008A78E3"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felelősségi köröket.</w:t>
      </w:r>
    </w:p>
    <w:p w14:paraId="7FFFED3D" w14:textId="77777777" w:rsidR="008A78E3" w:rsidRPr="006A6890" w:rsidRDefault="008A78E3" w:rsidP="00EA0541">
      <w:pPr>
        <w:rPr>
          <w:rFonts w:asciiTheme="minorHAnsi" w:hAnsiTheme="minorHAnsi"/>
        </w:rPr>
      </w:pPr>
      <w:r w:rsidRPr="006A6890">
        <w:rPr>
          <w:rFonts w:asciiTheme="minorHAnsi" w:hAnsiTheme="minorHAnsi"/>
        </w:rPr>
        <w:t>Fontos továbbá, hogy az adott intézmény megfelelő erőforrással és szakemberrel rendelkezzen a stressztesztek elvégzéséhez. Megemlítendő, hogy a többféle stresszteszt módszer kiegészítéseként a fordított stresszteszt elvégzését is elvárja az MNB a teljeskörű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7FFFED3E" w14:textId="77777777" w:rsidR="008A78E3" w:rsidRPr="006A6890" w:rsidRDefault="008A78E3"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7FFFED3F" w14:textId="77777777" w:rsidR="008A78E3" w:rsidRDefault="008A78E3"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FFFED40" w14:textId="77777777" w:rsidR="008A78E3" w:rsidRPr="006A6890" w:rsidRDefault="008A78E3" w:rsidP="002B37C7">
      <w:pPr>
        <w:rPr>
          <w:rFonts w:asciiTheme="minorHAnsi" w:hAnsiTheme="minorHAnsi"/>
        </w:rPr>
      </w:pPr>
      <w:r>
        <w:rPr>
          <w:rFonts w:asciiTheme="minorHAnsi" w:hAnsiTheme="minorHAnsi"/>
        </w:rPr>
        <w:t>A</w:t>
      </w:r>
      <w:r w:rsidRPr="006A6890">
        <w:rPr>
          <w:rFonts w:asciiTheme="minorHAnsi" w:hAnsiTheme="minorHAnsi"/>
        </w:rPr>
        <w:t>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realizálódásának esetére, hanem célként tűzzék ki a kockázatok proaktív módon történő feltárását és időben történő kezelését a túlzott kockázatot jelentő kitettségek esetén.</w:t>
      </w:r>
    </w:p>
    <w:p w14:paraId="7FFFED41" w14:textId="77777777" w:rsidR="008A78E3" w:rsidRPr="000601E8" w:rsidRDefault="008A78E3" w:rsidP="002B37C7">
      <w:pPr>
        <w:rPr>
          <w:rFonts w:asciiTheme="minorHAnsi" w:hAnsiTheme="minorHAnsi"/>
        </w:rPr>
      </w:pPr>
      <w:r w:rsidRPr="006A6890">
        <w:rPr>
          <w:rFonts w:asciiTheme="minorHAnsi" w:hAnsiTheme="minorHAnsi"/>
        </w:rPr>
        <w:t xml:space="preserve">A fenti általánosságokon túlmenően az MNB az </w:t>
      </w:r>
      <w:bookmarkStart w:id="1275" w:name="_Hlk88646652"/>
      <w:r w:rsidRPr="006A6890">
        <w:rPr>
          <w:rFonts w:asciiTheme="minorHAnsi" w:hAnsiTheme="minorHAnsi"/>
        </w:rPr>
        <w:t>EBA/GL/2018/04</w:t>
      </w:r>
      <w:bookmarkEnd w:id="1275"/>
      <w:r w:rsidRPr="006A6890">
        <w:rPr>
          <w:rFonts w:asciiTheme="minorHAnsi" w:hAnsiTheme="minorHAnsi"/>
        </w:rPr>
        <w:t xml:space="preserve">. számú Guideline on </w:t>
      </w:r>
      <w:r>
        <w:rPr>
          <w:rFonts w:asciiTheme="minorHAnsi" w:hAnsiTheme="minorHAnsi"/>
        </w:rPr>
        <w:t>i</w:t>
      </w:r>
      <w:r w:rsidRPr="006A6890">
        <w:rPr>
          <w:rFonts w:asciiTheme="minorHAnsi" w:hAnsiTheme="minorHAnsi"/>
        </w:rPr>
        <w:t>nstitutions</w:t>
      </w:r>
      <w:r>
        <w:rPr>
          <w:rFonts w:asciiTheme="minorHAnsi" w:hAnsiTheme="minorHAnsi"/>
        </w:rPr>
        <w:t>’</w:t>
      </w:r>
      <w:r w:rsidRPr="006A6890">
        <w:rPr>
          <w:rFonts w:asciiTheme="minorHAnsi" w:hAnsiTheme="minorHAnsi"/>
        </w:rPr>
        <w:t xml:space="preserve"> </w:t>
      </w:r>
      <w:r>
        <w:rPr>
          <w:rFonts w:asciiTheme="minorHAnsi" w:hAnsiTheme="minorHAnsi"/>
        </w:rPr>
        <w:t>s</w:t>
      </w:r>
      <w:r w:rsidRPr="006A6890">
        <w:rPr>
          <w:rFonts w:asciiTheme="minorHAnsi" w:hAnsiTheme="minorHAnsi"/>
        </w:rPr>
        <w:t xml:space="preserve">tress </w:t>
      </w:r>
      <w:r>
        <w:rPr>
          <w:rFonts w:asciiTheme="minorHAnsi" w:hAnsiTheme="minorHAnsi"/>
        </w:rPr>
        <w:t>t</w:t>
      </w:r>
      <w:r w:rsidRPr="006A6890">
        <w:rPr>
          <w:rFonts w:asciiTheme="minorHAnsi" w:hAnsiTheme="minorHAnsi"/>
        </w:rPr>
        <w:t>esting</w:t>
      </w:r>
      <w:r>
        <w:rPr>
          <w:rStyle w:val="Lbjegyzet-hivatkozs"/>
          <w:rFonts w:asciiTheme="minorHAnsi" w:hAnsiTheme="minorHAnsi"/>
        </w:rPr>
        <w:footnoteReference w:id="107"/>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Stress Test</w:t>
      </w:r>
      <w:r>
        <w:rPr>
          <w:rStyle w:val="Lbjegyzet-hivatkozs"/>
          <w:rFonts w:asciiTheme="minorHAnsi" w:hAnsiTheme="minorHAnsi"/>
        </w:rPr>
        <w:footnoteReference w:id="108"/>
      </w:r>
      <w:r w:rsidRPr="000601E8">
        <w:rPr>
          <w:rFonts w:asciiTheme="minorHAnsi" w:hAnsiTheme="minorHAnsi"/>
        </w:rPr>
        <w:t xml:space="preserve"> című, </w:t>
      </w:r>
      <w:r>
        <w:rPr>
          <w:rFonts w:asciiTheme="minorHAnsi" w:hAnsiTheme="minorHAnsi"/>
        </w:rPr>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7FFFED42" w14:textId="77777777" w:rsidR="008A78E3" w:rsidRPr="000601E8" w:rsidRDefault="008A78E3" w:rsidP="002B37C7">
      <w:pPr>
        <w:rPr>
          <w:rFonts w:asciiTheme="minorHAnsi" w:hAnsiTheme="minorHAnsi"/>
        </w:rPr>
      </w:pPr>
      <w:r w:rsidRPr="000601E8">
        <w:rPr>
          <w:rFonts w:asciiTheme="minorHAnsi" w:hAnsiTheme="minorHAnsi"/>
        </w:rPr>
        <w:t>(1) A stressz szcenárió reflektáljon egy súlyos, de hihető (plauzibilis) stresszhelyzet kialakulására. (EBA Final Report on Guidelines on institutions’ stress testing 4.6.</w:t>
      </w:r>
      <w:r>
        <w:rPr>
          <w:rFonts w:asciiTheme="minorHAnsi" w:hAnsiTheme="minorHAnsi"/>
        </w:rPr>
        <w:t>4</w:t>
      </w:r>
      <w:r w:rsidRPr="000601E8">
        <w:rPr>
          <w:rFonts w:asciiTheme="minorHAnsi" w:hAnsiTheme="minorHAnsi"/>
        </w:rPr>
        <w:t>. Severity of scenarios című fejezet)</w:t>
      </w:r>
    </w:p>
    <w:p w14:paraId="7FFFED43" w14:textId="77777777" w:rsidR="008A78E3" w:rsidRPr="000601E8" w:rsidRDefault="008A78E3" w:rsidP="002B37C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Final Report on Guidelines on institutions’ stress testing 4.7.1 Credit and counterparty risks című fejezet 112. bekezdés)</w:t>
      </w:r>
    </w:p>
    <w:p w14:paraId="7FFFED44" w14:textId="77777777" w:rsidR="008A78E3" w:rsidRDefault="008A78E3" w:rsidP="002B37C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(NII, piaci, működési stb.) realizálódásának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w:t>
      </w:r>
      <w:r>
        <w:rPr>
          <w:rFonts w:asciiTheme="minorHAnsi" w:hAnsiTheme="minorHAnsi"/>
        </w:rPr>
        <w:t>1</w:t>
      </w:r>
      <w:r w:rsidRPr="000601E8">
        <w:rPr>
          <w:rFonts w:asciiTheme="minorHAnsi" w:hAnsiTheme="minorHAnsi"/>
        </w:rPr>
        <w:t xml:space="preserve"> EU-Wide Stress Test Methodological Note 1.3.10 Risk coverage című fejezet)</w:t>
      </w:r>
    </w:p>
    <w:p w14:paraId="7FFFED45" w14:textId="77777777" w:rsidR="008A78E3" w:rsidRDefault="008A78E3" w:rsidP="002B37C7">
      <w:pPr>
        <w:rPr>
          <w:rFonts w:asciiTheme="minorHAnsi" w:hAnsiTheme="minorHAnsi"/>
        </w:rPr>
      </w:pPr>
      <w:r>
        <w:rPr>
          <w:rFonts w:asciiTheme="minorHAnsi" w:hAnsiTheme="minorHAnsi"/>
        </w:rPr>
        <w:t>A Felügyelet ezen felül elvárja, hogy:</w:t>
      </w:r>
    </w:p>
    <w:p w14:paraId="7FFFED46" w14:textId="77777777" w:rsidR="008A78E3" w:rsidRDefault="008A78E3" w:rsidP="002B37C7">
      <w:pPr>
        <w:rPr>
          <w:rFonts w:asciiTheme="minorHAnsi" w:hAnsiTheme="minorHAnsi"/>
        </w:rPr>
      </w:pPr>
      <w:r>
        <w:rPr>
          <w:rFonts w:asciiTheme="minorHAnsi" w:hAnsiTheme="minorHAnsi"/>
        </w:rPr>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7FFFED47" w14:textId="77777777" w:rsidR="008A78E3" w:rsidRDefault="008A78E3" w:rsidP="002B37C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nélküli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7FFFED48" w14:textId="77777777" w:rsidR="008A78E3" w:rsidRPr="006A6890" w:rsidRDefault="008A78E3" w:rsidP="00EA0541">
      <w:pPr>
        <w:rPr>
          <w:rFonts w:asciiTheme="minorHAnsi" w:hAnsiTheme="minorHAnsi"/>
        </w:rPr>
      </w:pPr>
      <w:r>
        <w:rPr>
          <w:rFonts w:asciiTheme="minorHAnsi" w:hAnsiTheme="minorHAnsi"/>
        </w:rPr>
        <w:t>(6) Számszerűsítésre kerüljön a stresszteszt időhorizontján a gazdasági sokk hatását tükröző tőkeáttételi ráta (CRR 429. cikk) mértéke.</w:t>
      </w:r>
    </w:p>
    <w:p w14:paraId="7FFFED49" w14:textId="77777777" w:rsidR="008A78E3" w:rsidRDefault="008A78E3" w:rsidP="00EA0541">
      <w:pPr>
        <w:rPr>
          <w:rFonts w:asciiTheme="minorHAnsi" w:hAnsiTheme="minorHAnsi"/>
        </w:rPr>
      </w:pPr>
      <w:r>
        <w:rPr>
          <w:rFonts w:asciiTheme="minorHAnsi" w:hAnsiTheme="minorHAnsi"/>
        </w:rPr>
        <w:t>(7) A fordított stressztesztben kerüljön stresszelésre legalább a PD paraméter, mely legalább az értékvesztésképzésen és az RWA változásán keresztül gyakoroljon hatást az intézmény tőkemegfelelésére.</w:t>
      </w:r>
    </w:p>
    <w:p w14:paraId="7FFFED4A" w14:textId="77777777" w:rsidR="008A78E3" w:rsidRDefault="008A78E3" w:rsidP="00EA0541">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7FFFED4B" w14:textId="77777777" w:rsidR="008A78E3" w:rsidRDefault="008A78E3" w:rsidP="00EA0541">
      <w:pPr>
        <w:rPr>
          <w:rFonts w:asciiTheme="minorHAnsi" w:hAnsiTheme="minorHAnsi"/>
        </w:rPr>
      </w:pPr>
      <w:r>
        <w:rPr>
          <w:rFonts w:asciiTheme="minorHAnsi" w:hAnsiTheme="minorHAnsi"/>
        </w:rPr>
        <w:t>(9) Az MREL-követelménynek való megfelelés teljesülése kerüljön vizsgálat alá a stresszteszt időhorizontján.</w:t>
      </w:r>
    </w:p>
    <w:p w14:paraId="7FFFED4C" w14:textId="77777777" w:rsidR="008A78E3" w:rsidRPr="006A6890" w:rsidRDefault="008A78E3" w:rsidP="00EA0541">
      <w:pPr>
        <w:rPr>
          <w:rFonts w:asciiTheme="minorHAnsi" w:hAnsiTheme="minorHAnsi"/>
        </w:rPr>
      </w:pPr>
      <w:r>
        <w:rPr>
          <w:rFonts w:asciiTheme="minorHAnsi" w:hAnsiTheme="minorHAnsi"/>
        </w:rPr>
        <w:t xml:space="preserve">(10) A </w:t>
      </w:r>
      <w:r w:rsidRPr="00481ABC">
        <w:rPr>
          <w:rFonts w:asciiTheme="minorHAnsi" w:hAnsiTheme="minorHAnsi"/>
        </w:rPr>
        <w:t xml:space="preserve">tőkeáttételre vonatkozó </w:t>
      </w:r>
      <w:r w:rsidRPr="00447B02">
        <w:rPr>
          <w:rFonts w:asciiTheme="minorHAnsi" w:hAnsiTheme="minorHAnsi"/>
        </w:rPr>
        <w:t>teljes követelmény</w:t>
      </w:r>
      <w:r>
        <w:rPr>
          <w:rFonts w:asciiTheme="minorHAnsi" w:hAnsiTheme="minorHAnsi"/>
        </w:rPr>
        <w:t>nek</w:t>
      </w:r>
      <w:r w:rsidRPr="00447B02">
        <w:rPr>
          <w:rFonts w:asciiTheme="minorHAnsi" w:hAnsiTheme="minorHAnsi"/>
        </w:rPr>
        <w:t xml:space="preserve"> </w:t>
      </w:r>
      <w:r>
        <w:rPr>
          <w:rFonts w:asciiTheme="minorHAnsi" w:hAnsiTheme="minorHAnsi"/>
        </w:rPr>
        <w:t xml:space="preserve">(OLRR) való megfelelés teljesülése kerüljön vizsgálat alá a stresszteszt időhorizontján. </w:t>
      </w:r>
    </w:p>
    <w:p w14:paraId="7FFFED4D" w14:textId="77777777" w:rsidR="008A78E3" w:rsidRPr="006A6890" w:rsidRDefault="008A78E3" w:rsidP="0022464F">
      <w:pPr>
        <w:pStyle w:val="Cmsor3"/>
        <w:rPr>
          <w:rFonts w:asciiTheme="minorHAnsi" w:hAnsiTheme="minorHAnsi"/>
        </w:rPr>
      </w:pPr>
      <w:bookmarkStart w:id="1277" w:name="_Toc45119994"/>
      <w:bookmarkStart w:id="1278" w:name="_Toc58512277"/>
      <w:bookmarkStart w:id="1279" w:name="_Toc158036700"/>
      <w:r w:rsidRPr="006A6890">
        <w:rPr>
          <w:rFonts w:asciiTheme="minorHAnsi" w:hAnsiTheme="minorHAnsi"/>
        </w:rPr>
        <w:t>Arányosság elvének gyakorlati megjelenése kis intézmények esetén</w:t>
      </w:r>
      <w:bookmarkEnd w:id="1277"/>
      <w:bookmarkEnd w:id="1278"/>
      <w:bookmarkEnd w:id="1279"/>
    </w:p>
    <w:p w14:paraId="7FFFED4E" w14:textId="77777777" w:rsidR="008A78E3" w:rsidRPr="006A6890" w:rsidRDefault="008A78E3" w:rsidP="00EA0541">
      <w:pPr>
        <w:rPr>
          <w:rFonts w:asciiTheme="minorHAnsi" w:hAnsiTheme="minorHAnsi"/>
        </w:rPr>
      </w:pPr>
      <w:r w:rsidRPr="006A6890">
        <w:rPr>
          <w:rFonts w:asciiTheme="minorHAnsi" w:hAnsiTheme="minorHAnsi"/>
        </w:rPr>
        <w:t>Az MNB az arányosság elvével összhangban nem várja el fordított (reverse)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7FFFED4F" w14:textId="77777777" w:rsidR="008A78E3" w:rsidRPr="006A6890" w:rsidRDefault="008A78E3" w:rsidP="00EA0541">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speciális hitelezési feltételek, fedezeti elvárások, stb).</w:t>
      </w:r>
    </w:p>
    <w:p w14:paraId="7FFFED50" w14:textId="77777777" w:rsidR="008A78E3" w:rsidRPr="006A6890" w:rsidRDefault="008A78E3" w:rsidP="000601E8">
      <w:pPr>
        <w:rPr>
          <w:rFonts w:asciiTheme="minorHAnsi" w:hAnsiTheme="minorHAnsi"/>
        </w:rPr>
      </w:pPr>
    </w:p>
    <w:p w14:paraId="7FFFED51" w14:textId="77777777" w:rsidR="008A78E3" w:rsidRPr="0055569D" w:rsidRDefault="008A78E3" w:rsidP="009F4CDA">
      <w:pPr>
        <w:pStyle w:val="Cmsor2"/>
      </w:pPr>
      <w:bookmarkStart w:id="1280" w:name="_Toc45119995"/>
      <w:bookmarkStart w:id="1281" w:name="_Toc58512278"/>
      <w:bookmarkStart w:id="1282" w:name="_Toc158036701"/>
      <w:bookmarkStart w:id="1283" w:name="_Toc468191477"/>
      <w:r w:rsidRPr="0055569D">
        <w:t>A Felügyeleti tőkeajánlás (P2G) meghatározásához használt stresszteszt keretrendszer bemutatása</w:t>
      </w:r>
      <w:bookmarkEnd w:id="1280"/>
      <w:bookmarkEnd w:id="1281"/>
      <w:bookmarkEnd w:id="1282"/>
    </w:p>
    <w:p w14:paraId="7FFFED52" w14:textId="77777777" w:rsidR="008A78E3" w:rsidRPr="00EA0541" w:rsidRDefault="008A78E3" w:rsidP="00EA0541">
      <w:pPr>
        <w:rPr>
          <w:rFonts w:asciiTheme="minorHAnsi" w:hAnsiTheme="minorHAnsi"/>
        </w:rPr>
      </w:pPr>
      <w:r w:rsidRPr="006A6890">
        <w:rPr>
          <w:rFonts w:asciiTheme="minorHAnsi" w:hAnsiTheme="minorHAnsi"/>
        </w:rPr>
        <w:t>Az EBA elvárásával összhangban</w:t>
      </w:r>
      <w:r>
        <w:rPr>
          <w:rStyle w:val="Lbjegyzet-hivatkozs"/>
          <w:rFonts w:asciiTheme="minorHAnsi" w:hAnsiTheme="minorHAnsi"/>
        </w:rPr>
        <w:footnoteReference w:id="109"/>
      </w:r>
      <w:r w:rsidRPr="006A6890">
        <w:rPr>
          <w:rFonts w:asciiTheme="minorHAnsi" w:hAnsiTheme="minorHAnsi"/>
        </w:rPr>
        <w:t xml:space="preserve"> </w:t>
      </w:r>
      <w:r>
        <w:rPr>
          <w:rFonts w:asciiTheme="minorHAnsi" w:hAnsiTheme="minorHAnsi"/>
        </w:rPr>
        <w:t>az MNB</w:t>
      </w:r>
      <w:r w:rsidRPr="006A6890">
        <w:rPr>
          <w:rFonts w:asciiTheme="minorHAnsi" w:hAnsiTheme="minorHAnsi"/>
        </w:rPr>
        <w:t xml:space="preserve">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7FFFED53" w14:textId="77777777" w:rsidR="008A78E3" w:rsidRPr="006A6890" w:rsidRDefault="008A78E3" w:rsidP="00EA0541">
      <w:pPr>
        <w:rPr>
          <w:rFonts w:asciiTheme="minorHAnsi" w:hAnsiTheme="minorHAnsi"/>
        </w:rPr>
      </w:pPr>
      <w:r w:rsidRPr="006A6890">
        <w:rPr>
          <w:rFonts w:asciiTheme="minorHAnsi" w:hAnsiTheme="minorHAnsi"/>
        </w:rPr>
        <w:t>A Capital Guidance mértékét a felügyeleti (MNB által végrehajtott) stresszteszt határozza meg. Az MNB e kalkulációban figyelembe veheti az intézmény saját stressztesztjének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w:t>
      </w:r>
      <w:r>
        <w:rPr>
          <w:rFonts w:asciiTheme="minorHAnsi" w:hAnsiTheme="minorHAnsi"/>
        </w:rPr>
        <w:t>, de együttműködés hiányában akár tőkét érintő szankciókkal is élhet</w:t>
      </w:r>
      <w:r w:rsidRPr="006A6890">
        <w:rPr>
          <w:rFonts w:asciiTheme="minorHAnsi" w:hAnsiTheme="minorHAnsi"/>
        </w:rPr>
        <w:t xml:space="preserve">.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stresszteszt keretrendszerében történik, és elsődlegesen azt számszerűsíti, hogy az intézmény CET1 tőkemegfelelése (CET1 minőségű szavatoló tőke / szabályozói pillér TREA) milyen mértékben csökken a stresszpálya mentén. </w:t>
      </w:r>
      <w:r>
        <w:rPr>
          <w:rFonts w:asciiTheme="minorHAnsi" w:hAnsiTheme="minorHAnsi"/>
        </w:rPr>
        <w:t xml:space="preserve">A Capital Guidance számszerűsítésekor az MNB egységes módszertan alapján figyelembe vehet olyan nem számszerűsíthető, kvalitatív szempontokat is, melyek az intézmény folyamatos felügyelésének tapasztalataiból származnak. Az intézményekre a Helyreállítási Terv kapcsán számszerűsített Teljes Helyreállítási Kapacitás (Overall Recovery Capacity) összege szintén befolyásolhatja a felügyeleti tőkeajánlás mértékét. </w:t>
      </w:r>
    </w:p>
    <w:p w14:paraId="7FFFED54" w14:textId="77777777" w:rsidR="008A78E3" w:rsidRPr="006A6890" w:rsidRDefault="008A78E3" w:rsidP="00EA0541">
      <w:pPr>
        <w:rPr>
          <w:rFonts w:asciiTheme="minorHAnsi" w:hAnsiTheme="minorHAnsi"/>
        </w:rPr>
      </w:pPr>
      <w:r w:rsidRPr="006A6890">
        <w:rPr>
          <w:rFonts w:asciiTheme="minorHAnsi" w:hAnsiTheme="minorHAnsi"/>
        </w:rPr>
        <w:t>Az MNB egy olyan top-down stresszteszt keretrendszert dolgozott ki (továbbiakban: felügyeleti stresszteszt), mely főképp azokra a rendszeres adatszolgáltatásokra támaszkodik, melyeket a felügyelt intézmények adnak át az MNB számára. Az MNB fontosnak tartja, hogy megfelelően összehasonlíthatóak legyenek a különböző bankokra lefuttatott eredmények, mivel ez az alapja a 2019-től érv</w:t>
      </w:r>
      <w:r>
        <w:rPr>
          <w:rFonts w:asciiTheme="minorHAnsi" w:hAnsiTheme="minorHAnsi"/>
        </w:rPr>
        <w:t>é</w:t>
      </w:r>
      <w:r w:rsidRPr="006A6890">
        <w:rPr>
          <w:rFonts w:asciiTheme="minorHAnsi" w:hAnsiTheme="minorHAnsi"/>
        </w:rPr>
        <w:t>nyben lévő felügyeleti tőkeajánlásnak. Ennek következtében</w:t>
      </w:r>
      <w:r>
        <w:rPr>
          <w:rFonts w:asciiTheme="minorHAnsi" w:hAnsiTheme="minorHAnsi"/>
        </w:rPr>
        <w:t xml:space="preserve"> </w:t>
      </w:r>
      <w:r w:rsidRPr="006A6890">
        <w:rPr>
          <w:rFonts w:asciiTheme="minorHAnsi" w:hAnsiTheme="minorHAnsi"/>
        </w:rPr>
        <w:t xml:space="preserve">az MNB benchmark, bankszektor szintű adatokon fejlesztett stressztesztelési modellek felhasználásával számszerűsíti egy </w:t>
      </w:r>
      <w:r>
        <w:rPr>
          <w:rFonts w:asciiTheme="minorHAnsi" w:hAnsiTheme="minorHAnsi"/>
        </w:rPr>
        <w:t>szimulált</w:t>
      </w:r>
      <w:r w:rsidRPr="006A6890">
        <w:rPr>
          <w:rFonts w:asciiTheme="minorHAnsi" w:hAnsiTheme="minorHAnsi"/>
        </w:rPr>
        <w:t xml:space="preserve"> gazdasági visszaesés negatív hatásait. A </w:t>
      </w:r>
      <w:r>
        <w:rPr>
          <w:rFonts w:asciiTheme="minorHAnsi" w:hAnsiTheme="minorHAnsi"/>
        </w:rPr>
        <w:t>megfigyelhető</w:t>
      </w:r>
      <w:r w:rsidRPr="006A6890">
        <w:rPr>
          <w:rFonts w:asciiTheme="minorHAnsi" w:hAnsiTheme="minorHAnsi"/>
        </w:rPr>
        <w:t xml:space="preserve"> piaci és bankszektori folyamatokat figyelembe véve, </w:t>
      </w:r>
      <w:r>
        <w:rPr>
          <w:rFonts w:asciiTheme="minorHAnsi" w:hAnsiTheme="minorHAnsi"/>
        </w:rPr>
        <w:t xml:space="preserve">egy reális, de </w:t>
      </w:r>
      <w:r w:rsidRPr="006A6890">
        <w:rPr>
          <w:rFonts w:asciiTheme="minorHAnsi" w:hAnsiTheme="minorHAnsi"/>
        </w:rPr>
        <w:t>konzervatív szemléletet támogatva a mérlegfeltevés dinami</w:t>
      </w:r>
      <w:r>
        <w:rPr>
          <w:rFonts w:asciiTheme="minorHAnsi" w:hAnsiTheme="minorHAnsi"/>
        </w:rPr>
        <w:t>kus, azaz a mérlegfőösszeg bővülése megengedett stresszpályán is</w:t>
      </w:r>
      <w:r w:rsidRPr="006A6890">
        <w:rPr>
          <w:rFonts w:asciiTheme="minorHAnsi" w:hAnsiTheme="minorHAnsi"/>
        </w:rPr>
        <w:t xml:space="preserve">. </w:t>
      </w:r>
      <w:r>
        <w:rPr>
          <w:rFonts w:asciiTheme="minorHAnsi" w:hAnsiTheme="minorHAnsi"/>
        </w:rPr>
        <w:t>A</w:t>
      </w:r>
      <w:r w:rsidRPr="006A6890">
        <w:rPr>
          <w:rFonts w:asciiTheme="minorHAnsi" w:hAnsiTheme="minorHAnsi"/>
        </w:rPr>
        <w:t xml:space="preserve"> teljesítő </w:t>
      </w:r>
      <w:r>
        <w:rPr>
          <w:rFonts w:asciiTheme="minorHAnsi" w:hAnsiTheme="minorHAnsi"/>
        </w:rPr>
        <w:t>hitel</w:t>
      </w:r>
      <w:r w:rsidRPr="006A6890">
        <w:rPr>
          <w:rFonts w:asciiTheme="minorHAnsi" w:hAnsiTheme="minorHAnsi"/>
        </w:rPr>
        <w:t xml:space="preserve">állomány </w:t>
      </w:r>
      <w:r>
        <w:rPr>
          <w:rFonts w:asciiTheme="minorHAnsi" w:hAnsiTheme="minorHAnsi"/>
        </w:rPr>
        <w:t xml:space="preserve">ugyanakkor </w:t>
      </w:r>
      <w:r w:rsidRPr="006A6890">
        <w:rPr>
          <w:rFonts w:asciiTheme="minorHAnsi" w:hAnsiTheme="minorHAnsi"/>
        </w:rPr>
        <w:t xml:space="preserve">nem csak az NPL növekedése, hanem </w:t>
      </w:r>
      <w:r>
        <w:rPr>
          <w:rFonts w:asciiTheme="minorHAnsi" w:hAnsiTheme="minorHAnsi"/>
        </w:rPr>
        <w:t>egy</w:t>
      </w:r>
      <w:r w:rsidRPr="006A6890">
        <w:rPr>
          <w:rFonts w:asciiTheme="minorHAnsi" w:hAnsiTheme="minorHAnsi"/>
        </w:rPr>
        <w:t xml:space="preserve"> esetleges hitelfolyósítást meghaladó amortizáció miatt is csökkenhet. A következőkben e stressztesztelési módszertan legfőbb elemei kerülnek bemutatásra. </w:t>
      </w:r>
    </w:p>
    <w:p w14:paraId="7FFFED55" w14:textId="77777777" w:rsidR="008A78E3" w:rsidRPr="006A6890" w:rsidRDefault="008A78E3" w:rsidP="00EA0541">
      <w:pPr>
        <w:rPr>
          <w:rFonts w:asciiTheme="minorHAnsi" w:hAnsiTheme="minorHAnsi"/>
        </w:rPr>
      </w:pPr>
      <w:r w:rsidRPr="006A6890">
        <w:rPr>
          <w:rFonts w:asciiTheme="minorHAnsi" w:hAnsiTheme="minorHAnsi"/>
        </w:rPr>
        <w:t>Az EBA által kialakított keretrendszertől fontos eltérés az MNB felügyeleti stressztesztjében, hogy az EBA által meghatározottól különböző makrogazdasági sokk hatását számszerűsíti a teszt, mely jobban tükrözi a magyar gazdaság mechanizmusait. A Capital Guidance számszerűsítése az intézmény stresszpályán</w:t>
      </w:r>
      <w:r>
        <w:rPr>
          <w:rFonts w:asciiTheme="minorHAnsi" w:hAnsiTheme="minorHAnsi"/>
          <w:vertAlign w:val="superscript"/>
        </w:rPr>
        <w:footnoteReference w:id="110"/>
      </w:r>
      <w:r w:rsidRPr="006A6890">
        <w:rPr>
          <w:rFonts w:asciiTheme="minorHAnsi" w:hAnsiTheme="minorHAnsi"/>
        </w:rPr>
        <w:t xml:space="preserve"> becsült tőkemegfelelésétől függ, míg a</w:t>
      </w:r>
      <w:r>
        <w:rPr>
          <w:rFonts w:asciiTheme="minorHAnsi" w:hAnsiTheme="minorHAnsi"/>
        </w:rPr>
        <w:t xml:space="preserve"> szimulált</w:t>
      </w:r>
      <w:r w:rsidRPr="006A6890">
        <w:rPr>
          <w:rFonts w:asciiTheme="minorHAnsi" w:hAnsiTheme="minorHAnsi"/>
        </w:rPr>
        <w:t xml:space="preserve"> alappály</w:t>
      </w:r>
      <w:r>
        <w:rPr>
          <w:rFonts w:asciiTheme="minorHAnsi" w:hAnsiTheme="minorHAnsi"/>
        </w:rPr>
        <w:t>ás előrejelzés</w:t>
      </w:r>
      <w:r w:rsidRPr="006A6890">
        <w:rPr>
          <w:rFonts w:asciiTheme="minorHAnsi" w:hAnsiTheme="minorHAnsi"/>
        </w:rPr>
        <w:t xml:space="preserve"> az eredmények jobb megértésében nyújt segítséget és </w:t>
      </w:r>
      <w:r>
        <w:rPr>
          <w:rFonts w:asciiTheme="minorHAnsi" w:hAnsiTheme="minorHAnsi"/>
        </w:rPr>
        <w:t xml:space="preserve">ad </w:t>
      </w:r>
      <w:r w:rsidRPr="006A6890">
        <w:rPr>
          <w:rFonts w:asciiTheme="minorHAnsi" w:hAnsiTheme="minorHAnsi"/>
        </w:rPr>
        <w:t>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w:t>
      </w:r>
      <w:r>
        <w:rPr>
          <w:rFonts w:asciiTheme="minorHAnsi" w:hAnsiTheme="minorHAnsi"/>
        </w:rPr>
        <w:t>,</w:t>
      </w:r>
      <w:r w:rsidRPr="006A6890">
        <w:rPr>
          <w:rFonts w:asciiTheme="minorHAnsi" w:hAnsiTheme="minorHAnsi"/>
        </w:rPr>
        <w:t xml:space="preserve"> kockázattal súlyozott eszközérték alakulását is befolyásolja a dinamikus mérlegfeltevés, hiszen a portfolió változásával az RWA is módosul. A tőkemegfelelés szempontjából másik fontos tényező az intézmény rendelkezésére álló tők</w:t>
      </w:r>
      <w:r>
        <w:rPr>
          <w:rFonts w:asciiTheme="minorHAnsi" w:hAnsiTheme="minorHAnsi"/>
        </w:rPr>
        <w:t>éjének</w:t>
      </w:r>
      <w:r w:rsidRPr="006A6890">
        <w:rPr>
          <w:rFonts w:asciiTheme="minorHAnsi" w:hAnsiTheme="minorHAnsi"/>
        </w:rPr>
        <w:t xml:space="preserve"> szintje, melyet egyrészt az előrejelzési időszak alatt realizálódó kockázatok határoznak meg, másrészt pedig az intézményt jellemző tőkeakkumulációs képesség.</w:t>
      </w:r>
    </w:p>
    <w:p w14:paraId="7FFFED56" w14:textId="77777777" w:rsidR="008A78E3" w:rsidRDefault="008A78E3"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w:t>
      </w:r>
      <w:r>
        <w:rPr>
          <w:rFonts w:asciiTheme="minorHAnsi" w:hAnsiTheme="minorHAnsi"/>
        </w:rPr>
        <w:t xml:space="preserve"> Egyrészt számítunk egy kisebb volumenű stresszpályás értékvesztésképzési igényt a szuverén kitettségekre vonatkozóan, melynél a PD-k stresszelése egy makrogazdasági összefüggéseket felhasználó regressziós modellen alapul, míg az LGD a teljes pályán változatlan marad.</w:t>
      </w:r>
      <w:r w:rsidRPr="006A6890">
        <w:rPr>
          <w:rFonts w:asciiTheme="minorHAnsi" w:hAnsiTheme="minorHAnsi"/>
        </w:rPr>
        <w:t xml:space="preserve"> </w:t>
      </w:r>
      <w:r>
        <w:rPr>
          <w:rFonts w:asciiTheme="minorHAnsi" w:hAnsiTheme="minorHAnsi"/>
        </w:rPr>
        <w:t xml:space="preserve">A modell megegyezik az EBA EU-szintű stressztesztjében használt top-down módszertannal. Másrészt a sokkal materiálisabb érzékvesztésnövekményeket adó ügyfélhiteleket is stresszeljük, mely a következő keretrendszer szerint alakul. </w:t>
      </w:r>
    </w:p>
    <w:p w14:paraId="7FFFED57" w14:textId="77777777" w:rsidR="008A78E3" w:rsidRPr="006A6890" w:rsidRDefault="008A78E3" w:rsidP="00EA0541">
      <w:pPr>
        <w:rPr>
          <w:rFonts w:asciiTheme="minorHAnsi" w:hAnsiTheme="minorHAnsi"/>
        </w:rPr>
      </w:pPr>
      <w:r w:rsidRPr="006A6890">
        <w:rPr>
          <w:rFonts w:asciiTheme="minorHAnsi" w:hAnsiTheme="minorHAnsi"/>
        </w:rPr>
        <w:t>A stresszpályán a makrogazdasági sokk által meghatározott környezet a nemteljesítési valószínűség megugrását eredményezi, mely hatás az MNB által becsült makrogazdasági tényezőket, valamint ügyfél- és ügylettulajdonságokat is magába foglaló modell</w:t>
      </w:r>
      <w:r>
        <w:rPr>
          <w:rFonts w:asciiTheme="minorHAnsi" w:hAnsiTheme="minorHAnsi"/>
        </w:rPr>
        <w:t>ek</w:t>
      </w:r>
      <w:r w:rsidRPr="006A6890">
        <w:rPr>
          <w:rFonts w:asciiTheme="minorHAnsi" w:hAnsiTheme="minorHAnsi"/>
        </w:rPr>
        <w:t xml:space="preserve">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Pr>
          <w:rFonts w:asciiTheme="minorHAnsi" w:hAnsiTheme="minorHAnsi"/>
          <w:vertAlign w:val="superscript"/>
        </w:rPr>
        <w:footnoteReference w:id="111"/>
      </w:r>
      <w:r w:rsidRPr="006A6890">
        <w:rPr>
          <w:rFonts w:asciiTheme="minorHAnsi" w:hAnsiTheme="minorHAnsi"/>
        </w:rPr>
        <w:t xml:space="preserve"> és értékvesztés kategóriákra</w:t>
      </w:r>
      <w:r>
        <w:rPr>
          <w:rFonts w:asciiTheme="minorHAnsi" w:hAnsiTheme="minorHAnsi"/>
        </w:rPr>
        <w:t xml:space="preserve"> (stage-ekre)</w:t>
      </w:r>
      <w:r w:rsidRPr="006A6890">
        <w:rPr>
          <w:rFonts w:asciiTheme="minorHAnsi" w:hAnsiTheme="minorHAnsi"/>
        </w:rPr>
        <w:t xml:space="preserve">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7FFFED58" w14:textId="77777777" w:rsidR="008A78E3" w:rsidRDefault="008A78E3"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Pr>
          <w:rFonts w:asciiTheme="minorHAnsi" w:hAnsiTheme="minorHAnsi"/>
          <w:vertAlign w:val="superscript"/>
        </w:rPr>
        <w:footnoteReference w:id="112"/>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7FFFED59" w14:textId="77777777" w:rsidR="008A78E3" w:rsidRPr="006A6890" w:rsidRDefault="008A78E3" w:rsidP="00EA0541">
      <w:pPr>
        <w:rPr>
          <w:rFonts w:asciiTheme="minorHAnsi" w:hAnsiTheme="minorHAnsi"/>
        </w:rPr>
      </w:pPr>
      <w:r w:rsidRPr="006A6890">
        <w:rPr>
          <w:rFonts w:asciiTheme="minorHAnsi" w:hAnsiTheme="minorHAnsi"/>
        </w:rPr>
        <w:t>Következő lépésként a különböző értékveszt</w:t>
      </w:r>
      <w:r>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fordított irányú migrálás is. Az előbbi nem csökkenhet a kiindulási érték alá, míg az utóbbi nem nőhet a kiindulási érték fölé. </w:t>
      </w:r>
    </w:p>
    <w:p w14:paraId="7FFFED5A" w14:textId="77777777" w:rsidR="008A78E3" w:rsidRPr="006A6890" w:rsidRDefault="008A78E3" w:rsidP="00EA0541">
      <w:pPr>
        <w:rPr>
          <w:rFonts w:asciiTheme="minorHAnsi" w:hAnsiTheme="minorHAnsi"/>
        </w:rPr>
      </w:pPr>
      <w:r w:rsidRPr="006A6890">
        <w:rPr>
          <w:rFonts w:asciiTheme="minorHAnsi" w:hAnsiTheme="minorHAnsi"/>
        </w:rPr>
        <w:t>A harmadik lépés az LGD-k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stresszteszt kiindulási időpontjában fennálló, a vizsgált bank által modellezett LGD-ben tükröződik, majd ezen keresztül végig jelen van a stresszpályán is.</w:t>
      </w:r>
    </w:p>
    <w:p w14:paraId="7FFFED5B" w14:textId="77777777" w:rsidR="008A78E3" w:rsidRPr="006A6890" w:rsidRDefault="008A78E3"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7FFFED5C" w14:textId="77777777" w:rsidR="008A78E3" w:rsidRDefault="008A78E3" w:rsidP="00EA0541">
      <w:pPr>
        <w:rPr>
          <w:rFonts w:asciiTheme="minorHAnsi" w:hAnsiTheme="minorHAnsi"/>
        </w:rPr>
      </w:pPr>
      <w:r w:rsidRPr="006A6890">
        <w:rPr>
          <w:rFonts w:asciiTheme="minorHAnsi" w:hAnsiTheme="minorHAnsi"/>
        </w:rPr>
        <w:t xml:space="preserve">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w:t>
      </w:r>
      <w:r>
        <w:rPr>
          <w:rFonts w:asciiTheme="minorHAnsi" w:hAnsiTheme="minorHAnsi"/>
        </w:rPr>
        <w:t xml:space="preserve"> </w:t>
      </w:r>
      <w:r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FFFED5D" w14:textId="77777777" w:rsidR="008A78E3" w:rsidRDefault="008A78E3" w:rsidP="002A7607">
      <w:pPr>
        <w:rPr>
          <w:rFonts w:asciiTheme="minorHAnsi" w:hAnsiTheme="minorHAnsi"/>
        </w:rPr>
      </w:pPr>
      <w:r w:rsidRPr="002A7607">
        <w:rPr>
          <w:rFonts w:asciiTheme="minorHAnsi" w:hAnsiTheme="minorHAnsi"/>
        </w:rPr>
        <w:t>Az eddigi csőd- és migrációs valószínűség becslésére szolgáló számításokat 2021-től kezdve új modellek váltják fel. A banki adatszolgáltatások információtartalmának és granularitásának növek</w:t>
      </w:r>
      <w:r>
        <w:rPr>
          <w:rFonts w:asciiTheme="minorHAnsi" w:hAnsiTheme="minorHAnsi"/>
        </w:rPr>
        <w:t>v</w:t>
      </w:r>
      <w:r w:rsidRPr="002A7607">
        <w:rPr>
          <w:rFonts w:asciiTheme="minorHAnsi" w:hAnsiTheme="minorHAnsi"/>
        </w:rPr>
        <w:t>ése (pl. HITREG</w:t>
      </w:r>
      <w:r>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realizálódásának számszerűsítését a korábbiaknál részletesebb informácós bázison becsülje meg. </w:t>
      </w:r>
    </w:p>
    <w:p w14:paraId="7FFFED5E" w14:textId="77777777" w:rsidR="008A78E3" w:rsidRDefault="008A78E3"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default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Pr>
          <w:rFonts w:asciiTheme="minorHAnsi" w:hAnsiTheme="minorHAnsi"/>
        </w:rPr>
        <w:t xml:space="preserve"> társaság mérete,</w:t>
      </w:r>
      <w:r w:rsidRPr="002A7607">
        <w:rPr>
          <w:rFonts w:asciiTheme="minorHAnsi" w:hAnsiTheme="minorHAnsi"/>
        </w:rPr>
        <w:t xml:space="preserve"> tevékenység jellege</w:t>
      </w:r>
      <w:r>
        <w:rPr>
          <w:rFonts w:asciiTheme="minorHAnsi" w:hAnsiTheme="minorHAnsi"/>
        </w:rPr>
        <w:t xml:space="preserve"> vagy a</w:t>
      </w:r>
      <w:r w:rsidRPr="002A7607">
        <w:rPr>
          <w:rFonts w:asciiTheme="minorHAnsi" w:hAnsiTheme="minorHAnsi"/>
        </w:rPr>
        <w:t xml:space="preserve"> tulajdonosi kör </w:t>
      </w:r>
      <w:r>
        <w:rPr>
          <w:rFonts w:asciiTheme="minorHAnsi" w:hAnsiTheme="minorHAnsi"/>
        </w:rPr>
        <w:t>összetétele</w:t>
      </w:r>
      <w:r w:rsidRPr="002A7607">
        <w:rPr>
          <w:rFonts w:asciiTheme="minorHAnsi" w:hAnsiTheme="minorHAnsi"/>
        </w:rPr>
        <w:t xml:space="preserve">. </w:t>
      </w:r>
      <w:r>
        <w:rPr>
          <w:rFonts w:asciiTheme="minorHAnsi" w:hAnsiTheme="minorHAnsi"/>
        </w:rPr>
        <w:t>A modell az</w:t>
      </w:r>
      <w:r w:rsidRPr="00FE0699">
        <w:rPr>
          <w:rFonts w:asciiTheme="minorHAnsi" w:hAnsiTheme="minorHAnsi"/>
        </w:rPr>
        <w:t xml:space="preserve"> átmenetvalószínűségek meghatározásához egy egységes stage szabályrendszer</w:t>
      </w:r>
      <w:r>
        <w:rPr>
          <w:rFonts w:asciiTheme="minorHAnsi" w:hAnsiTheme="minorHAnsi"/>
        </w:rPr>
        <w:t>rel</w:t>
      </w:r>
      <w:r w:rsidRPr="00FE0699">
        <w:rPr>
          <w:rFonts w:asciiTheme="minorHAnsi" w:hAnsiTheme="minorHAnsi"/>
        </w:rPr>
        <w:t xml:space="preserve"> igyekszik összhangot teremteni a hazai intézmények IFRS9 szerinti értékvesztési politikájával. </w:t>
      </w:r>
      <w:r>
        <w:rPr>
          <w:rFonts w:asciiTheme="minorHAnsi" w:hAnsiTheme="minorHAnsi"/>
        </w:rPr>
        <w:t>Az új módszertan támogatja, hogy</w:t>
      </w:r>
      <w:r w:rsidRPr="00FE0699">
        <w:rPr>
          <w:rFonts w:asciiTheme="minorHAnsi" w:hAnsiTheme="minorHAnsi"/>
        </w:rPr>
        <w:t xml:space="preserve"> széleskörű makrogazdasági és ügyfélszintű változóhalmazra építve megfelelő diszkriminációs erő mellett lehetségessé vál</w:t>
      </w:r>
      <w:r>
        <w:rPr>
          <w:rFonts w:asciiTheme="minorHAnsi" w:hAnsiTheme="minorHAnsi"/>
        </w:rPr>
        <w:t>jon</w:t>
      </w:r>
      <w:r w:rsidRPr="00FE0699">
        <w:rPr>
          <w:rFonts w:asciiTheme="minorHAnsi" w:hAnsiTheme="minorHAnsi"/>
        </w:rPr>
        <w:t xml:space="preserve"> </w:t>
      </w:r>
      <w:r>
        <w:rPr>
          <w:rFonts w:asciiTheme="minorHAnsi" w:hAnsiTheme="minorHAnsi"/>
        </w:rPr>
        <w:t xml:space="preserve">a </w:t>
      </w:r>
      <w:r w:rsidRPr="00FE0699">
        <w:rPr>
          <w:rFonts w:asciiTheme="minorHAnsi" w:hAnsiTheme="minorHAnsi"/>
        </w:rPr>
        <w:t>vállalatok</w:t>
      </w:r>
      <w:r>
        <w:rPr>
          <w:rFonts w:asciiTheme="minorHAnsi" w:hAnsiTheme="minorHAnsi"/>
        </w:rPr>
        <w:t xml:space="preserve"> minőség szerinti </w:t>
      </w:r>
      <w:r w:rsidRPr="00FE0699">
        <w:rPr>
          <w:rFonts w:asciiTheme="minorHAnsi" w:hAnsiTheme="minorHAnsi"/>
        </w:rPr>
        <w:t>szétválasztása, valamint mind a stresszteszt szempontjából releváns P</w:t>
      </w:r>
      <w:r>
        <w:rPr>
          <w:rFonts w:asciiTheme="minorHAnsi" w:hAnsiTheme="minorHAnsi"/>
        </w:rPr>
        <w:t>i</w:t>
      </w:r>
      <w:r w:rsidRPr="00FE0699">
        <w:rPr>
          <w:rFonts w:asciiTheme="minorHAnsi" w:hAnsiTheme="minorHAnsi"/>
        </w:rPr>
        <w:t>T PD, mind az átmenetvalószínűségek vállalati szintű becslése, így a stressz értékvesztés</w:t>
      </w:r>
      <w:r>
        <w:rPr>
          <w:rFonts w:asciiTheme="minorHAnsi" w:hAnsiTheme="minorHAnsi"/>
        </w:rPr>
        <w:t xml:space="preserve"> többlet</w:t>
      </w:r>
      <w:r w:rsidRPr="00FE0699">
        <w:rPr>
          <w:rFonts w:asciiTheme="minorHAnsi" w:hAnsiTheme="minorHAnsi"/>
        </w:rPr>
        <w:t xml:space="preserve"> közelítése</w:t>
      </w:r>
      <w:r>
        <w:rPr>
          <w:rFonts w:asciiTheme="minorHAnsi" w:hAnsiTheme="minorHAnsi"/>
        </w:rPr>
        <w:t>.</w:t>
      </w:r>
    </w:p>
    <w:p w14:paraId="7FFFED5F" w14:textId="77777777" w:rsidR="008A78E3" w:rsidRPr="006A6890" w:rsidRDefault="008A78E3" w:rsidP="00EA0541">
      <w:pPr>
        <w:rPr>
          <w:rFonts w:asciiTheme="minorHAnsi" w:hAnsiTheme="minorHAnsi"/>
        </w:rPr>
      </w:pPr>
      <w:r>
        <w:rPr>
          <w:rFonts w:asciiTheme="minorHAnsi" w:hAnsiTheme="minorHAnsi"/>
        </w:rPr>
        <w:t>A lakossági szegmens viselkedését előrejelző Stage-migrációs modell alapját is egy banki, ügyfélszintű adatbázis jelenti, mely ugyancsak lefed egy teljes gazdasági ciklust (2005-2018). A korábbi, ügyfélminőségeket figyelmen kívül hagyó modellt tehát egy ügylet- és ügyféltulajdonságokat is számításba ejtő modell váltja le. Az új modellben előbb „rating” kategóriák kerülnek meghatározásra, az előbb említett tulajdonságok mentén, tehát elkülönítésre kerülnek a jobb és a rosszabb minőségű adósok. Ezen kategóriák IFRS9-es Stage-ek közti migrációs valószínűségei aztán külön idősoros regressziók mentén kerülnek becslésre, melyekbe a mozgásokat leginkább megfogó makrováltozók kerültek bele. A lakossági szegmens modellezésében az eltérő karakterisztikájuk miatt elkülönülnítésre kerültek a jelzálog, valamint a fogyasztási hitelek. A stresszpályán elvártnak tekinthető értékvesztés szint a migrációs valószínűségek változásaiból kinyert PD-k, a külön stresszelt LGD-k, valamint az adott ügylet lejárati idejének felhasználásával számolódik.</w:t>
      </w:r>
      <w:r w:rsidRPr="006A6890">
        <w:rPr>
          <w:rFonts w:asciiTheme="minorHAnsi" w:hAnsiTheme="minorHAnsi"/>
        </w:rPr>
        <w:t xml:space="preserve">A hitelkockázathoz tartozik – ahogy az ICAAP alatt is – a partnerkockázat és a CVA kockázat. A partnerkockázat esetén az EBA stresszteszt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w:t>
      </w:r>
      <w:r>
        <w:rPr>
          <w:rFonts w:asciiTheme="minorHAnsi" w:hAnsiTheme="minorHAnsi"/>
        </w:rPr>
        <w:t xml:space="preserve">hozzájuk tartozó partnerkockázati súly </w:t>
      </w:r>
      <w:r w:rsidRPr="006A6890">
        <w:rPr>
          <w:rFonts w:asciiTheme="minorHAnsi" w:hAnsiTheme="minorHAnsi"/>
        </w:rPr>
        <w:t xml:space="preserve">határozza meg. </w:t>
      </w:r>
      <w:r>
        <w:rPr>
          <w:rFonts w:asciiTheme="minorHAnsi" w:hAnsiTheme="minorHAnsi"/>
        </w:rPr>
        <w:t>A partnerkockázati súly mellett kvalitatív tényezők (pl. partnerszektor) is figyelembe vehetők a bedönteni kívánt ügyfelek kiválasztásakor. A kitettségérték számítása a CRR partnerkockázatra vonatkozó szabályaival összhangban kerül megállapításra.</w:t>
      </w:r>
      <w:r w:rsidRPr="006A6890">
        <w:rPr>
          <w:rFonts w:asciiTheme="minorHAnsi" w:hAnsiTheme="minorHAnsi"/>
        </w:rPr>
        <w:t xml:space="preserve"> A veszteség a</w:t>
      </w:r>
      <w:r>
        <w:rPr>
          <w:rFonts w:asciiTheme="minorHAnsi" w:hAnsiTheme="minorHAnsi"/>
        </w:rPr>
        <w:t xml:space="preserve"> CRR szerinti partnerkockázati </w:t>
      </w:r>
      <w:r w:rsidRPr="006A6890">
        <w:rPr>
          <w:rFonts w:asciiTheme="minorHAnsi" w:hAnsiTheme="minorHAnsi"/>
        </w:rPr>
        <w:t xml:space="preserve">kitettség és az arra vonatkozó LGD vagy egyéb, sztenderd módszer alatt meghatározott várható csődesemény </w:t>
      </w:r>
      <w:r>
        <w:rPr>
          <w:rFonts w:asciiTheme="minorHAnsi" w:hAnsiTheme="minorHAnsi"/>
        </w:rPr>
        <w:t>esetén</w:t>
      </w:r>
      <w:r w:rsidRPr="006A6890">
        <w:rPr>
          <w:rFonts w:asciiTheme="minorHAnsi" w:hAnsiTheme="minorHAnsi"/>
        </w:rPr>
        <w:t xml:space="preserve"> az ügyleten keletkező veszteség szorzatából kerül meghatározásra</w:t>
      </w:r>
      <w:r>
        <w:rPr>
          <w:rFonts w:asciiTheme="minorHAnsi" w:hAnsiTheme="minorHAnsi"/>
        </w:rPr>
        <w:t xml:space="preserve"> és </w:t>
      </w:r>
      <w:r w:rsidRPr="006A6890">
        <w:rPr>
          <w:rFonts w:asciiTheme="minorHAnsi" w:hAnsiTheme="minorHAnsi"/>
        </w:rPr>
        <w:t>a stresszpálya első évében kerül teljes egészében levonásra. A CVA kockázati veszteség az ICAAP alatt meghatározott, erre vonatkozó tőkekövetelmény alapján kerül számszerűsítésre, mely a partnerkockázattal megegyezően az első évben, egyszeri veszteségként jelenik meg a felügyeleti stressztesztben. Fontos megemlíteni, hogy a partnerkockázati és CVA veszteség csak a stresszpálya eredményét rontja, alappályán ezek értéke 0.</w:t>
      </w:r>
    </w:p>
    <w:p w14:paraId="7FFFED60" w14:textId="77777777" w:rsidR="008A78E3" w:rsidRPr="006A6890" w:rsidRDefault="008A78E3" w:rsidP="00EA0541">
      <w:pPr>
        <w:rPr>
          <w:rFonts w:asciiTheme="minorHAnsi" w:hAnsiTheme="minorHAnsi"/>
        </w:rPr>
      </w:pPr>
      <w:bookmarkStart w:id="1284" w:name="_Hlk84255909"/>
      <w:r w:rsidRPr="008920BF">
        <w:rPr>
          <w:rFonts w:asciiTheme="minorHAnsi" w:hAnsiTheme="minorHAnsi"/>
        </w:rPr>
        <w:t>Fontos kockázatforrás ezenfelül a piaci kockázat is, melyet banki és kereskedési könyvi kockázatok együttesére bont a stresszteszt. A banki könyvi kitettségek esetén a kamatkockázathoz és a devizaárfolyam-kockázathoz párosul stresszelt érték. A valós értéken értékelt kitettség árfolyamváltozás hatására történő elmozdítása a dinamikus mérleg bevezetését követően már értelmezhető, mivel ez a mérlegfőösszeg megváltozásával jár. A devizák átértékelődésének hatása ezen kívül még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FVOCI értékpapírok átértékelődése az egyéb átfogó eredményben jelenik meg a teljes stresszidőszakban.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értékpapírok fedezésére kötött IRS-ek együttes átértékelődése szintén az egyéb átfogó eredményben jelenik meg a részletes fedezeti információk jelenlegi hiánya miatt. Az értékesíthető értékpapírok FVTPL részének átértékelődése hasonló mechanizmus alapján számolódik.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bookmarkEnd w:id="1284"/>
    <w:p w14:paraId="7FFFED61" w14:textId="77777777" w:rsidR="008A78E3" w:rsidRPr="006A6890" w:rsidRDefault="008A78E3" w:rsidP="00EA0541">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7FFFED62" w14:textId="77777777" w:rsidR="008A78E3" w:rsidRPr="006A6890" w:rsidRDefault="008A78E3" w:rsidP="00EA0541">
      <w:pPr>
        <w:rPr>
          <w:rFonts w:asciiTheme="minorHAnsi" w:hAnsiTheme="minorHAnsi"/>
        </w:rPr>
      </w:pPr>
      <w:r w:rsidRPr="006A6890">
        <w:rPr>
          <w:rFonts w:asciiTheme="minorHAnsi" w:hAnsiTheme="minorHAnsi"/>
        </w:rPr>
        <w:t xml:space="preserve">Az intézmény rendelkezésére álló tőke szintjét a kockázatok realizálódása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mely ugyancsak legfőképpen a 3 hónapos BUBOR alakulásától függ. A megfigyelés alapján pozitív irányú a kapcsolat a két változó közt, így a lekötött betétek aránya a teljes betétállományban növekszik a kamatlábak emelkedésével, így a stressztesztre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7FFFED63" w14:textId="77777777" w:rsidR="008A78E3" w:rsidRPr="006A6890" w:rsidRDefault="008A78E3" w:rsidP="00EA0541">
      <w:pPr>
        <w:rPr>
          <w:rFonts w:asciiTheme="minorHAnsi" w:hAnsiTheme="minorHAnsi"/>
        </w:rPr>
      </w:pPr>
      <w:r w:rsidRPr="006A6890">
        <w:rPr>
          <w:rFonts w:asciiTheme="minorHAnsi" w:hAnsiTheme="minorHAnsi"/>
        </w:rPr>
        <w:t xml:space="preserve">A fennmaradó eredménytételek közül a nettó díj- és jutalékbevétel </w:t>
      </w:r>
      <w:r>
        <w:rPr>
          <w:rFonts w:asciiTheme="minorHAnsi" w:hAnsiTheme="minorHAnsi"/>
        </w:rPr>
        <w:t xml:space="preserve">meghatározása mind alappályán, mind stresszpályán </w:t>
      </w:r>
      <w:r w:rsidRPr="004C7BD2">
        <w:rPr>
          <w:rFonts w:asciiTheme="minorHAnsi" w:hAnsiTheme="minorHAnsi"/>
        </w:rPr>
        <w:t>a</w:t>
      </w:r>
      <w:r>
        <w:rPr>
          <w:rFonts w:asciiTheme="minorHAnsi" w:hAnsiTheme="minorHAnsi"/>
        </w:rPr>
        <w:t xml:space="preserve">z Intézmény </w:t>
      </w:r>
      <w:r w:rsidRPr="004C7BD2">
        <w:rPr>
          <w:rFonts w:asciiTheme="minorHAnsi" w:hAnsiTheme="minorHAnsi"/>
        </w:rPr>
        <w:t>sajátosságait</w:t>
      </w:r>
      <w:r>
        <w:rPr>
          <w:rFonts w:asciiTheme="minorHAnsi" w:hAnsiTheme="minorHAnsi"/>
        </w:rPr>
        <w:t xml:space="preserve"> és</w:t>
      </w:r>
      <w:r w:rsidRPr="004C7BD2">
        <w:rPr>
          <w:rFonts w:asciiTheme="minorHAnsi" w:hAnsiTheme="minorHAnsi"/>
        </w:rPr>
        <w:t xml:space="preserve"> a makrogazdasági környezet változását is figyelembe vevő, múltbeli adatokon</w:t>
      </w:r>
      <w:r>
        <w:rPr>
          <w:rFonts w:asciiTheme="minorHAnsi" w:hAnsiTheme="minorHAnsi"/>
        </w:rPr>
        <w:t xml:space="preserve"> (2000-2013)</w:t>
      </w:r>
      <w:r w:rsidRPr="004C7BD2">
        <w:rPr>
          <w:rFonts w:asciiTheme="minorHAnsi" w:hAnsiTheme="minorHAnsi"/>
        </w:rPr>
        <w:t xml:space="preserve"> kimért regressziós összefüggés</w:t>
      </w:r>
      <w:r>
        <w:rPr>
          <w:rFonts w:asciiTheme="minorHAnsi" w:hAnsiTheme="minorHAnsi"/>
        </w:rPr>
        <w:t xml:space="preserve"> alapján történik</w:t>
      </w:r>
      <w:r w:rsidRPr="004C7BD2">
        <w:rPr>
          <w:rFonts w:asciiTheme="minorHAnsi" w:hAnsiTheme="minorHAnsi"/>
        </w:rPr>
        <w:t xml:space="preserve">. </w:t>
      </w:r>
      <w:r w:rsidRPr="006A6890">
        <w:rPr>
          <w:rFonts w:asciiTheme="minorHAnsi" w:hAnsiTheme="minorHAnsi"/>
        </w:rPr>
        <w:t>A működési költségek alakulását három főbb tényező befolyásolja. Az egyik a mérlegfőösszeg, mely a dinamikus mérlegfeltevés bevezetése hatására többféleképpen is alakulhat.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w:t>
      </w:r>
      <w:r>
        <w:rPr>
          <w:rFonts w:asciiTheme="minorHAnsi" w:hAnsiTheme="minorHAnsi"/>
        </w:rPr>
        <w:t>, illetve az Intézmények által fizetett helyi iparűzési adó és Innovációs járulék is figyelembevételre kerül az adózás utáni eredmény megállapításában</w:t>
      </w:r>
      <w:r w:rsidRPr="006A6890">
        <w:rPr>
          <w:rFonts w:asciiTheme="minorHAnsi" w:hAnsiTheme="minorHAnsi"/>
        </w:rPr>
        <w:t xml:space="preserve">. 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7FFFED64" w14:textId="77777777" w:rsidR="008A78E3" w:rsidRPr="006A6890" w:rsidRDefault="008A78E3" w:rsidP="00EA0541">
      <w:pPr>
        <w:rPr>
          <w:rFonts w:asciiTheme="minorHAnsi" w:hAnsiTheme="minorHAnsi"/>
        </w:rPr>
      </w:pPr>
      <w:r w:rsidRPr="006A6890">
        <w:rPr>
          <w:rFonts w:asciiTheme="minorHAnsi" w:hAnsiTheme="minorHAnsi"/>
        </w:rPr>
        <w:t xml:space="preserve">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w:t>
      </w:r>
      <w:r w:rsidRPr="008920BF">
        <w:rPr>
          <w:rFonts w:asciiTheme="minorHAnsi" w:hAnsiTheme="minorHAnsi"/>
        </w:rPr>
        <w:t>a piaci és működési kockázati RWA is hatással van</w:t>
      </w:r>
      <w:r>
        <w:rPr>
          <w:rFonts w:asciiTheme="minorHAnsi" w:hAnsiTheme="minorHAnsi"/>
        </w:rPr>
        <w:t>. Míg a piaci kockázati RWA az értékpapírállomány, addig a működési kockázati RWA a mérlegfőösszeg változásával arányosan alakul a vizsgált időhorizonton.</w:t>
      </w:r>
    </w:p>
    <w:p w14:paraId="7FFFED65" w14:textId="77777777" w:rsidR="008A78E3" w:rsidRPr="000067C8" w:rsidRDefault="008A78E3" w:rsidP="000067C8">
      <w:pPr>
        <w:rPr>
          <w:b/>
          <w:bCs/>
        </w:rPr>
      </w:pPr>
      <w:r w:rsidRPr="000067C8">
        <w:rPr>
          <w:b/>
          <w:bCs/>
        </w:rPr>
        <w:t>A dinamikus mérlegfeltevésnek további, közvetett hatása, hogy a devizában denominált eszközök, illetve források is átárazódásra kerülnek a stresszpályán alkalmazott FX sokk mértékének megfelelően. Ez olyan szempontból is fontos, hogy stresszpályán a devizában tartott tőkeelemek is át tudnak árazódni, mely ennek mértékével összhangban, a devizás kockázati kitettségek átárazódását tompítva változtathatja a Bank mindenkori tőkemegfelelését. Az FX stresszelése tehát nem csak eredménykimutatás és mérleg megfelelő tételein keresztül közvetetten, de a tőkére is közvetlen hatással lehet.</w:t>
      </w:r>
      <w:bookmarkStart w:id="1285" w:name="_Toc118450045"/>
      <w:bookmarkStart w:id="1286" w:name="_Toc119046412"/>
      <w:bookmarkStart w:id="1287" w:name="_Toc462403206"/>
      <w:bookmarkStart w:id="1288" w:name="_Toc462403530"/>
      <w:bookmarkStart w:id="1289" w:name="_Toc468180649"/>
      <w:bookmarkStart w:id="1290" w:name="_Toc468181130"/>
      <w:bookmarkStart w:id="1291" w:name="_Toc45119996"/>
      <w:bookmarkEnd w:id="1285"/>
      <w:bookmarkEnd w:id="1286"/>
    </w:p>
    <w:p w14:paraId="7FFFED66" w14:textId="77777777" w:rsidR="008A78E3" w:rsidRPr="000067C8" w:rsidRDefault="008A78E3" w:rsidP="009F4CDA">
      <w:pPr>
        <w:pStyle w:val="Cmsor2"/>
      </w:pPr>
      <w:bookmarkStart w:id="1292" w:name="_Toc158036702"/>
      <w:r w:rsidRPr="000067C8">
        <w:t>A túlzott tőkeáttétel kockázatára vonatkozó 2. pillér szerinti tőkeajánlás (P2G-LR)</w:t>
      </w:r>
      <w:bookmarkEnd w:id="1292"/>
    </w:p>
    <w:p w14:paraId="7FFFED67" w14:textId="77777777" w:rsidR="008A78E3" w:rsidRDefault="008A78E3" w:rsidP="009667AA">
      <w:pPr>
        <w:rPr>
          <w:rFonts w:asciiTheme="minorHAnsi" w:hAnsiTheme="minorHAnsi"/>
        </w:rPr>
      </w:pPr>
      <w:r w:rsidRPr="00E87D60">
        <w:rPr>
          <w:rFonts w:asciiTheme="minorHAnsi" w:hAnsiTheme="minorHAnsi"/>
        </w:rPr>
        <w:t>Az EBA elvárásával összhangban az MNB 2023-tól kezdve beépíti a túlzott tőkeáttétel kockázat</w:t>
      </w:r>
      <w:r>
        <w:rPr>
          <w:rFonts w:asciiTheme="minorHAnsi" w:hAnsiTheme="minorHAnsi"/>
        </w:rPr>
        <w:t>á</w:t>
      </w:r>
      <w:r w:rsidRPr="00E87D60">
        <w:rPr>
          <w:rFonts w:asciiTheme="minorHAnsi" w:hAnsiTheme="minorHAnsi"/>
        </w:rPr>
        <w:t>hoz kapcsolódó felügyeleti tőkeajánlás szükségességének mérlegelését az ICAAP felülvizsgálatokba. Célja az intézmény által a tőkeáttételre vonatkozó teljes követelményt (OLRR) meghaladóan</w:t>
      </w:r>
      <w:r>
        <w:rPr>
          <w:rFonts w:asciiTheme="minorHAnsi" w:hAnsiTheme="minorHAnsi"/>
        </w:rPr>
        <w:t>,</w:t>
      </w:r>
      <w:r w:rsidRPr="00E87D60">
        <w:rPr>
          <w:rFonts w:asciiTheme="minorHAnsi" w:hAnsiTheme="minorHAnsi"/>
        </w:rPr>
        <w:t xml:space="preserve"> </w:t>
      </w:r>
      <w:r>
        <w:rPr>
          <w:rFonts w:asciiTheme="minorHAnsi" w:hAnsiTheme="minorHAnsi"/>
        </w:rPr>
        <w:t xml:space="preserve">ajánlásként előírható </w:t>
      </w:r>
      <w:r w:rsidRPr="00E87D60">
        <w:rPr>
          <w:rFonts w:asciiTheme="minorHAnsi" w:hAnsiTheme="minorHAnsi"/>
        </w:rPr>
        <w:t>szavatolótőke szintjének és minőségének meghatározása a</w:t>
      </w:r>
      <w:r>
        <w:rPr>
          <w:rFonts w:asciiTheme="minorHAnsi" w:hAnsiTheme="minorHAnsi"/>
        </w:rPr>
        <w:t>z – ökonometriai összefüggéseket és szakértői feltételezéseket egyaránt tartalmazó –</w:t>
      </w:r>
      <w:r w:rsidRPr="00E87D60">
        <w:rPr>
          <w:rFonts w:asciiTheme="minorHAnsi" w:hAnsiTheme="minorHAnsi"/>
        </w:rPr>
        <w:t xml:space="preserve"> P2G módszertanhoz hasonlóan.</w:t>
      </w:r>
    </w:p>
    <w:p w14:paraId="7FFFED68" w14:textId="77777777" w:rsidR="008A78E3" w:rsidRDefault="008A78E3" w:rsidP="009667AA">
      <w:pPr>
        <w:rPr>
          <w:rFonts w:asciiTheme="minorHAnsi" w:hAnsiTheme="minorHAnsi"/>
        </w:rPr>
      </w:pPr>
      <w:r>
        <w:rPr>
          <w:rFonts w:asciiTheme="minorHAnsi" w:hAnsiTheme="minorHAnsi"/>
        </w:rPr>
        <w:t>A</w:t>
      </w:r>
      <w:r w:rsidRPr="009266F3">
        <w:rPr>
          <w:rFonts w:asciiTheme="minorHAnsi" w:hAnsiTheme="minorHAnsi"/>
        </w:rPr>
        <w:t xml:space="preserve"> </w:t>
      </w:r>
      <w:r>
        <w:rPr>
          <w:rFonts w:asciiTheme="minorHAnsi" w:hAnsiTheme="minorHAnsi"/>
        </w:rPr>
        <w:t>P2G-LR</w:t>
      </w:r>
      <w:r w:rsidRPr="006A6890">
        <w:rPr>
          <w:rFonts w:asciiTheme="minorHAnsi" w:hAnsiTheme="minorHAnsi"/>
        </w:rPr>
        <w:t xml:space="preserve"> mértékét </w:t>
      </w:r>
      <w:r>
        <w:rPr>
          <w:rFonts w:asciiTheme="minorHAnsi" w:hAnsiTheme="minorHAnsi"/>
        </w:rPr>
        <w:t xml:space="preserve">a P2G meghatározásához is használt, </w:t>
      </w:r>
      <w:r w:rsidRPr="006A6890">
        <w:rPr>
          <w:rFonts w:asciiTheme="minorHAnsi" w:hAnsiTheme="minorHAnsi"/>
        </w:rPr>
        <w:t xml:space="preserve">felügyeleti (MNB által végrehajtott) stresszteszt határozza meg. Az MNB e kalkulációban figyelembe veheti az intézmény saját stressztesztjének eredményeit is. A </w:t>
      </w:r>
      <w:r>
        <w:rPr>
          <w:rFonts w:asciiTheme="minorHAnsi" w:hAnsiTheme="minorHAnsi"/>
        </w:rPr>
        <w:t>P2G-LR</w:t>
      </w:r>
      <w:r w:rsidRPr="006A6890">
        <w:rPr>
          <w:rFonts w:asciiTheme="minorHAnsi" w:hAnsiTheme="minorHAnsi"/>
        </w:rPr>
        <w:t xml:space="preserve"> nem része az ICAAP felülvizsgálat során számszerűsített TS</w:t>
      </w:r>
      <w:r>
        <w:rPr>
          <w:rFonts w:asciiTheme="minorHAnsi" w:hAnsiTheme="minorHAnsi"/>
        </w:rPr>
        <w:t>LR</w:t>
      </w:r>
      <w:r w:rsidRPr="006A6890">
        <w:rPr>
          <w:rFonts w:asciiTheme="minorHAnsi" w:hAnsiTheme="minorHAnsi"/>
        </w:rPr>
        <w:t xml:space="preserve">R-nek, és nem tekinthető tőkepuffernek sem. A </w:t>
      </w:r>
      <w:r>
        <w:rPr>
          <w:rFonts w:asciiTheme="minorHAnsi" w:hAnsiTheme="minorHAnsi"/>
        </w:rPr>
        <w:t>P2G-LR</w:t>
      </w:r>
      <w:r w:rsidRPr="006A6890">
        <w:rPr>
          <w:rFonts w:asciiTheme="minorHAnsi" w:hAnsiTheme="minorHAnsi"/>
        </w:rPr>
        <w:t xml:space="preserve"> kiszámításával az MNB az intézmény menedzsmentje felé kommunikálja, hogy értékelése szerint mekkora az a</w:t>
      </w:r>
      <w:r>
        <w:rPr>
          <w:rFonts w:asciiTheme="minorHAnsi" w:hAnsiTheme="minorHAnsi"/>
        </w:rPr>
        <w:t>z</w:t>
      </w:r>
      <w:r w:rsidRPr="006A6890">
        <w:rPr>
          <w:rFonts w:asciiTheme="minorHAnsi" w:hAnsiTheme="minorHAnsi"/>
        </w:rPr>
        <w:t xml:space="preserve"> </w:t>
      </w:r>
      <w:r>
        <w:rPr>
          <w:rFonts w:asciiTheme="minorHAnsi" w:hAnsiTheme="minorHAnsi"/>
        </w:rPr>
        <w:t>OLRR</w:t>
      </w:r>
      <w:r w:rsidRPr="006A6890">
        <w:rPr>
          <w:rFonts w:asciiTheme="minorHAnsi" w:hAnsiTheme="minorHAnsi"/>
        </w:rPr>
        <w:t xml:space="preserve"> felett tartandó minimális szabad tőkeszint, amely az intézmény biztonságos működését biztosítja. Kiszámítása a </w:t>
      </w:r>
      <w:r>
        <w:rPr>
          <w:rFonts w:asciiTheme="minorHAnsi" w:hAnsiTheme="minorHAnsi"/>
        </w:rPr>
        <w:t xml:space="preserve">P2G-hez is használt </w:t>
      </w:r>
      <w:r w:rsidRPr="006A6890">
        <w:rPr>
          <w:rFonts w:asciiTheme="minorHAnsi" w:hAnsiTheme="minorHAnsi"/>
        </w:rPr>
        <w:t xml:space="preserve">stresszteszt keretrendszerében történik, és elsődlegesen azt számszerűsíti, hogy az intézmény </w:t>
      </w:r>
      <w:r>
        <w:rPr>
          <w:rFonts w:asciiTheme="minorHAnsi" w:hAnsiTheme="minorHAnsi"/>
        </w:rPr>
        <w:t>tőkeáttételi mutatója</w:t>
      </w:r>
      <w:r w:rsidRPr="006A6890">
        <w:rPr>
          <w:rFonts w:asciiTheme="minorHAnsi" w:hAnsiTheme="minorHAnsi"/>
        </w:rPr>
        <w:t xml:space="preserve"> (</w:t>
      </w:r>
      <w:r>
        <w:rPr>
          <w:rFonts w:asciiTheme="minorHAnsi" w:hAnsiTheme="minorHAnsi"/>
        </w:rPr>
        <w:t>T1 minőségű tőke / teljes tőkeáttételi kitettség</w:t>
      </w:r>
      <w:r w:rsidRPr="006A6890">
        <w:rPr>
          <w:rFonts w:asciiTheme="minorHAnsi" w:hAnsiTheme="minorHAnsi"/>
        </w:rPr>
        <w:t xml:space="preserve">) milyen mértékben csökken a stresszpálya mentén. </w:t>
      </w:r>
      <w:r>
        <w:rPr>
          <w:rFonts w:asciiTheme="minorHAnsi" w:hAnsiTheme="minorHAnsi"/>
        </w:rPr>
        <w:t>A P2G-LR számszerűsítésekor az MNB egységes módszertan alapján figyelembe vehet olyan nem számszerűsíthető, kvalitatív szempontokat is, melyek az intézmény folyamatos felügyelésének tapasztalataiból származnak.</w:t>
      </w:r>
    </w:p>
    <w:p w14:paraId="7FFFED69" w14:textId="77777777" w:rsidR="008A78E3" w:rsidRDefault="008A78E3" w:rsidP="009667AA">
      <w:pPr>
        <w:rPr>
          <w:rFonts w:asciiTheme="minorHAnsi" w:hAnsiTheme="minorHAnsi"/>
        </w:rPr>
      </w:pPr>
      <w:r>
        <w:rPr>
          <w:rFonts w:asciiTheme="minorHAnsi" w:hAnsiTheme="minorHAnsi"/>
        </w:rPr>
        <w:t xml:space="preserve">A P2G-LR és a V.4 fejezetben leírt P2G módszertan között lényeges különbség, hogy a stresszhatást szemszerűsítő mutató nevezőjében az utóbbinál a kockázattal súlyozott kitettségérték szerepel, míg az előbbinél a kitettségérték számításában a kockázati súlyok alakulása nem gyakorol hatást. </w:t>
      </w:r>
    </w:p>
    <w:p w14:paraId="7FFFED6A" w14:textId="77777777" w:rsidR="008A78E3" w:rsidRPr="00E87D60" w:rsidRDefault="008A78E3" w:rsidP="00E87D60">
      <w:pPr>
        <w:rPr>
          <w:rFonts w:asciiTheme="minorHAnsi" w:hAnsiTheme="minorHAnsi"/>
        </w:rPr>
      </w:pPr>
      <w:r w:rsidRPr="00E87D60">
        <w:rPr>
          <w:rFonts w:asciiTheme="minorHAnsi" w:hAnsiTheme="minorHAnsi"/>
        </w:rPr>
        <w:t xml:space="preserve">A </w:t>
      </w:r>
      <w:r>
        <w:rPr>
          <w:rFonts w:asciiTheme="minorHAnsi" w:hAnsiTheme="minorHAnsi"/>
        </w:rPr>
        <w:t>túlzott tőkeáttétel kockázatához</w:t>
      </w:r>
      <w:r w:rsidRPr="00E87D60">
        <w:rPr>
          <w:rFonts w:asciiTheme="minorHAnsi" w:hAnsiTheme="minorHAnsi"/>
        </w:rPr>
        <w:t xml:space="preserve"> kapcsolódó tőkeajánlást az EBA SREP </w:t>
      </w:r>
      <w:r>
        <w:rPr>
          <w:rFonts w:asciiTheme="minorHAnsi" w:hAnsiTheme="minorHAnsi"/>
        </w:rPr>
        <w:t>a</w:t>
      </w:r>
      <w:r w:rsidRPr="00E87D60">
        <w:rPr>
          <w:rFonts w:asciiTheme="minorHAnsi" w:hAnsiTheme="minorHAnsi"/>
        </w:rPr>
        <w:t>jánlásával összhangban minimum T1 minőségű tőkével szükséges teljesíteni, de az MNB indokolt esetben elvárhatja ennél magasabb minőségű tőke biztosítását is.</w:t>
      </w:r>
    </w:p>
    <w:p w14:paraId="7FFFED6B" w14:textId="77777777" w:rsidR="008A78E3" w:rsidRPr="0055569D" w:rsidRDefault="008A78E3" w:rsidP="009F4CDA">
      <w:pPr>
        <w:pStyle w:val="Cmsor2"/>
      </w:pPr>
      <w:bookmarkStart w:id="1293" w:name="_Toc58512279"/>
      <w:bookmarkStart w:id="1294" w:name="_Toc158036703"/>
      <w:bookmarkEnd w:id="1258"/>
      <w:bookmarkEnd w:id="1259"/>
      <w:bookmarkEnd w:id="1260"/>
      <w:bookmarkEnd w:id="1261"/>
      <w:bookmarkEnd w:id="1262"/>
      <w:bookmarkEnd w:id="1263"/>
      <w:bookmarkEnd w:id="1264"/>
      <w:bookmarkEnd w:id="1265"/>
      <w:bookmarkEnd w:id="1266"/>
      <w:bookmarkEnd w:id="1283"/>
      <w:bookmarkEnd w:id="1287"/>
      <w:bookmarkEnd w:id="1288"/>
      <w:bookmarkEnd w:id="1289"/>
      <w:bookmarkEnd w:id="1290"/>
      <w:bookmarkEnd w:id="1291"/>
      <w:r w:rsidRPr="0055569D">
        <w:t xml:space="preserve">Tőkekövetelmény </w:t>
      </w:r>
      <w:r>
        <w:t xml:space="preserve">és tőkeajánlás </w:t>
      </w:r>
      <w:r w:rsidRPr="0055569D">
        <w:t>meghatározása</w:t>
      </w:r>
      <w:bookmarkEnd w:id="1293"/>
      <w:bookmarkEnd w:id="1294"/>
    </w:p>
    <w:p w14:paraId="7FFFED6C" w14:textId="77777777" w:rsidR="008A78E3" w:rsidRPr="006A6890" w:rsidRDefault="008A78E3" w:rsidP="00EA0541">
      <w:pPr>
        <w:rPr>
          <w:rFonts w:asciiTheme="minorHAnsi" w:hAnsiTheme="minorHAnsi"/>
        </w:rPr>
      </w:pPr>
      <w:r w:rsidRPr="006A6890">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 – a jogszabályi keretek figyelembe vétele mellett. </w:t>
      </w:r>
      <w:bookmarkStart w:id="1295" w:name="_Módszertani_szabadság_indokolási"/>
      <w:bookmarkEnd w:id="1295"/>
    </w:p>
    <w:p w14:paraId="7FFFED6D" w14:textId="77777777" w:rsidR="008A78E3" w:rsidRPr="006A6890" w:rsidRDefault="008A78E3" w:rsidP="00181755">
      <w:pPr>
        <w:pStyle w:val="Cmsor3"/>
        <w:rPr>
          <w:rFonts w:asciiTheme="minorHAnsi" w:hAnsiTheme="minorHAnsi"/>
        </w:rPr>
      </w:pPr>
      <w:bookmarkStart w:id="1296" w:name="_Különbségek_az_alkalmazott"/>
      <w:bookmarkStart w:id="1297" w:name="_Toc378592068"/>
      <w:bookmarkStart w:id="1298" w:name="_Toc461095241"/>
      <w:bookmarkStart w:id="1299" w:name="_Toc461179897"/>
      <w:bookmarkStart w:id="1300" w:name="_Toc461201341"/>
      <w:bookmarkStart w:id="1301" w:name="_Toc461548042"/>
      <w:bookmarkStart w:id="1302" w:name="_Toc462402082"/>
      <w:bookmarkStart w:id="1303" w:name="_Toc462403207"/>
      <w:bookmarkStart w:id="1304" w:name="_Toc462403531"/>
      <w:bookmarkStart w:id="1305" w:name="_Toc468180650"/>
      <w:bookmarkStart w:id="1306" w:name="_Toc468181131"/>
      <w:bookmarkStart w:id="1307" w:name="_Toc468191478"/>
      <w:bookmarkStart w:id="1308" w:name="_Toc45119997"/>
      <w:bookmarkStart w:id="1309" w:name="_Toc58512280"/>
      <w:bookmarkStart w:id="1310" w:name="_Toc158036704"/>
      <w:bookmarkEnd w:id="1296"/>
      <w:r w:rsidRPr="006A6890">
        <w:rPr>
          <w:rFonts w:asciiTheme="minorHAnsi" w:hAnsiTheme="minorHAnsi"/>
        </w:rPr>
        <w:t>Különbségek az alkalmazott módszerek kifinomultságában</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7FFFED6E" w14:textId="77777777" w:rsidR="008A78E3" w:rsidRPr="006A6890" w:rsidRDefault="008A78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7FFFED6F" w14:textId="77777777" w:rsidR="008A78E3" w:rsidRPr="006A6890" w:rsidRDefault="008A78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kisebb és egyszerűbb intézmények esetén a kifinomult és bonyolult tőkekövetelmény-számítási módszerek alkalmazása nem elvárás),</w:t>
      </w:r>
    </w:p>
    <w:p w14:paraId="7FFFED70" w14:textId="77777777" w:rsidR="008A78E3" w:rsidRPr="006A6890" w:rsidRDefault="008A78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p>
    <w:p w14:paraId="7FFFED71" w14:textId="77777777" w:rsidR="008A78E3" w:rsidRPr="006A6890" w:rsidRDefault="008A78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modelleket, amelyek kellő elsajátításához nem volt kellő kapacitása/ideje. (Ez szorosan összefügg az első ponttal: a nagyobb intézményeknek általában nagyobb erőforrások állnak rendelkezésére.),</w:t>
      </w:r>
    </w:p>
    <w:p w14:paraId="7FFFED72"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7FFFED73" w14:textId="77777777" w:rsidR="008A78E3" w:rsidRPr="006A6890" w:rsidRDefault="008A78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7FFFED74" w14:textId="77777777" w:rsidR="008A78E3" w:rsidRPr="006A6890" w:rsidRDefault="008A78E3" w:rsidP="00EA0541">
      <w:pPr>
        <w:rPr>
          <w:rFonts w:asciiTheme="minorHAnsi" w:hAnsiTheme="minorHAnsi"/>
        </w:rPr>
      </w:pPr>
      <w:r w:rsidRPr="006A6890">
        <w:rPr>
          <w:rFonts w:asciiTheme="minorHAnsi" w:hAnsiTheme="minorHAnsi"/>
        </w:rPr>
        <w:t>A komplexebb kockázati profillal rendelkező intézmények esetében elképzelhető, hogy az összes lényeges kockázat tőkeszükségletét belső modellel határozzák meg – függetlenül attól, melyik pillérhez tartoznak.</w:t>
      </w:r>
    </w:p>
    <w:p w14:paraId="7FFFED75" w14:textId="77777777" w:rsidR="008A78E3" w:rsidRPr="006A6890" w:rsidRDefault="008A78E3" w:rsidP="00181755">
      <w:pPr>
        <w:pStyle w:val="Cmsor3"/>
        <w:rPr>
          <w:rFonts w:asciiTheme="minorHAnsi" w:hAnsiTheme="minorHAnsi"/>
        </w:rPr>
      </w:pPr>
      <w:bookmarkStart w:id="1311" w:name="_Lehetséges_módszertani_eltérések"/>
      <w:bookmarkStart w:id="1312" w:name="_Toc378592069"/>
      <w:bookmarkStart w:id="1313" w:name="_Toc461095242"/>
      <w:bookmarkStart w:id="1314" w:name="_Toc461179898"/>
      <w:bookmarkStart w:id="1315" w:name="_Toc461201342"/>
      <w:bookmarkStart w:id="1316" w:name="_Toc461548043"/>
      <w:bookmarkStart w:id="1317" w:name="_Toc462402083"/>
      <w:bookmarkStart w:id="1318" w:name="_Toc462403208"/>
      <w:bookmarkStart w:id="1319" w:name="_Toc462403532"/>
      <w:bookmarkStart w:id="1320" w:name="_Toc468180651"/>
      <w:bookmarkStart w:id="1321" w:name="_Toc468181132"/>
      <w:bookmarkStart w:id="1322" w:name="_Toc468191479"/>
      <w:bookmarkStart w:id="1323" w:name="_Toc45119998"/>
      <w:bookmarkStart w:id="1324" w:name="_Toc58512281"/>
      <w:bookmarkStart w:id="1325" w:name="_Toc158036705"/>
      <w:bookmarkEnd w:id="1311"/>
      <w:r w:rsidRPr="006A6890">
        <w:rPr>
          <w:rFonts w:asciiTheme="minorHAnsi" w:hAnsiTheme="minorHAnsi"/>
        </w:rPr>
        <w:t>Lehetséges eltérések az 1. és 2. pillér között</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7FFFED76" w14:textId="77777777" w:rsidR="008A78E3" w:rsidRPr="006A6890" w:rsidRDefault="008A78E3" w:rsidP="00EA0541">
      <w:pPr>
        <w:rPr>
          <w:rFonts w:asciiTheme="minorHAnsi" w:hAnsiTheme="minorHAnsi"/>
        </w:rPr>
      </w:pPr>
      <w:r w:rsidRPr="006A6890">
        <w:rPr>
          <w:rFonts w:asciiTheme="minorHAnsi" w:hAnsiTheme="minorHAnsi"/>
        </w:rPr>
        <w:t>Ugyanazon (1. pillérbeli) kockázatok 1. és 2. pillérbeli kezelése eltérhet egymástól. Az MNB a 2. pillérbeli kockázatkezelésnél alapvetően az 1. pilléreshez képest kifinomultabb megközelítés, fejlettebb módszerek alkalmazását tartja szükségesnek. Elképzelhető például, hogy egy intézmény portfóliómodellt (pl. Creditmetrics, Creditrisk+) alkalmaz a 2. pillérben az 1. pillér portfólió-független megközelítése helyett</w:t>
      </w:r>
      <w:r>
        <w:rPr>
          <w:rFonts w:asciiTheme="minorHAnsi" w:hAnsiTheme="minorHAnsi"/>
          <w:vertAlign w:val="superscript"/>
        </w:rPr>
        <w:footnoteReference w:id="113"/>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határozza meg, míg az 1. pillérben (a szabályozói tőkekövetelmény-számításra) a sztenderd módszert alkalmazza.</w:t>
      </w:r>
    </w:p>
    <w:p w14:paraId="7FFFED77" w14:textId="77777777" w:rsidR="008A78E3" w:rsidRPr="006A6890" w:rsidRDefault="008A78E3" w:rsidP="00EA0541">
      <w:pPr>
        <w:rPr>
          <w:rFonts w:asciiTheme="minorHAnsi" w:hAnsiTheme="minorHAnsi"/>
        </w:rPr>
      </w:pPr>
      <w:r w:rsidRPr="006A6890">
        <w:rPr>
          <w:rFonts w:asciiTheme="minorHAnsi" w:hAnsiTheme="minorHAnsi"/>
        </w:rPr>
        <w:t>A módszerválasztás szabadsága azonban nem csak a tőkekövetelmény meghatározására szolgáló módszerek megválasztásának szabadságát jelenti, hanem a megközelítés, és a kockázati mérőszám megválasztásának szabadságát is. A 2. pilléres tőkeszámítási módszerre – azon kívül, hogy szempontokat ad arra, hogy milyen kockázatokat kell figyelembe venni – a CRD, illetve a CRR nem tartalmaz előírást vagy ajánlást, sőt kifejezetten a módszertani sokszínűséget hangsúlyozza. Ennek indoka nem kis mértékben az a törekvés, hogy ha egy intézmény az eddigiekben már az új előírásoknak lényegében megfelelő tőkekövetelmény számítási módszereket alkalmazott (amely elsősorban a fejlettebb intézmények esetén jellemző), akkor ezeket ne kelljen pusztán a CRD, CRR bevezetésének következtében lecserélnie. Ennek a szabadságnak azonban (a CRD és a CRR alapfilozófiájának megfelelően) ára van: az intézménynek meg kell tudnia indokolni az MNB számára a módszerválasztás helyességét és indokoltságát.</w:t>
      </w:r>
    </w:p>
    <w:p w14:paraId="7FFFED78" w14:textId="77777777" w:rsidR="008A78E3" w:rsidRPr="006A6890" w:rsidRDefault="008A78E3" w:rsidP="00EA0541">
      <w:pPr>
        <w:rPr>
          <w:rFonts w:asciiTheme="minorHAnsi" w:hAnsiTheme="minorHAnsi"/>
        </w:rPr>
      </w:pPr>
      <w:r w:rsidRPr="006A6890">
        <w:rPr>
          <w:rFonts w:asciiTheme="minorHAnsi" w:hAnsiTheme="minorHAnsi"/>
        </w:rPr>
        <w:t xml:space="preserve">A tőkeszükséglet meghatározásánál vagy a folyamatos üzletmenet (going concern) vagy a felszámolás (gone concern) elvét szokták alkalmazni. </w:t>
      </w:r>
    </w:p>
    <w:p w14:paraId="7FFFED79" w14:textId="77777777" w:rsidR="008A78E3" w:rsidRPr="006A6890" w:rsidRDefault="008A78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7FFFED7A" w14:textId="77777777" w:rsidR="008A78E3" w:rsidRPr="006A6890" w:rsidRDefault="008A78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tőkekövetelmény-számítás időhorizontja között (különösen gyorsan felszámolható portfóliók, mint pl. kereskedési célú portfóliók) esetén, és ez utóbbira vonatkozó tőkeszükséglet levezetéséhez további feltételezésekre van szükség.</w:t>
      </w:r>
    </w:p>
    <w:p w14:paraId="7FFFED7B" w14:textId="77777777" w:rsidR="008A78E3" w:rsidRPr="006A6890" w:rsidRDefault="008A78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7FFFED7C" w14:textId="77777777" w:rsidR="008A78E3" w:rsidRPr="006A6890" w:rsidRDefault="008A78E3" w:rsidP="00EA0541">
      <w:pPr>
        <w:rPr>
          <w:rFonts w:asciiTheme="minorHAnsi" w:hAnsiTheme="minorHAnsi"/>
        </w:rPr>
      </w:pPr>
      <w:r w:rsidRPr="006A6890">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7FFFED7D" w14:textId="77777777" w:rsidR="008A78E3" w:rsidRPr="006A6890" w:rsidRDefault="008A78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Pr>
          <w:rFonts w:asciiTheme="minorHAnsi" w:hAnsiTheme="minorHAnsi"/>
          <w:vertAlign w:val="superscript"/>
        </w:rPr>
        <w:footnoteReference w:id="114"/>
      </w:r>
    </w:p>
    <w:p w14:paraId="7FFFED7E" w14:textId="77777777" w:rsidR="008A78E3" w:rsidRPr="006A6890" w:rsidRDefault="008A78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tőkekövetelmény-számítás során a 99,9%-os konfidencia-szint használatát várja el. Az intézmény az ICAAP során alkalmazhat az 1. pillértől eltérő konfidenciaszintet, azonban ebben az esetben az eredményei nem összehasonlíthatóak. Az összehasonlíthatóságot biztosítania kell az intézménynek, azaz a kockázatonkénti tőkekövetelmény-számítást az 1. pillérben meghatározott konfidencia szinteken is be kell tudni mutatnia.</w:t>
      </w:r>
      <w:r>
        <w:rPr>
          <w:rFonts w:asciiTheme="minorHAnsi" w:hAnsiTheme="minorHAnsi"/>
          <w:vertAlign w:val="superscript"/>
        </w:rPr>
        <w:footnoteReference w:id="115"/>
      </w:r>
      <w:r w:rsidRPr="006A6890">
        <w:rPr>
          <w:rFonts w:asciiTheme="minorHAnsi" w:hAnsiTheme="minorHAnsi"/>
        </w:rPr>
        <w:t xml:space="preserve"> Magasabb konfidencia szint alkalmazása konzervatívabb szemléletet tükröz, ezt az MNB elfogadja az 1. pillérrel történő összehasonlítás során. </w:t>
      </w:r>
    </w:p>
    <w:p w14:paraId="7FFFED7F" w14:textId="77777777" w:rsidR="008A78E3" w:rsidRPr="006A6890" w:rsidRDefault="008A78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1. pillérbeli tartási időkülönbségek). </w:t>
      </w:r>
    </w:p>
    <w:p w14:paraId="7FFFED80" w14:textId="77777777" w:rsidR="008A78E3" w:rsidRPr="006A6890" w:rsidRDefault="008A78E3" w:rsidP="00EA0541">
      <w:pPr>
        <w:rPr>
          <w:rFonts w:asciiTheme="minorHAnsi" w:hAnsiTheme="minorHAnsi"/>
        </w:rPr>
      </w:pPr>
      <w:r w:rsidRPr="006A6890">
        <w:rPr>
          <w:rFonts w:asciiTheme="minorHAnsi" w:hAnsiTheme="minorHAnsi"/>
        </w:rPr>
        <w:t xml:space="preserve">Figyelembe kell venni, hogy amellett, hogy az intézményeknek az adott módszerek választását megfelelő érvekkel alá kell tudniuk támasztani, be kell tudniuk mutatni a saját tőkekövetelmény-számítás és az 1. pillérbeli tőkekövetelmény közötti kapcsolatokat is. Ez a feladat pedig annál bonyolultabb, minél messzebb van a 2. pillérben alkalmazott megközelítés az 1. pillérbelitől. Ennek megfelelően elvárható, hogy az intézmények meg tudják indokolni a két pillérbeli definíciók közötti eltéréseket. </w:t>
      </w:r>
    </w:p>
    <w:p w14:paraId="7FFFED81" w14:textId="77777777" w:rsidR="008A78E3" w:rsidRPr="006A6890" w:rsidRDefault="008A78E3" w:rsidP="00EA0541">
      <w:pPr>
        <w:rPr>
          <w:rFonts w:asciiTheme="minorHAnsi" w:hAnsiTheme="minorHAnsi"/>
        </w:rPr>
      </w:pPr>
      <w:r w:rsidRPr="006A6890">
        <w:rPr>
          <w:rFonts w:asciiTheme="minorHAnsi" w:hAnsiTheme="minorHAnsi"/>
        </w:rPr>
        <w:t>A szavatoló tőke definíciójában és összegében a két pillér között nem lehet eltérés, ugyanis az MNB 2015. január 1-jétől már csak a CRR szerint elismerhető szavatoló tőke elemeket fogadja el a 2. pillérben is a kockázatok fedezésére rendelkezésre álló tőkeként a SREP tőkemegfelelés számítása során</w:t>
      </w:r>
      <w:r>
        <w:rPr>
          <w:rStyle w:val="Lbjegyzet-hivatkozs"/>
          <w:rFonts w:asciiTheme="minorHAnsi" w:hAnsiTheme="minorHAnsi"/>
        </w:rPr>
        <w:footnoteReference w:id="116"/>
      </w:r>
      <w:r w:rsidRPr="006A6890">
        <w:rPr>
          <w:rFonts w:asciiTheme="minorHAnsi" w:hAnsiTheme="minorHAnsi"/>
        </w:rPr>
        <w:t>.</w:t>
      </w:r>
    </w:p>
    <w:p w14:paraId="7FFFED82" w14:textId="77777777" w:rsidR="008A78E3" w:rsidRPr="006A6890" w:rsidRDefault="008A78E3" w:rsidP="00181755">
      <w:pPr>
        <w:pStyle w:val="Cmsor3"/>
        <w:rPr>
          <w:rFonts w:asciiTheme="minorHAnsi" w:hAnsiTheme="minorHAnsi"/>
        </w:rPr>
      </w:pPr>
      <w:bookmarkStart w:id="1326" w:name="_Toc378592071"/>
      <w:bookmarkStart w:id="1327" w:name="_Toc461095243"/>
      <w:bookmarkStart w:id="1328" w:name="_Toc461179899"/>
      <w:bookmarkStart w:id="1329" w:name="_Toc461201343"/>
      <w:bookmarkStart w:id="1330" w:name="_Toc461548044"/>
      <w:bookmarkStart w:id="1331" w:name="_Toc462402084"/>
      <w:bookmarkStart w:id="1332" w:name="_Toc462403209"/>
      <w:bookmarkStart w:id="1333" w:name="_Toc462403533"/>
      <w:bookmarkStart w:id="1334" w:name="_Toc468180652"/>
      <w:bookmarkStart w:id="1335" w:name="_Toc468181133"/>
      <w:bookmarkStart w:id="1336" w:name="_Toc468191480"/>
      <w:bookmarkStart w:id="1337" w:name="_Toc45119999"/>
      <w:bookmarkStart w:id="1338" w:name="_Toc58512282"/>
      <w:bookmarkStart w:id="1339" w:name="_Toc158036706"/>
      <w:r w:rsidRPr="006A6890">
        <w:rPr>
          <w:rFonts w:asciiTheme="minorHAnsi" w:hAnsiTheme="minorHAnsi"/>
        </w:rPr>
        <w:t>Tőkeallokáció</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7FFFED83" w14:textId="77777777" w:rsidR="008A78E3" w:rsidRPr="006A6890" w:rsidRDefault="008A78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tőkekövetelmény-számítással szemben. Amennyiben az allokáció teljesítményméréshez, illetve árazáshoz kapcsolódik, az azt jelenti, hogy az intézmény a tőkekövetelmény-számítást komolyan veszi, mindennapi gyakorlatában is alkalmazza (use teszt). Ezt az MNB lényeges szempontnak ítéli meg a tőkekövetelmény-számítás realitásának, megbízhatóságának megítélésében.</w:t>
      </w:r>
      <w:r>
        <w:rPr>
          <w:rFonts w:asciiTheme="minorHAnsi" w:hAnsiTheme="minorHAnsi"/>
          <w:vertAlign w:val="superscript"/>
        </w:rPr>
        <w:footnoteReference w:id="117"/>
      </w:r>
    </w:p>
    <w:p w14:paraId="7FFFED84" w14:textId="77777777" w:rsidR="008A78E3" w:rsidRPr="006A6890" w:rsidRDefault="008A78E3" w:rsidP="00181755">
      <w:pPr>
        <w:pStyle w:val="Cmsor3"/>
        <w:rPr>
          <w:rFonts w:asciiTheme="minorHAnsi" w:hAnsiTheme="minorHAnsi"/>
        </w:rPr>
      </w:pPr>
      <w:bookmarkStart w:id="1340" w:name="_A_tőkekövetelmények_aggregálása,"/>
      <w:bookmarkStart w:id="1341" w:name="_Toc461095244"/>
      <w:bookmarkStart w:id="1342" w:name="_Toc461179900"/>
      <w:bookmarkStart w:id="1343" w:name="_Toc461201344"/>
      <w:bookmarkStart w:id="1344" w:name="_Toc461548045"/>
      <w:bookmarkStart w:id="1345" w:name="_Toc462402085"/>
      <w:bookmarkStart w:id="1346" w:name="_Toc462403210"/>
      <w:bookmarkStart w:id="1347" w:name="_Toc462403534"/>
      <w:bookmarkStart w:id="1348" w:name="_Toc468180653"/>
      <w:bookmarkStart w:id="1349" w:name="_Toc468181134"/>
      <w:bookmarkStart w:id="1350" w:name="_Toc468191481"/>
      <w:bookmarkStart w:id="1351" w:name="_Toc45120000"/>
      <w:bookmarkStart w:id="1352" w:name="_Toc58512283"/>
      <w:bookmarkStart w:id="1353" w:name="_Toc158036707"/>
      <w:bookmarkEnd w:id="1340"/>
      <w:r w:rsidRPr="006A6890">
        <w:rPr>
          <w:rFonts w:asciiTheme="minorHAnsi" w:hAnsiTheme="minorHAnsi"/>
        </w:rPr>
        <w:t>A tőkeszükséglet megállapítása a felügyeleti felülvizsgálat után</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7FFFED85" w14:textId="77777777" w:rsidR="008A78E3" w:rsidRPr="006A6890" w:rsidRDefault="008A78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7FFFED86" w14:textId="77777777" w:rsidR="008A78E3" w:rsidRPr="006A6890" w:rsidRDefault="008A78E3" w:rsidP="00181755">
      <w:pPr>
        <w:pStyle w:val="felsorolsos"/>
        <w:rPr>
          <w:rFonts w:asciiTheme="minorHAnsi" w:hAnsiTheme="minorHAnsi"/>
        </w:rPr>
      </w:pPr>
      <w:r w:rsidRPr="006A6890">
        <w:rPr>
          <w:rFonts w:asciiTheme="minorHAnsi" w:hAnsiTheme="minorHAnsi"/>
        </w:rPr>
        <w:t>meghatározza a pótlólagos többlet-tőkekövetelményeket, a 2. pilléres tőkekövetelmény meghatározása során az ún. Pillér 1+ módszert figyelembe véve,</w:t>
      </w:r>
    </w:p>
    <w:p w14:paraId="7FFFED87" w14:textId="77777777" w:rsidR="008A78E3" w:rsidRPr="006A6890" w:rsidRDefault="008A78E3" w:rsidP="00181755">
      <w:pPr>
        <w:pStyle w:val="felsorolsos"/>
        <w:rPr>
          <w:rFonts w:asciiTheme="minorHAnsi" w:hAnsiTheme="minorHAnsi"/>
        </w:rPr>
      </w:pPr>
      <w:r w:rsidRPr="006A6890">
        <w:rPr>
          <w:rFonts w:asciiTheme="minorHAnsi" w:hAnsiTheme="minorHAnsi"/>
        </w:rPr>
        <w:t>megteremti az összhangot a pótlólagos többlet-tőkekövetelmények, a kötelezően tartandó pufferek és az esetlegesen még figyelembe veendő makroprudenciális előírások között,</w:t>
      </w:r>
    </w:p>
    <w:p w14:paraId="7FFFED88" w14:textId="77777777" w:rsidR="008A78E3" w:rsidRPr="00042FD6" w:rsidRDefault="008A78E3" w:rsidP="00181755">
      <w:pPr>
        <w:pStyle w:val="felsorolsos"/>
        <w:rPr>
          <w:rFonts w:asciiTheme="minorHAnsi" w:hAnsiTheme="minorHAnsi"/>
        </w:rPr>
      </w:pPr>
      <w:r w:rsidRPr="006A6890">
        <w:rPr>
          <w:rFonts w:asciiTheme="minorHAnsi" w:hAnsiTheme="minorHAnsi"/>
        </w:rPr>
        <w:t>meghatározza és kommunikálja a SREP tőkekövetelményt (TSCR)</w:t>
      </w:r>
      <w:r>
        <w:rPr>
          <w:rFonts w:asciiTheme="minorHAnsi" w:hAnsiTheme="minorHAnsi"/>
        </w:rPr>
        <w:t xml:space="preserve"> és</w:t>
      </w:r>
      <w:r w:rsidRPr="006A6890">
        <w:rPr>
          <w:rFonts w:asciiTheme="minorHAnsi" w:hAnsiTheme="minorHAnsi"/>
        </w:rPr>
        <w:t xml:space="preserve"> a SREP tőkekövetelmény mutatót</w:t>
      </w:r>
      <w:r>
        <w:rPr>
          <w:rFonts w:asciiTheme="minorHAnsi" w:hAnsiTheme="minorHAnsi"/>
        </w:rPr>
        <w:t xml:space="preserve"> az ICAAP+ szabály figyelembe vételével</w:t>
      </w:r>
      <w:r w:rsidRPr="006A6890">
        <w:rPr>
          <w:rFonts w:asciiTheme="minorHAnsi" w:hAnsiTheme="minorHAnsi"/>
        </w:rPr>
        <w:t xml:space="preserve">, </w:t>
      </w:r>
      <w:r>
        <w:rPr>
          <w:rFonts w:asciiTheme="minorHAnsi" w:hAnsiTheme="minorHAnsi"/>
        </w:rPr>
        <w:t>valamint megállapítja</w:t>
      </w:r>
      <w:r w:rsidRPr="006A6890">
        <w:rPr>
          <w:rFonts w:asciiTheme="minorHAnsi" w:hAnsiTheme="minorHAnsi"/>
        </w:rPr>
        <w:t xml:space="preserve"> a teljes tőkekövetelményt (OCR),</w:t>
      </w:r>
    </w:p>
    <w:p w14:paraId="7FFFED89" w14:textId="77777777" w:rsidR="008A78E3" w:rsidRPr="00106851" w:rsidRDefault="008A78E3" w:rsidP="00106851">
      <w:pPr>
        <w:pStyle w:val="felsorolsos"/>
        <w:rPr>
          <w:rFonts w:asciiTheme="minorHAnsi" w:hAnsiTheme="minorHAnsi"/>
        </w:rPr>
      </w:pPr>
      <w:r w:rsidRPr="006A6890">
        <w:rPr>
          <w:rFonts w:asciiTheme="minorHAnsi" w:hAnsiTheme="minorHAnsi"/>
        </w:rPr>
        <w:t xml:space="preserve">meghatározza és kommunikálja a </w:t>
      </w:r>
      <w:r>
        <w:rPr>
          <w:rFonts w:asciiTheme="minorHAnsi" w:hAnsiTheme="minorHAnsi"/>
        </w:rPr>
        <w:t xml:space="preserve">teljes </w:t>
      </w:r>
      <w:r w:rsidRPr="00D15EC2">
        <w:t>SREP tőkeáttételimutató-követelmény</w:t>
      </w:r>
      <w:r>
        <w:t xml:space="preserve">t </w:t>
      </w:r>
      <w:r w:rsidRPr="006A6890">
        <w:rPr>
          <w:rFonts w:asciiTheme="minorHAnsi" w:hAnsiTheme="minorHAnsi"/>
        </w:rPr>
        <w:t>(TS</w:t>
      </w:r>
      <w:r>
        <w:rPr>
          <w:rFonts w:asciiTheme="minorHAnsi" w:hAnsiTheme="minorHAnsi"/>
        </w:rPr>
        <w:t>LR</w:t>
      </w:r>
      <w:r w:rsidRPr="006A6890">
        <w:rPr>
          <w:rFonts w:asciiTheme="minorHAnsi" w:hAnsiTheme="minorHAnsi"/>
        </w:rPr>
        <w:t>R)</w:t>
      </w:r>
      <w:r>
        <w:rPr>
          <w:rFonts w:asciiTheme="minorHAnsi" w:hAnsiTheme="minorHAnsi"/>
        </w:rPr>
        <w:t xml:space="preserve"> és</w:t>
      </w:r>
      <w:r w:rsidRPr="006A6890">
        <w:rPr>
          <w:rFonts w:asciiTheme="minorHAnsi" w:hAnsiTheme="minorHAnsi"/>
        </w:rPr>
        <w:t xml:space="preserve"> a</w:t>
      </w:r>
      <w:r>
        <w:rPr>
          <w:rFonts w:asciiTheme="minorHAnsi" w:hAnsiTheme="minorHAnsi"/>
        </w:rPr>
        <w:t xml:space="preserve"> kapcsolódó</w:t>
      </w:r>
      <w:r w:rsidRPr="006A6890">
        <w:rPr>
          <w:rFonts w:asciiTheme="minorHAnsi" w:hAnsiTheme="minorHAnsi"/>
        </w:rPr>
        <w:t xml:space="preserve"> </w:t>
      </w:r>
      <w:r w:rsidRPr="00481ABC">
        <w:rPr>
          <w:rFonts w:asciiTheme="minorHAnsi" w:hAnsiTheme="minorHAnsi"/>
        </w:rPr>
        <w:t xml:space="preserve">a tőkeáttételre vonatkozó teljes követelményt </w:t>
      </w:r>
      <w:r w:rsidRPr="006A6890">
        <w:rPr>
          <w:rFonts w:asciiTheme="minorHAnsi" w:hAnsiTheme="minorHAnsi"/>
        </w:rPr>
        <w:t>(O</w:t>
      </w:r>
      <w:r>
        <w:rPr>
          <w:rFonts w:asciiTheme="minorHAnsi" w:hAnsiTheme="minorHAnsi"/>
        </w:rPr>
        <w:t>LR</w:t>
      </w:r>
      <w:r w:rsidRPr="006A6890">
        <w:rPr>
          <w:rFonts w:asciiTheme="minorHAnsi" w:hAnsiTheme="minorHAnsi"/>
        </w:rPr>
        <w:t>R),</w:t>
      </w:r>
    </w:p>
    <w:p w14:paraId="7FFFED8A" w14:textId="77777777" w:rsidR="008A78E3" w:rsidRPr="00EC6B0B" w:rsidRDefault="008A78E3" w:rsidP="00EC6B0B">
      <w:pPr>
        <w:pStyle w:val="felsorolsos"/>
        <w:spacing w:after="240"/>
        <w:ind w:left="1066" w:hanging="357"/>
        <w:rPr>
          <w:rFonts w:asciiTheme="minorHAnsi" w:hAnsiTheme="minorHAnsi"/>
        </w:rPr>
      </w:pPr>
      <w:bookmarkStart w:id="1354" w:name="_Toc461095245"/>
      <w:bookmarkStart w:id="1355" w:name="_Toc461179901"/>
      <w:bookmarkStart w:id="1356" w:name="_Toc461201345"/>
      <w:bookmarkStart w:id="1357" w:name="_Toc461548046"/>
      <w:bookmarkStart w:id="1358" w:name="_Toc462402086"/>
      <w:bookmarkStart w:id="1359" w:name="_Toc462403211"/>
      <w:bookmarkStart w:id="1360" w:name="_Toc462403535"/>
      <w:bookmarkStart w:id="1361" w:name="_Toc468180654"/>
      <w:bookmarkStart w:id="1362" w:name="_Toc468181135"/>
      <w:r w:rsidRPr="006A6890">
        <w:rPr>
          <w:rFonts w:asciiTheme="minorHAnsi" w:hAnsiTheme="minorHAnsi"/>
        </w:rPr>
        <w:t>értékeli, hogy a gazdasági ciklus alatt várhatóan elegendő-e (normál és stressz körülmények között) az előírt SREP tőkekövetelmény és a teljes tőkekövetelmény</w:t>
      </w:r>
      <w:r>
        <w:rPr>
          <w:rFonts w:asciiTheme="minorHAnsi" w:hAnsiTheme="minorHAnsi"/>
        </w:rPr>
        <w:t>, valamint a SREP tőkeáttételimutató-követelmény és a teljes tőkeáttételimutató-követelmény</w:t>
      </w:r>
      <w:r w:rsidRPr="006A6890">
        <w:rPr>
          <w:rFonts w:asciiTheme="minorHAnsi" w:hAnsiTheme="minorHAnsi"/>
        </w:rPr>
        <w:t>.</w:t>
      </w:r>
    </w:p>
    <w:p w14:paraId="7FFFED8B" w14:textId="77777777" w:rsidR="008A78E3" w:rsidRPr="006A6890" w:rsidRDefault="008A78E3" w:rsidP="00181755">
      <w:pPr>
        <w:pStyle w:val="Cmsor4"/>
        <w:rPr>
          <w:rFonts w:asciiTheme="minorHAnsi" w:hAnsiTheme="minorHAnsi"/>
        </w:rPr>
      </w:pPr>
      <w:bookmarkStart w:id="1363" w:name="_Toc468191482"/>
      <w:bookmarkStart w:id="1364" w:name="_Toc45120001"/>
      <w:bookmarkStart w:id="1365" w:name="_Toc58512284"/>
      <w:bookmarkStart w:id="1366" w:name="_Toc158036708"/>
      <w:r w:rsidRPr="006A6890">
        <w:rPr>
          <w:rFonts w:asciiTheme="minorHAnsi" w:hAnsiTheme="minorHAnsi"/>
        </w:rPr>
        <w:t>Pótlólagos többlet-tőkekövetelmény meghatározása</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7FFFED8C" w14:textId="77777777" w:rsidR="008A78E3" w:rsidRPr="006A6890" w:rsidRDefault="008A78E3" w:rsidP="00EA0541">
      <w:pPr>
        <w:rPr>
          <w:rFonts w:asciiTheme="minorHAnsi" w:hAnsiTheme="minorHAnsi"/>
        </w:rPr>
      </w:pPr>
      <w:r w:rsidRPr="006A6890">
        <w:rPr>
          <w:rFonts w:asciiTheme="minorHAnsi" w:hAnsiTheme="minorHAnsi"/>
        </w:rPr>
        <w:t>Az MNB a pótlólagos többlet-tőkekövetelményeket úgy határozza meg, hogy fedezzék az intézménynél:</w:t>
      </w:r>
    </w:p>
    <w:p w14:paraId="7FFFED8D" w14:textId="77777777" w:rsidR="008A78E3" w:rsidRPr="006A6890" w:rsidRDefault="008A78E3" w:rsidP="00181755">
      <w:pPr>
        <w:pStyle w:val="felsorolsos"/>
        <w:rPr>
          <w:rFonts w:asciiTheme="minorHAnsi" w:hAnsiTheme="minorHAnsi"/>
        </w:rPr>
      </w:pPr>
      <w:r w:rsidRPr="006A6890">
        <w:rPr>
          <w:rFonts w:asciiTheme="minorHAnsi" w:hAnsiTheme="minorHAnsi"/>
        </w:rPr>
        <w:t>a következő 12 hónap során felmerülő nem várt veszteségeket és a kalkulált várt veszteség és a megképzett értékvesztés közötti különbséget (shortfall-t),</w:t>
      </w:r>
    </w:p>
    <w:p w14:paraId="7FFFED8E" w14:textId="77777777" w:rsidR="008A78E3" w:rsidRPr="006A6890" w:rsidRDefault="008A78E3" w:rsidP="00181755">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alulbecsléséből fakadnak,</w:t>
      </w:r>
    </w:p>
    <w:p w14:paraId="7FFFED8F" w14:textId="77777777" w:rsidR="008A78E3" w:rsidRPr="006A6890" w:rsidRDefault="008A78E3" w:rsidP="00181755">
      <w:pPr>
        <w:pStyle w:val="felsorolsos"/>
        <w:rPr>
          <w:rFonts w:asciiTheme="minorHAnsi" w:hAnsiTheme="minorHAnsi"/>
        </w:rPr>
      </w:pPr>
      <w:r w:rsidRPr="006A6890">
        <w:rPr>
          <w:rFonts w:asciiTheme="minorHAnsi" w:hAnsiTheme="minorHAnsi"/>
        </w:rPr>
        <w:t>azon potenciális kockázatokat, amelyeket az 1. pillérben alkalmazott módszerek nem vagy nem megfelelő módon kezelnek,</w:t>
      </w:r>
    </w:p>
    <w:p w14:paraId="7FFFED90" w14:textId="77777777" w:rsidR="008A78E3" w:rsidRPr="006A6890" w:rsidRDefault="008A78E3"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7FFFED91" w14:textId="77777777" w:rsidR="008A78E3" w:rsidRPr="006A6890" w:rsidRDefault="008A78E3" w:rsidP="00EA0541">
      <w:pPr>
        <w:rPr>
          <w:rFonts w:asciiTheme="minorHAnsi" w:hAnsiTheme="minorHAnsi"/>
        </w:rPr>
      </w:pPr>
      <w:r w:rsidRPr="006A6890">
        <w:rPr>
          <w:rFonts w:asciiTheme="minorHAnsi" w:hAnsiTheme="minorHAnsi"/>
        </w:rPr>
        <w:t>Az MNB által meghatározott, a váratlan kockázatok fedezésére szolgáló pótlólagos többlet-tőkekövetelményeknek az intézményeknek folyamatosan (jellemzően a következő felügyeleti felülvizsgálat lezárásáig) meg kell felelniük. Az MNB a többlet-tőkekövetelményeket kockázatonként határozza meg és ehhez a felügyeleti értékítélet mellett felhasználja az intézményi ICAAP kalkulációt, a felügyeleti benchmark számítások eredményét és a rendelkezésére álló további információkat. A többlet-tőkekövetelmény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elfogadhatónak, akkor a felügyeleti benchmark számításokból indul ki és szükség esetén ezt módosítja a releváns információk alapján.</w:t>
      </w:r>
    </w:p>
    <w:p w14:paraId="7FFFED92" w14:textId="77777777" w:rsidR="008A78E3" w:rsidRPr="006A6890" w:rsidRDefault="008A78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7FFFED93" w14:textId="77777777" w:rsidR="008A78E3" w:rsidRPr="006A6890" w:rsidRDefault="008A78E3" w:rsidP="00655249">
      <w:pPr>
        <w:pStyle w:val="felsorolsos"/>
        <w:ind w:left="1066" w:hanging="357"/>
        <w:rPr>
          <w:rFonts w:asciiTheme="minorHAnsi" w:hAnsiTheme="minorHAnsi"/>
        </w:rPr>
      </w:pPr>
      <w:r w:rsidRPr="006A6890">
        <w:rPr>
          <w:rFonts w:asciiTheme="minorHAnsi" w:hAnsiTheme="minorHAnsi"/>
        </w:rPr>
        <w:t>kellő részletezettség: az alkalmazott módszereknek, eljárásoknak kockázattípusonként és nem csak az összesített kockázat számítására kell alkalmasnak lennie,</w:t>
      </w:r>
    </w:p>
    <w:p w14:paraId="7FFFED94" w14:textId="77777777" w:rsidR="008A78E3" w:rsidRPr="006A6890" w:rsidRDefault="008A78E3" w:rsidP="00655249">
      <w:pPr>
        <w:pStyle w:val="felsorolsos"/>
        <w:ind w:left="1066" w:hanging="357"/>
        <w:rPr>
          <w:rFonts w:asciiTheme="minorHAnsi" w:hAnsiTheme="minorHAnsi"/>
        </w:rPr>
      </w:pPr>
      <w:r w:rsidRPr="006A6890">
        <w:rPr>
          <w:rFonts w:asciiTheme="minorHAnsi" w:hAnsiTheme="minorHAnsi"/>
        </w:rPr>
        <w:t>hitelesség: az alkalmazott módszereknek, számításoknak megfelelőeknek kell lenniük az adott kockázat mérésére, értékelésére és elismert, adekvát modelleken és konzervatív feltételezéseken kell alapulniuk,</w:t>
      </w:r>
    </w:p>
    <w:p w14:paraId="7FFFED95" w14:textId="77777777" w:rsidR="008A78E3" w:rsidRPr="006A6890" w:rsidRDefault="008A78E3" w:rsidP="00655249">
      <w:pPr>
        <w:pStyle w:val="felsorolsos"/>
        <w:ind w:left="1066" w:hanging="357"/>
        <w:rPr>
          <w:rFonts w:asciiTheme="minorHAnsi" w:hAnsiTheme="minorHAnsi"/>
        </w:rPr>
      </w:pPr>
      <w:r w:rsidRPr="006A6890">
        <w:rPr>
          <w:rFonts w:asciiTheme="minorHAnsi" w:hAnsiTheme="minorHAnsi"/>
        </w:rPr>
        <w:t>megalapozottság, érthetőség: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p>
    <w:p w14:paraId="7FFFED96" w14:textId="77777777" w:rsidR="008A78E3" w:rsidRPr="006A6890" w:rsidRDefault="008A78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7FFFED97" w14:textId="77777777" w:rsidR="008A78E3" w:rsidRPr="006A6890" w:rsidRDefault="008A78E3"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miszerint a szabályozói tőkekövetelményt tekinti kockázatonként a minimális tőkeszintnek, és nem fogadja el a többlet-tőkekövetelmény fedezésére a CRR 92. cikke szerint a kockázatok fedezéséhez szükséges szavatoló tőkét sem kockázattípusonként, sem összes tőkekövetelmény szintjén. A Pillér 1+ módszer mind kockázati főkategóriánként (hitelkockázat, működési kockázat, piaci kockázat), mind kockázati alkategóriánként alkalmazandó. Ez utóbbi nyilvánvalóan csak az 1. pillérben kezelt kockázati kategóriák (pl.: </w:t>
      </w:r>
      <w:r>
        <w:rPr>
          <w:rFonts w:asciiTheme="minorHAnsi" w:hAnsiTheme="minorHAnsi"/>
        </w:rPr>
        <w:t xml:space="preserve">hitelezési kockázat, </w:t>
      </w:r>
      <w:r w:rsidRPr="006A6890">
        <w:rPr>
          <w:rFonts w:asciiTheme="minorHAnsi" w:hAnsiTheme="minorHAnsi"/>
        </w:rPr>
        <w:t xml:space="preserve">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állítja be SREP tőkekövetelményként (kivéve, ha egyéb ok miatt többlet-tőkekövetelmény meghatározására kerül sor, melynek következtében a SREP szerinti tőkekövetelmény már meghaladja az 1. pilléres tőkekövetelmény szintjét). </w:t>
      </w:r>
    </w:p>
    <w:p w14:paraId="7FFFED98" w14:textId="77777777" w:rsidR="008A78E3" w:rsidRPr="006A6890" w:rsidRDefault="008A78E3" w:rsidP="00EA0541">
      <w:pPr>
        <w:rPr>
          <w:rFonts w:asciiTheme="minorHAnsi" w:hAnsiTheme="minorHAnsi"/>
        </w:rPr>
      </w:pPr>
      <w:r w:rsidRPr="006A6890">
        <w:rPr>
          <w:rFonts w:asciiTheme="minorHAnsi" w:hAnsiTheme="minorHAnsi"/>
        </w:rPr>
        <w:t>A 2. pillérben az intézmény által meghatározott alacsonyabb tőkekövetelmény hátterében a két pillér közötti módszertani eltérés, illetve a kockázaton belüli diverzifikációs hatás állhat. A CRD 98. cikke (1)(f) előírásainak megfelelően az MNB minden jelentős kockázati kategórián belül értékeli a kockázaton belüli diverzifikációs hatás figyelembevételét a tőkekövetelmény számításban, de a diverzifikációs hatás figyelembe vétele nem eredményezheti az adott kockázatra számított tőkekövetelménynek a CRR 92. cikke szerinti minimális szabályozói tőkekövetelmény alá történő csökkenését.</w:t>
      </w:r>
    </w:p>
    <w:p w14:paraId="7FFFED99" w14:textId="77777777" w:rsidR="008A78E3" w:rsidRPr="006A6890" w:rsidRDefault="008A78E3" w:rsidP="00EA0541">
      <w:pPr>
        <w:rPr>
          <w:rFonts w:asciiTheme="minorHAnsi" w:hAnsiTheme="minorHAnsi"/>
        </w:rPr>
      </w:pPr>
      <w:r w:rsidRPr="006A6890">
        <w:rPr>
          <w:rFonts w:asciiTheme="minorHAnsi" w:hAnsiTheme="minorHAnsi"/>
        </w:rPr>
        <w:t xml:space="preserve">Az EBA SREP Ajánlás alapján a kockázatok közötti diverzifikációs hatás nem vehető figyelembe a 2. pilléres tőkekövetelmény meghatározása során. Ennek megfelelően például a banki könyvi és kereskedési könyvi kockázat közötti diverzifikációs hatás sem ismerhető el. </w:t>
      </w:r>
    </w:p>
    <w:p w14:paraId="7FFFED9A" w14:textId="77777777" w:rsidR="008A78E3" w:rsidRDefault="008A78E3" w:rsidP="00EA0541">
      <w:pPr>
        <w:rPr>
          <w:rFonts w:asciiTheme="minorHAnsi" w:hAnsiTheme="minorHAnsi"/>
        </w:rPr>
      </w:pPr>
      <w:r w:rsidRPr="006A6890">
        <w:rPr>
          <w:rFonts w:asciiTheme="minorHAnsi" w:hAnsiTheme="minorHAnsi"/>
        </w:rPr>
        <w:t>Az MNB úgy határozza meg a pótlólagos többlet-tőkekövetelményeket, hogy azok minden releváns kockázatot megfelelően fedezzenek. Amennyiben az MNB által számított pótlólagos többlet-tőkekövetelmény eltér az intézmény által számított ICAAP eredménytől, akkor az MNB a számításának eredményét indokolja, és párbeszéd formájában megvitatja azt az intézménnyel. Ha az MNB nem egyedi intézmény-specifikus szempontokat vesz csak figyelembe, akkor az alkalmazott módszertant konzekvensen alkalmazza, így biztosítja az egyenszilárdságot az intézmények között.</w:t>
      </w:r>
    </w:p>
    <w:p w14:paraId="7FFFED9B" w14:textId="77777777" w:rsidR="008A78E3" w:rsidRDefault="008A78E3" w:rsidP="00436F5F">
      <w:pPr>
        <w:rPr>
          <w:rFonts w:asciiTheme="minorHAnsi" w:hAnsiTheme="minorHAnsi"/>
        </w:rPr>
      </w:pPr>
      <w:r w:rsidRPr="00436F5F">
        <w:rPr>
          <w:rFonts w:asciiTheme="minorHAnsi" w:hAnsiTheme="minorHAnsi"/>
        </w:rPr>
        <w:t xml:space="preserve">Az MNB célja, hogy a nem kimérhető, számszerűsíthető tényezők, információk is bizonyos mértékben figyelembevételre kerüljenek a SREP tőkekövetelmény meghatározásánál, valamint, hogy a folyamatos felügyelés tapasztalatai is megjelenjenek a tőkeszámításban, ezáltal a SREP tőkekövetelmény és a SREP életképességi (viability) score közötti kapcsolat erősödjön. Ennek megvalósulása érdekében az MNB a kvantitatív módszerekkel meghatározott SREP alatti tőkekövetelményt kvalitatív szempontok alapján módosíthatja. </w:t>
      </w:r>
      <w:bookmarkStart w:id="1367" w:name="_Hlk88647434"/>
      <w:r w:rsidRPr="00436F5F">
        <w:rPr>
          <w:rFonts w:asciiTheme="minorHAnsi" w:hAnsiTheme="minorHAnsi"/>
        </w:rPr>
        <w:t>A kvalitatív tőkekövetelmény-eltérítésben a tőkét fenyegető (hitel és működési) kockázatok esetében elsősorban a kockázati score, P2G esetében többek között az életképességi score kerülhet figyelembevételre</w:t>
      </w:r>
      <w:bookmarkEnd w:id="1367"/>
      <w:r w:rsidRPr="00436F5F">
        <w:rPr>
          <w:rFonts w:asciiTheme="minorHAnsi" w:hAnsiTheme="minorHAnsi"/>
        </w:rPr>
        <w:t>.</w:t>
      </w:r>
      <w:bookmarkStart w:id="1368" w:name="_Toc461095246"/>
      <w:bookmarkStart w:id="1369" w:name="_Toc461179902"/>
      <w:bookmarkStart w:id="1370" w:name="_Toc461201346"/>
      <w:bookmarkStart w:id="1371" w:name="_Toc461548047"/>
      <w:bookmarkStart w:id="1372" w:name="_Toc462402087"/>
      <w:bookmarkStart w:id="1373" w:name="_Toc462403212"/>
      <w:bookmarkStart w:id="1374" w:name="_Toc462403536"/>
      <w:bookmarkStart w:id="1375" w:name="_Toc468180655"/>
      <w:bookmarkStart w:id="1376" w:name="_Toc468181136"/>
      <w:bookmarkStart w:id="1377" w:name="_Toc468191483"/>
      <w:bookmarkStart w:id="1378" w:name="_Toc45120002"/>
      <w:bookmarkStart w:id="1379" w:name="_Toc58512285"/>
      <w:r>
        <w:rPr>
          <w:rFonts w:asciiTheme="minorHAnsi" w:hAnsiTheme="minorHAnsi"/>
        </w:rPr>
        <w:t xml:space="preserve"> </w:t>
      </w:r>
    </w:p>
    <w:p w14:paraId="7FFFED9C" w14:textId="77777777" w:rsidR="008A78E3" w:rsidRPr="00436F5F" w:rsidRDefault="008A78E3" w:rsidP="00345B20">
      <w:pPr>
        <w:rPr>
          <w:rFonts w:asciiTheme="minorHAnsi" w:hAnsiTheme="minorHAnsi"/>
        </w:rPr>
      </w:pPr>
      <w:r w:rsidRPr="00345B20">
        <w:rPr>
          <w:rFonts w:asciiTheme="minorHAnsi" w:hAnsiTheme="minorHAnsi"/>
        </w:rPr>
        <w:t>A</w:t>
      </w:r>
      <w:r>
        <w:rPr>
          <w:rFonts w:asciiTheme="minorHAnsi" w:hAnsiTheme="minorHAnsi"/>
        </w:rPr>
        <w:t>z MNB 2023 májusában közzétett ajánlásában</w:t>
      </w:r>
      <w:r>
        <w:rPr>
          <w:rStyle w:val="Lbjegyzet-hivatkozs"/>
          <w:rFonts w:asciiTheme="minorHAnsi" w:hAnsiTheme="minorHAnsi"/>
        </w:rPr>
        <w:footnoteReference w:id="118"/>
      </w:r>
      <w:r>
        <w:rPr>
          <w:rFonts w:asciiTheme="minorHAnsi" w:hAnsiTheme="minorHAnsi"/>
        </w:rPr>
        <w:t xml:space="preserve"> </w:t>
      </w:r>
      <w:r w:rsidRPr="00345B20">
        <w:rPr>
          <w:rFonts w:asciiTheme="minorHAnsi" w:hAnsiTheme="minorHAnsi"/>
        </w:rPr>
        <w:t>a pénzforgalmi szolgáltatásokon keresztül megfigyelhető visszaélések észleléséhez, megelőzéséhez, megakadályozásához és azok kezeléséhez kapcsolódóan</w:t>
      </w:r>
      <w:r>
        <w:rPr>
          <w:rFonts w:asciiTheme="minorHAnsi" w:hAnsiTheme="minorHAnsi"/>
        </w:rPr>
        <w:t xml:space="preserve"> fogalmazta meg elvárásait, elősegítve ezáltal a jogszabályok által nem rendezett kérdésekben is az egységes gyakorlat kialakítását. Az ajánlásban foglaltak érintett intézmények általi implementációjának színvonalát és a kibervédelmi intézkedések megfelelőségét az MNB belső szempontrendszer alapján értékeli, amely értékelés alapján a 2025-től kezdődő ICAAP felülvizsgálatok során második pilléres többlet-tőkekövetelményt is előírhat.</w:t>
      </w:r>
    </w:p>
    <w:p w14:paraId="7FFFED9D" w14:textId="77777777" w:rsidR="008A78E3" w:rsidRPr="006A6890" w:rsidRDefault="008A78E3" w:rsidP="00181755">
      <w:pPr>
        <w:pStyle w:val="Cmsor4"/>
        <w:rPr>
          <w:rFonts w:asciiTheme="minorHAnsi" w:hAnsiTheme="minorHAnsi"/>
        </w:rPr>
      </w:pPr>
      <w:bookmarkStart w:id="1380" w:name="_Toc158036709"/>
      <w:r w:rsidRPr="006A6890">
        <w:rPr>
          <w:rFonts w:asciiTheme="minorHAnsi" w:hAnsiTheme="minorHAnsi"/>
        </w:rPr>
        <w:t>SREP tőkekövetelmény (TSCR)</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7FFFED9E" w14:textId="77777777" w:rsidR="008A78E3" w:rsidRPr="00D22CF9" w:rsidRDefault="008A78E3" w:rsidP="00D22CF9">
      <w:pPr>
        <w:rPr>
          <w:rFonts w:asciiTheme="minorHAnsi" w:hAnsiTheme="minorHAnsi"/>
          <w:b/>
        </w:rPr>
      </w:pPr>
      <w:r w:rsidRPr="00D22CF9">
        <w:rPr>
          <w:rFonts w:asciiTheme="minorHAnsi" w:hAnsiTheme="minorHAnsi"/>
          <w:b/>
        </w:rPr>
        <w:t>A SREP tőkekövetelményt (TSCR) az MNB a Pillér 1+ módszer alapján a következő összetevők összegeként határozza meg:</w:t>
      </w:r>
    </w:p>
    <w:p w14:paraId="7FFFED9F" w14:textId="77777777" w:rsidR="008A78E3" w:rsidRPr="006A6890" w:rsidRDefault="008A78E3" w:rsidP="00780492">
      <w:pPr>
        <w:numPr>
          <w:ilvl w:val="0"/>
          <w:numId w:val="10"/>
        </w:numPr>
        <w:rPr>
          <w:rFonts w:asciiTheme="minorHAnsi" w:hAnsiTheme="minorHAnsi"/>
          <w:b/>
        </w:rPr>
      </w:pPr>
      <w:r w:rsidRPr="006A6890">
        <w:rPr>
          <w:rFonts w:asciiTheme="minorHAnsi" w:hAnsiTheme="minorHAnsi"/>
          <w:b/>
        </w:rPr>
        <w:t>a CRR 92. cikkében meghatározott szabályozói minimum tőkekövetelmény összege</w:t>
      </w:r>
    </w:p>
    <w:p w14:paraId="7FFFEDA0" w14:textId="77777777" w:rsidR="008A78E3" w:rsidRPr="006A6890" w:rsidRDefault="008A78E3" w:rsidP="00780492">
      <w:pPr>
        <w:numPr>
          <w:ilvl w:val="0"/>
          <w:numId w:val="10"/>
        </w:numPr>
        <w:rPr>
          <w:rFonts w:asciiTheme="minorHAnsi" w:hAnsiTheme="minorHAnsi"/>
          <w:b/>
        </w:rPr>
      </w:pPr>
      <w:r w:rsidRPr="006A6890">
        <w:rPr>
          <w:rFonts w:asciiTheme="minorHAnsi" w:hAnsiTheme="minorHAnsi"/>
          <w:b/>
        </w:rPr>
        <w:t>és a SREP keretében megállapított pótlólagos többlet-tőkekövetelmények, valamint – amennyiben szükséges – a különböző kockázattípusoknál együttesen jelentkező, lényeges koncentrációk fedezéséhez meghatározott pótlólagos tőkekövetelmény összege.</w:t>
      </w:r>
    </w:p>
    <w:p w14:paraId="7FFFEDA1" w14:textId="77777777" w:rsidR="008A78E3" w:rsidRPr="00D22CF9" w:rsidRDefault="008A78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SREP tőkekövetelményt a teljes kockázati kitettség érték (TREA) százalékában adja meg. </w:t>
      </w:r>
    </w:p>
    <w:p w14:paraId="7FFFEDA2" w14:textId="77777777" w:rsidR="008A78E3" w:rsidRPr="00CD1B46" w:rsidRDefault="008A78E3" w:rsidP="00D22CF9">
      <w:pPr>
        <w:rPr>
          <w:rFonts w:asciiTheme="minorHAnsi" w:hAnsiTheme="minorHAnsi"/>
          <w:b/>
          <w:bCs/>
        </w:rPr>
      </w:pPr>
      <w:r w:rsidRPr="00CD1B46">
        <w:rPr>
          <w:rFonts w:asciiTheme="minorHAnsi" w:hAnsiTheme="minorHAnsi"/>
          <w:b/>
          <w:bCs/>
        </w:rPr>
        <w:t>Az MNB a TSCR ráta meghatározásakor az ICAAP+ módszertant követi, melynek megfelelően a hitelintézet által ICAAP alatt meghatározott tőkeszükségletet alsó korlátnak tekinti</w:t>
      </w:r>
      <w:r>
        <w:rPr>
          <w:rStyle w:val="Lbjegyzet-hivatkozs"/>
          <w:rFonts w:asciiTheme="minorHAnsi" w:hAnsiTheme="minorHAnsi"/>
          <w:b/>
          <w:bCs/>
        </w:rPr>
        <w:footnoteReference w:id="119"/>
      </w:r>
      <w:r w:rsidRPr="00CD1B46">
        <w:rPr>
          <w:rFonts w:asciiTheme="minorHAnsi" w:hAnsiTheme="minorHAnsi"/>
          <w:b/>
          <w:bCs/>
        </w:rPr>
        <w:t>. Az ICAAP tőkekövetelmény szintje alá csak az MNB által nyújtott tőkekövetelmény-kedvezmények</w:t>
      </w:r>
      <w:r>
        <w:rPr>
          <w:rStyle w:val="Lbjegyzet-hivatkozs"/>
          <w:rFonts w:asciiTheme="minorHAnsi" w:hAnsiTheme="minorHAnsi"/>
          <w:b/>
          <w:bCs/>
        </w:rPr>
        <w:footnoteReference w:id="120"/>
      </w:r>
      <w:r w:rsidRPr="00CD1B46">
        <w:rPr>
          <w:rFonts w:asciiTheme="minorHAnsi" w:hAnsiTheme="minorHAnsi"/>
          <w:b/>
          <w:bCs/>
        </w:rPr>
        <w:t xml:space="preserve"> érvényesítésével csökkenhet a hitelintézet tőkekövetelménye SREP alatt.</w:t>
      </w:r>
    </w:p>
    <w:p w14:paraId="7FFFEDA3" w14:textId="77777777" w:rsidR="008A78E3" w:rsidRPr="006A6890" w:rsidRDefault="008A78E3" w:rsidP="00D22CF9">
      <w:pPr>
        <w:rPr>
          <w:rFonts w:asciiTheme="minorHAnsi" w:hAnsiTheme="minorHAnsi"/>
        </w:rPr>
      </w:pPr>
      <w:r w:rsidRPr="006A6890">
        <w:rPr>
          <w:rFonts w:asciiTheme="minorHAnsi" w:hAnsiTheme="minorHAnsi"/>
        </w:rPr>
        <w:t>Az MNB a pótlólagos többlet-tőkekövetelmények megállapításánál az EBA SREP Ajánlása szerint jár el, amely a SREP tőkekövetelmény előírásánál legalább az 1. pillér szerinti szabályozói tőkekövetelményre vonatkozó arányok alkalmazását írja elő. Ennek megfelelően a SREP tőkekövetelmény összetétele a következő:</w:t>
      </w:r>
    </w:p>
    <w:p w14:paraId="7FFFEDA4" w14:textId="77777777" w:rsidR="008A78E3" w:rsidRPr="006A6890" w:rsidRDefault="008A78E3" w:rsidP="00181755">
      <w:pPr>
        <w:ind w:firstLine="709"/>
        <w:rPr>
          <w:rFonts w:asciiTheme="minorHAnsi" w:hAnsiTheme="minorHAnsi"/>
        </w:rPr>
      </w:pPr>
      <w:r w:rsidRPr="006A6890">
        <w:rPr>
          <w:rFonts w:asciiTheme="minorHAnsi" w:hAnsiTheme="minorHAnsi"/>
        </w:rPr>
        <w:t>CET 1 tőke arány: minimum 56,25%-a (4,5/8) a TSCR-nek,</w:t>
      </w:r>
    </w:p>
    <w:p w14:paraId="7FFFEDA5" w14:textId="77777777" w:rsidR="008A78E3" w:rsidRPr="006A6890" w:rsidRDefault="008A78E3" w:rsidP="00181755">
      <w:pPr>
        <w:ind w:firstLine="709"/>
        <w:rPr>
          <w:rFonts w:asciiTheme="minorHAnsi" w:hAnsiTheme="minorHAnsi"/>
        </w:rPr>
      </w:pPr>
      <w:r w:rsidRPr="006A6890">
        <w:rPr>
          <w:rFonts w:asciiTheme="minorHAnsi" w:hAnsiTheme="minorHAnsi"/>
        </w:rPr>
        <w:t xml:space="preserve">T1 tőke arány: minimum 75%-a (6/8) a TSCR-nek, </w:t>
      </w:r>
    </w:p>
    <w:p w14:paraId="7FFFEDA6" w14:textId="77777777" w:rsidR="008A78E3" w:rsidRPr="006A6890" w:rsidRDefault="008A78E3" w:rsidP="00181755">
      <w:pPr>
        <w:ind w:firstLine="709"/>
        <w:rPr>
          <w:rFonts w:asciiTheme="minorHAnsi" w:hAnsiTheme="minorHAnsi"/>
        </w:rPr>
      </w:pPr>
      <w:r w:rsidRPr="006A6890">
        <w:rPr>
          <w:rFonts w:asciiTheme="minorHAnsi" w:hAnsiTheme="minorHAnsi"/>
        </w:rPr>
        <w:t>T2 tőke arány: maximum 25%-a (2/8) a TSCR-nek.</w:t>
      </w:r>
    </w:p>
    <w:p w14:paraId="7FFFEDA7" w14:textId="77777777" w:rsidR="008A78E3" w:rsidRPr="006A6890" w:rsidRDefault="008A78E3" w:rsidP="00D22CF9">
      <w:pPr>
        <w:rPr>
          <w:rFonts w:asciiTheme="minorHAnsi" w:hAnsiTheme="minorHAnsi"/>
        </w:rPr>
      </w:pPr>
      <w:r w:rsidRPr="006A6890">
        <w:rPr>
          <w:rFonts w:asciiTheme="minorHAnsi" w:hAnsiTheme="minorHAnsi"/>
        </w:rPr>
        <w:t>A SREP lezáró levélben az MNB minden intézményre konkrétan meghatározza, hogy milyen elemekkel kell teljesíteni a tőkeszükségletet és adott esetben az 1. pillér szerinti arányoknál szigorúbb elvárás is előírásra kerülhet. Az intézmény az MNB által előírt tőkekövetelményt az előírtnál jobb minőségű tőkével is teljesítheti, vagyis a T2 tőkekövetelmény CET 1 és T1 tőkével, a T1 tőkekövetelmény pedig CET 1 tőkével is teljesíthető. Az MNB azt is előírhatja,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7FFFEDA8" w14:textId="77777777" w:rsidR="008A78E3" w:rsidRPr="006A6890" w:rsidRDefault="008A78E3" w:rsidP="00D22CF9">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7FFFEDA9" w14:textId="77777777" w:rsidR="008A78E3" w:rsidRPr="006A6890" w:rsidRDefault="008A78E3" w:rsidP="00181755">
      <w:pPr>
        <w:pStyle w:val="Cmsor4"/>
        <w:rPr>
          <w:rFonts w:asciiTheme="minorHAnsi" w:hAnsiTheme="minorHAnsi"/>
        </w:rPr>
      </w:pPr>
      <w:bookmarkStart w:id="1381" w:name="_Toc468181137"/>
      <w:bookmarkStart w:id="1382" w:name="_Toc468181143"/>
      <w:bookmarkStart w:id="1383" w:name="_Toc468181148"/>
      <w:bookmarkStart w:id="1384" w:name="_Toc468181153"/>
      <w:bookmarkStart w:id="1385" w:name="_Toc461095247"/>
      <w:bookmarkStart w:id="1386" w:name="_Toc461179903"/>
      <w:bookmarkStart w:id="1387" w:name="_Toc461201347"/>
      <w:bookmarkStart w:id="1388" w:name="_Toc461548048"/>
      <w:bookmarkStart w:id="1389" w:name="_Toc462402088"/>
      <w:bookmarkStart w:id="1390" w:name="_Toc462403213"/>
      <w:bookmarkStart w:id="1391" w:name="_Toc462403537"/>
      <w:bookmarkStart w:id="1392" w:name="_Toc468180656"/>
      <w:bookmarkStart w:id="1393" w:name="_Toc468181154"/>
      <w:bookmarkStart w:id="1394" w:name="_Toc468191484"/>
      <w:bookmarkStart w:id="1395" w:name="_Toc45120003"/>
      <w:bookmarkStart w:id="1396" w:name="_Toc58512286"/>
      <w:bookmarkStart w:id="1397" w:name="_Toc158036710"/>
      <w:bookmarkEnd w:id="1381"/>
      <w:bookmarkEnd w:id="1382"/>
      <w:bookmarkEnd w:id="1383"/>
      <w:bookmarkEnd w:id="1384"/>
      <w:r w:rsidRPr="006A6890">
        <w:rPr>
          <w:rFonts w:asciiTheme="minorHAnsi" w:hAnsiTheme="minorHAnsi"/>
        </w:rPr>
        <w:t>SREP tőkekövetelmény mutató</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7FFFEDAA" w14:textId="77777777" w:rsidR="008A78E3" w:rsidRPr="006A6890" w:rsidRDefault="008A78E3" w:rsidP="00D22CF9">
      <w:pPr>
        <w:rPr>
          <w:rFonts w:asciiTheme="minorHAnsi" w:hAnsiTheme="minorHAnsi"/>
        </w:rPr>
      </w:pPr>
      <w:r w:rsidRPr="006A6890">
        <w:rPr>
          <w:rFonts w:asciiTheme="minorHAnsi" w:hAnsiTheme="minorHAnsi"/>
        </w:rPr>
        <w:t>A SREP tőkekövetelmény mutató kiszámítása a SREP tőkekövetelmény és a teljes kockázati kitettség alapján a következő képlet szerint történik:</w:t>
      </w:r>
    </w:p>
    <w:p w14:paraId="7FFFEDAB" w14:textId="77777777" w:rsidR="008A78E3" w:rsidRPr="006A6890" w:rsidRDefault="008A78E3"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66432" behindDoc="0" locked="0" layoutInCell="1" allowOverlap="1" wp14:anchorId="7FFFF089" wp14:editId="7FFFF08A">
                <wp:simplePos x="0" y="0"/>
                <wp:positionH relativeFrom="column">
                  <wp:posOffset>452755</wp:posOffset>
                </wp:positionH>
                <wp:positionV relativeFrom="paragraph">
                  <wp:posOffset>7758</wp:posOffset>
                </wp:positionV>
                <wp:extent cx="2398395" cy="558800"/>
                <wp:effectExtent l="0" t="0" r="1905" b="0"/>
                <wp:wrapNone/>
                <wp:docPr id="6" name="Group 6"/>
                <wp:cNvGraphicFramePr/>
                <a:graphic xmlns:a="http://schemas.openxmlformats.org/drawingml/2006/main">
                  <a:graphicData uri="http://schemas.microsoft.com/office/word/2010/wordprocessingGroup">
                    <wpg:wgp>
                      <wpg:cNvGrpSpPr/>
                      <wpg:grpSpPr>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FF139" w14:textId="77777777" w:rsidR="008A78E3" w:rsidRDefault="008A78E3" w:rsidP="00D10772">
                              <w:r>
                                <w:t>TSCR x12,5</w:t>
                              </w:r>
                            </w:p>
                          </w:txbxContent>
                        </wps:txbx>
                        <wps:bodyPr rot="0" vert="horz" wrap="square" anchor="t" anchorCtr="0" upright="1"/>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FF13A" w14:textId="77777777" w:rsidR="008A78E3" w:rsidRDefault="008A78E3" w:rsidP="00D10772">
                              <w:r>
                                <w:t>TREA</w:t>
                              </w:r>
                            </w:p>
                          </w:txbxContent>
                        </wps:txbx>
                        <wps:bodyPr rot="0" vert="horz" wrap="square" anchor="t" anchorCtr="0" upright="1"/>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FF13B" w14:textId="77777777" w:rsidR="008A78E3" w:rsidRDefault="008A78E3" w:rsidP="00D10772">
                              <w:r>
                                <w:t>TSCR mutató = 8% x</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FFFF089" id="Group 6" o:spid="_x0000_s1027" style="position:absolute;left:0;text-align:left;margin-left:35.65pt;margin-top:.6pt;width:188.85pt;height:44pt;z-index:251666432"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XaFQMAANkKAAAOAAAAZHJzL2Uyb0RvYy54bWzcVslu2zAQvRfoPxC8N7KkyJaFyEHqLJcu&#10;AZJ+AC1RCyqRLElbcr++Q1JybCcoihRJg/ogc5vhzHuPQ56d922DNlSqmrMU+ycTjCjLeF6zMsXf&#10;7q8/xBgpTVhOGs5oirdU4fPF+3dnnUhowCve5FQicMJU0okUV1qLxPNUVtGWqBMuKIPJgsuWaOjK&#10;0ssl6cB723jBZDL1Oi5zIXlGlYLRSzeJF9Z/UdBMfy0KRTVqUgyxafuV9rsyX29xRpJSElHV2RAG&#10;eUYULakZbLpzdUk0QWtZP3LV1pnkihf6JOOtx4uizqjNAbLxJ0fZ3Ei+FjaXMulKsYMJoD3C6dlu&#10;sy+bGynuxK0EJDpRAha2Z3LpC9maf4gS9Ray7Q4y2muUwWAQzuNwHmGUwVwUxfFkwDSrAHhj5p/6&#10;MA2z/iSazh3gWXU12Iez2cwZg6mZ9MZ9vYNoOgH6UA8QqL+D4K4iglpkVQIQ3EpU5ymGSBhpQaUX&#10;a83tEnRqYjKbw6olu5UGj6xnd+ITz74rxPiyIqykdvH9VoCtb7M4MDEdBRCjVfeZ57CGgH8rlyOI&#10;w2juO6z8iW+3JsmItB/GoUPqECeSCKn0DeUtMo0UKy1JXVZ6yRkD/XPp263I5pPSDuDRwCTD+HXd&#10;NDBOkoahLsXzKIisgeJNnZtJM6dkuVo2Em2IOUj2N7B1sAwEy3LrrKIkvxramtSNawO7DQOSR0Qc&#10;tiueb60A7TjQ7IZfnG+oTY7vewPyR96jaI9ucyiQ7mHYkGpBOGL9QkremURBjQe0G1OXw5/RPg2h&#10;Nh0ekR3t0TRwtIezeIB8VM3I40C8BLZ/R/UBUweEXtvfU4QatvZE8jR/ul/19gBZEAy3jlEkuSu4&#10;cEFAo+LyJ0YdFFsQ6Y81kRQjwjIYTrEem0vtqvNaSCPifWBfTxjzR8KY/hthxOF0rAezwISwVw+C&#10;GPRryi7U0LcuDBv7fyAMH87pUcmw2JvU4IZ4vZKxd6vO4iNlBMEcVOOU8eZLRjgerJcrGfYlAe8n&#10;+7gY3nrmgbbft3fSw4t08QsAAP//AwBQSwMEFAAGAAgAAAAhAL47lHffAAAABwEAAA8AAABkcnMv&#10;ZG93bnJldi54bWxMj0FPwkAQhe8m/ofNmHiTbQsq1G4JIeqJkAgmhNvQHdqG7m7TXdry7x1Penzz&#10;Xt77JluOphE9db52VkE8iUCQLZyubange//xNAfhA1qNjbOk4EYelvn9XYapdoP9on4XSsEl1qeo&#10;oAqhTaX0RUUG/cS1ZNk7u85gYNmVUnc4cLlpZBJFL9JgbXmhwpbWFRWX3dUo+BxwWE3j935zOa9v&#10;x/3z9rCJSanHh3H1BiLQGP7C8IvP6JAz08ldrfaiUfAaTznJ9wQE27PZgl87KZgvEpB5Jv/z5z8A&#10;AAD//wMAUEsBAi0AFAAGAAgAAAAhALaDOJL+AAAA4QEAABMAAAAAAAAAAAAAAAAAAAAAAFtDb250&#10;ZW50X1R5cGVzXS54bWxQSwECLQAUAAYACAAAACEAOP0h/9YAAACUAQAACwAAAAAAAAAAAAAAAAAv&#10;AQAAX3JlbHMvLnJlbHNQSwECLQAUAAYACAAAACEAO9ll2hUDAADZCgAADgAAAAAAAAAAAAAAAAAu&#10;AgAAZHJzL2Uyb0RvYy54bWxQSwECLQAUAAYACAAAACEAvjuUd98AAAAHAQAADwAAAAAAAAAAAAAA&#10;AABvBQAAZHJzL2Rvd25yZXYueG1sUEsFBgAAAAAEAAQA8wAAAHsGA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FFFF139" w14:textId="77777777" w:rsidR="008A78E3" w:rsidRDefault="008A78E3"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FFFF13A" w14:textId="77777777" w:rsidR="008A78E3" w:rsidRDefault="008A78E3"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FFFF13B" w14:textId="77777777" w:rsidR="008A78E3" w:rsidRDefault="008A78E3" w:rsidP="00D10772">
                        <w:r>
                          <w:t>TSCR mutató = 8% x</w:t>
                        </w:r>
                      </w:p>
                    </w:txbxContent>
                  </v:textbox>
                </v:shape>
              </v:group>
            </w:pict>
          </mc:Fallback>
        </mc:AlternateContent>
      </w:r>
    </w:p>
    <w:p w14:paraId="7FFFEDAC" w14:textId="77777777" w:rsidR="008A78E3" w:rsidRPr="006A6890" w:rsidRDefault="008A78E3" w:rsidP="00181755">
      <w:pPr>
        <w:rPr>
          <w:rFonts w:asciiTheme="minorHAnsi" w:hAnsiTheme="minorHAnsi"/>
        </w:rPr>
      </w:pPr>
    </w:p>
    <w:p w14:paraId="7FFFEDAD" w14:textId="77777777" w:rsidR="008A78E3" w:rsidRPr="006A6890" w:rsidRDefault="008A78E3" w:rsidP="00181755">
      <w:pPr>
        <w:rPr>
          <w:rFonts w:asciiTheme="minorHAnsi" w:hAnsiTheme="minorHAnsi"/>
        </w:rPr>
      </w:pPr>
    </w:p>
    <w:p w14:paraId="7FFFEDAE" w14:textId="77777777" w:rsidR="008A78E3" w:rsidRPr="006A6890" w:rsidRDefault="008A78E3" w:rsidP="00181755">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7FFFEDAF" w14:textId="77777777" w:rsidR="008A78E3" w:rsidRPr="006A6890" w:rsidRDefault="008A78E3" w:rsidP="00181755">
      <w:pPr>
        <w:rPr>
          <w:rFonts w:asciiTheme="minorHAnsi" w:hAnsiTheme="minorHAnsi"/>
          <w:b/>
        </w:rPr>
      </w:pPr>
      <w:r w:rsidRPr="006A6890">
        <w:rPr>
          <w:rFonts w:asciiTheme="minorHAnsi" w:hAnsiTheme="minorHAnsi"/>
          <w:b/>
        </w:rPr>
        <w:t xml:space="preserve">Példa </w:t>
      </w:r>
    </w:p>
    <w:p w14:paraId="7FFFEDB0" w14:textId="77777777" w:rsidR="008A78E3" w:rsidRPr="006A6890" w:rsidRDefault="008A78E3" w:rsidP="00D22CF9">
      <w:pPr>
        <w:rPr>
          <w:rFonts w:asciiTheme="minorHAnsi" w:hAnsiTheme="minorHAnsi"/>
        </w:rPr>
      </w:pPr>
      <w:r w:rsidRPr="006A6890">
        <w:rPr>
          <w:rFonts w:asciiTheme="minorHAnsi" w:hAnsiTheme="minorHAnsi"/>
        </w:rPr>
        <w:t>A felügyeleti többlet-tőkekövetelmény az 1. pillér 137,5%-ában került meghatározásra (TSCR = 11%), ami a TREA-ra vetítve +3%-os tőkekövetelményt jelent.</w:t>
      </w:r>
    </w:p>
    <w:p w14:paraId="7FFFEDB1" w14:textId="77777777" w:rsidR="008A78E3" w:rsidRPr="006A6890" w:rsidRDefault="008A78E3" w:rsidP="00D22CF9">
      <w:pPr>
        <w:rPr>
          <w:rFonts w:asciiTheme="minorHAnsi" w:hAnsiTheme="minorHAnsi"/>
        </w:rPr>
      </w:pPr>
      <w:r w:rsidRPr="006A6890">
        <w:rPr>
          <w:rFonts w:asciiTheme="minorHAnsi" w:hAnsiTheme="minorHAnsi"/>
        </w:rPr>
        <w:t>Az intézmény szavatoló tőkéje 100, CET1 tőkéje 70, T1 tőkéje 85.</w:t>
      </w:r>
    </w:p>
    <w:p w14:paraId="7FFFEDB2" w14:textId="77777777" w:rsidR="008A78E3" w:rsidRPr="006A6890" w:rsidRDefault="008A78E3"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7FFFEDB3" w14:textId="77777777" w:rsidR="008A78E3" w:rsidRPr="006A6890" w:rsidRDefault="008A78E3" w:rsidP="00D22CF9">
      <w:pPr>
        <w:rPr>
          <w:rFonts w:asciiTheme="minorHAnsi" w:hAnsiTheme="minorHAnsi"/>
        </w:rPr>
      </w:pPr>
      <w:r w:rsidRPr="006A6890">
        <w:rPr>
          <w:rFonts w:asciiTheme="minorHAnsi" w:hAnsiTheme="minorHAnsi"/>
        </w:rPr>
        <w:t>A felügyeleti többlet-tőkekövetelmény összegszerűen: 80*0,375=30</w:t>
      </w:r>
    </w:p>
    <w:p w14:paraId="7FFFEDB4" w14:textId="77777777" w:rsidR="008A78E3" w:rsidRPr="006A6890" w:rsidRDefault="008A78E3" w:rsidP="00D22CF9">
      <w:pPr>
        <w:rPr>
          <w:rFonts w:asciiTheme="minorHAnsi" w:hAnsiTheme="minorHAnsi"/>
        </w:rPr>
      </w:pPr>
      <w:r w:rsidRPr="006A6890">
        <w:rPr>
          <w:rFonts w:asciiTheme="minorHAnsi" w:hAnsiTheme="minorHAnsi"/>
        </w:rPr>
        <w:t>A TSCR a TREA 11%-a, amelyet az alábbiak szerint kell megbontani:</w:t>
      </w:r>
    </w:p>
    <w:p w14:paraId="7FFFEDB5" w14:textId="77777777" w:rsidR="008A78E3" w:rsidRPr="006A6890" w:rsidRDefault="008A78E3" w:rsidP="00D22CF9">
      <w:pPr>
        <w:rPr>
          <w:rFonts w:asciiTheme="minorHAnsi" w:hAnsiTheme="minorHAnsi"/>
        </w:rPr>
      </w:pPr>
      <w:r w:rsidRPr="006A6890">
        <w:rPr>
          <w:rFonts w:asciiTheme="minorHAnsi" w:hAnsiTheme="minorHAnsi"/>
        </w:rPr>
        <w:t>CET1 tőkével teljesítendő rész: minimum 6,1875% (11%*56,25%), összegszerűen: 61,875 (1000*6,1875%),</w:t>
      </w:r>
    </w:p>
    <w:p w14:paraId="7FFFEDB6" w14:textId="77777777" w:rsidR="008A78E3" w:rsidRPr="006A6890" w:rsidRDefault="008A78E3" w:rsidP="00D22CF9">
      <w:pPr>
        <w:rPr>
          <w:rFonts w:asciiTheme="minorHAnsi" w:hAnsiTheme="minorHAnsi"/>
        </w:rPr>
      </w:pPr>
      <w:r w:rsidRPr="006A6890">
        <w:rPr>
          <w:rFonts w:asciiTheme="minorHAnsi" w:hAnsiTheme="minorHAnsi"/>
        </w:rPr>
        <w:t>T1 tőkével teljesítendő rész: minimum 8,25% (11%*75%), összegszerűen: 82,5 (1000*8,25%)</w:t>
      </w:r>
    </w:p>
    <w:p w14:paraId="7FFFEDB7" w14:textId="77777777" w:rsidR="008A78E3" w:rsidRPr="006A6890" w:rsidRDefault="008A78E3" w:rsidP="00D22CF9">
      <w:pPr>
        <w:rPr>
          <w:rFonts w:asciiTheme="minorHAnsi" w:hAnsiTheme="minorHAnsi"/>
        </w:rPr>
      </w:pPr>
      <w:r w:rsidRPr="006A6890">
        <w:rPr>
          <w:rFonts w:asciiTheme="minorHAnsi" w:hAnsiTheme="minorHAnsi"/>
        </w:rPr>
        <w:t>T2 tőkével teljesítendő százalékos rész: maximum 2,75% (11%*25%), összegszerűen: 27,5 (1000*2,75%)</w:t>
      </w:r>
    </w:p>
    <w:p w14:paraId="7FFFEDB8" w14:textId="77777777" w:rsidR="008A78E3" w:rsidRPr="006A6890" w:rsidRDefault="008A78E3" w:rsidP="00181755">
      <w:pPr>
        <w:pStyle w:val="Cmsor4"/>
        <w:ind w:left="1148"/>
        <w:rPr>
          <w:rFonts w:asciiTheme="minorHAnsi" w:hAnsiTheme="minorHAnsi"/>
        </w:rPr>
      </w:pPr>
      <w:bookmarkStart w:id="1398" w:name="_Toc461095248"/>
      <w:bookmarkStart w:id="1399" w:name="_Toc461179904"/>
      <w:bookmarkStart w:id="1400" w:name="_Toc461201348"/>
      <w:bookmarkStart w:id="1401" w:name="_Toc461548049"/>
      <w:bookmarkStart w:id="1402" w:name="_Toc462402089"/>
      <w:bookmarkStart w:id="1403" w:name="_Toc462403214"/>
      <w:bookmarkStart w:id="1404" w:name="_Toc462403538"/>
      <w:bookmarkStart w:id="1405" w:name="_Toc468180657"/>
      <w:bookmarkStart w:id="1406" w:name="_Toc468181155"/>
      <w:bookmarkStart w:id="1407" w:name="_Toc468191485"/>
      <w:bookmarkStart w:id="1408" w:name="_Toc45120004"/>
      <w:bookmarkStart w:id="1409" w:name="_Toc58512287"/>
      <w:bookmarkStart w:id="1410" w:name="_Toc158036711"/>
      <w:r w:rsidRPr="006A6890">
        <w:rPr>
          <w:rFonts w:asciiTheme="minorHAnsi" w:hAnsiTheme="minorHAnsi"/>
        </w:rPr>
        <w:t>Kombinált tőkepuffer-követelmény</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7FFFEDB9" w14:textId="77777777" w:rsidR="008A78E3" w:rsidRPr="006A6890" w:rsidRDefault="008A78E3" w:rsidP="00D22CF9">
      <w:pPr>
        <w:rPr>
          <w:rFonts w:asciiTheme="minorHAnsi" w:hAnsiTheme="minorHAnsi"/>
        </w:rPr>
      </w:pPr>
      <w:r w:rsidRPr="006A6890">
        <w:rPr>
          <w:rFonts w:asciiTheme="minorHAnsi" w:hAnsiTheme="minorHAnsi"/>
        </w:rPr>
        <w:t>A SREP tőkekövetelményen felül az adott intézmény esetében a kötelezően tartandó tőkefenntartási puffer mellett további makroprudenciális tőkepufferek is előírásra kerülhetnek, melyek fajtái a következők:</w:t>
      </w:r>
    </w:p>
    <w:p w14:paraId="7FFFEDBA" w14:textId="77777777" w:rsidR="008A78E3" w:rsidRPr="006A6890" w:rsidRDefault="008A78E3" w:rsidP="00CD1B46">
      <w:pPr>
        <w:pStyle w:val="Listaszerbekezds"/>
        <w:numPr>
          <w:ilvl w:val="0"/>
          <w:numId w:val="38"/>
        </w:numPr>
        <w:ind w:left="567" w:hanging="283"/>
        <w:rPr>
          <w:rFonts w:asciiTheme="minorHAnsi" w:hAnsiTheme="minorHAnsi"/>
        </w:rPr>
      </w:pPr>
      <w:r w:rsidRPr="006A6890">
        <w:rPr>
          <w:rFonts w:asciiTheme="minorHAnsi" w:hAnsiTheme="minorHAnsi"/>
          <w:sz w:val="22"/>
          <w:szCs w:val="22"/>
        </w:rPr>
        <w:t>Anticiklikus tőkepuffer</w:t>
      </w:r>
    </w:p>
    <w:p w14:paraId="7FFFEDBB" w14:textId="77777777" w:rsidR="008A78E3" w:rsidRPr="006A6890" w:rsidRDefault="008A78E3" w:rsidP="00181755">
      <w:pPr>
        <w:ind w:left="851"/>
        <w:rPr>
          <w:rFonts w:asciiTheme="minorHAnsi" w:hAnsiTheme="minorHAnsi"/>
        </w:rPr>
      </w:pPr>
      <w:r w:rsidRPr="006A6890">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annak módszertanát közleményben teszi közzé. Az érvényes anticiklikus tőkepufferráták elérhetőek az MNB honlapján és a Pénzügyi Stabilitási Tanács (PST) döntések időpontjának megfelelően, negyedévente frissítésre kerülnek. Az intézményeknek intézményspecifikus anticiklikus tőkepuffert kell megképezniük. </w:t>
      </w:r>
    </w:p>
    <w:p w14:paraId="7FFFEDBC" w14:textId="77777777" w:rsidR="008A78E3" w:rsidRPr="006A6890" w:rsidRDefault="008A78E3" w:rsidP="00CD1B46">
      <w:pPr>
        <w:pStyle w:val="Listaszerbekezds"/>
        <w:numPr>
          <w:ilvl w:val="0"/>
          <w:numId w:val="39"/>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7FFFEDBD" w14:textId="77777777" w:rsidR="008A78E3" w:rsidRPr="006A6890" w:rsidRDefault="008A78E3" w:rsidP="00181755">
      <w:pPr>
        <w:ind w:left="851"/>
        <w:rPr>
          <w:rFonts w:asciiTheme="minorHAnsi" w:hAnsiTheme="minorHAnsi"/>
        </w:rPr>
      </w:pPr>
      <w:r w:rsidRPr="006A6890">
        <w:rPr>
          <w:rFonts w:asciiTheme="minorHAnsi" w:hAnsiTheme="minorHAnsi"/>
        </w:rPr>
        <w:t>A globálisan és egyéb rendszerszinten jelentős intézmények jogállását, valamint a rájuk vonatkozó prudenciális szabályokat a CRD (Hpt.) szabályozási keretrendszere rendezi. Az egyéb rendszerszinten jelentős hitelintézetek azonosítása az Európai Unióban egységes alapelvek mentén, az EBA iránymutatásának (EBA/GL/2014/10) megfelelően történik. Az MNB által egyéb rendszerszinten jelentősnek azonosított intézmények névsora, valamint a kapcsolódó tőkepuffer követelmény mértéke és a bevezetés ütemezése elérhető az MNB honlapján. Az egyedileg megképzendő tőkepufferek mértékéről az MNB az intézményeket egyedi határozatok útján értesíti.</w:t>
      </w:r>
    </w:p>
    <w:p w14:paraId="7FFFEDBE" w14:textId="77777777" w:rsidR="008A78E3" w:rsidRPr="006A6890" w:rsidRDefault="008A78E3" w:rsidP="00CD1B46">
      <w:pPr>
        <w:pStyle w:val="Listaszerbekezds"/>
        <w:numPr>
          <w:ilvl w:val="0"/>
          <w:numId w:val="40"/>
        </w:numPr>
        <w:ind w:left="567" w:hanging="283"/>
        <w:rPr>
          <w:rFonts w:asciiTheme="minorHAnsi" w:hAnsiTheme="minorHAnsi"/>
        </w:rPr>
      </w:pPr>
      <w:r w:rsidRPr="006A6890">
        <w:rPr>
          <w:rFonts w:asciiTheme="minorHAnsi" w:hAnsiTheme="minorHAnsi"/>
          <w:sz w:val="22"/>
          <w:szCs w:val="22"/>
        </w:rPr>
        <w:t>Rendszerkockázati tőkepuffer</w:t>
      </w:r>
    </w:p>
    <w:p w14:paraId="7FFFEDBF" w14:textId="77777777" w:rsidR="008A78E3" w:rsidRPr="006A6890" w:rsidRDefault="008A78E3" w:rsidP="00181755">
      <w:pPr>
        <w:ind w:left="851"/>
        <w:rPr>
          <w:rFonts w:asciiTheme="minorHAnsi" w:hAnsiTheme="minorHAnsi"/>
        </w:rPr>
      </w:pPr>
      <w:r w:rsidRPr="006A6890">
        <w:rPr>
          <w:rFonts w:asciiTheme="minorHAnsi" w:hAnsiTheme="minorHAnsi"/>
        </w:rPr>
        <w:t xml:space="preserve">A CRD alapján nemzeti diszkréció keretében valamennyi tagállami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 Az MNB az általa bevezetendő rendszerkockázati tőkepufferről a honlapon tájékoztatja az intézményeket. Az egyedileg megképzendő tőkepufferek mértékéről az MNB az érintett intézményeket egyedi határozatok útján értesíti. </w:t>
      </w:r>
    </w:p>
    <w:p w14:paraId="7FFFEDC0" w14:textId="77777777" w:rsidR="008A78E3" w:rsidRPr="006A6890" w:rsidRDefault="008A78E3" w:rsidP="00D22CF9">
      <w:pPr>
        <w:rPr>
          <w:rFonts w:asciiTheme="minorHAnsi" w:hAnsiTheme="minorHAnsi"/>
        </w:rPr>
      </w:pPr>
      <w:r w:rsidRPr="006A6890">
        <w:rPr>
          <w:rFonts w:asciiTheme="minorHAnsi" w:hAnsiTheme="minorHAnsi"/>
        </w:rPr>
        <w:t xml:space="preserve">Valamennyi fentiekben felsorolt tőkepuffert (ideértve a tőkefenntartási puffert is) az intézménynek a legjobb minőségű (CET1) tőkével kell biztosítania a szabályozói minimum és a felügyeleti felülvizsgálat keretében meghatározott pótlólagos tőkekövetelményen felül. </w:t>
      </w:r>
    </w:p>
    <w:p w14:paraId="7FFFEDC1" w14:textId="77777777" w:rsidR="008A78E3" w:rsidRPr="006A6890" w:rsidRDefault="008A78E3" w:rsidP="00D22CF9">
      <w:pPr>
        <w:rPr>
          <w:rFonts w:asciiTheme="minorHAnsi" w:hAnsiTheme="minorHAnsi"/>
        </w:rPr>
      </w:pPr>
      <w:r w:rsidRPr="006A6890">
        <w:rPr>
          <w:rFonts w:asciiTheme="minorHAnsi" w:hAnsiTheme="minorHAnsi"/>
        </w:rPr>
        <w:t>A Hpt. 93. cikke értelmében a kombinált pufferkövetelmény a tőkefenntartási puffer, az intézményspecifikus anticiklikus tőkepuffer-követelmény, a globálisan rendszerszinten jelentős és az egyéb rendszerszinten jelentős hitelintézetekre vonatkozó tőkepuffer-követelmény, valamint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7FFFEDC2" w14:textId="77777777" w:rsidR="008A78E3" w:rsidRPr="006A6890" w:rsidRDefault="008A78E3" w:rsidP="00181755">
      <w:pPr>
        <w:pStyle w:val="Cmsor4"/>
        <w:rPr>
          <w:rFonts w:asciiTheme="minorHAnsi" w:hAnsiTheme="minorHAnsi"/>
        </w:rPr>
      </w:pPr>
      <w:bookmarkStart w:id="1411" w:name="_Toc468181156"/>
      <w:bookmarkStart w:id="1412" w:name="_Toc468181157"/>
      <w:bookmarkStart w:id="1413" w:name="_Toc468181158"/>
      <w:bookmarkStart w:id="1414" w:name="_Toc468181159"/>
      <w:bookmarkStart w:id="1415" w:name="_Toc468181160"/>
      <w:bookmarkStart w:id="1416" w:name="_Toc468181161"/>
      <w:bookmarkStart w:id="1417" w:name="_Toc468181162"/>
      <w:bookmarkStart w:id="1418" w:name="_Toc468181163"/>
      <w:bookmarkStart w:id="1419" w:name="_Toc468181164"/>
      <w:bookmarkStart w:id="1420" w:name="_Toc468181165"/>
      <w:bookmarkStart w:id="1421" w:name="_Toc468181166"/>
      <w:bookmarkStart w:id="1422" w:name="_Toc468181167"/>
      <w:bookmarkStart w:id="1423" w:name="_Toc468181168"/>
      <w:bookmarkStart w:id="1424" w:name="_Toc468181169"/>
      <w:bookmarkStart w:id="1425" w:name="_Toc468181170"/>
      <w:bookmarkStart w:id="1426" w:name="_Toc468181171"/>
      <w:bookmarkStart w:id="1427" w:name="_Toc468181172"/>
      <w:bookmarkStart w:id="1428" w:name="_Toc461095254"/>
      <w:bookmarkStart w:id="1429" w:name="_Toc461179910"/>
      <w:bookmarkStart w:id="1430" w:name="_Toc461201354"/>
      <w:bookmarkStart w:id="1431" w:name="_Toc461548055"/>
      <w:bookmarkStart w:id="1432" w:name="_Toc462402095"/>
      <w:bookmarkStart w:id="1433" w:name="_Toc462403220"/>
      <w:bookmarkStart w:id="1434" w:name="_Toc462403544"/>
      <w:bookmarkStart w:id="1435" w:name="_Toc468180663"/>
      <w:bookmarkStart w:id="1436" w:name="_Toc468181173"/>
      <w:bookmarkStart w:id="1437" w:name="_Toc468191486"/>
      <w:bookmarkStart w:id="1438" w:name="_Toc45120005"/>
      <w:bookmarkStart w:id="1439" w:name="_Toc58512288"/>
      <w:bookmarkStart w:id="1440" w:name="_Toc158036712"/>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6A6890">
        <w:rPr>
          <w:rFonts w:asciiTheme="minorHAnsi" w:hAnsiTheme="minorHAnsi"/>
        </w:rPr>
        <w:t>Teljes tőkekövetelmény (OCR)</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7FFFEDC3" w14:textId="77777777" w:rsidR="008A78E3" w:rsidRPr="006A6890" w:rsidRDefault="008A78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többlet-tőkekövetelményt, a tőkefenntartási puffert és a fentiekben felsorolt makroprudenciális tőkepuffereket.</w:t>
      </w:r>
    </w:p>
    <w:p w14:paraId="7FFFEDC4" w14:textId="77777777" w:rsidR="008A78E3" w:rsidRPr="006A6890" w:rsidRDefault="008A78E3" w:rsidP="00D22CF9">
      <w:pPr>
        <w:rPr>
          <w:rFonts w:asciiTheme="minorHAnsi" w:hAnsiTheme="minorHAnsi"/>
        </w:rPr>
      </w:pPr>
      <w:r w:rsidRPr="006A6890">
        <w:rPr>
          <w:rFonts w:asciiTheme="minorHAnsi" w:hAnsiTheme="minorHAnsi"/>
        </w:rPr>
        <w:t>A teljes tőkekövetelmény (OCR) számítása a következőképpen történik:</w:t>
      </w:r>
    </w:p>
    <w:p w14:paraId="7FFFEDC5" w14:textId="77777777" w:rsidR="008A78E3" w:rsidRPr="006A6890" w:rsidRDefault="008A78E3" w:rsidP="00D22CF9">
      <w:pPr>
        <w:rPr>
          <w:rFonts w:asciiTheme="minorHAnsi" w:hAnsiTheme="minorHAnsi"/>
        </w:rPr>
      </w:pPr>
      <w:r w:rsidRPr="006A6890">
        <w:rPr>
          <w:rFonts w:asciiTheme="minorHAnsi" w:hAnsiTheme="minorHAnsi"/>
        </w:rPr>
        <w:t xml:space="preserve">OCR = TSCR + kombinált pufferkövetelmény </w:t>
      </w:r>
    </w:p>
    <w:p w14:paraId="7FFFEDC6" w14:textId="77777777" w:rsidR="008A78E3" w:rsidRPr="006A6890" w:rsidRDefault="008A78E3" w:rsidP="00D22CF9">
      <w:pPr>
        <w:rPr>
          <w:rFonts w:asciiTheme="minorHAnsi" w:hAnsiTheme="minorHAnsi"/>
        </w:rPr>
      </w:pPr>
      <w:r w:rsidRPr="006A6890">
        <w:rPr>
          <w:rFonts w:asciiTheme="minorHAnsi" w:hAnsiTheme="minorHAnsi"/>
        </w:rPr>
        <w:t>Az MNB – figyelembe véve a CRR-ben foglaltakat – azt is előírja, hogy a teljes tőkekövetelményt (OCR) milyen tőkeösszetétellel kell az intézménynek teljesítenie:</w:t>
      </w:r>
    </w:p>
    <w:p w14:paraId="7FFFEDC7" w14:textId="77777777" w:rsidR="008A78E3" w:rsidRPr="006A6890" w:rsidRDefault="008A78E3" w:rsidP="00D22CF9">
      <w:pPr>
        <w:rPr>
          <w:rFonts w:asciiTheme="minorHAnsi" w:hAnsiTheme="minorHAnsi"/>
        </w:rPr>
      </w:pPr>
      <w:r w:rsidRPr="006A6890">
        <w:rPr>
          <w:rFonts w:asciiTheme="minorHAnsi" w:hAnsiTheme="minorHAnsi"/>
        </w:rPr>
        <w:t>minimum X% elsődleges alapvető tőkében (CET1),</w:t>
      </w:r>
    </w:p>
    <w:p w14:paraId="7FFFEDC8" w14:textId="77777777" w:rsidR="008A78E3" w:rsidRPr="006A6890" w:rsidRDefault="008A78E3" w:rsidP="00D22CF9">
      <w:pPr>
        <w:rPr>
          <w:rFonts w:asciiTheme="minorHAnsi" w:hAnsiTheme="minorHAnsi"/>
        </w:rPr>
      </w:pPr>
      <w:r w:rsidRPr="006A6890">
        <w:rPr>
          <w:rFonts w:asciiTheme="minorHAnsi" w:hAnsiTheme="minorHAnsi"/>
        </w:rPr>
        <w:t>minimum Z% alapvető tőkében (T1).</w:t>
      </w:r>
    </w:p>
    <w:p w14:paraId="7FFFEDC9" w14:textId="77777777" w:rsidR="008A78E3" w:rsidRPr="006A6890" w:rsidRDefault="008A78E3" w:rsidP="00015046">
      <w:pPr>
        <w:pStyle w:val="Cmsor4"/>
        <w:rPr>
          <w:rFonts w:asciiTheme="minorHAnsi" w:hAnsiTheme="minorHAnsi"/>
        </w:rPr>
      </w:pPr>
      <w:bookmarkStart w:id="1441" w:name="_Toc468181174"/>
      <w:bookmarkStart w:id="1442" w:name="_Toc468181175"/>
      <w:bookmarkStart w:id="1443" w:name="_Toc468181176"/>
      <w:bookmarkStart w:id="1444" w:name="_Toc468181177"/>
      <w:bookmarkStart w:id="1445" w:name="_Toc468181178"/>
      <w:bookmarkStart w:id="1446" w:name="_Toc468181179"/>
      <w:bookmarkStart w:id="1447" w:name="_Toc468181180"/>
      <w:bookmarkStart w:id="1448" w:name="_Toc468181181"/>
      <w:bookmarkStart w:id="1449" w:name="_Toc468181182"/>
      <w:bookmarkStart w:id="1450" w:name="_Toc468181183"/>
      <w:bookmarkStart w:id="1451" w:name="_Toc468181184"/>
      <w:bookmarkStart w:id="1452" w:name="_Toc468181185"/>
      <w:bookmarkStart w:id="1453" w:name="_Toc468181186"/>
      <w:bookmarkStart w:id="1454" w:name="_Toc468181202"/>
      <w:bookmarkStart w:id="1455" w:name="_Toc468181203"/>
      <w:bookmarkStart w:id="1456" w:name="_Toc468181204"/>
      <w:bookmarkStart w:id="1457" w:name="_Toc468181220"/>
      <w:bookmarkStart w:id="1458" w:name="_Toc45120006"/>
      <w:bookmarkStart w:id="1459" w:name="_Toc58512289"/>
      <w:bookmarkStart w:id="1460" w:name="_Toc158036713"/>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sidRPr="006A6890">
        <w:rPr>
          <w:rFonts w:asciiTheme="minorHAnsi" w:hAnsiTheme="minorHAnsi"/>
        </w:rPr>
        <w:t>Felügyeleti tőkeajánlás (P2G)</w:t>
      </w:r>
      <w:bookmarkEnd w:id="1458"/>
      <w:bookmarkEnd w:id="1459"/>
      <w:bookmarkEnd w:id="1460"/>
    </w:p>
    <w:p w14:paraId="7FFFEDCA" w14:textId="77777777" w:rsidR="008A78E3" w:rsidRDefault="008A78E3" w:rsidP="00D22CF9">
      <w:pPr>
        <w:rPr>
          <w:rFonts w:asciiTheme="minorHAnsi" w:hAnsiTheme="minorHAnsi"/>
        </w:rPr>
      </w:pPr>
      <w:r w:rsidRPr="006A6890">
        <w:rPr>
          <w:rFonts w:asciiTheme="minorHAnsi" w:hAnsiTheme="minorHAnsi"/>
        </w:rPr>
        <w:t xml:space="preserve">Az EBA elvárásával összhangban </w:t>
      </w:r>
      <w:r>
        <w:rPr>
          <w:rFonts w:asciiTheme="minorHAnsi" w:hAnsiTheme="minorHAnsi"/>
        </w:rPr>
        <w:t>az MNB</w:t>
      </w:r>
      <w:r w:rsidRPr="006A6890">
        <w:rPr>
          <w:rFonts w:asciiTheme="minorHAnsi" w:hAnsiTheme="minorHAnsi"/>
        </w:rPr>
        <w:t xml:space="preserve"> 2019-től kezdve </w:t>
      </w:r>
      <w:r>
        <w:rPr>
          <w:rFonts w:asciiTheme="minorHAnsi" w:hAnsiTheme="minorHAnsi"/>
        </w:rPr>
        <w:t xml:space="preserve">vezette be a </w:t>
      </w:r>
      <w:r w:rsidRPr="006A6890">
        <w:rPr>
          <w:rFonts w:asciiTheme="minorHAnsi" w:hAnsiTheme="minorHAnsi"/>
        </w:rPr>
        <w:t>felügyeleti tőkeajánlást (P2G, Capital Guidance) a hazai hitelintézetek tőkemegfelelésére vonatkozóan. A Capital Guidance a SREP-tőkekövetelmény (TSCR) és a kombinál</w:t>
      </w:r>
      <w:r>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közvetlen szankcióval nem jár, ha az intézmény tőkeszintje elmarad a felügyeleti hatóság által a Capital Guidance keretében megadott minimum szinttől, de még nem sérti a tőkepuffereket (OCR), ilyen esetekben azonban intenzív felügyeleti párbeszéd indul. A P2G értékét az intézményeknek elsődleges alapvető tőkeelemekkel (CET1) szükséges fedezniük.</w:t>
      </w:r>
    </w:p>
    <w:p w14:paraId="7FFFEDCB" w14:textId="77777777" w:rsidR="008A78E3" w:rsidRDefault="008A78E3" w:rsidP="00D57AD9">
      <w:pPr>
        <w:pStyle w:val="Cmsor4"/>
      </w:pPr>
      <w:bookmarkStart w:id="1461" w:name="_Ref117172026"/>
      <w:bookmarkStart w:id="1462" w:name="_Toc158036714"/>
      <w:r>
        <w:t>A</w:t>
      </w:r>
      <w:r w:rsidRPr="00A05D81">
        <w:t xml:space="preserve"> túlzott tőkeáttételi kockázatra vonatkozó 2. pillér szerinti </w:t>
      </w:r>
      <w:r>
        <w:t>tőke</w:t>
      </w:r>
      <w:r w:rsidRPr="00A05D81">
        <w:t>követelmény (P2R-LR)</w:t>
      </w:r>
      <w:bookmarkEnd w:id="1461"/>
      <w:bookmarkEnd w:id="1462"/>
    </w:p>
    <w:p w14:paraId="7FFFEDCC" w14:textId="77777777" w:rsidR="008A78E3" w:rsidRDefault="008A78E3" w:rsidP="004A7E96">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ICAAP felülvizsgálatokba.</w:t>
      </w:r>
      <w:r>
        <w:t xml:space="preserve"> </w:t>
      </w:r>
    </w:p>
    <w:p w14:paraId="7FFFEDCD" w14:textId="77777777" w:rsidR="008A78E3" w:rsidRPr="00606714" w:rsidRDefault="008A78E3" w:rsidP="009667AA">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t írhat elő. Az MNB az intézmény túlzott tőkeáttételi kockázatát egy mutatószám- és limitrendszer alapján értékeli, amely eredményének függvényében többletkövetelmény elvárást határozhat meg.</w:t>
      </w:r>
    </w:p>
    <w:p w14:paraId="7FFFEDCE" w14:textId="77777777" w:rsidR="008A78E3" w:rsidRDefault="008A78E3" w:rsidP="00D57AD9">
      <w:pPr>
        <w:pStyle w:val="Cmsor4"/>
      </w:pPr>
      <w:bookmarkStart w:id="1463" w:name="_Toc158036715"/>
      <w:r>
        <w:t xml:space="preserve">A </w:t>
      </w:r>
      <w:r w:rsidRPr="00E87D60">
        <w:rPr>
          <w:rFonts w:asciiTheme="minorHAnsi" w:hAnsiTheme="minorHAnsi"/>
        </w:rPr>
        <w:t>teljes</w:t>
      </w:r>
      <w:r w:rsidRPr="00A05D81">
        <w:t xml:space="preserve"> SREP tőkeáttételimutató-követelmény (TSLRR</w:t>
      </w:r>
      <w:r>
        <w:t>)</w:t>
      </w:r>
      <w:bookmarkEnd w:id="1463"/>
      <w:r>
        <w:t xml:space="preserve"> </w:t>
      </w:r>
    </w:p>
    <w:p w14:paraId="7FFFEDCF" w14:textId="77777777" w:rsidR="008A78E3" w:rsidRPr="00E87D60" w:rsidRDefault="008A78E3" w:rsidP="00CD3CCD">
      <w:r>
        <w:t>A CRR</w:t>
      </w:r>
      <w:r w:rsidRPr="00A05D81">
        <w:t xml:space="preserve">92. cikke (1) bekezdésének d) pontjában meghatározott szavatolótőke-követelmények és </w:t>
      </w:r>
      <w:r>
        <w:t xml:space="preserve">a </w:t>
      </w:r>
      <w:r>
        <w:fldChar w:fldCharType="begin"/>
      </w:r>
      <w:r>
        <w:instrText xml:space="preserve"> REF _Ref117172026 \r \h </w:instrText>
      </w:r>
      <w:r>
        <w:fldChar w:fldCharType="separate"/>
      </w:r>
      <w:r>
        <w:t>V.6.4.7</w:t>
      </w:r>
      <w:r>
        <w:fldChar w:fldCharType="end"/>
      </w:r>
      <w:r>
        <w:t xml:space="preserve">. fejezet alapján </w:t>
      </w:r>
      <w:r w:rsidRPr="00A05D81">
        <w:t>meghatározott kiegészítő szavatolótőke-követelmények össze</w:t>
      </w:r>
      <w:r>
        <w:t>ge.</w:t>
      </w:r>
    </w:p>
    <w:p w14:paraId="7FFFEDD0" w14:textId="77777777" w:rsidR="008A78E3" w:rsidRDefault="008A78E3" w:rsidP="00D57AD9">
      <w:pPr>
        <w:pStyle w:val="Cmsor4"/>
      </w:pPr>
      <w:bookmarkStart w:id="1464" w:name="_Toc158036716"/>
      <w:r>
        <w:t xml:space="preserve">A </w:t>
      </w:r>
      <w:r w:rsidRPr="00481ABC">
        <w:t xml:space="preserve">tőkeáttételre vonatkozó teljes követelmény </w:t>
      </w:r>
      <w:r w:rsidRPr="00A05D81">
        <w:t>(OLRR)</w:t>
      </w:r>
      <w:bookmarkEnd w:id="1464"/>
    </w:p>
    <w:p w14:paraId="7FFFEDD1" w14:textId="77777777" w:rsidR="008A78E3" w:rsidRDefault="008A78E3" w:rsidP="00D57AD9">
      <w:r>
        <w:t>A</w:t>
      </w:r>
      <w:r w:rsidRPr="00D57AD9">
        <w:t xml:space="preserve"> teljes SREP tőkeáttételimutató-követelmény (TSLRR) és a globálisan rendszerszinten jelentős intézmények tőkeáttételi mutatóra vonatkozó pufferkövetelményének összege a</w:t>
      </w:r>
      <w:r>
        <w:t xml:space="preserve"> CRR </w:t>
      </w:r>
      <w:r w:rsidRPr="00D57AD9">
        <w:t>92. cikkének (1a) bekezdésével összhangban</w:t>
      </w:r>
      <w:r>
        <w:rPr>
          <w:rStyle w:val="Lbjegyzet-hivatkozs"/>
        </w:rPr>
        <w:footnoteReference w:id="121"/>
      </w:r>
      <w:r>
        <w:t>.</w:t>
      </w:r>
    </w:p>
    <w:p w14:paraId="7FFFEDD2" w14:textId="77777777" w:rsidR="008A78E3" w:rsidRPr="00606714" w:rsidRDefault="008A78E3" w:rsidP="00181844">
      <w:r>
        <w:t>A tőkeáttételi mutatóhoz kapcsolódó követelményeket az EBA SREP Ajánlásával összhangban minimum T1 minőségű tőkével szükséges teljesíteni, de az MNB indokolt esetben elvárhatja a többlettőke-követelmény esetén ennél magasabb minőségű tőke biztosítását is.</w:t>
      </w:r>
    </w:p>
    <w:p w14:paraId="7FFFEDD3" w14:textId="77777777" w:rsidR="008A78E3" w:rsidRDefault="008A78E3" w:rsidP="00D57AD9">
      <w:pPr>
        <w:pStyle w:val="Cmsor4"/>
      </w:pPr>
      <w:bookmarkStart w:id="1465" w:name="_Toc158036717"/>
      <w:r>
        <w:t>A</w:t>
      </w:r>
      <w:r w:rsidRPr="00D57AD9">
        <w:t xml:space="preserve"> túlzott tőkeáttétel kockázatára vonatkozó 2. pillér szerinti </w:t>
      </w:r>
      <w:r>
        <w:t>tőkeajánlás</w:t>
      </w:r>
      <w:r w:rsidRPr="00D57AD9">
        <w:t xml:space="preserve"> (P2G-LR)</w:t>
      </w:r>
      <w:bookmarkEnd w:id="1465"/>
    </w:p>
    <w:p w14:paraId="7FFFEDD4" w14:textId="77777777" w:rsidR="008A78E3" w:rsidRDefault="008A78E3" w:rsidP="00D22CF9">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felügyeleti tőkeajánlás szükségességének mérlegelését az ICAAP felülvizsgálatokba.</w:t>
      </w:r>
      <w:r>
        <w:t xml:space="preserve"> Célja a</w:t>
      </w:r>
      <w:r w:rsidRPr="00D15EC2">
        <w:t>z intézmény által a tőkeáttételre vonatkozó teljes követelményt (OLRR) meghaladóan tartandó szavatolótőke szintj</w:t>
      </w:r>
      <w:r>
        <w:t>ének</w:t>
      </w:r>
      <w:r w:rsidRPr="00D15EC2">
        <w:t xml:space="preserve"> és minőség</w:t>
      </w:r>
      <w:r>
        <w:t>ének meghatározása a P2G módszertanhoz hasonlóan.</w:t>
      </w:r>
    </w:p>
    <w:p w14:paraId="7FFFEDD5" w14:textId="77777777" w:rsidR="008A78E3" w:rsidRPr="00E87D60" w:rsidRDefault="008A78E3" w:rsidP="00D22CF9">
      <w:r>
        <w:t>A tőkeáttételi mutatóhoz kapcsolódó tőkeajánlást az EBA SREP Ajánlásával összhangban minimum T1 minőségű tőkével szükséges teljesíteni, de az MNB indokolt esetben elvárhatja ennél magasabb minőségű tőke biztosítását is.</w:t>
      </w:r>
    </w:p>
    <w:p w14:paraId="7FFFEDD6" w14:textId="77777777" w:rsidR="008A78E3" w:rsidRPr="006A6890" w:rsidRDefault="008A78E3" w:rsidP="00D22CF9">
      <w:pPr>
        <w:rPr>
          <w:rFonts w:asciiTheme="minorHAnsi" w:hAnsiTheme="minorHAnsi"/>
        </w:rPr>
      </w:pPr>
    </w:p>
    <w:p w14:paraId="7FFFEDD7" w14:textId="77777777" w:rsidR="008A78E3" w:rsidRPr="006A6890" w:rsidRDefault="008A78E3" w:rsidP="00181755">
      <w:pPr>
        <w:rPr>
          <w:rFonts w:asciiTheme="minorHAnsi" w:hAnsiTheme="minorHAnsi"/>
        </w:rPr>
      </w:pPr>
    </w:p>
    <w:p w14:paraId="7FFFEDD8" w14:textId="77777777" w:rsidR="008A78E3" w:rsidRPr="006A6890" w:rsidRDefault="008A78E3" w:rsidP="00181755">
      <w:pPr>
        <w:pStyle w:val="Cmsor1"/>
      </w:pPr>
      <w:bookmarkStart w:id="1466" w:name="_Tőkeallokáció"/>
      <w:bookmarkStart w:id="1467" w:name="_Toc378592056"/>
      <w:bookmarkEnd w:id="1466"/>
      <w:r w:rsidRPr="006A6890">
        <w:br w:type="page"/>
      </w:r>
      <w:bookmarkStart w:id="1468" w:name="_Toc461095256"/>
      <w:bookmarkStart w:id="1469" w:name="_Toc461179219"/>
      <w:bookmarkStart w:id="1470" w:name="_Toc461179912"/>
      <w:bookmarkStart w:id="1471" w:name="_Toc461197760"/>
      <w:bookmarkStart w:id="1472" w:name="_Toc461201356"/>
      <w:bookmarkStart w:id="1473" w:name="_Toc461548057"/>
      <w:bookmarkStart w:id="1474" w:name="_Toc462402097"/>
      <w:bookmarkStart w:id="1475" w:name="_Toc462403222"/>
      <w:bookmarkStart w:id="1476" w:name="_Toc462403546"/>
      <w:bookmarkStart w:id="1477" w:name="_Toc468180665"/>
      <w:bookmarkStart w:id="1478" w:name="_Toc468181222"/>
      <w:bookmarkStart w:id="1479" w:name="_Toc468191488"/>
      <w:bookmarkStart w:id="1480" w:name="_Toc45120007"/>
      <w:bookmarkStart w:id="1481" w:name="_Toc58512290"/>
      <w:bookmarkStart w:id="1482" w:name="_Toc158036718"/>
      <w:r w:rsidRPr="006A6890">
        <w:t>Az ILAAP összetevői és felügyeleti felülvizsgálata</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14:paraId="7FFFEDD9" w14:textId="77777777" w:rsidR="008A78E3" w:rsidRPr="006A6890" w:rsidRDefault="008A78E3" w:rsidP="009F4CDA">
      <w:pPr>
        <w:pStyle w:val="Cmsor2"/>
        <w:rPr>
          <w:rStyle w:val="Kiemels"/>
          <w:rFonts w:asciiTheme="minorHAnsi" w:hAnsiTheme="minorHAnsi"/>
          <w:b w:val="0"/>
          <w:i w:val="0"/>
        </w:rPr>
      </w:pPr>
      <w:bookmarkStart w:id="1483" w:name="_Toc390952823"/>
      <w:bookmarkStart w:id="1484" w:name="_Toc461095257"/>
      <w:bookmarkStart w:id="1485" w:name="_Toc461179220"/>
      <w:bookmarkStart w:id="1486" w:name="_Toc461179913"/>
      <w:bookmarkStart w:id="1487" w:name="_Toc461197761"/>
      <w:bookmarkStart w:id="1488" w:name="_Toc461201357"/>
      <w:bookmarkStart w:id="1489" w:name="_Toc461548058"/>
      <w:bookmarkStart w:id="1490" w:name="_Toc462402098"/>
      <w:bookmarkStart w:id="1491" w:name="_Toc462403223"/>
      <w:bookmarkStart w:id="1492" w:name="_Toc462403547"/>
      <w:bookmarkStart w:id="1493" w:name="_Toc468180666"/>
      <w:bookmarkStart w:id="1494" w:name="_Toc468181223"/>
      <w:bookmarkStart w:id="1495" w:name="_Toc468191489"/>
      <w:bookmarkStart w:id="1496" w:name="_Toc45120008"/>
      <w:bookmarkStart w:id="1497" w:name="_Toc58512291"/>
      <w:bookmarkStart w:id="1498" w:name="_Toc158036719"/>
      <w:bookmarkEnd w:id="1467"/>
      <w:r w:rsidRPr="006A6890">
        <w:rPr>
          <w:rStyle w:val="Kiemels"/>
          <w:rFonts w:asciiTheme="minorHAnsi" w:hAnsiTheme="minorHAnsi"/>
          <w:i w:val="0"/>
          <w:iCs/>
        </w:rPr>
        <w:t>A likviditási és finanszírozási kockázat belső, intézmény általi értékelése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7FFFEDDA" w14:textId="77777777" w:rsidR="008A78E3" w:rsidRPr="006A6890" w:rsidRDefault="008A78E3" w:rsidP="00D22CF9">
      <w:pPr>
        <w:rPr>
          <w:rFonts w:asciiTheme="minorHAnsi" w:hAnsiTheme="minorHAnsi"/>
        </w:rPr>
      </w:pPr>
      <w:r w:rsidRPr="006A6890">
        <w:rPr>
          <w:rFonts w:asciiTheme="minorHAnsi" w:hAnsiTheme="minorHAnsi"/>
        </w:rPr>
        <w:t>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koncentrációja és megújíthatósága, a forrás költségek változása, a környezeti hatások és más piaci szereplők magatartásának bizonytalansága jelentik a likviditási kockázatot.</w:t>
      </w:r>
    </w:p>
    <w:p w14:paraId="7FFFEDDB" w14:textId="77777777" w:rsidR="008A78E3" w:rsidRPr="006A6890" w:rsidRDefault="008A78E3"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 stb.. A források koncentrációja is megjelenhet ügyfél, szektor, földrajzi régió ügylet, lejárat stb szerint.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tartalékokat kell képezni, melyek között az átjárhatóság korlátozott.</w:t>
      </w:r>
    </w:p>
    <w:p w14:paraId="7FFFEDDC" w14:textId="77777777" w:rsidR="008A78E3" w:rsidRPr="006A6890" w:rsidRDefault="008A78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7FFFEDDD" w14:textId="77777777" w:rsidR="008A78E3" w:rsidRPr="006A6890" w:rsidRDefault="008A78E3" w:rsidP="00D22CF9">
      <w:pPr>
        <w:rPr>
          <w:rFonts w:asciiTheme="minorHAnsi" w:hAnsiTheme="minorHAnsi"/>
        </w:rPr>
      </w:pPr>
      <w:r w:rsidRPr="006A6890">
        <w:rPr>
          <w:rFonts w:asciiTheme="minorHAnsi" w:hAnsiTheme="minorHAnsi"/>
        </w:rPr>
        <w:t>A kialakított keretrendszernél az alábbi szempontokat kell figyelembe venni:</w:t>
      </w:r>
    </w:p>
    <w:p w14:paraId="7FFFEDDE"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7FFFEDDF"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7FFFEDE0"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7FFFEDE1"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legalább a szerződésük szerint egy éven belüli eszközökből, kötelezettségekből és mérlegen kívüli tételekből származó pénzáramlásokat.</w:t>
      </w:r>
    </w:p>
    <w:p w14:paraId="7FFFEDE2"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7FFFEDE3"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7FFFEDE4" w14:textId="77777777" w:rsidR="008A78E3" w:rsidRPr="006A6890" w:rsidRDefault="008A78E3" w:rsidP="00181755">
      <w:pPr>
        <w:pStyle w:val="felsorolsos"/>
        <w:rPr>
          <w:rFonts w:asciiTheme="minorHAnsi" w:hAnsiTheme="minorHAnsi"/>
        </w:rPr>
      </w:pPr>
      <w:r w:rsidRPr="006A6890">
        <w:rPr>
          <w:rFonts w:asciiTheme="minorHAnsi" w:hAnsiTheme="minorHAnsi"/>
        </w:rPr>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7FFFEDE5"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(különösen az ügyfélszintű koncentrációt a betétállomány </w:t>
      </w:r>
      <w:r>
        <w:rPr>
          <w:rFonts w:asciiTheme="minorHAnsi" w:hAnsiTheme="minorHAnsi"/>
        </w:rPr>
        <w:t>1</w:t>
      </w:r>
      <w:r w:rsidRPr="006A6890">
        <w:rPr>
          <w:rFonts w:asciiTheme="minorHAnsi" w:hAnsiTheme="minorHAnsi"/>
        </w:rPr>
        <w:t xml:space="preserve"> százalékát elérő betétek esetében).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7FFFEDE6" w14:textId="77777777" w:rsidR="008A78E3" w:rsidRPr="006A6890" w:rsidRDefault="008A78E3"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7FFFEDE7"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7FFFEDE8"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7FFFEDE9"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7FFFEDEA" w14:textId="77777777" w:rsidR="008A78E3" w:rsidRPr="006A6890" w:rsidRDefault="008A78E3" w:rsidP="00181755">
      <w:pPr>
        <w:pStyle w:val="felsorolsos"/>
        <w:rPr>
          <w:rFonts w:asciiTheme="minorHAnsi" w:hAnsiTheme="minorHAnsi"/>
        </w:rPr>
      </w:pPr>
      <w:r w:rsidRPr="006A6890">
        <w:rPr>
          <w:rFonts w:asciiTheme="minorHAnsi" w:hAnsiTheme="minorHAnsi"/>
        </w:rPr>
        <w:t>Rendszeresen végzett intézményi, illetve piaci szintű forgatókönyvek alapján kialakított stressz-tesztek során 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w:t>
      </w:r>
      <w:bookmarkStart w:id="1499" w:name="_Hlk163203883"/>
      <w:r>
        <w:rPr>
          <w:rFonts w:asciiTheme="minorHAnsi" w:hAnsiTheme="minorHAnsi"/>
        </w:rPr>
        <w:t xml:space="preserve"> </w:t>
      </w:r>
      <w:r w:rsidRPr="00823302">
        <w:rPr>
          <w:rFonts w:asciiTheme="minorHAnsi" w:hAnsiTheme="minorHAnsi"/>
        </w:rPr>
        <w:t>A további azonosított kockázatok miatt az MNB a 60 vagy 90 napon belül felmerülő likviditási kockázatok (lejáratok, felmondási opciók) bevonását jó gyakorlatnak</w:t>
      </w:r>
      <w:r>
        <w:rPr>
          <w:rFonts w:asciiTheme="minorHAnsi" w:hAnsiTheme="minorHAnsi"/>
        </w:rPr>
        <w:t xml:space="preserve"> tartja</w:t>
      </w:r>
      <w:r w:rsidRPr="00823302">
        <w:rPr>
          <w:rFonts w:asciiTheme="minorHAnsi" w:hAnsiTheme="minorHAnsi"/>
        </w:rPr>
        <w:t xml:space="preserve"> a stressztesztelések során. Továbbra is</w:t>
      </w:r>
      <w:bookmarkEnd w:id="1499"/>
      <w:r w:rsidRPr="006A6890">
        <w:rPr>
          <w:rFonts w:asciiTheme="minorHAnsi" w:hAnsiTheme="minorHAnsi"/>
        </w:rPr>
        <w:t xml:space="preserve">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Pr>
          <w:rStyle w:val="Lbjegyzet-hivatkozs"/>
          <w:rFonts w:asciiTheme="minorHAnsi" w:hAnsiTheme="minorHAnsi"/>
        </w:rPr>
        <w:footnoteReference w:id="122"/>
      </w:r>
      <w:r w:rsidRPr="006A6890">
        <w:rPr>
          <w:rFonts w:asciiTheme="minorHAnsi" w:hAnsiTheme="minorHAnsi"/>
        </w:rPr>
        <w:t>, a szükségesnek tartott likviditási puffer mértékében, és esetlegesen a tőkekövetelményben.</w:t>
      </w:r>
    </w:p>
    <w:p w14:paraId="7FFFEDEB"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7FFFEDEC"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FFFEDED" w14:textId="77777777" w:rsidR="008A78E3" w:rsidRPr="006A6890" w:rsidRDefault="008A78E3" w:rsidP="003740BE">
      <w:pPr>
        <w:pStyle w:val="felsorolsos"/>
        <w:spacing w:after="150" w:line="276" w:lineRule="auto"/>
        <w:rPr>
          <w:rFonts w:asciiTheme="minorHAnsi" w:hAnsiTheme="minorHAnsi"/>
        </w:rPr>
      </w:pPr>
      <w:r w:rsidRPr="006A6890">
        <w:rPr>
          <w:rFonts w:asciiTheme="minorHAnsi" w:hAnsiTheme="minorHAnsi"/>
        </w:rPr>
        <w:t>Az intézménynek megfelelő informatikai rendszert és adatbázist kell kiépítenie és fenntartania, mely képes támogatni a többi folyamatot (kockázatfeltárás, kockázatkezelés, riportálás stb.).</w:t>
      </w:r>
    </w:p>
    <w:p w14:paraId="7FFFEDEE" w14:textId="77777777" w:rsidR="008A78E3" w:rsidRPr="006A6890" w:rsidRDefault="008A78E3" w:rsidP="003740BE">
      <w:pPr>
        <w:pStyle w:val="felsorolsos"/>
        <w:spacing w:after="150" w:line="276" w:lineRule="auto"/>
        <w:rPr>
          <w:rFonts w:asciiTheme="minorHAnsi" w:hAnsiTheme="minorHAnsi"/>
        </w:rPr>
      </w:pPr>
      <w:r w:rsidRPr="006A6890">
        <w:rPr>
          <w:rFonts w:asciiTheme="minorHAnsi" w:hAnsiTheme="minorHAnsi"/>
        </w:rPr>
        <w:t>Az intézményeknek méretükkel és kockázatukkal arányosan kell az alábbi mérési és modellezési módszereket alkalmazniuk az egyes likviditási kockázatok számszerűsítésére.</w:t>
      </w:r>
    </w:p>
    <w:p w14:paraId="7FFFEDEF" w14:textId="77777777" w:rsidR="008A78E3" w:rsidRPr="006A6890" w:rsidRDefault="008A78E3" w:rsidP="00CD1B46">
      <w:pPr>
        <w:pStyle w:val="felsorolsos"/>
        <w:numPr>
          <w:ilvl w:val="0"/>
          <w:numId w:val="68"/>
        </w:numPr>
        <w:spacing w:after="150" w:line="276" w:lineRule="auto"/>
        <w:rPr>
          <w:rFonts w:asciiTheme="minorHAnsi" w:hAnsiTheme="minorHAnsi"/>
        </w:rPr>
      </w:pPr>
      <w:r w:rsidRPr="006A6890">
        <w:rPr>
          <w:rFonts w:asciiTheme="minorHAnsi" w:hAnsiTheme="minorHAnsi"/>
        </w:rPr>
        <w:t xml:space="preserve">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(pl stresszteszt, helyreállítási terv). </w:t>
      </w:r>
    </w:p>
    <w:p w14:paraId="7FFFEDF0" w14:textId="77777777" w:rsidR="008A78E3" w:rsidRPr="006A6890" w:rsidRDefault="008A78E3" w:rsidP="00CD1B46">
      <w:pPr>
        <w:pStyle w:val="felsorolsos"/>
        <w:numPr>
          <w:ilvl w:val="0"/>
          <w:numId w:val="68"/>
        </w:numPr>
        <w:spacing w:after="150" w:line="276" w:lineRule="auto"/>
        <w:rPr>
          <w:rFonts w:asciiTheme="minorHAnsi" w:hAnsiTheme="minorHAnsi"/>
        </w:rPr>
      </w:pPr>
      <w:r w:rsidRPr="006A6890">
        <w:rPr>
          <w:rFonts w:asciiTheme="minorHAnsi" w:hAnsiTheme="minorHAnsi"/>
        </w:rPr>
        <w:t>Ahol alkalmazható a modellezésnek el kell készülnie normál és akár többféle stressz szcenárió esetére is.</w:t>
      </w:r>
    </w:p>
    <w:p w14:paraId="7FFFEDF1" w14:textId="77777777" w:rsidR="008A78E3" w:rsidRPr="006A6890" w:rsidRDefault="008A78E3" w:rsidP="00CD1B46">
      <w:pPr>
        <w:pStyle w:val="felsorolsos"/>
        <w:numPr>
          <w:ilvl w:val="0"/>
          <w:numId w:val="68"/>
        </w:numPr>
        <w:spacing w:after="150" w:line="276" w:lineRule="auto"/>
        <w:rPr>
          <w:rFonts w:asciiTheme="minorHAnsi" w:hAnsiTheme="minorHAnsi"/>
        </w:rPr>
      </w:pPr>
      <w:r w:rsidRPr="006A6890">
        <w:rPr>
          <w:rFonts w:asciiTheme="minorHAnsi" w:hAnsiTheme="minorHAnsi"/>
        </w:rPr>
        <w:t>A számításoknak aggregátumok (főkönyv, ügylettípusok összesített állományai) helyett lehetőleg egyedi ügyleteken kell alapulniuk.</w:t>
      </w:r>
    </w:p>
    <w:p w14:paraId="7FFFEDF2" w14:textId="77777777" w:rsidR="008A78E3" w:rsidRPr="006A6890" w:rsidRDefault="008A78E3" w:rsidP="00CD1B46">
      <w:pPr>
        <w:pStyle w:val="felsorolsos"/>
        <w:numPr>
          <w:ilvl w:val="0"/>
          <w:numId w:val="68"/>
        </w:numPr>
        <w:spacing w:after="150" w:line="276" w:lineRule="auto"/>
        <w:rPr>
          <w:rFonts w:asciiTheme="minorHAnsi" w:hAnsiTheme="minorHAnsi"/>
        </w:rPr>
      </w:pPr>
      <w:r w:rsidRPr="006A6890">
        <w:rPr>
          <w:rFonts w:asciiTheme="minorHAnsi" w:hAnsiTheme="minorHAnsi"/>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7FFFEDF3" w14:textId="77777777" w:rsidR="008A78E3" w:rsidRPr="006A6890" w:rsidRDefault="008A78E3" w:rsidP="003740BE">
      <w:pPr>
        <w:pStyle w:val="felsorolsos"/>
        <w:rPr>
          <w:rFonts w:asciiTheme="minorHAnsi" w:hAnsiTheme="minorHAnsi"/>
        </w:rPr>
      </w:pPr>
      <w:r w:rsidRPr="006A6890">
        <w:rPr>
          <w:rFonts w:asciiTheme="minorHAnsi" w:hAnsiTheme="minorHAnsi"/>
        </w:rPr>
        <w:t>LCR napi szintű előállításának képessége. Törekedni kell, hogy az érték minél kevesebb becslést tartalmazzon.</w:t>
      </w:r>
    </w:p>
    <w:p w14:paraId="7FFFEDF4" w14:textId="77777777" w:rsidR="008A78E3" w:rsidRPr="006A6890" w:rsidRDefault="008A78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7FFFEDF5" w14:textId="77777777" w:rsidR="008A78E3" w:rsidRPr="006A6890" w:rsidRDefault="008A78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7FFFEDF6" w14:textId="77777777" w:rsidR="008A78E3" w:rsidRPr="006A6890" w:rsidRDefault="008A78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7FFFEDF7" w14:textId="77777777" w:rsidR="008A78E3" w:rsidRPr="006A6890" w:rsidRDefault="008A78E3" w:rsidP="00D22CF9">
      <w:pPr>
        <w:rPr>
          <w:rFonts w:asciiTheme="minorHAnsi" w:hAnsiTheme="minorHAnsi"/>
        </w:rPr>
      </w:pPr>
      <w:r w:rsidRPr="006A6890">
        <w:rPr>
          <w:rFonts w:asciiTheme="minorHAnsi" w:hAnsiTheme="minorHAnsi"/>
        </w:rPr>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7FFFEDF8" w14:textId="77777777" w:rsidR="008A78E3" w:rsidRPr="006A6890" w:rsidRDefault="008A78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7FFFEDF9" w14:textId="77777777" w:rsidR="008A78E3" w:rsidRPr="006A6890" w:rsidRDefault="008A78E3" w:rsidP="009F4CDA">
      <w:pPr>
        <w:pStyle w:val="Cmsor2"/>
        <w:rPr>
          <w:rStyle w:val="Kiemels"/>
          <w:rFonts w:asciiTheme="minorHAnsi" w:hAnsiTheme="minorHAnsi"/>
          <w:b w:val="0"/>
          <w:i w:val="0"/>
        </w:rPr>
      </w:pPr>
      <w:bookmarkStart w:id="1500" w:name="_Toc461095258"/>
      <w:bookmarkStart w:id="1501" w:name="_Toc461179221"/>
      <w:bookmarkStart w:id="1502" w:name="_Toc461179914"/>
      <w:bookmarkStart w:id="1503" w:name="_Toc461197762"/>
      <w:bookmarkStart w:id="1504" w:name="_Toc461201358"/>
      <w:bookmarkStart w:id="1505" w:name="_Toc461548059"/>
      <w:bookmarkStart w:id="1506" w:name="_Toc462402099"/>
      <w:bookmarkStart w:id="1507" w:name="_Toc462403224"/>
      <w:bookmarkStart w:id="1508" w:name="_Toc462403548"/>
      <w:bookmarkStart w:id="1509" w:name="_Toc468180667"/>
      <w:bookmarkStart w:id="1510" w:name="_Toc468181224"/>
      <w:bookmarkStart w:id="1511" w:name="_Toc468191490"/>
      <w:bookmarkStart w:id="1512" w:name="_Toc45120009"/>
      <w:bookmarkStart w:id="1513" w:name="_Toc58512292"/>
      <w:bookmarkStart w:id="1514" w:name="_Toc158036720"/>
      <w:bookmarkStart w:id="1515" w:name="_Toc390952824"/>
      <w:r w:rsidRPr="006A6890">
        <w:rPr>
          <w:rStyle w:val="Kiemels"/>
          <w:rFonts w:asciiTheme="minorHAnsi" w:hAnsiTheme="minorHAnsi"/>
          <w:i w:val="0"/>
          <w:iCs/>
        </w:rPr>
        <w:t xml:space="preserve">A likviditás megfelelőségének </w:t>
      </w:r>
      <w:r w:rsidRPr="0055569D">
        <w:t>felügyeleti felülvizsgálati folyamata</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6A6890">
        <w:rPr>
          <w:rStyle w:val="Kiemels"/>
          <w:rFonts w:asciiTheme="minorHAnsi" w:hAnsiTheme="minorHAnsi"/>
          <w:i w:val="0"/>
          <w:iCs/>
        </w:rPr>
        <w:t xml:space="preserve"> </w:t>
      </w:r>
      <w:bookmarkEnd w:id="1515"/>
    </w:p>
    <w:p w14:paraId="7FFFEDFA" w14:textId="77777777" w:rsidR="008A78E3" w:rsidRPr="006A6890" w:rsidRDefault="008A78E3" w:rsidP="00181755">
      <w:pPr>
        <w:pStyle w:val="Cmsor3"/>
        <w:rPr>
          <w:rFonts w:asciiTheme="minorHAnsi" w:hAnsiTheme="minorHAnsi"/>
        </w:rPr>
      </w:pPr>
      <w:bookmarkStart w:id="1516" w:name="_Toc461095259"/>
      <w:bookmarkStart w:id="1517" w:name="_Toc461179915"/>
      <w:bookmarkStart w:id="1518" w:name="_Toc461201359"/>
      <w:bookmarkStart w:id="1519" w:name="_Toc461548060"/>
      <w:bookmarkStart w:id="1520" w:name="_Toc462402100"/>
      <w:bookmarkStart w:id="1521" w:name="_Toc462403225"/>
      <w:bookmarkStart w:id="1522" w:name="_Toc462403549"/>
      <w:bookmarkStart w:id="1523" w:name="_Toc468180668"/>
      <w:bookmarkStart w:id="1524" w:name="_Toc468181225"/>
      <w:bookmarkStart w:id="1525" w:name="_Toc468191491"/>
      <w:bookmarkStart w:id="1526" w:name="_Toc45120010"/>
      <w:bookmarkStart w:id="1527" w:name="_Toc58512293"/>
      <w:bookmarkStart w:id="1528" w:name="_Toc158036721"/>
      <w:r w:rsidRPr="006A6890">
        <w:rPr>
          <w:rFonts w:asciiTheme="minorHAnsi" w:hAnsiTheme="minorHAnsi"/>
        </w:rPr>
        <w:t>A likviditási és finanszírozási kockázatok átfogó értékelése</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7FFFEDFB" w14:textId="77777777" w:rsidR="008A78E3" w:rsidRPr="006A6890" w:rsidRDefault="008A78E3" w:rsidP="00D22CF9">
      <w:pPr>
        <w:rPr>
          <w:rFonts w:asciiTheme="minorHAnsi" w:hAnsiTheme="minorHAnsi"/>
        </w:rPr>
      </w:pPr>
      <w:r w:rsidRPr="006A6890">
        <w:rPr>
          <w:rFonts w:asciiTheme="minorHAnsi" w:hAnsiTheme="minorHAnsi"/>
        </w:rPr>
        <w:t xml:space="preserve">A </w:t>
      </w:r>
      <w:r>
        <w:rPr>
          <w:rFonts w:asciiTheme="minorHAnsi" w:hAnsiTheme="minorHAnsi"/>
        </w:rPr>
        <w:t>2008-as</w:t>
      </w:r>
      <w:r w:rsidRPr="006A6890">
        <w:rPr>
          <w:rFonts w:asciiTheme="minorHAnsi" w:hAnsiTheme="minorHAnsi"/>
        </w:rPr>
        <w:t xml:space="preserve"> válság kibontakozását követően jelentős figyelem összpontosult a hitelintézetek napon belüli, rövid és középtávú likviditásának és az éven túli finanszírozhatóságuk fenntarthatóságának kérdéskörére. </w:t>
      </w:r>
      <w:r>
        <w:rPr>
          <w:rFonts w:asciiTheme="minorHAnsi" w:hAnsiTheme="minorHAnsi"/>
        </w:rPr>
        <w:t>Bár a</w:t>
      </w:r>
      <w:r w:rsidRPr="006A6890">
        <w:rPr>
          <w:rFonts w:asciiTheme="minorHAnsi" w:hAnsiTheme="minorHAnsi"/>
        </w:rPr>
        <w:t xml:space="preserve"> Basel III-as szabályozói keretrendszer</w:t>
      </w:r>
      <w:r w:rsidRPr="0046207C">
        <w:rPr>
          <w:rFonts w:asciiTheme="minorHAnsi" w:hAnsiTheme="minorHAnsi"/>
        </w:rPr>
        <w:t xml:space="preserve"> </w:t>
      </w:r>
      <w:r w:rsidRPr="006A6890">
        <w:rPr>
          <w:rFonts w:asciiTheme="minorHAnsi" w:hAnsiTheme="minorHAnsi"/>
        </w:rPr>
        <w:t>keretrendszer</w:t>
      </w:r>
      <w:r>
        <w:rPr>
          <w:rFonts w:asciiTheme="minorHAnsi" w:hAnsiTheme="minorHAnsi"/>
        </w:rPr>
        <w:t xml:space="preserve"> európai implementációja az NSFR 2021 évi hatálybalépésével lényegében teljessé vált a likviditás tekintetében</w:t>
      </w:r>
      <w:r w:rsidRPr="006A6890">
        <w:rPr>
          <w:rFonts w:asciiTheme="minorHAnsi" w:hAnsiTheme="minorHAnsi"/>
        </w:rPr>
        <w:t xml:space="preserve">, </w:t>
      </w:r>
      <w:r>
        <w:rPr>
          <w:rFonts w:asciiTheme="minorHAnsi" w:hAnsiTheme="minorHAnsi"/>
        </w:rPr>
        <w:t>további módosítások folyamatosan érkeznek. Az intézményektől elvárt, hogy a nemzetközi és nemzeti jogszabályi változásokat, ajánlásokat kövessék és kockázatkezelési rendszerükbe építsék be. Elvárás, hogy az intézmények a ’jogszabályi változásokat’ tágan értelmezzék, pl a nagykockázatvállalási szabályozás, vagy akár a monetáris politikai eszköztár változása is hatással lehet a likviditásra. Az MNB a friss változások banki alkalmazását kiemelten vizsgálja.</w:t>
      </w:r>
    </w:p>
    <w:p w14:paraId="7FFFEDFC" w14:textId="77777777" w:rsidR="008A78E3" w:rsidRPr="006A6890" w:rsidRDefault="008A78E3"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 Ezek az externális hatások, illetve az intézmények hasonló finanszírozási és kockázatkezelési profilja által bizonyos piacokra, forrástípusokra és partnerekre való túlzott támaszkodás olyan többlet-kockázatokat generálnak, melyek az egyedi intézményi kockázatkezeléshez képest többlet-követelményeket indokolnak. (Például egyedi szinten nem feltétlenül jelent kockázatot instabil forrásokból állampapírt vásárolni, azonban több ilyen intézményt érintő forráskivonás esetén az állampapírpiaci eladói nyomás már rendszerszintű zavarokat okozhat.)</w:t>
      </w:r>
    </w:p>
    <w:p w14:paraId="7FFFEDFD" w14:textId="77777777" w:rsidR="008A78E3" w:rsidRPr="006A6890" w:rsidRDefault="008A78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7FFFEDFE" w14:textId="77777777" w:rsidR="008A78E3" w:rsidRPr="006A6890" w:rsidRDefault="008A78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7FFFEDFF" w14:textId="77777777" w:rsidR="008A78E3" w:rsidRPr="006A6890" w:rsidRDefault="008A78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7FFFEE00" w14:textId="77777777" w:rsidR="008A78E3" w:rsidRPr="006A6890" w:rsidRDefault="008A78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7FFFEE01" w14:textId="77777777" w:rsidR="008A78E3" w:rsidRPr="006A6890" w:rsidRDefault="008A78E3" w:rsidP="00181755">
      <w:pPr>
        <w:pStyle w:val="felsorolsos"/>
        <w:rPr>
          <w:rFonts w:asciiTheme="minorHAnsi" w:hAnsiTheme="minorHAnsi"/>
        </w:rPr>
      </w:pPr>
      <w:r w:rsidRPr="006A6890">
        <w:rPr>
          <w:rFonts w:asciiTheme="minorHAnsi" w:hAnsiTheme="minorHAnsi"/>
        </w:rPr>
        <w:t>inherens finanszírozási kockázatát,</w:t>
      </w:r>
    </w:p>
    <w:p w14:paraId="7FFFEE02" w14:textId="77777777" w:rsidR="008A78E3" w:rsidRPr="006A6890" w:rsidRDefault="008A78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7FFFEE03" w14:textId="77777777" w:rsidR="008A78E3" w:rsidRPr="006A6890" w:rsidRDefault="008A78E3" w:rsidP="00181755">
      <w:pPr>
        <w:pStyle w:val="felsorolsos"/>
        <w:rPr>
          <w:rFonts w:asciiTheme="minorHAnsi" w:hAnsiTheme="minorHAnsi"/>
        </w:rPr>
      </w:pPr>
      <w:r w:rsidRPr="006A6890">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7FFFEE04" w14:textId="77777777" w:rsidR="008A78E3" w:rsidRPr="006A6890" w:rsidRDefault="008A78E3" w:rsidP="00D22CF9">
      <w:pPr>
        <w:rPr>
          <w:rFonts w:asciiTheme="minorHAnsi" w:hAnsiTheme="minorHAnsi"/>
        </w:rPr>
      </w:pPr>
      <w:r w:rsidRPr="006A6890">
        <w:rPr>
          <w:rFonts w:asciiTheme="minorHAnsi" w:hAnsiTheme="minorHAnsi"/>
        </w:rPr>
        <w:t>Az inherens likviditási kockázat értékelése során az MNB</w:t>
      </w:r>
    </w:p>
    <w:p w14:paraId="7FFFEE05" w14:textId="77777777" w:rsidR="008A78E3" w:rsidRPr="006A6890" w:rsidRDefault="008A78E3"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p>
    <w:p w14:paraId="7FFFEE06" w14:textId="77777777" w:rsidR="008A78E3" w:rsidRPr="006A6890" w:rsidRDefault="008A78E3" w:rsidP="00181755">
      <w:pPr>
        <w:pStyle w:val="felsorolsos"/>
        <w:rPr>
          <w:rFonts w:asciiTheme="minorHAnsi" w:hAnsiTheme="minorHAnsi"/>
        </w:rPr>
      </w:pPr>
      <w:r w:rsidRPr="006A6890">
        <w:rPr>
          <w:rFonts w:asciiTheme="minorHAnsi" w:hAnsiTheme="minorHAnsi"/>
        </w:rPr>
        <w:t>áttekinti az intézmény saját stressz-tesztjét, a likviditási fedezetlenséget, a lehívási likviditási kockázatot, a túlélési periódust (time to wall survival analyses),</w:t>
      </w:r>
    </w:p>
    <w:p w14:paraId="7FFFEE07" w14:textId="77777777" w:rsidR="008A78E3" w:rsidRPr="006A6890" w:rsidRDefault="008A78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Pr>
          <w:rStyle w:val="Lbjegyzet-hivatkozs"/>
          <w:rFonts w:asciiTheme="minorHAnsi" w:hAnsiTheme="minorHAnsi"/>
        </w:rPr>
        <w:footnoteReference w:id="123"/>
      </w:r>
      <w:r w:rsidRPr="006A6890">
        <w:rPr>
          <w:rFonts w:asciiTheme="minorHAnsi" w:hAnsiTheme="minorHAnsi"/>
        </w:rPr>
        <w:t>,</w:t>
      </w:r>
    </w:p>
    <w:p w14:paraId="7FFFEE08" w14:textId="77777777" w:rsidR="008A78E3" w:rsidRPr="006A6890" w:rsidRDefault="008A78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w:t>
      </w:r>
      <w:r>
        <w:rPr>
          <w:rFonts w:asciiTheme="minorHAnsi" w:hAnsiTheme="minorHAnsi"/>
        </w:rPr>
        <w:t xml:space="preserve"> </w:t>
      </w:r>
      <w:r w:rsidRPr="006A6890">
        <w:rPr>
          <w:rFonts w:asciiTheme="minorHAnsi" w:hAnsiTheme="minorHAnsi"/>
        </w:rPr>
        <w:t>mutatóját a kapcsolódó számításokkal és azok elemzésével.</w:t>
      </w:r>
    </w:p>
    <w:p w14:paraId="7FFFEE09" w14:textId="77777777" w:rsidR="008A78E3" w:rsidRPr="006A6890" w:rsidRDefault="008A78E3" w:rsidP="00D22CF9">
      <w:pPr>
        <w:rPr>
          <w:rFonts w:asciiTheme="minorHAnsi" w:hAnsiTheme="minorHAnsi"/>
        </w:rPr>
      </w:pPr>
      <w:r w:rsidRPr="006A6890">
        <w:rPr>
          <w:rFonts w:asciiTheme="minorHAnsi" w:hAnsiTheme="minorHAnsi"/>
        </w:rPr>
        <w:t>Az inherens finanszírozási kockázat értékelése során az MNB</w:t>
      </w:r>
    </w:p>
    <w:p w14:paraId="7FFFEE0A" w14:textId="77777777" w:rsidR="008A78E3" w:rsidRPr="006A6890" w:rsidRDefault="008A78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7FFFEE0B" w14:textId="77777777" w:rsidR="008A78E3" w:rsidRPr="006A6890" w:rsidRDefault="008A78E3"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Pr>
          <w:rFonts w:asciiTheme="minorHAnsi" w:hAnsiTheme="minorHAnsi"/>
          <w:vertAlign w:val="superscript"/>
        </w:rPr>
        <w:footnoteReference w:id="124"/>
      </w:r>
      <w:r w:rsidRPr="006A6890">
        <w:rPr>
          <w:rFonts w:asciiTheme="minorHAnsi" w:hAnsiTheme="minorHAnsi"/>
        </w:rPr>
        <w:t>, és NSFR</w:t>
      </w:r>
      <w:r>
        <w:rPr>
          <w:rFonts w:asciiTheme="minorHAnsi" w:hAnsiTheme="minorHAnsi"/>
          <w:vertAlign w:val="superscript"/>
        </w:rPr>
        <w:footnoteReference w:id="125"/>
      </w:r>
      <w:r w:rsidRPr="006A6890">
        <w:rPr>
          <w:rFonts w:asciiTheme="minorHAnsi" w:hAnsiTheme="minorHAnsi"/>
        </w:rPr>
        <w:t xml:space="preserve"> mutatóval,</w:t>
      </w:r>
    </w:p>
    <w:p w14:paraId="7FFFEE0C" w14:textId="77777777" w:rsidR="008A78E3" w:rsidRPr="006A6890" w:rsidRDefault="008A78E3"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7FFFEE0D" w14:textId="77777777" w:rsidR="008A78E3" w:rsidRPr="006A6890" w:rsidRDefault="008A78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7FFFEE0E" w14:textId="77777777" w:rsidR="008A78E3" w:rsidRPr="006A6890" w:rsidRDefault="008A78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p>
    <w:p w14:paraId="7FFFEE0F" w14:textId="77777777" w:rsidR="008A78E3" w:rsidRPr="006A6890" w:rsidRDefault="008A78E3"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Pr>
          <w:rFonts w:asciiTheme="minorHAnsi" w:hAnsiTheme="minorHAnsi"/>
          <w:vertAlign w:val="superscript"/>
        </w:rPr>
        <w:footnoteReference w:id="126"/>
      </w:r>
      <w:r>
        <w:rPr>
          <w:rFonts w:asciiTheme="minorHAnsi" w:hAnsiTheme="minorHAnsi"/>
        </w:rPr>
        <w:t>,</w:t>
      </w:r>
      <w:r w:rsidRPr="006A6890">
        <w:rPr>
          <w:rFonts w:asciiTheme="minorHAnsi" w:hAnsiTheme="minorHAnsi"/>
        </w:rPr>
        <w:t xml:space="preserve"> IG2</w:t>
      </w:r>
      <w:r>
        <w:rPr>
          <w:rFonts w:asciiTheme="minorHAnsi" w:hAnsiTheme="minorHAnsi"/>
        </w:rPr>
        <w:t xml:space="preserve"> és az Azonnali Fizetési Rendszer</w:t>
      </w:r>
      <w:r w:rsidRPr="006A6890">
        <w:rPr>
          <w:rFonts w:asciiTheme="minorHAnsi" w:hAnsiTheme="minorHAnsi"/>
        </w:rPr>
        <w:t xml:space="preserve"> pénzforgalom lebonyolítását a kapcsolódó fedezetekkel, és a kötelező jegybanki tartalékolás teljesítésének folyamatát,</w:t>
      </w:r>
    </w:p>
    <w:p w14:paraId="7FFFEE10" w14:textId="77777777" w:rsidR="008A78E3" w:rsidRPr="006A6890" w:rsidRDefault="008A78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FFFEE11" w14:textId="77777777" w:rsidR="008A78E3" w:rsidRPr="006A6890" w:rsidRDefault="008A78E3" w:rsidP="00181755">
      <w:pPr>
        <w:pStyle w:val="felsorolsos"/>
        <w:rPr>
          <w:rFonts w:asciiTheme="minorHAnsi" w:hAnsiTheme="minorHAnsi"/>
        </w:rPr>
      </w:pPr>
      <w:r w:rsidRPr="006A6890">
        <w:rPr>
          <w:rFonts w:asciiTheme="minorHAnsi" w:hAnsiTheme="minorHAnsi"/>
        </w:rPr>
        <w:t>vizsgálja a kockázatkezelési folyamatokat: 1) a hónapon belüli monitoring, 2) a mutató előrejelzése (pl hitelfolyósítások, nagybetétesekkel kapcsolattartás), 3) kipróbált és gyors puffernövelő mechanizmusok (pl. anyabanki hitelkeret)</w:t>
      </w:r>
      <w:r>
        <w:rPr>
          <w:rStyle w:val="Lbjegyzet-hivatkozs"/>
          <w:rFonts w:asciiTheme="minorHAnsi" w:hAnsiTheme="minorHAnsi"/>
        </w:rPr>
        <w:footnoteReference w:id="127"/>
      </w:r>
      <w:r w:rsidRPr="006A6890">
        <w:rPr>
          <w:rFonts w:asciiTheme="minorHAnsi" w:hAnsiTheme="minorHAnsi"/>
        </w:rPr>
        <w:t>,</w:t>
      </w:r>
    </w:p>
    <w:p w14:paraId="7FFFEE12" w14:textId="77777777" w:rsidR="008A78E3" w:rsidRPr="006A6890" w:rsidRDefault="008A78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7FFFEE13" w14:textId="77777777" w:rsidR="008A78E3" w:rsidRPr="006A6890" w:rsidRDefault="008A78E3" w:rsidP="001E3A50">
      <w:pPr>
        <w:pStyle w:val="Cmsor3"/>
        <w:rPr>
          <w:rFonts w:asciiTheme="minorHAnsi" w:hAnsiTheme="minorHAnsi"/>
        </w:rPr>
      </w:pPr>
      <w:bookmarkStart w:id="1529" w:name="_Toc45120011"/>
      <w:bookmarkStart w:id="1530" w:name="_Toc58512294"/>
      <w:bookmarkStart w:id="1531" w:name="_Toc158036722"/>
      <w:bookmarkStart w:id="1532" w:name="_Toc461095260"/>
      <w:bookmarkStart w:id="1533" w:name="_Toc461179916"/>
      <w:bookmarkStart w:id="1534" w:name="_Toc461201360"/>
      <w:bookmarkStart w:id="1535" w:name="_Toc461548061"/>
      <w:bookmarkStart w:id="1536" w:name="_Toc462402101"/>
      <w:bookmarkStart w:id="1537" w:name="_Toc462403226"/>
      <w:bookmarkStart w:id="1538" w:name="_Toc462403550"/>
      <w:bookmarkStart w:id="1539" w:name="_Toc468180669"/>
      <w:bookmarkStart w:id="1540" w:name="_Toc468181226"/>
      <w:bookmarkStart w:id="1541" w:name="_Toc468191492"/>
      <w:r w:rsidRPr="006A6890">
        <w:rPr>
          <w:rFonts w:asciiTheme="minorHAnsi" w:hAnsiTheme="minorHAnsi"/>
        </w:rPr>
        <w:t>Kockázatkezelési hiányosságok miatti többlet-követelmények</w:t>
      </w:r>
      <w:bookmarkEnd w:id="1529"/>
      <w:bookmarkEnd w:id="1530"/>
      <w:bookmarkEnd w:id="1531"/>
    </w:p>
    <w:bookmarkEnd w:id="1532"/>
    <w:bookmarkEnd w:id="1533"/>
    <w:bookmarkEnd w:id="1534"/>
    <w:bookmarkEnd w:id="1535"/>
    <w:bookmarkEnd w:id="1536"/>
    <w:bookmarkEnd w:id="1537"/>
    <w:bookmarkEnd w:id="1538"/>
    <w:bookmarkEnd w:id="1539"/>
    <w:bookmarkEnd w:id="1540"/>
    <w:bookmarkEnd w:id="1541"/>
    <w:p w14:paraId="7FFFEE14" w14:textId="77777777" w:rsidR="008A78E3" w:rsidRPr="006A6890" w:rsidRDefault="008A78E3" w:rsidP="00D22CF9">
      <w:pPr>
        <w:rPr>
          <w:rFonts w:asciiTheme="minorHAnsi" w:hAnsiTheme="minorHAnsi"/>
        </w:rPr>
      </w:pPr>
      <w:r w:rsidRPr="006A6890">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7FFFEE15" w14:textId="77777777" w:rsidR="008A78E3" w:rsidRPr="006A6890" w:rsidRDefault="008A78E3" w:rsidP="00D22CF9">
      <w:pPr>
        <w:rPr>
          <w:rFonts w:asciiTheme="minorHAnsi" w:hAnsiTheme="minorHAnsi"/>
        </w:rPr>
      </w:pPr>
      <w:r w:rsidRPr="006A6890">
        <w:rPr>
          <w:rFonts w:asciiTheme="minorHAnsi" w:hAnsiTheme="minorHAnsi"/>
        </w:rPr>
        <w:t>Az egyedi likviditási követelmények meghatározása során az MNB-nek a Hpt. 181. cikke alapján figyelembe kell vennie</w:t>
      </w:r>
    </w:p>
    <w:p w14:paraId="7FFFEE16" w14:textId="77777777" w:rsidR="008A78E3" w:rsidRPr="006A6890" w:rsidRDefault="008A78E3" w:rsidP="00181755">
      <w:pPr>
        <w:pStyle w:val="felsorolsos"/>
        <w:rPr>
          <w:rFonts w:asciiTheme="minorHAnsi" w:hAnsiTheme="minorHAnsi"/>
        </w:rPr>
      </w:pPr>
      <w:r w:rsidRPr="006A6890">
        <w:rPr>
          <w:rFonts w:asciiTheme="minorHAnsi" w:hAnsiTheme="minorHAnsi"/>
        </w:rPr>
        <w:t>a hitelintézet üzleti modelljét,</w:t>
      </w:r>
    </w:p>
    <w:p w14:paraId="7FFFEE17" w14:textId="77777777" w:rsidR="008A78E3" w:rsidRPr="006A6890" w:rsidRDefault="008A78E3" w:rsidP="00181755">
      <w:pPr>
        <w:pStyle w:val="felsorolsos"/>
        <w:rPr>
          <w:rFonts w:asciiTheme="minorHAnsi" w:hAnsiTheme="minorHAnsi"/>
        </w:rPr>
      </w:pPr>
      <w:r w:rsidRPr="006A6890">
        <w:rPr>
          <w:rFonts w:asciiTheme="minorHAnsi" w:hAnsiTheme="minorHAnsi"/>
        </w:rPr>
        <w:t>a Hpt. 108. cikk (5) bekezdés f) pontjában meghatározott rendszereket, eljárásokat és mechanizmusokat, és azok megfelelőségét,</w:t>
      </w:r>
    </w:p>
    <w:p w14:paraId="7FFFEE18" w14:textId="77777777" w:rsidR="008A78E3" w:rsidRPr="006A6890" w:rsidRDefault="008A78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7FFFEE19" w14:textId="77777777" w:rsidR="008A78E3" w:rsidRPr="006A6890" w:rsidRDefault="008A78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7FFFEE1A" w14:textId="77777777" w:rsidR="008A78E3" w:rsidRPr="006A6890" w:rsidRDefault="008A78E3" w:rsidP="00D22CF9">
      <w:pPr>
        <w:rPr>
          <w:rFonts w:asciiTheme="minorHAnsi" w:hAnsiTheme="minorHAnsi"/>
        </w:rPr>
      </w:pPr>
      <w:r w:rsidRPr="006A6890">
        <w:rPr>
          <w:rFonts w:asciiTheme="minorHAnsi" w:hAnsiTheme="minorHAnsi"/>
        </w:rPr>
        <w:t>A pótlólagos likviditás mértékére vonatkozóan az MNB előírhatja:</w:t>
      </w:r>
    </w:p>
    <w:p w14:paraId="7FFFEE1B" w14:textId="77777777" w:rsidR="008A78E3" w:rsidRPr="006A6890" w:rsidRDefault="008A78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7FFFEE1C" w14:textId="77777777" w:rsidR="008A78E3" w:rsidRPr="006A6890" w:rsidRDefault="008A78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7FFFEE1D" w14:textId="77777777" w:rsidR="008A78E3" w:rsidRPr="006A6890" w:rsidRDefault="008A78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7FFFEE1E" w14:textId="77777777" w:rsidR="008A78E3" w:rsidRPr="006A6890" w:rsidRDefault="008A78E3" w:rsidP="00181755">
      <w:pPr>
        <w:pStyle w:val="felsorolsos"/>
        <w:rPr>
          <w:rFonts w:asciiTheme="minorHAnsi" w:hAnsiTheme="minorHAnsi"/>
        </w:rPr>
      </w:pPr>
      <w:r w:rsidRPr="006A6890">
        <w:rPr>
          <w:rFonts w:asciiTheme="minorHAnsi" w:hAnsiTheme="minorHAnsi"/>
        </w:rPr>
        <w:t>a maximális kiáramló cash-flow (MCO</w:t>
      </w:r>
      <w:r>
        <w:rPr>
          <w:rFonts w:asciiTheme="minorHAnsi" w:hAnsiTheme="minorHAnsi"/>
          <w:vertAlign w:val="superscript"/>
        </w:rPr>
        <w:footnoteReference w:id="128"/>
      </w:r>
      <w:r w:rsidRPr="006A6890">
        <w:rPr>
          <w:rFonts w:asciiTheme="minorHAnsi" w:hAnsiTheme="minorHAnsi"/>
        </w:rPr>
        <w:t>) mutató nagyságát egy adott időszakra vonatkozóan,</w:t>
      </w:r>
    </w:p>
    <w:p w14:paraId="7FFFEE1F" w14:textId="77777777" w:rsidR="008A78E3" w:rsidRPr="006A6890" w:rsidRDefault="008A78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7FFFEE20" w14:textId="77777777" w:rsidR="008A78E3" w:rsidRPr="006A6890" w:rsidRDefault="008A78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7FFFEE21" w14:textId="77777777" w:rsidR="008A78E3" w:rsidRPr="006A6890" w:rsidRDefault="008A78E3" w:rsidP="004609BA">
      <w:pPr>
        <w:pStyle w:val="Cmsor3"/>
        <w:rPr>
          <w:rFonts w:asciiTheme="minorHAnsi" w:hAnsiTheme="minorHAnsi"/>
        </w:rPr>
      </w:pPr>
      <w:bookmarkStart w:id="1542" w:name="_Toc45120012"/>
      <w:bookmarkStart w:id="1543" w:name="_Toc58512295"/>
      <w:bookmarkStart w:id="1544" w:name="_Toc158036723"/>
      <w:r w:rsidRPr="006A6890">
        <w:rPr>
          <w:rFonts w:asciiTheme="minorHAnsi" w:hAnsiTheme="minorHAnsi"/>
        </w:rPr>
        <w:t>Az I. pilléres követelmény számításának kiemelt részei</w:t>
      </w:r>
      <w:bookmarkEnd w:id="1542"/>
      <w:bookmarkEnd w:id="1543"/>
      <w:bookmarkEnd w:id="1544"/>
    </w:p>
    <w:p w14:paraId="7FFFEE22" w14:textId="77777777" w:rsidR="008A78E3" w:rsidRPr="006A6890" w:rsidRDefault="008A78E3" w:rsidP="00D22CF9">
      <w:pPr>
        <w:rPr>
          <w:rFonts w:asciiTheme="minorHAnsi" w:hAnsiTheme="minorHAnsi"/>
        </w:rPr>
      </w:pPr>
      <w:r w:rsidRPr="006A6890">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 pontos értelmezésében. Az intézményekkel szemben elvárás, hogy gyakorlatukat vizsgálják felül ezen portfóliók vonatkozásában.</w:t>
      </w:r>
    </w:p>
    <w:p w14:paraId="7FFFEE23" w14:textId="77777777" w:rsidR="008A78E3" w:rsidRPr="006A6890" w:rsidRDefault="008A78E3" w:rsidP="00DF7162">
      <w:pPr>
        <w:pStyle w:val="Cmsor3"/>
        <w:rPr>
          <w:rFonts w:asciiTheme="minorHAnsi" w:hAnsiTheme="minorHAnsi"/>
        </w:rPr>
      </w:pPr>
      <w:bookmarkStart w:id="1545" w:name="_Toc45120013"/>
      <w:bookmarkStart w:id="1546" w:name="_Toc58512296"/>
      <w:bookmarkStart w:id="1547" w:name="_Toc158036724"/>
      <w:r w:rsidRPr="006A6890">
        <w:rPr>
          <w:rFonts w:asciiTheme="minorHAnsi" w:hAnsiTheme="minorHAnsi"/>
        </w:rPr>
        <w:t>Likviditási szempontból kockázatos portfóliók</w:t>
      </w:r>
      <w:bookmarkEnd w:id="1545"/>
      <w:bookmarkEnd w:id="1546"/>
      <w:bookmarkEnd w:id="1547"/>
    </w:p>
    <w:p w14:paraId="7FFFEE24" w14:textId="77777777" w:rsidR="008A78E3" w:rsidRPr="006A6890" w:rsidRDefault="008A78E3" w:rsidP="00D22CF9">
      <w:pPr>
        <w:rPr>
          <w:rFonts w:asciiTheme="minorHAnsi" w:hAnsiTheme="minorHAnsi"/>
        </w:rPr>
      </w:pPr>
      <w:r w:rsidRPr="006A6890">
        <w:rPr>
          <w:rFonts w:asciiTheme="minorHAnsi" w:hAnsiTheme="minorHAnsi"/>
        </w:rPr>
        <w:t>Bár az intézménytől elvárt, hogy saját kockázati listát készítsen és a feltárt kockázatokat kezelje, a felügyelet a tapasztalatai alapján átfogó leltárt készít a több intézménynél is jelentkező kockázatokról. A lista a piaci tendenciák függvényében változhat, ezért a felügyelet ezt évente felülvizsgálja, és a kézikönyv mellékletében közzéteszi (11. számú melléklet: Tájékoztatás a felügyeleti felülvizsgálati folyamat keretében kiemelten kezelt instabil forrásokról és a hozzájuk kapcsolódó likviditási előírásokról). A jó gyakorlatok elterjesztése és az egyenlő versenyfeltételek biztosítása érdekében a felügyelet törekszik arra, hogy módszertani segítséget is nyújtson a tekintetben, hogy melyik mutatóhoz képest és mekkora többletpuffer biztosítása elvárt az intézmény részéről. Elvárt, hogy ezeket az intézmény is értékelje, és amennyiben saját kockázatértékelése azt mutatja, akkor a jogszabály, vagy jelen kéziköny</w:t>
      </w:r>
      <w:r>
        <w:rPr>
          <w:rFonts w:asciiTheme="minorHAnsi" w:hAnsiTheme="minorHAnsi"/>
        </w:rPr>
        <w:t>v</w:t>
      </w:r>
      <w:r w:rsidRPr="006A6890">
        <w:rPr>
          <w:rFonts w:asciiTheme="minorHAnsi" w:hAnsiTheme="minorHAnsi"/>
        </w:rPr>
        <w:t xml:space="preserve"> szerint képzendő puffereknél magasabb szinten állapítsa meg a tartalékokat.</w:t>
      </w:r>
    </w:p>
    <w:p w14:paraId="7FFFEE25" w14:textId="77777777" w:rsidR="008A78E3" w:rsidRPr="006A6890" w:rsidRDefault="008A78E3" w:rsidP="00DF7162">
      <w:pPr>
        <w:pStyle w:val="Cmsor3"/>
        <w:rPr>
          <w:rFonts w:asciiTheme="minorHAnsi" w:hAnsiTheme="minorHAnsi"/>
        </w:rPr>
      </w:pPr>
      <w:bookmarkStart w:id="1548" w:name="_Toc45120014"/>
      <w:bookmarkStart w:id="1549" w:name="_Toc58512297"/>
      <w:bookmarkStart w:id="1550" w:name="_Toc158036725"/>
      <w:r w:rsidRPr="006A6890">
        <w:rPr>
          <w:rFonts w:asciiTheme="minorHAnsi" w:hAnsiTheme="minorHAnsi"/>
        </w:rPr>
        <w:t>A II. pilléres likviditási követelmény számítása és teljesítése</w:t>
      </w:r>
      <w:bookmarkEnd w:id="1548"/>
      <w:bookmarkEnd w:id="1549"/>
      <w:bookmarkEnd w:id="1550"/>
    </w:p>
    <w:p w14:paraId="7FFFEE26" w14:textId="77777777" w:rsidR="008A78E3" w:rsidRPr="006A6890" w:rsidRDefault="008A78E3" w:rsidP="00D22CF9">
      <w:pPr>
        <w:rPr>
          <w:rFonts w:asciiTheme="minorHAnsi" w:hAnsiTheme="minorHAnsi"/>
        </w:rPr>
      </w:pPr>
      <w:r w:rsidRPr="006A6890">
        <w:rPr>
          <w:rFonts w:asciiTheme="minorHAnsi" w:hAnsiTheme="minorHAnsi"/>
        </w:rPr>
        <w:t>Az instabil források melléklet tartalmazza, hogy az egyes kockázatok kezelésére elvárt puffer melyik mutatóhoz képest jelenti a többletet, a nominális meghatározásának módszertanát és a teljesítés formáját is. A likviditási kockázat jellegéből adódóan jelentősen változékony is lehet. Például instabil források beáramlása növeli a kockázatot, majd ezeknek kivonása csökkenti. Ezért a többlet-követelmények felügyelet általi mindenkori (és konkrét összegben való) megállapítása nem megvalósítható. Ebből következően a gyorsan változó kockázatoknál a felügyelet csak a módszertant adja meg, és az intézménynek a kötelessége a változó likviditási kockázatokhoz igazítania a tartalékait.</w:t>
      </w:r>
    </w:p>
    <w:p w14:paraId="7FFFEE27" w14:textId="77777777" w:rsidR="008A78E3" w:rsidRPr="006A6890" w:rsidRDefault="008A78E3" w:rsidP="00D22CF9">
      <w:pPr>
        <w:rPr>
          <w:rFonts w:asciiTheme="minorHAnsi" w:hAnsiTheme="minorHAnsi"/>
        </w:rPr>
      </w:pPr>
      <w:r w:rsidRPr="006A6890">
        <w:rPr>
          <w:rFonts w:asciiTheme="minorHAnsi" w:hAnsiTheme="minorHAnsi"/>
        </w:rPr>
        <w:t>A kockázat jellegétől függően az előírás:</w:t>
      </w:r>
    </w:p>
    <w:p w14:paraId="7FFFEE28" w14:textId="77777777" w:rsidR="008A78E3" w:rsidRPr="006A6890" w:rsidRDefault="008A78E3" w:rsidP="00CD1B46">
      <w:pPr>
        <w:pStyle w:val="Listaszerbekezds"/>
        <w:numPr>
          <w:ilvl w:val="0"/>
          <w:numId w:val="40"/>
        </w:numPr>
        <w:spacing w:after="240"/>
        <w:ind w:left="426"/>
        <w:rPr>
          <w:rFonts w:asciiTheme="minorHAnsi" w:hAnsiTheme="minorHAnsi"/>
          <w:sz w:val="22"/>
        </w:rPr>
      </w:pPr>
      <w:r w:rsidRPr="006A6890">
        <w:rPr>
          <w:rFonts w:asciiTheme="minorHAnsi" w:hAnsiTheme="minorHAnsi"/>
          <w:sz w:val="22"/>
          <w:szCs w:val="22"/>
        </w:rPr>
        <w:t>eltérő mutatókra vonatkozhat</w:t>
      </w:r>
      <w:r>
        <w:rPr>
          <w:rStyle w:val="Lbjegyzet-hivatkozs"/>
          <w:rFonts w:asciiTheme="minorHAnsi" w:hAnsiTheme="minorHAnsi"/>
          <w:sz w:val="22"/>
          <w:szCs w:val="22"/>
        </w:rPr>
        <w:footnoteReference w:id="129"/>
      </w:r>
      <w:r w:rsidRPr="006A6890">
        <w:rPr>
          <w:rFonts w:asciiTheme="minorHAnsi" w:hAnsiTheme="minorHAnsi"/>
          <w:sz w:val="22"/>
          <w:szCs w:val="22"/>
        </w:rPr>
        <w:t>, akár nem szabályozott kockázatra is;</w:t>
      </w:r>
    </w:p>
    <w:p w14:paraId="7FFFEE29" w14:textId="77777777" w:rsidR="008A78E3" w:rsidRPr="006A6890" w:rsidRDefault="008A78E3" w:rsidP="00CD1B46">
      <w:pPr>
        <w:pStyle w:val="Listaszerbekezds"/>
        <w:numPr>
          <w:ilvl w:val="0"/>
          <w:numId w:val="40"/>
        </w:numPr>
        <w:spacing w:after="240"/>
        <w:ind w:left="426"/>
        <w:rPr>
          <w:rFonts w:asciiTheme="minorHAnsi" w:hAnsiTheme="minorHAnsi"/>
          <w:sz w:val="22"/>
          <w:szCs w:val="22"/>
        </w:rPr>
      </w:pPr>
      <w:r w:rsidRPr="006A6890">
        <w:rPr>
          <w:rFonts w:asciiTheme="minorHAnsi" w:hAnsiTheme="minorHAnsi"/>
          <w:sz w:val="22"/>
          <w:szCs w:val="22"/>
        </w:rPr>
        <w:t xml:space="preserve">számszerűsítése történhet nominálisan, százalékosan, vagy előírt magasabb szintként; </w:t>
      </w:r>
    </w:p>
    <w:p w14:paraId="7FFFEE2A" w14:textId="77777777" w:rsidR="008A78E3" w:rsidRPr="006A6890" w:rsidRDefault="008A78E3" w:rsidP="00CD1B46">
      <w:pPr>
        <w:pStyle w:val="Listaszerbekezds"/>
        <w:numPr>
          <w:ilvl w:val="0"/>
          <w:numId w:val="40"/>
        </w:numPr>
        <w:spacing w:after="240"/>
        <w:ind w:left="426"/>
        <w:rPr>
          <w:rFonts w:asciiTheme="minorHAnsi" w:hAnsiTheme="minorHAnsi"/>
          <w:sz w:val="22"/>
          <w:szCs w:val="22"/>
        </w:rPr>
      </w:pPr>
      <w:r w:rsidRPr="006A6890">
        <w:rPr>
          <w:rFonts w:asciiTheme="minorHAnsi" w:hAnsiTheme="minorHAnsi"/>
          <w:sz w:val="22"/>
          <w:szCs w:val="22"/>
        </w:rPr>
        <w:t>vonatkozhat előre rögzített és rendszeresen felülvizsgált időtávra, vagy módszertan alapján megállapított, vagy havonta változó.</w:t>
      </w:r>
    </w:p>
    <w:p w14:paraId="7FFFEE2B" w14:textId="77777777" w:rsidR="008A78E3" w:rsidRPr="006A6890" w:rsidRDefault="008A78E3"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 A felügyelet törekszik arra, hogy a többletkövetelményeket a folyamatos felügyelés keretében is ellenőrizhető formában fogalmazza meg.</w:t>
      </w:r>
    </w:p>
    <w:p w14:paraId="7FFFEE2C" w14:textId="77777777" w:rsidR="008A78E3" w:rsidRDefault="008A78E3" w:rsidP="00D22CF9">
      <w:pPr>
        <w:rPr>
          <w:rFonts w:asciiTheme="minorHAnsi" w:hAnsiTheme="minorHAnsi"/>
        </w:rPr>
      </w:pPr>
      <w:r w:rsidRPr="006A6890">
        <w:rPr>
          <w:rFonts w:asciiTheme="minorHAnsi" w:hAnsiTheme="minorHAnsi"/>
        </w:rPr>
        <w:t>A jelenlegi</w:t>
      </w:r>
      <w:r>
        <w:rPr>
          <w:rStyle w:val="Lbjegyzet-hivatkozs"/>
          <w:rFonts w:asciiTheme="minorHAnsi" w:hAnsiTheme="minorHAnsi"/>
        </w:rPr>
        <w:footnoteReference w:id="130"/>
      </w:r>
      <w:r w:rsidRPr="006A6890">
        <w:rPr>
          <w:rFonts w:asciiTheme="minorHAnsi" w:hAnsiTheme="minorHAnsi"/>
        </w:rPr>
        <w:t xml:space="preserve"> rendszeres adatszolgáltatásban csak LCR szabályozáshoz kapcsolódó, többlet-követelményeket szükséges jelenteni a C_76.00 táblában.</w:t>
      </w:r>
    </w:p>
    <w:p w14:paraId="7FFFEE2D" w14:textId="77777777" w:rsidR="008A78E3" w:rsidRPr="006A6890" w:rsidRDefault="008A78E3" w:rsidP="00D22CF9">
      <w:pPr>
        <w:rPr>
          <w:rFonts w:asciiTheme="minorHAnsi" w:hAnsiTheme="minorHAnsi"/>
        </w:rPr>
      </w:pPr>
      <w:r>
        <w:rPr>
          <w:rFonts w:asciiTheme="minorHAnsi" w:hAnsiTheme="minorHAnsi"/>
        </w:rPr>
        <w:t xml:space="preserve">Intézményekkel szembeni elvárás, hogy a többletkövetelményeket a belső kockázatkezelési rendszereiben is jelenítse meg. A felügyeleti kommunikációt megkönnyítendő a többletkövetelmények figyelembevételének módját a </w:t>
      </w:r>
      <w:r w:rsidRPr="006A6890">
        <w:rPr>
          <w:rFonts w:asciiTheme="minorHAnsi" w:hAnsiTheme="minorHAnsi"/>
        </w:rPr>
        <w:t xml:space="preserve">11. számú melléklet </w:t>
      </w:r>
      <w:r>
        <w:rPr>
          <w:rFonts w:asciiTheme="minorHAnsi" w:hAnsiTheme="minorHAnsi"/>
        </w:rPr>
        <w:t>(</w:t>
      </w:r>
      <w:r w:rsidRPr="006A6890">
        <w:rPr>
          <w:rFonts w:asciiTheme="minorHAnsi" w:hAnsiTheme="minorHAnsi"/>
        </w:rPr>
        <w:t>Tájékoztatás a felügyeleti felülvizsgálati folyamat keretében kiemelten kezelt instabil forrásokról és a hozzájuk kapcsolódó likviditási előírásokról</w:t>
      </w:r>
      <w:r>
        <w:rPr>
          <w:rFonts w:asciiTheme="minorHAnsi" w:hAnsiTheme="minorHAnsi"/>
        </w:rPr>
        <w:t>) tartalmazza.</w:t>
      </w:r>
    </w:p>
    <w:p w14:paraId="7FFFEE2E" w14:textId="77777777" w:rsidR="008A78E3" w:rsidRPr="006A6890" w:rsidRDefault="008A78E3" w:rsidP="00181755">
      <w:pPr>
        <w:pStyle w:val="Cmsor1"/>
      </w:pPr>
      <w:bookmarkStart w:id="1551" w:name="_Toc462403227"/>
      <w:bookmarkStart w:id="1552" w:name="_Toc462403551"/>
      <w:bookmarkStart w:id="1553" w:name="_Toc468180670"/>
      <w:bookmarkStart w:id="1554" w:name="_Toc468181227"/>
      <w:bookmarkStart w:id="1555" w:name="_Toc468191493"/>
      <w:bookmarkStart w:id="1556" w:name="_Toc45120015"/>
      <w:bookmarkStart w:id="1557" w:name="_Toc58512298"/>
      <w:bookmarkStart w:id="1558" w:name="_Toc158036726"/>
      <w:r w:rsidRPr="006A6890">
        <w:t>Az üzleti modell elemzés</w:t>
      </w:r>
      <w:bookmarkEnd w:id="1551"/>
      <w:bookmarkEnd w:id="1552"/>
      <w:bookmarkEnd w:id="1553"/>
      <w:bookmarkEnd w:id="1554"/>
      <w:bookmarkEnd w:id="1555"/>
      <w:bookmarkEnd w:id="1556"/>
      <w:bookmarkEnd w:id="1557"/>
      <w:bookmarkEnd w:id="1558"/>
    </w:p>
    <w:p w14:paraId="7FFFEE2F" w14:textId="77777777" w:rsidR="008A78E3" w:rsidRPr="006A6890" w:rsidRDefault="008A78E3" w:rsidP="00CD1B46">
      <w:pPr>
        <w:pStyle w:val="Cmsor1"/>
        <w:numPr>
          <w:ilvl w:val="0"/>
          <w:numId w:val="72"/>
        </w:numPr>
      </w:pPr>
      <w:bookmarkStart w:id="1559" w:name="_Toc45120016"/>
      <w:bookmarkStart w:id="1560" w:name="_Toc58512299"/>
      <w:bookmarkStart w:id="1561" w:name="_Toc158036727"/>
      <w:r w:rsidRPr="006A6890">
        <w:t>Az üzleti modell elemzés</w:t>
      </w:r>
      <w:bookmarkEnd w:id="1559"/>
      <w:bookmarkEnd w:id="1560"/>
      <w:bookmarkEnd w:id="1561"/>
    </w:p>
    <w:p w14:paraId="7FFFEE30" w14:textId="77777777" w:rsidR="008A78E3" w:rsidRPr="006A6890" w:rsidRDefault="008A78E3"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Pr>
          <w:rStyle w:val="Lbjegyzet-hivatkozs"/>
          <w:rFonts w:asciiTheme="minorHAnsi" w:hAnsiTheme="minorHAnsi"/>
        </w:rPr>
        <w:footnoteReference w:id="131"/>
      </w:r>
      <w:r w:rsidRPr="006A6890">
        <w:rPr>
          <w:rFonts w:asciiTheme="minorHAnsi" w:hAnsiTheme="minorHAnsi"/>
        </w:rPr>
        <w:t>. A rendszeres üzleti modell elemzés célja az üzleti és stratégiai kockázatok értékelése, valamint a következők meghatározása, megítélése:</w:t>
      </w:r>
    </w:p>
    <w:p w14:paraId="7FFFEE31" w14:textId="77777777" w:rsidR="008A78E3" w:rsidRPr="004B5D1A" w:rsidRDefault="008A78E3" w:rsidP="00CD1B46">
      <w:pPr>
        <w:pStyle w:val="Listaszerbekezds"/>
        <w:numPr>
          <w:ilvl w:val="0"/>
          <w:numId w:val="15"/>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7FFFEE32" w14:textId="77777777" w:rsidR="008A78E3" w:rsidRPr="004B5D1A" w:rsidRDefault="008A78E3" w:rsidP="00CD1B46">
      <w:pPr>
        <w:pStyle w:val="Listaszerbekezds"/>
        <w:numPr>
          <w:ilvl w:val="0"/>
          <w:numId w:val="15"/>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7FFFEE33" w14:textId="77777777" w:rsidR="008A78E3" w:rsidRPr="006A6890" w:rsidRDefault="008A78E3"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7FFFEE34" w14:textId="77777777" w:rsidR="008A78E3" w:rsidRPr="006A6890" w:rsidRDefault="008A78E3"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FFFEE35" w14:textId="77777777" w:rsidR="008A78E3" w:rsidRPr="004B5D1A" w:rsidRDefault="008A78E3"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termel az intézmény nyereséget jelenleg?</w:t>
      </w:r>
    </w:p>
    <w:p w14:paraId="7FFFEE36" w14:textId="77777777" w:rsidR="008A78E3" w:rsidRPr="004B5D1A" w:rsidRDefault="008A78E3"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Melyek az eredményt befolyásoló legfőbb tényezők?</w:t>
      </w:r>
    </w:p>
    <w:p w14:paraId="7FFFEE37" w14:textId="77777777" w:rsidR="008A78E3" w:rsidRPr="004B5D1A" w:rsidRDefault="008A78E3"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7FFFEE38" w14:textId="77777777" w:rsidR="008A78E3" w:rsidRPr="004B5D1A" w:rsidRDefault="008A78E3"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7FFFEE39" w14:textId="77777777" w:rsidR="008A78E3" w:rsidRPr="006A6890" w:rsidRDefault="008A78E3"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7FFFEE3A" w14:textId="77777777" w:rsidR="008A78E3" w:rsidRPr="006A6890" w:rsidRDefault="008A78E3" w:rsidP="00D22CF9">
      <w:pPr>
        <w:rPr>
          <w:rFonts w:asciiTheme="minorHAnsi" w:hAnsiTheme="minorHAnsi"/>
        </w:rPr>
      </w:pPr>
      <w:r w:rsidRPr="006A6890">
        <w:rPr>
          <w:rFonts w:asciiTheme="minorHAnsi" w:hAnsiTheme="minorHAnsi"/>
          <w:b/>
        </w:rPr>
        <w:t xml:space="preserve"> (1)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7FFFEE3B" w14:textId="77777777" w:rsidR="008A78E3" w:rsidRPr="006A6890" w:rsidRDefault="008A78E3" w:rsidP="00D22CF9">
      <w:pPr>
        <w:rPr>
          <w:rFonts w:asciiTheme="minorHAnsi" w:hAnsiTheme="minorHAnsi"/>
        </w:rPr>
      </w:pPr>
      <w:r w:rsidRPr="006A6890">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figyelembevételével, valamint az intézmény teljesítményére és jövedelmezőségére potenciális hatást gyakorló piaci trendek (szabályozási-, technikai, technológiai-, társadalmi, demográfiai trendek, stb.) azonosítása, elemzése.</w:t>
      </w:r>
    </w:p>
    <w:p w14:paraId="7FFFEE3C" w14:textId="77777777" w:rsidR="008A78E3" w:rsidRPr="006A6890" w:rsidRDefault="008A78E3"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FFFEE3D" w14:textId="77777777" w:rsidR="008A78E3" w:rsidRPr="006A6890" w:rsidRDefault="008A78E3"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FFFEE3E" w14:textId="77777777" w:rsidR="008A78E3" w:rsidRPr="006A6890" w:rsidRDefault="008A78E3"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7FFFEE3F" w14:textId="77777777" w:rsidR="008A78E3" w:rsidRPr="006A6890" w:rsidRDefault="008A78E3"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7FFFEE40" w14:textId="77777777" w:rsidR="008A78E3" w:rsidRPr="006A6890" w:rsidRDefault="008A78E3"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7FFFEE41" w14:textId="77777777" w:rsidR="008A78E3" w:rsidRPr="006A6890" w:rsidRDefault="008A78E3"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Pr>
          <w:rFonts w:asciiTheme="minorHAnsi" w:hAnsiTheme="minorHAnsi"/>
        </w:rPr>
        <w:t>,</w:t>
      </w:r>
      <w:r w:rsidRPr="006A6890">
        <w:rPr>
          <w:rFonts w:asciiTheme="minorHAnsi" w:hAnsiTheme="minorHAnsi"/>
        </w:rPr>
        <w:t xml:space="preserve"> mind bevételi oldalon. A számítás második lépéseként az MNB az előrejelzett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lennének feltárhatók. Ide tartozik különösen – de nem kizárólagosan - a portfólióvásárlások tőkére</w:t>
      </w:r>
      <w:r>
        <w:rPr>
          <w:rFonts w:asciiTheme="minorHAnsi" w:hAnsiTheme="minorHAnsi"/>
        </w:rPr>
        <w:t xml:space="preserve"> és</w:t>
      </w:r>
      <w:r w:rsidRPr="006A6890">
        <w:rPr>
          <w:rFonts w:asciiTheme="minorHAnsi" w:hAnsiTheme="minorHAnsi"/>
        </w:rPr>
        <w:t xml:space="preserve"> az összeolvadások és felvásárlások eredményre gyakorolt hatásának felmérése</w:t>
      </w:r>
      <w:r>
        <w:rPr>
          <w:rFonts w:asciiTheme="minorHAnsi" w:hAnsiTheme="minorHAnsi"/>
        </w:rPr>
        <w:t>, illetve az MREL-követelménynek való megfelelés teljesítése</w:t>
      </w:r>
      <w:r w:rsidRPr="006A6890">
        <w:rPr>
          <w:rFonts w:asciiTheme="minorHAnsi" w:hAnsiTheme="minorHAnsi"/>
        </w:rPr>
        <w:t>.</w:t>
      </w:r>
    </w:p>
    <w:p w14:paraId="7FFFEE42" w14:textId="77777777" w:rsidR="008A78E3" w:rsidRPr="006A6890" w:rsidRDefault="008A78E3"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FFFEE43" w14:textId="77777777" w:rsidR="008A78E3" w:rsidRPr="006A6890" w:rsidRDefault="008A78E3"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7FFFEE44" w14:textId="77777777" w:rsidR="008A78E3" w:rsidRPr="006A6890" w:rsidRDefault="008A78E3"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7FFFEE45" w14:textId="77777777" w:rsidR="008A78E3" w:rsidRPr="006A6890" w:rsidRDefault="008A78E3"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7FFFEE46" w14:textId="77777777" w:rsidR="008A78E3" w:rsidRPr="006A6890" w:rsidRDefault="008A78E3"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7FFFEE47" w14:textId="77777777" w:rsidR="008A78E3" w:rsidRPr="006A6890" w:rsidRDefault="008A78E3" w:rsidP="00181755">
      <w:pPr>
        <w:rPr>
          <w:rFonts w:asciiTheme="minorHAnsi" w:hAnsiTheme="minorHAnsi"/>
        </w:rPr>
      </w:pPr>
      <w:bookmarkStart w:id="1562" w:name="_IV._Stressz_tesztek"/>
      <w:bookmarkStart w:id="1563" w:name="_Toc462403232"/>
      <w:bookmarkStart w:id="1564" w:name="_Toc462403248"/>
      <w:bookmarkStart w:id="1565" w:name="_Érzékenységvizsgálatok"/>
      <w:bookmarkStart w:id="1566" w:name="_Toc462403249"/>
      <w:bookmarkStart w:id="1567" w:name="_Az_alkalmazott_kockázati"/>
      <w:bookmarkStart w:id="1568" w:name="_Toc462403252"/>
      <w:bookmarkStart w:id="1569" w:name="_Integrált_kockázatkezelési_szemléle"/>
      <w:bookmarkStart w:id="1570" w:name="_Toc462403279"/>
      <w:bookmarkEnd w:id="1562"/>
      <w:bookmarkEnd w:id="1563"/>
      <w:bookmarkEnd w:id="1564"/>
      <w:bookmarkEnd w:id="1565"/>
      <w:bookmarkEnd w:id="1566"/>
      <w:bookmarkEnd w:id="1567"/>
      <w:bookmarkEnd w:id="1568"/>
      <w:bookmarkEnd w:id="1569"/>
      <w:bookmarkEnd w:id="1570"/>
    </w:p>
    <w:p w14:paraId="7FFFEE48" w14:textId="77777777" w:rsidR="008A78E3" w:rsidRPr="006A6890" w:rsidRDefault="008A78E3" w:rsidP="00181755">
      <w:pPr>
        <w:pStyle w:val="Cmsor1"/>
      </w:pPr>
      <w:r w:rsidRPr="006A6890">
        <w:br w:type="page"/>
      </w:r>
      <w:bookmarkStart w:id="1571" w:name="_V._Belső_irányítás"/>
      <w:bookmarkStart w:id="1572" w:name="_Toc378256247"/>
      <w:bookmarkStart w:id="1573" w:name="_Toc378592095"/>
      <w:bookmarkStart w:id="1574" w:name="_Toc461095264"/>
      <w:bookmarkStart w:id="1575" w:name="_Toc461179225"/>
      <w:bookmarkStart w:id="1576" w:name="_Toc461179920"/>
      <w:bookmarkStart w:id="1577" w:name="_Toc461197766"/>
      <w:bookmarkStart w:id="1578" w:name="_Toc461201364"/>
      <w:bookmarkStart w:id="1579" w:name="_Toc461548065"/>
      <w:bookmarkStart w:id="1580" w:name="_Toc462402105"/>
      <w:bookmarkStart w:id="1581" w:name="_Toc462403280"/>
      <w:bookmarkStart w:id="1582" w:name="_Toc462403552"/>
      <w:bookmarkStart w:id="1583" w:name="_Toc468180671"/>
      <w:bookmarkStart w:id="1584" w:name="_Toc468181228"/>
      <w:bookmarkStart w:id="1585" w:name="_Toc468191494"/>
      <w:bookmarkStart w:id="1586" w:name="_Toc45120017"/>
      <w:bookmarkStart w:id="1587" w:name="_Toc58512300"/>
      <w:bookmarkStart w:id="1588" w:name="_Toc158036728"/>
      <w:bookmarkEnd w:id="1571"/>
      <w:r w:rsidRPr="006A6890">
        <w:t>A kis intézmények belső tőkeszükséglet-számítására, likviditás megfelelőségére vonatkozó felügyeleti elvárások</w:t>
      </w:r>
      <w:bookmarkEnd w:id="1572"/>
      <w:bookmarkEnd w:id="1573"/>
      <w:r w:rsidRPr="006A6890">
        <w:t xml:space="preserve"> és a vonatkozó felügyeleti felülvizsgálati folyamat</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14:paraId="7FFFEE49" w14:textId="77777777" w:rsidR="008A78E3" w:rsidRPr="0055569D" w:rsidRDefault="008A78E3" w:rsidP="009F4CDA">
      <w:pPr>
        <w:pStyle w:val="Cmsor2"/>
      </w:pPr>
      <w:bookmarkStart w:id="1589" w:name="_VI._Az_ICAAP"/>
      <w:bookmarkStart w:id="1590" w:name="_VII._Kis_intézmények"/>
      <w:bookmarkStart w:id="1591" w:name="_Arányosság_elve"/>
      <w:bookmarkStart w:id="1592" w:name="_Toc378592096"/>
      <w:bookmarkStart w:id="1593" w:name="_Toc461095265"/>
      <w:bookmarkStart w:id="1594" w:name="_Toc461179226"/>
      <w:bookmarkStart w:id="1595" w:name="_Toc461179921"/>
      <w:bookmarkStart w:id="1596" w:name="_Toc461197767"/>
      <w:bookmarkStart w:id="1597" w:name="_Toc461201365"/>
      <w:bookmarkStart w:id="1598" w:name="_Toc461548066"/>
      <w:bookmarkStart w:id="1599" w:name="_Toc462402106"/>
      <w:bookmarkStart w:id="1600" w:name="_Toc462403281"/>
      <w:bookmarkStart w:id="1601" w:name="_Toc462403553"/>
      <w:bookmarkStart w:id="1602" w:name="_Toc468180672"/>
      <w:bookmarkStart w:id="1603" w:name="_Toc468181229"/>
      <w:bookmarkStart w:id="1604" w:name="_Toc468191495"/>
      <w:bookmarkStart w:id="1605" w:name="_Toc45120018"/>
      <w:bookmarkStart w:id="1606" w:name="_Toc58512301"/>
      <w:bookmarkStart w:id="1607" w:name="_Toc158036729"/>
      <w:bookmarkEnd w:id="1589"/>
      <w:bookmarkEnd w:id="1590"/>
      <w:bookmarkEnd w:id="1591"/>
      <w:r w:rsidRPr="0055569D">
        <w:t>Arányosság elv</w:t>
      </w:r>
      <w:bookmarkEnd w:id="1592"/>
      <w:r w:rsidRPr="0055569D">
        <w:t>ének alkalmazása</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14:paraId="7FFFEE4A" w14:textId="77777777" w:rsidR="008A78E3" w:rsidRPr="006A6890" w:rsidRDefault="008A78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7FFFEE4B" w14:textId="77777777" w:rsidR="008A78E3" w:rsidRPr="006A6890" w:rsidRDefault="008A78E3" w:rsidP="00181755">
      <w:pPr>
        <w:pStyle w:val="felsorolsos"/>
        <w:rPr>
          <w:rFonts w:asciiTheme="minorHAnsi" w:hAnsiTheme="minorHAnsi"/>
        </w:rPr>
      </w:pPr>
      <w:r w:rsidRPr="006A6890">
        <w:rPr>
          <w:rFonts w:asciiTheme="minorHAnsi" w:hAnsiTheme="minorHAnsi"/>
        </w:rPr>
        <w:t>típusától,</w:t>
      </w:r>
    </w:p>
    <w:p w14:paraId="7FFFEE4C" w14:textId="77777777" w:rsidR="008A78E3" w:rsidRPr="006A6890" w:rsidRDefault="008A78E3" w:rsidP="00181755">
      <w:pPr>
        <w:pStyle w:val="felsorolsos"/>
        <w:rPr>
          <w:rFonts w:asciiTheme="minorHAnsi" w:hAnsiTheme="minorHAnsi"/>
        </w:rPr>
      </w:pPr>
      <w:r w:rsidRPr="006A6890">
        <w:rPr>
          <w:rFonts w:asciiTheme="minorHAnsi" w:hAnsiTheme="minorHAnsi"/>
        </w:rPr>
        <w:t>méretétől,</w:t>
      </w:r>
    </w:p>
    <w:p w14:paraId="7FFFEE4D" w14:textId="77777777" w:rsidR="008A78E3" w:rsidRPr="006A6890" w:rsidRDefault="008A78E3" w:rsidP="00181755">
      <w:pPr>
        <w:pStyle w:val="felsorolsos"/>
        <w:rPr>
          <w:rFonts w:asciiTheme="minorHAnsi" w:hAnsiTheme="minorHAnsi"/>
        </w:rPr>
      </w:pPr>
      <w:r w:rsidRPr="006A6890">
        <w:rPr>
          <w:rFonts w:asciiTheme="minorHAnsi" w:hAnsiTheme="minorHAnsi"/>
        </w:rPr>
        <w:t>tevékenységének összetettségétől</w:t>
      </w:r>
    </w:p>
    <w:p w14:paraId="7FFFEE4E"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7FFFEE4F" w14:textId="77777777" w:rsidR="008A78E3" w:rsidRPr="006A6890" w:rsidRDefault="008A78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CRD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úgynevezett kis intézményeket. </w:t>
      </w:r>
    </w:p>
    <w:p w14:paraId="7FFFEE50" w14:textId="77777777" w:rsidR="008A78E3" w:rsidRPr="0055569D" w:rsidRDefault="008A78E3" w:rsidP="009F4CDA">
      <w:pPr>
        <w:pStyle w:val="Cmsor2"/>
      </w:pPr>
      <w:bookmarkStart w:id="1608" w:name="_Kis_intézmény"/>
      <w:bookmarkStart w:id="1609" w:name="_Toc378592097"/>
      <w:bookmarkStart w:id="1610" w:name="_Toc461095266"/>
      <w:bookmarkStart w:id="1611" w:name="_Toc461179227"/>
      <w:bookmarkStart w:id="1612" w:name="_Toc461179922"/>
      <w:bookmarkStart w:id="1613" w:name="_Toc461197768"/>
      <w:bookmarkStart w:id="1614" w:name="_Toc461201366"/>
      <w:bookmarkStart w:id="1615" w:name="_Toc461548067"/>
      <w:bookmarkStart w:id="1616" w:name="_Toc462402107"/>
      <w:bookmarkStart w:id="1617" w:name="_Toc462403282"/>
      <w:bookmarkStart w:id="1618" w:name="_Toc462403554"/>
      <w:bookmarkStart w:id="1619" w:name="_Toc468180673"/>
      <w:bookmarkStart w:id="1620" w:name="_Toc468181230"/>
      <w:bookmarkStart w:id="1621" w:name="_Toc468191496"/>
      <w:bookmarkStart w:id="1622" w:name="_Toc45120019"/>
      <w:bookmarkStart w:id="1623" w:name="_Toc58512302"/>
      <w:bookmarkStart w:id="1624" w:name="_Toc158036730"/>
      <w:bookmarkEnd w:id="1608"/>
      <w:r w:rsidRPr="0055569D">
        <w:t>A kis intézmény</w:t>
      </w:r>
      <w:bookmarkEnd w:id="1609"/>
      <w:r w:rsidRPr="0055569D">
        <w:t xml:space="preserve"> meghatározása</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7FFFEE51" w14:textId="77777777" w:rsidR="008A78E3" w:rsidRPr="006A6890" w:rsidRDefault="008A78E3" w:rsidP="00D22CF9">
      <w:pPr>
        <w:rPr>
          <w:rFonts w:asciiTheme="minorHAnsi" w:hAnsiTheme="minorHAnsi"/>
        </w:rPr>
      </w:pPr>
      <w:r w:rsidRPr="006A6890">
        <w:rPr>
          <w:rFonts w:asciiTheme="minorHAnsi" w:hAnsiTheme="minorHAnsi"/>
        </w:rPr>
        <w:t>Kis intézménynek azok a hitelintézetek tekinthetőek, amelyek megfelelnek az alábbiakban felsorolt jellemzők többségének:</w:t>
      </w:r>
    </w:p>
    <w:p w14:paraId="7FFFEE52" w14:textId="77777777" w:rsidR="008A78E3" w:rsidRPr="006A6890" w:rsidRDefault="008A78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7FFFEE53" w14:textId="77777777" w:rsidR="008A78E3" w:rsidRPr="006A6890" w:rsidRDefault="008A78E3" w:rsidP="00181755">
      <w:pPr>
        <w:pStyle w:val="felsorolsos"/>
        <w:rPr>
          <w:rFonts w:asciiTheme="minorHAnsi" w:hAnsiTheme="minorHAnsi"/>
        </w:rPr>
      </w:pPr>
      <w:r w:rsidRPr="006A6890">
        <w:rPr>
          <w:rFonts w:asciiTheme="minorHAnsi" w:hAnsiTheme="minorHAnsi"/>
        </w:rPr>
        <w:t>relatíve kis piaci részesedéssel rendelkezik,</w:t>
      </w:r>
    </w:p>
    <w:p w14:paraId="7FFFEE54" w14:textId="77777777" w:rsidR="008A78E3" w:rsidRPr="006A6890" w:rsidRDefault="008A78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7FFFEE55" w14:textId="77777777" w:rsidR="008A78E3" w:rsidRPr="006A6890" w:rsidRDefault="008A78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7FFFEE56" w14:textId="77777777" w:rsidR="008A78E3" w:rsidRPr="006A6890" w:rsidRDefault="008A78E3" w:rsidP="00181755">
      <w:pPr>
        <w:pStyle w:val="felsorolsos"/>
        <w:rPr>
          <w:rFonts w:asciiTheme="minorHAnsi" w:hAnsiTheme="minorHAnsi"/>
        </w:rPr>
      </w:pPr>
      <w:r w:rsidRPr="006A6890">
        <w:rPr>
          <w:rFonts w:asciiTheme="minorHAnsi" w:hAnsiTheme="minorHAnsi"/>
        </w:rPr>
        <w:t>saját véleménye szerint kis intézménynek minősíthető.</w:t>
      </w:r>
    </w:p>
    <w:p w14:paraId="7FFFEE57" w14:textId="77777777" w:rsidR="008A78E3" w:rsidRPr="006A6890" w:rsidRDefault="008A78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7FFFEE58" w14:textId="77777777" w:rsidR="008A78E3" w:rsidRPr="006A6890" w:rsidRDefault="008A78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vizsgálata során egyedileg is ellenőrzi.</w:t>
      </w:r>
    </w:p>
    <w:p w14:paraId="7FFFEE59" w14:textId="77777777" w:rsidR="008A78E3" w:rsidRPr="0055569D" w:rsidRDefault="008A78E3" w:rsidP="009F4CDA">
      <w:pPr>
        <w:pStyle w:val="Cmsor2"/>
      </w:pPr>
      <w:bookmarkStart w:id="1625" w:name="_Kis_intézményekre_érvényes"/>
      <w:bookmarkStart w:id="1626" w:name="_Toc378592098"/>
      <w:bookmarkStart w:id="1627" w:name="_Toc461095267"/>
      <w:bookmarkStart w:id="1628" w:name="_Toc461179228"/>
      <w:bookmarkStart w:id="1629" w:name="_Toc461179923"/>
      <w:bookmarkStart w:id="1630" w:name="_Toc461197769"/>
      <w:bookmarkStart w:id="1631" w:name="_Toc461201367"/>
      <w:bookmarkStart w:id="1632" w:name="_Toc461548068"/>
      <w:bookmarkStart w:id="1633" w:name="_Toc462402108"/>
      <w:bookmarkStart w:id="1634" w:name="_Toc462403283"/>
      <w:bookmarkStart w:id="1635" w:name="_Toc462403555"/>
      <w:bookmarkStart w:id="1636" w:name="_Toc468180674"/>
      <w:bookmarkStart w:id="1637" w:name="_Toc468181231"/>
      <w:bookmarkStart w:id="1638" w:name="_Toc468191497"/>
      <w:bookmarkStart w:id="1639" w:name="_Toc45120020"/>
      <w:bookmarkStart w:id="1640" w:name="_Toc58512303"/>
      <w:bookmarkStart w:id="1641" w:name="_Toc158036731"/>
      <w:bookmarkEnd w:id="1625"/>
      <w:r w:rsidRPr="0055569D">
        <w:t>Kis intézmények belső tőkeszükséglet-számítására vonatkozó felügyeleti elvárások</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14:paraId="7FFFEE5A" w14:textId="77777777" w:rsidR="008A78E3" w:rsidRPr="006A6890" w:rsidRDefault="008A78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Pr>
          <w:rFonts w:asciiTheme="minorHAnsi" w:hAnsiTheme="minorHAnsi"/>
          <w:vertAlign w:val="superscript"/>
        </w:rPr>
        <w:footnoteReference w:id="132"/>
      </w:r>
      <w:r w:rsidRPr="00CE3686">
        <w:rPr>
          <w:rFonts w:asciiTheme="minorHAnsi" w:hAnsiTheme="minorHAnsi"/>
          <w:vertAlign w:val="superscript"/>
        </w:rPr>
        <w:t>.</w:t>
      </w:r>
    </w:p>
    <w:p w14:paraId="7FFFEE5B" w14:textId="77777777" w:rsidR="008A78E3" w:rsidRPr="006A6890" w:rsidRDefault="008A78E3" w:rsidP="00D22CF9">
      <w:pPr>
        <w:rPr>
          <w:rFonts w:asciiTheme="minorHAnsi" w:hAnsiTheme="minorHAnsi"/>
        </w:rPr>
      </w:pPr>
      <w:r w:rsidRPr="006A6890">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7FFFEE5C" w14:textId="77777777" w:rsidR="008A78E3" w:rsidRPr="006A6890" w:rsidRDefault="008A78E3" w:rsidP="00D22CF9">
      <w:pPr>
        <w:rPr>
          <w:rFonts w:asciiTheme="minorHAnsi" w:hAnsiTheme="minorHAnsi"/>
        </w:rPr>
      </w:pPr>
      <w:r w:rsidRPr="006A6890">
        <w:rPr>
          <w:rFonts w:asciiTheme="minorHAnsi" w:hAnsiTheme="minorHAnsi"/>
        </w:rPr>
        <w:t xml:space="preserve">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csökkentésével mérsékelni lehet. </w:t>
      </w:r>
    </w:p>
    <w:p w14:paraId="7FFFEE5D" w14:textId="77777777" w:rsidR="008A78E3" w:rsidRPr="0055569D" w:rsidRDefault="008A78E3" w:rsidP="009F4CDA">
      <w:pPr>
        <w:pStyle w:val="Cmsor2"/>
      </w:pPr>
      <w:bookmarkStart w:id="1642" w:name="_Módszertan"/>
      <w:bookmarkStart w:id="1643" w:name="_Toc378592099"/>
      <w:bookmarkStart w:id="1644" w:name="_Toc461095268"/>
      <w:bookmarkStart w:id="1645" w:name="_Toc461179229"/>
      <w:bookmarkStart w:id="1646" w:name="_Toc461179924"/>
      <w:bookmarkStart w:id="1647" w:name="_Toc461197770"/>
      <w:bookmarkStart w:id="1648" w:name="_Toc461201368"/>
      <w:bookmarkStart w:id="1649" w:name="_Toc461548069"/>
      <w:bookmarkStart w:id="1650" w:name="_Toc462402109"/>
      <w:bookmarkStart w:id="1651" w:name="_Toc462403284"/>
      <w:bookmarkStart w:id="1652" w:name="_Toc462403556"/>
      <w:bookmarkStart w:id="1653" w:name="_Toc468180675"/>
      <w:bookmarkStart w:id="1654" w:name="_Toc468181232"/>
      <w:bookmarkStart w:id="1655" w:name="_Toc468191498"/>
      <w:bookmarkStart w:id="1656" w:name="_Toc45120021"/>
      <w:bookmarkStart w:id="1657" w:name="_Toc58512304"/>
      <w:bookmarkStart w:id="1658" w:name="_Toc158036732"/>
      <w:bookmarkEnd w:id="1642"/>
      <w:r w:rsidRPr="0055569D">
        <w:t>Egyszerűsített ICAAP felülvizsgálat alá tartozó intézmények által alkalmazott módszertan</w:t>
      </w:r>
      <w:bookmarkEnd w:id="1643"/>
      <w:r w:rsidRPr="0055569D">
        <w:t>ok</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7FFFEE5E" w14:textId="77777777" w:rsidR="008A78E3" w:rsidRPr="006A6890" w:rsidRDefault="008A78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többlet-tőkekövetelményre.</w:t>
      </w:r>
    </w:p>
    <w:p w14:paraId="7FFFEE5F" w14:textId="77777777" w:rsidR="008A78E3" w:rsidRPr="006A6890" w:rsidRDefault="008A78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7FFFEE60" w14:textId="77777777" w:rsidR="008A78E3" w:rsidRPr="006A6890" w:rsidRDefault="008A78E3" w:rsidP="00181755">
      <w:pPr>
        <w:pStyle w:val="felsorolsos"/>
        <w:rPr>
          <w:rFonts w:asciiTheme="minorHAnsi" w:hAnsiTheme="minorHAnsi"/>
        </w:rPr>
      </w:pPr>
      <w:r w:rsidRPr="006A6890">
        <w:rPr>
          <w:rFonts w:asciiTheme="minorHAnsi" w:hAnsiTheme="minorHAnsi"/>
        </w:rPr>
        <w:t>az 1. pillér szerint számított tőkekövetelmény kockázatonként megfelelően tükrözi-e a tényleges kockázatokat;</w:t>
      </w:r>
    </w:p>
    <w:p w14:paraId="7FFFEE61" w14:textId="77777777" w:rsidR="008A78E3" w:rsidRPr="006A6890" w:rsidRDefault="008A78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7FFFEE62" w14:textId="77777777" w:rsidR="008A78E3" w:rsidRPr="006A6890" w:rsidRDefault="008A78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7FFFEE63" w14:textId="77777777" w:rsidR="008A78E3" w:rsidRPr="006A6890" w:rsidRDefault="008A78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7FFFEE64" w14:textId="77777777" w:rsidR="008A78E3" w:rsidRPr="006A6890" w:rsidRDefault="008A78E3" w:rsidP="00181755">
      <w:pPr>
        <w:rPr>
          <w:rFonts w:asciiTheme="minorHAnsi" w:hAnsiTheme="minorHAnsi"/>
        </w:rPr>
      </w:pPr>
    </w:p>
    <w:p w14:paraId="7FFFEE65" w14:textId="77777777" w:rsidR="008A78E3" w:rsidRPr="0055569D" w:rsidRDefault="008A78E3" w:rsidP="009F4CDA">
      <w:pPr>
        <w:pStyle w:val="Cmsor2"/>
      </w:pPr>
      <w:bookmarkStart w:id="1659" w:name="_A_belső_tőkeszükséglet-számítás"/>
      <w:bookmarkStart w:id="1660" w:name="_Toc378592100"/>
      <w:bookmarkStart w:id="1661" w:name="_Toc461095269"/>
      <w:bookmarkStart w:id="1662" w:name="_Toc461179230"/>
      <w:bookmarkStart w:id="1663" w:name="_Toc461179925"/>
      <w:bookmarkStart w:id="1664" w:name="_Toc461197771"/>
      <w:bookmarkStart w:id="1665" w:name="_Toc461201369"/>
      <w:bookmarkStart w:id="1666" w:name="_Toc461548070"/>
      <w:bookmarkStart w:id="1667" w:name="_Toc462402110"/>
      <w:bookmarkStart w:id="1668" w:name="_Toc462403285"/>
      <w:bookmarkStart w:id="1669" w:name="_Toc462403557"/>
      <w:bookmarkStart w:id="1670" w:name="_Toc468180676"/>
      <w:bookmarkStart w:id="1671" w:name="_Toc468181233"/>
      <w:bookmarkStart w:id="1672" w:name="_Toc468191499"/>
      <w:bookmarkStart w:id="1673" w:name="_Toc45120022"/>
      <w:bookmarkStart w:id="1674" w:name="_Toc58512305"/>
      <w:bookmarkStart w:id="1675" w:name="_Toc158036733"/>
      <w:bookmarkEnd w:id="1659"/>
      <w:r w:rsidRPr="0055569D">
        <w:t>A belső tőkeszükséglet-számítás lépései</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7FFFEE66" w14:textId="77777777" w:rsidR="008A78E3" w:rsidRPr="006A6890" w:rsidRDefault="008A78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7FFFEE67"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7FFFEE68" w14:textId="77777777" w:rsidR="008A78E3" w:rsidRPr="006A6890" w:rsidRDefault="008A78E3" w:rsidP="00181755">
      <w:pPr>
        <w:pStyle w:val="felsorolsos"/>
        <w:rPr>
          <w:rFonts w:asciiTheme="minorHAnsi" w:hAnsiTheme="minorHAnsi"/>
        </w:rPr>
      </w:pPr>
      <w:r w:rsidRPr="006A6890">
        <w:rPr>
          <w:rFonts w:asciiTheme="minorHAnsi" w:hAnsiTheme="minorHAnsi"/>
        </w:rPr>
        <w:t>A tőkeszükséglet-számítás - valamennyi, a releváns kockázatok listáján szereplő kockázati típus esetén meg kell becsülni, hogy abból az intézménynek mekkora vesztesége származhat, amelyeket összegezve számítható az azok fedezetére számítható szolgáló tőke összege.</w:t>
      </w:r>
    </w:p>
    <w:p w14:paraId="7FFFEE69"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7FFFEE6A" w14:textId="77777777" w:rsidR="008A78E3" w:rsidRPr="006A6890" w:rsidRDefault="008A78E3" w:rsidP="00181755">
      <w:pPr>
        <w:pStyle w:val="felsorolsos"/>
        <w:rPr>
          <w:rFonts w:asciiTheme="minorHAnsi" w:hAnsiTheme="minorHAnsi"/>
        </w:rPr>
      </w:pPr>
      <w:r w:rsidRPr="006A6890">
        <w:rPr>
          <w:rFonts w:asciiTheme="minorHAnsi" w:hAnsiTheme="minorHAnsi"/>
        </w:rPr>
        <w:t>Eredmény,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p>
    <w:p w14:paraId="7FFFEE6B" w14:textId="77777777" w:rsidR="008A78E3" w:rsidRPr="006A6890" w:rsidRDefault="008A78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arányú tőkeelemekre van szükség.</w:t>
      </w:r>
    </w:p>
    <w:p w14:paraId="7FFFEE6C" w14:textId="77777777" w:rsidR="008A78E3" w:rsidRPr="0055569D" w:rsidRDefault="008A78E3" w:rsidP="009F4CDA">
      <w:pPr>
        <w:pStyle w:val="Cmsor2"/>
      </w:pPr>
      <w:bookmarkStart w:id="1676" w:name="_Kis_hitelintézetek_tipikus"/>
      <w:bookmarkStart w:id="1677" w:name="_Toc378592101"/>
      <w:bookmarkStart w:id="1678" w:name="_Toc461095270"/>
      <w:bookmarkStart w:id="1679" w:name="_Toc461179231"/>
      <w:bookmarkStart w:id="1680" w:name="_Toc461179926"/>
      <w:bookmarkStart w:id="1681" w:name="_Toc461197772"/>
      <w:bookmarkStart w:id="1682" w:name="_Toc461201370"/>
      <w:bookmarkStart w:id="1683" w:name="_Toc461548071"/>
      <w:bookmarkStart w:id="1684" w:name="_Toc462402111"/>
      <w:bookmarkStart w:id="1685" w:name="_Toc462403286"/>
      <w:bookmarkStart w:id="1686" w:name="_Toc462403558"/>
      <w:bookmarkStart w:id="1687" w:name="_Toc468180677"/>
      <w:bookmarkStart w:id="1688" w:name="_Toc468181234"/>
      <w:bookmarkStart w:id="1689" w:name="_Toc468191500"/>
      <w:bookmarkStart w:id="1690" w:name="_Toc45120023"/>
      <w:bookmarkStart w:id="1691" w:name="_Toc58512306"/>
      <w:bookmarkStart w:id="1692" w:name="_Toc158036734"/>
      <w:bookmarkEnd w:id="1676"/>
      <w:r w:rsidRPr="0055569D">
        <w:t>Kis hitelintézetek tipikus kockázatai</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7FFFEE6D" w14:textId="77777777" w:rsidR="008A78E3" w:rsidRPr="006A6890" w:rsidRDefault="008A78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7FFFEE6E" w14:textId="77777777" w:rsidR="008A78E3" w:rsidRPr="006A6890" w:rsidRDefault="008A78E3" w:rsidP="00181755">
      <w:pPr>
        <w:pStyle w:val="felsorolsos"/>
        <w:rPr>
          <w:rFonts w:asciiTheme="minorHAnsi" w:hAnsiTheme="minorHAnsi"/>
        </w:rPr>
      </w:pPr>
      <w:r w:rsidRPr="006A6890">
        <w:rPr>
          <w:rFonts w:asciiTheme="minorHAnsi" w:hAnsiTheme="minorHAnsi"/>
        </w:rPr>
        <w:t>ellenőrzési/vezetési kockázat (internal governance),</w:t>
      </w:r>
    </w:p>
    <w:p w14:paraId="7FFFEE6F" w14:textId="77777777" w:rsidR="008A78E3" w:rsidRPr="006A6890" w:rsidRDefault="008A78E3" w:rsidP="00181755">
      <w:pPr>
        <w:pStyle w:val="felsorolsos"/>
        <w:rPr>
          <w:rFonts w:asciiTheme="minorHAnsi" w:hAnsiTheme="minorHAnsi"/>
        </w:rPr>
      </w:pPr>
      <w:r w:rsidRPr="006A6890">
        <w:rPr>
          <w:rFonts w:asciiTheme="minorHAnsi" w:hAnsiTheme="minorHAnsi"/>
        </w:rPr>
        <w:t>hitelkockázat,</w:t>
      </w:r>
    </w:p>
    <w:p w14:paraId="7FFFEE70" w14:textId="77777777" w:rsidR="008A78E3" w:rsidRPr="006A6890" w:rsidRDefault="008A78E3" w:rsidP="00181755">
      <w:pPr>
        <w:pStyle w:val="felsorolsos"/>
        <w:rPr>
          <w:rFonts w:asciiTheme="minorHAnsi" w:hAnsiTheme="minorHAnsi"/>
        </w:rPr>
      </w:pPr>
      <w:r w:rsidRPr="006A6890">
        <w:rPr>
          <w:rFonts w:asciiTheme="minorHAnsi" w:hAnsiTheme="minorHAnsi"/>
        </w:rPr>
        <w:t>koncentrációs kockázat (egyedi ügyfelek, földrajzi, szektorális),</w:t>
      </w:r>
    </w:p>
    <w:p w14:paraId="7FFFEE71" w14:textId="77777777" w:rsidR="008A78E3" w:rsidRPr="006A6890" w:rsidRDefault="008A78E3" w:rsidP="00181755">
      <w:pPr>
        <w:pStyle w:val="felsorolsos"/>
        <w:rPr>
          <w:rFonts w:asciiTheme="minorHAnsi" w:hAnsiTheme="minorHAnsi"/>
        </w:rPr>
      </w:pPr>
      <w:r w:rsidRPr="006A6890">
        <w:rPr>
          <w:rFonts w:asciiTheme="minorHAnsi" w:hAnsiTheme="minorHAnsi"/>
        </w:rPr>
        <w:t>kamatláb-kockázat,</w:t>
      </w:r>
    </w:p>
    <w:p w14:paraId="7FFFEE72" w14:textId="77777777" w:rsidR="008A78E3" w:rsidRPr="006A6890" w:rsidRDefault="008A78E3" w:rsidP="00181755">
      <w:pPr>
        <w:pStyle w:val="felsorolsos"/>
        <w:rPr>
          <w:rFonts w:asciiTheme="minorHAnsi" w:hAnsiTheme="minorHAnsi"/>
        </w:rPr>
      </w:pPr>
      <w:r w:rsidRPr="006A6890">
        <w:rPr>
          <w:rFonts w:asciiTheme="minorHAnsi" w:hAnsiTheme="minorHAnsi"/>
        </w:rPr>
        <w:t>likviditási kockázat,</w:t>
      </w:r>
    </w:p>
    <w:p w14:paraId="7FFFEE73" w14:textId="77777777" w:rsidR="008A78E3" w:rsidRPr="006A6890" w:rsidRDefault="008A78E3" w:rsidP="00181755">
      <w:pPr>
        <w:pStyle w:val="felsorolsos"/>
        <w:rPr>
          <w:rFonts w:asciiTheme="minorHAnsi" w:hAnsiTheme="minorHAnsi"/>
        </w:rPr>
      </w:pPr>
      <w:r w:rsidRPr="006A6890">
        <w:rPr>
          <w:rFonts w:asciiTheme="minorHAnsi" w:hAnsiTheme="minorHAnsi"/>
        </w:rPr>
        <w:t>működési kockázat,</w:t>
      </w:r>
    </w:p>
    <w:p w14:paraId="7FFFEE74" w14:textId="77777777" w:rsidR="008A78E3" w:rsidRPr="006A6890" w:rsidRDefault="008A78E3" w:rsidP="00181755">
      <w:pPr>
        <w:pStyle w:val="felsorolsos"/>
        <w:rPr>
          <w:rFonts w:asciiTheme="minorHAnsi" w:hAnsiTheme="minorHAnsi"/>
        </w:rPr>
      </w:pPr>
      <w:r w:rsidRPr="006A6890">
        <w:rPr>
          <w:rFonts w:asciiTheme="minorHAnsi" w:hAnsiTheme="minorHAnsi"/>
        </w:rPr>
        <w:t>stratégiai kockázat,</w:t>
      </w:r>
    </w:p>
    <w:p w14:paraId="7FFFEE75" w14:textId="77777777" w:rsidR="008A78E3" w:rsidRPr="006A6890" w:rsidRDefault="008A78E3" w:rsidP="00181755">
      <w:pPr>
        <w:pStyle w:val="felsorolsos"/>
        <w:rPr>
          <w:rFonts w:asciiTheme="minorHAnsi" w:hAnsiTheme="minorHAnsi"/>
        </w:rPr>
      </w:pPr>
      <w:r w:rsidRPr="006A6890">
        <w:rPr>
          <w:rFonts w:asciiTheme="minorHAnsi" w:hAnsiTheme="minorHAnsi"/>
        </w:rPr>
        <w:t>külső tényezők kockázata.</w:t>
      </w:r>
    </w:p>
    <w:p w14:paraId="7FFFEE76" w14:textId="77777777" w:rsidR="008A78E3" w:rsidRPr="006A6890" w:rsidRDefault="008A78E3" w:rsidP="00D22CF9">
      <w:pPr>
        <w:rPr>
          <w:rFonts w:asciiTheme="minorHAnsi" w:hAnsiTheme="minorHAnsi"/>
        </w:rPr>
      </w:pPr>
      <w:r w:rsidRPr="006A6890">
        <w:rPr>
          <w:rFonts w:asciiTheme="minorHAnsi" w:hAnsiTheme="minorHAnsi"/>
        </w:rPr>
        <w:t>Természetesen egyes hitelintézeteknél további kockázatok is lehetnek, amelyeket az intézménynek értékelnie kell.</w:t>
      </w:r>
    </w:p>
    <w:p w14:paraId="7FFFEE77" w14:textId="77777777" w:rsidR="008A78E3" w:rsidRPr="0055569D" w:rsidRDefault="008A78E3" w:rsidP="009F4CDA">
      <w:pPr>
        <w:pStyle w:val="Cmsor2"/>
      </w:pPr>
      <w:bookmarkStart w:id="1693" w:name="_Toc461095272"/>
      <w:bookmarkStart w:id="1694" w:name="_Toc461179233"/>
      <w:bookmarkStart w:id="1695" w:name="_Toc461179928"/>
      <w:bookmarkStart w:id="1696" w:name="_Toc461197774"/>
      <w:bookmarkStart w:id="1697" w:name="_Toc461201372"/>
      <w:bookmarkStart w:id="1698" w:name="_Toc461548073"/>
      <w:bookmarkStart w:id="1699" w:name="_Toc462402113"/>
      <w:bookmarkStart w:id="1700" w:name="_Toc462403288"/>
      <w:bookmarkStart w:id="1701" w:name="_Toc462403560"/>
      <w:bookmarkStart w:id="1702" w:name="_Toc468180679"/>
      <w:bookmarkStart w:id="1703" w:name="_Toc468181236"/>
      <w:bookmarkStart w:id="1704" w:name="_Toc468191502"/>
      <w:bookmarkStart w:id="1705" w:name="_Toc45120025"/>
      <w:bookmarkStart w:id="1706" w:name="_Toc58512308"/>
      <w:bookmarkStart w:id="1707" w:name="_Toc158036735"/>
      <w:bookmarkStart w:id="1708" w:name="_Hlk23785076"/>
      <w:r w:rsidRPr="0055569D">
        <w:t>Felügyeleti felülvizsgálatok a kis intézményeknél</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bookmarkEnd w:id="1708"/>
    <w:p w14:paraId="7FFFEE78" w14:textId="77777777" w:rsidR="008A78E3" w:rsidRPr="006A6890" w:rsidRDefault="008A78E3" w:rsidP="00D22CF9">
      <w:pPr>
        <w:rPr>
          <w:rFonts w:asciiTheme="minorHAnsi" w:hAnsiTheme="minorHAnsi"/>
        </w:rPr>
      </w:pPr>
      <w:r w:rsidRPr="006A6890">
        <w:rPr>
          <w:rFonts w:asciiTheme="minorHAnsi" w:hAnsiTheme="minorHAnsi"/>
        </w:rPr>
        <w:t xml:space="preserve">A kis intézmények esetében az MNB évente egyszerűsített felülvizsgálatot folytat le (kivéve azoknál a kis intézményeknél, amelyek esetében az MNB más ICAAP felülvizsgálati módszer alkalmazása mellett dönt).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7FFFEE79" w14:textId="77777777" w:rsidR="008A78E3" w:rsidRPr="006A6890" w:rsidRDefault="008A78E3" w:rsidP="00D22CF9">
      <w:pPr>
        <w:rPr>
          <w:rFonts w:asciiTheme="minorHAnsi" w:hAnsiTheme="minorHAnsi"/>
        </w:rPr>
      </w:pPr>
      <w:r w:rsidRPr="006A6890">
        <w:rPr>
          <w:rFonts w:asciiTheme="minorHAnsi" w:hAnsiTheme="minorHAnsi"/>
        </w:rPr>
        <w:t xml:space="preserve">A kérdőívet az MNB minden évben aktualizálja, amely alapján elvégzi a kérdőíves felmérést,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7FFFEE7A" w14:textId="77777777" w:rsidR="008A78E3" w:rsidRPr="006A6890" w:rsidRDefault="008A78E3" w:rsidP="00D22CF9">
      <w:pPr>
        <w:rPr>
          <w:rFonts w:asciiTheme="minorHAnsi" w:hAnsiTheme="minorHAnsi"/>
        </w:rPr>
      </w:pPr>
      <w:r w:rsidRPr="006A6890">
        <w:rPr>
          <w:rFonts w:asciiTheme="minorHAnsi" w:hAnsiTheme="minorHAnsi"/>
        </w:rPr>
        <w:t xml:space="preserve">Amennyiben a kis intézmény a maga számára az ICAAP alkalmazása során magasabb tőkekövetelményt tart szükségesnek, és az MNB ezen felül nem állapít meg többlet-tőkekövetelményt, az intézmény által számított magasabb tőkekövetelményt tekinti az MNB a SREP tőkeszükségletének. Az intézmény által számított magasabb többlet-tőkekövetelményt az MNB csökkenti </w:t>
      </w:r>
      <w:r>
        <w:rPr>
          <w:rFonts w:asciiTheme="minorHAnsi" w:hAnsiTheme="minorHAnsi"/>
        </w:rPr>
        <w:t xml:space="preserve">a zöld lakáscélú, vállalati és önkormányzati, és/vagy a DLT projekt tőkekövetelmény-kedvezmény mértékével </w:t>
      </w:r>
      <w:r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7FFFEE7B" w14:textId="77777777" w:rsidR="008A78E3" w:rsidRPr="006A6890" w:rsidRDefault="008A78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 (ha arra nem került sor az éves ILAAP felülvizsgálat során). 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többletlikviditási-puffer megképeztetésével szemben.</w:t>
      </w:r>
    </w:p>
    <w:p w14:paraId="7FFFEE7C" w14:textId="77777777" w:rsidR="008A78E3" w:rsidRPr="0055569D" w:rsidRDefault="008A78E3" w:rsidP="009F4CDA">
      <w:pPr>
        <w:pStyle w:val="Cmsor2"/>
      </w:pPr>
      <w:bookmarkStart w:id="1709" w:name="_Toc461095273"/>
      <w:bookmarkStart w:id="1710" w:name="_Toc461179234"/>
      <w:bookmarkStart w:id="1711" w:name="_Toc461179929"/>
      <w:bookmarkStart w:id="1712" w:name="_Toc461197775"/>
      <w:bookmarkStart w:id="1713" w:name="_Toc461201373"/>
      <w:bookmarkStart w:id="1714" w:name="_Toc461548074"/>
      <w:bookmarkStart w:id="1715" w:name="_Toc462402114"/>
      <w:bookmarkStart w:id="1716" w:name="_Toc462403289"/>
      <w:bookmarkStart w:id="1717" w:name="_Toc462403561"/>
      <w:bookmarkStart w:id="1718" w:name="_Toc468180681"/>
      <w:bookmarkStart w:id="1719" w:name="_Toc468181238"/>
      <w:bookmarkStart w:id="1720" w:name="_Toc468191504"/>
      <w:bookmarkStart w:id="1721" w:name="_Toc45120027"/>
      <w:bookmarkStart w:id="1722" w:name="_Toc58512310"/>
      <w:bookmarkStart w:id="1723" w:name="_Toc158036736"/>
      <w:r w:rsidRPr="0055569D">
        <w:t>Felügyeleti intézkedések a kis intézményekkel szemben</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7FFFEE7D" w14:textId="77777777" w:rsidR="008A78E3" w:rsidRPr="006A6890" w:rsidRDefault="008A78E3" w:rsidP="00D22CF9">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prudenciális felügyelet biztosítása. Amennyiben azonban az 1. pilléres vagy ICAAP tőkekövetelményt az MNB az intézmény belső vagy külső sajátosságai alapján nem találja a vállalt kockázatokkal összhangban állónak, úgy a nagyobb intézményekhez hasonlóan pótlólagos tőkeszükségletet ír elő. </w:t>
      </w:r>
    </w:p>
    <w:p w14:paraId="7FFFEE7E" w14:textId="77777777" w:rsidR="008A78E3" w:rsidRPr="006A6890" w:rsidRDefault="008A78E3" w:rsidP="00D22CF9">
      <w:pPr>
        <w:rPr>
          <w:rFonts w:asciiTheme="minorHAnsi" w:hAnsiTheme="minorHAnsi"/>
        </w:rPr>
      </w:pPr>
      <w:r w:rsidRPr="006A6890">
        <w:rPr>
          <w:rFonts w:asciiTheme="minorHAnsi" w:hAnsiTheme="minorHAnsi"/>
        </w:rPr>
        <w:t>A kis intézményeknél feltárt hiányosságok és a felügyeleti felülvizsgálat keretében alkalmazandó felügyeleti lépések közötti kapcsolatot mellékletben szereplő táblázatok mutatják be. A táblázatokat, a hiányosságok kategóriába sorolását és többlettőke előírás megadását az MNB kiinduló alapnak szánja, a gyakorlatban további szempontok is felmerülhetnek, és mérlegelésre kerülhetnek.</w:t>
      </w:r>
    </w:p>
    <w:p w14:paraId="7FFFEE7F" w14:textId="77777777" w:rsidR="008A78E3" w:rsidRPr="006A6890" w:rsidRDefault="008A78E3" w:rsidP="00D22CF9">
      <w:pPr>
        <w:rPr>
          <w:rFonts w:asciiTheme="minorHAnsi" w:hAnsiTheme="minorHAnsi"/>
        </w:rPr>
      </w:pPr>
      <w:r w:rsidRPr="006A6890">
        <w:rPr>
          <w:rFonts w:asciiTheme="minorHAnsi" w:hAnsiTheme="minorHAnsi"/>
        </w:rPr>
        <w:t>A felügyeleti felülvizsgálat keretében hozott intézkedéseknek nem kizárólagos eszköze a többlet-tőkekövetelmény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felülvizsgálat lefolytatásáról.</w:t>
      </w:r>
    </w:p>
    <w:p w14:paraId="7FFFEE80" w14:textId="77777777" w:rsidR="008A78E3" w:rsidRPr="006A6890" w:rsidRDefault="008A78E3" w:rsidP="00181755">
      <w:pPr>
        <w:pStyle w:val="Cmsor3"/>
        <w:rPr>
          <w:rFonts w:asciiTheme="minorHAnsi" w:hAnsiTheme="minorHAnsi"/>
        </w:rPr>
      </w:pPr>
      <w:bookmarkStart w:id="1724" w:name="_Toc461095274"/>
      <w:bookmarkStart w:id="1725" w:name="_Toc461179930"/>
      <w:bookmarkStart w:id="1726" w:name="_Toc461201374"/>
      <w:bookmarkStart w:id="1727" w:name="_Toc461548075"/>
      <w:bookmarkStart w:id="1728" w:name="_Toc462402115"/>
      <w:bookmarkStart w:id="1729" w:name="_Toc462403290"/>
      <w:bookmarkStart w:id="1730" w:name="_Toc462403562"/>
      <w:bookmarkStart w:id="1731" w:name="_Toc468180682"/>
      <w:bookmarkStart w:id="1732" w:name="_Toc468181239"/>
      <w:bookmarkStart w:id="1733" w:name="_Toc468191505"/>
      <w:bookmarkStart w:id="1734" w:name="_Toc45120028"/>
      <w:bookmarkStart w:id="1735" w:name="_Toc58512311"/>
      <w:bookmarkStart w:id="1736" w:name="_Toc158036737"/>
      <w:r w:rsidRPr="006A6890">
        <w:rPr>
          <w:rFonts w:asciiTheme="minorHAnsi" w:hAnsiTheme="minorHAnsi"/>
        </w:rPr>
        <w:t>Felügyeleti intézkedések kis hitelintézeteknél</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7FFFEE81" w14:textId="77777777" w:rsidR="008A78E3" w:rsidRPr="006A6890" w:rsidRDefault="008A78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7FFFEE82" w14:textId="77777777" w:rsidR="008A78E3" w:rsidRPr="006A6890" w:rsidRDefault="008A78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7FFFEE83" w14:textId="77777777" w:rsidR="008A78E3" w:rsidRPr="006A6890" w:rsidRDefault="008A78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7FFFEE84" w14:textId="77777777" w:rsidR="008A78E3" w:rsidRPr="006A6890" w:rsidRDefault="008A78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7FFFEE85" w14:textId="77777777" w:rsidR="008A78E3" w:rsidRPr="006A6890" w:rsidRDefault="008A78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7FFFEE86" w14:textId="77777777" w:rsidR="008A78E3" w:rsidRPr="006A6890" w:rsidRDefault="008A78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7FFFEE87"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 folyamatos akvizíciós lépéseket hajt végre,</w:t>
      </w:r>
    </w:p>
    <w:p w14:paraId="7FFFEE88"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7FFFEE89"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fenntartható üzleti modellt jelent,</w:t>
      </w:r>
    </w:p>
    <w:p w14:paraId="7FFFEE8A"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nem tart be alapvető, felügyeleti ajánlásokban és módszertani kézikönyvekben leírt eljárásokat, amelyek veszélyeztetik a prudens működését,</w:t>
      </w:r>
    </w:p>
    <w:p w14:paraId="7FFFEE8B" w14:textId="77777777" w:rsidR="008A78E3" w:rsidRPr="006A6890" w:rsidRDefault="008A78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7FFFEE8C"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7FFFEE8D"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7FFFEE8E"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által alkalmazott ICAAP/ILAAP minősége nem megfelelő,</w:t>
      </w:r>
    </w:p>
    <w:p w14:paraId="7FFFEE8F"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p>
    <w:p w14:paraId="7FFFEE90"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7FFFEE91" w14:textId="77777777" w:rsidR="008A78E3" w:rsidRPr="006A6890" w:rsidRDefault="008A78E3" w:rsidP="00D22CF9">
      <w:pPr>
        <w:rPr>
          <w:rFonts w:asciiTheme="minorHAnsi" w:hAnsiTheme="minorHAnsi"/>
        </w:rPr>
      </w:pPr>
      <w:r w:rsidRPr="006A6890">
        <w:rPr>
          <w:rFonts w:asciiTheme="minorHAnsi" w:hAnsiTheme="minorHAnsi"/>
        </w:rPr>
        <w:t>A személyre szabott értékelés korlátozott lehetősége miatt a többlet-tőkekövetelmény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mérlegelés eredményeképp alakul ki.</w:t>
      </w:r>
    </w:p>
    <w:p w14:paraId="7FFFEE92" w14:textId="77777777" w:rsidR="008A78E3" w:rsidRPr="006A6890" w:rsidRDefault="008A78E3" w:rsidP="00D22CF9">
      <w:pPr>
        <w:rPr>
          <w:rFonts w:asciiTheme="minorHAnsi" w:hAnsiTheme="minorHAnsi"/>
        </w:rPr>
      </w:pPr>
      <w:r w:rsidRPr="006A6890">
        <w:rPr>
          <w:rFonts w:asciiTheme="minorHAnsi" w:hAnsiTheme="minorHAnsi"/>
        </w:rPr>
        <w:t>.</w:t>
      </w:r>
    </w:p>
    <w:p w14:paraId="7FFFEE93" w14:textId="77777777" w:rsidR="008A78E3" w:rsidRPr="0055569D" w:rsidRDefault="008A78E3" w:rsidP="009F4CDA">
      <w:pPr>
        <w:pStyle w:val="Cmsor2"/>
      </w:pPr>
      <w:bookmarkStart w:id="1737" w:name="_Toc461095276"/>
      <w:bookmarkStart w:id="1738" w:name="_Toc461179235"/>
      <w:bookmarkStart w:id="1739" w:name="_Toc461179932"/>
      <w:bookmarkStart w:id="1740" w:name="_Toc461197776"/>
      <w:bookmarkStart w:id="1741" w:name="_Toc461201376"/>
      <w:bookmarkStart w:id="1742" w:name="_Toc461548077"/>
      <w:bookmarkStart w:id="1743" w:name="_Toc462402117"/>
      <w:bookmarkStart w:id="1744" w:name="_Toc462403292"/>
      <w:bookmarkStart w:id="1745" w:name="_Toc462403564"/>
      <w:bookmarkStart w:id="1746" w:name="_Toc468180684"/>
      <w:bookmarkStart w:id="1747" w:name="_Toc468181241"/>
      <w:bookmarkStart w:id="1748" w:name="_Toc468191507"/>
      <w:bookmarkStart w:id="1749" w:name="_Toc45120030"/>
      <w:bookmarkStart w:id="1750" w:name="_Toc58512313"/>
      <w:bookmarkStart w:id="1751" w:name="_Toc158036738"/>
      <w:r w:rsidRPr="0055569D">
        <w:t>A felügyeleti felülvizsgálat lezárása</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7FFFEE94" w14:textId="77777777" w:rsidR="008A78E3" w:rsidRPr="006A6890" w:rsidRDefault="008A78E3" w:rsidP="00D22CF9">
      <w:pPr>
        <w:rPr>
          <w:rFonts w:asciiTheme="minorHAnsi" w:hAnsiTheme="minorHAnsi"/>
        </w:rPr>
      </w:pPr>
      <w:r w:rsidRPr="006A6890">
        <w:rPr>
          <w:rFonts w:asciiTheme="minorHAnsi" w:hAnsiTheme="minorHAnsi"/>
        </w:rPr>
        <w:t>A kérdőívek és egyéb a vizsgálat keretében bekért dokumentumok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SREP tőkekövetelménynek (TSCR), teljes tőkekövetelménynek (OCR) való megfelelést az MNB nem látja biztosítottnak, a szükséges tőkepótlásra határozatban hívhatja fel az intézményt.</w:t>
      </w:r>
    </w:p>
    <w:p w14:paraId="7FFFEE95" w14:textId="77777777" w:rsidR="008A78E3" w:rsidRPr="006A6890" w:rsidRDefault="008A78E3" w:rsidP="00CD1B46">
      <w:pPr>
        <w:pStyle w:val="Cmsor1"/>
        <w:numPr>
          <w:ilvl w:val="0"/>
          <w:numId w:val="0"/>
        </w:numPr>
        <w:ind w:left="357"/>
      </w:pPr>
      <w:bookmarkStart w:id="1752" w:name="_VIII._Az_ICAAP"/>
      <w:bookmarkEnd w:id="1752"/>
      <w:r w:rsidRPr="006A6890">
        <w:br w:type="page"/>
      </w:r>
      <w:bookmarkStart w:id="1753" w:name="_IX._Nyilvánosságra-hozatal_és"/>
      <w:bookmarkStart w:id="1754" w:name="_Toc461095277"/>
      <w:bookmarkStart w:id="1755" w:name="_Toc461179236"/>
      <w:bookmarkStart w:id="1756" w:name="_Toc461179933"/>
      <w:bookmarkStart w:id="1757" w:name="_Toc461197777"/>
      <w:bookmarkStart w:id="1758" w:name="_Toc461201377"/>
      <w:bookmarkStart w:id="1759" w:name="_Toc461548078"/>
      <w:bookmarkStart w:id="1760" w:name="_Toc462402118"/>
      <w:bookmarkStart w:id="1761" w:name="_Toc462403293"/>
      <w:bookmarkStart w:id="1762" w:name="_Toc462403565"/>
      <w:bookmarkStart w:id="1763" w:name="_Toc468180685"/>
      <w:bookmarkStart w:id="1764" w:name="_Toc468181242"/>
      <w:bookmarkStart w:id="1765" w:name="_Toc468191508"/>
      <w:bookmarkStart w:id="1766" w:name="_Toc45120031"/>
      <w:bookmarkStart w:id="1767" w:name="_Toc58512314"/>
      <w:bookmarkStart w:id="1768" w:name="_Toc158036739"/>
      <w:bookmarkStart w:id="1769" w:name="_Toc378256250"/>
      <w:bookmarkStart w:id="1770" w:name="_Toc378592111"/>
      <w:bookmarkEnd w:id="1753"/>
      <w:r w:rsidRPr="006A6890">
        <w:t>Dokumentum-lista</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bookmarkEnd w:id="1769"/>
    <w:bookmarkEnd w:id="1770"/>
    <w:p w14:paraId="7FFFEE96" w14:textId="77777777" w:rsidR="008A78E3" w:rsidRPr="006A6890" w:rsidRDefault="008A78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7FFFEE97" w14:textId="77777777" w:rsidR="008A78E3" w:rsidRPr="006A6890" w:rsidRDefault="008A78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7FFFEE98" w14:textId="77777777" w:rsidR="008A78E3" w:rsidRPr="006A6890" w:rsidRDefault="008A78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tőkekövetelmény-számítás módszereit és eredményét, a likviditás megfelelőséget biztosító rendszert az intézménynek kell bemutatnia és meg kell védenie. A benyújtott anyaggal szemben felügyeleti elvárás, hogy az intézmény hozzon fel minden érvet a kalkulációi védelmére.</w:t>
      </w:r>
    </w:p>
    <w:p w14:paraId="7FFFEE99" w14:textId="77777777" w:rsidR="008A78E3" w:rsidRPr="0055569D" w:rsidRDefault="008A78E3" w:rsidP="009F4CDA">
      <w:pPr>
        <w:pStyle w:val="Cmsor2"/>
      </w:pPr>
      <w:bookmarkStart w:id="1771" w:name="_Összefoglaló"/>
      <w:bookmarkStart w:id="1772" w:name="_Toc378592112"/>
      <w:bookmarkStart w:id="1773" w:name="_Toc461095278"/>
      <w:bookmarkStart w:id="1774" w:name="_Toc461179237"/>
      <w:bookmarkStart w:id="1775" w:name="_Toc461179934"/>
      <w:bookmarkStart w:id="1776" w:name="_Toc461197778"/>
      <w:bookmarkStart w:id="1777" w:name="_Toc461201378"/>
      <w:bookmarkStart w:id="1778" w:name="_Toc461548079"/>
      <w:bookmarkStart w:id="1779" w:name="_Toc462402119"/>
      <w:bookmarkStart w:id="1780" w:name="_Toc462403294"/>
      <w:bookmarkStart w:id="1781" w:name="_Toc462403566"/>
      <w:bookmarkStart w:id="1782" w:name="_Toc468180686"/>
      <w:bookmarkStart w:id="1783" w:name="_Toc468181243"/>
      <w:bookmarkStart w:id="1784" w:name="_Toc468191509"/>
      <w:bookmarkStart w:id="1785" w:name="_Toc45120032"/>
      <w:bookmarkStart w:id="1786" w:name="_Toc58512315"/>
      <w:bookmarkStart w:id="1787" w:name="_Toc158036740"/>
      <w:bookmarkEnd w:id="1771"/>
      <w:r w:rsidRPr="0055569D">
        <w:t>Összefoglaló</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7FFFEE9A" w14:textId="77777777" w:rsidR="008A78E3" w:rsidRPr="006A6890" w:rsidRDefault="008A78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(az ICAAP és az ILAAP folyamatának dokumentálásánál többek között kellő hangsúlyt kell fektetni az intézmény kockázatkezelési szervezeti, irányítási és felvigyázói funkciójának, valamint a belső ellenőrzési mechanizmusainak bemutatására).</w:t>
      </w:r>
    </w:p>
    <w:p w14:paraId="7FFFEE9B"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 tőke- és a likviditás megfelelőségi folyamat mely cégcsoport- tagokat fedi le.</w:t>
      </w:r>
    </w:p>
    <w:p w14:paraId="7FFFEE9C"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Áttekintés az alkalmazott belső tőkeszükséglet számítási módszerekről, az alkalmazott módszer(ek) esetleges változtatásáról. </w:t>
      </w:r>
    </w:p>
    <w:p w14:paraId="7FFFEE9D" w14:textId="77777777" w:rsidR="008A78E3" w:rsidRPr="006A6890" w:rsidRDefault="008A78E3"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tőkekövetelmény-számítás eredményét az intézmény, a bemutatás jelentősen befolyásolhatja a tőkeszámítások megbízhatóságának felügyeleti megítélését. A belső tőkeszükséglet-számítás eredménye és a rendelkezésre álló tőke kapcsolata.</w:t>
      </w:r>
    </w:p>
    <w:p w14:paraId="7FFFEE9E"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7FFFEE9F"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 és ILAAP éves felülvizsgálat eredményének bemutatása.</w:t>
      </w:r>
    </w:p>
    <w:p w14:paraId="7FFFEEA0"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7FFFEEA1" w14:textId="77777777" w:rsidR="008A78E3" w:rsidRPr="006A6890" w:rsidRDefault="008A78E3" w:rsidP="00181755">
      <w:pPr>
        <w:pStyle w:val="felsorolsos"/>
        <w:spacing w:after="240"/>
        <w:ind w:left="1066" w:hanging="357"/>
        <w:rPr>
          <w:rFonts w:asciiTheme="minorHAnsi" w:hAnsiTheme="minorHAnsi"/>
        </w:rPr>
      </w:pPr>
      <w:r w:rsidRPr="006A6890">
        <w:rPr>
          <w:rFonts w:asciiTheme="minorHAnsi" w:hAnsiTheme="minorHAnsi"/>
        </w:rPr>
        <w:t>A tőke-megfelelőségi, likviditás megfelelőségi vizsgálat ideje, mely cégcsoport-tagokra terjed ki, ki végezte és ki hagyta jóvá.</w:t>
      </w:r>
    </w:p>
    <w:p w14:paraId="7FFFEEA2" w14:textId="77777777" w:rsidR="008A78E3" w:rsidRPr="0055569D" w:rsidRDefault="008A78E3" w:rsidP="009F4CDA">
      <w:pPr>
        <w:pStyle w:val="Cmsor2"/>
      </w:pPr>
      <w:bookmarkStart w:id="1788" w:name="_A_jelenlegi_és"/>
      <w:bookmarkStart w:id="1789" w:name="_Toc378592113"/>
      <w:bookmarkStart w:id="1790" w:name="_Toc461095279"/>
      <w:bookmarkStart w:id="1791" w:name="_Toc461179238"/>
      <w:bookmarkStart w:id="1792" w:name="_Toc461179935"/>
      <w:bookmarkStart w:id="1793" w:name="_Toc461197779"/>
      <w:bookmarkStart w:id="1794" w:name="_Toc461201379"/>
      <w:bookmarkStart w:id="1795" w:name="_Toc461548080"/>
      <w:bookmarkStart w:id="1796" w:name="_Toc462402120"/>
      <w:bookmarkStart w:id="1797" w:name="_Toc462403295"/>
      <w:bookmarkStart w:id="1798" w:name="_Toc462403567"/>
      <w:bookmarkStart w:id="1799" w:name="_Toc468180687"/>
      <w:bookmarkStart w:id="1800" w:name="_Toc468181244"/>
      <w:bookmarkStart w:id="1801" w:name="_Toc468191510"/>
      <w:bookmarkStart w:id="1802" w:name="_Toc45120033"/>
      <w:bookmarkStart w:id="1803" w:name="_Toc58512316"/>
      <w:bookmarkStart w:id="1804" w:name="_Toc158036741"/>
      <w:bookmarkEnd w:id="1788"/>
      <w:r w:rsidRPr="0055569D">
        <w:t>A jelenlegi és a tervezett tőkehelyzet bemutatása</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7FFFEEA3" w14:textId="77777777" w:rsidR="008A78E3" w:rsidRPr="006A6890" w:rsidRDefault="008A78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7FFFEEA4" w14:textId="77777777" w:rsidR="008A78E3" w:rsidRPr="006A6890" w:rsidRDefault="008A78E3" w:rsidP="00181755">
      <w:pPr>
        <w:rPr>
          <w:rFonts w:asciiTheme="minorHAnsi" w:hAnsiTheme="minorHAnsi"/>
        </w:rPr>
      </w:pPr>
    </w:p>
    <w:p w14:paraId="7FFFEEA5" w14:textId="77777777" w:rsidR="008A78E3" w:rsidRPr="0055569D" w:rsidRDefault="008A78E3" w:rsidP="009F4CDA">
      <w:pPr>
        <w:pStyle w:val="Cmsor2"/>
      </w:pPr>
      <w:bookmarkStart w:id="1805" w:name="_Tőkemegfelelési_számítás_részletes"/>
      <w:bookmarkStart w:id="1806" w:name="_Toc378592114"/>
      <w:bookmarkEnd w:id="1805"/>
      <w:r w:rsidRPr="0055569D">
        <w:br w:type="page"/>
      </w:r>
      <w:bookmarkStart w:id="1807" w:name="_Toc461095280"/>
      <w:bookmarkStart w:id="1808" w:name="_Toc461179239"/>
      <w:bookmarkStart w:id="1809" w:name="_Toc461179936"/>
      <w:bookmarkStart w:id="1810" w:name="_Toc461197780"/>
      <w:bookmarkStart w:id="1811" w:name="_Toc461201380"/>
      <w:bookmarkStart w:id="1812" w:name="_Toc461548081"/>
      <w:bookmarkStart w:id="1813" w:name="_Toc462402121"/>
      <w:bookmarkStart w:id="1814" w:name="_Toc462403296"/>
      <w:bookmarkStart w:id="1815" w:name="_Toc462403568"/>
      <w:bookmarkStart w:id="1816" w:name="_Toc468180688"/>
      <w:bookmarkStart w:id="1817" w:name="_Toc468181245"/>
      <w:bookmarkStart w:id="1818" w:name="_Toc468191511"/>
      <w:bookmarkStart w:id="1819" w:name="_Toc45120034"/>
      <w:bookmarkStart w:id="1820" w:name="_Toc58512317"/>
      <w:bookmarkStart w:id="1821" w:name="_Toc158036742"/>
      <w:r w:rsidRPr="0055569D">
        <w:t>Tőkemegfelelési számítás részletes ismertetése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7FFFEEA6" w14:textId="77777777" w:rsidR="008A78E3" w:rsidRPr="006A6890" w:rsidRDefault="008A78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7FFFEEA7" w14:textId="77777777" w:rsidR="008A78E3" w:rsidRPr="006A6890" w:rsidRDefault="008A78E3" w:rsidP="00181755">
      <w:pPr>
        <w:pStyle w:val="felsorolsos"/>
        <w:rPr>
          <w:rFonts w:asciiTheme="minorHAnsi" w:hAnsiTheme="minorHAnsi"/>
        </w:rPr>
      </w:pPr>
      <w:r w:rsidRPr="006A6890">
        <w:rPr>
          <w:rFonts w:asciiTheme="minorHAnsi" w:hAnsiTheme="minorHAnsi"/>
        </w:rPr>
        <w:t>a számítási módszer és eredmény részletes ismertetése, gazdasági tőkekövetelmény-számítási módszer esetében a konfidencia-szint, feltételek megadása;</w:t>
      </w:r>
    </w:p>
    <w:p w14:paraId="7FFFEEA8" w14:textId="77777777" w:rsidR="008A78E3" w:rsidRPr="006A6890" w:rsidRDefault="008A78E3" w:rsidP="00181755">
      <w:pPr>
        <w:pStyle w:val="felsorolsos"/>
        <w:rPr>
          <w:rFonts w:asciiTheme="minorHAnsi" w:hAnsiTheme="minorHAnsi"/>
        </w:rPr>
      </w:pPr>
      <w:r w:rsidRPr="006A6890">
        <w:rPr>
          <w:rFonts w:asciiTheme="minorHAnsi" w:hAnsiTheme="minorHAnsi"/>
        </w:rPr>
        <w:t>a számítás időpontja és időhorizontja;</w:t>
      </w:r>
    </w:p>
    <w:p w14:paraId="7FFFEEA9" w14:textId="77777777" w:rsidR="008A78E3" w:rsidRPr="006A6890" w:rsidRDefault="008A78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7FFFEEAA" w14:textId="77777777" w:rsidR="008A78E3" w:rsidRPr="006A6890" w:rsidRDefault="008A78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 összehasonlítás az 1. pillér számítás eredményével, az adott kockázatra vonatkozó intézményi kockázati étvággyal (limittel) való összehasonlítás;</w:t>
      </w:r>
    </w:p>
    <w:p w14:paraId="7FFFEEAB" w14:textId="77777777" w:rsidR="008A78E3" w:rsidRPr="006A6890" w:rsidRDefault="008A78E3" w:rsidP="00181755">
      <w:pPr>
        <w:pStyle w:val="felsorolsos"/>
        <w:rPr>
          <w:rFonts w:asciiTheme="minorHAnsi" w:hAnsiTheme="minorHAnsi"/>
        </w:rPr>
      </w:pPr>
      <w:r w:rsidRPr="006A6890">
        <w:rPr>
          <w:rFonts w:asciiTheme="minorHAnsi" w:hAnsiTheme="minorHAnsi"/>
        </w:rPr>
        <w:t>a kockázatot csökkentő elemek;</w:t>
      </w:r>
    </w:p>
    <w:p w14:paraId="7FFFEEAC" w14:textId="77777777" w:rsidR="008A78E3" w:rsidRPr="006A6890" w:rsidRDefault="008A78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7FFFEEAD" w14:textId="77777777" w:rsidR="008A78E3" w:rsidRPr="006A6890" w:rsidRDefault="008A78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7FFFEEAE" w14:textId="77777777" w:rsidR="008A78E3" w:rsidRPr="006A6890" w:rsidRDefault="008A78E3" w:rsidP="00181755">
      <w:pPr>
        <w:pStyle w:val="felsorolsos"/>
        <w:rPr>
          <w:rFonts w:asciiTheme="minorHAnsi" w:hAnsiTheme="minorHAnsi"/>
        </w:rPr>
      </w:pPr>
      <w:r w:rsidRPr="006A6890">
        <w:rPr>
          <w:rFonts w:asciiTheme="minorHAnsi" w:hAnsiTheme="minorHAnsi"/>
        </w:rPr>
        <w:t>a stressz-teszt és forgatókönyv-teszt eljárások feltevéseinek és eredményeinek ismertetése;</w:t>
      </w:r>
    </w:p>
    <w:p w14:paraId="7FFFEEAF" w14:textId="77777777" w:rsidR="008A78E3" w:rsidRPr="006A6890" w:rsidRDefault="008A78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7FFFEEB0" w14:textId="77777777" w:rsidR="008A78E3" w:rsidRPr="006A6890" w:rsidRDefault="008A78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7FFFEEB1" w14:textId="77777777" w:rsidR="008A78E3" w:rsidRPr="006A6890" w:rsidRDefault="008A78E3" w:rsidP="00D22CF9">
      <w:pPr>
        <w:rPr>
          <w:rFonts w:asciiTheme="minorHAnsi" w:hAnsiTheme="minorHAnsi"/>
        </w:rPr>
      </w:pPr>
      <w:r w:rsidRPr="006A6890">
        <w:rPr>
          <w:rFonts w:asciiTheme="minorHAnsi" w:hAnsiTheme="minorHAnsi"/>
        </w:rPr>
        <w:t>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meggyőző érvekkel támassza alá.</w:t>
      </w:r>
    </w:p>
    <w:p w14:paraId="7FFFEEB2" w14:textId="77777777" w:rsidR="008A78E3" w:rsidRPr="0055569D" w:rsidRDefault="008A78E3" w:rsidP="009F4CDA">
      <w:pPr>
        <w:pStyle w:val="Cmsor2"/>
      </w:pPr>
      <w:bookmarkStart w:id="1822" w:name="_A_belső_tőkeszükséglet"/>
      <w:bookmarkStart w:id="1823" w:name="_Toc378592115"/>
      <w:bookmarkStart w:id="1824" w:name="_Toc461095281"/>
      <w:bookmarkStart w:id="1825" w:name="_Toc461179240"/>
      <w:bookmarkStart w:id="1826" w:name="_Toc461179937"/>
      <w:bookmarkStart w:id="1827" w:name="_Toc461197781"/>
      <w:bookmarkStart w:id="1828" w:name="_Toc461201381"/>
      <w:bookmarkStart w:id="1829" w:name="_Toc461548082"/>
      <w:bookmarkStart w:id="1830" w:name="_Toc462402122"/>
      <w:bookmarkStart w:id="1831" w:name="_Toc462403297"/>
      <w:bookmarkStart w:id="1832" w:name="_Toc462403569"/>
      <w:bookmarkStart w:id="1833" w:name="_Toc468180689"/>
      <w:bookmarkStart w:id="1834" w:name="_Toc468181246"/>
      <w:bookmarkStart w:id="1835" w:name="_Toc468191512"/>
      <w:bookmarkStart w:id="1836" w:name="_Toc45120035"/>
      <w:bookmarkStart w:id="1837" w:name="_Toc58512318"/>
      <w:bookmarkStart w:id="1838" w:name="_Toc158036743"/>
      <w:bookmarkEnd w:id="1822"/>
      <w:r w:rsidRPr="0055569D">
        <w:t>A belső tőkeszükséglet-számítási módszertan beépülése a folyamatokba</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7FFFEEB3" w14:textId="77777777" w:rsidR="008A78E3" w:rsidRPr="006A6890" w:rsidRDefault="008A78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7FFFEEB4" w14:textId="77777777" w:rsidR="008A78E3" w:rsidRPr="006A6890" w:rsidRDefault="008A78E3" w:rsidP="00181755">
      <w:pPr>
        <w:pStyle w:val="felsorolsos"/>
        <w:rPr>
          <w:rFonts w:asciiTheme="minorHAnsi" w:hAnsiTheme="minorHAnsi"/>
        </w:rPr>
      </w:pPr>
      <w:r w:rsidRPr="006A6890">
        <w:rPr>
          <w:rFonts w:asciiTheme="minorHAnsi" w:hAnsiTheme="minorHAnsi"/>
        </w:rPr>
        <w:t>ICAAP felülvizsgálat eredménye, főbb megállapítások;</w:t>
      </w:r>
    </w:p>
    <w:p w14:paraId="7FFFEEB5" w14:textId="77777777" w:rsidR="008A78E3" w:rsidRPr="006A6890" w:rsidRDefault="008A78E3" w:rsidP="00181755">
      <w:pPr>
        <w:pStyle w:val="felsorolsos"/>
        <w:rPr>
          <w:rFonts w:asciiTheme="minorHAnsi" w:hAnsiTheme="minorHAnsi"/>
        </w:rPr>
      </w:pPr>
      <w:r w:rsidRPr="006A6890">
        <w:rPr>
          <w:rFonts w:asciiTheme="minorHAnsi" w:hAnsiTheme="minorHAnsi"/>
        </w:rPr>
        <w:t>az ICAAP folyamatokban tervezett, illetve folyamatban lévő változtatások.</w:t>
      </w:r>
    </w:p>
    <w:p w14:paraId="7FFFEEB6" w14:textId="77777777" w:rsidR="008A78E3" w:rsidRPr="006A6890" w:rsidRDefault="008A78E3"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az MNB-t tájékoztatni szükséges.</w:t>
      </w:r>
    </w:p>
    <w:p w14:paraId="7FFFEEB7" w14:textId="77777777" w:rsidR="008A78E3" w:rsidRPr="0055569D" w:rsidRDefault="008A78E3" w:rsidP="009F4CDA">
      <w:pPr>
        <w:pStyle w:val="Cmsor2"/>
      </w:pPr>
      <w:bookmarkStart w:id="1839" w:name="_Toc461095282"/>
      <w:bookmarkStart w:id="1840" w:name="_Toc461179241"/>
      <w:bookmarkStart w:id="1841" w:name="_Toc461179938"/>
      <w:bookmarkStart w:id="1842" w:name="_Toc461197782"/>
      <w:bookmarkStart w:id="1843" w:name="_Toc461201382"/>
      <w:bookmarkStart w:id="1844" w:name="_Toc461548083"/>
      <w:bookmarkStart w:id="1845" w:name="_Toc462402123"/>
      <w:bookmarkStart w:id="1846" w:name="_Toc462403298"/>
      <w:bookmarkStart w:id="1847" w:name="_Toc462403570"/>
      <w:bookmarkStart w:id="1848" w:name="_Toc468180690"/>
      <w:bookmarkStart w:id="1849" w:name="_Toc468181247"/>
      <w:bookmarkStart w:id="1850" w:name="_Toc468191513"/>
      <w:bookmarkStart w:id="1851" w:name="_Toc45120036"/>
      <w:bookmarkStart w:id="1852" w:name="_Toc58512319"/>
      <w:bookmarkStart w:id="1853" w:name="_Toc158036744"/>
      <w:r w:rsidRPr="0055569D">
        <w:t>A likviditás megfelelőségének belső értékelési folyamatának ismertetése</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7FFFEEB8" w14:textId="77777777" w:rsidR="008A78E3" w:rsidRPr="006A6890" w:rsidRDefault="008A78E3"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7FFFEEB9"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aktuális likviditási stratégia, kiemelve a megelőző likviditási stratégiához képest bekövetkezett változásokat; </w:t>
      </w:r>
    </w:p>
    <w:p w14:paraId="7FFFEEBA" w14:textId="77777777" w:rsidR="008A78E3" w:rsidRPr="006A6890" w:rsidRDefault="008A78E3" w:rsidP="00181755">
      <w:pPr>
        <w:pStyle w:val="felsorolsos"/>
        <w:rPr>
          <w:rFonts w:asciiTheme="minorHAnsi" w:hAnsiTheme="minorHAnsi"/>
        </w:rPr>
      </w:pPr>
      <w:r w:rsidRPr="006A6890">
        <w:rPr>
          <w:rFonts w:asciiTheme="minorHAnsi" w:hAnsiTheme="minorHAnsi"/>
        </w:rPr>
        <w:t>a vizsgálatot megelőző év likviditási terve visszamérve, aktuális likviditási terv és aktuális likviditási válságterv (LCP);</w:t>
      </w:r>
    </w:p>
    <w:p w14:paraId="7FFFEEBB" w14:textId="77777777" w:rsidR="008A78E3" w:rsidRPr="006A6890" w:rsidRDefault="008A78E3" w:rsidP="00181755">
      <w:pPr>
        <w:pStyle w:val="felsorolsos"/>
        <w:rPr>
          <w:rFonts w:asciiTheme="minorHAnsi" w:hAnsiTheme="minorHAnsi"/>
        </w:rPr>
      </w:pPr>
      <w:r w:rsidRPr="006A6890">
        <w:rPr>
          <w:rFonts w:asciiTheme="minorHAnsi" w:hAnsiTheme="minorHAnsi"/>
        </w:rPr>
        <w:t>likviditási kockázati riportok (negyedéves és havi riportok az elmúlt egy évre vonatkozóan, heti és napi riportok a vizsgálat vonatkozási napjának hónapjára vonatkozóan);</w:t>
      </w:r>
    </w:p>
    <w:p w14:paraId="7FFFEEBC" w14:textId="77777777" w:rsidR="008A78E3" w:rsidRPr="006A6890" w:rsidRDefault="008A78E3" w:rsidP="00181755">
      <w:pPr>
        <w:pStyle w:val="felsorolsos"/>
        <w:rPr>
          <w:rFonts w:asciiTheme="minorHAnsi" w:hAnsiTheme="minorHAnsi"/>
        </w:rPr>
      </w:pPr>
      <w:r w:rsidRPr="006A6890">
        <w:rPr>
          <w:rFonts w:asciiTheme="minorHAnsi" w:hAnsiTheme="minorHAnsi"/>
        </w:rPr>
        <w:t>likviditási stressz-tesztek (feltételezések, eredmények);</w:t>
      </w:r>
    </w:p>
    <w:p w14:paraId="7FFFEEBD" w14:textId="77777777" w:rsidR="008A78E3" w:rsidRPr="006A6890" w:rsidRDefault="008A78E3" w:rsidP="00181755">
      <w:pPr>
        <w:pStyle w:val="felsorolsos"/>
        <w:rPr>
          <w:rFonts w:asciiTheme="minorHAnsi" w:hAnsiTheme="minorHAnsi"/>
        </w:rPr>
      </w:pPr>
      <w:r w:rsidRPr="006A6890">
        <w:rPr>
          <w:rFonts w:asciiTheme="minorHAnsi" w:hAnsiTheme="minorHAnsi"/>
        </w:rPr>
        <w:t xml:space="preserve">kapcsolódó aktuális belső likviditási szabályzatok és a belső finanszírozási transzferárak szabályzata; </w:t>
      </w:r>
    </w:p>
    <w:p w14:paraId="7FFFEEBE" w14:textId="77777777" w:rsidR="008A78E3" w:rsidRPr="006A6890" w:rsidRDefault="008A78E3" w:rsidP="00181755">
      <w:pPr>
        <w:pStyle w:val="felsorolsos"/>
        <w:rPr>
          <w:rFonts w:asciiTheme="minorHAnsi" w:hAnsiTheme="minorHAnsi"/>
        </w:rPr>
      </w:pPr>
      <w:r w:rsidRPr="006A6890">
        <w:rPr>
          <w:rFonts w:asciiTheme="minorHAnsi" w:hAnsiTheme="minorHAnsi"/>
        </w:rPr>
        <w:t>korai figyelmezető jelek elmúlt egy évi értékei, küszöbértékei (early warning indicators), esetleges jelzésekre történt reakció bemutatásával;</w:t>
      </w:r>
    </w:p>
    <w:p w14:paraId="7FFFEEBF" w14:textId="77777777" w:rsidR="008A78E3" w:rsidRPr="006A6890" w:rsidRDefault="008A78E3" w:rsidP="00181755">
      <w:pPr>
        <w:pStyle w:val="felsorolsos"/>
        <w:rPr>
          <w:rFonts w:asciiTheme="minorHAnsi" w:hAnsiTheme="minorHAnsi"/>
        </w:rPr>
      </w:pPr>
      <w:r w:rsidRPr="006A6890">
        <w:rPr>
          <w:rFonts w:asciiTheme="minorHAnsi" w:hAnsiTheme="minorHAnsi"/>
        </w:rPr>
        <w:t>betétkiáramlás számszerűsítéséhez alkalmazott modellek, feltételezések, szegmentációk, idősorok;</w:t>
      </w:r>
    </w:p>
    <w:p w14:paraId="7FFFEEC0" w14:textId="77777777" w:rsidR="008A78E3" w:rsidRPr="006A6890" w:rsidRDefault="008A78E3" w:rsidP="00181755">
      <w:pPr>
        <w:pStyle w:val="felsorolsos"/>
        <w:rPr>
          <w:rFonts w:asciiTheme="minorHAnsi" w:hAnsiTheme="minorHAnsi"/>
        </w:rPr>
      </w:pPr>
      <w:r w:rsidRPr="006A6890">
        <w:rPr>
          <w:rFonts w:asciiTheme="minorHAnsi" w:hAnsiTheme="minorHAnsi"/>
        </w:rPr>
        <w:t>likviditási kockázattal összefüggő belső ellenőri jelentés;</w:t>
      </w:r>
    </w:p>
    <w:p w14:paraId="7FFFEEC1" w14:textId="77777777" w:rsidR="008A78E3" w:rsidRPr="006A6890" w:rsidRDefault="008A78E3" w:rsidP="00181755">
      <w:pPr>
        <w:pStyle w:val="felsorolsos"/>
        <w:rPr>
          <w:rFonts w:asciiTheme="minorHAnsi" w:hAnsiTheme="minorHAnsi"/>
        </w:rPr>
      </w:pPr>
      <w:r w:rsidRPr="006A6890">
        <w:rPr>
          <w:rFonts w:asciiTheme="minorHAnsi" w:hAnsiTheme="minorHAnsi"/>
        </w:rPr>
        <w:t>limitek teljes listája a vizsgálatot megelőző év változásait feltüntetve, valamint gyakoriságuknak megfelelően a limitkihasználtságok mérésének adatai Excel táblában a vizsgálat időpontját megelőző 1 évre vonatkozóan ;</w:t>
      </w:r>
    </w:p>
    <w:p w14:paraId="7FFFEEC2" w14:textId="77777777" w:rsidR="008A78E3" w:rsidRPr="006A6890" w:rsidRDefault="008A78E3" w:rsidP="00181755">
      <w:pPr>
        <w:pStyle w:val="felsorolsos"/>
        <w:rPr>
          <w:rFonts w:asciiTheme="minorHAnsi" w:hAnsiTheme="minorHAnsi"/>
        </w:rPr>
      </w:pPr>
      <w:r w:rsidRPr="006A6890">
        <w:rPr>
          <w:rFonts w:asciiTheme="minorHAnsi" w:hAnsiTheme="minorHAnsi"/>
        </w:rPr>
        <w:t>likviditási fedezeti ráta (LCR), nettó stabil finanszírozási mutató (NSFR) számításának levezetése a vizsgálat vonatkozási dátumára vonatkozóan;</w:t>
      </w:r>
    </w:p>
    <w:p w14:paraId="7FFFEEC3" w14:textId="77777777" w:rsidR="008A78E3" w:rsidRPr="006A6890" w:rsidRDefault="008A78E3" w:rsidP="00181755">
      <w:pPr>
        <w:pStyle w:val="felsorolsos"/>
        <w:rPr>
          <w:rFonts w:asciiTheme="minorHAnsi" w:hAnsiTheme="minorHAnsi"/>
        </w:rPr>
      </w:pPr>
      <w:r w:rsidRPr="006A6890">
        <w:rPr>
          <w:rFonts w:asciiTheme="minorHAnsi" w:hAnsiTheme="minorHAnsi"/>
        </w:rPr>
        <w:t>csoportfinanszírozási ügyletek listája.</w:t>
      </w:r>
    </w:p>
    <w:p w14:paraId="7FFFEEC4" w14:textId="77777777" w:rsidR="008A78E3" w:rsidRPr="00D547D0" w:rsidRDefault="008A78E3" w:rsidP="00181755">
      <w:pPr>
        <w:pStyle w:val="Cmsor1"/>
      </w:pPr>
      <w:r w:rsidRPr="006A6890">
        <w:rPr>
          <w:i/>
        </w:rPr>
        <w:br w:type="page"/>
      </w:r>
      <w:bookmarkStart w:id="1854" w:name="_Mellékletek:"/>
      <w:bookmarkStart w:id="1855" w:name="_Toc378256251"/>
      <w:bookmarkStart w:id="1856" w:name="_Toc378592116"/>
      <w:bookmarkStart w:id="1857" w:name="_Toc461095283"/>
      <w:bookmarkStart w:id="1858" w:name="_Toc461179242"/>
      <w:bookmarkStart w:id="1859" w:name="_Toc461179939"/>
      <w:bookmarkStart w:id="1860" w:name="_Toc461197783"/>
      <w:bookmarkStart w:id="1861" w:name="_Toc461201383"/>
      <w:bookmarkStart w:id="1862" w:name="_Toc461548084"/>
      <w:bookmarkStart w:id="1863" w:name="_Toc462402124"/>
      <w:bookmarkStart w:id="1864" w:name="_Toc462403299"/>
      <w:bookmarkStart w:id="1865" w:name="_Toc462403571"/>
      <w:bookmarkStart w:id="1866" w:name="_Toc468180691"/>
      <w:bookmarkStart w:id="1867" w:name="_Toc468181248"/>
      <w:bookmarkStart w:id="1868" w:name="_Toc468191514"/>
      <w:bookmarkStart w:id="1869" w:name="_Toc45120037"/>
      <w:bookmarkStart w:id="1870" w:name="_Toc58512320"/>
      <w:bookmarkStart w:id="1871" w:name="_Toc158036745"/>
      <w:bookmarkEnd w:id="1854"/>
      <w:r w:rsidRPr="006A6890">
        <w:t>Mellékletek</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14:paraId="7FFFEEC5" w14:textId="77777777" w:rsidR="008A78E3" w:rsidRPr="006A6890" w:rsidRDefault="008A78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7FFFEEC6" w14:textId="77777777" w:rsidR="008A78E3" w:rsidRPr="006A6890" w:rsidRDefault="008A78E3" w:rsidP="00181755">
      <w:pPr>
        <w:rPr>
          <w:rFonts w:asciiTheme="minorHAnsi" w:hAnsiTheme="minorHAnsi"/>
        </w:rPr>
      </w:pPr>
      <w:r w:rsidRPr="006A6890">
        <w:rPr>
          <w:rFonts w:asciiTheme="minorHAnsi" w:hAnsiTheme="minorHAnsi"/>
        </w:rPr>
        <w:t>4. számú melléklet: Tájékoztatás a felügyeleti felülvizsgálati folyamat keretében kiemelten kezelt kockázatos portfoliókról és a hozzájuk kapcsolódó többlettőke előírásáról (külön található az MNB honlapján)</w:t>
      </w:r>
    </w:p>
    <w:p w14:paraId="7FFFEEC7" w14:textId="77777777" w:rsidR="008A78E3" w:rsidRPr="006A6890" w:rsidRDefault="008A78E3"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7FFFEEC8" w14:textId="77777777" w:rsidR="008A78E3" w:rsidRPr="006A6890" w:rsidRDefault="008A78E3" w:rsidP="00181755">
      <w:pPr>
        <w:rPr>
          <w:rFonts w:asciiTheme="minorHAnsi" w:hAnsiTheme="minorHAnsi"/>
        </w:rPr>
      </w:pPr>
      <w:r w:rsidRPr="006A6890">
        <w:rPr>
          <w:rFonts w:asciiTheme="minorHAnsi" w:hAnsiTheme="minorHAnsi"/>
        </w:rPr>
        <w:t>6. számú melléklet: A devizaárfolyam-kockázat számítására alkalmazni kért belső modell (külön található az MNB honlapján)</w:t>
      </w:r>
    </w:p>
    <w:p w14:paraId="7FFFEEC9" w14:textId="77777777" w:rsidR="008A78E3" w:rsidRPr="006A6890" w:rsidRDefault="008A78E3"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7FFFEECA" w14:textId="77777777" w:rsidR="008A78E3" w:rsidRPr="006A6890" w:rsidRDefault="008A78E3" w:rsidP="00181755">
      <w:pPr>
        <w:rPr>
          <w:rFonts w:asciiTheme="minorHAnsi" w:hAnsiTheme="minorHAnsi"/>
        </w:rPr>
      </w:pPr>
      <w:r w:rsidRPr="006A6890">
        <w:rPr>
          <w:rFonts w:asciiTheme="minorHAnsi" w:hAnsiTheme="minorHAnsi"/>
        </w:rPr>
        <w:t xml:space="preserve">10. számú melléklet: </w:t>
      </w:r>
      <w:bookmarkStart w:id="1872" w:name="_Hlk252455"/>
      <w:r w:rsidRPr="006A6890">
        <w:rPr>
          <w:rFonts w:asciiTheme="minorHAnsi" w:hAnsiTheme="minorHAnsi"/>
        </w:rPr>
        <w:t xml:space="preserve">Az ILAAP vizsgálat kiemelt területei </w:t>
      </w:r>
      <w:bookmarkEnd w:id="1872"/>
      <w:r w:rsidRPr="006A6890">
        <w:rPr>
          <w:rFonts w:asciiTheme="minorHAnsi" w:hAnsiTheme="minorHAnsi"/>
        </w:rPr>
        <w:t>(külön található az MNB honlapján)</w:t>
      </w:r>
    </w:p>
    <w:p w14:paraId="7FFFEECB" w14:textId="77777777" w:rsidR="008A78E3" w:rsidRPr="006A6890" w:rsidRDefault="008A78E3" w:rsidP="00181755">
      <w:pPr>
        <w:rPr>
          <w:rFonts w:asciiTheme="minorHAnsi" w:hAnsiTheme="minorHAnsi"/>
        </w:rPr>
      </w:pPr>
      <w:bookmarkStart w:id="1873"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873"/>
      <w:r w:rsidRPr="006A6890">
        <w:rPr>
          <w:rFonts w:asciiTheme="minorHAnsi" w:hAnsiTheme="minorHAnsi"/>
        </w:rPr>
        <w:t>(külön található az MNB honlapján)</w:t>
      </w:r>
    </w:p>
    <w:p w14:paraId="7FFFEECC" w14:textId="77777777" w:rsidR="008A78E3" w:rsidRPr="006A6890" w:rsidRDefault="008A78E3"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7FFFEECD" w14:textId="77777777" w:rsidR="008A78E3" w:rsidRDefault="008A78E3" w:rsidP="00181755">
      <w:pPr>
        <w:rPr>
          <w:rFonts w:asciiTheme="minorHAnsi" w:hAnsiTheme="minorHAnsi"/>
        </w:rPr>
      </w:pPr>
      <w:r w:rsidRPr="006A6890">
        <w:rPr>
          <w:rFonts w:asciiTheme="minorHAnsi" w:hAnsiTheme="minorHAnsi"/>
        </w:rPr>
        <w:t>13. számú melleklet: Működési kockázati KRI és szcenárió lista</w:t>
      </w:r>
    </w:p>
    <w:p w14:paraId="7FFFEECE" w14:textId="77777777" w:rsidR="008A78E3" w:rsidRPr="006A6890" w:rsidRDefault="008A78E3" w:rsidP="00181755">
      <w:pPr>
        <w:rPr>
          <w:rFonts w:asciiTheme="minorHAnsi" w:hAnsiTheme="minorHAnsi"/>
        </w:rPr>
      </w:pPr>
      <w:bookmarkStart w:id="1874" w:name="_Hlk55821030"/>
      <w:r>
        <w:rPr>
          <w:rFonts w:asciiTheme="minorHAnsi" w:hAnsiTheme="minorHAnsi"/>
        </w:rPr>
        <w:t xml:space="preserve">14. számú melléklet: Zöld vállalati és önkormányzati tőkekövetelmény-kedvezményhez </w:t>
      </w:r>
      <w:r w:rsidRPr="00D133D7">
        <w:rPr>
          <w:rFonts w:asciiTheme="minorHAnsi" w:hAnsiTheme="minorHAnsi"/>
        </w:rPr>
        <w:t xml:space="preserve">tartozó példaszámítások </w:t>
      </w:r>
      <w:bookmarkEnd w:id="1874"/>
    </w:p>
    <w:p w14:paraId="7FFFEECF" w14:textId="77777777" w:rsidR="008A78E3" w:rsidRPr="006A6890" w:rsidRDefault="008A78E3" w:rsidP="00181755">
      <w:pPr>
        <w:rPr>
          <w:rFonts w:asciiTheme="minorHAnsi" w:hAnsiTheme="minorHAnsi"/>
        </w:rPr>
        <w:sectPr w:rsidR="008A78E3" w:rsidRPr="006A6890" w:rsidSect="00C645A0">
          <w:footerReference w:type="even" r:id="rId38"/>
          <w:footerReference w:type="default" r:id="rId39"/>
          <w:pgSz w:w="11906" w:h="16838"/>
          <w:pgMar w:top="1418" w:right="1416" w:bottom="1417" w:left="1134" w:header="708" w:footer="708" w:gutter="0"/>
          <w:cols w:space="708"/>
          <w:titlePg/>
          <w:docGrid w:linePitch="360"/>
        </w:sectPr>
      </w:pPr>
    </w:p>
    <w:p w14:paraId="7FFFEED0" w14:textId="77777777" w:rsidR="008A78E3" w:rsidRPr="006A6890" w:rsidRDefault="008A78E3" w:rsidP="00780492">
      <w:pPr>
        <w:pStyle w:val="Listaszerbekezds"/>
        <w:numPr>
          <w:ilvl w:val="0"/>
          <w:numId w:val="11"/>
        </w:numPr>
        <w:ind w:left="567" w:hanging="589"/>
        <w:rPr>
          <w:rFonts w:asciiTheme="minorHAnsi" w:hAnsiTheme="minorHAnsi"/>
        </w:rPr>
      </w:pPr>
      <w:r w:rsidRPr="006A6890">
        <w:rPr>
          <w:rFonts w:asciiTheme="minorHAnsi" w:hAnsiTheme="minorHAnsi"/>
        </w:rPr>
        <w:t>számú melléklet: A feltárt hiányosságokra adható felügyeleti válaszlépések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527C4C" w14:paraId="7FFFEED5" w14:textId="77777777" w:rsidTr="00175385">
        <w:trPr>
          <w:trHeight w:val="488"/>
        </w:trPr>
        <w:tc>
          <w:tcPr>
            <w:tcW w:w="4966" w:type="dxa"/>
            <w:shd w:val="clear" w:color="auto" w:fill="F3F3F3"/>
            <w:vAlign w:val="center"/>
          </w:tcPr>
          <w:p w14:paraId="7FFFEED1" w14:textId="77777777" w:rsidR="008A78E3" w:rsidRPr="006A6890" w:rsidRDefault="008A78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7FFFEED2" w14:textId="77777777" w:rsidR="008A78E3" w:rsidRPr="006A6890" w:rsidRDefault="008A78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7FFFEED3" w14:textId="77777777" w:rsidR="008A78E3" w:rsidRPr="006A6890" w:rsidRDefault="008A78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7FFFEED4" w14:textId="77777777" w:rsidR="008A78E3" w:rsidRPr="006A6890" w:rsidRDefault="008A78E3" w:rsidP="00D10772">
            <w:pPr>
              <w:rPr>
                <w:rFonts w:asciiTheme="minorHAnsi" w:hAnsiTheme="minorHAnsi"/>
              </w:rPr>
            </w:pPr>
            <w:r w:rsidRPr="006A6890">
              <w:rPr>
                <w:rFonts w:asciiTheme="minorHAnsi" w:hAnsiTheme="minorHAnsi"/>
              </w:rPr>
              <w:t>Elsődleges információforrások</w:t>
            </w:r>
          </w:p>
        </w:tc>
      </w:tr>
      <w:tr w:rsidR="00527C4C" w14:paraId="7FFFEEDA" w14:textId="77777777" w:rsidTr="00175385">
        <w:tc>
          <w:tcPr>
            <w:tcW w:w="4966" w:type="dxa"/>
            <w:shd w:val="clear" w:color="auto" w:fill="FFFFFF"/>
            <w:vAlign w:val="center"/>
          </w:tcPr>
          <w:p w14:paraId="7FFFEED6" w14:textId="77777777" w:rsidR="008A78E3" w:rsidRPr="006A6890" w:rsidRDefault="008A78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7FFFEED7" w14:textId="77777777" w:rsidR="008A78E3" w:rsidRPr="006A6890" w:rsidRDefault="008A78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7FFFEED8"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7FFFEED9" w14:textId="77777777" w:rsidR="008A78E3" w:rsidRPr="006A6890" w:rsidRDefault="008A78E3" w:rsidP="00D10772">
            <w:pPr>
              <w:rPr>
                <w:rFonts w:asciiTheme="minorHAnsi" w:hAnsiTheme="minorHAnsi"/>
              </w:rPr>
            </w:pPr>
            <w:r w:rsidRPr="006A6890">
              <w:rPr>
                <w:rFonts w:asciiTheme="minorHAnsi" w:hAnsiTheme="minorHAnsi"/>
              </w:rPr>
              <w:t>Adatszolgáltatás, kérdőív, MNB vizsgálatok</w:t>
            </w:r>
          </w:p>
        </w:tc>
      </w:tr>
      <w:tr w:rsidR="00527C4C" w14:paraId="7FFFEEDF" w14:textId="77777777" w:rsidTr="00175385">
        <w:tc>
          <w:tcPr>
            <w:tcW w:w="4966" w:type="dxa"/>
            <w:shd w:val="clear" w:color="auto" w:fill="FFFFFF"/>
            <w:vAlign w:val="center"/>
          </w:tcPr>
          <w:p w14:paraId="7FFFEEDB" w14:textId="77777777" w:rsidR="008A78E3" w:rsidRPr="006A6890" w:rsidRDefault="008A78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7FFFEEDC" w14:textId="77777777" w:rsidR="008A78E3" w:rsidRPr="006A6890" w:rsidRDefault="008A78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7FFFEEDD"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7FFFEEDE" w14:textId="77777777" w:rsidR="008A78E3" w:rsidRPr="006A6890" w:rsidRDefault="008A78E3" w:rsidP="00D10772">
            <w:pPr>
              <w:rPr>
                <w:rFonts w:asciiTheme="minorHAnsi" w:hAnsiTheme="minorHAnsi"/>
              </w:rPr>
            </w:pPr>
            <w:r w:rsidRPr="006A6890">
              <w:rPr>
                <w:rFonts w:asciiTheme="minorHAnsi" w:hAnsiTheme="minorHAnsi"/>
              </w:rPr>
              <w:t>Kérdőív, MNB vizsgálat, szektorelemzés</w:t>
            </w:r>
          </w:p>
        </w:tc>
      </w:tr>
      <w:tr w:rsidR="00527C4C" w14:paraId="7FFFEEE4" w14:textId="77777777" w:rsidTr="00175385">
        <w:tc>
          <w:tcPr>
            <w:tcW w:w="4966" w:type="dxa"/>
            <w:vAlign w:val="center"/>
          </w:tcPr>
          <w:p w14:paraId="7FFFEEE0" w14:textId="77777777" w:rsidR="008A78E3" w:rsidRPr="006A6890" w:rsidRDefault="008A78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7FFFEEE1" w14:textId="77777777" w:rsidR="008A78E3" w:rsidRPr="006A6890" w:rsidRDefault="008A78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7FFFEEE2"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EE3" w14:textId="77777777" w:rsidR="008A78E3" w:rsidRPr="006A6890" w:rsidRDefault="008A78E3" w:rsidP="00D10772">
            <w:pPr>
              <w:rPr>
                <w:rFonts w:asciiTheme="minorHAnsi" w:hAnsiTheme="minorHAnsi"/>
              </w:rPr>
            </w:pPr>
            <w:r w:rsidRPr="006A6890">
              <w:rPr>
                <w:rFonts w:asciiTheme="minorHAnsi" w:hAnsiTheme="minorHAnsi"/>
              </w:rPr>
              <w:t>MNB vizsgálat, adatszolgáltatások</w:t>
            </w:r>
          </w:p>
        </w:tc>
      </w:tr>
      <w:tr w:rsidR="00527C4C" w14:paraId="7FFFEEE9" w14:textId="77777777" w:rsidTr="00175385">
        <w:tc>
          <w:tcPr>
            <w:tcW w:w="4966" w:type="dxa"/>
            <w:vAlign w:val="center"/>
          </w:tcPr>
          <w:p w14:paraId="7FFFEEE5" w14:textId="77777777" w:rsidR="008A78E3" w:rsidRPr="006A6890" w:rsidRDefault="008A78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7FFFEEE6" w14:textId="77777777" w:rsidR="008A78E3" w:rsidRPr="006A6890" w:rsidRDefault="008A78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7FFFEEE7" w14:textId="77777777" w:rsidR="008A78E3" w:rsidRPr="006A6890" w:rsidRDefault="008A78E3" w:rsidP="00D10772">
            <w:pPr>
              <w:rPr>
                <w:rFonts w:asciiTheme="minorHAnsi" w:hAnsiTheme="minorHAnsi"/>
              </w:rPr>
            </w:pPr>
            <w:r w:rsidRPr="006A6890">
              <w:rPr>
                <w:rFonts w:asciiTheme="minorHAnsi" w:hAnsiTheme="minorHAnsi"/>
              </w:rPr>
              <w:t xml:space="preserve"> II.</w:t>
            </w:r>
          </w:p>
        </w:tc>
        <w:tc>
          <w:tcPr>
            <w:tcW w:w="2983" w:type="dxa"/>
            <w:vAlign w:val="center"/>
          </w:tcPr>
          <w:p w14:paraId="7FFFEEE8" w14:textId="77777777" w:rsidR="008A78E3" w:rsidRPr="006A6890" w:rsidRDefault="008A78E3" w:rsidP="00D10772">
            <w:pPr>
              <w:rPr>
                <w:rFonts w:asciiTheme="minorHAnsi" w:hAnsiTheme="minorHAnsi"/>
              </w:rPr>
            </w:pPr>
            <w:r w:rsidRPr="006A6890">
              <w:rPr>
                <w:rFonts w:asciiTheme="minorHAnsi" w:hAnsiTheme="minorHAnsi"/>
              </w:rPr>
              <w:t>Adatszolgáltatás, kérdőív</w:t>
            </w:r>
          </w:p>
        </w:tc>
      </w:tr>
      <w:tr w:rsidR="00527C4C" w14:paraId="7FFFEEEE" w14:textId="77777777" w:rsidTr="00175385">
        <w:tc>
          <w:tcPr>
            <w:tcW w:w="4966" w:type="dxa"/>
            <w:vAlign w:val="center"/>
          </w:tcPr>
          <w:p w14:paraId="7FFFEEEA" w14:textId="77777777" w:rsidR="008A78E3" w:rsidRPr="006A6890" w:rsidRDefault="008A78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7FFFEEEB" w14:textId="77777777" w:rsidR="008A78E3" w:rsidRPr="006A6890" w:rsidRDefault="008A78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FFFEEEC" w14:textId="77777777" w:rsidR="008A78E3" w:rsidRPr="006A6890" w:rsidRDefault="008A78E3" w:rsidP="00D10772">
            <w:pPr>
              <w:rPr>
                <w:rFonts w:asciiTheme="minorHAnsi" w:hAnsiTheme="minorHAnsi"/>
              </w:rPr>
            </w:pPr>
            <w:r w:rsidRPr="006A6890">
              <w:rPr>
                <w:rFonts w:asciiTheme="minorHAnsi" w:hAnsiTheme="minorHAnsi"/>
              </w:rPr>
              <w:t xml:space="preserve"> I.</w:t>
            </w:r>
          </w:p>
        </w:tc>
        <w:tc>
          <w:tcPr>
            <w:tcW w:w="2983" w:type="dxa"/>
            <w:vAlign w:val="center"/>
          </w:tcPr>
          <w:p w14:paraId="7FFFEEED" w14:textId="77777777" w:rsidR="008A78E3" w:rsidRPr="006A6890" w:rsidRDefault="008A78E3" w:rsidP="00D10772">
            <w:pPr>
              <w:rPr>
                <w:rFonts w:asciiTheme="minorHAnsi" w:hAnsiTheme="minorHAnsi"/>
              </w:rPr>
            </w:pPr>
            <w:r w:rsidRPr="006A6890">
              <w:rPr>
                <w:rFonts w:asciiTheme="minorHAnsi" w:hAnsiTheme="minorHAnsi"/>
              </w:rPr>
              <w:t>MNB vizsgálat, piaci információk, kérdőív</w:t>
            </w:r>
          </w:p>
        </w:tc>
      </w:tr>
      <w:tr w:rsidR="00527C4C" w14:paraId="7FFFEEF3" w14:textId="77777777" w:rsidTr="00175385">
        <w:tc>
          <w:tcPr>
            <w:tcW w:w="4966" w:type="dxa"/>
            <w:vAlign w:val="center"/>
          </w:tcPr>
          <w:p w14:paraId="7FFFEEEF" w14:textId="77777777" w:rsidR="008A78E3" w:rsidRPr="006A6890" w:rsidRDefault="008A78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7FFFEEF0" w14:textId="77777777" w:rsidR="008A78E3" w:rsidRPr="006A6890" w:rsidRDefault="008A78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7FFFEEF1"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EF2" w14:textId="77777777" w:rsidR="008A78E3" w:rsidRPr="006A6890" w:rsidRDefault="008A78E3" w:rsidP="00D10772">
            <w:pPr>
              <w:rPr>
                <w:rFonts w:asciiTheme="minorHAnsi" w:hAnsiTheme="minorHAnsi"/>
              </w:rPr>
            </w:pPr>
            <w:r w:rsidRPr="006A6890">
              <w:rPr>
                <w:rFonts w:asciiTheme="minorHAnsi" w:hAnsiTheme="minorHAnsi"/>
              </w:rPr>
              <w:t>Adatszolgáltatás, MNB vizsgálat</w:t>
            </w:r>
          </w:p>
        </w:tc>
      </w:tr>
      <w:tr w:rsidR="00527C4C" w14:paraId="7FFFEEF8" w14:textId="77777777" w:rsidTr="00175385">
        <w:tc>
          <w:tcPr>
            <w:tcW w:w="4966" w:type="dxa"/>
            <w:vAlign w:val="center"/>
          </w:tcPr>
          <w:p w14:paraId="7FFFEEF4" w14:textId="77777777" w:rsidR="008A78E3" w:rsidRPr="006A6890" w:rsidRDefault="008A78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7FFFEEF5" w14:textId="77777777" w:rsidR="008A78E3" w:rsidRPr="006A6890" w:rsidRDefault="008A78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7FFFEEF6"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EF7" w14:textId="77777777" w:rsidR="008A78E3" w:rsidRPr="006A6890" w:rsidRDefault="008A78E3"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527C4C" w14:paraId="7FFFEEFD" w14:textId="77777777" w:rsidTr="00175385">
        <w:tc>
          <w:tcPr>
            <w:tcW w:w="4966" w:type="dxa"/>
            <w:vAlign w:val="center"/>
          </w:tcPr>
          <w:p w14:paraId="7FFFEEF9" w14:textId="77777777" w:rsidR="008A78E3" w:rsidRPr="006A6890" w:rsidRDefault="008A78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7FFFEEFA" w14:textId="77777777" w:rsidR="008A78E3" w:rsidRPr="006A6890" w:rsidRDefault="008A78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7FFFEEFB"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EFC" w14:textId="77777777" w:rsidR="008A78E3" w:rsidRPr="006A6890" w:rsidRDefault="008A78E3" w:rsidP="00D10772">
            <w:pPr>
              <w:rPr>
                <w:rFonts w:asciiTheme="minorHAnsi" w:hAnsiTheme="minorHAnsi"/>
              </w:rPr>
            </w:pPr>
            <w:r w:rsidRPr="006A6890">
              <w:rPr>
                <w:rFonts w:asciiTheme="minorHAnsi" w:hAnsiTheme="minorHAnsi"/>
              </w:rPr>
              <w:t>Kérdőív, MNB vizsgálatok</w:t>
            </w:r>
          </w:p>
        </w:tc>
      </w:tr>
      <w:tr w:rsidR="00527C4C" w14:paraId="7FFFEF02" w14:textId="77777777" w:rsidTr="00175385">
        <w:tc>
          <w:tcPr>
            <w:tcW w:w="4966" w:type="dxa"/>
            <w:vAlign w:val="center"/>
          </w:tcPr>
          <w:p w14:paraId="7FFFEEFE" w14:textId="77777777" w:rsidR="008A78E3" w:rsidRPr="006A6890" w:rsidRDefault="008A78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7FFFEEFF" w14:textId="77777777" w:rsidR="008A78E3" w:rsidRPr="006A6890" w:rsidRDefault="008A78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7FFFEF00"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F01" w14:textId="77777777" w:rsidR="008A78E3" w:rsidRPr="006A6890" w:rsidRDefault="008A78E3" w:rsidP="00D10772">
            <w:pPr>
              <w:rPr>
                <w:rFonts w:asciiTheme="minorHAnsi" w:hAnsiTheme="minorHAnsi"/>
              </w:rPr>
            </w:pPr>
            <w:r w:rsidRPr="006A6890">
              <w:rPr>
                <w:rFonts w:asciiTheme="minorHAnsi" w:hAnsiTheme="minorHAnsi"/>
              </w:rPr>
              <w:t>MNB vizsgálat, kérdőív</w:t>
            </w:r>
          </w:p>
        </w:tc>
      </w:tr>
      <w:tr w:rsidR="00527C4C" w14:paraId="7FFFEF07" w14:textId="77777777" w:rsidTr="00175385">
        <w:tc>
          <w:tcPr>
            <w:tcW w:w="4966" w:type="dxa"/>
            <w:vAlign w:val="center"/>
          </w:tcPr>
          <w:p w14:paraId="7FFFEF03" w14:textId="77777777" w:rsidR="008A78E3" w:rsidRPr="006A6890" w:rsidRDefault="008A78E3" w:rsidP="00EB1BE0">
            <w:pPr>
              <w:rPr>
                <w:rFonts w:asciiTheme="minorHAnsi" w:hAnsiTheme="minorHAnsi"/>
                <w:b/>
              </w:rPr>
            </w:pPr>
            <w:r w:rsidRPr="006A6890">
              <w:rPr>
                <w:rFonts w:asciiTheme="minorHAnsi" w:hAnsiTheme="minorHAnsi"/>
              </w:rPr>
              <w:t>MNB ajánlások, módszertani kézikönyvek be nem tartása</w:t>
            </w:r>
          </w:p>
        </w:tc>
        <w:tc>
          <w:tcPr>
            <w:tcW w:w="2835" w:type="dxa"/>
            <w:vAlign w:val="center"/>
          </w:tcPr>
          <w:p w14:paraId="7FFFEF04" w14:textId="77777777" w:rsidR="008A78E3" w:rsidRPr="006A6890" w:rsidRDefault="008A78E3" w:rsidP="00EB1BE0">
            <w:pPr>
              <w:rPr>
                <w:rFonts w:asciiTheme="minorHAnsi" w:hAnsiTheme="minorHAnsi"/>
              </w:rPr>
            </w:pPr>
            <w:r w:rsidRPr="006A6890">
              <w:rPr>
                <w:rFonts w:asciiTheme="minorHAnsi" w:hAnsiTheme="minorHAnsi"/>
              </w:rPr>
              <w:t>Ajánlások, kézikönyvek betartására való figyelemfelhívás</w:t>
            </w:r>
          </w:p>
        </w:tc>
        <w:tc>
          <w:tcPr>
            <w:tcW w:w="1276" w:type="dxa"/>
            <w:vAlign w:val="center"/>
          </w:tcPr>
          <w:p w14:paraId="7FFFEF05"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06" w14:textId="77777777" w:rsidR="008A78E3" w:rsidRPr="006A6890" w:rsidRDefault="008A78E3" w:rsidP="00D10772">
            <w:pPr>
              <w:rPr>
                <w:rFonts w:asciiTheme="minorHAnsi" w:hAnsiTheme="minorHAnsi"/>
              </w:rPr>
            </w:pPr>
            <w:r w:rsidRPr="006A6890">
              <w:rPr>
                <w:rFonts w:asciiTheme="minorHAnsi" w:hAnsiTheme="minorHAnsi"/>
              </w:rPr>
              <w:t>MNB vizsgálat</w:t>
            </w:r>
          </w:p>
        </w:tc>
      </w:tr>
      <w:tr w:rsidR="00527C4C" w14:paraId="7FFFEF0C" w14:textId="77777777" w:rsidTr="00175385">
        <w:tc>
          <w:tcPr>
            <w:tcW w:w="4966" w:type="dxa"/>
            <w:vAlign w:val="center"/>
          </w:tcPr>
          <w:p w14:paraId="7FFFEF08" w14:textId="77777777" w:rsidR="008A78E3" w:rsidRPr="006A6890" w:rsidRDefault="008A78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7FFFEF09" w14:textId="77777777" w:rsidR="008A78E3" w:rsidRPr="006A6890" w:rsidRDefault="008A78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7FFFEF0A" w14:textId="77777777" w:rsidR="008A78E3" w:rsidRPr="006A6890" w:rsidRDefault="008A78E3" w:rsidP="00D10772">
            <w:pPr>
              <w:rPr>
                <w:rFonts w:asciiTheme="minorHAnsi" w:hAnsiTheme="minorHAnsi"/>
              </w:rPr>
            </w:pPr>
            <w:r w:rsidRPr="006A6890">
              <w:rPr>
                <w:rFonts w:asciiTheme="minorHAnsi" w:hAnsiTheme="minorHAnsi"/>
              </w:rPr>
              <w:t xml:space="preserve"> II.</w:t>
            </w:r>
          </w:p>
        </w:tc>
        <w:tc>
          <w:tcPr>
            <w:tcW w:w="2983" w:type="dxa"/>
            <w:vAlign w:val="center"/>
          </w:tcPr>
          <w:p w14:paraId="7FFFEF0B" w14:textId="77777777" w:rsidR="008A78E3" w:rsidRPr="006A6890" w:rsidRDefault="008A78E3" w:rsidP="00D10772">
            <w:pPr>
              <w:rPr>
                <w:rFonts w:asciiTheme="minorHAnsi" w:hAnsiTheme="minorHAnsi"/>
              </w:rPr>
            </w:pPr>
            <w:r w:rsidRPr="006A6890">
              <w:rPr>
                <w:rFonts w:asciiTheme="minorHAnsi" w:hAnsiTheme="minorHAnsi"/>
              </w:rPr>
              <w:t>MNB vizsgálat, kérdőív</w:t>
            </w:r>
          </w:p>
        </w:tc>
      </w:tr>
      <w:tr w:rsidR="00527C4C" w14:paraId="7FFFEF11" w14:textId="77777777" w:rsidTr="00175385">
        <w:tc>
          <w:tcPr>
            <w:tcW w:w="4966" w:type="dxa"/>
            <w:vAlign w:val="center"/>
          </w:tcPr>
          <w:p w14:paraId="7FFFEF0D" w14:textId="77777777" w:rsidR="008A78E3" w:rsidRPr="006A6890" w:rsidRDefault="008A78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7FFFEF0E" w14:textId="77777777" w:rsidR="008A78E3" w:rsidRPr="006A6890" w:rsidRDefault="008A78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FFFEF0F"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F10" w14:textId="77777777" w:rsidR="008A78E3" w:rsidRPr="006A6890" w:rsidRDefault="008A78E3" w:rsidP="00D10772">
            <w:pPr>
              <w:rPr>
                <w:rFonts w:asciiTheme="minorHAnsi" w:hAnsiTheme="minorHAnsi"/>
              </w:rPr>
            </w:pPr>
            <w:r w:rsidRPr="006A6890">
              <w:rPr>
                <w:rFonts w:asciiTheme="minorHAnsi" w:hAnsiTheme="minorHAnsi"/>
              </w:rPr>
              <w:t xml:space="preserve">MNB és más szervek vizsgálati anyagai </w:t>
            </w:r>
          </w:p>
        </w:tc>
      </w:tr>
      <w:tr w:rsidR="00527C4C" w14:paraId="7FFFEF16" w14:textId="77777777" w:rsidTr="00175385">
        <w:tc>
          <w:tcPr>
            <w:tcW w:w="4966" w:type="dxa"/>
            <w:vAlign w:val="center"/>
          </w:tcPr>
          <w:p w14:paraId="7FFFEF12" w14:textId="77777777" w:rsidR="008A78E3" w:rsidRPr="006A6890" w:rsidRDefault="008A78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7FFFEF13" w14:textId="77777777" w:rsidR="008A78E3" w:rsidRPr="006A6890" w:rsidRDefault="008A78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FFFEF14"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F15" w14:textId="77777777" w:rsidR="008A78E3" w:rsidRPr="006A6890" w:rsidRDefault="008A78E3" w:rsidP="00D10772">
            <w:pPr>
              <w:rPr>
                <w:rFonts w:asciiTheme="minorHAnsi" w:hAnsiTheme="minorHAnsi"/>
              </w:rPr>
            </w:pPr>
            <w:r w:rsidRPr="006A6890">
              <w:rPr>
                <w:rFonts w:asciiTheme="minorHAnsi" w:hAnsiTheme="minorHAnsi"/>
              </w:rPr>
              <w:t xml:space="preserve"> MNB vizsgálatok, adatszolgáltatás</w:t>
            </w:r>
          </w:p>
        </w:tc>
      </w:tr>
      <w:tr w:rsidR="00527C4C" w14:paraId="7FFFEF1B" w14:textId="77777777" w:rsidTr="00175385">
        <w:tc>
          <w:tcPr>
            <w:tcW w:w="4966" w:type="dxa"/>
            <w:vAlign w:val="center"/>
          </w:tcPr>
          <w:p w14:paraId="7FFFEF17" w14:textId="77777777" w:rsidR="008A78E3" w:rsidRPr="006A6890" w:rsidRDefault="008A78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7FFFEF18" w14:textId="77777777" w:rsidR="008A78E3" w:rsidRPr="006A6890" w:rsidRDefault="008A78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7FFFEF19"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1A" w14:textId="77777777" w:rsidR="008A78E3" w:rsidRPr="006A6890" w:rsidRDefault="008A78E3" w:rsidP="00D10772">
            <w:pPr>
              <w:rPr>
                <w:rFonts w:asciiTheme="minorHAnsi" w:hAnsiTheme="minorHAnsi"/>
              </w:rPr>
            </w:pPr>
            <w:r w:rsidRPr="006A6890">
              <w:rPr>
                <w:rFonts w:asciiTheme="minorHAnsi" w:hAnsiTheme="minorHAnsi"/>
              </w:rPr>
              <w:t>MNB és más szervek vizsgálati anyagai, adatszolgáltatás</w:t>
            </w:r>
          </w:p>
        </w:tc>
      </w:tr>
      <w:tr w:rsidR="00527C4C" w14:paraId="7FFFEF20" w14:textId="77777777" w:rsidTr="00175385">
        <w:tc>
          <w:tcPr>
            <w:tcW w:w="4966" w:type="dxa"/>
            <w:vAlign w:val="center"/>
          </w:tcPr>
          <w:p w14:paraId="7FFFEF1C" w14:textId="77777777" w:rsidR="008A78E3" w:rsidRPr="006A6890" w:rsidRDefault="008A78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7FFFEF1D" w14:textId="77777777" w:rsidR="008A78E3" w:rsidRPr="006A6890" w:rsidRDefault="008A78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FFFEF1E"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1F" w14:textId="77777777" w:rsidR="008A78E3" w:rsidRPr="006A6890" w:rsidRDefault="008A78E3" w:rsidP="00D10772">
            <w:pPr>
              <w:rPr>
                <w:rFonts w:asciiTheme="minorHAnsi" w:hAnsiTheme="minorHAnsi"/>
              </w:rPr>
            </w:pPr>
            <w:r w:rsidRPr="006A6890">
              <w:rPr>
                <w:rFonts w:asciiTheme="minorHAnsi" w:hAnsiTheme="minorHAnsi"/>
              </w:rPr>
              <w:t>Kérdőív, MNB vizsgálat, adatszolgáltatás</w:t>
            </w:r>
          </w:p>
        </w:tc>
      </w:tr>
      <w:tr w:rsidR="00527C4C" w14:paraId="7FFFEF25" w14:textId="77777777" w:rsidTr="00175385">
        <w:tc>
          <w:tcPr>
            <w:tcW w:w="4966" w:type="dxa"/>
            <w:vAlign w:val="center"/>
          </w:tcPr>
          <w:p w14:paraId="7FFFEF21" w14:textId="77777777" w:rsidR="008A78E3" w:rsidRPr="006A6890" w:rsidRDefault="008A78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7FFFEF22" w14:textId="77777777" w:rsidR="008A78E3" w:rsidRPr="006A6890" w:rsidRDefault="008A78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7FFFEF23"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24" w14:textId="77777777" w:rsidR="008A78E3" w:rsidRPr="006A6890" w:rsidRDefault="008A78E3" w:rsidP="00D10772">
            <w:pPr>
              <w:rPr>
                <w:rFonts w:asciiTheme="minorHAnsi" w:hAnsiTheme="minorHAnsi"/>
              </w:rPr>
            </w:pPr>
            <w:r w:rsidRPr="006A6890">
              <w:rPr>
                <w:rFonts w:asciiTheme="minorHAnsi" w:hAnsiTheme="minorHAnsi"/>
              </w:rPr>
              <w:t>Adatszolgáltatás, MNB vizsgálat, kérdőív</w:t>
            </w:r>
          </w:p>
        </w:tc>
      </w:tr>
      <w:tr w:rsidR="00527C4C" w14:paraId="7FFFEF2A" w14:textId="77777777" w:rsidTr="00175385">
        <w:tc>
          <w:tcPr>
            <w:tcW w:w="4966" w:type="dxa"/>
            <w:vAlign w:val="center"/>
          </w:tcPr>
          <w:p w14:paraId="7FFFEF26" w14:textId="77777777" w:rsidR="008A78E3" w:rsidRPr="006A6890" w:rsidRDefault="008A78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7FFFEF27" w14:textId="77777777" w:rsidR="008A78E3" w:rsidRPr="006A6890" w:rsidRDefault="008A78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7FFFEF28"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29" w14:textId="77777777" w:rsidR="008A78E3" w:rsidRPr="006A6890" w:rsidRDefault="008A78E3"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527C4C" w14:paraId="7FFFEF2F" w14:textId="77777777" w:rsidTr="00175385">
        <w:trPr>
          <w:trHeight w:val="750"/>
        </w:trPr>
        <w:tc>
          <w:tcPr>
            <w:tcW w:w="4966" w:type="dxa"/>
            <w:vAlign w:val="center"/>
          </w:tcPr>
          <w:p w14:paraId="7FFFEF2B" w14:textId="77777777" w:rsidR="008A78E3" w:rsidRPr="006A6890" w:rsidRDefault="008A78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7FFFEF2C" w14:textId="77777777" w:rsidR="008A78E3" w:rsidRPr="006A6890" w:rsidRDefault="008A78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7FFFEF2D"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2E" w14:textId="77777777" w:rsidR="008A78E3" w:rsidRPr="006A6890" w:rsidRDefault="008A78E3" w:rsidP="00D10772">
            <w:pPr>
              <w:rPr>
                <w:rFonts w:asciiTheme="minorHAnsi" w:hAnsiTheme="minorHAnsi"/>
              </w:rPr>
            </w:pPr>
            <w:r w:rsidRPr="006A6890">
              <w:rPr>
                <w:rFonts w:asciiTheme="minorHAnsi" w:hAnsiTheme="minorHAnsi"/>
              </w:rPr>
              <w:t>MNB és más szervek vizsgálati anyagai, adatszolgáltatás</w:t>
            </w:r>
          </w:p>
        </w:tc>
      </w:tr>
      <w:tr w:rsidR="00527C4C" w14:paraId="7FFFEF35" w14:textId="77777777" w:rsidTr="00175385">
        <w:tc>
          <w:tcPr>
            <w:tcW w:w="4966" w:type="dxa"/>
            <w:vAlign w:val="center"/>
          </w:tcPr>
          <w:p w14:paraId="7FFFEF30" w14:textId="77777777" w:rsidR="008A78E3" w:rsidRPr="006A6890" w:rsidRDefault="008A78E3" w:rsidP="00D10772">
            <w:pPr>
              <w:rPr>
                <w:rFonts w:asciiTheme="minorHAnsi" w:hAnsiTheme="minorHAnsi"/>
                <w:b/>
              </w:rPr>
            </w:pPr>
            <w:r w:rsidRPr="006A6890">
              <w:rPr>
                <w:rFonts w:asciiTheme="minorHAnsi" w:hAnsiTheme="minorHAnsi"/>
              </w:rPr>
              <w:t>Az MNB vagy egyéb külső vizsgálat engedély nélküli tevékenységet tár fel</w:t>
            </w:r>
          </w:p>
        </w:tc>
        <w:tc>
          <w:tcPr>
            <w:tcW w:w="2835" w:type="dxa"/>
            <w:vAlign w:val="center"/>
          </w:tcPr>
          <w:p w14:paraId="7FFFEF31" w14:textId="77777777" w:rsidR="008A78E3" w:rsidRPr="006A6890" w:rsidRDefault="008A78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7FFFEF32" w14:textId="77777777" w:rsidR="008A78E3" w:rsidRPr="006A6890" w:rsidRDefault="008A78E3" w:rsidP="00D10772">
            <w:pPr>
              <w:rPr>
                <w:rFonts w:asciiTheme="minorHAnsi" w:hAnsiTheme="minorHAnsi"/>
              </w:rPr>
            </w:pPr>
          </w:p>
          <w:p w14:paraId="7FFFEF33"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34" w14:textId="77777777" w:rsidR="008A78E3" w:rsidRPr="006A6890" w:rsidRDefault="008A78E3" w:rsidP="00D10772">
            <w:pPr>
              <w:rPr>
                <w:rFonts w:asciiTheme="minorHAnsi" w:hAnsiTheme="minorHAnsi"/>
              </w:rPr>
            </w:pPr>
            <w:r w:rsidRPr="006A6890">
              <w:rPr>
                <w:rFonts w:asciiTheme="minorHAnsi" w:hAnsiTheme="minorHAnsi"/>
              </w:rPr>
              <w:t>MNB és más szervek vizsgálati anyagai, adatszolgáltatás</w:t>
            </w:r>
          </w:p>
        </w:tc>
      </w:tr>
      <w:tr w:rsidR="00527C4C" w14:paraId="7FFFEF3A" w14:textId="77777777" w:rsidTr="00175385">
        <w:tc>
          <w:tcPr>
            <w:tcW w:w="4966" w:type="dxa"/>
            <w:vAlign w:val="center"/>
          </w:tcPr>
          <w:p w14:paraId="7FFFEF36" w14:textId="77777777" w:rsidR="008A78E3" w:rsidRPr="006A6890" w:rsidRDefault="008A78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7FFFEF37" w14:textId="77777777" w:rsidR="008A78E3" w:rsidRPr="006A6890" w:rsidRDefault="008A78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7FFFEF38"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39" w14:textId="77777777" w:rsidR="008A78E3" w:rsidRPr="006A6890" w:rsidRDefault="008A78E3" w:rsidP="00D10772">
            <w:pPr>
              <w:rPr>
                <w:rFonts w:asciiTheme="minorHAnsi" w:hAnsiTheme="minorHAnsi"/>
              </w:rPr>
            </w:pPr>
            <w:r w:rsidRPr="006A6890">
              <w:rPr>
                <w:rFonts w:asciiTheme="minorHAnsi" w:hAnsiTheme="minorHAnsi"/>
              </w:rPr>
              <w:t>MNB és más szervek vizsgálati anyagai, adatszolgáltatás</w:t>
            </w:r>
          </w:p>
        </w:tc>
      </w:tr>
      <w:tr w:rsidR="00527C4C" w14:paraId="7FFFEF3F" w14:textId="77777777" w:rsidTr="00175385">
        <w:tc>
          <w:tcPr>
            <w:tcW w:w="4966" w:type="dxa"/>
            <w:vAlign w:val="center"/>
          </w:tcPr>
          <w:p w14:paraId="7FFFEF3B" w14:textId="77777777" w:rsidR="008A78E3" w:rsidRPr="006A6890" w:rsidRDefault="008A78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7FFFEF3C" w14:textId="77777777" w:rsidR="008A78E3" w:rsidRPr="006A6890" w:rsidRDefault="008A78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7FFFEF3D"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3E"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r w:rsidR="00527C4C" w14:paraId="7FFFEF44" w14:textId="77777777" w:rsidTr="00175385">
        <w:tc>
          <w:tcPr>
            <w:tcW w:w="4966" w:type="dxa"/>
            <w:vAlign w:val="center"/>
          </w:tcPr>
          <w:p w14:paraId="7FFFEF40" w14:textId="77777777" w:rsidR="008A78E3" w:rsidRPr="006A6890" w:rsidRDefault="008A78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7FFFEF41" w14:textId="77777777" w:rsidR="008A78E3" w:rsidRPr="006A6890" w:rsidRDefault="008A78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7FFFEF42"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43"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r w:rsidR="00527C4C" w14:paraId="7FFFEF49" w14:textId="77777777" w:rsidTr="00175385">
        <w:tc>
          <w:tcPr>
            <w:tcW w:w="4966" w:type="dxa"/>
            <w:vAlign w:val="center"/>
          </w:tcPr>
          <w:p w14:paraId="7FFFEF45" w14:textId="77777777" w:rsidR="008A78E3" w:rsidRPr="006A6890" w:rsidRDefault="008A78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7FFFEF46" w14:textId="77777777" w:rsidR="008A78E3" w:rsidRPr="006A6890" w:rsidRDefault="008A78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7FFFEF47"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48" w14:textId="77777777" w:rsidR="008A78E3" w:rsidRPr="006A6890" w:rsidRDefault="008A78E3" w:rsidP="00D10772">
            <w:pPr>
              <w:rPr>
                <w:rFonts w:asciiTheme="minorHAnsi" w:hAnsiTheme="minorHAnsi"/>
              </w:rPr>
            </w:pPr>
            <w:r w:rsidRPr="006A6890">
              <w:rPr>
                <w:rFonts w:asciiTheme="minorHAnsi" w:hAnsiTheme="minorHAnsi"/>
              </w:rPr>
              <w:t>MNB vizsgálat, adatszolgáltatás, Kérdőív</w:t>
            </w:r>
          </w:p>
        </w:tc>
      </w:tr>
      <w:tr w:rsidR="00527C4C" w14:paraId="7FFFEF4E" w14:textId="77777777" w:rsidTr="00175385">
        <w:tc>
          <w:tcPr>
            <w:tcW w:w="4966" w:type="dxa"/>
            <w:vAlign w:val="center"/>
          </w:tcPr>
          <w:p w14:paraId="7FFFEF4A" w14:textId="77777777" w:rsidR="008A78E3" w:rsidRPr="006A6890" w:rsidRDefault="008A78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7FFFEF4B" w14:textId="77777777" w:rsidR="008A78E3" w:rsidRPr="006A6890" w:rsidRDefault="008A78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7FFFEF4C"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4D"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r w:rsidR="00527C4C" w14:paraId="7FFFEF53" w14:textId="77777777" w:rsidTr="00175385">
        <w:tc>
          <w:tcPr>
            <w:tcW w:w="4966" w:type="dxa"/>
            <w:vAlign w:val="center"/>
          </w:tcPr>
          <w:p w14:paraId="7FFFEF4F" w14:textId="77777777" w:rsidR="008A78E3" w:rsidRPr="006A6890" w:rsidRDefault="008A78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7FFFEF50" w14:textId="77777777" w:rsidR="008A78E3" w:rsidRPr="006A6890" w:rsidRDefault="008A78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FFFEF51"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F52" w14:textId="77777777" w:rsidR="008A78E3" w:rsidRPr="006A6890" w:rsidRDefault="008A78E3" w:rsidP="00D10772">
            <w:pPr>
              <w:rPr>
                <w:rFonts w:asciiTheme="minorHAnsi" w:hAnsiTheme="minorHAnsi"/>
              </w:rPr>
            </w:pPr>
            <w:r w:rsidRPr="006A6890">
              <w:rPr>
                <w:rFonts w:asciiTheme="minorHAnsi" w:hAnsiTheme="minorHAnsi"/>
              </w:rPr>
              <w:t>MNB vizsgálat, más szervezetektől kapott vizsgálati anyagok</w:t>
            </w:r>
          </w:p>
        </w:tc>
      </w:tr>
      <w:tr w:rsidR="00527C4C" w14:paraId="7FFFEF58" w14:textId="77777777" w:rsidTr="00175385">
        <w:tc>
          <w:tcPr>
            <w:tcW w:w="4966" w:type="dxa"/>
            <w:vAlign w:val="center"/>
          </w:tcPr>
          <w:p w14:paraId="7FFFEF54" w14:textId="77777777" w:rsidR="008A78E3" w:rsidRPr="006A6890" w:rsidRDefault="008A78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7FFFEF55" w14:textId="77777777" w:rsidR="008A78E3" w:rsidRPr="006A6890" w:rsidRDefault="008A78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7FFFEF56"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57" w14:textId="77777777" w:rsidR="008A78E3" w:rsidRPr="006A6890" w:rsidRDefault="008A78E3" w:rsidP="00D10772">
            <w:pPr>
              <w:rPr>
                <w:rFonts w:asciiTheme="minorHAnsi" w:hAnsiTheme="minorHAnsi"/>
              </w:rPr>
            </w:pPr>
            <w:r w:rsidRPr="006A6890">
              <w:rPr>
                <w:rFonts w:asciiTheme="minorHAnsi" w:hAnsiTheme="minorHAnsi"/>
              </w:rPr>
              <w:t>Kérdőív, MNB vizsgálat</w:t>
            </w:r>
          </w:p>
        </w:tc>
      </w:tr>
      <w:tr w:rsidR="00527C4C" w14:paraId="7FFFEF5D" w14:textId="77777777" w:rsidTr="00175385">
        <w:tc>
          <w:tcPr>
            <w:tcW w:w="4966" w:type="dxa"/>
            <w:vAlign w:val="center"/>
          </w:tcPr>
          <w:p w14:paraId="7FFFEF59" w14:textId="77777777" w:rsidR="008A78E3" w:rsidRPr="006A6890" w:rsidRDefault="008A78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7FFFEF5A" w14:textId="77777777" w:rsidR="008A78E3" w:rsidRPr="006A6890" w:rsidRDefault="008A78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7FFFEF5B"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5C" w14:textId="77777777" w:rsidR="008A78E3" w:rsidRPr="006A6890" w:rsidRDefault="008A78E3" w:rsidP="00D10772">
            <w:pPr>
              <w:rPr>
                <w:rFonts w:asciiTheme="minorHAnsi" w:hAnsiTheme="minorHAnsi"/>
              </w:rPr>
            </w:pPr>
            <w:r w:rsidRPr="006A6890">
              <w:rPr>
                <w:rFonts w:asciiTheme="minorHAnsi" w:hAnsiTheme="minorHAnsi"/>
              </w:rPr>
              <w:t>Kérdőív, MNB vizsgálat</w:t>
            </w:r>
          </w:p>
        </w:tc>
      </w:tr>
      <w:tr w:rsidR="00527C4C" w14:paraId="7FFFEF62" w14:textId="77777777" w:rsidTr="00175385">
        <w:tc>
          <w:tcPr>
            <w:tcW w:w="4966" w:type="dxa"/>
            <w:vAlign w:val="center"/>
          </w:tcPr>
          <w:p w14:paraId="7FFFEF5E" w14:textId="77777777" w:rsidR="008A78E3" w:rsidRPr="006A6890" w:rsidRDefault="008A78E3"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7FFFEF5F" w14:textId="77777777" w:rsidR="008A78E3" w:rsidRPr="006A6890" w:rsidRDefault="008A78E3"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7FFFEF60"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61"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r w:rsidR="00527C4C" w14:paraId="7FFFEF67" w14:textId="77777777" w:rsidTr="00175385">
        <w:trPr>
          <w:trHeight w:val="1191"/>
        </w:trPr>
        <w:tc>
          <w:tcPr>
            <w:tcW w:w="4966" w:type="dxa"/>
            <w:vAlign w:val="center"/>
          </w:tcPr>
          <w:p w14:paraId="7FFFEF63" w14:textId="77777777" w:rsidR="008A78E3" w:rsidRPr="006A6890" w:rsidRDefault="008A78E3" w:rsidP="00D10772">
            <w:pPr>
              <w:rPr>
                <w:rFonts w:asciiTheme="minorHAnsi" w:hAnsiTheme="minorHAnsi"/>
                <w:b/>
              </w:rPr>
            </w:pPr>
            <w:r w:rsidRPr="006A6890">
              <w:rPr>
                <w:rFonts w:asciiTheme="minorHAnsi" w:hAnsiTheme="minorHAnsi"/>
              </w:rPr>
              <w:t>Magas országkockázat</w:t>
            </w:r>
          </w:p>
        </w:tc>
        <w:tc>
          <w:tcPr>
            <w:tcW w:w="2835" w:type="dxa"/>
            <w:vAlign w:val="center"/>
          </w:tcPr>
          <w:p w14:paraId="7FFFEF64" w14:textId="77777777" w:rsidR="008A78E3" w:rsidRPr="006A6890" w:rsidRDefault="008A78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FFFEF65" w14:textId="77777777" w:rsidR="008A78E3" w:rsidRPr="006A6890" w:rsidRDefault="008A78E3"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7FFFEF66"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r w:rsidR="00527C4C" w14:paraId="7FFFEF6C" w14:textId="77777777" w:rsidTr="00175385">
        <w:tc>
          <w:tcPr>
            <w:tcW w:w="4966" w:type="dxa"/>
            <w:vAlign w:val="center"/>
          </w:tcPr>
          <w:p w14:paraId="7FFFEF68" w14:textId="77777777" w:rsidR="008A78E3" w:rsidRPr="006A6890" w:rsidRDefault="008A78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7FFFEF69" w14:textId="77777777" w:rsidR="008A78E3" w:rsidRPr="006A6890" w:rsidRDefault="008A78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7FFFEF6A"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6B" w14:textId="77777777" w:rsidR="008A78E3" w:rsidRPr="006A6890" w:rsidRDefault="008A78E3" w:rsidP="00D10772">
            <w:pPr>
              <w:rPr>
                <w:rFonts w:asciiTheme="minorHAnsi" w:hAnsiTheme="minorHAnsi"/>
              </w:rPr>
            </w:pPr>
            <w:r w:rsidRPr="006A6890">
              <w:rPr>
                <w:rFonts w:asciiTheme="minorHAnsi" w:hAnsiTheme="minorHAnsi"/>
              </w:rPr>
              <w:t>Kérdőív</w:t>
            </w:r>
          </w:p>
        </w:tc>
      </w:tr>
      <w:tr w:rsidR="00527C4C" w14:paraId="7FFFEF71" w14:textId="77777777" w:rsidTr="00175385">
        <w:tc>
          <w:tcPr>
            <w:tcW w:w="4966" w:type="dxa"/>
            <w:vAlign w:val="center"/>
          </w:tcPr>
          <w:p w14:paraId="7FFFEF6D" w14:textId="77777777" w:rsidR="008A78E3" w:rsidRPr="006A6890" w:rsidRDefault="008A78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7FFFEF6E" w14:textId="77777777" w:rsidR="008A78E3" w:rsidRPr="006A6890" w:rsidRDefault="008A78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7FFFEF6F"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70" w14:textId="77777777" w:rsidR="008A78E3" w:rsidRPr="006A6890" w:rsidRDefault="008A78E3" w:rsidP="00D10772">
            <w:pPr>
              <w:rPr>
                <w:rFonts w:asciiTheme="minorHAnsi" w:hAnsiTheme="minorHAnsi"/>
              </w:rPr>
            </w:pPr>
            <w:r w:rsidRPr="006A6890">
              <w:rPr>
                <w:rFonts w:asciiTheme="minorHAnsi" w:hAnsiTheme="minorHAnsi"/>
              </w:rPr>
              <w:t>MNB vizsgálatok, kérdőív</w:t>
            </w:r>
          </w:p>
        </w:tc>
      </w:tr>
      <w:tr w:rsidR="00527C4C" w14:paraId="7FFFEF76" w14:textId="77777777" w:rsidTr="00175385">
        <w:trPr>
          <w:trHeight w:val="1274"/>
        </w:trPr>
        <w:tc>
          <w:tcPr>
            <w:tcW w:w="4966" w:type="dxa"/>
            <w:vAlign w:val="center"/>
          </w:tcPr>
          <w:p w14:paraId="7FFFEF72" w14:textId="77777777" w:rsidR="008A78E3" w:rsidRPr="006A6890" w:rsidRDefault="008A78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7FFFEF73" w14:textId="77777777" w:rsidR="008A78E3" w:rsidRPr="006A6890" w:rsidRDefault="008A78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7FFFEF74" w14:textId="77777777" w:rsidR="008A78E3" w:rsidRPr="006A6890" w:rsidRDefault="008A78E3"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7FFFEF75" w14:textId="77777777" w:rsidR="008A78E3" w:rsidRPr="006A6890" w:rsidRDefault="008A78E3" w:rsidP="00D10772">
            <w:pPr>
              <w:rPr>
                <w:rFonts w:asciiTheme="minorHAnsi" w:hAnsiTheme="minorHAnsi"/>
              </w:rPr>
            </w:pPr>
            <w:r w:rsidRPr="006A6890">
              <w:rPr>
                <w:rFonts w:asciiTheme="minorHAnsi" w:hAnsiTheme="minorHAnsi"/>
              </w:rPr>
              <w:t>MNBvizsgálatok, adatszolgáltatás</w:t>
            </w:r>
          </w:p>
        </w:tc>
      </w:tr>
      <w:tr w:rsidR="00527C4C" w14:paraId="7FFFEF7B" w14:textId="77777777" w:rsidTr="00175385">
        <w:trPr>
          <w:trHeight w:val="1047"/>
        </w:trPr>
        <w:tc>
          <w:tcPr>
            <w:tcW w:w="4966" w:type="dxa"/>
            <w:vAlign w:val="center"/>
          </w:tcPr>
          <w:p w14:paraId="7FFFEF77" w14:textId="77777777" w:rsidR="008A78E3" w:rsidRPr="006A6890" w:rsidRDefault="008A78E3" w:rsidP="00D10772">
            <w:pPr>
              <w:rPr>
                <w:rFonts w:asciiTheme="minorHAnsi" w:hAnsiTheme="minorHAnsi"/>
                <w:b/>
              </w:rPr>
            </w:pPr>
            <w:r w:rsidRPr="006A6890">
              <w:rPr>
                <w:rFonts w:asciiTheme="minorHAnsi" w:hAnsiTheme="minorHAnsi"/>
              </w:rPr>
              <w:t>Gyakori likviditási nehézségek, többlet forrásbevonási lehetőségek hiánya, GAP analízis magas lejárati különbözeteket mutat</w:t>
            </w:r>
          </w:p>
        </w:tc>
        <w:tc>
          <w:tcPr>
            <w:tcW w:w="2835" w:type="dxa"/>
            <w:vAlign w:val="center"/>
          </w:tcPr>
          <w:p w14:paraId="7FFFEF78" w14:textId="77777777" w:rsidR="008A78E3" w:rsidRPr="006A6890" w:rsidRDefault="008A78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7FFFEF79"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7A" w14:textId="77777777" w:rsidR="008A78E3" w:rsidRPr="006A6890" w:rsidRDefault="008A78E3" w:rsidP="00D10772">
            <w:pPr>
              <w:rPr>
                <w:rFonts w:asciiTheme="minorHAnsi" w:hAnsiTheme="minorHAnsi"/>
              </w:rPr>
            </w:pPr>
            <w:r w:rsidRPr="006A6890">
              <w:rPr>
                <w:rFonts w:asciiTheme="minorHAnsi" w:hAnsiTheme="minorHAnsi"/>
              </w:rPr>
              <w:t>Kérdőív, adatszolgáltatás, MNB elemzés</w:t>
            </w:r>
          </w:p>
        </w:tc>
      </w:tr>
      <w:tr w:rsidR="00527C4C" w14:paraId="7FFFEF80" w14:textId="77777777" w:rsidTr="00175385">
        <w:tc>
          <w:tcPr>
            <w:tcW w:w="4966" w:type="dxa"/>
            <w:vAlign w:val="center"/>
          </w:tcPr>
          <w:p w14:paraId="7FFFEF7C" w14:textId="77777777" w:rsidR="008A78E3" w:rsidRPr="006A6890" w:rsidRDefault="008A78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7FFFEF7D" w14:textId="77777777" w:rsidR="008A78E3" w:rsidRPr="006A6890" w:rsidRDefault="008A78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7FFFEF7E"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7F" w14:textId="77777777" w:rsidR="008A78E3" w:rsidRPr="006A6890" w:rsidRDefault="008A78E3" w:rsidP="00D10772">
            <w:pPr>
              <w:rPr>
                <w:rFonts w:asciiTheme="minorHAnsi" w:hAnsiTheme="minorHAnsi"/>
              </w:rPr>
            </w:pPr>
            <w:r w:rsidRPr="006A6890">
              <w:rPr>
                <w:rFonts w:asciiTheme="minorHAnsi" w:hAnsiTheme="minorHAnsi"/>
              </w:rPr>
              <w:t>Kérdőív</w:t>
            </w:r>
          </w:p>
        </w:tc>
      </w:tr>
      <w:tr w:rsidR="00527C4C" w14:paraId="7FFFEF85" w14:textId="77777777" w:rsidTr="00175385">
        <w:tc>
          <w:tcPr>
            <w:tcW w:w="4966" w:type="dxa"/>
            <w:vAlign w:val="center"/>
          </w:tcPr>
          <w:p w14:paraId="7FFFEF81" w14:textId="77777777" w:rsidR="008A78E3" w:rsidRPr="006A6890" w:rsidRDefault="008A78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7FFFEF82" w14:textId="77777777" w:rsidR="008A78E3" w:rsidRPr="006A6890" w:rsidRDefault="008A78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7FFFEF83" w14:textId="77777777" w:rsidR="008A78E3" w:rsidRPr="006A6890" w:rsidRDefault="008A78E3" w:rsidP="00D10772">
            <w:pPr>
              <w:rPr>
                <w:rFonts w:asciiTheme="minorHAnsi" w:hAnsiTheme="minorHAnsi"/>
              </w:rPr>
            </w:pPr>
            <w:r w:rsidRPr="006A6890">
              <w:rPr>
                <w:rFonts w:asciiTheme="minorHAnsi" w:hAnsiTheme="minorHAnsi"/>
              </w:rPr>
              <w:t>III.</w:t>
            </w:r>
          </w:p>
        </w:tc>
        <w:tc>
          <w:tcPr>
            <w:tcW w:w="2983" w:type="dxa"/>
            <w:vAlign w:val="center"/>
          </w:tcPr>
          <w:p w14:paraId="7FFFEF84" w14:textId="77777777" w:rsidR="008A78E3" w:rsidRPr="006A6890" w:rsidRDefault="008A78E3" w:rsidP="00D10772">
            <w:pPr>
              <w:rPr>
                <w:rFonts w:asciiTheme="minorHAnsi" w:hAnsiTheme="minorHAnsi"/>
              </w:rPr>
            </w:pPr>
            <w:r w:rsidRPr="006A6890">
              <w:rPr>
                <w:rFonts w:asciiTheme="minorHAnsi" w:hAnsiTheme="minorHAnsi"/>
              </w:rPr>
              <w:t>Adatszolgáltatás, MNB ellenőrzés, kérdőív</w:t>
            </w:r>
          </w:p>
        </w:tc>
      </w:tr>
      <w:tr w:rsidR="00527C4C" w14:paraId="7FFFEF8A" w14:textId="77777777" w:rsidTr="00175385">
        <w:tc>
          <w:tcPr>
            <w:tcW w:w="4966" w:type="dxa"/>
            <w:vAlign w:val="center"/>
          </w:tcPr>
          <w:p w14:paraId="7FFFEF86" w14:textId="77777777" w:rsidR="008A78E3" w:rsidRPr="006A6890" w:rsidRDefault="008A78E3" w:rsidP="00D10772">
            <w:pPr>
              <w:rPr>
                <w:rFonts w:asciiTheme="minorHAnsi" w:hAnsiTheme="minorHAnsi"/>
                <w:b/>
              </w:rPr>
            </w:pPr>
            <w:r w:rsidRPr="006A6890">
              <w:rPr>
                <w:rFonts w:asciiTheme="minorHAnsi" w:hAnsiTheme="minorHAnsi"/>
              </w:rPr>
              <w:t>Nyilvántartási, adminisztrációs problémák (Nem csak a működési kockázatok nyilvántartásának vonatkozásában)</w:t>
            </w:r>
          </w:p>
        </w:tc>
        <w:tc>
          <w:tcPr>
            <w:tcW w:w="2835" w:type="dxa"/>
            <w:vAlign w:val="center"/>
          </w:tcPr>
          <w:p w14:paraId="7FFFEF87" w14:textId="77777777" w:rsidR="008A78E3" w:rsidRPr="006A6890" w:rsidRDefault="008A78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7FFFEF88"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89" w14:textId="77777777" w:rsidR="008A78E3" w:rsidRPr="006A6890" w:rsidRDefault="008A78E3" w:rsidP="00D10772">
            <w:pPr>
              <w:rPr>
                <w:rFonts w:asciiTheme="minorHAnsi" w:hAnsiTheme="minorHAnsi"/>
              </w:rPr>
            </w:pPr>
            <w:r w:rsidRPr="006A6890">
              <w:rPr>
                <w:rFonts w:asciiTheme="minorHAnsi" w:hAnsiTheme="minorHAnsi"/>
              </w:rPr>
              <w:t>MNB vizsgálat, ügyfélpanaszok, adatszolgáltatások</w:t>
            </w:r>
          </w:p>
        </w:tc>
      </w:tr>
      <w:tr w:rsidR="00527C4C" w14:paraId="7FFFEF8F" w14:textId="77777777" w:rsidTr="00175385">
        <w:trPr>
          <w:trHeight w:val="799"/>
        </w:trPr>
        <w:tc>
          <w:tcPr>
            <w:tcW w:w="4966" w:type="dxa"/>
            <w:vAlign w:val="center"/>
          </w:tcPr>
          <w:p w14:paraId="7FFFEF8B" w14:textId="77777777" w:rsidR="008A78E3" w:rsidRPr="006A6890" w:rsidRDefault="008A78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7FFFEF8C" w14:textId="77777777" w:rsidR="008A78E3" w:rsidRPr="006A6890" w:rsidRDefault="008A78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7FFFEF8D" w14:textId="77777777" w:rsidR="008A78E3" w:rsidRPr="006A6890" w:rsidRDefault="008A78E3" w:rsidP="00D10772">
            <w:pPr>
              <w:rPr>
                <w:rFonts w:asciiTheme="minorHAnsi" w:hAnsiTheme="minorHAnsi"/>
              </w:rPr>
            </w:pPr>
            <w:r w:rsidRPr="006A6890">
              <w:rPr>
                <w:rFonts w:asciiTheme="minorHAnsi" w:hAnsiTheme="minorHAnsi"/>
              </w:rPr>
              <w:t>II.</w:t>
            </w:r>
          </w:p>
        </w:tc>
        <w:tc>
          <w:tcPr>
            <w:tcW w:w="2983" w:type="dxa"/>
            <w:vAlign w:val="center"/>
          </w:tcPr>
          <w:p w14:paraId="7FFFEF8E" w14:textId="77777777" w:rsidR="008A78E3" w:rsidRPr="006A6890" w:rsidRDefault="008A78E3" w:rsidP="00D10772">
            <w:pPr>
              <w:rPr>
                <w:rFonts w:asciiTheme="minorHAnsi" w:hAnsiTheme="minorHAnsi"/>
              </w:rPr>
            </w:pPr>
            <w:r w:rsidRPr="006A6890">
              <w:rPr>
                <w:rFonts w:asciiTheme="minorHAnsi" w:hAnsiTheme="minorHAnsi"/>
              </w:rPr>
              <w:t>Helyszíni és nem helyszíni vizsgálatok, ügyfélpanaszok</w:t>
            </w:r>
          </w:p>
        </w:tc>
      </w:tr>
      <w:tr w:rsidR="00527C4C" w14:paraId="7FFFEF94" w14:textId="77777777" w:rsidTr="00175385">
        <w:trPr>
          <w:trHeight w:val="1275"/>
        </w:trPr>
        <w:tc>
          <w:tcPr>
            <w:tcW w:w="4966" w:type="dxa"/>
            <w:vAlign w:val="center"/>
          </w:tcPr>
          <w:p w14:paraId="7FFFEF90" w14:textId="77777777" w:rsidR="008A78E3" w:rsidRPr="006A6890" w:rsidRDefault="008A78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7FFFEF91" w14:textId="77777777" w:rsidR="008A78E3" w:rsidRPr="006A6890" w:rsidRDefault="008A78E3" w:rsidP="003C6A4E">
            <w:pPr>
              <w:rPr>
                <w:rFonts w:asciiTheme="minorHAnsi" w:hAnsiTheme="minorHAnsi"/>
              </w:rPr>
            </w:pPr>
            <w:r w:rsidRPr="006A6890">
              <w:rPr>
                <w:rFonts w:asciiTheme="minorHAnsi" w:hAnsiTheme="minorHAnsi"/>
              </w:rPr>
              <w:t>Többlet-tőkekövetelmény előírása ICAAP értéktől és az MNB kockázatértékelés eredményétől függően</w:t>
            </w:r>
          </w:p>
        </w:tc>
        <w:tc>
          <w:tcPr>
            <w:tcW w:w="1276" w:type="dxa"/>
            <w:vAlign w:val="center"/>
          </w:tcPr>
          <w:p w14:paraId="7FFFEF92" w14:textId="77777777" w:rsidR="008A78E3" w:rsidRPr="006A6890" w:rsidRDefault="008A78E3" w:rsidP="00D10772">
            <w:pPr>
              <w:rPr>
                <w:rFonts w:asciiTheme="minorHAnsi" w:hAnsiTheme="minorHAnsi"/>
              </w:rPr>
            </w:pPr>
            <w:r w:rsidRPr="006A6890">
              <w:rPr>
                <w:rFonts w:asciiTheme="minorHAnsi" w:hAnsiTheme="minorHAnsi"/>
              </w:rPr>
              <w:t>I.</w:t>
            </w:r>
          </w:p>
        </w:tc>
        <w:tc>
          <w:tcPr>
            <w:tcW w:w="2983" w:type="dxa"/>
            <w:vAlign w:val="center"/>
          </w:tcPr>
          <w:p w14:paraId="7FFFEF93" w14:textId="77777777" w:rsidR="008A78E3" w:rsidRPr="006A6890" w:rsidRDefault="008A78E3" w:rsidP="00D10772">
            <w:pPr>
              <w:rPr>
                <w:rFonts w:asciiTheme="minorHAnsi" w:hAnsiTheme="minorHAnsi"/>
              </w:rPr>
            </w:pPr>
            <w:r w:rsidRPr="006A6890">
              <w:rPr>
                <w:rFonts w:asciiTheme="minorHAnsi" w:hAnsiTheme="minorHAnsi"/>
              </w:rPr>
              <w:t>Adatszolgáltatás, kérdőív</w:t>
            </w:r>
          </w:p>
        </w:tc>
      </w:tr>
      <w:tr w:rsidR="00527C4C" w14:paraId="7FFFEF99" w14:textId="77777777" w:rsidTr="00175385">
        <w:tc>
          <w:tcPr>
            <w:tcW w:w="4966" w:type="dxa"/>
            <w:vAlign w:val="center"/>
          </w:tcPr>
          <w:p w14:paraId="7FFFEF95" w14:textId="77777777" w:rsidR="008A78E3" w:rsidRPr="006A6890" w:rsidRDefault="008A78E3"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7FFFEF96" w14:textId="77777777" w:rsidR="008A78E3" w:rsidRPr="006A6890" w:rsidRDefault="008A78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7FFFEF97" w14:textId="77777777" w:rsidR="008A78E3" w:rsidRPr="006A6890" w:rsidRDefault="008A78E3" w:rsidP="00D10772">
            <w:pPr>
              <w:rPr>
                <w:rFonts w:asciiTheme="minorHAnsi" w:hAnsiTheme="minorHAnsi"/>
              </w:rPr>
            </w:pPr>
            <w:r w:rsidRPr="006A6890">
              <w:rPr>
                <w:rFonts w:asciiTheme="minorHAnsi" w:hAnsiTheme="minorHAnsi"/>
              </w:rPr>
              <w:t xml:space="preserve"> II.</w:t>
            </w:r>
          </w:p>
        </w:tc>
        <w:tc>
          <w:tcPr>
            <w:tcW w:w="2983" w:type="dxa"/>
            <w:vAlign w:val="center"/>
          </w:tcPr>
          <w:p w14:paraId="7FFFEF98" w14:textId="77777777" w:rsidR="008A78E3" w:rsidRPr="006A6890" w:rsidRDefault="008A78E3" w:rsidP="00D10772">
            <w:pPr>
              <w:rPr>
                <w:rFonts w:asciiTheme="minorHAnsi" w:hAnsiTheme="minorHAnsi"/>
              </w:rPr>
            </w:pPr>
            <w:r w:rsidRPr="006A6890">
              <w:rPr>
                <w:rFonts w:asciiTheme="minorHAnsi" w:hAnsiTheme="minorHAnsi"/>
              </w:rPr>
              <w:t>Adatszolgáltatás</w:t>
            </w:r>
          </w:p>
        </w:tc>
      </w:tr>
    </w:tbl>
    <w:p w14:paraId="7FFFEF9A" w14:textId="77777777" w:rsidR="008A78E3" w:rsidRPr="006A6890" w:rsidRDefault="008A78E3" w:rsidP="00D10772">
      <w:pPr>
        <w:rPr>
          <w:rFonts w:asciiTheme="minorHAnsi" w:hAnsiTheme="minorHAnsi"/>
        </w:rPr>
      </w:pPr>
    </w:p>
    <w:p w14:paraId="7FFFEF9B" w14:textId="77777777" w:rsidR="008A78E3" w:rsidRPr="006A6890" w:rsidRDefault="008A78E3" w:rsidP="00CD1B46">
      <w:pPr>
        <w:pStyle w:val="Listaszerbekezds"/>
        <w:numPr>
          <w:ilvl w:val="0"/>
          <w:numId w:val="11"/>
        </w:numPr>
        <w:ind w:left="567" w:hanging="589"/>
        <w:rPr>
          <w:rFonts w:asciiTheme="minorHAnsi" w:hAnsiTheme="minorHAnsi"/>
        </w:rPr>
        <w:sectPr w:rsidR="008A78E3" w:rsidRPr="006A6890" w:rsidSect="00C645A0">
          <w:pgSz w:w="16838" w:h="11906" w:orient="landscape"/>
          <w:pgMar w:top="1683" w:right="2155" w:bottom="1106" w:left="1418" w:header="567" w:footer="709" w:gutter="0"/>
          <w:cols w:space="708"/>
          <w:docGrid w:linePitch="360"/>
        </w:sectPr>
      </w:pPr>
      <w:r w:rsidRPr="006A6890">
        <w:rPr>
          <w:rFonts w:asciiTheme="minorHAnsi" w:hAnsiTheme="minorHAnsi"/>
        </w:rPr>
        <w:br w:type="page"/>
        <w:t xml:space="preserve"> </w:t>
      </w:r>
    </w:p>
    <w:p w14:paraId="7FFFEF9C" w14:textId="77777777" w:rsidR="008A78E3" w:rsidRPr="006A6890" w:rsidRDefault="008A78E3" w:rsidP="00D83C90">
      <w:pPr>
        <w:rPr>
          <w:rFonts w:asciiTheme="minorHAnsi" w:hAnsiTheme="minorHAnsi"/>
        </w:rPr>
      </w:pPr>
      <w:r w:rsidRPr="006A6890">
        <w:rPr>
          <w:rFonts w:asciiTheme="minorHAnsi" w:hAnsiTheme="minorHAnsi"/>
        </w:rPr>
        <w:t>13. számú melleklet: Működési kockázati KRI és szcenárió lista</w:t>
      </w:r>
    </w:p>
    <w:p w14:paraId="7FFFEF9D" w14:textId="77777777" w:rsidR="008A78E3" w:rsidRPr="006A6890" w:rsidRDefault="008A78E3" w:rsidP="00D83C90">
      <w:pPr>
        <w:rPr>
          <w:rFonts w:asciiTheme="minorHAnsi" w:hAnsiTheme="minorHAnsi"/>
        </w:rPr>
      </w:pPr>
    </w:p>
    <w:p w14:paraId="7FFFEF9E" w14:textId="77777777" w:rsidR="008A78E3" w:rsidRPr="006A6890" w:rsidRDefault="008A78E3"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7FFFEF9F"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Betöltetlen álláshelyek száma/átfutási ideje</w:t>
      </w:r>
    </w:p>
    <w:p w14:paraId="7FFFEFA0" w14:textId="77777777" w:rsidR="008A78E3" w:rsidRDefault="008A78E3" w:rsidP="00CD1B46">
      <w:pPr>
        <w:pStyle w:val="Listaszerbekezds"/>
        <w:numPr>
          <w:ilvl w:val="0"/>
          <w:numId w:val="74"/>
        </w:numPr>
        <w:rPr>
          <w:rFonts w:asciiTheme="minorHAnsi" w:hAnsiTheme="minorHAnsi"/>
        </w:rPr>
      </w:pPr>
      <w:r w:rsidRPr="006A6890">
        <w:rPr>
          <w:rFonts w:asciiTheme="minorHAnsi" w:hAnsiTheme="minorHAnsi"/>
        </w:rPr>
        <w:t>Fluktuációs ráta</w:t>
      </w:r>
    </w:p>
    <w:p w14:paraId="7FFFEFA1" w14:textId="77777777" w:rsidR="008A78E3" w:rsidRPr="006A6890" w:rsidRDefault="008A78E3" w:rsidP="00CD1B46">
      <w:pPr>
        <w:pStyle w:val="Listaszerbekezds"/>
        <w:numPr>
          <w:ilvl w:val="0"/>
          <w:numId w:val="74"/>
        </w:numPr>
        <w:rPr>
          <w:rFonts w:asciiTheme="minorHAnsi" w:hAnsiTheme="minorHAnsi"/>
        </w:rPr>
      </w:pPr>
      <w:r>
        <w:rPr>
          <w:rFonts w:asciiTheme="minorHAnsi" w:hAnsiTheme="minorHAnsi"/>
        </w:rPr>
        <w:t>Betegnapok száma/átlaga</w:t>
      </w:r>
    </w:p>
    <w:p w14:paraId="7FFFEFA2"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Megelőzött/bekövetkezett külső csalások száma/értéke</w:t>
      </w:r>
    </w:p>
    <w:p w14:paraId="7FFFEFA3" w14:textId="77777777" w:rsidR="008A78E3" w:rsidRPr="006A6890" w:rsidRDefault="008A78E3" w:rsidP="00CD1B46">
      <w:pPr>
        <w:pStyle w:val="Listaszerbekezds"/>
        <w:numPr>
          <w:ilvl w:val="0"/>
          <w:numId w:val="74"/>
        </w:numPr>
        <w:rPr>
          <w:rFonts w:asciiTheme="minorHAnsi" w:hAnsiTheme="minorHAnsi"/>
        </w:rPr>
      </w:pPr>
      <w:r>
        <w:rPr>
          <w:rFonts w:asciiTheme="minorHAnsi" w:hAnsiTheme="minorHAnsi"/>
        </w:rPr>
        <w:t>Pénzmosási riasztások száma/aránya</w:t>
      </w:r>
    </w:p>
    <w:p w14:paraId="7FFFEFA4"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Belső csalások száma</w:t>
      </w:r>
    </w:p>
    <w:p w14:paraId="7FFFEFA5"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Beérkez</w:t>
      </w:r>
      <w:r>
        <w:rPr>
          <w:rFonts w:asciiTheme="minorHAnsi" w:hAnsiTheme="minorHAnsi"/>
        </w:rPr>
        <w:t>ett</w:t>
      </w:r>
      <w:r w:rsidRPr="006A6890">
        <w:rPr>
          <w:rFonts w:asciiTheme="minorHAnsi" w:hAnsiTheme="minorHAnsi"/>
        </w:rPr>
        <w:t xml:space="preserve"> panaszok száma</w:t>
      </w:r>
    </w:p>
    <w:p w14:paraId="7FFFEFA6"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Peres ügyek száma/értéke</w:t>
      </w:r>
    </w:p>
    <w:p w14:paraId="7FFFEFA7"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Fizetett bírságok száma/értéke</w:t>
      </w:r>
    </w:p>
    <w:p w14:paraId="7FFFEFA8"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IT rendszerek rendelkezésre állása</w:t>
      </w:r>
    </w:p>
    <w:p w14:paraId="7FFFEFA9" w14:textId="77777777" w:rsidR="008A78E3" w:rsidRPr="006A6890" w:rsidRDefault="008A78E3" w:rsidP="00CD1B46">
      <w:pPr>
        <w:pStyle w:val="Listaszerbekezds"/>
        <w:numPr>
          <w:ilvl w:val="0"/>
          <w:numId w:val="74"/>
        </w:numPr>
        <w:rPr>
          <w:rFonts w:asciiTheme="minorHAnsi" w:hAnsiTheme="minorHAnsi"/>
        </w:rPr>
      </w:pPr>
      <w:r>
        <w:rPr>
          <w:rFonts w:asciiTheme="minorHAnsi" w:hAnsiTheme="minorHAnsi"/>
        </w:rPr>
        <w:t>Elöregedett IT rendszerek száma/aránya</w:t>
      </w:r>
    </w:p>
    <w:p w14:paraId="7FFFEFAA"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HelpDesk bejelentések száma</w:t>
      </w:r>
    </w:p>
    <w:p w14:paraId="7FFFEFAB"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BCP incidensek száma</w:t>
      </w:r>
    </w:p>
    <w:p w14:paraId="7FFFEFAC"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Adatvédelmi incidensek száma</w:t>
      </w:r>
    </w:p>
    <w:p w14:paraId="7FFFEFAD"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Határidőmulasztások száma (külső és/vagy belső)</w:t>
      </w:r>
    </w:p>
    <w:p w14:paraId="7FFFEFAE"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Határidőn túl megválaszolt panaszok száma/aránya</w:t>
      </w:r>
    </w:p>
    <w:p w14:paraId="7FFFEFAF"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Leterheltségi mutatók (területenként)</w:t>
      </w:r>
    </w:p>
    <w:p w14:paraId="7FFFEFB0"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Hibás tranzakciók száma/aránya</w:t>
      </w:r>
    </w:p>
    <w:p w14:paraId="7FFFEFB1"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Hiányos hitelakták száma/aránya</w:t>
      </w:r>
    </w:p>
    <w:p w14:paraId="7FFFEFB2"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Nem érvényesíthető fedezetek száma/aránya</w:t>
      </w:r>
    </w:p>
    <w:p w14:paraId="7FFFEFB3"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Lakossági/vállalati hitelek átfutási ideje</w:t>
      </w:r>
    </w:p>
    <w:p w14:paraId="7FFFEFB4"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Lejárt auditpontok száma/aránya</w:t>
      </w:r>
    </w:p>
    <w:p w14:paraId="7FFFEFB5" w14:textId="77777777" w:rsidR="008A78E3" w:rsidRPr="006A6890" w:rsidRDefault="008A78E3" w:rsidP="00CD1B46">
      <w:pPr>
        <w:pStyle w:val="Listaszerbekezds"/>
        <w:numPr>
          <w:ilvl w:val="0"/>
          <w:numId w:val="74"/>
        </w:numPr>
        <w:rPr>
          <w:rFonts w:asciiTheme="minorHAnsi" w:hAnsiTheme="minorHAnsi"/>
        </w:rPr>
      </w:pPr>
      <w:r w:rsidRPr="006A6890">
        <w:rPr>
          <w:rFonts w:asciiTheme="minorHAnsi" w:hAnsiTheme="minorHAnsi"/>
        </w:rPr>
        <w:t>Nem felülvizsgált szabályzatok száma/aránya</w:t>
      </w:r>
    </w:p>
    <w:p w14:paraId="7FFFEFB6" w14:textId="77777777" w:rsidR="008A78E3" w:rsidRPr="006A6890" w:rsidRDefault="008A78E3" w:rsidP="00D83C90">
      <w:pPr>
        <w:rPr>
          <w:rFonts w:asciiTheme="minorHAnsi" w:hAnsiTheme="minorHAnsi"/>
          <w:b/>
        </w:rPr>
      </w:pPr>
      <w:r w:rsidRPr="006A6890">
        <w:rPr>
          <w:rFonts w:asciiTheme="minorHAnsi" w:hAnsiTheme="minorHAnsi"/>
          <w:b/>
        </w:rPr>
        <w:t>Az MNB által megfontolásra javasolt, releváns szcenáriók listája</w:t>
      </w:r>
    </w:p>
    <w:p w14:paraId="7FFFEFB7"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Járványos megbetegedés</w:t>
      </w:r>
    </w:p>
    <w:p w14:paraId="7FFFEFB8"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Kulcsmunkatársak távozása</w:t>
      </w:r>
    </w:p>
    <w:p w14:paraId="7FFFEFB9"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Nagyösszegű hatósági bírság</w:t>
      </w:r>
    </w:p>
    <w:p w14:paraId="7FFFEFBA"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Hibás termék/modell/üzleti gyakorlat</w:t>
      </w:r>
    </w:p>
    <w:p w14:paraId="7FFFEFBB" w14:textId="77777777" w:rsidR="008A78E3" w:rsidRPr="006A6890" w:rsidRDefault="008A78E3" w:rsidP="00CD1B46">
      <w:pPr>
        <w:pStyle w:val="Listaszerbekezds"/>
        <w:numPr>
          <w:ilvl w:val="0"/>
          <w:numId w:val="75"/>
        </w:numPr>
        <w:rPr>
          <w:rFonts w:asciiTheme="minorHAnsi" w:hAnsiTheme="minorHAnsi"/>
        </w:rPr>
      </w:pPr>
      <w:r>
        <w:rPr>
          <w:rFonts w:asciiTheme="minorHAnsi" w:hAnsiTheme="minorHAnsi"/>
        </w:rPr>
        <w:t>K</w:t>
      </w:r>
      <w:r w:rsidRPr="006A6890">
        <w:rPr>
          <w:rFonts w:asciiTheme="minorHAnsi" w:hAnsiTheme="minorHAnsi"/>
        </w:rPr>
        <w:t>ártérítési per (ügyfél/partner/munkavállaló)</w:t>
      </w:r>
    </w:p>
    <w:p w14:paraId="7FFFEFBC"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Hitelcsalás</w:t>
      </w:r>
    </w:p>
    <w:p w14:paraId="7FFFEFBD" w14:textId="77777777" w:rsidR="008A78E3" w:rsidRPr="006A6890" w:rsidRDefault="008A78E3" w:rsidP="00CD1B46">
      <w:pPr>
        <w:pStyle w:val="Listaszerbekezds"/>
        <w:numPr>
          <w:ilvl w:val="0"/>
          <w:numId w:val="75"/>
        </w:numPr>
        <w:rPr>
          <w:rFonts w:asciiTheme="minorHAnsi" w:hAnsiTheme="minorHAnsi"/>
        </w:rPr>
      </w:pPr>
      <w:r>
        <w:rPr>
          <w:rFonts w:asciiTheme="minorHAnsi" w:hAnsiTheme="minorHAnsi"/>
        </w:rPr>
        <w:t xml:space="preserve">Tranzakciós termékekkel elkövetett </w:t>
      </w:r>
      <w:r w:rsidRPr="006A6890">
        <w:rPr>
          <w:rFonts w:asciiTheme="minorHAnsi" w:hAnsiTheme="minorHAnsi"/>
        </w:rPr>
        <w:t>csalás</w:t>
      </w:r>
    </w:p>
    <w:p w14:paraId="7FFFEFBE"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Jogosulatlan treasury tevékenység</w:t>
      </w:r>
    </w:p>
    <w:p w14:paraId="7FFFEFBF"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IT biztonsági incidens (hekkertámadás/vírustámadás/adathalászat)</w:t>
      </w:r>
    </w:p>
    <w:p w14:paraId="7FFFEFC0"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Pénzmosás és terrorizmus finanszírozás</w:t>
      </w:r>
    </w:p>
    <w:p w14:paraId="7FFFEFC1"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Kulcs IT rendszer(ek) vagy közüzemi szolgáltatások kiesése</w:t>
      </w:r>
    </w:p>
    <w:p w14:paraId="7FFFEFC2"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Hibás IT fejlesztés és/vagy projekt</w:t>
      </w:r>
    </w:p>
    <w:p w14:paraId="7FFFEFC3"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Természeti katasztróf</w:t>
      </w:r>
      <w:r>
        <w:rPr>
          <w:rFonts w:asciiTheme="minorHAnsi" w:hAnsiTheme="minorHAnsi"/>
        </w:rPr>
        <w:t>ák</w:t>
      </w:r>
    </w:p>
    <w:p w14:paraId="7FFFEFC4"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Háború és terrortámadás</w:t>
      </w:r>
    </w:p>
    <w:p w14:paraId="7FFFEFC5"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Tévesen végrehajtott nagyösszegű banki tranzakció</w:t>
      </w:r>
    </w:p>
    <w:p w14:paraId="7FFFEFC6"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Határidők és/vagy dokumentációs követelmények be nem tartása</w:t>
      </w:r>
    </w:p>
    <w:p w14:paraId="7FFFEFC7" w14:textId="77777777" w:rsidR="008A78E3" w:rsidRPr="006A6890" w:rsidRDefault="008A78E3" w:rsidP="00CD1B46">
      <w:pPr>
        <w:pStyle w:val="Listaszerbekezds"/>
        <w:numPr>
          <w:ilvl w:val="0"/>
          <w:numId w:val="75"/>
        </w:numPr>
        <w:rPr>
          <w:rFonts w:asciiTheme="minorHAnsi" w:hAnsiTheme="minorHAnsi"/>
        </w:rPr>
      </w:pPr>
      <w:r w:rsidRPr="006A6890">
        <w:rPr>
          <w:rFonts w:asciiTheme="minorHAnsi" w:hAnsiTheme="minorHAnsi"/>
        </w:rPr>
        <w:t>Szállítók nem szerződésszerű teljesítése</w:t>
      </w:r>
    </w:p>
    <w:p w14:paraId="7FFFEFC8" w14:textId="77777777" w:rsidR="008A78E3" w:rsidRPr="0055569D" w:rsidRDefault="008A78E3" w:rsidP="007F1D4A">
      <w:pPr>
        <w:rPr>
          <w:b/>
          <w:i/>
          <w:color w:val="auto"/>
        </w:rPr>
      </w:pPr>
      <w:r w:rsidRPr="0055569D">
        <w:rPr>
          <w:b/>
          <w:i/>
          <w:color w:val="auto"/>
        </w:rPr>
        <w:t>1. Függelék. Banki könyvi kamatkockázat tőkekövetelményének meghatározása az MNB benchmark modelljében</w:t>
      </w:r>
    </w:p>
    <w:p w14:paraId="7FFFEFC9" w14:textId="77777777" w:rsidR="008A78E3" w:rsidRPr="0055569D" w:rsidRDefault="008A78E3" w:rsidP="004F1946">
      <w:r w:rsidRPr="0055569D">
        <w:t xml:space="preserve">A banki könyvi kamatkockázat tőkekövetelménye a </w:t>
      </w:r>
      <w:r w:rsidRPr="00E87D60">
        <w:t>periodikusan, a számítás vonatkozási dátumát megelőző egy év minden hónapjának végére</w:t>
      </w:r>
      <w:r>
        <w:t>, azonos módszertan szerint</w:t>
      </w:r>
      <w:r w:rsidRPr="0055569D">
        <w:t xml:space="preserve"> meghatározott tőkekövetelmények átlagos értéke és szórása összegzésével áll elő. </w:t>
      </w:r>
    </w:p>
    <w:p w14:paraId="7FFFEFCA" w14:textId="77777777" w:rsidR="008A78E3" w:rsidRPr="00E87D60" w:rsidRDefault="008A78E3" w:rsidP="007F1D4A">
      <w:pPr>
        <w:rPr>
          <w:color w:val="auto"/>
        </w:rPr>
      </w:pPr>
    </w:p>
    <w:p w14:paraId="7FFFEFCB" w14:textId="77777777" w:rsidR="008A78E3" w:rsidRPr="00E87D60" w:rsidRDefault="008A78E3" w:rsidP="007F1D4A">
      <w:pPr>
        <w:rPr>
          <w:rFonts w:asciiTheme="minorHAnsi" w:hAnsiTheme="minorHAnsi" w:cstheme="minorHAnsi"/>
          <w:color w:val="auto"/>
        </w:rPr>
      </w:pPr>
      <w:r w:rsidRPr="00E87D60">
        <w:rPr>
          <w:rFonts w:asciiTheme="minorHAnsi" w:hAnsiTheme="minorHAnsi" w:cstheme="minorHAnsi"/>
          <w:noProof/>
          <w:color w:val="auto"/>
        </w:rPr>
        <w:drawing>
          <wp:anchor distT="0" distB="0" distL="114300" distR="114300" simplePos="0" relativeHeight="251676672" behindDoc="0" locked="0" layoutInCell="1" allowOverlap="1" wp14:anchorId="7FFFF08B" wp14:editId="7FFFF08C">
            <wp:simplePos x="0" y="0"/>
            <wp:positionH relativeFrom="column">
              <wp:posOffset>-41275</wp:posOffset>
            </wp:positionH>
            <wp:positionV relativeFrom="paragraph">
              <wp:posOffset>257810</wp:posOffset>
            </wp:positionV>
            <wp:extent cx="1548765" cy="49974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48765" cy="499745"/>
                    </a:xfrm>
                    <a:prstGeom prst="rect">
                      <a:avLst/>
                    </a:prstGeom>
                    <a:noFill/>
                  </pic:spPr>
                </pic:pic>
              </a:graphicData>
            </a:graphic>
          </wp:anchor>
        </w:drawing>
      </w:r>
      <w:r w:rsidRPr="00E87D60">
        <w:rPr>
          <w:rFonts w:asciiTheme="minorHAnsi" w:hAnsiTheme="minorHAnsi" w:cstheme="minorHAnsi"/>
          <w:noProof/>
          <w:color w:val="auto"/>
        </w:rPr>
        <w:drawing>
          <wp:anchor distT="0" distB="0" distL="114300" distR="114300" simplePos="0" relativeHeight="251677696" behindDoc="0" locked="0" layoutInCell="1" allowOverlap="1" wp14:anchorId="7FFFF08D" wp14:editId="7FFFF08E">
            <wp:simplePos x="0" y="0"/>
            <wp:positionH relativeFrom="column">
              <wp:posOffset>-103274</wp:posOffset>
            </wp:positionH>
            <wp:positionV relativeFrom="paragraph">
              <wp:posOffset>735503</wp:posOffset>
            </wp:positionV>
            <wp:extent cx="276796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767965" cy="701040"/>
                    </a:xfrm>
                    <a:prstGeom prst="rect">
                      <a:avLst/>
                    </a:prstGeom>
                    <a:noFill/>
                  </pic:spPr>
                </pic:pic>
              </a:graphicData>
            </a:graphic>
          </wp:anchor>
        </w:drawing>
      </w:r>
      <w:r w:rsidRPr="00E87D60">
        <w:rPr>
          <w:rFonts w:asciiTheme="minorHAnsi" w:hAnsiTheme="minorHAnsi" w:cstheme="minorHAnsi"/>
          <w:color w:val="auto"/>
        </w:rPr>
        <w:t>TSz</w:t>
      </w:r>
      <w:r w:rsidRPr="00E87D60">
        <w:rPr>
          <w:rFonts w:asciiTheme="minorHAnsi" w:hAnsiTheme="minorHAnsi" w:cstheme="minorHAnsi"/>
          <w:color w:val="auto"/>
          <w:vertAlign w:val="subscript"/>
        </w:rPr>
        <w:t>eff</w:t>
      </w:r>
      <w:r w:rsidRPr="00E87D60">
        <w:rPr>
          <w:rFonts w:asciiTheme="minorHAnsi" w:hAnsiTheme="minorHAnsi" w:cstheme="minorHAnsi"/>
          <w:color w:val="auto"/>
        </w:rPr>
        <w:t>= TSz</w:t>
      </w:r>
      <w:r w:rsidRPr="00E87D60">
        <w:rPr>
          <w:rFonts w:asciiTheme="minorHAnsi" w:hAnsiTheme="minorHAnsi" w:cstheme="minorHAnsi"/>
          <w:color w:val="auto"/>
          <w:vertAlign w:val="subscript"/>
        </w:rPr>
        <w:t xml:space="preserve">átlag </w:t>
      </w:r>
      <w:r w:rsidRPr="00E87D60">
        <w:rPr>
          <w:rFonts w:asciiTheme="minorHAnsi" w:hAnsiTheme="minorHAnsi" w:cstheme="minorHAnsi"/>
          <w:color w:val="auto"/>
        </w:rPr>
        <w:t>+ TSz</w:t>
      </w:r>
      <w:r w:rsidRPr="00E87D60">
        <w:rPr>
          <w:rFonts w:asciiTheme="minorHAnsi" w:hAnsiTheme="minorHAnsi" w:cstheme="minorHAnsi"/>
          <w:color w:val="auto"/>
          <w:vertAlign w:val="subscript"/>
        </w:rPr>
        <w:t xml:space="preserve">szórás    </w:t>
      </w:r>
      <w:r w:rsidRPr="00E87D60">
        <w:rPr>
          <w:rFonts w:asciiTheme="minorHAnsi" w:hAnsiTheme="minorHAnsi" w:cstheme="minorHAnsi"/>
          <w:color w:val="auto"/>
        </w:rPr>
        <w:t>(1)</w:t>
      </w:r>
    </w:p>
    <w:p w14:paraId="7FFFEFCC" w14:textId="77777777" w:rsidR="008A78E3" w:rsidRPr="00E87D60" w:rsidRDefault="008A78E3" w:rsidP="007F1D4A">
      <w:pPr>
        <w:rPr>
          <w:rFonts w:asciiTheme="minorHAnsi" w:hAnsiTheme="minorHAnsi" w:cstheme="minorHAnsi"/>
          <w:color w:val="auto"/>
        </w:rPr>
      </w:pPr>
    </w:p>
    <w:p w14:paraId="7FFFEFCD" w14:textId="77777777" w:rsidR="008A78E3" w:rsidRPr="00E87D60" w:rsidRDefault="008A78E3" w:rsidP="00724E8E">
      <w:pPr>
        <w:rPr>
          <w:color w:val="auto"/>
          <w:sz w:val="18"/>
        </w:rPr>
      </w:pPr>
      <w:r w:rsidRPr="0055569D">
        <w:rPr>
          <w:color w:val="auto"/>
          <w:sz w:val="18"/>
        </w:rPr>
        <w:t xml:space="preserve">ahol: </w:t>
      </w:r>
      <w:r w:rsidRPr="00E87D60">
        <w:rPr>
          <w:color w:val="auto"/>
          <w:sz w:val="18"/>
        </w:rPr>
        <w:tab/>
        <w:t>TSz</w:t>
      </w:r>
      <w:r w:rsidRPr="0055569D">
        <w:rPr>
          <w:color w:val="auto"/>
          <w:sz w:val="18"/>
        </w:rPr>
        <w:t>(eff) = effektív tőkeszükséglet</w:t>
      </w:r>
      <w:r w:rsidRPr="00E87D60">
        <w:rPr>
          <w:color w:val="auto"/>
          <w:sz w:val="18"/>
        </w:rPr>
        <w:t>,</w:t>
      </w:r>
    </w:p>
    <w:p w14:paraId="7FFFEFCE" w14:textId="77777777" w:rsidR="008A78E3" w:rsidRPr="00E87D60" w:rsidRDefault="008A78E3" w:rsidP="00724E8E">
      <w:pPr>
        <w:rPr>
          <w:color w:val="auto"/>
          <w:sz w:val="18"/>
        </w:rPr>
      </w:pPr>
      <w:r w:rsidRPr="00E87D60">
        <w:rPr>
          <w:color w:val="auto"/>
          <w:sz w:val="18"/>
        </w:rPr>
        <w:t xml:space="preserve"> </w:t>
      </w:r>
      <w:r w:rsidRPr="00E87D60">
        <w:rPr>
          <w:color w:val="auto"/>
          <w:sz w:val="18"/>
        </w:rPr>
        <w:tab/>
        <w:t>TSz(átlag) = átlagos tőkeszükséglet ’t’ időpontban,</w:t>
      </w:r>
    </w:p>
    <w:p w14:paraId="7FFFEFCF" w14:textId="77777777" w:rsidR="008A78E3" w:rsidRPr="00E87D60" w:rsidRDefault="008A78E3" w:rsidP="00724E8E">
      <w:pPr>
        <w:ind w:left="708"/>
        <w:rPr>
          <w:color w:val="auto"/>
          <w:sz w:val="18"/>
        </w:rPr>
      </w:pPr>
      <w:r w:rsidRPr="00E87D60">
        <w:rPr>
          <w:color w:val="auto"/>
          <w:sz w:val="18"/>
        </w:rPr>
        <w:t>TSz(szórás) = tőkeszükséglet szórása ’t’ időpontban,</w:t>
      </w:r>
    </w:p>
    <w:p w14:paraId="7FFFEFD0" w14:textId="77777777" w:rsidR="008A78E3" w:rsidRPr="0055569D" w:rsidRDefault="008A78E3" w:rsidP="0055569D">
      <w:pPr>
        <w:ind w:left="708"/>
        <w:rPr>
          <w:color w:val="auto"/>
          <w:sz w:val="18"/>
        </w:rPr>
      </w:pPr>
      <w:r w:rsidRPr="00E87D60">
        <w:rPr>
          <w:color w:val="auto"/>
          <w:sz w:val="18"/>
        </w:rPr>
        <w:t>Tsz</w:t>
      </w:r>
      <w:r w:rsidRPr="00E87D60">
        <w:rPr>
          <w:color w:val="auto"/>
          <w:sz w:val="18"/>
          <w:vertAlign w:val="subscript"/>
        </w:rPr>
        <w:t xml:space="preserve">t </w:t>
      </w:r>
      <w:r w:rsidRPr="00E87D60">
        <w:rPr>
          <w:color w:val="auto"/>
          <w:sz w:val="18"/>
        </w:rPr>
        <w:t>=</w:t>
      </w:r>
      <w:r w:rsidRPr="0055569D">
        <w:rPr>
          <w:color w:val="auto"/>
          <w:sz w:val="18"/>
        </w:rPr>
        <w:t xml:space="preserve"> tőkeszükséglet a </w:t>
      </w:r>
      <w:r w:rsidRPr="00E87D60">
        <w:rPr>
          <w:color w:val="auto"/>
          <w:sz w:val="18"/>
        </w:rPr>
        <w:t xml:space="preserve">’t’ időpontban, az adott </w:t>
      </w:r>
      <w:r w:rsidRPr="0055569D">
        <w:rPr>
          <w:color w:val="auto"/>
          <w:sz w:val="18"/>
        </w:rPr>
        <w:t xml:space="preserve">periódus </w:t>
      </w:r>
      <w:r w:rsidRPr="00E87D60">
        <w:rPr>
          <w:color w:val="auto"/>
          <w:sz w:val="18"/>
        </w:rPr>
        <w:t xml:space="preserve">(hónap) </w:t>
      </w:r>
      <w:r w:rsidRPr="0055569D">
        <w:rPr>
          <w:color w:val="auto"/>
          <w:sz w:val="18"/>
        </w:rPr>
        <w:t>végén,</w:t>
      </w:r>
    </w:p>
    <w:p w14:paraId="7FFFEFD1" w14:textId="77777777" w:rsidR="008A78E3" w:rsidRPr="00E87D60" w:rsidRDefault="008A78E3" w:rsidP="00E87D60">
      <w:pPr>
        <w:ind w:left="708"/>
        <w:rPr>
          <w:color w:val="auto"/>
          <w:sz w:val="18"/>
        </w:rPr>
      </w:pPr>
      <w:r w:rsidRPr="00E87D60">
        <w:rPr>
          <w:color w:val="auto"/>
          <w:sz w:val="18"/>
        </w:rPr>
        <w:t>n = 12, azaz a periódusok (hónapok) száma.</w:t>
      </w:r>
    </w:p>
    <w:p w14:paraId="7FFFEFD2" w14:textId="77777777" w:rsidR="008A78E3" w:rsidRPr="00E87D60" w:rsidRDefault="008A78E3" w:rsidP="007F1D4A">
      <w:pPr>
        <w:rPr>
          <w:color w:val="auto"/>
          <w:sz w:val="18"/>
        </w:rPr>
      </w:pPr>
    </w:p>
    <w:p w14:paraId="7FFFEFD3" w14:textId="77777777" w:rsidR="008A78E3" w:rsidRPr="0055569D" w:rsidRDefault="008A78E3" w:rsidP="007F1D4A">
      <w:pPr>
        <w:rPr>
          <w:color w:val="auto"/>
        </w:rPr>
      </w:pPr>
      <w:r w:rsidRPr="0055569D">
        <w:rPr>
          <w:color w:val="auto"/>
        </w:rPr>
        <w:t>A szórás figyelembevételének a tőkeszükséglet meghatározásában az</w:t>
      </w:r>
      <w:r w:rsidRPr="00E87D60">
        <w:rPr>
          <w:color w:val="auto"/>
        </w:rPr>
        <w:t xml:space="preserve"> a</w:t>
      </w:r>
      <w:r w:rsidRPr="0055569D">
        <w:rPr>
          <w:color w:val="auto"/>
        </w:rPr>
        <w:t xml:space="preserve"> célja, hogy az időben stabil tőkekövetelményt preferálja és különbséget tegyen az azonos átlagos mértékű, de eltérő szórással rendelkező tőkekövetelmények között, a kisebb szórású javára.</w:t>
      </w:r>
    </w:p>
    <w:p w14:paraId="7FFFEFD4" w14:textId="77777777" w:rsidR="008A78E3" w:rsidRPr="0055569D" w:rsidRDefault="008A78E3" w:rsidP="004F1946">
      <w:r w:rsidRPr="0055569D">
        <w:t xml:space="preserve">Az adott periódus végére vonatkozóan meghatározott kamat érzékenység a </w:t>
      </w:r>
      <w:r>
        <w:t>banki könyv</w:t>
      </w:r>
      <w:r w:rsidRPr="0055569D">
        <w:t xml:space="preserve"> kamatkockázati profiljából, - leginkább az átárazási és a duration résekből - származik</w:t>
      </w:r>
      <w:r w:rsidRPr="00E87D60">
        <w:t>,</w:t>
      </w:r>
      <w:r w:rsidRPr="0055569D">
        <w:t xml:space="preserve"> és két alapvető mutatószám</w:t>
      </w:r>
      <w:r w:rsidRPr="00E87D60">
        <w:t>,</w:t>
      </w:r>
      <w:r w:rsidRPr="0055569D">
        <w:t xml:space="preserve"> a jövedelem és tőke gazdasági értéke érzékenységének együttes figyelembevételével, súlyozott számtani átlagként határozódik meg azzal, hogy a jövedelem érzékenység mérése a hagyományosan alkalmazott nettó kamatbevétel mellett egyéb tényezőket is magában foglal (ld. később).</w:t>
      </w:r>
    </w:p>
    <w:p w14:paraId="7FFFEFD5" w14:textId="77777777" w:rsidR="008A78E3" w:rsidRPr="00E87D60" w:rsidRDefault="008A78E3" w:rsidP="007F1D4A">
      <w:pPr>
        <w:spacing w:after="0"/>
        <w:rPr>
          <w:color w:val="auto"/>
          <w:sz w:val="18"/>
        </w:rPr>
      </w:pPr>
    </w:p>
    <w:p w14:paraId="7FFFEFD6" w14:textId="77777777" w:rsidR="008A78E3" w:rsidRPr="00E87D60" w:rsidRDefault="008A78E3" w:rsidP="007F1D4A">
      <w:pPr>
        <w:spacing w:after="0"/>
        <w:rPr>
          <w:color w:val="auto"/>
          <w:sz w:val="18"/>
        </w:rPr>
      </w:pPr>
      <w:r w:rsidRPr="00E87D60">
        <w:rPr>
          <w:noProof/>
          <w:color w:val="auto"/>
        </w:rPr>
        <w:drawing>
          <wp:anchor distT="0" distB="0" distL="114300" distR="114300" simplePos="0" relativeHeight="251668480" behindDoc="0" locked="0" layoutInCell="1" allowOverlap="1" wp14:anchorId="7FFFF08F" wp14:editId="7FFFF090">
            <wp:simplePos x="0" y="0"/>
            <wp:positionH relativeFrom="column">
              <wp:posOffset>750</wp:posOffset>
            </wp:positionH>
            <wp:positionV relativeFrom="paragraph">
              <wp:posOffset>-1155</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221355" cy="207645"/>
                    </a:xfrm>
                    <a:prstGeom prst="rect">
                      <a:avLst/>
                    </a:prstGeom>
                    <a:noFill/>
                    <a:ln>
                      <a:noFill/>
                    </a:ln>
                  </pic:spPr>
                </pic:pic>
              </a:graphicData>
            </a:graphic>
          </wp:anchor>
        </w:drawing>
      </w:r>
    </w:p>
    <w:p w14:paraId="7FFFEFD7" w14:textId="77777777" w:rsidR="008A78E3" w:rsidRPr="00E87D60" w:rsidRDefault="008A78E3" w:rsidP="007F1D4A">
      <w:pPr>
        <w:spacing w:after="0"/>
        <w:rPr>
          <w:color w:val="auto"/>
          <w:sz w:val="18"/>
        </w:rPr>
      </w:pPr>
    </w:p>
    <w:p w14:paraId="7FFFEFD8" w14:textId="77777777" w:rsidR="008A78E3" w:rsidRPr="0055569D" w:rsidRDefault="008A78E3" w:rsidP="007F1D4A">
      <w:pPr>
        <w:spacing w:after="0"/>
        <w:rPr>
          <w:color w:val="auto"/>
          <w:sz w:val="18"/>
        </w:rPr>
      </w:pPr>
      <w:r w:rsidRPr="0055569D">
        <w:rPr>
          <w:color w:val="auto"/>
          <w:sz w:val="18"/>
        </w:rPr>
        <w:t xml:space="preserve">ahol: </w:t>
      </w:r>
      <w:r w:rsidRPr="0055569D">
        <w:rPr>
          <w:color w:val="auto"/>
          <w:sz w:val="18"/>
        </w:rPr>
        <w:tab/>
        <w:t>TSz(</w:t>
      </w:r>
      <w:r w:rsidRPr="00E87D60">
        <w:rPr>
          <w:color w:val="auto"/>
          <w:sz w:val="18"/>
        </w:rPr>
        <w:t>t</w:t>
      </w:r>
      <w:r w:rsidRPr="0055569D">
        <w:rPr>
          <w:color w:val="auto"/>
          <w:sz w:val="18"/>
        </w:rPr>
        <w:t xml:space="preserve">)= tőkeszükséglet </w:t>
      </w:r>
      <w:r w:rsidRPr="00E87D60">
        <w:rPr>
          <w:color w:val="auto"/>
          <w:sz w:val="18"/>
        </w:rPr>
        <w:t xml:space="preserve">’t’ időpontban, </w:t>
      </w:r>
      <w:r w:rsidRPr="0055569D">
        <w:rPr>
          <w:color w:val="auto"/>
          <w:sz w:val="18"/>
        </w:rPr>
        <w:t xml:space="preserve">a periódus </w:t>
      </w:r>
      <w:r w:rsidRPr="00E87D60">
        <w:rPr>
          <w:color w:val="auto"/>
          <w:sz w:val="18"/>
        </w:rPr>
        <w:t xml:space="preserve">(hónap) </w:t>
      </w:r>
      <w:r w:rsidRPr="0055569D">
        <w:rPr>
          <w:color w:val="auto"/>
          <w:sz w:val="18"/>
        </w:rPr>
        <w:t>végén</w:t>
      </w:r>
      <w:r w:rsidRPr="00E87D60">
        <w:rPr>
          <w:color w:val="auto"/>
          <w:sz w:val="18"/>
        </w:rPr>
        <w:t>,</w:t>
      </w:r>
    </w:p>
    <w:p w14:paraId="7FFFEFD9" w14:textId="77777777" w:rsidR="008A78E3" w:rsidRPr="0055569D" w:rsidRDefault="008A78E3" w:rsidP="007F1D4A">
      <w:pPr>
        <w:spacing w:after="0"/>
        <w:rPr>
          <w:color w:val="auto"/>
          <w:sz w:val="18"/>
        </w:rPr>
      </w:pPr>
      <w:r w:rsidRPr="0055569D">
        <w:rPr>
          <w:color w:val="auto"/>
          <w:sz w:val="18"/>
        </w:rPr>
        <w:tab/>
        <w:t>w= a jövedelem érzékenység súlya</w:t>
      </w:r>
      <w:r w:rsidRPr="00E87D60">
        <w:rPr>
          <w:color w:val="auto"/>
          <w:sz w:val="18"/>
        </w:rPr>
        <w:t>,</w:t>
      </w:r>
    </w:p>
    <w:p w14:paraId="7FFFEFDA" w14:textId="77777777" w:rsidR="008A78E3" w:rsidRPr="0055569D" w:rsidRDefault="008A78E3" w:rsidP="007F1D4A">
      <w:pPr>
        <w:spacing w:after="0"/>
        <w:rPr>
          <w:rFonts w:eastAsiaTheme="minorEastAsia"/>
          <w:color w:val="auto"/>
          <w:sz w:val="18"/>
        </w:rPr>
      </w:pPr>
      <w:r w:rsidRPr="0055569D">
        <w:rPr>
          <w:color w:val="auto"/>
          <w:sz w:val="18"/>
        </w:rPr>
        <w:tab/>
      </w:r>
      <w:r w:rsidRPr="00E87D60">
        <w:rPr>
          <w:rFonts w:eastAsiaTheme="minorEastAsia" w:cs="Calibri"/>
          <w:color w:val="auto"/>
          <w:sz w:val="18"/>
        </w:rPr>
        <w:t>Δ</w:t>
      </w:r>
      <w:r w:rsidRPr="00E87D60">
        <w:rPr>
          <w:rFonts w:eastAsiaTheme="minorEastAsia"/>
          <w:color w:val="auto"/>
          <w:sz w:val="18"/>
        </w:rPr>
        <w:t>netINC</w:t>
      </w:r>
      <w:r w:rsidRPr="00E87D60">
        <w:rPr>
          <w:rFonts w:eastAsiaTheme="minorEastAsia"/>
          <w:color w:val="auto"/>
          <w:sz w:val="18"/>
          <w:vertAlign w:val="subscript"/>
        </w:rPr>
        <w:t>t</w:t>
      </w:r>
      <w:r w:rsidRPr="0055569D">
        <w:rPr>
          <w:rFonts w:eastAsiaTheme="minorEastAsia"/>
          <w:color w:val="auto"/>
          <w:sz w:val="18"/>
        </w:rPr>
        <w:t xml:space="preserve"> = a teljes </w:t>
      </w:r>
      <w:r w:rsidRPr="0055569D">
        <w:rPr>
          <w:rFonts w:eastAsiaTheme="minorEastAsia"/>
          <w:i/>
          <w:color w:val="auto"/>
          <w:sz w:val="18"/>
        </w:rPr>
        <w:t>nettó</w:t>
      </w:r>
      <w:r w:rsidRPr="0055569D">
        <w:rPr>
          <w:rFonts w:eastAsiaTheme="minorEastAsia"/>
          <w:color w:val="auto"/>
          <w:sz w:val="18"/>
        </w:rPr>
        <w:t xml:space="preserve"> jövedelem érzékenység</w:t>
      </w:r>
      <w:r w:rsidRPr="00E87D60">
        <w:rPr>
          <w:rFonts w:eastAsiaTheme="minorEastAsia"/>
          <w:color w:val="auto"/>
          <w:sz w:val="18"/>
        </w:rPr>
        <w:t>, ’t’ időpontban,</w:t>
      </w:r>
    </w:p>
    <w:p w14:paraId="7FFFEFDB" w14:textId="77777777" w:rsidR="008A78E3" w:rsidRPr="0055569D" w:rsidRDefault="008A78E3" w:rsidP="007F1D4A">
      <w:pPr>
        <w:rPr>
          <w:rFonts w:eastAsiaTheme="minorEastAsia"/>
          <w:color w:val="auto"/>
          <w:sz w:val="18"/>
        </w:rPr>
      </w:pPr>
      <w:r w:rsidRPr="0055569D">
        <w:rPr>
          <w:rFonts w:eastAsiaTheme="minorEastAsia"/>
          <w:color w:val="auto"/>
          <w:sz w:val="18"/>
        </w:rPr>
        <w:tab/>
      </w:r>
      <w:r w:rsidRPr="00E87D60">
        <w:rPr>
          <w:rFonts w:eastAsiaTheme="minorEastAsia" w:cs="Calibri"/>
          <w:color w:val="auto"/>
          <w:sz w:val="18"/>
        </w:rPr>
        <w:t>Δ</w:t>
      </w:r>
      <w:r w:rsidRPr="00E87D60">
        <w:rPr>
          <w:rFonts w:eastAsiaTheme="minorEastAsia"/>
          <w:color w:val="auto"/>
          <w:sz w:val="18"/>
        </w:rPr>
        <w:t>EVE</w:t>
      </w:r>
      <w:r w:rsidRPr="00E87D60">
        <w:rPr>
          <w:rFonts w:eastAsiaTheme="minorEastAsia"/>
          <w:color w:val="auto"/>
          <w:sz w:val="18"/>
          <w:vertAlign w:val="subscript"/>
        </w:rPr>
        <w:t>t</w:t>
      </w:r>
      <w:r w:rsidRPr="00E87D60">
        <w:rPr>
          <w:rFonts w:eastAsiaTheme="minorEastAsia"/>
          <w:color w:val="auto"/>
          <w:sz w:val="18"/>
        </w:rPr>
        <w:t xml:space="preserve"> </w:t>
      </w:r>
      <w:r w:rsidRPr="0055569D">
        <w:rPr>
          <w:rFonts w:eastAsiaTheme="minorEastAsia"/>
          <w:color w:val="auto"/>
          <w:sz w:val="18"/>
        </w:rPr>
        <w:t>= a teljes tőkeérték érzékenység</w:t>
      </w:r>
      <w:r w:rsidRPr="00E87D60">
        <w:rPr>
          <w:rFonts w:eastAsiaTheme="minorEastAsia"/>
          <w:color w:val="auto"/>
          <w:sz w:val="18"/>
        </w:rPr>
        <w:t>, ’t’ időpontban.</w:t>
      </w:r>
    </w:p>
    <w:p w14:paraId="7FFFEFDC" w14:textId="77777777" w:rsidR="008A78E3" w:rsidRPr="00E87D60" w:rsidRDefault="008A78E3" w:rsidP="007F1D4A">
      <w:pPr>
        <w:rPr>
          <w:color w:val="auto"/>
          <w:szCs w:val="24"/>
        </w:rPr>
      </w:pPr>
    </w:p>
    <w:p w14:paraId="7FFFEFDD" w14:textId="77777777" w:rsidR="008A78E3" w:rsidRPr="00E87D60" w:rsidRDefault="008A78E3" w:rsidP="007F1D4A">
      <w:pPr>
        <w:rPr>
          <w:color w:val="auto"/>
          <w:szCs w:val="24"/>
        </w:rPr>
      </w:pPr>
      <w:r w:rsidRPr="0055569D">
        <w:rPr>
          <w:color w:val="auto"/>
        </w:rPr>
        <w:t xml:space="preserve">A </w:t>
      </w:r>
      <w:r w:rsidRPr="00E87D60">
        <w:rPr>
          <w:color w:val="auto"/>
        </w:rPr>
        <w:t xml:space="preserve">periódus végi tőkekövetelmény meghatározásának képletében (4) szereplő </w:t>
      </w:r>
      <w:r w:rsidRPr="0055569D">
        <w:rPr>
          <w:color w:val="auto"/>
        </w:rPr>
        <w:t xml:space="preserve">teljes </w:t>
      </w:r>
      <w:r w:rsidRPr="00E87D60">
        <w:rPr>
          <w:i/>
          <w:iCs/>
          <w:color w:val="auto"/>
        </w:rPr>
        <w:t>nettó</w:t>
      </w:r>
      <w:r w:rsidRPr="00E87D60">
        <w:rPr>
          <w:color w:val="auto"/>
        </w:rPr>
        <w:t xml:space="preserve"> </w:t>
      </w:r>
      <w:r w:rsidRPr="0055569D">
        <w:rPr>
          <w:color w:val="auto"/>
        </w:rPr>
        <w:t xml:space="preserve">jövedelem </w:t>
      </w:r>
      <w:r w:rsidRPr="00E87D60">
        <w:rPr>
          <w:color w:val="auto"/>
        </w:rPr>
        <w:t>érzékenység (</w:t>
      </w:r>
      <w:r w:rsidRPr="00E87D60">
        <w:rPr>
          <w:rFonts w:ascii="Symbol" w:hAnsi="Symbol"/>
          <w:color w:val="auto"/>
        </w:rPr>
        <w:sym w:font="Symbol" w:char="F044"/>
      </w:r>
      <w:r w:rsidRPr="00E87D60">
        <w:rPr>
          <w:color w:val="auto"/>
        </w:rPr>
        <w:t>netINC) a teljes jövedelem érzékenységből (</w:t>
      </w:r>
      <w:r w:rsidRPr="00E87D60">
        <w:rPr>
          <w:rFonts w:ascii="Symbol" w:hAnsi="Symbol"/>
          <w:color w:val="auto"/>
        </w:rPr>
        <w:sym w:font="Symbol" w:char="F044"/>
      </w:r>
      <w:r w:rsidRPr="00E87D60">
        <w:rPr>
          <w:color w:val="auto"/>
        </w:rPr>
        <w:t>INC) számítódik oly módon, hogy a teljes jövedelem érzékenységet csökkentjük a nettó kamatbevétel azon részével, amely várhatóan hozzájárul a tőke növekedéséhez, azaz nettó kamatbevételből becsült tőkenövekedési potenciálként értelmezhető.</w:t>
      </w:r>
    </w:p>
    <w:p w14:paraId="7FFFEFDE" w14:textId="77777777" w:rsidR="008A78E3" w:rsidRPr="00E87D60" w:rsidRDefault="008A78E3" w:rsidP="007F1D4A">
      <w:pPr>
        <w:rPr>
          <w:color w:val="auto"/>
          <w:szCs w:val="24"/>
        </w:rPr>
      </w:pPr>
      <w:r w:rsidRPr="00E87D60">
        <w:rPr>
          <w:noProof/>
          <w:color w:val="auto"/>
          <w:szCs w:val="24"/>
        </w:rPr>
        <w:drawing>
          <wp:anchor distT="0" distB="0" distL="114300" distR="114300" simplePos="0" relativeHeight="251669504" behindDoc="0" locked="0" layoutInCell="1" allowOverlap="1" wp14:anchorId="7FFFF091" wp14:editId="7FFFF092">
            <wp:simplePos x="0" y="0"/>
            <wp:positionH relativeFrom="column">
              <wp:posOffset>750</wp:posOffset>
            </wp:positionH>
            <wp:positionV relativeFrom="paragraph">
              <wp:posOffset>-1674</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871470" cy="280670"/>
                    </a:xfrm>
                    <a:prstGeom prst="rect">
                      <a:avLst/>
                    </a:prstGeom>
                    <a:noFill/>
                  </pic:spPr>
                </pic:pic>
              </a:graphicData>
            </a:graphic>
          </wp:anchor>
        </w:drawing>
      </w:r>
    </w:p>
    <w:p w14:paraId="7FFFEFDF" w14:textId="77777777" w:rsidR="008A78E3" w:rsidRPr="00E87D60" w:rsidRDefault="008A78E3" w:rsidP="007F1D4A">
      <w:pPr>
        <w:rPr>
          <w:color w:val="auto"/>
          <w:szCs w:val="24"/>
        </w:rPr>
      </w:pPr>
    </w:p>
    <w:p w14:paraId="7FFFEFE0" w14:textId="77777777" w:rsidR="008A78E3" w:rsidRPr="00E87D60" w:rsidRDefault="008A78E3" w:rsidP="007F1D4A">
      <w:pPr>
        <w:rPr>
          <w:color w:val="auto"/>
          <w:szCs w:val="24"/>
        </w:rPr>
      </w:pPr>
    </w:p>
    <w:p w14:paraId="7FFFEFE1" w14:textId="77777777" w:rsidR="008A78E3" w:rsidRPr="0055569D" w:rsidRDefault="008A78E3" w:rsidP="007F1D4A">
      <w:pPr>
        <w:rPr>
          <w:color w:val="auto"/>
        </w:rPr>
      </w:pPr>
      <w:r w:rsidRPr="00E87D60">
        <w:rPr>
          <w:noProof/>
          <w:color w:val="auto"/>
          <w:szCs w:val="24"/>
        </w:rPr>
        <w:drawing>
          <wp:anchor distT="0" distB="0" distL="114300" distR="114300" simplePos="0" relativeHeight="251671552" behindDoc="0" locked="0" layoutInCell="1" allowOverlap="1" wp14:anchorId="7FFFF093" wp14:editId="7FFFF094">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603500" cy="506095"/>
                    </a:xfrm>
                    <a:prstGeom prst="rect">
                      <a:avLst/>
                    </a:prstGeom>
                    <a:noFill/>
                  </pic:spPr>
                </pic:pic>
              </a:graphicData>
            </a:graphic>
          </wp:anchor>
        </w:drawing>
      </w:r>
      <w:r w:rsidRPr="00E87D60">
        <w:rPr>
          <w:color w:val="auto"/>
          <w:szCs w:val="24"/>
        </w:rPr>
        <w:t>A teljes</w:t>
      </w:r>
      <w:r w:rsidRPr="0055569D">
        <w:rPr>
          <w:color w:val="auto"/>
        </w:rPr>
        <w:t xml:space="preserve"> tőkeérték</w:t>
      </w:r>
      <w:r w:rsidRPr="00E87D60">
        <w:rPr>
          <w:color w:val="auto"/>
          <w:szCs w:val="24"/>
        </w:rPr>
        <w:t xml:space="preserve">- és jövedelem érzékenység </w:t>
      </w:r>
      <w:r w:rsidRPr="0055569D">
        <w:rPr>
          <w:color w:val="auto"/>
        </w:rPr>
        <w:t xml:space="preserve">a devizanemek szerint elkülönülten számított </w:t>
      </w:r>
      <w:r w:rsidRPr="00E87D60">
        <w:rPr>
          <w:color w:val="auto"/>
          <w:szCs w:val="24"/>
        </w:rPr>
        <w:t>érzékenységek abszolút értékeinek összege.</w:t>
      </w:r>
    </w:p>
    <w:p w14:paraId="7FFFEFE2" w14:textId="77777777" w:rsidR="008A78E3" w:rsidRPr="00E87D60" w:rsidRDefault="008A78E3" w:rsidP="007F1D4A">
      <w:pPr>
        <w:rPr>
          <w:color w:val="auto"/>
          <w:szCs w:val="24"/>
        </w:rPr>
      </w:pPr>
      <w:r w:rsidRPr="00E87D60">
        <w:rPr>
          <w:noProof/>
          <w:color w:val="auto"/>
          <w:szCs w:val="24"/>
        </w:rPr>
        <w:drawing>
          <wp:anchor distT="0" distB="0" distL="114300" distR="114300" simplePos="0" relativeHeight="251670528" behindDoc="0" locked="0" layoutInCell="1" allowOverlap="1" wp14:anchorId="7FFFF095" wp14:editId="7FFFF096">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86000" cy="469265"/>
                    </a:xfrm>
                    <a:prstGeom prst="rect">
                      <a:avLst/>
                    </a:prstGeom>
                    <a:noFill/>
                  </pic:spPr>
                </pic:pic>
              </a:graphicData>
            </a:graphic>
          </wp:anchor>
        </w:drawing>
      </w:r>
    </w:p>
    <w:p w14:paraId="7FFFEFE3" w14:textId="77777777" w:rsidR="008A78E3" w:rsidRPr="00E87D60" w:rsidRDefault="008A78E3" w:rsidP="007F1D4A">
      <w:pPr>
        <w:rPr>
          <w:color w:val="auto"/>
          <w:szCs w:val="24"/>
        </w:rPr>
      </w:pPr>
      <w:r w:rsidRPr="00E87D60">
        <w:rPr>
          <w:color w:val="auto"/>
          <w:szCs w:val="24"/>
        </w:rPr>
        <w:t>ahol ’n’ a devizanemek számát jelöli.</w:t>
      </w:r>
    </w:p>
    <w:p w14:paraId="7FFFEFE4" w14:textId="77777777" w:rsidR="008A78E3" w:rsidRPr="00E87D60" w:rsidRDefault="008A78E3" w:rsidP="007F1D4A">
      <w:pPr>
        <w:rPr>
          <w:color w:val="auto"/>
          <w:szCs w:val="24"/>
        </w:rPr>
      </w:pPr>
    </w:p>
    <w:p w14:paraId="7FFFEFE5" w14:textId="77777777" w:rsidR="008A78E3" w:rsidRPr="0055569D" w:rsidRDefault="008A78E3" w:rsidP="007F1D4A">
      <w:pPr>
        <w:rPr>
          <w:color w:val="auto"/>
        </w:rPr>
      </w:pPr>
      <w:r w:rsidRPr="00E87D60">
        <w:rPr>
          <w:noProof/>
          <w:color w:val="auto"/>
        </w:rPr>
        <w:drawing>
          <wp:anchor distT="0" distB="0" distL="114300" distR="114300" simplePos="0" relativeHeight="251672576" behindDoc="0" locked="0" layoutInCell="1" allowOverlap="1" wp14:anchorId="7FFFF097" wp14:editId="7FFFF098">
            <wp:simplePos x="0" y="0"/>
            <wp:positionH relativeFrom="margin">
              <wp:align>left</wp:align>
            </wp:positionH>
            <wp:positionV relativeFrom="paragraph">
              <wp:posOffset>601980</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3221355" cy="464185"/>
                    </a:xfrm>
                    <a:prstGeom prst="rect">
                      <a:avLst/>
                    </a:prstGeom>
                    <a:noFill/>
                    <a:ln>
                      <a:noFill/>
                    </a:ln>
                  </pic:spPr>
                </pic:pic>
              </a:graphicData>
            </a:graphic>
          </wp:anchor>
        </w:drawing>
      </w:r>
      <w:r w:rsidRPr="0055569D">
        <w:t>Az egyes devizák jövedelem-és tőkeértékének változása az adott deviza különböző forgatókönyvek</w:t>
      </w:r>
      <w:r>
        <w:rPr>
          <w:rStyle w:val="Lbjegyzet-hivatkozs"/>
        </w:rPr>
        <w:footnoteReference w:id="133"/>
      </w:r>
      <w:r w:rsidRPr="0055569D">
        <w:t xml:space="preserve"> mellett számított változásai közül a legrosszabb (legnagyobb </w:t>
      </w:r>
      <w:r>
        <w:t xml:space="preserve">abszolút értékű </w:t>
      </w:r>
      <w:r w:rsidRPr="0055569D">
        <w:t>negatív) érték, maximum nulla.</w:t>
      </w:r>
    </w:p>
    <w:p w14:paraId="7FFFEFE6" w14:textId="77777777" w:rsidR="008A78E3" w:rsidRPr="00E87D60" w:rsidRDefault="008A78E3" w:rsidP="007F1D4A">
      <w:pPr>
        <w:rPr>
          <w:color w:val="auto"/>
          <w:szCs w:val="24"/>
        </w:rPr>
      </w:pPr>
      <w:r w:rsidRPr="00E87D60">
        <w:rPr>
          <w:color w:val="auto"/>
        </w:rPr>
        <w:t xml:space="preserve">   </w:t>
      </w:r>
    </w:p>
    <w:p w14:paraId="7FFFEFE7" w14:textId="77777777" w:rsidR="008A78E3" w:rsidRPr="0055569D" w:rsidRDefault="008A78E3" w:rsidP="007F1D4A">
      <w:pPr>
        <w:spacing w:after="0"/>
        <w:rPr>
          <w:color w:val="auto"/>
        </w:rPr>
      </w:pPr>
      <w:r w:rsidRPr="0055569D">
        <w:rPr>
          <w:color w:val="auto"/>
        </w:rPr>
        <w:t xml:space="preserve">ahol: </w:t>
      </w:r>
      <w:r w:rsidRPr="0055569D">
        <w:rPr>
          <w:color w:val="auto"/>
        </w:rPr>
        <w:tab/>
        <w:t>∆EVE</w:t>
      </w:r>
      <w:r w:rsidRPr="0055569D">
        <w:rPr>
          <w:color w:val="auto"/>
          <w:vertAlign w:val="subscript"/>
        </w:rPr>
        <w:t>cn</w:t>
      </w:r>
      <w:r w:rsidRPr="00E87D60">
        <w:rPr>
          <w:color w:val="auto"/>
          <w:szCs w:val="24"/>
          <w:vertAlign w:val="subscript"/>
        </w:rPr>
        <w:t>,t</w:t>
      </w:r>
      <w:r w:rsidRPr="0055569D">
        <w:rPr>
          <w:color w:val="auto"/>
        </w:rPr>
        <w:t xml:space="preserve"> = az adott ’c’ deviza, adott ’n’ forgatókönyvben mért tőkeérték érzékenysége</w:t>
      </w:r>
      <w:r w:rsidRPr="00E87D60">
        <w:rPr>
          <w:color w:val="auto"/>
          <w:szCs w:val="24"/>
        </w:rPr>
        <w:t>, ’t’ időpontban,</w:t>
      </w:r>
    </w:p>
    <w:p w14:paraId="7FFFEFE8" w14:textId="77777777" w:rsidR="008A78E3" w:rsidRPr="0055569D" w:rsidRDefault="008A78E3" w:rsidP="007F1D4A">
      <w:pPr>
        <w:ind w:firstLine="709"/>
        <w:rPr>
          <w:color w:val="auto"/>
        </w:rPr>
      </w:pPr>
      <w:r w:rsidRPr="0055569D">
        <w:rPr>
          <w:rFonts w:asciiTheme="majorHAnsi" w:hAnsiTheme="majorHAnsi"/>
          <w:color w:val="auto"/>
        </w:rPr>
        <w:t>∆INC</w:t>
      </w:r>
      <w:r w:rsidRPr="0055569D">
        <w:rPr>
          <w:rFonts w:asciiTheme="majorHAnsi" w:hAnsiTheme="majorHAnsi"/>
          <w:color w:val="auto"/>
          <w:vertAlign w:val="subscript"/>
        </w:rPr>
        <w:t>cn</w:t>
      </w:r>
      <w:r w:rsidRPr="00E87D60">
        <w:rPr>
          <w:rFonts w:asciiTheme="majorHAnsi" w:hAnsiTheme="majorHAnsi" w:cstheme="majorHAnsi"/>
          <w:color w:val="auto"/>
          <w:vertAlign w:val="subscript"/>
        </w:rPr>
        <w:t>,t</w:t>
      </w:r>
      <w:r w:rsidRPr="0055569D">
        <w:rPr>
          <w:rFonts w:asciiTheme="majorHAnsi" w:hAnsiTheme="majorHAnsi"/>
          <w:color w:val="auto"/>
          <w:vertAlign w:val="subscript"/>
        </w:rPr>
        <w:t xml:space="preserve"> </w:t>
      </w:r>
      <w:r w:rsidRPr="0055569D">
        <w:rPr>
          <w:rFonts w:asciiTheme="majorHAnsi" w:hAnsiTheme="majorHAnsi"/>
          <w:color w:val="auto"/>
        </w:rPr>
        <w:t>=</w:t>
      </w:r>
      <w:r w:rsidRPr="0055569D">
        <w:rPr>
          <w:rFonts w:asciiTheme="majorHAnsi" w:hAnsiTheme="majorHAnsi"/>
          <w:color w:val="auto"/>
          <w:vertAlign w:val="subscript"/>
        </w:rPr>
        <w:t xml:space="preserve">  </w:t>
      </w:r>
      <w:r w:rsidRPr="0055569D">
        <w:rPr>
          <w:color w:val="auto"/>
        </w:rPr>
        <w:t>az adott ’c’ deviza, adott ’n’ forgatókönyvben mért jövedelem érzékenysége</w:t>
      </w:r>
      <w:r w:rsidRPr="00E87D60">
        <w:rPr>
          <w:color w:val="auto"/>
          <w:szCs w:val="24"/>
        </w:rPr>
        <w:t>, ’t’ időpontban.</w:t>
      </w:r>
    </w:p>
    <w:p w14:paraId="7FFFEFE9" w14:textId="77777777" w:rsidR="008A78E3" w:rsidRPr="00E87D60" w:rsidRDefault="008A78E3" w:rsidP="007F1D4A">
      <w:pPr>
        <w:rPr>
          <w:color w:val="auto"/>
        </w:rPr>
      </w:pPr>
    </w:p>
    <w:p w14:paraId="7FFFEFEA" w14:textId="77777777" w:rsidR="008A78E3" w:rsidRPr="0055569D" w:rsidRDefault="008A78E3" w:rsidP="007F1D4A">
      <w:pPr>
        <w:rPr>
          <w:color w:val="auto"/>
        </w:rPr>
      </w:pPr>
      <w:r w:rsidRPr="0055569D">
        <w:rPr>
          <w:color w:val="auto"/>
        </w:rPr>
        <w:t>Az adott deviza adott forgatókönyvben</w:t>
      </w:r>
      <w:r w:rsidRPr="00E87D60">
        <w:rPr>
          <w:color w:val="auto"/>
        </w:rPr>
        <w:t>,</w:t>
      </w:r>
      <w:r>
        <w:rPr>
          <w:color w:val="auto"/>
        </w:rPr>
        <w:t xml:space="preserve"> </w:t>
      </w:r>
      <w:r w:rsidRPr="00E87D60">
        <w:rPr>
          <w:color w:val="auto"/>
        </w:rPr>
        <w:t>’t’ időpontban</w:t>
      </w:r>
      <w:r w:rsidRPr="0055569D">
        <w:rPr>
          <w:color w:val="auto"/>
        </w:rPr>
        <w:t xml:space="preserve"> számított jövedelem </w:t>
      </w:r>
      <w:r w:rsidRPr="0055569D">
        <w:rPr>
          <w:rFonts w:asciiTheme="minorHAnsi" w:hAnsiTheme="minorHAnsi"/>
          <w:color w:val="auto"/>
        </w:rPr>
        <w:t>érzékenysége (∆INC</w:t>
      </w:r>
      <w:r w:rsidRPr="0055569D">
        <w:rPr>
          <w:rFonts w:asciiTheme="minorHAnsi" w:hAnsiTheme="minorHAnsi"/>
          <w:color w:val="auto"/>
          <w:vertAlign w:val="subscript"/>
        </w:rPr>
        <w:t>cn</w:t>
      </w:r>
      <w:r w:rsidRPr="00E87D60">
        <w:rPr>
          <w:rFonts w:asciiTheme="minorHAnsi" w:hAnsiTheme="minorHAnsi" w:cstheme="minorHAnsi"/>
          <w:color w:val="auto"/>
          <w:vertAlign w:val="subscript"/>
        </w:rPr>
        <w:t>,t</w:t>
      </w:r>
      <w:r w:rsidRPr="0055569D">
        <w:rPr>
          <w:rFonts w:asciiTheme="minorHAnsi" w:hAnsiTheme="minorHAnsi"/>
          <w:color w:val="auto"/>
        </w:rPr>
        <w:t>) két elemből áll</w:t>
      </w:r>
      <w:r w:rsidRPr="0055569D">
        <w:rPr>
          <w:color w:val="auto"/>
        </w:rPr>
        <w:t>: a nettó kamatjövedelem mellett magában foglalja a banki könyvben szereplő valósan értékelt pozíciók (értékpapírok, származékos kamat pozíciók</w:t>
      </w:r>
      <w:r>
        <w:rPr>
          <w:rStyle w:val="Lbjegyzet-hivatkozs"/>
          <w:color w:val="auto"/>
        </w:rPr>
        <w:footnoteReference w:id="134"/>
      </w:r>
      <w:r w:rsidRPr="0055569D">
        <w:rPr>
          <w:color w:val="auto"/>
        </w:rPr>
        <w:t xml:space="preserve">, követelések </w:t>
      </w:r>
      <w:r w:rsidRPr="00E87D60">
        <w:rPr>
          <w:rFonts w:asciiTheme="minorHAnsi" w:hAnsiTheme="minorHAnsi"/>
          <w:color w:val="auto"/>
        </w:rPr>
        <w:t>és az esetlegesen figyelembe vett egyéb valósan értékelt pozíciók</w:t>
      </w:r>
      <w:r w:rsidRPr="00E87D60">
        <w:rPr>
          <w:color w:val="auto"/>
        </w:rPr>
        <w:t>)</w:t>
      </w:r>
      <w:r w:rsidRPr="0055569D">
        <w:rPr>
          <w:color w:val="auto"/>
        </w:rPr>
        <w:t xml:space="preserve"> értékváltozását is azzal, hogy ezen pozíciók között a </w:t>
      </w:r>
      <w:r w:rsidRPr="00E87D60">
        <w:rPr>
          <w:color w:val="auto"/>
        </w:rPr>
        <w:t>–</w:t>
      </w:r>
      <w:r w:rsidRPr="0055569D">
        <w:rPr>
          <w:color w:val="auto"/>
        </w:rPr>
        <w:t xml:space="preserve"> számvitelileg – fedezeti könyvelésbe vont fedezett és fedezetként használt ügyleteket nem kell figyelembe venni. A </w:t>
      </w:r>
      <w:r w:rsidRPr="00E87D60">
        <w:rPr>
          <w:rFonts w:asciiTheme="minorHAnsi" w:hAnsiTheme="minorHAnsi" w:cstheme="minorHAnsi"/>
          <w:color w:val="auto"/>
        </w:rPr>
        <w:t>∆</w:t>
      </w:r>
      <w:r w:rsidRPr="0055569D">
        <w:rPr>
          <w:color w:val="auto"/>
        </w:rPr>
        <w:t>INC esetén az adott forgatókönyvre vonatkozó eredmény tehát az NII és a fedezeti könyvelésben nem szereplő ügyleteket tartalmazó FV komponens együttes hatását (összegét) tükrözi.</w:t>
      </w:r>
      <w:r>
        <w:rPr>
          <w:color w:val="auto"/>
        </w:rPr>
        <w:t xml:space="preserve"> A FV érzékenységek számításánál, minden instrumentum (kotvény, IRS, hitel, egyéb) esetén csak a számítást követő egy naptári éven túli pénzáramlásokat kell figyelembe venni.</w:t>
      </w:r>
    </w:p>
    <w:p w14:paraId="7FFFEFEB" w14:textId="77777777" w:rsidR="008A78E3" w:rsidRPr="0055569D" w:rsidRDefault="008A78E3" w:rsidP="007F1D4A">
      <w:pPr>
        <w:spacing w:after="0"/>
        <w:rPr>
          <w:color w:val="auto"/>
        </w:rPr>
      </w:pPr>
      <w:r w:rsidRPr="0055569D">
        <w:rPr>
          <w:color w:val="auto"/>
        </w:rPr>
        <w:fldChar w:fldCharType="begin"/>
      </w:r>
      <w:r w:rsidRPr="00E87D60">
        <w:rPr>
          <w:color w:val="auto"/>
        </w:rPr>
        <w:instrText xml:space="preserve"> LINK Excel.Sheet.12 C:\\d_drive\\IRRBB\\MODEL\\IRRBB_capital_req_concept_2020_v5.xlsx Formulák!R50C1:R50C2 \a \f 5 \h  \* MERGEFORMAT </w:instrText>
      </w:r>
      <w:r w:rsidRPr="0055569D">
        <w:rPr>
          <w:color w:val="auto"/>
        </w:rPr>
        <w:fldChar w:fldCharType="separate"/>
      </w:r>
    </w:p>
    <w:p w14:paraId="7FFFEFEC" w14:textId="77777777" w:rsidR="008A78E3" w:rsidRPr="005D4646" w:rsidRDefault="008A78E3" w:rsidP="007F1D4A">
      <w:pPr>
        <w:spacing w:after="0"/>
        <w:rPr>
          <w:rFonts w:cstheme="minorBidi"/>
          <w:color w:val="auto"/>
        </w:rPr>
      </w:pPr>
      <w:r w:rsidRPr="005D4646">
        <w:rPr>
          <w:rFonts w:cstheme="minorBidi"/>
          <w:color w:val="auto"/>
        </w:rPr>
        <w:t>∆INC</w:t>
      </w:r>
      <w:r w:rsidRPr="005D4646">
        <w:rPr>
          <w:rFonts w:cstheme="minorBidi"/>
          <w:color w:val="auto"/>
          <w:vertAlign w:val="subscript"/>
        </w:rPr>
        <w:t>cn,t</w:t>
      </w:r>
      <w:r w:rsidRPr="005D4646">
        <w:rPr>
          <w:rFonts w:cstheme="minorBidi"/>
          <w:color w:val="auto"/>
        </w:rPr>
        <w:t xml:space="preserve"> = ∆NII</w:t>
      </w:r>
      <w:r w:rsidRPr="005D4646">
        <w:rPr>
          <w:rFonts w:cstheme="minorBidi"/>
          <w:color w:val="auto"/>
          <w:vertAlign w:val="subscript"/>
        </w:rPr>
        <w:t>cn,t</w:t>
      </w:r>
      <w:r w:rsidRPr="005D4646">
        <w:rPr>
          <w:rFonts w:cstheme="minorBidi"/>
          <w:color w:val="auto"/>
        </w:rPr>
        <w:t>+∆FV</w:t>
      </w:r>
      <w:r w:rsidRPr="005D4646">
        <w:rPr>
          <w:rFonts w:cstheme="minorBidi"/>
          <w:color w:val="auto"/>
          <w:vertAlign w:val="subscript"/>
        </w:rPr>
        <w:t>cn,t</w:t>
      </w:r>
      <w:r w:rsidRPr="005D4646">
        <w:rPr>
          <w:rFonts w:cstheme="minorBidi"/>
          <w:color w:val="auto"/>
        </w:rPr>
        <w:t xml:space="preserve">      (8)</w:t>
      </w:r>
    </w:p>
    <w:p w14:paraId="7FFFEFED" w14:textId="77777777" w:rsidR="008A78E3" w:rsidRPr="0055569D" w:rsidRDefault="008A78E3" w:rsidP="007F1D4A">
      <w:pPr>
        <w:spacing w:after="0"/>
        <w:rPr>
          <w:color w:val="auto"/>
        </w:rPr>
      </w:pPr>
      <w:r w:rsidRPr="0055569D">
        <w:rPr>
          <w:color w:val="auto"/>
        </w:rPr>
        <w:fldChar w:fldCharType="end"/>
      </w:r>
      <w:r w:rsidRPr="0055569D">
        <w:rPr>
          <w:color w:val="auto"/>
        </w:rPr>
        <w:t>∆FV</w:t>
      </w:r>
      <w:r w:rsidRPr="0055569D">
        <w:rPr>
          <w:color w:val="auto"/>
          <w:vertAlign w:val="subscript"/>
        </w:rPr>
        <w:t>cn</w:t>
      </w:r>
      <w:r w:rsidRPr="00E87D60">
        <w:rPr>
          <w:color w:val="auto"/>
          <w:vertAlign w:val="subscript"/>
        </w:rPr>
        <w:t>,t</w:t>
      </w:r>
      <w:r w:rsidRPr="0055569D">
        <w:rPr>
          <w:color w:val="auto"/>
          <w:vertAlign w:val="subscript"/>
        </w:rPr>
        <w:t xml:space="preserve"> </w:t>
      </w:r>
      <w:r w:rsidRPr="0055569D">
        <w:rPr>
          <w:color w:val="auto"/>
        </w:rPr>
        <w:t>= ∆Bond</w:t>
      </w:r>
      <w:r w:rsidRPr="0055569D">
        <w:rPr>
          <w:color w:val="auto"/>
          <w:vertAlign w:val="subscript"/>
        </w:rPr>
        <w:t>cn</w:t>
      </w:r>
      <w:r w:rsidRPr="00E87D60">
        <w:rPr>
          <w:color w:val="auto"/>
          <w:vertAlign w:val="subscript"/>
        </w:rPr>
        <w:t>,t</w:t>
      </w:r>
      <w:r w:rsidRPr="0055569D">
        <w:rPr>
          <w:color w:val="auto"/>
          <w:vertAlign w:val="subscript"/>
        </w:rPr>
        <w:t xml:space="preserve"> </w:t>
      </w:r>
      <w:r w:rsidRPr="0055569D">
        <w:rPr>
          <w:color w:val="auto"/>
        </w:rPr>
        <w:t>+ ∆IRS</w:t>
      </w:r>
      <w:r w:rsidRPr="0055569D">
        <w:rPr>
          <w:color w:val="auto"/>
          <w:vertAlign w:val="subscript"/>
        </w:rPr>
        <w:t>cn</w:t>
      </w:r>
      <w:r w:rsidRPr="00E87D60">
        <w:rPr>
          <w:color w:val="auto"/>
          <w:vertAlign w:val="subscript"/>
        </w:rPr>
        <w:t>,t</w:t>
      </w:r>
      <w:r w:rsidRPr="0055569D">
        <w:rPr>
          <w:color w:val="auto"/>
        </w:rPr>
        <w:t>+ ∆Rec</w:t>
      </w:r>
      <w:r w:rsidRPr="0055569D">
        <w:rPr>
          <w:color w:val="auto"/>
          <w:vertAlign w:val="subscript"/>
        </w:rPr>
        <w:t>cn</w:t>
      </w:r>
      <w:r w:rsidRPr="00E87D60">
        <w:rPr>
          <w:color w:val="auto"/>
          <w:vertAlign w:val="subscript"/>
        </w:rPr>
        <w:t>,t</w:t>
      </w:r>
      <w:r w:rsidRPr="0055569D">
        <w:rPr>
          <w:color w:val="auto"/>
        </w:rPr>
        <w:t xml:space="preserve"> + ∆Egyéb</w:t>
      </w:r>
      <w:r w:rsidRPr="0055569D">
        <w:rPr>
          <w:color w:val="auto"/>
          <w:vertAlign w:val="subscript"/>
        </w:rPr>
        <w:t>cn</w:t>
      </w:r>
      <w:r w:rsidRPr="00E87D60">
        <w:rPr>
          <w:color w:val="auto"/>
          <w:vertAlign w:val="subscript"/>
        </w:rPr>
        <w:t>,t</w:t>
      </w:r>
      <w:r w:rsidRPr="00E87D60">
        <w:rPr>
          <w:color w:val="auto"/>
        </w:rPr>
        <w:t xml:space="preserve">     (9</w:t>
      </w:r>
      <w:r w:rsidRPr="0055569D">
        <w:rPr>
          <w:color w:val="auto"/>
        </w:rPr>
        <w:t>)</w:t>
      </w:r>
      <w:r w:rsidRPr="0055569D">
        <w:rPr>
          <w:color w:val="auto"/>
        </w:rPr>
        <w:tab/>
      </w:r>
    </w:p>
    <w:p w14:paraId="7FFFEFEE" w14:textId="77777777" w:rsidR="008A78E3" w:rsidRPr="0055569D" w:rsidRDefault="008A78E3" w:rsidP="007F1D4A">
      <w:pPr>
        <w:spacing w:after="0"/>
        <w:rPr>
          <w:color w:val="auto"/>
        </w:rPr>
      </w:pPr>
    </w:p>
    <w:p w14:paraId="7FFFEFEF" w14:textId="77777777" w:rsidR="008A78E3" w:rsidRPr="0055569D" w:rsidRDefault="008A78E3" w:rsidP="0055569D">
      <w:pPr>
        <w:spacing w:after="0"/>
        <w:ind w:left="708" w:hanging="708"/>
        <w:rPr>
          <w:color w:val="auto"/>
          <w:sz w:val="20"/>
        </w:rPr>
      </w:pPr>
      <w:r w:rsidRPr="0055569D">
        <w:rPr>
          <w:color w:val="auto"/>
          <w:sz w:val="20"/>
        </w:rPr>
        <w:t xml:space="preserve">ahol: </w:t>
      </w:r>
      <w:r w:rsidRPr="0055569D">
        <w:rPr>
          <w:color w:val="auto"/>
          <w:sz w:val="20"/>
        </w:rPr>
        <w:tab/>
        <w:t>∆NII</w:t>
      </w:r>
      <w:r w:rsidRPr="0055569D">
        <w:rPr>
          <w:color w:val="auto"/>
          <w:sz w:val="20"/>
          <w:vertAlign w:val="subscript"/>
        </w:rPr>
        <w:t>cn</w:t>
      </w:r>
      <w:r w:rsidRPr="00E87D60">
        <w:rPr>
          <w:color w:val="auto"/>
          <w:sz w:val="20"/>
          <w:vertAlign w:val="subscript"/>
        </w:rPr>
        <w:t>,t</w:t>
      </w:r>
      <w:r w:rsidRPr="0055569D">
        <w:rPr>
          <w:color w:val="auto"/>
          <w:sz w:val="20"/>
        </w:rPr>
        <w:t xml:space="preserve"> = az adott ’c’ deviza, adott ’n’ forgatókönyvben mért nettó kamatbevétel érzékenysége</w:t>
      </w:r>
      <w:r w:rsidRPr="00E87D60">
        <w:rPr>
          <w:color w:val="auto"/>
          <w:sz w:val="20"/>
        </w:rPr>
        <w:t>, ’t’ időpontban</w:t>
      </w:r>
    </w:p>
    <w:p w14:paraId="7FFFEFF0" w14:textId="77777777" w:rsidR="008A78E3" w:rsidRPr="0055569D" w:rsidRDefault="008A78E3" w:rsidP="0055569D">
      <w:pPr>
        <w:spacing w:after="0"/>
        <w:ind w:left="708" w:firstLine="1"/>
        <w:rPr>
          <w:color w:val="auto"/>
        </w:rPr>
      </w:pPr>
      <w:r w:rsidRPr="0055569D">
        <w:rPr>
          <w:rFonts w:asciiTheme="majorHAnsi" w:hAnsiTheme="majorHAnsi"/>
          <w:color w:val="auto"/>
          <w:sz w:val="20"/>
        </w:rPr>
        <w:t>∆FV</w:t>
      </w:r>
      <w:r w:rsidRPr="0055569D">
        <w:rPr>
          <w:rFonts w:asciiTheme="majorHAnsi" w:hAnsiTheme="majorHAnsi"/>
          <w:color w:val="auto"/>
          <w:sz w:val="20"/>
          <w:vertAlign w:val="subscript"/>
        </w:rPr>
        <w:t>cn</w:t>
      </w:r>
      <w:r w:rsidRPr="00E87D60">
        <w:rPr>
          <w:rFonts w:asciiTheme="majorHAnsi" w:hAnsiTheme="majorHAnsi" w:cstheme="majorHAnsi"/>
          <w:color w:val="auto"/>
          <w:sz w:val="20"/>
          <w:szCs w:val="20"/>
          <w:vertAlign w:val="subscript"/>
        </w:rPr>
        <w:t xml:space="preserve">,t  </w:t>
      </w:r>
      <w:r w:rsidRPr="00E87D60">
        <w:rPr>
          <w:rFonts w:asciiTheme="majorHAnsi" w:hAnsiTheme="majorHAnsi" w:cstheme="majorHAnsi"/>
          <w:color w:val="auto"/>
          <w:sz w:val="20"/>
          <w:szCs w:val="20"/>
        </w:rPr>
        <w:t>=</w:t>
      </w:r>
      <w:r w:rsidRPr="00E87D60">
        <w:rPr>
          <w:rFonts w:asciiTheme="majorHAnsi" w:hAnsiTheme="majorHAnsi" w:cstheme="majorHAnsi"/>
          <w:color w:val="auto"/>
          <w:sz w:val="20"/>
          <w:szCs w:val="20"/>
          <w:vertAlign w:val="subscript"/>
        </w:rPr>
        <w:t xml:space="preserve"> </w:t>
      </w:r>
      <w:r w:rsidRPr="0055569D">
        <w:rPr>
          <w:rFonts w:asciiTheme="majorHAnsi" w:hAnsiTheme="majorHAnsi"/>
          <w:color w:val="auto"/>
          <w:sz w:val="20"/>
          <w:vertAlign w:val="subscript"/>
        </w:rPr>
        <w:t xml:space="preserve"> </w:t>
      </w:r>
      <w:r w:rsidRPr="0055569D">
        <w:rPr>
          <w:color w:val="auto"/>
          <w:sz w:val="20"/>
        </w:rPr>
        <w:t>az adott ’c’ deviza, adott ’n’ forgatókönyvben mért valós érték érzékenysége, a fedezeti könyvelésben szereplő tételek nélkül</w:t>
      </w:r>
      <w:r w:rsidRPr="00E87D60">
        <w:rPr>
          <w:color w:val="auto"/>
          <w:sz w:val="20"/>
        </w:rPr>
        <w:t>, ’t’ időpontban</w:t>
      </w:r>
    </w:p>
    <w:p w14:paraId="7FFFEFF1" w14:textId="77777777" w:rsidR="008A78E3" w:rsidRPr="0055569D" w:rsidRDefault="008A78E3" w:rsidP="0055569D">
      <w:pPr>
        <w:spacing w:after="0"/>
        <w:ind w:left="708" w:firstLine="1"/>
        <w:rPr>
          <w:color w:val="auto"/>
          <w:sz w:val="20"/>
        </w:rPr>
      </w:pPr>
      <w:r w:rsidRPr="0055569D">
        <w:rPr>
          <w:color w:val="auto"/>
          <w:sz w:val="20"/>
        </w:rPr>
        <w:t>∆Bond</w:t>
      </w:r>
      <w:r w:rsidRPr="0055569D">
        <w:rPr>
          <w:color w:val="auto"/>
          <w:sz w:val="20"/>
          <w:vertAlign w:val="subscript"/>
        </w:rPr>
        <w:t>cn</w:t>
      </w:r>
      <w:r w:rsidRPr="00E87D60">
        <w:rPr>
          <w:color w:val="auto"/>
          <w:sz w:val="20"/>
          <w:szCs w:val="20"/>
          <w:vertAlign w:val="subscript"/>
        </w:rPr>
        <w:t xml:space="preserve">,t </w:t>
      </w:r>
      <w:r w:rsidRPr="0055569D">
        <w:rPr>
          <w:color w:val="auto"/>
          <w:sz w:val="20"/>
        </w:rPr>
        <w:t>= a ’c’ devizában lévő értékpapírok, adott ’n’ forgatókönyvben mért valósérték érzékenysége, a fedezeti könyvelésben szereplő tételek nélkül</w:t>
      </w:r>
      <w:r w:rsidRPr="00E87D60">
        <w:rPr>
          <w:color w:val="auto"/>
          <w:sz w:val="20"/>
        </w:rPr>
        <w:t>, ’t’ időpontban</w:t>
      </w:r>
    </w:p>
    <w:p w14:paraId="7FFFEFF2" w14:textId="77777777" w:rsidR="008A78E3" w:rsidRPr="0055569D" w:rsidRDefault="008A78E3" w:rsidP="0055569D">
      <w:pPr>
        <w:spacing w:after="0"/>
        <w:ind w:left="709"/>
        <w:rPr>
          <w:color w:val="auto"/>
          <w:sz w:val="20"/>
        </w:rPr>
      </w:pPr>
      <w:r w:rsidRPr="0055569D">
        <w:rPr>
          <w:color w:val="auto"/>
          <w:sz w:val="20"/>
        </w:rPr>
        <w:t>∆IRS</w:t>
      </w:r>
      <w:r w:rsidRPr="0055569D">
        <w:rPr>
          <w:color w:val="auto"/>
          <w:sz w:val="20"/>
          <w:vertAlign w:val="subscript"/>
        </w:rPr>
        <w:t>cn</w:t>
      </w:r>
      <w:r w:rsidRPr="00E87D60">
        <w:rPr>
          <w:color w:val="auto"/>
          <w:sz w:val="20"/>
          <w:szCs w:val="20"/>
          <w:vertAlign w:val="subscript"/>
        </w:rPr>
        <w:t>,t</w:t>
      </w:r>
      <w:r w:rsidRPr="0055569D">
        <w:rPr>
          <w:color w:val="auto"/>
          <w:sz w:val="20"/>
          <w:vertAlign w:val="subscript"/>
        </w:rPr>
        <w:t xml:space="preserve"> </w:t>
      </w:r>
      <w:r w:rsidRPr="0055569D">
        <w:rPr>
          <w:color w:val="auto"/>
          <w:sz w:val="20"/>
        </w:rPr>
        <w:t>= a ’c’ devizában lévő származékos kamat pozíciók, adott ’n’ forgatókönyvben mért valósérték érzékenysége (beleértve a CIRS és FRA instrumentumokat is), a fedezeti könyvelésben szereplő tételek nélkül</w:t>
      </w:r>
      <w:r w:rsidRPr="00E87D60">
        <w:rPr>
          <w:color w:val="auto"/>
          <w:sz w:val="20"/>
        </w:rPr>
        <w:t>, ’t’ időpontban</w:t>
      </w:r>
    </w:p>
    <w:p w14:paraId="7FFFEFF3" w14:textId="77777777" w:rsidR="008A78E3" w:rsidRPr="0055569D" w:rsidRDefault="008A78E3" w:rsidP="007F1D4A">
      <w:pPr>
        <w:spacing w:after="0"/>
        <w:ind w:left="708" w:firstLine="48"/>
        <w:rPr>
          <w:color w:val="auto"/>
          <w:sz w:val="20"/>
        </w:rPr>
      </w:pPr>
      <w:r w:rsidRPr="0055569D">
        <w:rPr>
          <w:color w:val="auto"/>
          <w:sz w:val="20"/>
        </w:rPr>
        <w:t>∆Rec</w:t>
      </w:r>
      <w:r w:rsidRPr="0055569D">
        <w:rPr>
          <w:color w:val="auto"/>
          <w:sz w:val="20"/>
          <w:vertAlign w:val="subscript"/>
        </w:rPr>
        <w:t>cn</w:t>
      </w:r>
      <w:r w:rsidRPr="00E87D60">
        <w:rPr>
          <w:color w:val="auto"/>
          <w:sz w:val="20"/>
          <w:vertAlign w:val="subscript"/>
        </w:rPr>
        <w:t>,t</w:t>
      </w:r>
      <w:r w:rsidRPr="0055569D">
        <w:rPr>
          <w:color w:val="auto"/>
          <w:sz w:val="20"/>
          <w:vertAlign w:val="subscript"/>
        </w:rPr>
        <w:t xml:space="preserve"> </w:t>
      </w:r>
      <w:r w:rsidRPr="0055569D">
        <w:rPr>
          <w:color w:val="auto"/>
          <w:sz w:val="20"/>
        </w:rPr>
        <w:t>= a ’c’ devizában lévő követelések, adott ’n’ forgatókönyvben mért valósérték érzékenysége, a fedezeti könyvelésben szereplő tételek nélkül</w:t>
      </w:r>
      <w:r w:rsidRPr="00E87D60">
        <w:rPr>
          <w:color w:val="auto"/>
          <w:sz w:val="20"/>
        </w:rPr>
        <w:t>, ’t’ időpontban</w:t>
      </w:r>
    </w:p>
    <w:p w14:paraId="7FFFEFF4" w14:textId="77777777" w:rsidR="008A78E3" w:rsidRPr="0055569D" w:rsidRDefault="008A78E3" w:rsidP="007F1D4A">
      <w:pPr>
        <w:spacing w:after="0"/>
        <w:ind w:left="708"/>
        <w:rPr>
          <w:color w:val="auto"/>
          <w:sz w:val="20"/>
        </w:rPr>
      </w:pPr>
      <w:r w:rsidRPr="0055569D">
        <w:rPr>
          <w:color w:val="auto"/>
          <w:sz w:val="20"/>
        </w:rPr>
        <w:t>∆Egyéb</w:t>
      </w:r>
      <w:r w:rsidRPr="0055569D">
        <w:rPr>
          <w:color w:val="auto"/>
          <w:sz w:val="20"/>
          <w:vertAlign w:val="subscript"/>
        </w:rPr>
        <w:t>cn</w:t>
      </w:r>
      <w:r w:rsidRPr="00E87D60">
        <w:rPr>
          <w:color w:val="auto"/>
          <w:sz w:val="20"/>
          <w:vertAlign w:val="subscript"/>
        </w:rPr>
        <w:t>,t</w:t>
      </w:r>
      <w:r w:rsidRPr="0055569D">
        <w:rPr>
          <w:color w:val="auto"/>
          <w:sz w:val="20"/>
          <w:vertAlign w:val="subscript"/>
        </w:rPr>
        <w:t xml:space="preserve"> </w:t>
      </w:r>
      <w:r w:rsidRPr="0055569D">
        <w:rPr>
          <w:color w:val="auto"/>
          <w:sz w:val="20"/>
        </w:rPr>
        <w:t>= a ’c’ devizában lévő minden egyéb, az előzőekben nem nevesített instrumentumban lévő valósan értékelt pozíció, adott ’n’ forgatókönyvben mért valósérték érzékenysége, a fedezeti könyvelésben szereplő tételek nélkül</w:t>
      </w:r>
      <w:r w:rsidRPr="00E87D60">
        <w:rPr>
          <w:color w:val="auto"/>
          <w:sz w:val="20"/>
        </w:rPr>
        <w:t>, ’t’ időpontban</w:t>
      </w:r>
    </w:p>
    <w:p w14:paraId="7FFFEFF5" w14:textId="77777777" w:rsidR="008A78E3" w:rsidRPr="0055569D" w:rsidRDefault="008A78E3" w:rsidP="007F1D4A">
      <w:pPr>
        <w:rPr>
          <w:color w:val="auto"/>
          <w:sz w:val="20"/>
        </w:rPr>
      </w:pPr>
    </w:p>
    <w:p w14:paraId="7FFFEFF6" w14:textId="77777777" w:rsidR="008A78E3" w:rsidRPr="0055569D" w:rsidRDefault="008A78E3" w:rsidP="002008EE">
      <w:r w:rsidRPr="0055569D">
        <w:t>A valósan értékelt pozíciók értékváltozása (∆FV</w:t>
      </w:r>
      <w:r w:rsidRPr="00E87D60">
        <w:t xml:space="preserve"> –</w:t>
      </w:r>
      <w:r w:rsidRPr="0055569D">
        <w:t xml:space="preserve"> valós érték érzékenység) a különböző kamatsokkok hatására bekövetkező, a</w:t>
      </w:r>
      <w:r>
        <w:t>z</w:t>
      </w:r>
      <w:r w:rsidRPr="0055569D">
        <w:t xml:space="preserve"> alap forgatókönyvhöz viszonyított jelenérték változások összegeként adódik.</w:t>
      </w:r>
      <w:r>
        <w:t xml:space="preserve"> </w:t>
      </w:r>
      <w:r w:rsidRPr="001A5D20">
        <w:t>A FV érzékenység számítása során nem kell figyelembe venni az ügyletek azon pénzáramlásait, amelyek a számítás időpontját követő egy naptári éven belül</w:t>
      </w:r>
      <w:r>
        <w:t>re</w:t>
      </w:r>
      <w:r w:rsidRPr="001A5D20">
        <w:t xml:space="preserve"> esnek.</w:t>
      </w:r>
    </w:p>
    <w:p w14:paraId="7FFFEFF7" w14:textId="77777777" w:rsidR="008A78E3" w:rsidRPr="0055569D" w:rsidRDefault="008A78E3" w:rsidP="007F1D4A">
      <w:pPr>
        <w:rPr>
          <w:color w:val="auto"/>
        </w:rPr>
      </w:pPr>
      <w:r w:rsidRPr="00E87D60">
        <w:rPr>
          <w:color w:val="auto"/>
        </w:rPr>
        <w:t>A</w:t>
      </w:r>
      <w:r w:rsidRPr="0055569D">
        <w:rPr>
          <w:color w:val="auto"/>
        </w:rPr>
        <w:t xml:space="preserve"> nettó jövedelem érzékenység</w:t>
      </w:r>
      <w:r w:rsidRPr="00E87D60">
        <w:rPr>
          <w:color w:val="auto"/>
        </w:rPr>
        <w:t xml:space="preserve"> számításában (ld.</w:t>
      </w:r>
      <w:r w:rsidRPr="0055569D">
        <w:rPr>
          <w:color w:val="auto"/>
        </w:rPr>
        <w:t xml:space="preserve"> 5</w:t>
      </w:r>
      <w:r w:rsidRPr="00E87D60">
        <w:rPr>
          <w:color w:val="auto"/>
        </w:rPr>
        <w:t>.</w:t>
      </w:r>
      <w:r w:rsidRPr="0055569D">
        <w:rPr>
          <w:color w:val="auto"/>
        </w:rPr>
        <w:t xml:space="preserve"> sz. </w:t>
      </w:r>
      <w:r w:rsidRPr="00E87D60">
        <w:rPr>
          <w:color w:val="auto"/>
        </w:rPr>
        <w:t xml:space="preserve">képlet) szereplő </w:t>
      </w:r>
      <w:r w:rsidRPr="0055569D">
        <w:rPr>
          <w:color w:val="auto"/>
        </w:rPr>
        <w:t xml:space="preserve">nettó kamatbevétel figyelembe vett mértékét </w:t>
      </w:r>
      <w:r w:rsidRPr="00E87D60">
        <w:rPr>
          <w:color w:val="auto"/>
        </w:rPr>
        <w:t>(netNII) a FINREP (vagy ennek hiányában az egyedi felügyeleti jelentések között benyújtott) eredménykimutatásban</w:t>
      </w:r>
      <w:r>
        <w:rPr>
          <w:rStyle w:val="Lbjegyzet-hivatkozs"/>
          <w:color w:val="auto"/>
        </w:rPr>
        <w:footnoteReference w:id="135"/>
      </w:r>
      <w:r w:rsidRPr="0055569D">
        <w:rPr>
          <w:color w:val="auto"/>
        </w:rPr>
        <w:t xml:space="preserve"> jelentett </w:t>
      </w:r>
      <w:r w:rsidRPr="00E87D60">
        <w:rPr>
          <w:color w:val="auto"/>
        </w:rPr>
        <w:t>kamatbevételek</w:t>
      </w:r>
      <w:r w:rsidRPr="0055569D">
        <w:rPr>
          <w:color w:val="auto"/>
        </w:rPr>
        <w:t xml:space="preserve"> (sorkód:</w:t>
      </w:r>
      <w:r w:rsidRPr="00E87D60">
        <w:rPr>
          <w:color w:val="auto"/>
        </w:rPr>
        <w:t xml:space="preserve"> </w:t>
      </w:r>
      <w:r w:rsidRPr="0055569D">
        <w:rPr>
          <w:color w:val="auto"/>
        </w:rPr>
        <w:t xml:space="preserve">1) és </w:t>
      </w:r>
      <w:r w:rsidRPr="00E87D60">
        <w:rPr>
          <w:color w:val="auto"/>
        </w:rPr>
        <w:t>kamatráfordítások</w:t>
      </w:r>
      <w:r w:rsidRPr="0055569D">
        <w:rPr>
          <w:color w:val="auto"/>
        </w:rPr>
        <w:t xml:space="preserve"> (sorkód:</w:t>
      </w:r>
      <w:r w:rsidRPr="00E87D60">
        <w:rPr>
          <w:color w:val="auto"/>
        </w:rPr>
        <w:t xml:space="preserve"> </w:t>
      </w:r>
      <w:r w:rsidRPr="0055569D">
        <w:rPr>
          <w:color w:val="auto"/>
        </w:rPr>
        <w:t xml:space="preserve">2) különbségeként számítjuk a számítást megelőző </w:t>
      </w:r>
      <w:r w:rsidRPr="00E87D60">
        <w:rPr>
          <w:color w:val="auto"/>
        </w:rPr>
        <w:t>egy</w:t>
      </w:r>
      <w:r w:rsidRPr="0055569D">
        <w:rPr>
          <w:color w:val="auto"/>
        </w:rPr>
        <w:t xml:space="preserve"> év adataiból, a negyedéves adatok annualizált (azaz az év elejétől kumulált eredmények teljes évre való átszámításával kapott) értékeinek </w:t>
      </w:r>
      <w:r w:rsidRPr="00E87D60">
        <w:rPr>
          <w:color w:val="auto"/>
        </w:rPr>
        <w:t xml:space="preserve">számtani </w:t>
      </w:r>
      <w:r w:rsidRPr="0055569D">
        <w:rPr>
          <w:color w:val="auto"/>
        </w:rPr>
        <w:t xml:space="preserve">átlagaként, csökkentve az ugyanebből az adatokból számított </w:t>
      </w:r>
      <w:r w:rsidRPr="00E87D60">
        <w:rPr>
          <w:color w:val="auto"/>
        </w:rPr>
        <w:t>szóródási mérőszám</w:t>
      </w:r>
      <w:r w:rsidRPr="0055569D">
        <w:rPr>
          <w:color w:val="auto"/>
        </w:rPr>
        <w:t xml:space="preserve"> 2,32-szeres szorzatával</w:t>
      </w:r>
      <w:r w:rsidRPr="00E87D60">
        <w:rPr>
          <w:color w:val="auto"/>
        </w:rPr>
        <w:t>, ahol a szóródást az egyéves mozgó átlagok és az aktuálisan megfigyelt negyedéves adatok különbözetének abszolút értékéből kalkulált átlagként állítjuk elő.</w:t>
      </w:r>
      <w:r w:rsidRPr="0055569D">
        <w:rPr>
          <w:color w:val="auto"/>
        </w:rPr>
        <w:t xml:space="preserve"> A tőkenövekedési potenciál (net NII) </w:t>
      </w:r>
      <w:r>
        <w:rPr>
          <w:color w:val="auto"/>
        </w:rPr>
        <w:t xml:space="preserve">összege </w:t>
      </w:r>
      <w:r w:rsidRPr="0055569D">
        <w:rPr>
          <w:color w:val="auto"/>
        </w:rPr>
        <w:t>az így becsült nettó kamatbevétel 25%-a</w:t>
      </w:r>
      <w:r>
        <w:rPr>
          <w:color w:val="auto"/>
        </w:rPr>
        <w:t>, negatív eredmény esetén 0</w:t>
      </w:r>
      <w:r w:rsidRPr="0055569D">
        <w:rPr>
          <w:color w:val="auto"/>
        </w:rPr>
        <w:t xml:space="preserve">.     </w:t>
      </w:r>
    </w:p>
    <w:p w14:paraId="7FFFEFF8" w14:textId="77777777" w:rsidR="008A78E3" w:rsidRPr="00E87D60" w:rsidRDefault="008A78E3" w:rsidP="007F1D4A">
      <w:pPr>
        <w:spacing w:after="0"/>
        <w:rPr>
          <w:color w:val="auto"/>
          <w:sz w:val="20"/>
        </w:rPr>
      </w:pPr>
    </w:p>
    <w:p w14:paraId="7FFFEFF9" w14:textId="77777777" w:rsidR="008A78E3" w:rsidRPr="00E87D60" w:rsidRDefault="008A78E3" w:rsidP="00482178">
      <w:pPr>
        <w:spacing w:after="0"/>
        <w:rPr>
          <w:rFonts w:cs="Calibri"/>
          <w:color w:val="auto"/>
        </w:rPr>
      </w:pPr>
      <w:r w:rsidRPr="00E87D60">
        <w:rPr>
          <w:noProof/>
          <w:color w:val="auto"/>
          <w:sz w:val="20"/>
        </w:rPr>
        <w:drawing>
          <wp:anchor distT="0" distB="0" distL="114300" distR="114300" simplePos="0" relativeHeight="251674624" behindDoc="0" locked="0" layoutInCell="1" allowOverlap="1" wp14:anchorId="7FFFF099" wp14:editId="7FFFF09A">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914015" cy="536575"/>
                    </a:xfrm>
                    <a:prstGeom prst="rect">
                      <a:avLst/>
                    </a:prstGeom>
                    <a:noFill/>
                  </pic:spPr>
                </pic:pic>
              </a:graphicData>
            </a:graphic>
          </wp:anchor>
        </w:drawing>
      </w:r>
      <w:r w:rsidRPr="00E87D60">
        <w:rPr>
          <w:noProof/>
          <w:color w:val="auto"/>
          <w:sz w:val="20"/>
        </w:rPr>
        <w:drawing>
          <wp:anchor distT="0" distB="0" distL="114300" distR="114300" simplePos="0" relativeHeight="251673600" behindDoc="0" locked="0" layoutInCell="1" allowOverlap="1" wp14:anchorId="7FFFF09B" wp14:editId="7FFFF09C">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103120" cy="536575"/>
                    </a:xfrm>
                    <a:prstGeom prst="rect">
                      <a:avLst/>
                    </a:prstGeom>
                    <a:noFill/>
                  </pic:spPr>
                </pic:pic>
              </a:graphicData>
            </a:graphic>
          </wp:anchor>
        </w:drawing>
      </w:r>
      <w:r w:rsidRPr="00E87D60">
        <w:rPr>
          <w:rFonts w:cs="Calibri"/>
          <w:color w:val="auto"/>
        </w:rPr>
        <w:t>net NII</w:t>
      </w:r>
      <w:r w:rsidRPr="00E87D60">
        <w:rPr>
          <w:rFonts w:cs="Calibri"/>
          <w:color w:val="auto"/>
          <w:vertAlign w:val="subscript"/>
        </w:rPr>
        <w:t>t</w:t>
      </w:r>
      <w:r w:rsidRPr="00E87D60">
        <w:rPr>
          <w:rFonts w:cs="Calibri"/>
          <w:color w:val="auto"/>
        </w:rPr>
        <w:t xml:space="preserve"> = </w:t>
      </w:r>
      <w:r>
        <w:rPr>
          <w:rFonts w:cs="Calibri"/>
          <w:color w:val="auto"/>
        </w:rPr>
        <w:t xml:space="preserve">Max( </w:t>
      </w:r>
      <w:r w:rsidRPr="00E87D60">
        <w:rPr>
          <w:rFonts w:cs="Calibri"/>
          <w:color w:val="auto"/>
        </w:rPr>
        <w:t>(NII</w:t>
      </w:r>
      <w:r w:rsidRPr="00E87D60">
        <w:rPr>
          <w:rFonts w:cs="Calibri"/>
          <w:color w:val="auto"/>
          <w:vertAlign w:val="subscript"/>
        </w:rPr>
        <w:t>avg,t</w:t>
      </w:r>
      <w:r w:rsidRPr="00E87D60">
        <w:rPr>
          <w:rFonts w:cs="Calibri"/>
          <w:color w:val="auto"/>
        </w:rPr>
        <w:t xml:space="preserve"> - </w:t>
      </w:r>
      <w:r w:rsidRPr="00E87D60">
        <w:rPr>
          <w:rFonts w:ascii="Symbol" w:hAnsi="Symbol" w:cs="Calibri"/>
          <w:color w:val="auto"/>
        </w:rPr>
        <w:t>a</w:t>
      </w:r>
      <w:r w:rsidRPr="00E87D60">
        <w:rPr>
          <w:rFonts w:cs="Calibri"/>
          <w:color w:val="auto"/>
        </w:rPr>
        <w:t xml:space="preserve"> *</w:t>
      </w:r>
      <w:r w:rsidRPr="00E87D60">
        <w:rPr>
          <w:rFonts w:cs="Calibri"/>
          <w:color w:val="auto"/>
          <w:sz w:val="26"/>
          <w:szCs w:val="26"/>
        </w:rPr>
        <w:t xml:space="preserve"> </w:t>
      </w:r>
      <w:r w:rsidRPr="00E87D60">
        <w:rPr>
          <w:rFonts w:ascii="Symbol" w:hAnsi="Symbol" w:cs="Calibri"/>
          <w:color w:val="auto"/>
        </w:rPr>
        <w:t>d</w:t>
      </w:r>
      <w:r w:rsidRPr="00E87D60">
        <w:rPr>
          <w:rFonts w:cs="Calibri"/>
          <w:color w:val="auto"/>
        </w:rPr>
        <w:t>NII</w:t>
      </w:r>
      <w:r w:rsidRPr="00E87D60">
        <w:rPr>
          <w:rFonts w:cs="Calibri"/>
          <w:color w:val="auto"/>
          <w:vertAlign w:val="subscript"/>
        </w:rPr>
        <w:t>t</w:t>
      </w:r>
      <w:r w:rsidRPr="00E87D60">
        <w:rPr>
          <w:rFonts w:cs="Calibri"/>
          <w:color w:val="auto"/>
        </w:rPr>
        <w:t>) * 0,25</w:t>
      </w:r>
      <w:r>
        <w:rPr>
          <w:rFonts w:cs="Calibri"/>
          <w:color w:val="auto"/>
        </w:rPr>
        <w:t>, 0)</w:t>
      </w:r>
      <w:r w:rsidRPr="00E87D60">
        <w:rPr>
          <w:rFonts w:cs="Calibri"/>
          <w:color w:val="auto"/>
        </w:rPr>
        <w:t xml:space="preserve">  (10)</w:t>
      </w:r>
    </w:p>
    <w:p w14:paraId="7FFFEFFA" w14:textId="77777777" w:rsidR="008A78E3" w:rsidRPr="00E87D60" w:rsidRDefault="008A78E3">
      <w:pPr>
        <w:ind w:left="708" w:firstLine="1"/>
        <w:rPr>
          <w:color w:val="auto"/>
          <w:sz w:val="20"/>
        </w:rPr>
      </w:pPr>
    </w:p>
    <w:p w14:paraId="7FFFEFFB" w14:textId="77777777" w:rsidR="008A78E3" w:rsidRPr="0055569D" w:rsidRDefault="008A78E3" w:rsidP="0055569D">
      <w:pPr>
        <w:ind w:left="708" w:hanging="708"/>
        <w:rPr>
          <w:color w:val="auto"/>
          <w:sz w:val="20"/>
        </w:rPr>
      </w:pPr>
      <w:r w:rsidRPr="0055569D">
        <w:rPr>
          <w:color w:val="auto"/>
          <w:sz w:val="20"/>
        </w:rPr>
        <w:t xml:space="preserve">ahol: </w:t>
      </w:r>
      <w:r w:rsidRPr="0055569D">
        <w:rPr>
          <w:color w:val="auto"/>
          <w:sz w:val="20"/>
        </w:rPr>
        <w:tab/>
        <w:t xml:space="preserve">NII = a </w:t>
      </w:r>
      <w:r w:rsidRPr="00E87D60">
        <w:rPr>
          <w:color w:val="auto"/>
          <w:sz w:val="20"/>
        </w:rPr>
        <w:t>FINREP (vagy ennek hiányában az egyedi felügyeleti)</w:t>
      </w:r>
      <w:r w:rsidRPr="0055569D">
        <w:rPr>
          <w:color w:val="auto"/>
          <w:sz w:val="20"/>
        </w:rPr>
        <w:t xml:space="preserve"> adatszolgáltatásban jelentett nettó kamatbevétel</w:t>
      </w:r>
    </w:p>
    <w:p w14:paraId="7FFFEFFC" w14:textId="77777777" w:rsidR="008A78E3" w:rsidRPr="0055569D" w:rsidRDefault="008A78E3" w:rsidP="007F1D4A">
      <w:pPr>
        <w:ind w:firstLine="709"/>
        <w:rPr>
          <w:color w:val="auto"/>
          <w:sz w:val="20"/>
        </w:rPr>
      </w:pPr>
      <w:r w:rsidRPr="0055569D">
        <w:rPr>
          <w:rFonts w:ascii="Symbol" w:hAnsi="Symbol"/>
          <w:color w:val="auto"/>
          <w:sz w:val="20"/>
        </w:rPr>
        <w:sym w:font="Symbol" w:char="F061"/>
      </w:r>
      <w:r w:rsidRPr="0055569D">
        <w:rPr>
          <w:color w:val="auto"/>
          <w:sz w:val="20"/>
        </w:rPr>
        <w:t xml:space="preserve"> = 2,32, a normális eloszlás 99%-os konfidencia szinthez tartozó szorzója</w:t>
      </w:r>
    </w:p>
    <w:p w14:paraId="7FFFEFFD" w14:textId="77777777" w:rsidR="008A78E3" w:rsidRPr="00E87D60" w:rsidRDefault="008A78E3" w:rsidP="007F1D4A">
      <w:pPr>
        <w:ind w:firstLine="709"/>
        <w:rPr>
          <w:color w:val="auto"/>
          <w:sz w:val="20"/>
        </w:rPr>
      </w:pPr>
      <w:r w:rsidRPr="00E87D60">
        <w:rPr>
          <w:color w:val="auto"/>
          <w:sz w:val="20"/>
        </w:rPr>
        <w:t>n = 4</w:t>
      </w:r>
    </w:p>
    <w:p w14:paraId="7FFFEFFE" w14:textId="77777777" w:rsidR="008A78E3" w:rsidRPr="00E87D60" w:rsidRDefault="008A78E3" w:rsidP="007F1D4A">
      <w:pPr>
        <w:ind w:firstLine="709"/>
        <w:rPr>
          <w:color w:val="auto"/>
          <w:sz w:val="20"/>
        </w:rPr>
      </w:pPr>
    </w:p>
    <w:p w14:paraId="7FFFEFFF" w14:textId="77777777" w:rsidR="008A78E3" w:rsidRPr="0055569D" w:rsidRDefault="008A78E3" w:rsidP="007F1D4A">
      <w:pPr>
        <w:rPr>
          <w:color w:val="auto"/>
        </w:rPr>
      </w:pPr>
      <w:r w:rsidRPr="00E87D60">
        <w:rPr>
          <w:rFonts w:asciiTheme="minorHAnsi" w:hAnsiTheme="minorHAnsi"/>
          <w:noProof/>
          <w:color w:val="auto"/>
        </w:rPr>
        <w:drawing>
          <wp:anchor distT="0" distB="0" distL="114300" distR="114300" simplePos="0" relativeHeight="251675648" behindDoc="0" locked="0" layoutInCell="1" allowOverlap="1" wp14:anchorId="7FFFF09D" wp14:editId="7FFFF09E">
            <wp:simplePos x="0" y="0"/>
            <wp:positionH relativeFrom="column">
              <wp:posOffset>-241820</wp:posOffset>
            </wp:positionH>
            <wp:positionV relativeFrom="paragraph">
              <wp:posOffset>1582189</wp:posOffset>
            </wp:positionV>
            <wp:extent cx="5316220" cy="76200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316220" cy="762000"/>
                    </a:xfrm>
                    <a:prstGeom prst="rect">
                      <a:avLst/>
                    </a:prstGeom>
                    <a:noFill/>
                  </pic:spPr>
                </pic:pic>
              </a:graphicData>
            </a:graphic>
          </wp:anchor>
        </w:drawing>
      </w:r>
      <w:r w:rsidRPr="0055569D">
        <w:rPr>
          <w:color w:val="auto"/>
        </w:rPr>
        <w:t>A periódus végi tőkekövetelmény számításában (</w:t>
      </w:r>
      <w:r w:rsidRPr="00E87D60">
        <w:rPr>
          <w:color w:val="auto"/>
        </w:rPr>
        <w:t>4</w:t>
      </w:r>
      <w:r w:rsidRPr="0055569D">
        <w:rPr>
          <w:color w:val="auto"/>
        </w:rPr>
        <w:t>. képlet) használt, a nettó jövedelem érzékenység súlyát megadó ’w’ paramétert magukból a jövedelem és tőkeérték érzékenységi mutatókból származtatjuk. A súly számításának elvi hátterét az a megfontolás adja, hogy elsősorban a rövid távon (1 éven belül) mért kockázatot kell tőkével fedezni mindaddig</w:t>
      </w:r>
      <w:r w:rsidRPr="00E87D60">
        <w:rPr>
          <w:color w:val="auto"/>
        </w:rPr>
        <w:t>,</w:t>
      </w:r>
      <w:r w:rsidRPr="0055569D">
        <w:rPr>
          <w:color w:val="auto"/>
        </w:rPr>
        <w:t xml:space="preserve"> amíg a hosszabb távú kockázat mértéke </w:t>
      </w:r>
      <w:r w:rsidRPr="00E87D60">
        <w:rPr>
          <w:color w:val="auto"/>
        </w:rPr>
        <w:t>neméri el</w:t>
      </w:r>
      <w:r w:rsidRPr="0055569D">
        <w:rPr>
          <w:color w:val="auto"/>
        </w:rPr>
        <w:t xml:space="preserve"> vagy </w:t>
      </w:r>
      <w:r w:rsidRPr="00E87D60">
        <w:rPr>
          <w:color w:val="auto"/>
        </w:rPr>
        <w:t>haladja meg</w:t>
      </w:r>
      <w:r w:rsidRPr="0055569D">
        <w:rPr>
          <w:color w:val="auto"/>
        </w:rPr>
        <w:t xml:space="preserve"> a rövid távú kockázat mértékét. Ennek megfelelően a rövidebb távú kockázatokat mérő mutató (∆netINC) súlya 100%, mindaddig</w:t>
      </w:r>
      <w:r w:rsidRPr="00E87D60">
        <w:rPr>
          <w:color w:val="auto"/>
        </w:rPr>
        <w:t>,</w:t>
      </w:r>
      <w:r w:rsidRPr="0055569D">
        <w:rPr>
          <w:color w:val="auto"/>
        </w:rPr>
        <w:t xml:space="preserve"> amíg</w:t>
      </w:r>
      <w:r w:rsidRPr="00E87D60">
        <w:rPr>
          <w:color w:val="auto"/>
        </w:rPr>
        <w:t xml:space="preserve"> a</w:t>
      </w:r>
      <w:r w:rsidRPr="0055569D">
        <w:rPr>
          <w:color w:val="auto"/>
        </w:rPr>
        <w:t xml:space="preserve"> hosszú távú mutatónak (∆EVE) az értéke nem haladja meg azt. Amennyiben a tőkeérték érzékenység meghaladja a jövedelem érzékenység nagyságát, az alkalmazandó súlyt a két érzékenységi mutató egymáshoz viszonyított nagysága határozza meg azzal a korlátozással, hogy a ’w’ súly nem lehet kisebb</w:t>
      </w:r>
      <w:r w:rsidRPr="00E87D60">
        <w:rPr>
          <w:color w:val="auto"/>
        </w:rPr>
        <w:t>,</w:t>
      </w:r>
      <w:r w:rsidRPr="0055569D">
        <w:rPr>
          <w:color w:val="auto"/>
        </w:rPr>
        <w:t xml:space="preserve"> mint 20%.</w:t>
      </w:r>
      <w:r>
        <w:rPr>
          <w:rStyle w:val="Lbjegyzet-hivatkozs"/>
          <w:color w:val="auto"/>
        </w:rPr>
        <w:footnoteReference w:id="136"/>
      </w:r>
    </w:p>
    <w:p w14:paraId="7FFFF000" w14:textId="77777777" w:rsidR="008A78E3" w:rsidRPr="006F3FBF" w:rsidRDefault="008A78E3" w:rsidP="00E32AB2">
      <w:pPr>
        <w:rPr>
          <w:szCs w:val="24"/>
        </w:rPr>
      </w:pPr>
      <w:r w:rsidRPr="006F3FBF">
        <w:rPr>
          <w:szCs w:val="24"/>
        </w:rPr>
        <w:t>A HUF, EUR és USD devizanemekhez tartozó hozamgörbék mozgása közötti korrelációból eredő kockázatcsökkentő hatás százalékos mértékével mérsékelhető a három devizanem esetében összesítve kapott dEVE és dINC eredmény</w:t>
      </w:r>
      <w:r>
        <w:rPr>
          <w:szCs w:val="24"/>
        </w:rPr>
        <w:t>.</w:t>
      </w:r>
      <w:r w:rsidRPr="006F3FBF">
        <w:rPr>
          <w:szCs w:val="24"/>
        </w:rPr>
        <w:t xml:space="preserve">, </w:t>
      </w:r>
      <w:r>
        <w:rPr>
          <w:szCs w:val="24"/>
        </w:rPr>
        <w:t>A</w:t>
      </w:r>
      <w:r w:rsidRPr="006F3FBF">
        <w:rPr>
          <w:szCs w:val="24"/>
        </w:rPr>
        <w:t xml:space="preserve"> diverzifikáció figyelembevételével kapott érzékenységi mutatók (dEVE</w:t>
      </w:r>
      <w:r w:rsidRPr="006F3FBF">
        <w:rPr>
          <w:szCs w:val="24"/>
          <w:vertAlign w:val="subscript"/>
        </w:rPr>
        <w:t>diverz.</w:t>
      </w:r>
      <w:r w:rsidRPr="006F3FBF">
        <w:rPr>
          <w:szCs w:val="24"/>
        </w:rPr>
        <w:t xml:space="preserve"> és dINC</w:t>
      </w:r>
      <w:r w:rsidRPr="006F3FBF">
        <w:rPr>
          <w:szCs w:val="24"/>
          <w:vertAlign w:val="subscript"/>
        </w:rPr>
        <w:t>diverz.</w:t>
      </w:r>
      <w:r w:rsidRPr="006F3FBF">
        <w:rPr>
          <w:szCs w:val="24"/>
        </w:rPr>
        <w:t>) alapján – és az egyéb paraméterek, pl. netNII, egyéb devizanemek esetében kapott dEVE és dINC eredmények változatlansága mellett – számszerűsített periódus végi tőkeszükséglet (TSz</w:t>
      </w:r>
      <w:r w:rsidRPr="006F3FBF">
        <w:rPr>
          <w:szCs w:val="24"/>
          <w:vertAlign w:val="subscript"/>
        </w:rPr>
        <w:t>t diverz.</w:t>
      </w:r>
      <w:r w:rsidRPr="006F3FBF">
        <w:rPr>
          <w:szCs w:val="24"/>
        </w:rPr>
        <w:t>) és a diverzifikációs hatást figyelmen kívül hagyó periódus végi tőkeszükséglet (TSz</w:t>
      </w:r>
      <w:r w:rsidRPr="006F3FBF">
        <w:rPr>
          <w:szCs w:val="24"/>
          <w:vertAlign w:val="subscript"/>
        </w:rPr>
        <w:t>t diverz. nélkül</w:t>
      </w:r>
      <w:r w:rsidRPr="006F3FBF">
        <w:rPr>
          <w:szCs w:val="24"/>
        </w:rPr>
        <w:t>) 85%-a közül a nagyobb abszolút értékű  tekintendő a (2)-es és (3)-as képletben alkalmazandó periódus végi tőkeszükségletnek:</w:t>
      </w:r>
    </w:p>
    <w:p w14:paraId="7FFFF001" w14:textId="77777777" w:rsidR="008A78E3" w:rsidRDefault="009D2DEA" w:rsidP="00E32AB2">
      <w:pPr>
        <w:spacing w:after="0"/>
        <w:rPr>
          <w:rFonts w:eastAsiaTheme="minorEastAsia"/>
        </w:rPr>
      </w:pPr>
      <m:oMath>
        <m:sSub>
          <m:sSubPr>
            <m:ctrlPr>
              <w:rPr>
                <w:rFonts w:ascii="Cambria Math" w:hAnsi="Cambria Math"/>
                <w:i/>
              </w:rPr>
            </m:ctrlPr>
          </m:sSubPr>
          <m:e>
            <m:r>
              <w:rPr>
                <w:rFonts w:ascii="Cambria Math" w:hAnsi="Cambria Math"/>
              </w:rPr>
              <m:t>TSz</m:t>
            </m:r>
          </m:e>
          <m:sub>
            <m:r>
              <w:rPr>
                <w:rFonts w:ascii="Cambria Math" w:hAnsi="Cambria Math"/>
              </w:rPr>
              <m:t>t</m:t>
            </m:r>
          </m:sub>
        </m:sSub>
        <m:r>
          <w:rPr>
            <w:rFonts w:ascii="Cambria Math" w:hAnsi="Cambria Math"/>
          </w:rPr>
          <m:t>=max(</m:t>
        </m:r>
        <m:sSub>
          <m:sSubPr>
            <m:ctrlPr>
              <w:rPr>
                <w:rFonts w:ascii="Cambria Math" w:hAnsi="Cambria Math"/>
                <w:i/>
              </w:rPr>
            </m:ctrlPr>
          </m:sSubPr>
          <m:e>
            <m:r>
              <w:rPr>
                <w:rFonts w:ascii="Cambria Math" w:hAnsi="Cambria Math"/>
              </w:rPr>
              <m:t>TSz</m:t>
            </m:r>
          </m:e>
          <m:sub>
            <m:r>
              <w:rPr>
                <w:rFonts w:ascii="Cambria Math" w:hAnsi="Cambria Math"/>
              </w:rPr>
              <m:t>t diverz.</m:t>
            </m:r>
          </m:sub>
        </m:sSub>
        <m:r>
          <w:rPr>
            <w:rFonts w:ascii="Cambria Math" w:hAnsi="Cambria Math"/>
          </w:rPr>
          <m:t>;0,85*</m:t>
        </m:r>
        <m:sSub>
          <m:sSubPr>
            <m:ctrlPr>
              <w:rPr>
                <w:rFonts w:ascii="Cambria Math" w:hAnsi="Cambria Math"/>
                <w:i/>
              </w:rPr>
            </m:ctrlPr>
          </m:sSubPr>
          <m:e>
            <m:r>
              <w:rPr>
                <w:rFonts w:ascii="Cambria Math" w:hAnsi="Cambria Math"/>
              </w:rPr>
              <m:t>TSz</m:t>
            </m:r>
          </m:e>
          <m:sub>
            <m:r>
              <w:rPr>
                <w:rFonts w:ascii="Cambria Math" w:hAnsi="Cambria Math"/>
              </w:rPr>
              <m:t>t diverz.  nélkül</m:t>
            </m:r>
          </m:sub>
        </m:sSub>
        <m:r>
          <w:rPr>
            <w:rFonts w:ascii="Cambria Math" w:hAnsi="Cambria Math"/>
          </w:rPr>
          <m:t>)</m:t>
        </m:r>
      </m:oMath>
      <w:r w:rsidR="008A78E3" w:rsidRPr="006F3FBF">
        <w:rPr>
          <w:rFonts w:eastAsiaTheme="minorEastAsia"/>
        </w:rPr>
        <w:tab/>
      </w:r>
      <w:r w:rsidR="008A78E3" w:rsidRPr="006F3FBF">
        <w:rPr>
          <w:rFonts w:eastAsiaTheme="minorEastAsia"/>
        </w:rPr>
        <w:tab/>
        <w:t>(14)</w:t>
      </w:r>
    </w:p>
    <w:p w14:paraId="7FFFF002" w14:textId="77777777" w:rsidR="008A78E3" w:rsidRPr="00E87D60" w:rsidRDefault="008A78E3" w:rsidP="007F1D4A">
      <w:pPr>
        <w:rPr>
          <w:color w:val="auto"/>
        </w:rPr>
      </w:pPr>
    </w:p>
    <w:p w14:paraId="7FFFF003" w14:textId="77777777" w:rsidR="008A78E3" w:rsidRPr="0055569D" w:rsidRDefault="008A78E3" w:rsidP="007F1D4A">
      <w:pPr>
        <w:rPr>
          <w:rFonts w:asciiTheme="minorHAnsi" w:hAnsiTheme="minorHAnsi"/>
          <w:b/>
          <w:i/>
          <w:color w:val="auto"/>
        </w:rPr>
      </w:pPr>
      <w:r w:rsidRPr="00E87D60">
        <w:rPr>
          <w:rFonts w:asciiTheme="minorHAnsi" w:hAnsiTheme="minorHAnsi"/>
          <w:color w:val="auto"/>
        </w:rPr>
        <w:br w:type="page"/>
      </w:r>
      <w:r w:rsidRPr="00E87D60">
        <w:rPr>
          <w:rFonts w:asciiTheme="minorHAnsi" w:hAnsiTheme="minorHAnsi"/>
          <w:b/>
          <w:bCs/>
          <w:i/>
          <w:iCs/>
          <w:color w:val="auto"/>
        </w:rPr>
        <w:t xml:space="preserve">2. </w:t>
      </w:r>
      <w:r w:rsidRPr="0055569D">
        <w:rPr>
          <w:rFonts w:asciiTheme="minorHAnsi" w:hAnsiTheme="minorHAnsi"/>
          <w:b/>
          <w:i/>
          <w:color w:val="auto"/>
        </w:rPr>
        <w:t>Függelék. A kamatkockázati tőkekövetelmény meghatározásakor alkalmazott kamat forgatókönyvek az MNB benchmark modelljében</w:t>
      </w:r>
    </w:p>
    <w:p w14:paraId="7FFFF004" w14:textId="77777777" w:rsidR="008A78E3" w:rsidRPr="0055569D" w:rsidRDefault="008A78E3" w:rsidP="002008EE">
      <w:pPr>
        <w:spacing w:after="0"/>
        <w:rPr>
          <w:rFonts w:asciiTheme="minorHAnsi" w:hAnsiTheme="minorHAnsi"/>
        </w:rPr>
      </w:pPr>
      <w:r w:rsidRPr="0055569D">
        <w:rPr>
          <w:rFonts w:asciiTheme="minorHAnsi" w:hAnsiTheme="minorHAnsi"/>
        </w:rPr>
        <w:t xml:space="preserve">A </w:t>
      </w:r>
      <w:r w:rsidRPr="00E87D60">
        <w:rPr>
          <w:rFonts w:asciiTheme="minorHAnsi" w:hAnsiTheme="minorHAnsi"/>
        </w:rPr>
        <w:t>benchmark</w:t>
      </w:r>
      <w:r w:rsidRPr="0055569D">
        <w:rPr>
          <w:rFonts w:asciiTheme="minorHAnsi" w:hAnsiTheme="minorHAnsi"/>
        </w:rPr>
        <w:t xml:space="preserve"> modellben használt kamat forgatókönyvek a bázeli és EBA ajánlásokban</w:t>
      </w:r>
      <w:r>
        <w:rPr>
          <w:rStyle w:val="Lbjegyzet-hivatkozs"/>
          <w:rFonts w:asciiTheme="minorHAnsi" w:hAnsiTheme="minorHAnsi"/>
        </w:rPr>
        <w:footnoteReference w:id="137"/>
      </w:r>
      <w:r>
        <w:rPr>
          <w:rFonts w:asciiTheme="minorHAnsi" w:hAnsiTheme="minorHAnsi"/>
        </w:rPr>
        <w:t>. illetve a vonatkozó EBA RTS-ben</w:t>
      </w:r>
      <w:r>
        <w:rPr>
          <w:rStyle w:val="Lbjegyzet-hivatkozs"/>
          <w:rFonts w:asciiTheme="minorHAnsi" w:hAnsiTheme="minorHAnsi"/>
        </w:rPr>
        <w:footnoteReference w:id="138"/>
      </w:r>
      <w:r w:rsidRPr="0055569D">
        <w:rPr>
          <w:rFonts w:asciiTheme="minorHAnsi" w:hAnsiTheme="minorHAnsi"/>
        </w:rPr>
        <w:t xml:space="preserve"> megfogalmazott eljárást követik</w:t>
      </w:r>
      <w:r>
        <w:rPr>
          <w:rFonts w:asciiTheme="minorHAnsi" w:hAnsiTheme="minorHAnsi"/>
        </w:rPr>
        <w:t>.</w:t>
      </w:r>
      <w:r w:rsidRPr="0055569D">
        <w:rPr>
          <w:rFonts w:asciiTheme="minorHAnsi" w:hAnsiTheme="minorHAnsi"/>
        </w:rPr>
        <w:t>,</w:t>
      </w:r>
    </w:p>
    <w:p w14:paraId="7FFFF005" w14:textId="77777777" w:rsidR="008A78E3" w:rsidRPr="0055569D" w:rsidRDefault="008A78E3" w:rsidP="002008EE">
      <w:pPr>
        <w:spacing w:after="0"/>
        <w:rPr>
          <w:rFonts w:asciiTheme="minorHAnsi" w:hAnsiTheme="minorHAnsi"/>
        </w:rPr>
      </w:pPr>
      <w:r w:rsidRPr="0055569D">
        <w:rPr>
          <w:rFonts w:asciiTheme="minorHAnsi" w:hAnsiTheme="minorHAnsi"/>
        </w:rPr>
        <w:t xml:space="preserve">A hivatkozott EBA </w:t>
      </w:r>
      <w:r>
        <w:rPr>
          <w:rFonts w:asciiTheme="minorHAnsi" w:hAnsiTheme="minorHAnsi"/>
        </w:rPr>
        <w:t>RTS</w:t>
      </w:r>
      <w:r w:rsidRPr="0055569D">
        <w:rPr>
          <w:rFonts w:asciiTheme="minorHAnsi" w:hAnsiTheme="minorHAnsi"/>
        </w:rPr>
        <w:t xml:space="preserve"> a forint devizára </w:t>
      </w:r>
      <w:r>
        <w:rPr>
          <w:rFonts w:asciiTheme="minorHAnsi" w:hAnsiTheme="minorHAnsi"/>
        </w:rPr>
        <w:t>sztenderd</w:t>
      </w:r>
      <w:r w:rsidRPr="0055569D">
        <w:rPr>
          <w:rFonts w:asciiTheme="minorHAnsi" w:hAnsiTheme="minorHAnsi"/>
        </w:rPr>
        <w:t xml:space="preserve"> sokk forgatókönyvként (a teljes hozamgörbét érintő, </w:t>
      </w:r>
      <w:r w:rsidRPr="00E87D60">
        <w:rPr>
          <w:rFonts w:asciiTheme="minorHAnsi" w:hAnsiTheme="minorHAnsi"/>
        </w:rPr>
        <w:t>azonnali</w:t>
      </w:r>
      <w:r w:rsidRPr="0055569D">
        <w:rPr>
          <w:rFonts w:asciiTheme="minorHAnsi" w:hAnsiTheme="minorHAnsi"/>
        </w:rPr>
        <w:t xml:space="preserve">, párhuzamos sokk) </w:t>
      </w:r>
      <w:r w:rsidRPr="0055569D">
        <w:rPr>
          <w:rFonts w:asciiTheme="minorHAnsi" w:hAnsiTheme="minorHAnsi"/>
          <w:i/>
        </w:rPr>
        <w:t xml:space="preserve">300 bázispontos </w:t>
      </w:r>
      <w:r w:rsidRPr="0055569D">
        <w:rPr>
          <w:rFonts w:asciiTheme="minorHAnsi" w:hAnsiTheme="minorHAnsi"/>
        </w:rPr>
        <w:t xml:space="preserve">elmozdulást határoz meg, a hozamgörbe rövid végére ugyanez a mérték </w:t>
      </w:r>
      <w:r w:rsidRPr="0055569D">
        <w:rPr>
          <w:rFonts w:asciiTheme="minorHAnsi" w:hAnsiTheme="minorHAnsi"/>
          <w:i/>
        </w:rPr>
        <w:t>450 bázispont</w:t>
      </w:r>
      <w:r w:rsidRPr="0055569D">
        <w:rPr>
          <w:rFonts w:asciiTheme="minorHAnsi" w:hAnsiTheme="minorHAnsi"/>
        </w:rPr>
        <w:t xml:space="preserve">, a hosszabb végére vonatkozóan pedig </w:t>
      </w:r>
      <w:r w:rsidRPr="0055569D">
        <w:rPr>
          <w:rFonts w:asciiTheme="minorHAnsi" w:hAnsiTheme="minorHAnsi"/>
          <w:i/>
        </w:rPr>
        <w:t>200 bázispont</w:t>
      </w:r>
      <w:r w:rsidRPr="0055569D">
        <w:rPr>
          <w:rFonts w:asciiTheme="minorHAnsi" w:hAnsiTheme="minorHAnsi"/>
        </w:rPr>
        <w:t xml:space="preserve">.. </w:t>
      </w:r>
    </w:p>
    <w:p w14:paraId="7FFFF006" w14:textId="77777777" w:rsidR="008A78E3" w:rsidRPr="0055569D" w:rsidRDefault="008A78E3" w:rsidP="002008EE">
      <w:pPr>
        <w:spacing w:after="0"/>
        <w:jc w:val="left"/>
        <w:rPr>
          <w:rFonts w:asciiTheme="minorHAnsi" w:hAnsiTheme="minorHAnsi"/>
        </w:rPr>
      </w:pPr>
    </w:p>
    <w:p w14:paraId="7FFFF007" w14:textId="77777777" w:rsidR="008A78E3" w:rsidRPr="0055569D" w:rsidRDefault="008A78E3" w:rsidP="002008EE">
      <w:pPr>
        <w:pStyle w:val="Kpalrs"/>
        <w:keepNext/>
        <w:jc w:val="center"/>
        <w:rPr>
          <w:rFonts w:asciiTheme="minorHAnsi" w:hAnsiTheme="minorHAnsi"/>
          <w:color w:val="auto"/>
        </w:rPr>
      </w:pPr>
      <w:r w:rsidRPr="0055569D">
        <w:rPr>
          <w:rFonts w:asciiTheme="minorHAnsi" w:hAnsiTheme="minorHAnsi"/>
          <w:color w:val="auto"/>
        </w:rPr>
        <w:fldChar w:fldCharType="begin"/>
      </w:r>
      <w:r w:rsidRPr="0055569D">
        <w:rPr>
          <w:rFonts w:asciiTheme="minorHAnsi" w:hAnsiTheme="minorHAnsi"/>
          <w:color w:val="auto"/>
        </w:rPr>
        <w:instrText xml:space="preserve"> SEQ táblázat \* ARABIC </w:instrText>
      </w:r>
      <w:r w:rsidRPr="0055569D">
        <w:rPr>
          <w:rFonts w:asciiTheme="minorHAnsi" w:hAnsiTheme="minorHAnsi"/>
          <w:color w:val="auto"/>
        </w:rPr>
        <w:fldChar w:fldCharType="separate"/>
      </w:r>
      <w:r w:rsidRPr="0055569D">
        <w:rPr>
          <w:rFonts w:asciiTheme="minorHAnsi" w:hAnsiTheme="minorHAnsi"/>
          <w:color w:val="auto"/>
        </w:rPr>
        <w:t>1</w:t>
      </w:r>
      <w:r w:rsidRPr="0055569D">
        <w:rPr>
          <w:rFonts w:asciiTheme="minorHAnsi" w:hAnsiTheme="minorHAnsi"/>
          <w:color w:val="auto"/>
        </w:rPr>
        <w:fldChar w:fldCharType="end"/>
      </w:r>
      <w:r w:rsidRPr="0055569D">
        <w:rPr>
          <w:rFonts w:asciiTheme="minorHAnsi" w:hAnsiTheme="minorHAnsi"/>
          <w:color w:val="auto"/>
        </w:rPr>
        <w:t>. táblázat</w:t>
      </w:r>
      <w:r>
        <w:rPr>
          <w:rFonts w:asciiTheme="minorHAnsi" w:hAnsiTheme="minorHAnsi"/>
          <w:color w:val="auto"/>
        </w:rPr>
        <w:t>:</w:t>
      </w:r>
      <w:r w:rsidRPr="0055569D">
        <w:rPr>
          <w:rFonts w:asciiTheme="minorHAnsi" w:hAnsiTheme="minorHAnsi"/>
          <w:color w:val="auto"/>
        </w:rPr>
        <w:t xml:space="preserve"> A HUF deviza</w:t>
      </w:r>
      <w:r>
        <w:rPr>
          <w:rFonts w:asciiTheme="minorHAnsi" w:hAnsiTheme="minorHAnsi"/>
          <w:color w:val="auto"/>
        </w:rPr>
        <w:t>nem</w:t>
      </w:r>
      <w:r w:rsidRPr="0055569D">
        <w:rPr>
          <w:rFonts w:asciiTheme="minorHAnsi" w:hAnsiTheme="minorHAnsi"/>
          <w:color w:val="auto"/>
        </w:rPr>
        <w:t xml:space="preserve"> </w:t>
      </w:r>
      <w:r>
        <w:rPr>
          <w:rFonts w:asciiTheme="minorHAnsi" w:hAnsiTheme="minorHAnsi"/>
          <w:color w:val="auto"/>
        </w:rPr>
        <w:t>sztenderd</w:t>
      </w:r>
      <w:r w:rsidRPr="0055569D">
        <w:rPr>
          <w:rFonts w:asciiTheme="minorHAnsi" w:hAnsiTheme="minorHAnsi"/>
          <w:color w:val="auto"/>
        </w:rPr>
        <w:t xml:space="preserve"> kamatsokk mértékei</w:t>
      </w:r>
    </w:p>
    <w:tbl>
      <w:tblPr>
        <w:tblW w:w="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2180"/>
        <w:gridCol w:w="1460"/>
      </w:tblGrid>
      <w:tr w:rsidR="00527C4C" w14:paraId="7FFFF00B" w14:textId="77777777" w:rsidTr="004039EE">
        <w:trPr>
          <w:trHeight w:val="312"/>
          <w:jc w:val="center"/>
        </w:trPr>
        <w:tc>
          <w:tcPr>
            <w:tcW w:w="1660" w:type="dxa"/>
            <w:shd w:val="clear" w:color="000000" w:fill="C5D9F1"/>
            <w:noWrap/>
            <w:vAlign w:val="bottom"/>
            <w:hideMark/>
          </w:tcPr>
          <w:p w14:paraId="7FFFF008" w14:textId="77777777" w:rsidR="008A78E3" w:rsidRPr="0055569D" w:rsidRDefault="008A78E3" w:rsidP="004039EE">
            <w:pPr>
              <w:spacing w:after="0"/>
              <w:jc w:val="center"/>
              <w:rPr>
                <w:rFonts w:asciiTheme="minorHAnsi" w:hAnsiTheme="minorHAnsi"/>
                <w:b/>
              </w:rPr>
            </w:pPr>
            <w:r w:rsidRPr="0055569D">
              <w:rPr>
                <w:rFonts w:asciiTheme="minorHAnsi" w:hAnsiTheme="minorHAnsi"/>
                <w:b/>
              </w:rPr>
              <w:t>Parallel</w:t>
            </w:r>
          </w:p>
        </w:tc>
        <w:tc>
          <w:tcPr>
            <w:tcW w:w="2180" w:type="dxa"/>
            <w:shd w:val="clear" w:color="000000" w:fill="C5D9F1"/>
            <w:noWrap/>
            <w:vAlign w:val="bottom"/>
            <w:hideMark/>
          </w:tcPr>
          <w:p w14:paraId="7FFFF009" w14:textId="77777777" w:rsidR="008A78E3" w:rsidRPr="0055569D" w:rsidRDefault="008A78E3" w:rsidP="004039EE">
            <w:pPr>
              <w:spacing w:after="0"/>
              <w:jc w:val="center"/>
              <w:rPr>
                <w:rFonts w:asciiTheme="minorHAnsi" w:hAnsiTheme="minorHAnsi"/>
                <w:b/>
              </w:rPr>
            </w:pPr>
            <w:r w:rsidRPr="0055569D">
              <w:rPr>
                <w:rFonts w:asciiTheme="minorHAnsi" w:hAnsiTheme="minorHAnsi"/>
                <w:b/>
              </w:rPr>
              <w:t>Short</w:t>
            </w:r>
          </w:p>
        </w:tc>
        <w:tc>
          <w:tcPr>
            <w:tcW w:w="1460" w:type="dxa"/>
            <w:shd w:val="clear" w:color="000000" w:fill="C5D9F1"/>
            <w:noWrap/>
            <w:vAlign w:val="bottom"/>
            <w:hideMark/>
          </w:tcPr>
          <w:p w14:paraId="7FFFF00A" w14:textId="77777777" w:rsidR="008A78E3" w:rsidRPr="0055569D" w:rsidRDefault="008A78E3" w:rsidP="004039EE">
            <w:pPr>
              <w:spacing w:after="0"/>
              <w:jc w:val="center"/>
              <w:rPr>
                <w:rFonts w:asciiTheme="minorHAnsi" w:hAnsiTheme="minorHAnsi"/>
                <w:b/>
              </w:rPr>
            </w:pPr>
            <w:r w:rsidRPr="0055569D">
              <w:rPr>
                <w:rFonts w:asciiTheme="minorHAnsi" w:hAnsiTheme="minorHAnsi"/>
                <w:b/>
              </w:rPr>
              <w:t>Long</w:t>
            </w:r>
          </w:p>
        </w:tc>
      </w:tr>
      <w:tr w:rsidR="00527C4C" w14:paraId="7FFFF00F" w14:textId="77777777" w:rsidTr="004039EE">
        <w:trPr>
          <w:trHeight w:val="312"/>
          <w:jc w:val="center"/>
        </w:trPr>
        <w:tc>
          <w:tcPr>
            <w:tcW w:w="1660" w:type="dxa"/>
            <w:shd w:val="clear" w:color="000000" w:fill="FFFFFF"/>
            <w:noWrap/>
            <w:vAlign w:val="bottom"/>
            <w:hideMark/>
          </w:tcPr>
          <w:p w14:paraId="7FFFF00C" w14:textId="77777777" w:rsidR="008A78E3" w:rsidRPr="0055569D" w:rsidRDefault="008A78E3" w:rsidP="004039EE">
            <w:pPr>
              <w:spacing w:after="0"/>
              <w:jc w:val="center"/>
              <w:rPr>
                <w:rFonts w:asciiTheme="minorHAnsi" w:hAnsiTheme="minorHAnsi"/>
              </w:rPr>
            </w:pPr>
            <w:r w:rsidRPr="00E87D60">
              <w:rPr>
                <w:rFonts w:asciiTheme="minorHAnsi" w:hAnsiTheme="minorHAnsi"/>
                <w:szCs w:val="24"/>
              </w:rPr>
              <w:t>3,00</w:t>
            </w:r>
            <w:r w:rsidRPr="0055569D">
              <w:rPr>
                <w:rFonts w:asciiTheme="minorHAnsi" w:hAnsiTheme="minorHAnsi"/>
              </w:rPr>
              <w:t>%</w:t>
            </w:r>
          </w:p>
        </w:tc>
        <w:tc>
          <w:tcPr>
            <w:tcW w:w="2180" w:type="dxa"/>
            <w:shd w:val="clear" w:color="000000" w:fill="FFFFFF"/>
            <w:noWrap/>
            <w:vAlign w:val="bottom"/>
            <w:hideMark/>
          </w:tcPr>
          <w:p w14:paraId="7FFFF00D" w14:textId="77777777" w:rsidR="008A78E3" w:rsidRPr="0055569D" w:rsidRDefault="008A78E3" w:rsidP="004039EE">
            <w:pPr>
              <w:spacing w:after="0"/>
              <w:jc w:val="center"/>
              <w:rPr>
                <w:rFonts w:asciiTheme="minorHAnsi" w:hAnsiTheme="minorHAnsi"/>
              </w:rPr>
            </w:pPr>
            <w:r w:rsidRPr="00E87D60">
              <w:rPr>
                <w:rFonts w:asciiTheme="minorHAnsi" w:hAnsiTheme="minorHAnsi"/>
                <w:szCs w:val="24"/>
              </w:rPr>
              <w:t>4</w:t>
            </w:r>
            <w:r w:rsidRPr="0055569D">
              <w:rPr>
                <w:rFonts w:asciiTheme="minorHAnsi" w:hAnsiTheme="minorHAnsi"/>
              </w:rPr>
              <w:t>,50%</w:t>
            </w:r>
          </w:p>
        </w:tc>
        <w:tc>
          <w:tcPr>
            <w:tcW w:w="1460" w:type="dxa"/>
            <w:shd w:val="clear" w:color="000000" w:fill="FFFFFF"/>
            <w:noWrap/>
            <w:vAlign w:val="bottom"/>
            <w:hideMark/>
          </w:tcPr>
          <w:p w14:paraId="7FFFF00E" w14:textId="77777777" w:rsidR="008A78E3" w:rsidRPr="0055569D" w:rsidRDefault="008A78E3" w:rsidP="004039EE">
            <w:pPr>
              <w:spacing w:after="0"/>
              <w:jc w:val="center"/>
              <w:rPr>
                <w:rFonts w:asciiTheme="minorHAnsi" w:hAnsiTheme="minorHAnsi"/>
              </w:rPr>
            </w:pPr>
            <w:r w:rsidRPr="00E87D60">
              <w:rPr>
                <w:rFonts w:asciiTheme="minorHAnsi" w:hAnsiTheme="minorHAnsi"/>
                <w:szCs w:val="24"/>
              </w:rPr>
              <w:t>2,00</w:t>
            </w:r>
            <w:r w:rsidRPr="0055569D">
              <w:rPr>
                <w:rFonts w:asciiTheme="minorHAnsi" w:hAnsiTheme="minorHAnsi"/>
              </w:rPr>
              <w:t>%</w:t>
            </w:r>
          </w:p>
        </w:tc>
      </w:tr>
    </w:tbl>
    <w:p w14:paraId="7FFFF010" w14:textId="77777777" w:rsidR="008A78E3" w:rsidRPr="0055569D" w:rsidRDefault="008A78E3" w:rsidP="002008EE">
      <w:pPr>
        <w:spacing w:after="0"/>
        <w:jc w:val="left"/>
        <w:rPr>
          <w:rFonts w:asciiTheme="minorHAnsi" w:hAnsiTheme="minorHAnsi"/>
        </w:rPr>
      </w:pPr>
    </w:p>
    <w:p w14:paraId="7FFFF011" w14:textId="77777777" w:rsidR="008A78E3" w:rsidRPr="0055569D" w:rsidRDefault="008A78E3" w:rsidP="002008EE">
      <w:pPr>
        <w:spacing w:after="0"/>
        <w:rPr>
          <w:rFonts w:asciiTheme="minorHAnsi" w:hAnsiTheme="minorHAnsi"/>
        </w:rPr>
      </w:pPr>
      <w:r w:rsidRPr="0055569D">
        <w:rPr>
          <w:rFonts w:asciiTheme="minorHAnsi" w:hAnsiTheme="minorHAnsi"/>
        </w:rPr>
        <w:t>A</w:t>
      </w:r>
      <w:r>
        <w:rPr>
          <w:rFonts w:asciiTheme="minorHAnsi" w:hAnsiTheme="minorHAnsi"/>
        </w:rPr>
        <w:t>z MNB</w:t>
      </w:r>
      <w:r w:rsidRPr="0055569D">
        <w:rPr>
          <w:rFonts w:asciiTheme="minorHAnsi" w:hAnsiTheme="minorHAnsi"/>
        </w:rPr>
        <w:t xml:space="preserve"> </w:t>
      </w:r>
      <w:r>
        <w:rPr>
          <w:rFonts w:asciiTheme="minorHAnsi" w:hAnsiTheme="minorHAnsi"/>
        </w:rPr>
        <w:t xml:space="preserve">a </w:t>
      </w:r>
      <w:r w:rsidRPr="0055569D">
        <w:rPr>
          <w:rFonts w:asciiTheme="minorHAnsi" w:hAnsiTheme="minorHAnsi"/>
        </w:rPr>
        <w:t xml:space="preserve">forinton kívüli egyéb devizanemek esetén </w:t>
      </w:r>
      <w:r>
        <w:rPr>
          <w:rFonts w:asciiTheme="minorHAnsi" w:hAnsiTheme="minorHAnsi"/>
        </w:rPr>
        <w:t xml:space="preserve">is </w:t>
      </w:r>
      <w:r w:rsidRPr="0055569D">
        <w:rPr>
          <w:rFonts w:asciiTheme="minorHAnsi" w:hAnsiTheme="minorHAnsi"/>
        </w:rPr>
        <w:t>az EBA ajánlás</w:t>
      </w:r>
      <w:r>
        <w:rPr>
          <w:rFonts w:asciiTheme="minorHAnsi" w:hAnsiTheme="minorHAnsi"/>
        </w:rPr>
        <w:t>okban</w:t>
      </w:r>
      <w:r w:rsidRPr="0055569D">
        <w:rPr>
          <w:rFonts w:asciiTheme="minorHAnsi" w:hAnsiTheme="minorHAnsi"/>
        </w:rPr>
        <w:t xml:space="preserve"> szereplő értékeket alkalmazza </w:t>
      </w:r>
      <w:r>
        <w:rPr>
          <w:rFonts w:asciiTheme="minorHAnsi" w:hAnsiTheme="minorHAnsi"/>
        </w:rPr>
        <w:t>sztenderd</w:t>
      </w:r>
      <w:r w:rsidRPr="0055569D">
        <w:rPr>
          <w:rFonts w:asciiTheme="minorHAnsi" w:hAnsiTheme="minorHAnsi"/>
        </w:rPr>
        <w:t xml:space="preserve"> kamatsokk forgatókönyvként.</w:t>
      </w:r>
    </w:p>
    <w:p w14:paraId="7FFFF012" w14:textId="77777777" w:rsidR="008A78E3" w:rsidRDefault="008A78E3" w:rsidP="002008EE">
      <w:pPr>
        <w:spacing w:after="0"/>
        <w:rPr>
          <w:rFonts w:asciiTheme="minorHAnsi" w:hAnsiTheme="minorHAnsi"/>
        </w:rPr>
      </w:pPr>
      <w:r w:rsidRPr="00E87D60">
        <w:rPr>
          <w:rFonts w:asciiTheme="minorHAnsi" w:hAnsiTheme="minorHAnsi"/>
        </w:rPr>
        <w:t>Az MNB a benchmark modellben minden egyes, a kamatlábkockázati számítások elvégzéséhez szükséges, a vonatkozási napon megfigyelhető</w:t>
      </w:r>
      <w:r>
        <w:rPr>
          <w:rFonts w:asciiTheme="minorHAnsi" w:hAnsiTheme="minorHAnsi"/>
        </w:rPr>
        <w:t xml:space="preserve"> legkisebb fizetési gyakoriságú</w:t>
      </w:r>
      <w:r>
        <w:rPr>
          <w:rStyle w:val="Lbjegyzet-hivatkozs"/>
          <w:rFonts w:asciiTheme="minorHAnsi" w:hAnsiTheme="minorHAnsi"/>
        </w:rPr>
        <w:footnoteReference w:id="139"/>
      </w:r>
      <w:r>
        <w:rPr>
          <w:rFonts w:asciiTheme="minorHAnsi" w:hAnsiTheme="minorHAnsi"/>
        </w:rPr>
        <w:t xml:space="preserve"> instrumentumok</w:t>
      </w:r>
      <w:r w:rsidRPr="00E87D60">
        <w:rPr>
          <w:rFonts w:asciiTheme="minorHAnsi" w:hAnsiTheme="minorHAnsi"/>
        </w:rPr>
        <w:t xml:space="preserve"> kamatlába</w:t>
      </w:r>
      <w:r>
        <w:rPr>
          <w:rFonts w:asciiTheme="minorHAnsi" w:hAnsiTheme="minorHAnsi"/>
        </w:rPr>
        <w:t>i</w:t>
      </w:r>
      <w:r w:rsidRPr="00E87D60">
        <w:rPr>
          <w:rFonts w:asciiTheme="minorHAnsi" w:hAnsiTheme="minorHAnsi"/>
        </w:rPr>
        <w:t>ból álló spot hozamgörbéből folytonos kamatlábakból (loghozamokból) álló (spot) zérókupon hozamgörbét számít</w:t>
      </w:r>
      <w:r>
        <w:rPr>
          <w:rFonts w:asciiTheme="minorHAnsi" w:hAnsiTheme="minorHAnsi"/>
        </w:rPr>
        <w:t>, és az alap (baseline) kamat forgatókönyvben ezt használja az EVE és FV érték becslésénél a cashflow diszkontálásához, valamint az NII, EVE és FV értékének meghatározásánál a kamatfizetések előrejelzéséhez szükséges, névleges kamatlábként számított forward kamatlábak becsléséhez. Az alap kamatforgatókönyvben használt hozamgörbékre</w:t>
      </w:r>
      <w:r w:rsidRPr="00E87D60">
        <w:rPr>
          <w:rFonts w:asciiTheme="minorHAnsi" w:hAnsiTheme="minorHAnsi"/>
        </w:rPr>
        <w:t xml:space="preserve"> </w:t>
      </w:r>
      <w:r>
        <w:rPr>
          <w:rFonts w:asciiTheme="minorHAnsi" w:hAnsiTheme="minorHAnsi"/>
        </w:rPr>
        <w:t xml:space="preserve">kerülnek </w:t>
      </w:r>
      <w:r w:rsidRPr="00E87D60">
        <w:rPr>
          <w:rFonts w:asciiTheme="minorHAnsi" w:hAnsiTheme="minorHAnsi"/>
        </w:rPr>
        <w:t>alkalmaz</w:t>
      </w:r>
      <w:r>
        <w:rPr>
          <w:rFonts w:asciiTheme="minorHAnsi" w:hAnsiTheme="minorHAnsi"/>
        </w:rPr>
        <w:t>ásra</w:t>
      </w:r>
      <w:r w:rsidRPr="00E87D60">
        <w:rPr>
          <w:rFonts w:asciiTheme="minorHAnsi" w:hAnsiTheme="minorHAnsi"/>
        </w:rPr>
        <w:t xml:space="preserve"> a különböző </w:t>
      </w:r>
      <w:r>
        <w:rPr>
          <w:rFonts w:asciiTheme="minorHAnsi" w:hAnsiTheme="minorHAnsi"/>
        </w:rPr>
        <w:t xml:space="preserve">stressz </w:t>
      </w:r>
      <w:r w:rsidRPr="00E87D60">
        <w:rPr>
          <w:rFonts w:asciiTheme="minorHAnsi" w:hAnsiTheme="minorHAnsi"/>
        </w:rPr>
        <w:t>forgatókönyveknek megfelelő sokk mértékek</w:t>
      </w:r>
      <w:r>
        <w:rPr>
          <w:rFonts w:asciiTheme="minorHAnsi" w:hAnsiTheme="minorHAnsi"/>
        </w:rPr>
        <w:t xml:space="preserve">, és </w:t>
      </w:r>
      <w:r w:rsidRPr="00E87D60">
        <w:rPr>
          <w:rFonts w:asciiTheme="minorHAnsi" w:hAnsiTheme="minorHAnsi"/>
        </w:rPr>
        <w:t xml:space="preserve">a piaci kamatpadlók </w:t>
      </w:r>
      <w:r>
        <w:rPr>
          <w:rFonts w:asciiTheme="minorHAnsi" w:hAnsiTheme="minorHAnsi"/>
        </w:rPr>
        <w:t xml:space="preserve">(ld. később) </w:t>
      </w:r>
      <w:r w:rsidRPr="00E87D60">
        <w:rPr>
          <w:rFonts w:asciiTheme="minorHAnsi" w:hAnsiTheme="minorHAnsi"/>
        </w:rPr>
        <w:t xml:space="preserve">figyelembevételével kalkulált, stresszelt spot zérókupon hozamgörbék alapján kerülnek kiszámításra a kamat pénzáramlások meghatározásához szükséges forward kamatlábak </w:t>
      </w:r>
      <w:r>
        <w:rPr>
          <w:rFonts w:asciiTheme="minorHAnsi" w:hAnsiTheme="minorHAnsi"/>
        </w:rPr>
        <w:t>(</w:t>
      </w:r>
      <w:r w:rsidRPr="00E87D60">
        <w:rPr>
          <w:rFonts w:asciiTheme="minorHAnsi" w:hAnsiTheme="minorHAnsi"/>
        </w:rPr>
        <w:t>névleges kamatlábakként kalkulálva</w:t>
      </w:r>
      <w:r>
        <w:rPr>
          <w:rFonts w:asciiTheme="minorHAnsi" w:hAnsiTheme="minorHAnsi"/>
        </w:rPr>
        <w:t>)</w:t>
      </w:r>
      <w:r w:rsidRPr="00E87D60">
        <w:rPr>
          <w:rFonts w:asciiTheme="minorHAnsi" w:hAnsiTheme="minorHAnsi"/>
        </w:rPr>
        <w:t>.</w:t>
      </w:r>
    </w:p>
    <w:p w14:paraId="7FFFF013" w14:textId="77777777" w:rsidR="008A78E3" w:rsidRPr="00E87D60" w:rsidRDefault="008A78E3" w:rsidP="002008EE">
      <w:pPr>
        <w:spacing w:after="0"/>
        <w:rPr>
          <w:rFonts w:asciiTheme="minorHAnsi" w:hAnsiTheme="minorHAnsi"/>
        </w:rPr>
      </w:pPr>
      <w:r>
        <w:rPr>
          <w:rFonts w:asciiTheme="minorHAnsi" w:hAnsiTheme="minorHAnsi"/>
        </w:rPr>
        <w:t>A változó kamatozású ügyletek esetében az EVE értékének kiszámítása során az MNB az alap és stressz forgatókönyvekben egyaránt a teljes, lejáratig tartó tőke- és kamat pénzáramlást megbecsüli, továbbá figyelembe veszi az összetett kamatfixing konvenciókat is (azaz ha az ügylet kamatozása nem egyszerűen a referencia kamatlábat követi, hanem a bázisul szolgáló kamatlábra vagy indexre vonatkozik egy szorzó, vagy átlagolásra kerülnek a múltbeli értékei, esetleg az aktuális helyett a referencia kamatláb vagy index korábbi értékét követi az ügylet kamatlába késleltetve). Az MNB változó kamatozású ügyletnek tekinti azon látra szóló betétállományokat is, melyek kamatozása referencia kamatlábhoz kötött.</w:t>
      </w:r>
    </w:p>
    <w:p w14:paraId="7FFFF014" w14:textId="77777777" w:rsidR="008A78E3" w:rsidRPr="0055569D" w:rsidRDefault="008A78E3" w:rsidP="002008EE">
      <w:pPr>
        <w:spacing w:after="0"/>
        <w:rPr>
          <w:rFonts w:asciiTheme="minorHAnsi" w:hAnsiTheme="minorHAnsi"/>
        </w:rPr>
      </w:pPr>
      <w:r w:rsidRPr="0055569D">
        <w:rPr>
          <w:rFonts w:asciiTheme="minorHAnsi" w:hAnsiTheme="minorHAnsi"/>
        </w:rPr>
        <w:t xml:space="preserve">Az MNB a benchmark kamatkockázati számítások során </w:t>
      </w:r>
      <w:r>
        <w:rPr>
          <w:rFonts w:asciiTheme="minorHAnsi" w:hAnsiTheme="minorHAnsi"/>
        </w:rPr>
        <w:t xml:space="preserve">(dNII, dEVE és dFV számítás egyaránt) </w:t>
      </w:r>
      <w:r w:rsidRPr="0055569D">
        <w:rPr>
          <w:rFonts w:asciiTheme="minorHAnsi" w:hAnsiTheme="minorHAnsi"/>
        </w:rPr>
        <w:t xml:space="preserve">az </w:t>
      </w:r>
      <w:r w:rsidRPr="0055569D">
        <w:rPr>
          <w:rFonts w:asciiTheme="minorHAnsi" w:hAnsiTheme="minorHAnsi"/>
          <w:i/>
        </w:rPr>
        <w:t>ügyleti</w:t>
      </w:r>
      <w:r w:rsidRPr="0055569D">
        <w:rPr>
          <w:rFonts w:asciiTheme="minorHAnsi" w:hAnsiTheme="minorHAnsi"/>
        </w:rPr>
        <w:t xml:space="preserve"> kamatváltozásokra a természetes személy (ld. lakossági, háztartási) ügyféllel </w:t>
      </w:r>
      <w:r w:rsidRPr="00E87D60">
        <w:rPr>
          <w:rFonts w:asciiTheme="minorHAnsi" w:hAnsiTheme="minorHAnsi"/>
        </w:rPr>
        <w:t>fennálló</w:t>
      </w:r>
      <w:r w:rsidRPr="0055569D">
        <w:rPr>
          <w:rFonts w:asciiTheme="minorHAnsi" w:hAnsiTheme="minorHAnsi"/>
        </w:rPr>
        <w:t xml:space="preserve"> </w:t>
      </w:r>
      <w:r>
        <w:rPr>
          <w:rFonts w:asciiTheme="minorHAnsi" w:hAnsiTheme="minorHAnsi"/>
        </w:rPr>
        <w:t xml:space="preserve">látra szóló vagy folyószámlabetéti, illetve lekötött betéti </w:t>
      </w:r>
      <w:r w:rsidRPr="0055569D">
        <w:rPr>
          <w:rFonts w:asciiTheme="minorHAnsi" w:hAnsiTheme="minorHAnsi"/>
        </w:rPr>
        <w:t>szerződés esetén</w:t>
      </w:r>
      <w:r>
        <w:rPr>
          <w:rFonts w:asciiTheme="minorHAnsi" w:hAnsiTheme="minorHAnsi"/>
        </w:rPr>
        <w:t>, valamint értékpapírok vonatkozásában</w:t>
      </w:r>
      <w:r w:rsidRPr="0055569D">
        <w:rPr>
          <w:rFonts w:asciiTheme="minorHAnsi" w:hAnsiTheme="minorHAnsi"/>
        </w:rPr>
        <w:t xml:space="preserve"> nulla </w:t>
      </w:r>
      <w:r>
        <w:rPr>
          <w:rFonts w:asciiTheme="minorHAnsi" w:hAnsiTheme="minorHAnsi"/>
        </w:rPr>
        <w:t xml:space="preserve">százalékos ún. ügyleti </w:t>
      </w:r>
      <w:r w:rsidRPr="0055569D">
        <w:rPr>
          <w:rFonts w:asciiTheme="minorHAnsi" w:hAnsiTheme="minorHAnsi"/>
        </w:rPr>
        <w:t xml:space="preserve">kamatpadlót érvényesít a spread változatlanságának feltételezése mellett, vagyis az ügyleti (termék) kamatok lefelé történő elmozdulásának mértéke korlátozott nagyságú. </w:t>
      </w:r>
      <w:r w:rsidRPr="00E87D60">
        <w:rPr>
          <w:rFonts w:asciiTheme="minorHAnsi" w:hAnsiTheme="minorHAnsi"/>
        </w:rPr>
        <w:t>A kamatlábkockázati számítások során továbbá az MNB figyelembe veszi a szerződésben rögzített ügyleti kamatpadlókat is.</w:t>
      </w:r>
      <w:r>
        <w:rPr>
          <w:rFonts w:asciiTheme="minorHAnsi" w:hAnsiTheme="minorHAnsi"/>
        </w:rPr>
        <w:t xml:space="preserve"> </w:t>
      </w:r>
      <w:r w:rsidRPr="0055569D">
        <w:rPr>
          <w:rFonts w:asciiTheme="minorHAnsi" w:hAnsiTheme="minorHAnsi"/>
        </w:rPr>
        <w:t>A nem természetes személy ügyfelek (</w:t>
      </w:r>
      <w:r>
        <w:rPr>
          <w:rFonts w:asciiTheme="minorHAnsi" w:hAnsiTheme="minorHAnsi"/>
        </w:rPr>
        <w:t>pl</w:t>
      </w:r>
      <w:r w:rsidRPr="0055569D">
        <w:rPr>
          <w:rFonts w:asciiTheme="minorHAnsi" w:hAnsiTheme="minorHAnsi"/>
        </w:rPr>
        <w:t xml:space="preserve">. vállalatok, intézmények) </w:t>
      </w:r>
      <w:r>
        <w:rPr>
          <w:rFonts w:asciiTheme="minorHAnsi" w:hAnsiTheme="minorHAnsi"/>
        </w:rPr>
        <w:t xml:space="preserve">betétállománya és a betétektől és értékpapíroktól eltérő, egyéb termékkörökbe tartozó ügyletek </w:t>
      </w:r>
      <w:r w:rsidRPr="0055569D">
        <w:rPr>
          <w:rFonts w:asciiTheme="minorHAnsi" w:hAnsiTheme="minorHAnsi"/>
        </w:rPr>
        <w:t>esetén a lefelé irányuló ügyleti kamatváltozások potenciális mértékét a piaci kamatokra alkalmazott küszöbértékek (</w:t>
      </w:r>
      <w:r>
        <w:rPr>
          <w:rFonts w:asciiTheme="minorHAnsi" w:hAnsiTheme="minorHAnsi"/>
        </w:rPr>
        <w:t xml:space="preserve">ún. piaci kamatpadló vagy </w:t>
      </w:r>
      <w:r w:rsidRPr="0055569D">
        <w:rPr>
          <w:rFonts w:asciiTheme="minorHAnsi" w:hAnsiTheme="minorHAnsi"/>
        </w:rPr>
        <w:t>floor) határozzák meg.</w:t>
      </w:r>
    </w:p>
    <w:p w14:paraId="7FFFF015" w14:textId="77777777" w:rsidR="008A78E3" w:rsidRPr="0055569D" w:rsidRDefault="008A78E3" w:rsidP="002008EE">
      <w:pPr>
        <w:spacing w:after="0"/>
        <w:rPr>
          <w:rFonts w:asciiTheme="minorHAnsi" w:hAnsiTheme="minorHAnsi"/>
        </w:rPr>
      </w:pPr>
      <w:r w:rsidRPr="0055569D">
        <w:rPr>
          <w:rFonts w:asciiTheme="minorHAnsi" w:hAnsiTheme="minorHAnsi"/>
        </w:rPr>
        <w:t xml:space="preserve">A piaci kamatváltozásoknál az MNB a nemzetközi ajánlásokban szereplő kamatpadlót </w:t>
      </w:r>
      <w:r>
        <w:rPr>
          <w:rFonts w:asciiTheme="minorHAnsi" w:hAnsiTheme="minorHAnsi"/>
        </w:rPr>
        <w:t xml:space="preserve">(piaci kamatpadló) </w:t>
      </w:r>
      <w:r w:rsidRPr="0055569D">
        <w:rPr>
          <w:rFonts w:asciiTheme="minorHAnsi" w:hAnsiTheme="minorHAnsi"/>
        </w:rPr>
        <w:t xml:space="preserve">érvényesíti a forint és az egyéb devizák esetében is. Eszerint a kamatcsökkenés olyan mértékű lehet, hogy </w:t>
      </w:r>
      <w:r w:rsidRPr="00E87D60">
        <w:rPr>
          <w:rFonts w:asciiTheme="minorHAnsi" w:hAnsiTheme="minorHAnsi"/>
        </w:rPr>
        <w:t>az előbbiek szerint számított, folytonos kamatlábakból álló spot zérókupon</w:t>
      </w:r>
      <w:r w:rsidRPr="0055569D">
        <w:rPr>
          <w:rFonts w:asciiTheme="minorHAnsi" w:hAnsiTheme="minorHAnsi"/>
        </w:rPr>
        <w:t xml:space="preserve"> hozamgörbe </w:t>
      </w:r>
      <w:r w:rsidRPr="00E87D60">
        <w:rPr>
          <w:rFonts w:asciiTheme="minorHAnsi" w:hAnsiTheme="minorHAnsi"/>
        </w:rPr>
        <w:t>overnight futamidőhöz tartozó</w:t>
      </w:r>
      <w:r w:rsidRPr="0055569D">
        <w:rPr>
          <w:rFonts w:asciiTheme="minorHAnsi" w:hAnsiTheme="minorHAnsi"/>
        </w:rPr>
        <w:t xml:space="preserve"> pontján a hozam legalacsonyabb szintje -1</w:t>
      </w:r>
      <w:r>
        <w:rPr>
          <w:rFonts w:asciiTheme="minorHAnsi" w:hAnsiTheme="minorHAnsi"/>
        </w:rPr>
        <w:t>,5</w:t>
      </w:r>
      <w:r w:rsidRPr="00E87D60">
        <w:rPr>
          <w:rFonts w:asciiTheme="minorHAnsi" w:hAnsiTheme="minorHAnsi"/>
        </w:rPr>
        <w:t xml:space="preserve">%, </w:t>
      </w:r>
      <w:r w:rsidRPr="006F3FBF">
        <w:rPr>
          <w:rFonts w:asciiTheme="minorHAnsi" w:hAnsiTheme="minorHAnsi"/>
        </w:rPr>
        <w:t>az 50 éves vagy ennél hosszabb</w:t>
      </w:r>
      <w:r w:rsidRPr="00E87D60">
        <w:rPr>
          <w:rFonts w:asciiTheme="minorHAnsi" w:hAnsiTheme="minorHAnsi"/>
        </w:rPr>
        <w:t xml:space="preserve"> futamidőkhöz tartozó pontjain</w:t>
      </w:r>
      <w:r w:rsidRPr="0055569D">
        <w:rPr>
          <w:rFonts w:asciiTheme="minorHAnsi" w:hAnsiTheme="minorHAnsi"/>
        </w:rPr>
        <w:t xml:space="preserve"> 0% lehet, a köztes pontok legalacsonyabb </w:t>
      </w:r>
      <w:r w:rsidRPr="00E87D60">
        <w:rPr>
          <w:rFonts w:asciiTheme="minorHAnsi" w:hAnsiTheme="minorHAnsi"/>
        </w:rPr>
        <w:t xml:space="preserve">megengedett </w:t>
      </w:r>
      <w:r w:rsidRPr="0055569D">
        <w:rPr>
          <w:rFonts w:asciiTheme="minorHAnsi" w:hAnsiTheme="minorHAnsi"/>
        </w:rPr>
        <w:t xml:space="preserve">szintje pedig lineáris interpolációval adódik. </w:t>
      </w:r>
      <w:r w:rsidRPr="00E87D60">
        <w:rPr>
          <w:rFonts w:asciiTheme="minorHAnsi" w:hAnsiTheme="minorHAnsi"/>
        </w:rPr>
        <w:t>Amennyiben a hozamgörbe egy adott pontjához tartozó, a számítások vonatkozási napján megfigyelt kamatláb alacsonyabb, mint az erre vonatkozó kamatpadló mértéke, akkor a megfigyelt alacsonyabb kamatláb alkalmazandó kamatpadlóként ezen hozamgörbe pont vonatkozásában (a stressz forgatókönyvekben is).</w:t>
      </w:r>
    </w:p>
    <w:p w14:paraId="7FFFF016" w14:textId="77777777" w:rsidR="008A78E3" w:rsidRPr="0055569D" w:rsidRDefault="008A78E3" w:rsidP="002008EE">
      <w:pPr>
        <w:spacing w:after="0"/>
        <w:rPr>
          <w:rFonts w:asciiTheme="minorHAnsi" w:hAnsiTheme="minorHAnsi"/>
        </w:rPr>
      </w:pPr>
      <w:r w:rsidRPr="0055569D">
        <w:rPr>
          <w:rFonts w:asciiTheme="minorHAnsi" w:hAnsiTheme="minorHAnsi"/>
        </w:rPr>
        <w:t xml:space="preserve">(Megjegyzendő, hogy a lefelé irányuló </w:t>
      </w:r>
      <w:r>
        <w:rPr>
          <w:rFonts w:asciiTheme="minorHAnsi" w:hAnsiTheme="minorHAnsi"/>
        </w:rPr>
        <w:t>kamat sokkok</w:t>
      </w:r>
      <w:r w:rsidRPr="0055569D">
        <w:rPr>
          <w:rFonts w:asciiTheme="minorHAnsi" w:hAnsiTheme="minorHAnsi"/>
        </w:rPr>
        <w:t xml:space="preserve"> mértéke a hozamgörbe pontok aktuális szintjétől </w:t>
      </w:r>
      <w:r w:rsidRPr="00E87D60">
        <w:rPr>
          <w:rFonts w:asciiTheme="minorHAnsi" w:hAnsiTheme="minorHAnsi"/>
        </w:rPr>
        <w:t>függ</w:t>
      </w:r>
      <w:r w:rsidRPr="0055569D">
        <w:rPr>
          <w:rFonts w:asciiTheme="minorHAnsi" w:hAnsiTheme="minorHAnsi"/>
        </w:rPr>
        <w:t>, ezért ezek rendszeres frissítése szükséges.)</w:t>
      </w:r>
    </w:p>
    <w:p w14:paraId="7FFFF017" w14:textId="77777777" w:rsidR="008A78E3" w:rsidRPr="00E87D60" w:rsidRDefault="008A78E3" w:rsidP="002008EE">
      <w:pPr>
        <w:spacing w:after="0"/>
        <w:rPr>
          <w:rFonts w:asciiTheme="minorHAnsi" w:hAnsiTheme="minorHAnsi"/>
        </w:rPr>
      </w:pPr>
    </w:p>
    <w:p w14:paraId="7FFFF018" w14:textId="77777777" w:rsidR="008A78E3" w:rsidRPr="0055569D" w:rsidRDefault="008A78E3" w:rsidP="007F1D4A">
      <w:pPr>
        <w:spacing w:after="0"/>
        <w:jc w:val="left"/>
        <w:rPr>
          <w:rFonts w:asciiTheme="minorHAnsi" w:hAnsiTheme="minorHAnsi"/>
          <w:color w:val="auto"/>
        </w:rPr>
      </w:pPr>
    </w:p>
    <w:p w14:paraId="7FFFF019" w14:textId="77777777" w:rsidR="008A78E3" w:rsidRPr="0055569D" w:rsidRDefault="008A78E3" w:rsidP="007F1D4A">
      <w:pPr>
        <w:spacing w:after="0"/>
        <w:jc w:val="left"/>
        <w:rPr>
          <w:rFonts w:asciiTheme="minorHAnsi" w:hAnsiTheme="minorHAnsi"/>
          <w:color w:val="auto"/>
        </w:rPr>
      </w:pPr>
      <w:r w:rsidRPr="0055569D">
        <w:rPr>
          <w:rFonts w:asciiTheme="minorHAnsi" w:hAnsiTheme="minorHAnsi"/>
          <w:color w:val="auto"/>
        </w:rPr>
        <w:br w:type="page"/>
      </w:r>
    </w:p>
    <w:p w14:paraId="7FFFF01A" w14:textId="77777777" w:rsidR="008A78E3" w:rsidRPr="0055569D" w:rsidRDefault="008A78E3" w:rsidP="007F1D4A">
      <w:pPr>
        <w:rPr>
          <w:rFonts w:asciiTheme="minorHAnsi" w:hAnsiTheme="minorHAnsi"/>
          <w:b/>
          <w:i/>
          <w:color w:val="auto"/>
        </w:rPr>
      </w:pPr>
      <w:r w:rsidRPr="0055569D">
        <w:rPr>
          <w:rFonts w:asciiTheme="minorHAnsi" w:hAnsiTheme="minorHAnsi"/>
          <w:b/>
          <w:i/>
          <w:color w:val="auto"/>
        </w:rPr>
        <w:t xml:space="preserve">3. Függelék. A látra szóló betétek </w:t>
      </w:r>
      <w:r w:rsidRPr="00E87D60">
        <w:rPr>
          <w:rFonts w:asciiTheme="minorHAnsi" w:hAnsiTheme="minorHAnsi"/>
          <w:b/>
          <w:i/>
          <w:color w:val="auto"/>
        </w:rPr>
        <w:t>modellezésére vonatkozó elvárások az intézmények számára, illetve az MNB saját</w:t>
      </w:r>
      <w:r w:rsidRPr="0055569D">
        <w:rPr>
          <w:rFonts w:asciiTheme="minorHAnsi" w:hAnsiTheme="minorHAnsi"/>
          <w:b/>
          <w:i/>
          <w:color w:val="auto"/>
        </w:rPr>
        <w:t xml:space="preserve"> banki könyvi kamatkockázati benchmark </w:t>
      </w:r>
      <w:r w:rsidRPr="00E87D60">
        <w:rPr>
          <w:rFonts w:asciiTheme="minorHAnsi" w:hAnsiTheme="minorHAnsi"/>
          <w:b/>
          <w:i/>
          <w:color w:val="auto"/>
        </w:rPr>
        <w:t>modellje</w:t>
      </w:r>
    </w:p>
    <w:p w14:paraId="7FFFF01B" w14:textId="77777777" w:rsidR="008A78E3" w:rsidRPr="0055569D" w:rsidRDefault="008A78E3" w:rsidP="007F1D4A">
      <w:pPr>
        <w:rPr>
          <w:rFonts w:asciiTheme="minorHAnsi" w:hAnsiTheme="minorHAnsi"/>
          <w:color w:val="auto"/>
        </w:rPr>
      </w:pPr>
      <w:r w:rsidRPr="0055569D">
        <w:rPr>
          <w:rFonts w:asciiTheme="minorHAnsi" w:hAnsiTheme="minorHAnsi"/>
          <w:color w:val="auto"/>
        </w:rPr>
        <w:t xml:space="preserve">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 fejlesztési irányaival szembeni elvárásokat ismerteti. </w:t>
      </w:r>
    </w:p>
    <w:p w14:paraId="7FFFF01C" w14:textId="77777777" w:rsidR="008A78E3" w:rsidRPr="0055569D" w:rsidRDefault="008A78E3" w:rsidP="007F1D4A">
      <w:pPr>
        <w:rPr>
          <w:rFonts w:asciiTheme="minorHAnsi" w:hAnsiTheme="minorHAnsi"/>
          <w:b/>
          <w:i/>
          <w:color w:val="auto"/>
        </w:rPr>
      </w:pPr>
      <w:r w:rsidRPr="0055569D">
        <w:rPr>
          <w:rFonts w:asciiTheme="minorHAnsi" w:hAnsiTheme="minorHAnsi"/>
          <w:color w:val="auto"/>
        </w:rPr>
        <w:t xml:space="preserve">Tekintettel arra, hogy a látra szóló betétek állománya a Bankok mérlegének forrás oldalán meghatározó arányú, és így a kamatkockázati mérések eredményét jelentősen befolyásolja,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lehetőség szerint </w:t>
      </w:r>
      <w:r w:rsidRPr="00E87D60">
        <w:rPr>
          <w:rFonts w:asciiTheme="minorHAnsi" w:hAnsiTheme="minorHAnsi"/>
          <w:color w:val="auto"/>
        </w:rPr>
        <w:t xml:space="preserve">a </w:t>
      </w:r>
      <w:r w:rsidRPr="0055569D">
        <w:rPr>
          <w:rFonts w:asciiTheme="minorHAnsi" w:hAnsiTheme="minorHAnsi"/>
          <w:color w:val="auto"/>
        </w:rPr>
        <w:t xml:space="preserve">jelen függelékben szereplő elemeket tartalmazza, </w:t>
      </w:r>
      <w:r w:rsidRPr="00E87D60">
        <w:rPr>
          <w:rFonts w:asciiTheme="minorHAnsi" w:hAnsiTheme="minorHAnsi"/>
          <w:color w:val="auto"/>
        </w:rPr>
        <w:t>különálló</w:t>
      </w:r>
      <w:r w:rsidRPr="0055569D">
        <w:rPr>
          <w:rFonts w:asciiTheme="minorHAnsi" w:hAnsiTheme="minorHAnsi"/>
          <w:color w:val="auto"/>
        </w:rPr>
        <w:t xml:space="preserve"> modellként vagy egy összetettebb modell részeként.  </w:t>
      </w:r>
    </w:p>
    <w:p w14:paraId="7FFFF01D" w14:textId="77777777" w:rsidR="008A78E3" w:rsidRPr="005D4646" w:rsidRDefault="008A78E3"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 xml:space="preserve">Szegmentáció </w:t>
      </w:r>
    </w:p>
    <w:p w14:paraId="7FFFF01E" w14:textId="77777777" w:rsidR="008A78E3" w:rsidRPr="0055569D" w:rsidRDefault="008A78E3" w:rsidP="007F1D4A">
      <w:pPr>
        <w:rPr>
          <w:rFonts w:asciiTheme="minorHAnsi" w:hAnsiTheme="minorHAnsi"/>
          <w:color w:val="auto"/>
        </w:rPr>
      </w:pPr>
      <w:r w:rsidRPr="0055569D">
        <w:rPr>
          <w:rFonts w:asciiTheme="minorHAnsi" w:hAnsiTheme="minorHAnsi"/>
          <w:color w:val="auto"/>
        </w:rPr>
        <w:t xml:space="preserve">Az MNB elvárja, hogy a banki látra szóló betéti modellek minden jelentős állománnyal rendelkező devizanemre, de legalább a </w:t>
      </w:r>
      <w:r w:rsidRPr="0055569D">
        <w:rPr>
          <w:rFonts w:asciiTheme="minorHAnsi" w:hAnsiTheme="minorHAnsi"/>
          <w:i/>
          <w:color w:val="auto"/>
        </w:rPr>
        <w:t>HUF</w:t>
      </w:r>
      <w:r w:rsidRPr="0055569D">
        <w:rPr>
          <w:rFonts w:asciiTheme="minorHAnsi" w:hAnsiTheme="minorHAnsi"/>
          <w:color w:val="auto"/>
        </w:rPr>
        <w:t xml:space="preserve"> és az </w:t>
      </w:r>
      <w:r w:rsidRPr="0055569D">
        <w:rPr>
          <w:rFonts w:asciiTheme="minorHAnsi" w:hAnsiTheme="minorHAnsi"/>
          <w:i/>
          <w:color w:val="auto"/>
        </w:rPr>
        <w:t>EUR</w:t>
      </w:r>
      <w:r w:rsidRPr="0055569D">
        <w:rPr>
          <w:rFonts w:asciiTheme="minorHAnsi" w:hAnsiTheme="minorHAnsi"/>
          <w:color w:val="auto"/>
        </w:rPr>
        <w:t xml:space="preserve"> devizára vonatkozóan tartalmazzanak becsléseket. </w:t>
      </w:r>
    </w:p>
    <w:p w14:paraId="7FFFF01F" w14:textId="77777777" w:rsidR="008A78E3" w:rsidRPr="0055569D" w:rsidRDefault="008A78E3" w:rsidP="007F1D4A">
      <w:pPr>
        <w:rPr>
          <w:rFonts w:asciiTheme="minorHAnsi" w:hAnsiTheme="minorHAnsi"/>
          <w:color w:val="auto"/>
        </w:rPr>
      </w:pPr>
      <w:r w:rsidRPr="0055569D">
        <w:rPr>
          <w:rFonts w:asciiTheme="minorHAnsi" w:hAnsiTheme="minorHAnsi"/>
          <w:color w:val="auto"/>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55569D">
        <w:rPr>
          <w:rFonts w:asciiTheme="minorHAnsi" w:hAnsiTheme="minorHAnsi"/>
          <w:i/>
          <w:color w:val="auto"/>
        </w:rPr>
        <w:t>lakossági</w:t>
      </w:r>
      <w:r w:rsidRPr="0055569D">
        <w:rPr>
          <w:rFonts w:asciiTheme="minorHAnsi" w:hAnsiTheme="minorHAnsi"/>
          <w:color w:val="auto"/>
        </w:rPr>
        <w:t xml:space="preserve"> és </w:t>
      </w:r>
      <w:r w:rsidRPr="0055569D">
        <w:rPr>
          <w:rFonts w:asciiTheme="minorHAnsi" w:hAnsiTheme="minorHAnsi"/>
          <w:i/>
          <w:color w:val="auto"/>
        </w:rPr>
        <w:t>vállalati</w:t>
      </w:r>
      <w:r w:rsidRPr="0055569D">
        <w:rPr>
          <w:rFonts w:asciiTheme="minorHAnsi" w:hAnsiTheme="minorHAnsi"/>
          <w:color w:val="auto"/>
        </w:rPr>
        <w:t xml:space="preserve"> ügyfelekre vonatkozóan elkülönülten végezzenek becsléseket. </w:t>
      </w:r>
      <w:r w:rsidRPr="00E87D60">
        <w:rPr>
          <w:rFonts w:asciiTheme="minorHAnsi" w:hAnsiTheme="minorHAnsi"/>
          <w:color w:val="auto"/>
        </w:rPr>
        <w:t xml:space="preserve">Az MNB elvárja továbbá, hogy a lakossági ügyfelek esetén az intézmények különböztessenek meg </w:t>
      </w:r>
      <w:r>
        <w:rPr>
          <w:rFonts w:asciiTheme="minorHAnsi" w:hAnsiTheme="minorHAnsi"/>
          <w:color w:val="auto"/>
        </w:rPr>
        <w:t xml:space="preserve">legalább a </w:t>
      </w:r>
      <w:r w:rsidRPr="00E87D60">
        <w:rPr>
          <w:rFonts w:asciiTheme="minorHAnsi" w:hAnsiTheme="minorHAnsi"/>
          <w:color w:val="auto"/>
        </w:rPr>
        <w:t xml:space="preserve">tranzakcionális és nem tranzakcionális </w:t>
      </w:r>
      <w:r>
        <w:rPr>
          <w:rFonts w:asciiTheme="minorHAnsi" w:hAnsiTheme="minorHAnsi"/>
          <w:color w:val="auto"/>
        </w:rPr>
        <w:t xml:space="preserve">jellegű számlákon lévő </w:t>
      </w:r>
      <w:r w:rsidRPr="00E87D60">
        <w:rPr>
          <w:rFonts w:asciiTheme="minorHAnsi" w:hAnsiTheme="minorHAnsi"/>
          <w:color w:val="auto"/>
        </w:rPr>
        <w:t xml:space="preserve">állományokat is (ld. C.1. pont). </w:t>
      </w:r>
    </w:p>
    <w:p w14:paraId="7FFFF020" w14:textId="77777777" w:rsidR="008A78E3" w:rsidRPr="005D4646" w:rsidRDefault="008A78E3" w:rsidP="007F1D4A">
      <w:pPr>
        <w:pStyle w:val="Listaszerbekezds"/>
        <w:ind w:left="142"/>
        <w:rPr>
          <w:rFonts w:asciiTheme="minorHAnsi" w:hAnsiTheme="minorHAnsi"/>
          <w:b/>
          <w:i/>
          <w:sz w:val="22"/>
        </w:rPr>
      </w:pPr>
    </w:p>
    <w:p w14:paraId="7FFFF021" w14:textId="77777777" w:rsidR="008A78E3" w:rsidRPr="005D4646" w:rsidRDefault="008A78E3"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Felhasznált adatok</w:t>
      </w:r>
    </w:p>
    <w:p w14:paraId="7FFFF022" w14:textId="77777777" w:rsidR="008A78E3" w:rsidRPr="0055569D" w:rsidRDefault="008A78E3" w:rsidP="007F1D4A">
      <w:pPr>
        <w:rPr>
          <w:rFonts w:asciiTheme="minorHAnsi" w:hAnsiTheme="minorHAnsi"/>
          <w:color w:val="auto"/>
        </w:rPr>
      </w:pPr>
      <w:r w:rsidRPr="0055569D">
        <w:rPr>
          <w:rFonts w:asciiTheme="minorHAnsi" w:hAnsiTheme="minorHAnsi"/>
          <w:color w:val="auto"/>
        </w:rPr>
        <w:t xml:space="preserve">Az MNB elvárja, hogy a bankok a látra szóló betéti modelljeik fejlesztése és működtetése során a rendelkezésükre álló minden lényeges, a látra szóló betétek </w:t>
      </w:r>
      <w:r w:rsidRPr="00E87D60">
        <w:rPr>
          <w:rFonts w:asciiTheme="minorHAnsi" w:hAnsiTheme="minorHAnsi"/>
          <w:color w:val="auto"/>
        </w:rPr>
        <w:t>paramétereire</w:t>
      </w:r>
      <w:r w:rsidRPr="0055569D">
        <w:rPr>
          <w:rFonts w:asciiTheme="minorHAnsi" w:hAnsiTheme="minorHAnsi"/>
          <w:color w:val="auto"/>
        </w:rPr>
        <w:t xml:space="preserve">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55569D">
        <w:rPr>
          <w:rFonts w:asciiTheme="minorHAnsi" w:hAnsiTheme="minorHAnsi"/>
          <w:i/>
          <w:color w:val="auto"/>
        </w:rPr>
        <w:t>10 év adatát</w:t>
      </w:r>
      <w:r w:rsidRPr="0055569D">
        <w:rPr>
          <w:rFonts w:asciiTheme="minorHAnsi" w:hAnsiTheme="minorHAnsi"/>
          <w:color w:val="auto"/>
        </w:rPr>
        <w:t xml:space="preserve"> kell tartalmaznia, legalább havi bontásban.</w:t>
      </w:r>
    </w:p>
    <w:p w14:paraId="7FFFF023" w14:textId="77777777" w:rsidR="008A78E3" w:rsidRPr="005D4646" w:rsidRDefault="008A78E3"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A modell részei</w:t>
      </w:r>
    </w:p>
    <w:p w14:paraId="7FFFF024" w14:textId="77777777" w:rsidR="008A78E3" w:rsidRPr="0055569D" w:rsidRDefault="008A78E3" w:rsidP="007F1D4A">
      <w:pPr>
        <w:rPr>
          <w:rFonts w:asciiTheme="minorHAnsi" w:hAnsiTheme="minorHAnsi"/>
          <w:color w:val="auto"/>
        </w:rPr>
      </w:pPr>
      <w:r w:rsidRPr="0055569D">
        <w:rPr>
          <w:rFonts w:asciiTheme="minorHAnsi" w:hAnsiTheme="minorHAnsi"/>
          <w:color w:val="auto"/>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7FFFF025" w14:textId="77777777" w:rsidR="008A78E3" w:rsidRPr="0055569D" w:rsidRDefault="008A78E3" w:rsidP="007F1D4A">
      <w:pPr>
        <w:rPr>
          <w:rFonts w:asciiTheme="minorHAnsi" w:hAnsiTheme="minorHAnsi"/>
          <w:b/>
          <w:i/>
          <w:color w:val="auto"/>
        </w:rPr>
      </w:pPr>
      <w:r w:rsidRPr="0055569D">
        <w:rPr>
          <w:rFonts w:asciiTheme="minorHAnsi" w:hAnsiTheme="minorHAnsi"/>
          <w:b/>
          <w:i/>
          <w:color w:val="auto"/>
        </w:rPr>
        <w:t>Almodellek</w:t>
      </w:r>
    </w:p>
    <w:p w14:paraId="7FFFF026" w14:textId="77777777" w:rsidR="008A78E3" w:rsidRPr="005D4646" w:rsidRDefault="008A78E3"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Core állomány becslés</w:t>
      </w:r>
    </w:p>
    <w:p w14:paraId="7FFFF027" w14:textId="77777777" w:rsidR="008A78E3" w:rsidRPr="005D4646" w:rsidRDefault="008A78E3"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Állomány becslés</w:t>
      </w:r>
    </w:p>
    <w:p w14:paraId="7FFFF028" w14:textId="77777777" w:rsidR="008A78E3" w:rsidRPr="005D4646" w:rsidRDefault="008A78E3"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Kamatláb becslés</w:t>
      </w:r>
    </w:p>
    <w:p w14:paraId="7FFFF029" w14:textId="77777777" w:rsidR="008A78E3" w:rsidRPr="005D4646" w:rsidRDefault="008A78E3"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Amortizáció, cash flow becslés</w:t>
      </w:r>
    </w:p>
    <w:p w14:paraId="7FFFF02A" w14:textId="77777777" w:rsidR="008A78E3" w:rsidRPr="005D4646" w:rsidRDefault="008A78E3"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 xml:space="preserve">Piaci forgatókönyvek </w:t>
      </w:r>
    </w:p>
    <w:p w14:paraId="7FFFF02B" w14:textId="77777777" w:rsidR="008A78E3" w:rsidRPr="0055569D" w:rsidRDefault="008A78E3" w:rsidP="007F1D4A">
      <w:pPr>
        <w:rPr>
          <w:rFonts w:asciiTheme="minorHAnsi" w:hAnsiTheme="minorHAnsi"/>
          <w:b/>
          <w:i/>
          <w:color w:val="auto"/>
        </w:rPr>
      </w:pPr>
    </w:p>
    <w:p w14:paraId="7FFFF02C" w14:textId="77777777" w:rsidR="008A78E3" w:rsidRPr="0055569D" w:rsidRDefault="008A78E3" w:rsidP="007F1D4A">
      <w:pPr>
        <w:rPr>
          <w:rFonts w:asciiTheme="minorHAnsi" w:hAnsiTheme="minorHAnsi"/>
          <w:b/>
          <w:i/>
          <w:color w:val="auto"/>
        </w:rPr>
      </w:pPr>
      <w:r w:rsidRPr="0055569D">
        <w:rPr>
          <w:rFonts w:asciiTheme="minorHAnsi" w:hAnsiTheme="minorHAnsi"/>
          <w:b/>
          <w:i/>
          <w:color w:val="auto"/>
        </w:rPr>
        <w:t>C.1. Core állomány becslés</w:t>
      </w:r>
    </w:p>
    <w:p w14:paraId="7FFFF02D" w14:textId="77777777" w:rsidR="008A78E3" w:rsidRPr="00F5329C" w:rsidRDefault="008A78E3" w:rsidP="00F5329C">
      <w:pPr>
        <w:pStyle w:val="Listaszerbekezds"/>
        <w:ind w:left="1069"/>
        <w:rPr>
          <w:rFonts w:asciiTheme="minorHAnsi" w:hAnsiTheme="minorHAnsi" w:cstheme="minorHAnsi"/>
          <w:sz w:val="22"/>
          <w:szCs w:val="22"/>
        </w:rPr>
      </w:pPr>
      <w:r w:rsidRPr="005D4646">
        <w:rPr>
          <w:rFonts w:asciiTheme="minorHAnsi" w:hAnsiTheme="minorHAnsi"/>
          <w:sz w:val="22"/>
          <w:szCs w:val="22"/>
        </w:rPr>
        <w:t xml:space="preserve">Core állománynak tekintjük a látra szóló betéti állomány azon részét, amely a kamatkörnyezettől függetlenül, időben tartósan a bank rendelkezésére áll és </w:t>
      </w:r>
      <w:r w:rsidRPr="00F5329C">
        <w:rPr>
          <w:rFonts w:asciiTheme="minorHAnsi" w:hAnsiTheme="minorHAnsi" w:cstheme="minorHAnsi"/>
          <w:sz w:val="22"/>
          <w:szCs w:val="22"/>
        </w:rPr>
        <w:t xml:space="preserve">kamatrugalmassága alacsony, vagyis kamatának változása nem, vagy csak kis mértékben követi a piaci kamatok változását. </w:t>
      </w:r>
    </w:p>
    <w:p w14:paraId="7FFFF02E" w14:textId="77777777" w:rsidR="008A78E3" w:rsidRPr="00F5329C" w:rsidRDefault="008A78E3"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core állományok meghatározása a látra szóló betéti modellezés első lépése, ez az állomány </w:t>
      </w:r>
    </w:p>
    <w:p w14:paraId="7FFFF02F" w14:textId="77777777" w:rsidR="008A78E3" w:rsidRPr="00F5329C" w:rsidRDefault="008A78E3"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jelenti a további becslések alapját. Az alábbiakban ismertetett állomány- és kamatláb becslés, illetve cash flow előrejelzés a core állományra vonatkozik.</w:t>
      </w:r>
    </w:p>
    <w:p w14:paraId="7FFFF030" w14:textId="77777777" w:rsidR="008A78E3" w:rsidRPr="00F5329C" w:rsidRDefault="008A78E3"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A core állomány két különböző feltétel egyidejű teljesülése mentén határozható meg, ezeket érdemes lépésenként megbecsülni. A teljes állományon belül ún. stabil résznek tekinthető azon állomány, mely nagy valószínűséggel hosszabb ideig a Bank mérlegében marad az aktuálisan adott kamatszint mellett (azaz időben stabil). Ennek becslésére főleg historikus állományi adatok elemzése alkalmazható (pl. adott időtávon megtörtént maximum kiáramlás meghatározásával). Az alkalmazott historikus idősor minimum 10 év.</w:t>
      </w:r>
    </w:p>
    <w:p w14:paraId="7FFFF031" w14:textId="77777777" w:rsidR="008A78E3" w:rsidRPr="00F5329C" w:rsidRDefault="008A78E3"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A stabil állományon belül azon rész, mely erősen változó kamatkörnyezetben sem vagy csak alacsony valószínűséggel árazódik át (azaz kamatrugalmassága nullához közeli), tekinthető core állománynak. Az ezen felüli rész a non-core állomány (stabilitástól függetlenül), mely kamatérzékeny, a piaci kamatváltozásokra gyorsan reagáló terméknek tekintendő, és a legrövidebb (1 hónapos) átárazódási kategóriába kell, hogy kerüljön.</w:t>
      </w:r>
    </w:p>
    <w:p w14:paraId="7FFFF032" w14:textId="77777777" w:rsidR="008A78E3" w:rsidRPr="00F5329C" w:rsidRDefault="008A78E3"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Nem tekinthetők a core állomány részének a pénzügyi partnerek által elhelyezett, illetve a nagy összegű, egyedi betétek sem, ezeket a becslések során ki kell szűrni, és a non-core állományba kell sorolni minden esetben.</w:t>
      </w:r>
    </w:p>
    <w:p w14:paraId="7FFFF033" w14:textId="77777777" w:rsidR="008A78E3" w:rsidRPr="00F5329C" w:rsidRDefault="008A78E3"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core állomány meghatározása tehát egyrészt az ügyfelek magatartásából, másrészt a bank termékárazási gyakorlatából származó bizonytalanságok figyelembevételét jelenti a változó kamatkörnyezet mellett. A becslési módszer a hozzáférhető adatoktól függően többféle lehet: pl. historikus állományi adatok elemzése, egyedi számla adatok feldolgozása, idősor elemzési eljárások (pl. ARIMA) alkalmazása.  </w:t>
      </w:r>
    </w:p>
    <w:p w14:paraId="7FFFF034" w14:textId="77777777" w:rsidR="008A78E3" w:rsidRPr="00F5329C" w:rsidRDefault="008A78E3"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A látra szóló betéti állományra vonatkozóan a 2016-os bázeli iránymutatást, illetve a felülvizsgált EBA iránymutatást követve legalább a következő szegmentációt elvárt: </w:t>
      </w:r>
    </w:p>
    <w:p w14:paraId="7FFFF035" w14:textId="77777777" w:rsidR="008A78E3" w:rsidRPr="00F5329C" w:rsidRDefault="008A78E3"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tranzakcionális (nem kamatozó, vagy tranzakcionális célokra használt számlák), </w:t>
      </w:r>
    </w:p>
    <w:p w14:paraId="7FFFF036" w14:textId="77777777" w:rsidR="008A78E3" w:rsidRPr="00F5329C" w:rsidRDefault="008A78E3"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nem tranzakcionális, </w:t>
      </w:r>
    </w:p>
    <w:p w14:paraId="7FFFF037" w14:textId="77777777" w:rsidR="008A78E3" w:rsidRPr="00F5329C" w:rsidRDefault="008A78E3"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vállalati. </w:t>
      </w:r>
    </w:p>
    <w:p w14:paraId="7FFFF038" w14:textId="77777777" w:rsidR="008A78E3" w:rsidRPr="00F5329C" w:rsidRDefault="008A78E3" w:rsidP="00F5329C">
      <w:pPr>
        <w:spacing w:after="150"/>
        <w:ind w:left="1134"/>
        <w:rPr>
          <w:rFonts w:asciiTheme="minorHAnsi" w:hAnsiTheme="minorHAnsi" w:cstheme="minorHAnsi"/>
        </w:rPr>
      </w:pPr>
      <w:r w:rsidRPr="00F5329C">
        <w:rPr>
          <w:rFonts w:asciiTheme="minorHAnsi" w:hAnsiTheme="minorHAnsi" w:cstheme="minorHAnsi"/>
        </w:rPr>
        <w:t>Ezekre vonatkozóan a következő felső korlátok figyelembevétele szükséges:</w:t>
      </w:r>
    </w:p>
    <w:p w14:paraId="7FFFF039" w14:textId="77777777" w:rsidR="008A78E3" w:rsidRPr="00E87D60" w:rsidRDefault="008A78E3" w:rsidP="00E87D60">
      <w:pPr>
        <w:pStyle w:val="Listaszerbekezds"/>
        <w:spacing w:after="150" w:line="276" w:lineRule="auto"/>
        <w:ind w:left="1069"/>
        <w:rPr>
          <w:rFonts w:asciiTheme="minorHAnsi" w:hAnsiTheme="minorHAnsi"/>
          <w:sz w:val="22"/>
          <w:szCs w:val="22"/>
        </w:rPr>
      </w:pPr>
    </w:p>
    <w:tbl>
      <w:tblPr>
        <w:tblStyle w:val="Rcsostblzat"/>
        <w:tblW w:w="0" w:type="auto"/>
        <w:tblInd w:w="1069" w:type="dxa"/>
        <w:tblLook w:val="04A0" w:firstRow="1" w:lastRow="0" w:firstColumn="1" w:lastColumn="0" w:noHBand="0" w:noVBand="1"/>
      </w:tblPr>
      <w:tblGrid>
        <w:gridCol w:w="3037"/>
        <w:gridCol w:w="3119"/>
        <w:gridCol w:w="2148"/>
      </w:tblGrid>
      <w:tr w:rsidR="00527C4C" w14:paraId="7FFFF03D" w14:textId="77777777" w:rsidTr="00B426A9">
        <w:tc>
          <w:tcPr>
            <w:tcW w:w="3037" w:type="dxa"/>
          </w:tcPr>
          <w:p w14:paraId="7FFFF03A" w14:textId="77777777" w:rsidR="008A78E3" w:rsidRPr="00E87D60" w:rsidRDefault="008A78E3"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Szegmens</w:t>
            </w:r>
          </w:p>
        </w:tc>
        <w:tc>
          <w:tcPr>
            <w:tcW w:w="3119" w:type="dxa"/>
          </w:tcPr>
          <w:p w14:paraId="7FFFF03B" w14:textId="77777777" w:rsidR="008A78E3" w:rsidRPr="00E87D60" w:rsidRDefault="008A78E3"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A core állomány maxim</w:t>
            </w:r>
            <w:r>
              <w:rPr>
                <w:rFonts w:asciiTheme="minorHAnsi" w:hAnsiTheme="minorHAnsi"/>
                <w:b/>
                <w:bCs/>
                <w:sz w:val="22"/>
                <w:szCs w:val="22"/>
              </w:rPr>
              <w:t>ális</w:t>
            </w:r>
            <w:r w:rsidRPr="00E87D60">
              <w:rPr>
                <w:rFonts w:asciiTheme="minorHAnsi" w:hAnsiTheme="minorHAnsi"/>
                <w:b/>
                <w:bCs/>
                <w:sz w:val="22"/>
                <w:szCs w:val="22"/>
              </w:rPr>
              <w:t xml:space="preserve"> aránya</w:t>
            </w:r>
          </w:p>
        </w:tc>
        <w:tc>
          <w:tcPr>
            <w:tcW w:w="2148" w:type="dxa"/>
          </w:tcPr>
          <w:p w14:paraId="7FFFF03C" w14:textId="77777777" w:rsidR="008A78E3" w:rsidRPr="00E87D60" w:rsidRDefault="008A78E3"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Maximum átlagos hátralévő futamidő</w:t>
            </w:r>
          </w:p>
        </w:tc>
      </w:tr>
      <w:tr w:rsidR="00527C4C" w14:paraId="7FFFF041" w14:textId="77777777" w:rsidTr="00B426A9">
        <w:tc>
          <w:tcPr>
            <w:tcW w:w="3037" w:type="dxa"/>
          </w:tcPr>
          <w:p w14:paraId="7FFFF03E"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Lakossági / tranzakcionális</w:t>
            </w:r>
          </w:p>
        </w:tc>
        <w:tc>
          <w:tcPr>
            <w:tcW w:w="3119" w:type="dxa"/>
          </w:tcPr>
          <w:p w14:paraId="7FFFF03F"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90%</w:t>
            </w:r>
          </w:p>
        </w:tc>
        <w:tc>
          <w:tcPr>
            <w:tcW w:w="2148" w:type="dxa"/>
          </w:tcPr>
          <w:p w14:paraId="7FFFF040"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 év</w:t>
            </w:r>
          </w:p>
        </w:tc>
      </w:tr>
      <w:tr w:rsidR="00527C4C" w14:paraId="7FFFF045" w14:textId="77777777" w:rsidTr="00B426A9">
        <w:tc>
          <w:tcPr>
            <w:tcW w:w="3037" w:type="dxa"/>
          </w:tcPr>
          <w:p w14:paraId="7FFFF042"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Lakossági / nem tranzakcionális</w:t>
            </w:r>
          </w:p>
        </w:tc>
        <w:tc>
          <w:tcPr>
            <w:tcW w:w="3119" w:type="dxa"/>
          </w:tcPr>
          <w:p w14:paraId="7FFFF043"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70%</w:t>
            </w:r>
          </w:p>
        </w:tc>
        <w:tc>
          <w:tcPr>
            <w:tcW w:w="2148" w:type="dxa"/>
          </w:tcPr>
          <w:p w14:paraId="7FFFF044"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4,5 év</w:t>
            </w:r>
          </w:p>
        </w:tc>
      </w:tr>
      <w:tr w:rsidR="00527C4C" w14:paraId="7FFFF049" w14:textId="77777777" w:rsidTr="00B426A9">
        <w:tc>
          <w:tcPr>
            <w:tcW w:w="3037" w:type="dxa"/>
          </w:tcPr>
          <w:p w14:paraId="7FFFF046"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Vállalati</w:t>
            </w:r>
          </w:p>
        </w:tc>
        <w:tc>
          <w:tcPr>
            <w:tcW w:w="3119" w:type="dxa"/>
          </w:tcPr>
          <w:p w14:paraId="7FFFF047"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50%</w:t>
            </w:r>
          </w:p>
        </w:tc>
        <w:tc>
          <w:tcPr>
            <w:tcW w:w="2148" w:type="dxa"/>
          </w:tcPr>
          <w:p w14:paraId="7FFFF048" w14:textId="77777777" w:rsidR="008A78E3" w:rsidRPr="00E87D60" w:rsidRDefault="008A78E3"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 év</w:t>
            </w:r>
          </w:p>
        </w:tc>
      </w:tr>
    </w:tbl>
    <w:p w14:paraId="7FFFF04A" w14:textId="77777777" w:rsidR="008A78E3" w:rsidRPr="005D4646" w:rsidRDefault="008A78E3" w:rsidP="007F1D4A">
      <w:pPr>
        <w:pStyle w:val="Listaszerbekezds"/>
        <w:ind w:left="1069"/>
        <w:rPr>
          <w:rFonts w:asciiTheme="minorHAnsi" w:hAnsiTheme="minorHAnsi"/>
          <w:sz w:val="22"/>
          <w:szCs w:val="22"/>
        </w:rPr>
      </w:pPr>
    </w:p>
    <w:p w14:paraId="7FFFF04B" w14:textId="77777777" w:rsidR="008A78E3" w:rsidRPr="0055569D" w:rsidRDefault="008A78E3" w:rsidP="007F1D4A">
      <w:pPr>
        <w:ind w:left="709"/>
        <w:rPr>
          <w:rFonts w:asciiTheme="minorHAnsi" w:hAnsiTheme="minorHAnsi"/>
          <w:b/>
          <w:i/>
          <w:color w:val="auto"/>
        </w:rPr>
      </w:pPr>
    </w:p>
    <w:p w14:paraId="7FFFF04C" w14:textId="77777777" w:rsidR="008A78E3" w:rsidRPr="0055569D" w:rsidRDefault="008A78E3" w:rsidP="007F1D4A">
      <w:pPr>
        <w:ind w:left="360"/>
        <w:rPr>
          <w:rFonts w:asciiTheme="minorHAnsi" w:hAnsiTheme="minorHAnsi"/>
          <w:b/>
          <w:i/>
          <w:color w:val="auto"/>
        </w:rPr>
      </w:pPr>
      <w:r w:rsidRPr="0055569D">
        <w:rPr>
          <w:rFonts w:asciiTheme="minorHAnsi" w:hAnsiTheme="minorHAnsi"/>
          <w:b/>
          <w:i/>
          <w:color w:val="auto"/>
        </w:rPr>
        <w:t>C.2. Állomány becslés</w:t>
      </w:r>
    </w:p>
    <w:p w14:paraId="7FFFF04D" w14:textId="77777777" w:rsidR="008A78E3" w:rsidRPr="005D4646" w:rsidRDefault="008A78E3" w:rsidP="007F1D4A">
      <w:pPr>
        <w:pStyle w:val="Listaszerbekezds"/>
        <w:ind w:left="1069"/>
        <w:rPr>
          <w:rFonts w:asciiTheme="minorHAnsi" w:hAnsiTheme="minorHAnsi"/>
          <w:b/>
          <w:i/>
          <w:sz w:val="22"/>
          <w:szCs w:val="22"/>
        </w:rPr>
      </w:pPr>
      <w:r w:rsidRPr="005D4646">
        <w:rPr>
          <w:rFonts w:asciiTheme="minorHAnsi" w:hAnsiTheme="minorHAnsi"/>
          <w:b/>
          <w:i/>
          <w:sz w:val="22"/>
          <w:szCs w:val="22"/>
        </w:rPr>
        <w:t xml:space="preserve"> </w:t>
      </w:r>
    </w:p>
    <w:p w14:paraId="7FFFF04E" w14:textId="77777777" w:rsidR="008A78E3" w:rsidRPr="005D4646" w:rsidRDefault="008A78E3" w:rsidP="007F1D4A">
      <w:pPr>
        <w:pStyle w:val="Listaszerbekezds"/>
        <w:ind w:left="1069"/>
        <w:rPr>
          <w:rFonts w:asciiTheme="minorHAnsi" w:hAnsiTheme="minorHAnsi"/>
          <w:sz w:val="22"/>
        </w:rPr>
      </w:pPr>
      <w:bookmarkStart w:id="1875" w:name="_Hlk116916895"/>
      <w:r w:rsidRPr="00E87D60">
        <w:rPr>
          <w:rFonts w:asciiTheme="minorHAnsi" w:hAnsiTheme="minorHAnsi" w:cstheme="minorHAnsi"/>
          <w:sz w:val="22"/>
          <w:szCs w:val="22"/>
        </w:rPr>
        <w:t>A jövedelem érzékenységének becslésekor</w:t>
      </w:r>
      <w:r w:rsidRPr="0055569D">
        <w:rPr>
          <w:rFonts w:asciiTheme="minorHAnsi" w:hAnsiTheme="minorHAnsi"/>
          <w:sz w:val="22"/>
        </w:rPr>
        <w:t xml:space="preserve"> </w:t>
      </w:r>
      <w:r w:rsidRPr="00E87D60">
        <w:rPr>
          <w:rFonts w:asciiTheme="minorHAnsi" w:hAnsiTheme="minorHAnsi" w:cstheme="minorHAnsi"/>
          <w:sz w:val="22"/>
          <w:szCs w:val="22"/>
        </w:rPr>
        <w:t>az MNB elvárja, hogy az alkalmazott</w:t>
      </w:r>
      <w:r w:rsidRPr="0055569D">
        <w:rPr>
          <w:rFonts w:asciiTheme="minorHAnsi" w:hAnsiTheme="minorHAnsi"/>
          <w:sz w:val="22"/>
        </w:rPr>
        <w:t xml:space="preserve"> modell változatlan </w:t>
      </w:r>
      <w:r w:rsidRPr="00E87D60">
        <w:rPr>
          <w:rFonts w:asciiTheme="minorHAnsi" w:hAnsiTheme="minorHAnsi" w:cstheme="minorHAnsi"/>
          <w:sz w:val="22"/>
          <w:szCs w:val="22"/>
        </w:rPr>
        <w:t>mérlegállományt</w:t>
      </w:r>
      <w:r w:rsidRPr="0055569D">
        <w:rPr>
          <w:rFonts w:asciiTheme="minorHAnsi" w:hAnsiTheme="minorHAnsi"/>
          <w:sz w:val="22"/>
        </w:rPr>
        <w:t xml:space="preserve"> és </w:t>
      </w:r>
      <w:r w:rsidRPr="00E87D60">
        <w:rPr>
          <w:rFonts w:asciiTheme="minorHAnsi" w:hAnsiTheme="minorHAnsi" w:cstheme="minorHAnsi"/>
          <w:sz w:val="22"/>
          <w:szCs w:val="22"/>
        </w:rPr>
        <w:t xml:space="preserve">szerkezetet feltételezzen, vagyis a lejáró állományok helyettesítését </w:t>
      </w:r>
      <w:r w:rsidRPr="005D4646">
        <w:rPr>
          <w:rFonts w:asciiTheme="minorHAnsi" w:hAnsiTheme="minorHAnsi" w:cstheme="minorHAnsi"/>
          <w:sz w:val="22"/>
          <w:szCs w:val="22"/>
        </w:rPr>
        <w:t xml:space="preserve">a </w:t>
      </w:r>
      <w:bookmarkEnd w:id="1875"/>
      <w:r w:rsidRPr="005D4646">
        <w:rPr>
          <w:rFonts w:asciiTheme="minorHAnsi" w:hAnsiTheme="minorHAnsi" w:cstheme="minorHAnsi"/>
          <w:sz w:val="22"/>
          <w:szCs w:val="22"/>
        </w:rPr>
        <w:t>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w:t>
      </w:r>
      <w:r w:rsidRPr="005D4646">
        <w:rPr>
          <w:rFonts w:asciiTheme="minorHAnsi" w:hAnsiTheme="minorHAnsi"/>
          <w:sz w:val="22"/>
        </w:rPr>
        <w:t xml:space="preserve"> látra szóló betétek esetében bizonyos fokig feloldjuk. A jövedelem érzékenység becslésekor a látra szóló betéti állomány változatlansága helyett a lekötött betéteket is tartalmazó teljes betéti állomány változatlanságát feltételezzük, és</w:t>
      </w:r>
      <w:r w:rsidRPr="0055569D">
        <w:rPr>
          <w:rFonts w:asciiTheme="minorHAnsi" w:hAnsiTheme="minorHAnsi"/>
          <w:sz w:val="22"/>
        </w:rPr>
        <w:t xml:space="preserve"> </w:t>
      </w:r>
      <w:r w:rsidRPr="005D4646">
        <w:rPr>
          <w:rFonts w:asciiTheme="minorHAnsi" w:hAnsiTheme="minorHAnsi"/>
          <w:sz w:val="22"/>
        </w:rPr>
        <w:t>a betéti állományon belül elvárjuk</w:t>
      </w:r>
      <w:r w:rsidRPr="0055569D">
        <w:rPr>
          <w:rFonts w:asciiTheme="minorHAnsi" w:hAnsiTheme="minorHAnsi"/>
          <w:sz w:val="22"/>
        </w:rPr>
        <w:t xml:space="preserve"> </w:t>
      </w:r>
      <w:r w:rsidRPr="005D4646">
        <w:rPr>
          <w:rFonts w:asciiTheme="minorHAnsi" w:hAnsiTheme="minorHAnsi"/>
          <w:sz w:val="22"/>
        </w:rPr>
        <w:t>a lekötött és látra szóló betéti állomány teljes állományhoz viszonyított arányának lehetséges változását figyelembe venni.</w:t>
      </w:r>
    </w:p>
    <w:p w14:paraId="7FFFF04F" w14:textId="77777777" w:rsidR="008A78E3" w:rsidRPr="005D4646" w:rsidRDefault="008A78E3" w:rsidP="007F1D4A">
      <w:pPr>
        <w:pStyle w:val="Listaszerbekezds"/>
        <w:ind w:left="1069"/>
        <w:rPr>
          <w:rFonts w:asciiTheme="minorHAnsi" w:hAnsiTheme="minorHAnsi"/>
          <w:sz w:val="22"/>
        </w:rPr>
      </w:pPr>
      <w:bookmarkStart w:id="1876" w:name="_Hlk22221639"/>
      <w:r w:rsidRPr="005D4646">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876"/>
    <w:p w14:paraId="7FFFF050" w14:textId="77777777" w:rsidR="008A78E3" w:rsidRPr="005D4646" w:rsidRDefault="008A78E3" w:rsidP="007F1D4A">
      <w:pPr>
        <w:pStyle w:val="Listaszerbekezds"/>
        <w:ind w:left="1069"/>
        <w:rPr>
          <w:rFonts w:asciiTheme="minorHAnsi" w:hAnsiTheme="minorHAnsi"/>
          <w:sz w:val="22"/>
        </w:rPr>
      </w:pPr>
    </w:p>
    <w:p w14:paraId="7FFFF051" w14:textId="77777777" w:rsidR="008A78E3" w:rsidRPr="0055569D" w:rsidRDefault="008A78E3" w:rsidP="007F1D4A">
      <w:pPr>
        <w:ind w:left="360"/>
        <w:rPr>
          <w:rFonts w:asciiTheme="minorHAnsi" w:hAnsiTheme="minorHAnsi"/>
          <w:b/>
          <w:i/>
          <w:color w:val="auto"/>
        </w:rPr>
      </w:pPr>
      <w:r w:rsidRPr="0055569D">
        <w:rPr>
          <w:rFonts w:asciiTheme="minorHAnsi" w:hAnsiTheme="minorHAnsi"/>
          <w:b/>
          <w:i/>
          <w:color w:val="auto"/>
        </w:rPr>
        <w:t>C.3. Kamatláb becslés</w:t>
      </w:r>
    </w:p>
    <w:p w14:paraId="7FFFF052" w14:textId="77777777" w:rsidR="008A78E3" w:rsidRPr="0055569D" w:rsidRDefault="008A78E3" w:rsidP="007F1D4A">
      <w:pPr>
        <w:ind w:left="1069"/>
        <w:rPr>
          <w:rFonts w:asciiTheme="minorHAnsi" w:hAnsiTheme="minorHAnsi"/>
          <w:color w:val="auto"/>
        </w:rPr>
      </w:pPr>
      <w:r w:rsidRPr="00E87D60">
        <w:rPr>
          <w:rFonts w:asciiTheme="minorHAnsi" w:hAnsiTheme="minorHAnsi"/>
          <w:color w:val="auto"/>
        </w:rPr>
        <w:t>A látra</w:t>
      </w:r>
      <w:r w:rsidRPr="0055569D">
        <w:rPr>
          <w:rFonts w:asciiTheme="minorHAnsi" w:hAnsiTheme="minorHAnsi"/>
          <w:color w:val="auto"/>
        </w:rPr>
        <w:t xml:space="preserve"> szóló betétek kamatlábának becslésekor a cél a különböző piaci forgatókönyvekben előre jelezni e termékek kamatlábának </w:t>
      </w:r>
      <w:r w:rsidRPr="00E87D60">
        <w:rPr>
          <w:rFonts w:asciiTheme="minorHAnsi" w:hAnsiTheme="minorHAnsi"/>
          <w:color w:val="auto"/>
        </w:rPr>
        <w:t xml:space="preserve">az </w:t>
      </w:r>
      <w:r w:rsidRPr="0055569D">
        <w:rPr>
          <w:rFonts w:asciiTheme="minorHAnsi" w:hAnsiTheme="minorHAnsi"/>
          <w:color w:val="auto"/>
        </w:rPr>
        <w:t xml:space="preserve">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7FFFF053" w14:textId="77777777" w:rsidR="008A78E3" w:rsidRPr="005D4646" w:rsidRDefault="008A78E3" w:rsidP="007F1D4A">
      <w:pPr>
        <w:pStyle w:val="Listaszerbekezds"/>
        <w:ind w:left="1069"/>
        <w:rPr>
          <w:rFonts w:asciiTheme="minorHAnsi" w:hAnsiTheme="minorHAnsi"/>
          <w:sz w:val="22"/>
        </w:rPr>
      </w:pPr>
      <w:r w:rsidRPr="005D4646">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7FFFF054" w14:textId="77777777" w:rsidR="008A78E3" w:rsidRPr="005D4646" w:rsidRDefault="008A78E3" w:rsidP="007F1D4A">
      <w:pPr>
        <w:pStyle w:val="Listaszerbekezds"/>
        <w:ind w:left="1069"/>
        <w:rPr>
          <w:rFonts w:asciiTheme="minorHAnsi" w:hAnsiTheme="minorHAnsi"/>
          <w:b/>
          <w:i/>
          <w:sz w:val="22"/>
        </w:rPr>
      </w:pPr>
    </w:p>
    <w:p w14:paraId="7FFFF055" w14:textId="77777777" w:rsidR="008A78E3" w:rsidRPr="0055569D" w:rsidRDefault="008A78E3" w:rsidP="007F1D4A">
      <w:pPr>
        <w:ind w:left="360"/>
        <w:rPr>
          <w:rFonts w:asciiTheme="minorHAnsi" w:hAnsiTheme="minorHAnsi"/>
          <w:b/>
          <w:i/>
          <w:color w:val="auto"/>
        </w:rPr>
      </w:pPr>
      <w:r w:rsidRPr="0055569D">
        <w:rPr>
          <w:rFonts w:asciiTheme="minorHAnsi" w:hAnsiTheme="minorHAnsi"/>
          <w:b/>
          <w:i/>
          <w:color w:val="auto"/>
        </w:rPr>
        <w:t xml:space="preserve">C.4. Amortizáció, cash flow becslés </w:t>
      </w:r>
    </w:p>
    <w:p w14:paraId="7FFFF056" w14:textId="77777777" w:rsidR="008A78E3" w:rsidRPr="0055569D" w:rsidRDefault="008A78E3" w:rsidP="007F1D4A">
      <w:pPr>
        <w:ind w:left="1069"/>
        <w:rPr>
          <w:rFonts w:asciiTheme="minorHAnsi" w:hAnsiTheme="minorHAnsi"/>
          <w:color w:val="auto"/>
        </w:rPr>
      </w:pPr>
      <w:r w:rsidRPr="0055569D">
        <w:rPr>
          <w:rFonts w:asciiTheme="minorHAnsi" w:hAnsiTheme="minorHAnsi"/>
          <w:color w:val="auto"/>
        </w:rPr>
        <w:t xml:space="preserve">A tőke gazdasági értékének becslésekor a látra szóló betétek esetében is az ún. ’run-off’ megközelítés </w:t>
      </w:r>
      <w:r w:rsidRPr="00E87D60">
        <w:rPr>
          <w:rFonts w:asciiTheme="minorHAnsi" w:hAnsiTheme="minorHAnsi"/>
          <w:color w:val="auto"/>
        </w:rPr>
        <w:t>alkalmazandó</w:t>
      </w:r>
      <w:r w:rsidRPr="0055569D">
        <w:rPr>
          <w:rFonts w:asciiTheme="minorHAnsi" w:hAnsiTheme="minorHAnsi"/>
          <w:color w:val="auto"/>
        </w:rPr>
        <w:t>, azaz a mérlegben aktuálisan meglévő állomány amortizációjának becslése, illetve az amortizációs sémából származó tőke</w:t>
      </w:r>
      <w:r w:rsidRPr="00E87D60">
        <w:rPr>
          <w:rFonts w:asciiTheme="minorHAnsi" w:hAnsiTheme="minorHAnsi"/>
          <w:color w:val="auto"/>
        </w:rPr>
        <w:t xml:space="preserve">- </w:t>
      </w:r>
      <w:r w:rsidRPr="0055569D">
        <w:rPr>
          <w:rFonts w:asciiTheme="minorHAnsi" w:hAnsiTheme="minorHAnsi"/>
          <w:color w:val="auto"/>
        </w:rPr>
        <w:t xml:space="preserve">és kamat pénzáramlások előrejelzése történik. Az így </w:t>
      </w:r>
      <w:r w:rsidRPr="00E87D60">
        <w:rPr>
          <w:rFonts w:asciiTheme="minorHAnsi" w:hAnsiTheme="minorHAnsi"/>
          <w:color w:val="auto"/>
        </w:rPr>
        <w:t>előrejelzett</w:t>
      </w:r>
      <w:r w:rsidRPr="0055569D">
        <w:rPr>
          <w:rFonts w:asciiTheme="minorHAnsi" w:hAnsiTheme="minorHAnsi"/>
          <w:color w:val="auto"/>
        </w:rPr>
        <w:t xml:space="preserve"> cash flow jelenértékének érzékenysége adja a látra szóló betétek hozzájárulását a teljes tőkeérték</w:t>
      </w:r>
      <w:r w:rsidRPr="00E87D60">
        <w:rPr>
          <w:rFonts w:asciiTheme="minorHAnsi" w:hAnsiTheme="minorHAnsi"/>
          <w:color w:val="auto"/>
        </w:rPr>
        <w:t>-</w:t>
      </w:r>
      <w:r w:rsidRPr="0055569D">
        <w:rPr>
          <w:rFonts w:asciiTheme="minorHAnsi" w:hAnsiTheme="minorHAnsi"/>
          <w:color w:val="auto"/>
        </w:rPr>
        <w:t>érzékenységhez. A különböző kamat</w:t>
      </w:r>
      <w:r w:rsidRPr="00E87D60">
        <w:rPr>
          <w:rFonts w:asciiTheme="minorHAnsi" w:hAnsiTheme="minorHAnsi"/>
          <w:color w:val="auto"/>
        </w:rPr>
        <w:t>-</w:t>
      </w:r>
      <w:r w:rsidRPr="0055569D">
        <w:rPr>
          <w:rFonts w:asciiTheme="minorHAnsi" w:hAnsiTheme="minorHAnsi"/>
          <w:color w:val="auto"/>
        </w:rPr>
        <w:t xml:space="preserve">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7FFFF057" w14:textId="77777777" w:rsidR="008A78E3" w:rsidRPr="0055569D" w:rsidRDefault="008A78E3" w:rsidP="007F1D4A">
      <w:pPr>
        <w:ind w:left="1069"/>
        <w:rPr>
          <w:rFonts w:asciiTheme="minorHAnsi" w:hAnsiTheme="minorHAnsi"/>
          <w:color w:val="auto"/>
        </w:rPr>
      </w:pPr>
      <w:r w:rsidRPr="0055569D">
        <w:rPr>
          <w:rFonts w:asciiTheme="minorHAnsi" w:hAnsiTheme="minorHAnsi"/>
          <w:color w:val="auto"/>
        </w:rPr>
        <w:t xml:space="preserve">A betéti kamatlábak becslése külön almodellben történik (ld. előző pont). A lejárati idő és az amortizáció (tőke cash flow) becslése </w:t>
      </w:r>
      <w:r w:rsidRPr="00E87D60">
        <w:rPr>
          <w:rFonts w:asciiTheme="minorHAnsi" w:hAnsiTheme="minorHAnsi"/>
          <w:color w:val="auto"/>
        </w:rPr>
        <w:t xml:space="preserve">legtöbb esetben </w:t>
      </w:r>
      <w:r w:rsidRPr="0055569D">
        <w:rPr>
          <w:rFonts w:asciiTheme="minorHAnsi" w:hAnsiTheme="minorHAnsi"/>
          <w:color w:val="auto"/>
        </w:rPr>
        <w:t xml:space="preserve">a replikáló portfólió eljárás alkalmazásával történik. A replikáló portfólió meghatározásakor az </w:t>
      </w:r>
      <w:r>
        <w:rPr>
          <w:rFonts w:asciiTheme="minorHAnsi" w:hAnsiTheme="minorHAnsi"/>
          <w:color w:val="auto"/>
        </w:rPr>
        <w:t xml:space="preserve">MNB </w:t>
      </w:r>
      <w:r w:rsidRPr="00E87D60">
        <w:rPr>
          <w:rFonts w:asciiTheme="minorHAnsi" w:hAnsiTheme="minorHAnsi"/>
          <w:color w:val="auto"/>
        </w:rPr>
        <w:t xml:space="preserve"> az </w:t>
      </w:r>
      <w:r w:rsidRPr="0055569D">
        <w:rPr>
          <w:rFonts w:asciiTheme="minorHAnsi" w:hAnsiTheme="minorHAnsi"/>
          <w:color w:val="auto"/>
        </w:rPr>
        <w:t xml:space="preserve">1, 3, 6, 12 hónapos és a 3, 5, 10 éves hozamgörbe pontokat </w:t>
      </w:r>
      <w:r>
        <w:rPr>
          <w:rFonts w:asciiTheme="minorHAnsi" w:hAnsiTheme="minorHAnsi"/>
          <w:color w:val="auto"/>
        </w:rPr>
        <w:t>használja</w:t>
      </w:r>
      <w:r w:rsidRPr="0055569D">
        <w:rPr>
          <w:rFonts w:asciiTheme="minorHAnsi" w:hAnsiTheme="minorHAnsi"/>
          <w:color w:val="auto"/>
        </w:rPr>
        <w:t xml:space="preserve"> a modellben </w:t>
      </w:r>
      <w:r>
        <w:rPr>
          <w:rFonts w:asciiTheme="minorHAnsi" w:hAnsiTheme="minorHAnsi"/>
          <w:color w:val="auto"/>
        </w:rPr>
        <w:t xml:space="preserve">és elvárja, hogy </w:t>
      </w:r>
      <w:r w:rsidRPr="0055569D">
        <w:rPr>
          <w:rFonts w:asciiTheme="minorHAnsi" w:hAnsiTheme="minorHAnsi"/>
          <w:color w:val="auto"/>
        </w:rPr>
        <w:t xml:space="preserve">a </w:t>
      </w:r>
      <w:r>
        <w:rPr>
          <w:rFonts w:asciiTheme="minorHAnsi" w:hAnsiTheme="minorHAnsi"/>
          <w:color w:val="auto"/>
        </w:rPr>
        <w:t xml:space="preserve">banki modellekben legalább kettő éven belüli és kettő éven túli hozampont szerepeljen. Minden esetben </w:t>
      </w:r>
      <w:r w:rsidRPr="00E87D60">
        <w:rPr>
          <w:rFonts w:asciiTheme="minorHAnsi" w:hAnsiTheme="minorHAnsi"/>
          <w:color w:val="auto"/>
        </w:rPr>
        <w:t>megkötés</w:t>
      </w:r>
      <w:r w:rsidRPr="0055569D">
        <w:rPr>
          <w:rFonts w:asciiTheme="minorHAnsi" w:hAnsiTheme="minorHAnsi"/>
          <w:color w:val="auto"/>
        </w:rPr>
        <w:t xml:space="preserve">, hogy az eredményként kapott portfólió átlagos futamideje </w:t>
      </w:r>
      <w:r w:rsidRPr="00E87D60">
        <w:rPr>
          <w:rFonts w:asciiTheme="minorHAnsi" w:hAnsiTheme="minorHAnsi"/>
          <w:color w:val="auto"/>
        </w:rPr>
        <w:t xml:space="preserve">az adott szegmensben </w:t>
      </w:r>
      <w:r w:rsidRPr="0055569D">
        <w:rPr>
          <w:rFonts w:asciiTheme="minorHAnsi" w:hAnsiTheme="minorHAnsi"/>
          <w:color w:val="auto"/>
        </w:rPr>
        <w:t>nem lehet nagyobb</w:t>
      </w:r>
      <w:r w:rsidRPr="00E87D60">
        <w:rPr>
          <w:rFonts w:asciiTheme="minorHAnsi" w:hAnsiTheme="minorHAnsi"/>
          <w:color w:val="auto"/>
        </w:rPr>
        <w:t>,</w:t>
      </w:r>
      <w:r w:rsidRPr="0055569D">
        <w:rPr>
          <w:rFonts w:asciiTheme="minorHAnsi" w:hAnsiTheme="minorHAnsi"/>
          <w:color w:val="auto"/>
        </w:rPr>
        <w:t xml:space="preserve"> mint </w:t>
      </w:r>
      <w:r w:rsidRPr="00E87D60">
        <w:rPr>
          <w:rFonts w:asciiTheme="minorHAnsi" w:hAnsiTheme="minorHAnsi"/>
          <w:color w:val="auto"/>
        </w:rPr>
        <w:t xml:space="preserve">a C.1. pontban ismertetett maximum átlagos futamidő. </w:t>
      </w:r>
      <w:r w:rsidRPr="0055569D">
        <w:rPr>
          <w:rFonts w:asciiTheme="minorHAnsi" w:hAnsiTheme="minorHAnsi"/>
          <w:color w:val="auto"/>
        </w:rPr>
        <w:t xml:space="preserve"> A replikáló eljárás a látra szóló betéti állomány core részét osztja optimális módon a kiemelt tenorokba, míg a betétek nem core része a rövid időn belüli esedékességet jelentő 1 hónapos kategóriába kerül. Az optimalizálandó célváltozó az ún. Sharpe ráta, azaz az egyes hozamgörbe pontoknak megfelelő befektetések súlyát a replikáló portfólió és a betéti kamat közötti </w:t>
      </w:r>
      <w:r w:rsidRPr="00E87D60">
        <w:rPr>
          <w:rFonts w:asciiTheme="minorHAnsi" w:hAnsiTheme="minorHAnsi"/>
          <w:color w:val="auto"/>
        </w:rPr>
        <w:t>marzs</w:t>
      </w:r>
      <w:r w:rsidRPr="0055569D">
        <w:rPr>
          <w:rFonts w:asciiTheme="minorHAnsi" w:hAnsiTheme="minorHAnsi"/>
          <w:color w:val="auto"/>
        </w:rPr>
        <w:t xml:space="preserve"> és a </w:t>
      </w:r>
      <w:r w:rsidRPr="00E87D60">
        <w:rPr>
          <w:rFonts w:asciiTheme="minorHAnsi" w:hAnsiTheme="minorHAnsi"/>
          <w:color w:val="auto"/>
        </w:rPr>
        <w:t>marzs</w:t>
      </w:r>
      <w:r w:rsidRPr="0055569D">
        <w:rPr>
          <w:rFonts w:asciiTheme="minorHAnsi" w:hAnsiTheme="minorHAnsi"/>
          <w:color w:val="auto"/>
        </w:rPr>
        <w:t xml:space="preserve"> szórásának hányadosaként meghatározott mutató maximumának keresésével </w:t>
      </w:r>
      <w:r w:rsidRPr="00E87D60">
        <w:rPr>
          <w:rFonts w:asciiTheme="minorHAnsi" w:hAnsiTheme="minorHAnsi"/>
          <w:color w:val="auto"/>
        </w:rPr>
        <w:t>javasolt beállítani</w:t>
      </w:r>
      <w:r w:rsidRPr="0055569D">
        <w:rPr>
          <w:rFonts w:asciiTheme="minorHAnsi" w:hAnsiTheme="minorHAnsi"/>
          <w:color w:val="auto"/>
        </w:rPr>
        <w:t xml:space="preserve">. </w:t>
      </w:r>
    </w:p>
    <w:p w14:paraId="7FFFF058" w14:textId="77777777" w:rsidR="008A78E3" w:rsidRPr="0055569D" w:rsidRDefault="008A78E3" w:rsidP="007F1D4A">
      <w:pPr>
        <w:ind w:left="1069"/>
        <w:rPr>
          <w:rFonts w:asciiTheme="minorHAnsi" w:hAnsiTheme="minorHAnsi"/>
          <w:color w:val="auto"/>
        </w:rPr>
      </w:pPr>
      <w:r w:rsidRPr="0055569D">
        <w:rPr>
          <w:rFonts w:asciiTheme="minorHAnsi" w:hAnsiTheme="minorHAnsi"/>
          <w:color w:val="auto"/>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havi egyenlő összegekben amortizálódik. A teljes amortizációs séma ezen egyenletesen amortizálódó részösszegek összegzésével áll elő. </w:t>
      </w:r>
    </w:p>
    <w:p w14:paraId="7FFFF059" w14:textId="77777777" w:rsidR="008A78E3" w:rsidRPr="0055569D" w:rsidRDefault="008A78E3" w:rsidP="007F1D4A">
      <w:pPr>
        <w:ind w:left="1069"/>
        <w:rPr>
          <w:rFonts w:asciiTheme="minorHAnsi" w:hAnsiTheme="minorHAnsi"/>
          <w:color w:val="auto"/>
        </w:rPr>
      </w:pPr>
    </w:p>
    <w:p w14:paraId="7FFFF05A" w14:textId="77777777" w:rsidR="008A78E3" w:rsidRPr="0055569D" w:rsidRDefault="008A78E3" w:rsidP="007F1D4A">
      <w:pPr>
        <w:ind w:left="360"/>
        <w:rPr>
          <w:rFonts w:asciiTheme="minorHAnsi" w:hAnsiTheme="minorHAnsi"/>
          <w:b/>
          <w:i/>
          <w:color w:val="auto"/>
        </w:rPr>
      </w:pPr>
      <w:r w:rsidRPr="0055569D">
        <w:rPr>
          <w:rFonts w:asciiTheme="minorHAnsi" w:hAnsiTheme="minorHAnsi"/>
          <w:b/>
          <w:i/>
          <w:color w:val="auto"/>
        </w:rPr>
        <w:t>C.5. Piaci forgatókönyvek</w:t>
      </w:r>
    </w:p>
    <w:p w14:paraId="7FFFF05B" w14:textId="77777777" w:rsidR="008A78E3" w:rsidRPr="005D4646" w:rsidRDefault="008A78E3" w:rsidP="007F1D4A">
      <w:pPr>
        <w:pStyle w:val="Listaszerbekezds"/>
        <w:ind w:left="1069"/>
        <w:rPr>
          <w:rFonts w:asciiTheme="minorHAnsi" w:hAnsiTheme="minorHAnsi"/>
          <w:b/>
          <w:i/>
          <w:sz w:val="22"/>
        </w:rPr>
      </w:pPr>
    </w:p>
    <w:p w14:paraId="7FFFF05C" w14:textId="77777777" w:rsidR="008A78E3" w:rsidRPr="0055569D" w:rsidRDefault="008A78E3" w:rsidP="007F1D4A">
      <w:pPr>
        <w:pStyle w:val="Listaszerbekezds"/>
        <w:rPr>
          <w:rFonts w:asciiTheme="minorHAnsi" w:hAnsiTheme="minorHAnsi"/>
          <w:sz w:val="22"/>
        </w:rPr>
      </w:pPr>
      <w:r w:rsidRPr="0055569D">
        <w:rPr>
          <w:rFonts w:asciiTheme="minorHAnsi" w:hAnsiTheme="minorHAnsi"/>
          <w:sz w:val="22"/>
        </w:rPr>
        <w:t xml:space="preserve">A látra szóló betétek modellezésénél alkalmazott piaci sokk forgatókönyvek megegyeznek a bázeli, az EBA ajánlásokban megjelenő és az MNB által alkalmazott 6 forgatókönyvvel (ld. 2. függelék). Az egyes almodellekben használt </w:t>
      </w:r>
      <w:r w:rsidRPr="00E87D60">
        <w:rPr>
          <w:rFonts w:asciiTheme="minorHAnsi" w:hAnsiTheme="minorHAnsi"/>
          <w:sz w:val="22"/>
          <w:szCs w:val="22"/>
        </w:rPr>
        <w:t>előrejelzett</w:t>
      </w:r>
      <w:r w:rsidRPr="0055569D">
        <w:rPr>
          <w:rFonts w:asciiTheme="minorHAnsi" w:hAnsiTheme="minorHAnsi"/>
          <w:sz w:val="22"/>
        </w:rPr>
        <w:t xml:space="preserve"> jövőbeli kamatlábak az aktuális hozamgörbe felhasználásával számított forward hozamokkal egyeznek meg. </w:t>
      </w:r>
      <w:r w:rsidRPr="00E87D60">
        <w:rPr>
          <w:rFonts w:asciiTheme="minorHAnsi" w:hAnsiTheme="minorHAnsi"/>
          <w:sz w:val="22"/>
          <w:szCs w:val="22"/>
        </w:rPr>
        <w:t>A 2. függelékben leírt módszerrel összhangban a</w:t>
      </w:r>
      <w:r w:rsidRPr="0055569D">
        <w:rPr>
          <w:rFonts w:asciiTheme="minorHAnsi" w:hAnsiTheme="minorHAnsi"/>
          <w:sz w:val="22"/>
        </w:rPr>
        <w:t xml:space="preserve"> hat azonnali kamatsokk által meghatározott hat </w:t>
      </w:r>
      <w:r w:rsidRPr="00E87D60">
        <w:rPr>
          <w:rFonts w:asciiTheme="minorHAnsi" w:hAnsiTheme="minorHAnsi"/>
          <w:sz w:val="22"/>
          <w:szCs w:val="22"/>
        </w:rPr>
        <w:t>spot</w:t>
      </w:r>
      <w:r w:rsidRPr="0055569D">
        <w:rPr>
          <w:rFonts w:asciiTheme="minorHAnsi" w:hAnsiTheme="minorHAnsi"/>
          <w:sz w:val="22"/>
        </w:rPr>
        <w:t xml:space="preserve"> hozamgörbe alapján </w:t>
      </w:r>
      <w:r w:rsidRPr="00E87D60">
        <w:rPr>
          <w:rFonts w:asciiTheme="minorHAnsi" w:hAnsiTheme="minorHAnsi"/>
          <w:sz w:val="22"/>
          <w:szCs w:val="22"/>
        </w:rPr>
        <w:t xml:space="preserve">elvárt meghatározni </w:t>
      </w:r>
      <w:r w:rsidRPr="0055569D">
        <w:rPr>
          <w:rFonts w:asciiTheme="minorHAnsi" w:hAnsiTheme="minorHAnsi"/>
          <w:sz w:val="22"/>
        </w:rPr>
        <w:t xml:space="preserve">a forward </w:t>
      </w:r>
      <w:r w:rsidRPr="00E87D60">
        <w:rPr>
          <w:rFonts w:asciiTheme="minorHAnsi" w:hAnsiTheme="minorHAnsi"/>
          <w:sz w:val="22"/>
          <w:szCs w:val="22"/>
        </w:rPr>
        <w:t>hozamokat, és ezek alapján számszerűsíteni</w:t>
      </w:r>
      <w:r w:rsidRPr="0055569D">
        <w:rPr>
          <w:rFonts w:asciiTheme="minorHAnsi" w:hAnsiTheme="minorHAnsi"/>
          <w:sz w:val="22"/>
        </w:rPr>
        <w:t xml:space="preserve"> a sokkolt jövőbeli </w:t>
      </w:r>
      <w:r w:rsidRPr="00E87D60">
        <w:rPr>
          <w:rFonts w:asciiTheme="minorHAnsi" w:hAnsiTheme="minorHAnsi"/>
          <w:sz w:val="22"/>
          <w:szCs w:val="22"/>
        </w:rPr>
        <w:t>kamatlábakat</w:t>
      </w:r>
      <w:r w:rsidRPr="0055569D">
        <w:rPr>
          <w:rFonts w:asciiTheme="minorHAnsi" w:hAnsiTheme="minorHAnsi"/>
          <w:sz w:val="22"/>
        </w:rPr>
        <w:t xml:space="preserve">.  </w:t>
      </w:r>
    </w:p>
    <w:p w14:paraId="7FFFF05D" w14:textId="77777777" w:rsidR="008A78E3" w:rsidRPr="0055569D" w:rsidRDefault="008A78E3" w:rsidP="007F1D4A">
      <w:pPr>
        <w:pStyle w:val="Listaszerbekezds"/>
        <w:rPr>
          <w:rFonts w:asciiTheme="minorHAnsi" w:hAnsiTheme="minorHAnsi"/>
          <w:sz w:val="22"/>
        </w:rPr>
      </w:pPr>
      <w:r w:rsidRPr="0055569D">
        <w:rPr>
          <w:rFonts w:asciiTheme="minorHAnsi" w:hAnsiTheme="minorHAnsi"/>
          <w:sz w:val="22"/>
        </w:rPr>
        <w:t xml:space="preserve">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r w:rsidRPr="00E87D60">
        <w:rPr>
          <w:rFonts w:asciiTheme="minorHAnsi" w:hAnsiTheme="minorHAnsi"/>
          <w:sz w:val="22"/>
          <w:szCs w:val="22"/>
        </w:rPr>
        <w:t>INC</w:t>
      </w:r>
      <w:r w:rsidRPr="0055569D">
        <w:rPr>
          <w:rFonts w:asciiTheme="minorHAnsi" w:hAnsiTheme="minorHAnsi"/>
          <w:sz w:val="22"/>
        </w:rPr>
        <w:t xml:space="preserve"> és EVE érzékenység mérés révén - csak az egyes kamat</w:t>
      </w:r>
      <w:r w:rsidRPr="00E87D60">
        <w:rPr>
          <w:rFonts w:asciiTheme="minorHAnsi" w:hAnsiTheme="minorHAnsi"/>
          <w:sz w:val="22"/>
          <w:szCs w:val="22"/>
        </w:rPr>
        <w:t>-</w:t>
      </w:r>
      <w:r w:rsidRPr="0055569D">
        <w:rPr>
          <w:rFonts w:asciiTheme="minorHAnsi" w:hAnsiTheme="minorHAnsi"/>
          <w:sz w:val="22"/>
        </w:rPr>
        <w:t>forgatókönyvek közötti különbségek mérését, a potenciális változások kimutatását és nem a jövedelem vagy a tőke gazdasági értékének pontos meghatározását célozza.</w:t>
      </w:r>
    </w:p>
    <w:p w14:paraId="7FFFF05E" w14:textId="77777777" w:rsidR="008A78E3" w:rsidRDefault="008A78E3">
      <w:pPr>
        <w:spacing w:after="0"/>
        <w:jc w:val="left"/>
        <w:rPr>
          <w:rFonts w:asciiTheme="minorHAnsi" w:hAnsiTheme="minorHAnsi"/>
          <w:color w:val="auto"/>
        </w:rPr>
      </w:pPr>
      <w:r>
        <w:rPr>
          <w:rFonts w:asciiTheme="minorHAnsi" w:hAnsiTheme="minorHAnsi"/>
          <w:color w:val="auto"/>
        </w:rPr>
        <w:br w:type="page"/>
      </w:r>
    </w:p>
    <w:p w14:paraId="7FFFF05F" w14:textId="77777777" w:rsidR="008A78E3" w:rsidRPr="00CD1B46" w:rsidRDefault="008A78E3" w:rsidP="00CD1B46">
      <w:pPr>
        <w:rPr>
          <w:rFonts w:asciiTheme="minorHAnsi" w:hAnsiTheme="minorHAnsi"/>
          <w:b/>
          <w:bCs/>
          <w:i/>
          <w:iCs/>
        </w:rPr>
      </w:pPr>
      <w:r>
        <w:rPr>
          <w:rFonts w:asciiTheme="minorHAnsi" w:hAnsiTheme="minorHAnsi"/>
          <w:b/>
          <w:bCs/>
          <w:i/>
          <w:iCs/>
          <w:color w:val="auto"/>
        </w:rPr>
        <w:t>4</w:t>
      </w:r>
      <w:r w:rsidRPr="00CD1B46">
        <w:rPr>
          <w:rFonts w:asciiTheme="minorHAnsi" w:hAnsiTheme="minorHAnsi"/>
          <w:b/>
          <w:bCs/>
          <w:i/>
          <w:iCs/>
        </w:rPr>
        <w:t xml:space="preserve">. Függelék. </w:t>
      </w:r>
      <w:r>
        <w:rPr>
          <w:rFonts w:asciiTheme="minorHAnsi" w:hAnsiTheme="minorHAnsi"/>
          <w:b/>
          <w:bCs/>
          <w:i/>
          <w:iCs/>
          <w:color w:val="auto"/>
        </w:rPr>
        <w:t>A banki könyvi kamatlábkockázat esetében figyelembe vehető diverzifikációs hatás mértékének kiszámítására az MNB által alkalmazott módszertan</w:t>
      </w:r>
    </w:p>
    <w:p w14:paraId="7FFFF060" w14:textId="77777777" w:rsidR="008A78E3" w:rsidRDefault="008A78E3" w:rsidP="00631572">
      <w:pPr>
        <w:spacing w:after="150" w:line="276" w:lineRule="auto"/>
        <w:rPr>
          <w:rFonts w:asciiTheme="minorHAnsi" w:hAnsiTheme="minorHAnsi" w:cstheme="minorHAnsi"/>
        </w:rPr>
      </w:pPr>
      <w:r w:rsidRPr="00631572">
        <w:rPr>
          <w:rFonts w:asciiTheme="minorHAnsi" w:hAnsiTheme="minorHAnsi" w:cstheme="minorHAnsi"/>
        </w:rPr>
        <w:t>A diverzifikációs hatás kalkulációja során azzal a feltételezéssel élünk, hogy az egyes devizanemekhez tartozó zérókupon kamatlábak havi változásai többváltozós normális eloszlást követnek, amely leírható egy kovarianciamátrix segítségével. A kovarianciamátrix meghatározásához a korrelációs mátrixot historikus idősorok alapján kapjuk meg, míg a zérókupon kamatlábak havi változásainak szórását az EBA iránymutatások és RTS-ek által meghatározott sztenderd kamat sokk mértékekhez igazítjuk. A szórásokat a következő képlettel határozzuk meg:</w:t>
      </w:r>
    </w:p>
    <w:p w14:paraId="7FFFF061" w14:textId="77777777" w:rsidR="008A78E3" w:rsidRDefault="009D2DEA"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c,i</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c,i</m:t>
                  </m:r>
                </m:sub>
              </m:sSub>
            </m:num>
            <m:den>
              <m:r>
                <w:rPr>
                  <w:rFonts w:ascii="Cambria Math" w:hAnsi="Cambria Math" w:cstheme="minorHAnsi"/>
                </w:rPr>
                <m:t>∝</m:t>
              </m:r>
            </m:den>
          </m:f>
        </m:oMath>
      </m:oMathPara>
    </w:p>
    <w:p w14:paraId="7FFFF062" w14:textId="77777777" w:rsidR="008A78E3" w:rsidRPr="00631572" w:rsidRDefault="008A78E3"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r>
          <w:rPr>
            <w:rFonts w:ascii="Cambria Math" w:hAnsi="Cambria Math" w:cstheme="minorHAnsi"/>
          </w:rPr>
          <m:t>σ</m:t>
        </m:r>
      </m:oMath>
      <w:r w:rsidRPr="00631572">
        <w:rPr>
          <w:rFonts w:asciiTheme="minorHAnsi" w:eastAsiaTheme="minorEastAsia" w:hAnsiTheme="minorHAnsi" w:cstheme="minorHAnsi"/>
        </w:rPr>
        <w:t>”</w:t>
      </w:r>
      <w:r w:rsidRPr="00631572">
        <w:rPr>
          <w:rFonts w:asciiTheme="minorHAnsi" w:hAnsiTheme="minorHAnsi" w:cstheme="minorHAnsi"/>
        </w:rPr>
        <w:t xml:space="preserve"> a szórást, „s” a sztenderd kamat sokk mértéket, </w:t>
      </w:r>
      <m:oMath>
        <m:r>
          <w:rPr>
            <w:rFonts w:ascii="Cambria Math" w:hAnsi="Cambria Math" w:cstheme="minorHAnsi"/>
          </w:rPr>
          <m:t>∝</m:t>
        </m:r>
      </m:oMath>
      <w:r w:rsidRPr="00631572">
        <w:rPr>
          <w:rFonts w:asciiTheme="minorHAnsi" w:hAnsiTheme="minorHAnsi" w:cstheme="minorHAnsi"/>
        </w:rPr>
        <w:t xml:space="preserve"> a sztenderd normális eloszlás 99. percentilis értékét (~2,326), míg a „c” index a devizanemet, az „i” index pedig a szórás esetében a 3 hónapos, 5 éves és 20 éves hozamgörbe pontokat jelöli, a kamat sokk mértékek esetében pedig rendre a „short”, „parallel” és „long” sokkokat.</w:t>
      </w:r>
      <w:r>
        <w:rPr>
          <w:rStyle w:val="Lbjegyzet-hivatkozs"/>
          <w:rFonts w:asciiTheme="minorHAnsi" w:hAnsiTheme="minorHAnsi" w:cstheme="minorHAnsi"/>
        </w:rPr>
        <w:footnoteReference w:id="140"/>
      </w:r>
    </w:p>
    <w:p w14:paraId="7FFFF063" w14:textId="77777777" w:rsidR="008A78E3" w:rsidRPr="00631572" w:rsidRDefault="008A78E3" w:rsidP="00CD1B46">
      <w:pPr>
        <w:spacing w:after="150" w:line="276" w:lineRule="auto"/>
        <w:rPr>
          <w:rFonts w:asciiTheme="minorHAnsi" w:hAnsiTheme="minorHAnsi" w:cstheme="minorHAnsi"/>
        </w:rPr>
      </w:pPr>
      <w:r w:rsidRPr="00631572">
        <w:rPr>
          <w:rFonts w:asciiTheme="minorHAnsi" w:hAnsiTheme="minorHAnsi" w:cstheme="minorHAnsi"/>
        </w:rPr>
        <w:t>A korrelációs mátrix meghatározásához 15 éves idősort használunk fel (2008.09.30-a és 2023.08.31-e között), mely az egyes devizanemek esetében megfigyelt hozamgörbékből, folytonos kamatlábakként számított 3 hónapos, 5 éves és 20 éves zérókupon hozamgörbe pontokat tartalmazza minden hónap végére, valamint ezek, a számítás alapjául szolgáló havi differenciáit.</w:t>
      </w:r>
    </w:p>
    <w:p w14:paraId="7FFFF064" w14:textId="77777777" w:rsidR="008A78E3" w:rsidRPr="00CD1B46" w:rsidRDefault="008A78E3" w:rsidP="00CD1B46">
      <w:pPr>
        <w:spacing w:after="150" w:line="276" w:lineRule="auto"/>
        <w:rPr>
          <w:rFonts w:asciiTheme="minorHAnsi" w:hAnsiTheme="minorHAnsi" w:cstheme="minorHAnsi"/>
        </w:rPr>
      </w:pPr>
      <w:r w:rsidRPr="00CD1B46">
        <w:rPr>
          <w:rFonts w:asciiTheme="minorHAnsi" w:hAnsiTheme="minorHAnsi" w:cstheme="minorHAnsi"/>
        </w:rPr>
        <w:t>A korrelációs együtthatókat a megfelelő szórásokkal szorozva megkapjuk a kovarianciákat, majd a kovarianciamátrixból meghatározunk egy Cholesky alsó mátrixot, mely alapján a többváltozós normális eloszlásból Monte Carlo-szimuláció végezhető.</w:t>
      </w:r>
    </w:p>
    <w:p w14:paraId="7FFFF065" w14:textId="77777777" w:rsidR="008A78E3" w:rsidRPr="00631572" w:rsidRDefault="008A78E3" w:rsidP="00CD1B46">
      <w:pPr>
        <w:spacing w:after="150" w:line="276" w:lineRule="auto"/>
        <w:rPr>
          <w:rFonts w:asciiTheme="minorHAnsi" w:hAnsiTheme="minorHAnsi" w:cstheme="minorHAnsi"/>
        </w:rPr>
      </w:pPr>
      <w:r w:rsidRPr="00631572">
        <w:rPr>
          <w:rFonts w:asciiTheme="minorHAnsi" w:hAnsiTheme="minorHAnsi" w:cstheme="minorHAnsi"/>
        </w:rPr>
        <w:t>A diverzifikációs hatás kiszámításához szükséges kamat sokk mértékeket a hozamgörbe mentén lineáris interpolációval számítjuk ki a kiemelt futamidőkre (3 hónap, 5 év, 20 év) szimulált zérókupon kamatláb differenciákból.</w:t>
      </w:r>
    </w:p>
    <w:p w14:paraId="7FFFF066" w14:textId="77777777" w:rsidR="008A78E3" w:rsidRPr="00631572" w:rsidRDefault="008A78E3" w:rsidP="00CD1B46">
      <w:pPr>
        <w:spacing w:after="150" w:line="276" w:lineRule="auto"/>
        <w:rPr>
          <w:rFonts w:asciiTheme="minorHAnsi" w:hAnsiTheme="minorHAnsi" w:cstheme="minorHAnsi"/>
        </w:rPr>
      </w:pPr>
      <w:r w:rsidRPr="00631572">
        <w:rPr>
          <w:rFonts w:asciiTheme="minorHAnsi" w:hAnsiTheme="minorHAnsi" w:cstheme="minorHAnsi"/>
        </w:rPr>
        <w:t xml:space="preserve">A dEVE szimulációhoz a 9R1-es adatszolgáltatásban jelentett pénzáramlásokat devizanemenként és idősávonként aggregáljuk, majd az alap kamat forgatókönyv szerint diszkontáljuk (megkapva így devizanemenként a nettó nyitott kamatlábpozíció jelenértékének lejárati szerkezetét). A kapott összegeket megszorozzuk az </w:t>
      </w:r>
      <w:r w:rsidRPr="00631572">
        <w:rPr>
          <w:rFonts w:asciiTheme="minorHAnsi" w:eastAsiaTheme="minorEastAsia" w:hAnsiTheme="minorHAnsi" w:cstheme="minorHAnsi"/>
        </w:rPr>
        <w:t>(</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c,j</m:t>
                </m:r>
              </m:sub>
            </m:s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c,j</m:t>
                </m:r>
              </m:sub>
            </m:sSub>
          </m:sup>
        </m:sSup>
        <m:r>
          <w:rPr>
            <w:rFonts w:ascii="Cambria Math" w:hAnsi="Cambria Math" w:cstheme="minorHAnsi"/>
          </w:rPr>
          <m:t>-1)</m:t>
        </m:r>
      </m:oMath>
      <w:r w:rsidRPr="00631572">
        <w:rPr>
          <w:rFonts w:asciiTheme="minorHAnsi" w:eastAsiaTheme="minorEastAsia" w:hAnsiTheme="minorHAnsi" w:cstheme="minorHAnsi"/>
        </w:rPr>
        <w:t xml:space="preserve"> képlet szerint kiszámított sokkokkal, </w:t>
      </w:r>
      <w:r w:rsidRPr="00631572">
        <w:rPr>
          <w:rFonts w:asciiTheme="minorHAnsi" w:hAnsiTheme="minorHAnsi" w:cstheme="minorHAnsi"/>
        </w:rPr>
        <w:t>ahol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c,j</m:t>
            </m:r>
          </m:sub>
        </m:sSub>
      </m:oMath>
      <w:r w:rsidRPr="00631572">
        <w:rPr>
          <w:rFonts w:asciiTheme="minorHAnsi" w:hAnsiTheme="minorHAnsi" w:cstheme="minorHAnsi"/>
        </w:rPr>
        <w:t xml:space="preserve">” </w:t>
      </w:r>
      <w:r w:rsidRPr="00CD1B46">
        <w:rPr>
          <w:rFonts w:asciiTheme="minorHAnsi" w:hAnsiTheme="minorHAnsi" w:cstheme="minorHAnsi"/>
        </w:rPr>
        <w:t>a</w:t>
      </w:r>
      <w:r w:rsidRPr="00631572">
        <w:rPr>
          <w:rFonts w:asciiTheme="minorHAnsi" w:hAnsiTheme="minorHAnsi" w:cstheme="minorHAnsi"/>
        </w:rPr>
        <w:t xml:space="preserve"> „c” devizanem esetében</w:t>
      </w:r>
      <w:r>
        <w:rPr>
          <w:rFonts w:asciiTheme="minorHAnsi" w:hAnsiTheme="minorHAnsi" w:cstheme="minorHAnsi"/>
        </w:rPr>
        <w:t>,</w:t>
      </w:r>
      <w:r w:rsidRPr="00631572">
        <w:rPr>
          <w:rFonts w:asciiTheme="minorHAnsi" w:hAnsiTheme="minorHAnsi" w:cstheme="minorHAnsi"/>
        </w:rPr>
        <w:t xml:space="preserve"> </w:t>
      </w:r>
      <w:r>
        <w:rPr>
          <w:rFonts w:asciiTheme="minorHAnsi" w:hAnsiTheme="minorHAnsi" w:cstheme="minorHAnsi"/>
        </w:rPr>
        <w:t xml:space="preserve">a piaci kamatpadlót is figyelembevéve, </w:t>
      </w:r>
      <w:r w:rsidRPr="00631572">
        <w:rPr>
          <w:rFonts w:asciiTheme="minorHAnsi" w:hAnsiTheme="minorHAnsi" w:cstheme="minorHAnsi"/>
        </w:rPr>
        <w:t xml:space="preserve">a „j”-edik </w:t>
      </w:r>
      <w:r w:rsidRPr="00CD1B46">
        <w:rPr>
          <w:rFonts w:asciiTheme="minorHAnsi" w:hAnsiTheme="minorHAnsi" w:cstheme="minorHAnsi"/>
        </w:rPr>
        <w:t>bucket közepére interpolált kamat sokk mértéke</w:t>
      </w:r>
      <w:r w:rsidRPr="00631572">
        <w:rPr>
          <w:rFonts w:asciiTheme="minorHAnsi" w:hAnsiTheme="minorHAnsi" w:cstheme="minorHAnsi"/>
        </w:rPr>
        <w:t>t, míg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c,j</m:t>
            </m:r>
          </m:sub>
        </m:sSub>
      </m:oMath>
      <w:r w:rsidRPr="00631572">
        <w:rPr>
          <w:rFonts w:asciiTheme="minorHAnsi" w:eastAsiaTheme="minorEastAsia" w:hAnsiTheme="minorHAnsi" w:cstheme="minorHAnsi"/>
        </w:rPr>
        <w:t>”</w:t>
      </w:r>
      <w:r w:rsidRPr="00631572">
        <w:rPr>
          <w:rFonts w:asciiTheme="minorHAnsi" w:hAnsiTheme="minorHAnsi" w:cstheme="minorHAnsi"/>
        </w:rPr>
        <w:t xml:space="preserve"> a „c” devizanem esetében a „j”-edik bucket közepéhez tartozó, években kifejezett futamidőt jelöli. Az így meghatározott, idősávonkénti EVE érzékenységeket devizanemenként összegezzük. A devizanemenként kalkulált dEVE értékekre 10.000 Monte Carlo szimulációt futtatunk.</w:t>
      </w:r>
    </w:p>
    <w:p w14:paraId="7FFFF067" w14:textId="77777777" w:rsidR="008A78E3" w:rsidRDefault="008A78E3" w:rsidP="00631572">
      <w:pPr>
        <w:spacing w:after="150" w:line="276" w:lineRule="auto"/>
        <w:rPr>
          <w:rFonts w:asciiTheme="minorHAnsi" w:hAnsiTheme="minorHAnsi" w:cstheme="minorHAnsi"/>
        </w:rPr>
      </w:pPr>
      <w:r w:rsidRPr="00631572">
        <w:rPr>
          <w:rFonts w:asciiTheme="minorHAnsi" w:hAnsiTheme="minorHAnsi" w:cstheme="minorHAnsi"/>
        </w:rPr>
        <w:t>A dNII kalkuláció során a 9R1-es adatszolgáltatásban jelentett, egy naptári éven belül esedékes tőke pénzáramlások összegét megszorozzuk a következő átárazódástól az egy éves időhorizont végéig hátralévő, években kifejezett futamidővel, valamint az ügyleti, illetve ennek híján a piaci kamatpadlóval szükség esetén korrigált kamat sokk mértékkel. A kamat sokk mértéke tehát a következő képlet szerint számítható:</w:t>
      </w:r>
    </w:p>
    <w:p w14:paraId="7FFFF068" w14:textId="77777777" w:rsidR="008A78E3" w:rsidRDefault="009D2DEA" w:rsidP="00631572">
      <w:pPr>
        <w:spacing w:after="150" w:line="276" w:lineRule="auto"/>
        <w:rPr>
          <w:rFonts w:asciiTheme="minorHAnsi" w:eastAsiaTheme="minorEastAsia" w:hAnsiTheme="minorHAnsi" w:cstheme="minorHAnsi"/>
        </w:rPr>
      </w:pPr>
      <m:oMathPara>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k</m:t>
              </m:r>
            </m:sub>
            <m:sup>
              <m:r>
                <w:rPr>
                  <w:rFonts w:ascii="Cambria Math" w:hAnsi="Cambria Math" w:cstheme="minorHAnsi"/>
                </w:rPr>
                <m:t>floor</m:t>
              </m:r>
            </m:sup>
          </m:sSubSup>
          <m:r>
            <w:rPr>
              <w:rFonts w:ascii="Cambria Math" w:hAnsi="Cambria Math" w:cstheme="minorHAnsi"/>
            </w:rPr>
            <m:t>=</m:t>
          </m:r>
          <m:r>
            <m:rPr>
              <m:sty m:val="p"/>
            </m:rPr>
            <w:rPr>
              <w:rFonts w:ascii="Cambria Math" w:hAnsi="Cambria Math" w:cstheme="minorHAnsi"/>
            </w:rPr>
            <m:t>max⁡</m:t>
          </m:r>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r>
            <w:rPr>
              <w:rFonts w:ascii="Cambria Math" w:hAnsi="Cambria Math" w:cstheme="minorHAnsi"/>
            </w:rPr>
            <m:t>,</m:t>
          </m:r>
          <m:r>
            <m:rPr>
              <m:sty m:val="p"/>
            </m:rPr>
            <w:rPr>
              <w:rFonts w:ascii="Cambria Math" w:hAnsi="Cambria Math" w:cstheme="minorHAnsi"/>
            </w:rPr>
            <m:t>min⁡</m:t>
          </m:r>
          <m:r>
            <w:rPr>
              <w:rFonts w:ascii="Cambria Math" w:hAnsi="Cambria Math" w:cstheme="minorHAnsi"/>
            </w:rPr>
            <m:t>(0,</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r>
            <w:rPr>
              <w:rFonts w:ascii="Cambria Math" w:hAnsi="Cambria Math" w:cstheme="minorHAnsi"/>
            </w:rPr>
            <m:t>))</m:t>
          </m:r>
        </m:oMath>
      </m:oMathPara>
    </w:p>
    <w:p w14:paraId="7FFFF069" w14:textId="77777777" w:rsidR="008A78E3" w:rsidRPr="00631572" w:rsidRDefault="008A78E3"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kamatpadló korrekció nélküli sokk mérték,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ügyleti kamatpadló, ennek hiányában pedig a piaci kamatpadló, míg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oMath>
      <w:r w:rsidRPr="00631572">
        <w:rPr>
          <w:rFonts w:asciiTheme="minorHAnsi" w:eastAsiaTheme="minorEastAsia" w:hAnsiTheme="minorHAnsi" w:cstheme="minorHAnsi"/>
        </w:rPr>
        <w:t>” a k-adik pénzáramlás átlagos kamatlába.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xml:space="preserve">” a k-adik pénzáramlás devizaneme és átárazódási periódusa alapján határozható meg </w:t>
      </w:r>
      <w:r w:rsidRPr="00631572">
        <w:rPr>
          <w:rFonts w:asciiTheme="minorHAnsi" w:hAnsiTheme="minorHAnsi" w:cstheme="minorHAnsi"/>
        </w:rPr>
        <w:t>a kiemelt futamidőkre (3 hónap, 5 év, 20 év) szimulált zérókupon kamatláb differenciákból, lineáris interpolációval. A pénzáramlásonként becsült NII érzékenységeket devizanemenként összegezzük, majd a devizanemenként kalkulált dNII értékekre 10.000 Monte Carlo szimulációt futtatunk.</w:t>
      </w:r>
    </w:p>
    <w:p w14:paraId="7FFFF06A" w14:textId="77777777" w:rsidR="008A78E3" w:rsidRPr="00631572" w:rsidRDefault="008A78E3" w:rsidP="00CD1B46">
      <w:pPr>
        <w:spacing w:after="150" w:line="276" w:lineRule="auto"/>
        <w:rPr>
          <w:rFonts w:asciiTheme="minorHAnsi" w:hAnsiTheme="minorHAnsi" w:cstheme="minorHAnsi"/>
        </w:rPr>
      </w:pPr>
      <w:r w:rsidRPr="00631572">
        <w:rPr>
          <w:rFonts w:asciiTheme="minorHAnsi" w:hAnsiTheme="minorHAnsi" w:cstheme="minorHAnsi"/>
        </w:rPr>
        <w:t>A dFV számítás a dEVE kalkulációhoz hasonló módon történik azzal a különbséggel, hogy értelemszerűen csak a valós értéken értékelt és számvitelileg fedezeti könyvelésbe nem vont ügyletek a számítás vonatkozási napját követő naptári éven túli pénzáramlásai képezik a tárgyát, továbbá a számítás a dNII kalkulációval párhuzamosan történik, az ahhoz használt, Monte Carlo-módszerrel szimulált kamat sokkok (zérókupon kamatláb differenciák) alapján. A szükséges pénzáramlások forrása lehet az intézmények által a 9R1 adatszolgáltatás mintájára előállított gap tábla, vagy a 9R4 adatszolgáltatás alapján előrejelzett cashflow. Az idősávonként kapott FV érzékenységeket devizanemenként összegezzük, majd a devizanemenként kalkulált dFV értékekre – a dNII számítással egyidőben – 10.000 Monte Carlo szimulációt futtatunk.</w:t>
      </w:r>
    </w:p>
    <w:p w14:paraId="7FFFF06B" w14:textId="77777777" w:rsidR="008A78E3" w:rsidRDefault="008A78E3" w:rsidP="00631572">
      <w:pPr>
        <w:spacing w:after="150" w:line="276" w:lineRule="auto"/>
        <w:rPr>
          <w:rFonts w:asciiTheme="minorHAnsi" w:hAnsiTheme="minorHAnsi" w:cstheme="minorHAnsi"/>
        </w:rPr>
      </w:pPr>
      <w:r w:rsidRPr="00631572">
        <w:rPr>
          <w:rFonts w:asciiTheme="minorHAnsi" w:hAnsiTheme="minorHAnsi" w:cstheme="minorHAnsi"/>
        </w:rPr>
        <w:t>A szimuláció során kapott dNII és dFV eredményeket összegezve kapjuk meg az INC érzékenységeket devizanemenként és realizációnként:</w:t>
      </w:r>
    </w:p>
    <w:p w14:paraId="7FFFF06C" w14:textId="77777777" w:rsidR="008A78E3" w:rsidRDefault="009D2DEA"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c,l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dNII</m:t>
              </m:r>
            </m:e>
            <m:sub>
              <m:r>
                <w:rPr>
                  <w:rFonts w:ascii="Cambria Math" w:hAnsi="Cambria Math" w:cstheme="minorHAnsi"/>
                </w:rPr>
                <m:t>c,l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dFV</m:t>
              </m:r>
            </m:e>
            <m:sub>
              <m:r>
                <w:rPr>
                  <w:rFonts w:ascii="Cambria Math" w:hAnsi="Cambria Math" w:cstheme="minorHAnsi"/>
                </w:rPr>
                <m:t>c,l</m:t>
              </m:r>
            </m:sub>
          </m:sSub>
        </m:oMath>
      </m:oMathPara>
    </w:p>
    <w:p w14:paraId="7FFFF06D" w14:textId="77777777" w:rsidR="008A78E3" w:rsidRPr="00631572" w:rsidRDefault="008A78E3"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a „c” index jelöli a devizanemet, az „l” index pedig a Monte Carlo-szimulációval generált kamat sokk vektor (realizáció) sorszámát</w:t>
      </w:r>
      <w:r>
        <w:rPr>
          <w:rStyle w:val="Lbjegyzet-hivatkozs"/>
          <w:rFonts w:asciiTheme="minorHAnsi" w:eastAsiaTheme="minorEastAsia" w:hAnsiTheme="minorHAnsi" w:cstheme="minorHAnsi"/>
        </w:rPr>
        <w:footnoteReference w:id="141"/>
      </w:r>
      <w:r w:rsidRPr="00631572">
        <w:rPr>
          <w:rFonts w:asciiTheme="minorHAnsi" w:eastAsiaTheme="minorEastAsia" w:hAnsiTheme="minorHAnsi" w:cstheme="minorHAnsi"/>
        </w:rPr>
        <w:t>.</w:t>
      </w:r>
    </w:p>
    <w:p w14:paraId="7FFFF06E" w14:textId="77777777" w:rsidR="008A78E3" w:rsidRPr="00631572" w:rsidRDefault="008A78E3" w:rsidP="00CD1B46">
      <w:pPr>
        <w:spacing w:after="150" w:line="276" w:lineRule="auto"/>
        <w:rPr>
          <w:rFonts w:asciiTheme="minorHAnsi" w:hAnsiTheme="minorHAnsi" w:cstheme="minorHAnsi"/>
        </w:rPr>
      </w:pPr>
      <w:r w:rsidRPr="00631572">
        <w:rPr>
          <w:rFonts w:asciiTheme="minorHAnsi" w:hAnsiTheme="minorHAnsi" w:cstheme="minorHAnsi"/>
        </w:rPr>
        <w:t xml:space="preserve">A kapott szimulációs eredményekből meghatározzuk a dEVE-re, illetve dINC-re vonatkozó diverzifikációs </w:t>
      </w:r>
      <w:r>
        <w:rPr>
          <w:rFonts w:asciiTheme="minorHAnsi" w:hAnsiTheme="minorHAnsi" w:cstheme="minorHAnsi"/>
        </w:rPr>
        <w:t>együttható</w:t>
      </w:r>
      <w:r w:rsidRPr="00631572">
        <w:rPr>
          <w:rFonts w:asciiTheme="minorHAnsi" w:hAnsiTheme="minorHAnsi" w:cstheme="minorHAnsi"/>
        </w:rPr>
        <w:t xml:space="preserve"> százalékos értékét:</w:t>
      </w:r>
    </w:p>
    <w:p w14:paraId="7FFFF06F" w14:textId="77777777" w:rsidR="008A78E3" w:rsidRPr="00E52511" w:rsidRDefault="009D2DEA" w:rsidP="00CD1B46">
      <w:pPr>
        <w:ind w:left="1080"/>
        <w:jc w:val="center"/>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rPr>
                <m:t>D%</m:t>
              </m:r>
            </m:e>
            <m:sub>
              <m:r>
                <w:rPr>
                  <w:rFonts w:ascii="Cambria Math" w:hAnsi="Cambria Math"/>
                </w:rPr>
                <m:t>dEVE</m:t>
              </m:r>
            </m:sub>
          </m:sSub>
          <m:r>
            <w:rPr>
              <w:rFonts w:ascii="Cambria Math" w:hAnsi="Cambria Math"/>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r>
                <w:rPr>
                  <w:rFonts w:ascii="Cambria Math" w:hAnsi="Cambria Math"/>
                </w:rPr>
                <m:t>-</m:t>
              </m:r>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m:t>
                  </m:r>
                  <m:r>
                    <w:rPr>
                      <w:rFonts w:ascii="Cambria Math" w:hAnsi="Cambria Math"/>
                    </w:rPr>
                    <m:t>nélkül</m:t>
                  </m:r>
                </m:sub>
              </m:sSub>
            </m:num>
            <m:den>
              <m:sSub>
                <m:sSubPr>
                  <m:ctrlPr>
                    <w:rPr>
                      <w:rFonts w:ascii="Cambria Math" w:hAnsi="Cambria Math" w:cstheme="minorHAnsi"/>
                      <w:i/>
                    </w:rPr>
                  </m:ctrlPr>
                </m:sSubPr>
                <m:e>
                  <m:r>
                    <w:rPr>
                      <w:rFonts w:ascii="Cambria Math" w:hAnsi="Cambria Math"/>
                    </w:rPr>
                    <m:t>dEVE</m:t>
                  </m:r>
                </m:e>
                <m:sub>
                  <m:r>
                    <w:rPr>
                      <w:rFonts w:ascii="Cambria Math" w:hAnsi="Cambria Math"/>
                    </w:rPr>
                    <m:t>diverz.nélkül</m:t>
                  </m:r>
                </m:sub>
              </m:sSub>
            </m:den>
          </m:f>
        </m:oMath>
      </m:oMathPara>
    </w:p>
    <w:p w14:paraId="7FFFF070" w14:textId="77777777" w:rsidR="008A78E3" w:rsidRPr="00CD1B46" w:rsidRDefault="009D2DEA" w:rsidP="00E52511">
      <w:pPr>
        <w:ind w:left="1080"/>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dINC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num>
            <m:den>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den>
          </m:f>
        </m:oMath>
      </m:oMathPara>
    </w:p>
    <w:p w14:paraId="7FFFF071" w14:textId="77777777" w:rsidR="008A78E3" w:rsidRPr="00E52511" w:rsidRDefault="008A78E3" w:rsidP="00CD1B46">
      <w:pPr>
        <w:rPr>
          <w:rFonts w:asciiTheme="minorHAnsi" w:hAnsiTheme="minorHAnsi" w:cstheme="minorHAnsi"/>
        </w:rPr>
      </w:pPr>
      <w:r w:rsidRPr="00E52511">
        <w:rPr>
          <w:rFonts w:asciiTheme="minorHAnsi" w:eastAsiaTheme="minorEastAsia" w:hAnsiTheme="minorHAnsi" w:cstheme="minorHAnsi"/>
        </w:rPr>
        <w:t>, ahol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oMath>
      <w:r w:rsidRPr="00E52511">
        <w:rPr>
          <w:rFonts w:asciiTheme="minorHAnsi" w:eastAsiaTheme="minorEastAsia" w:hAnsiTheme="minorHAnsi" w:cstheme="minorHAnsi"/>
        </w:rPr>
        <w:t>” a diverzifikációs hatás figyelembevételével, míg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m:t>
            </m:r>
            <m:r>
              <w:rPr>
                <w:rFonts w:ascii="Cambria Math" w:hAnsi="Cambria Math"/>
              </w:rPr>
              <m:t>nélkül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oMath>
      <w:r w:rsidRPr="00E52511">
        <w:rPr>
          <w:rFonts w:asciiTheme="minorHAnsi" w:eastAsiaTheme="minorEastAsia" w:hAnsiTheme="minorHAnsi" w:cstheme="minorHAnsi"/>
        </w:rPr>
        <w:t>” a diverzifikációs hatás figyelembevétele nélkül becsült portfolió szintű EVE-, illetve INC érzékenység.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nélkül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oMath>
      <w:r w:rsidRPr="00E52511">
        <w:rPr>
          <w:rFonts w:asciiTheme="minorHAnsi" w:eastAsiaTheme="minorEastAsia" w:hAnsiTheme="minorHAnsi" w:cstheme="minorHAnsi"/>
        </w:rPr>
        <w:t xml:space="preserve">” értékét </w:t>
      </w:r>
      <w:r w:rsidRPr="00E52511">
        <w:rPr>
          <w:rFonts w:asciiTheme="minorHAnsi" w:hAnsiTheme="minorHAnsi" w:cstheme="minorHAnsi"/>
        </w:rPr>
        <w:t xml:space="preserve">a Monte Carlo-szimuláció során a devizanemenként kapott realizációk 99. percentiliseinek összegeként határozzuk meg, </w:t>
      </w:r>
      <w:r w:rsidRPr="00E52511">
        <w:rPr>
          <w:rFonts w:asciiTheme="minorHAnsi" w:eastAsiaTheme="minorEastAsia" w:hAnsiTheme="minorHAnsi" w:cstheme="minorHAnsi"/>
        </w:rPr>
        <w:t>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oMath>
      <w:r w:rsidRPr="00E52511">
        <w:rPr>
          <w:rFonts w:asciiTheme="minorHAnsi" w:eastAsiaTheme="minorEastAsia" w:hAnsiTheme="minorHAnsi" w:cstheme="minorHAnsi"/>
        </w:rPr>
        <w:t xml:space="preserve">” értékét pedig </w:t>
      </w:r>
      <w:r w:rsidRPr="00E52511">
        <w:rPr>
          <w:rFonts w:asciiTheme="minorHAnsi" w:hAnsiTheme="minorHAnsi" w:cstheme="minorHAnsi"/>
        </w:rPr>
        <w:t>az egyes realizációk összegzésével kapott portfolió szintű dEVE, illetve dINC eredményekből számított 99. percentilis alapján. A dEVE-re és dINC-re vonatkozó diverzifikáció</w:t>
      </w:r>
      <w:r>
        <w:rPr>
          <w:rFonts w:asciiTheme="minorHAnsi" w:hAnsiTheme="minorHAnsi" w:cstheme="minorHAnsi"/>
        </w:rPr>
        <w:t>s együtthatókat</w:t>
      </w:r>
      <w:r w:rsidRPr="00E52511">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rPr>
              <m:t>D%</m:t>
            </m:r>
          </m:e>
          <m:sub>
            <m:r>
              <w:rPr>
                <w:rFonts w:ascii="Cambria Math" w:hAnsi="Cambria Math"/>
              </w:rPr>
              <m:t>dEVE</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dINC</m:t>
            </m:r>
          </m:sub>
        </m:sSub>
      </m:oMath>
      <w:r w:rsidRPr="00E52511">
        <w:rPr>
          <w:rFonts w:asciiTheme="minorHAnsi" w:eastAsiaTheme="minorEastAsia" w:hAnsiTheme="minorHAnsi" w:cstheme="minorHAnsi"/>
        </w:rPr>
        <w:t xml:space="preserve">”) rendre a HUF, EUR és USD devizanemekre </w:t>
      </w:r>
      <w:r w:rsidRPr="00E52511">
        <w:rPr>
          <w:rFonts w:asciiTheme="minorHAnsi" w:hAnsiTheme="minorHAnsi" w:cstheme="minorHAnsi"/>
        </w:rPr>
        <w:t>a benchmark módszertan szerint, a 6 sztenderd kamat forgatókönyv alapján kapott, diverzifikáció nélküli összesített dEVE, illetve dINC értékre vetítjük.</w:t>
      </w:r>
    </w:p>
    <w:p w14:paraId="7FFFF072" w14:textId="77777777" w:rsidR="008A78E3" w:rsidRPr="00E52511" w:rsidRDefault="008A78E3" w:rsidP="00E52511">
      <w:pPr>
        <w:spacing w:after="0"/>
        <w:rPr>
          <w:rFonts w:asciiTheme="minorHAnsi" w:hAnsiTheme="minorHAnsi" w:cstheme="minorHAnsi"/>
          <w:color w:val="auto"/>
        </w:rPr>
      </w:pPr>
      <w:r w:rsidRPr="00E52511">
        <w:rPr>
          <w:rFonts w:asciiTheme="minorHAnsi" w:eastAsiaTheme="minorEastAsia" w:hAnsiTheme="minorHAnsi" w:cstheme="minorHAnsi"/>
        </w:rPr>
        <w:t xml:space="preserve">Az MNB által alkalmazott módszertannak megfelelő, </w:t>
      </w:r>
      <w:r>
        <w:rPr>
          <w:rFonts w:asciiTheme="minorHAnsi" w:eastAsiaTheme="minorEastAsia" w:hAnsiTheme="minorHAnsi" w:cstheme="minorHAnsi"/>
        </w:rPr>
        <w:t xml:space="preserve">EVE- és INC-érzékenységre vonatkozó </w:t>
      </w:r>
      <w:r w:rsidRPr="00E52511">
        <w:rPr>
          <w:rFonts w:asciiTheme="minorHAnsi" w:eastAsiaTheme="minorEastAsia" w:hAnsiTheme="minorHAnsi" w:cstheme="minorHAnsi"/>
        </w:rPr>
        <w:t>diverzifikációs hatás kalkulátort a kézikönyv 15. számú melléklete tartalmazza.</w:t>
      </w:r>
    </w:p>
    <w:sectPr w:rsidR="008A78E3" w:rsidRPr="00E52511"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F0A8" w14:textId="77777777" w:rsidR="008A78E3" w:rsidRDefault="008A78E3">
      <w:pPr>
        <w:spacing w:after="0"/>
      </w:pPr>
      <w:r>
        <w:separator/>
      </w:r>
    </w:p>
  </w:endnote>
  <w:endnote w:type="continuationSeparator" w:id="0">
    <w:p w14:paraId="7FFFF0AA" w14:textId="77777777" w:rsidR="008A78E3" w:rsidRDefault="008A7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0A2" w14:textId="77777777" w:rsidR="008A78E3" w:rsidRDefault="008A78E3" w:rsidP="00D10772">
    <w:pPr>
      <w:pStyle w:val="llb"/>
      <w:rPr>
        <w:rStyle w:val="Oldalszm"/>
      </w:rPr>
    </w:pPr>
    <w:r>
      <w:rPr>
        <w:rStyle w:val="Oldalszm"/>
      </w:rPr>
      <w:fldChar w:fldCharType="begin"/>
    </w:r>
    <w:r>
      <w:rPr>
        <w:rStyle w:val="Oldalszm"/>
      </w:rPr>
      <w:instrText xml:space="preserve">PAGE  </w:instrText>
    </w:r>
    <w:r w:rsidR="009D2DEA">
      <w:rPr>
        <w:rStyle w:val="Oldalszm"/>
      </w:rPr>
      <w:fldChar w:fldCharType="separate"/>
    </w:r>
    <w:r>
      <w:rPr>
        <w:rStyle w:val="Oldalszm"/>
      </w:rPr>
      <w:fldChar w:fldCharType="end"/>
    </w:r>
  </w:p>
  <w:p w14:paraId="7FFFF0A3" w14:textId="77777777" w:rsidR="008A78E3" w:rsidRDefault="008A78E3"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0A4" w14:textId="77777777" w:rsidR="008A78E3" w:rsidRDefault="008A78E3"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09F" w14:textId="77777777" w:rsidR="008A78E3" w:rsidRDefault="008A78E3" w:rsidP="00D10772">
      <w:r>
        <w:separator/>
      </w:r>
    </w:p>
  </w:footnote>
  <w:footnote w:type="continuationSeparator" w:id="0">
    <w:p w14:paraId="7FFFF0A0" w14:textId="77777777" w:rsidR="008A78E3" w:rsidRDefault="008A78E3" w:rsidP="00D10772">
      <w:r>
        <w:continuationSeparator/>
      </w:r>
    </w:p>
  </w:footnote>
  <w:footnote w:type="continuationNotice" w:id="1">
    <w:p w14:paraId="7FFFF0A1" w14:textId="77777777" w:rsidR="008A78E3" w:rsidRDefault="008A78E3">
      <w:pPr>
        <w:spacing w:after="0"/>
      </w:pPr>
    </w:p>
  </w:footnote>
  <w:footnote w:id="2">
    <w:p w14:paraId="7FFFF0A5" w14:textId="77777777" w:rsidR="008A78E3" w:rsidRPr="00EC7392" w:rsidRDefault="008A78E3" w:rsidP="00745F2B">
      <w:pPr>
        <w:pStyle w:val="Lbjegyzetszveg"/>
      </w:pPr>
      <w:r>
        <w:rPr>
          <w:rStyle w:val="Lbjegyzet-hivatkozs"/>
        </w:rPr>
        <w:footnoteRef/>
      </w:r>
      <w:r>
        <w:t xml:space="preserve"> Guidelines on common procedures and methodologies for the supervisory review and evaluation process (SREP) and </w:t>
      </w:r>
      <w:r>
        <w:rPr>
          <w:rFonts w:cs="Arial"/>
          <w:color w:val="303030"/>
          <w:lang w:val="en"/>
        </w:rPr>
        <w:t>and supervisory stress testing</w:t>
      </w:r>
      <w:r>
        <w:t>, EBA/GL/2014/13</w:t>
      </w:r>
    </w:p>
  </w:footnote>
  <w:footnote w:id="3">
    <w:p w14:paraId="7FFFF0A6" w14:textId="77777777" w:rsidR="008A78E3" w:rsidRDefault="008A78E3" w:rsidP="007743FD">
      <w:pPr>
        <w:pStyle w:val="Lbjegyzetszveg"/>
      </w:pPr>
      <w:r>
        <w:rPr>
          <w:rStyle w:val="Lbjegyzet-hivatkozs"/>
        </w:rPr>
        <w:footnoteRef/>
      </w:r>
      <w:r>
        <w:t xml:space="preserve"> Guidelines on common procedures and methodologies for the supervisory review and evaluation </w:t>
      </w:r>
    </w:p>
    <w:p w14:paraId="7FFFF0A7" w14:textId="77777777" w:rsidR="008A78E3" w:rsidRPr="00E87D60" w:rsidRDefault="008A78E3" w:rsidP="007743FD">
      <w:pPr>
        <w:pStyle w:val="Lbjegyzetszveg"/>
      </w:pPr>
      <w:r>
        <w:t>process (SREP) and supervisory stress testing under Directive 2013/36/EU, EB</w:t>
      </w:r>
      <w:r w:rsidRPr="007743FD">
        <w:t>A/GL/2022/03</w:t>
      </w:r>
    </w:p>
  </w:footnote>
  <w:footnote w:id="4">
    <w:p w14:paraId="7FFFF0A8" w14:textId="77777777" w:rsidR="008A78E3" w:rsidRPr="00C53018" w:rsidRDefault="008A78E3" w:rsidP="006561DB">
      <w:pPr>
        <w:pStyle w:val="Lbjegyzetszveg"/>
      </w:pPr>
      <w:r w:rsidRPr="0007489D">
        <w:rPr>
          <w:rStyle w:val="Lbjegyzet-hivatkozs"/>
        </w:rPr>
        <w:footnoteRef/>
      </w:r>
      <w:r w:rsidRPr="0007489D">
        <w:t xml:space="preserve"> </w:t>
      </w:r>
      <w:r>
        <w:t>A kézikönyv</w:t>
      </w:r>
      <w:r w:rsidRPr="00C53018">
        <w:t xml:space="preserve"> elsősorban a CRD</w:t>
      </w:r>
      <w:r>
        <w:t xml:space="preserve"> </w:t>
      </w:r>
      <w:r w:rsidRPr="00C53018">
        <w:t>/CRR</w:t>
      </w:r>
      <w:r>
        <w:t xml:space="preserve"> rendelkezésein</w:t>
      </w:r>
      <w:r w:rsidRPr="00C53018">
        <w:t>, a Bázeli Bankfelügyeleti Bizottság ajánlásának vonatkozó cikkelyein és a European Banking Authority (EBA) ebben a témában kiadott ajánlásain alapul. A</w:t>
      </w:r>
      <w: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7FFFF0A9" w14:textId="77777777" w:rsidR="008A78E3" w:rsidRPr="00DD12FB" w:rsidRDefault="008A78E3" w:rsidP="00E334C4">
      <w:pPr>
        <w:pStyle w:val="Lbjegyzetszveg"/>
      </w:pPr>
      <w:r w:rsidRPr="00DD12FB">
        <w:rPr>
          <w:rStyle w:val="Lbjegyzet-hivatkozs"/>
        </w:rPr>
        <w:footnoteRef/>
      </w:r>
      <w:r w:rsidRPr="00DD12FB">
        <w:t xml:space="preserve"> </w:t>
      </w:r>
      <w:r>
        <w:rPr>
          <w:rStyle w:val="cf01"/>
        </w:rPr>
        <w:t>2013/36/EU direktíva</w:t>
      </w:r>
    </w:p>
  </w:footnote>
  <w:footnote w:id="6">
    <w:p w14:paraId="7FFFF0AA" w14:textId="77777777" w:rsidR="008A78E3" w:rsidRPr="00A72DD3" w:rsidRDefault="008A78E3" w:rsidP="00D10772">
      <w:pPr>
        <w:pStyle w:val="Lbjegyzetszveg"/>
      </w:pPr>
      <w:r w:rsidRPr="00C53018">
        <w:rPr>
          <w:rStyle w:val="Lbjegyzet-hivatkozs"/>
        </w:rPr>
        <w:footnoteRef/>
      </w:r>
      <w:r w:rsidRPr="00C53018">
        <w:t xml:space="preserve"> </w:t>
      </w:r>
      <w:r>
        <w:t>CRD 73. cikke</w:t>
      </w:r>
    </w:p>
  </w:footnote>
  <w:footnote w:id="7">
    <w:p w14:paraId="7FFFF0AB" w14:textId="77777777" w:rsidR="008A78E3" w:rsidRPr="00AA6587" w:rsidRDefault="008A78E3"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7FFFF0AC" w14:textId="77777777" w:rsidR="008A78E3" w:rsidRPr="009213D4" w:rsidRDefault="008A78E3" w:rsidP="00D10772">
      <w:pPr>
        <w:pStyle w:val="Lbjegyzetszveg"/>
      </w:pPr>
      <w:r w:rsidRPr="009213D4">
        <w:rPr>
          <w:rStyle w:val="Lbjegyzet-hivatkozs"/>
        </w:rPr>
        <w:footnoteRef/>
      </w:r>
      <w:r w:rsidRPr="009213D4">
        <w:t xml:space="preserve"> A kockázat fogalmát explicite a báz</w:t>
      </w:r>
      <w:r>
        <w:t>el</w:t>
      </w:r>
      <w:r w:rsidRPr="009213D4">
        <w:t>i ajánlás és a</w:t>
      </w:r>
      <w:r>
        <w:t>z uniós jogszabályok</w:t>
      </w:r>
      <w:r w:rsidRPr="009213D4">
        <w:t xml:space="preserve"> sem definiálj</w:t>
      </w:r>
      <w: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7FFFF0AD" w14:textId="77777777" w:rsidR="008A78E3" w:rsidRPr="0050673C" w:rsidRDefault="008A78E3" w:rsidP="00D10772">
      <w:pPr>
        <w:pStyle w:val="Lbjegyzetszveg"/>
      </w:pPr>
      <w:r w:rsidRPr="00A4708A">
        <w:rPr>
          <w:rStyle w:val="Lbjegyzet-hivatkozs"/>
        </w:rPr>
        <w:footnoteRef/>
      </w:r>
      <w:r w:rsidRPr="00A4708A">
        <w:t xml:space="preserve"> lásd ICAAP megfelelés csoport-szinten c. fejezetet</w:t>
      </w:r>
      <w:r>
        <w:t>, illetve EBA ajánlást (</w:t>
      </w:r>
      <w:r w:rsidRPr="002774CF">
        <w:t>EBA/GL/2019/02 EBA Guidelines on outsourcing arrangements</w:t>
      </w:r>
      <w:r>
        <w:t>)</w:t>
      </w:r>
    </w:p>
  </w:footnote>
  <w:footnote w:id="10">
    <w:p w14:paraId="7FFFF0AE" w14:textId="77777777" w:rsidR="008A78E3" w:rsidRPr="00BF02D0" w:rsidRDefault="008A78E3">
      <w:pPr>
        <w:pStyle w:val="Lbjegyzetszveg"/>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7FFFF0AF" w14:textId="77777777" w:rsidR="008A78E3" w:rsidRPr="00CF5BB5" w:rsidRDefault="008A78E3"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7FFFF0B0" w14:textId="77777777" w:rsidR="008A78E3" w:rsidRPr="00DF4A39" w:rsidRDefault="008A78E3"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3">
    <w:p w14:paraId="7FFFF0B1" w14:textId="77777777" w:rsidR="008A78E3" w:rsidRPr="0050673C" w:rsidRDefault="008A78E3">
      <w:pPr>
        <w:pStyle w:val="Lbjegyzetszveg"/>
      </w:pPr>
      <w:r>
        <w:rPr>
          <w:rStyle w:val="Lbjegyzet-hivatkozs"/>
        </w:rPr>
        <w:footnoteRef/>
      </w:r>
      <w:r>
        <w:t xml:space="preserve"> </w:t>
      </w:r>
      <w:r w:rsidRPr="00561A6B">
        <w:t>Az ebben a fejezetben ismertetett eljárások a</w:t>
      </w:r>
      <w:r>
        <w:t>z egyszerűsített</w:t>
      </w:r>
      <w:r w:rsidRPr="00561A6B">
        <w:t xml:space="preserve"> ICAAP felülvizsgálatra az arányossági szempontok figyelembevételével értelmezendőek, ahol pedig eltérés van a</w:t>
      </w:r>
      <w:r>
        <w:t xml:space="preserve"> teljeskörű, a fókuszált</w:t>
      </w:r>
      <w:r w:rsidRPr="00561A6B">
        <w:t xml:space="preserve"> és a</w:t>
      </w:r>
      <w:r>
        <w:t>z egyszerűsített</w:t>
      </w:r>
      <w:r w:rsidRPr="00561A6B">
        <w:t xml:space="preserve"> felügyeleti felülvizsgálat gyakorlatában, ott azt külön jelezzük. Az egyszerűsített felügyeleti felülvizsgálati folyamatot külön fejezet mutatja be.</w:t>
      </w:r>
    </w:p>
  </w:footnote>
  <w:footnote w:id="14">
    <w:p w14:paraId="7FFFF0B2" w14:textId="77777777" w:rsidR="008A78E3" w:rsidRPr="00E709C5" w:rsidRDefault="008A78E3" w:rsidP="00D10772">
      <w:pPr>
        <w:pStyle w:val="Lbjegyzetszveg"/>
      </w:pPr>
      <w:r>
        <w:rPr>
          <w:rStyle w:val="Lbjegyzet-hivatkozs"/>
        </w:rPr>
        <w:footnoteRef/>
      </w:r>
      <w:r>
        <w:t xml:space="preserve"> Az MNB kötelező jelleggel az intézmény ICAAP és ILAAP módszertani útmutatóját, illetve kapcsolódó szabályozását, valamint az ICAAP stratégiáját (ideértve kockázati étvágyát) teszi felsővezetői jóváhagyás tárgyává, azonban egyértelműen preferálja, hogy az MNB-hez benyújtott teljes ICAAP és ILAAP dokumentáció ilyen minősítéssel rendelkezzen.</w:t>
      </w:r>
    </w:p>
  </w:footnote>
  <w:footnote w:id="15">
    <w:p w14:paraId="7FFFF0B3" w14:textId="77777777" w:rsidR="008A78E3" w:rsidRPr="0050673C" w:rsidRDefault="008A78E3" w:rsidP="002774CF">
      <w:pPr>
        <w:pStyle w:val="Lbjegyzetszveg"/>
      </w:pPr>
      <w:r>
        <w:rPr>
          <w:rStyle w:val="Lbjegyzet-hivatkozs"/>
        </w:rPr>
        <w:footnoteRef/>
      </w:r>
      <w:r>
        <w:t xml:space="preserve"> EBA/GL/2016/10 ajánlás (Guidelines on ICAAP and ILAAP information collected for SREP purposes)</w:t>
      </w:r>
    </w:p>
  </w:footnote>
  <w:footnote w:id="16">
    <w:p w14:paraId="7FFFF0B4" w14:textId="77777777" w:rsidR="008A78E3" w:rsidRPr="00EC7392" w:rsidRDefault="008A78E3" w:rsidP="008C22D5">
      <w:pPr>
        <w:rPr>
          <w:sz w:val="16"/>
          <w:szCs w:val="16"/>
        </w:rPr>
      </w:pPr>
      <w:r>
        <w:rPr>
          <w:rStyle w:val="Lbjegyzet-hivatkozs"/>
        </w:rPr>
        <w:footnoteRef/>
      </w:r>
      <w:r>
        <w:t xml:space="preserve"> </w:t>
      </w:r>
      <w:hyperlink r:id="rId1" w:history="1">
        <w:r w:rsidRPr="00EC7392">
          <w:rPr>
            <w:sz w:val="16"/>
            <w:szCs w:val="16"/>
          </w:rPr>
          <w:t>http://eur-lex.europa.eu/legal-content/HU/TXT/PDF/?uri=CELEX:32014R0710&amp;from=HU</w:t>
        </w:r>
      </w:hyperlink>
    </w:p>
    <w:p w14:paraId="7FFFF0B5" w14:textId="77777777" w:rsidR="008A78E3" w:rsidRPr="00EC7392" w:rsidRDefault="008A78E3">
      <w:pPr>
        <w:pStyle w:val="Lbjegyzetszveg"/>
      </w:pPr>
    </w:p>
  </w:footnote>
  <w:footnote w:id="17">
    <w:p w14:paraId="7FFFF0B6" w14:textId="77777777" w:rsidR="008A78E3" w:rsidRDefault="008A78E3" w:rsidP="00D10772">
      <w:pPr>
        <w:pStyle w:val="Lbjegyzetszveg"/>
      </w:pPr>
      <w:r>
        <w:rPr>
          <w:rStyle w:val="Lbjegyzet-hivatkozs"/>
        </w:rPr>
        <w:footnoteRef/>
      </w:r>
      <w:r>
        <w:t xml:space="preserve"> Egyszerűsített felülvizsgálat alá tartozó intézmények esetében – az ilyen intézmények számosságára tekintettel – csak abban az esetben készül vizsgálati jelentés, ha a felügyeleti felülvizsgálat átfogó vizsgálat keretében valósul meg. </w:t>
      </w:r>
    </w:p>
  </w:footnote>
  <w:footnote w:id="18">
    <w:p w14:paraId="7FFFF0B7" w14:textId="77777777" w:rsidR="008A78E3" w:rsidRPr="00B36496" w:rsidRDefault="008A78E3">
      <w:pPr>
        <w:pStyle w:val="Lbjegyzetszveg"/>
      </w:pPr>
      <w:r>
        <w:rPr>
          <w:rStyle w:val="Lbjegyzet-hivatkozs"/>
        </w:rPr>
        <w:footnoteRef/>
      </w:r>
      <w:r>
        <w:t xml:space="preserve"> Tekintettel a likviditási helyzet változékonyságára a többlet-követelmény nem kerül előremutatóan rögzítésre</w:t>
      </w:r>
    </w:p>
  </w:footnote>
  <w:footnote w:id="19">
    <w:p w14:paraId="7FFFF0B8" w14:textId="77777777" w:rsidR="008A78E3" w:rsidRPr="00AF0089" w:rsidRDefault="008A78E3" w:rsidP="00AB47CB">
      <w:pPr>
        <w:pStyle w:val="Listaszerbekezds"/>
        <w:ind w:left="0"/>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p>
  </w:footnote>
  <w:footnote w:id="20">
    <w:p w14:paraId="7FFFF0B9" w14:textId="77777777" w:rsidR="008A78E3" w:rsidRPr="00F53223" w:rsidRDefault="008A78E3"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7FFFF0BA" w14:textId="77777777" w:rsidR="008A78E3" w:rsidRPr="004028C0" w:rsidRDefault="008A78E3"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2">
    <w:p w14:paraId="7FFFF0BB" w14:textId="77777777" w:rsidR="008A78E3" w:rsidRDefault="008A78E3" w:rsidP="00D10772">
      <w:pPr>
        <w:pStyle w:val="Lbjegyzetszveg"/>
      </w:pPr>
      <w:r>
        <w:rPr>
          <w:rStyle w:val="Lbjegyzet-hivatkozs"/>
        </w:rPr>
        <w:footnoteRef/>
      </w:r>
      <w:r>
        <w:t xml:space="preserve"> A kitűzött terveket és tényeket megfelelő időközönként össze kell vetni.</w:t>
      </w:r>
    </w:p>
  </w:footnote>
  <w:footnote w:id="23">
    <w:p w14:paraId="7FFFF0BC" w14:textId="77777777" w:rsidR="008A78E3" w:rsidRPr="00C35EE6" w:rsidRDefault="008A78E3"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4">
    <w:p w14:paraId="7FFFF0BD" w14:textId="77777777" w:rsidR="008A78E3" w:rsidRPr="00C35EE6" w:rsidRDefault="008A78E3" w:rsidP="00D10772">
      <w:pPr>
        <w:pStyle w:val="Lbjegyzetszveg"/>
      </w:pPr>
      <w:r w:rsidRPr="00C35EE6">
        <w:rPr>
          <w:rStyle w:val="Lbjegyzet-hivatkozs"/>
        </w:rPr>
        <w:footnoteRef/>
      </w:r>
      <w:r w:rsidRPr="00C35EE6">
        <w:t xml:space="preserve"> Tulajdonképpen ezért nem fogadható el szabályozási célra</w:t>
      </w:r>
      <w:r>
        <w:t xml:space="preserve"> (csak legfeljebb 2. pillérben)</w:t>
      </w:r>
      <w:r w:rsidRPr="00C35EE6">
        <w:t>.</w:t>
      </w:r>
    </w:p>
  </w:footnote>
  <w:footnote w:id="25">
    <w:p w14:paraId="7FFFF0BE" w14:textId="77777777" w:rsidR="008A78E3" w:rsidRPr="00705E1D" w:rsidRDefault="008A78E3"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6">
    <w:p w14:paraId="7FFFF0BF" w14:textId="77777777" w:rsidR="008A78E3" w:rsidRPr="00185637" w:rsidRDefault="008A78E3">
      <w:pPr>
        <w:pStyle w:val="Lbjegyzetszveg"/>
      </w:pPr>
      <w:r>
        <w:rPr>
          <w:rStyle w:val="Lbjegyzet-hivatkozs"/>
        </w:rPr>
        <w:footnoteRef/>
      </w:r>
      <w:r>
        <w:t xml:space="preserve"> CRR 142. cikk 1) bekezdés 1. pontja szerinti minősítő rendszer</w:t>
      </w:r>
    </w:p>
  </w:footnote>
  <w:footnote w:id="27">
    <w:p w14:paraId="7FFFF0C0" w14:textId="77777777" w:rsidR="008A78E3" w:rsidRPr="00185637" w:rsidRDefault="008A78E3">
      <w:pPr>
        <w:pStyle w:val="Lbjegyzetszveg"/>
      </w:pPr>
      <w:r>
        <w:rPr>
          <w:rStyle w:val="Lbjegyzet-hivatkozs"/>
        </w:rPr>
        <w:footnoteRef/>
      </w:r>
      <w:r>
        <w:t xml:space="preserve"> </w:t>
      </w:r>
      <w:r w:rsidRPr="006013BF">
        <w:t>Guidelines on the application of the definition of default</w:t>
      </w:r>
      <w:r>
        <w:t>,</w:t>
      </w:r>
      <w:r w:rsidRPr="006013BF">
        <w:t xml:space="preserve"> </w:t>
      </w:r>
      <w:r w:rsidRPr="003843A9">
        <w:t>Regulatory Technical Standards on materiality threshold of credit obligation past due</w:t>
      </w:r>
      <w:r>
        <w:t>,</w:t>
      </w:r>
      <w:r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Pr>
          <w:color w:val="auto"/>
          <w:lang w:val="en-GB"/>
        </w:rPr>
        <w:t xml:space="preserve">, </w:t>
      </w:r>
      <w:r w:rsidRPr="00F54964">
        <w:rPr>
          <w:color w:val="auto"/>
          <w:lang w:val="en-GB"/>
        </w:rPr>
        <w:t>EBA Report on the Credit Risk Mitigation (CRM) Framework</w:t>
      </w:r>
    </w:p>
  </w:footnote>
  <w:footnote w:id="28">
    <w:p w14:paraId="7FFFF0C1" w14:textId="77777777" w:rsidR="008A78E3" w:rsidRPr="00185637" w:rsidRDefault="008A78E3">
      <w:pPr>
        <w:pStyle w:val="Lbjegyzetszveg"/>
      </w:pPr>
      <w:r>
        <w:rPr>
          <w:rStyle w:val="Lbjegyzet-hivatkozs"/>
        </w:rPr>
        <w:footnoteRef/>
      </w:r>
      <w:r>
        <w:t xml:space="preserve"> </w:t>
      </w:r>
      <w:r w:rsidRPr="00186E9D">
        <w:t>https://www.bankingsupervision.europa.eu/ecb/pub/pdf/trim_guide.en.pdf</w:t>
      </w:r>
    </w:p>
  </w:footnote>
  <w:footnote w:id="29">
    <w:p w14:paraId="7FFFF0C2" w14:textId="77777777" w:rsidR="008A78E3" w:rsidRPr="00185637" w:rsidRDefault="008A78E3">
      <w:pPr>
        <w:pStyle w:val="Lbjegyzetszveg"/>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0">
    <w:p w14:paraId="7FFFF0C3" w14:textId="77777777" w:rsidR="008A78E3" w:rsidRPr="00636B53" w:rsidRDefault="008A78E3">
      <w:pPr>
        <w:pStyle w:val="Lbjegyzetszveg"/>
      </w:pPr>
      <w:r w:rsidRPr="000A6A50">
        <w:rPr>
          <w:rStyle w:val="Lbjegyzet-hivatkozs"/>
        </w:rPr>
        <w:footnoteRef/>
      </w:r>
      <w:r w:rsidRPr="00C6548F">
        <w:t xml:space="preserve"> </w:t>
      </w:r>
      <w:r w:rsidRPr="00CD03A9">
        <w:t>Az EBA kiad</w:t>
      </w:r>
      <w:r>
        <w:t>ta</w:t>
      </w:r>
      <w:r w:rsidRPr="00CD03A9">
        <w:t xml:space="preserve"> a CRR szerinti nemteljesítési definíció megfelelő alkalmazás</w:t>
      </w:r>
      <w:r>
        <w:t>áról szóló ajánlását (</w:t>
      </w:r>
      <w:bookmarkStart w:id="734" w:name="OLE_LINK3"/>
      <w:r w:rsidRPr="00B23E44">
        <w:t>EBA/GL/2016/07</w:t>
      </w:r>
      <w:bookmarkEnd w:id="734"/>
      <w:r>
        <w:t>)</w:t>
      </w:r>
      <w:r w:rsidRPr="00CD03A9">
        <w:t>.</w:t>
      </w:r>
      <w:r>
        <w:t xml:space="preserve"> </w:t>
      </w:r>
    </w:p>
  </w:footnote>
  <w:footnote w:id="31">
    <w:p w14:paraId="7FFFF0C4" w14:textId="77777777" w:rsidR="008A78E3" w:rsidRPr="0050673C" w:rsidRDefault="008A78E3">
      <w:pPr>
        <w:pStyle w:val="Lbjegyzetszveg"/>
      </w:pPr>
      <w:r>
        <w:rPr>
          <w:rStyle w:val="Lbjegyzet-hivatkozs"/>
        </w:rPr>
        <w:footnoteRef/>
      </w:r>
      <w:r>
        <w:t xml:space="preserve"> Az MNB elvárja, hogy az intézmény</w:t>
      </w:r>
      <w:r w:rsidRPr="0069041D">
        <w:t xml:space="preserve"> az elérhető leghosszabb idősorral rendelkezz</w:t>
      </w:r>
      <w:r>
        <w:t>en termékei és szegmensei defau</w:t>
      </w:r>
      <w:r w:rsidRPr="0069041D">
        <w:t>lt rátájával kapcsolatban</w:t>
      </w:r>
      <w:r>
        <w:t>.</w:t>
      </w:r>
    </w:p>
  </w:footnote>
  <w:footnote w:id="32">
    <w:p w14:paraId="7FFFF0C5" w14:textId="77777777" w:rsidR="008A78E3" w:rsidRPr="0050673C" w:rsidRDefault="008A78E3">
      <w:pPr>
        <w:pStyle w:val="Lbjegyzetszveg"/>
      </w:pPr>
      <w:r>
        <w:rPr>
          <w:rStyle w:val="Lbjegyzet-hivatkozs"/>
        </w:rPr>
        <w:footnoteRef/>
      </w:r>
      <w:r>
        <w:t xml:space="preserve"> likely range of variability of default rates</w:t>
      </w:r>
    </w:p>
  </w:footnote>
  <w:footnote w:id="33">
    <w:p w14:paraId="7FFFF0C6" w14:textId="77777777" w:rsidR="008A78E3" w:rsidRPr="00EC6B0B" w:rsidRDefault="008A78E3">
      <w:pPr>
        <w:pStyle w:val="Lbjegyzetszveg"/>
      </w:pPr>
      <w:r>
        <w:rPr>
          <w:rStyle w:val="Lbjegyzet-hivatkozs"/>
        </w:rPr>
        <w:footnoteRef/>
      </w:r>
      <w:r>
        <w:t xml:space="preserve"> </w:t>
      </w:r>
      <w:bookmarkStart w:id="749" w:name="OLE_LINK4"/>
      <w:r w:rsidRPr="00665FF0">
        <w:t>https://www.bankingsupervision.europa.eu/ecb/pub/pdf/ssm.guidetointernalmodels_consolidated_201910~97fd49fb08.en.pdf</w:t>
      </w:r>
      <w:bookmarkEnd w:id="749"/>
    </w:p>
  </w:footnote>
  <w:footnote w:id="34">
    <w:p w14:paraId="7FFFF0C7" w14:textId="77777777" w:rsidR="008A78E3" w:rsidRPr="000F0CB0" w:rsidRDefault="008A78E3">
      <w:pPr>
        <w:pStyle w:val="Lbjegyzetszveg"/>
      </w:pPr>
      <w:r>
        <w:rPr>
          <w:rStyle w:val="Lbjegyzet-hivatkozs"/>
        </w:rPr>
        <w:footnoteRef/>
      </w:r>
      <w:r>
        <w:t xml:space="preserve"> A portfólió összetétel, szezonalitás stb. miatt írunk default várakozást. A mindenkori teljesítő portfólió default célja eltérhet a hosszú távú átlagos default értékétől, de becslése azon alapul.</w:t>
      </w:r>
    </w:p>
  </w:footnote>
  <w:footnote w:id="35">
    <w:p w14:paraId="7FFFF0C8" w14:textId="77777777" w:rsidR="008A78E3" w:rsidRPr="004F0500" w:rsidRDefault="008A78E3">
      <w:pPr>
        <w:pStyle w:val="Lbjegyzetszveg"/>
      </w:pPr>
      <w:r>
        <w:rPr>
          <w:rStyle w:val="Lbjegyzet-hivatkozs"/>
        </w:rPr>
        <w:footnoteRef/>
      </w:r>
      <w:r>
        <w:t xml:space="preserve"> </w:t>
      </w:r>
      <w:r w:rsidRPr="00D164B7">
        <w:t>https://www.bis.org/bcbs/publ/d362.pdf</w:t>
      </w:r>
    </w:p>
  </w:footnote>
  <w:footnote w:id="36">
    <w:p w14:paraId="7FFFF0C9" w14:textId="77777777" w:rsidR="008A78E3" w:rsidRPr="00C800F3" w:rsidRDefault="008A78E3" w:rsidP="00A70964">
      <w:pPr>
        <w:pStyle w:val="Lbjegyzetszveg"/>
      </w:pPr>
      <w:r>
        <w:rPr>
          <w:rStyle w:val="Lbjegyzet-hivatkozs"/>
        </w:rPr>
        <w:footnoteRef/>
      </w:r>
      <w:r>
        <w:t xml:space="preserve"> </w:t>
      </w:r>
      <w:r w:rsidRPr="00CA31B5">
        <w:t>https://www.bis.org/bcbs/publ/d424.pdf</w:t>
      </w:r>
    </w:p>
  </w:footnote>
  <w:footnote w:id="37">
    <w:p w14:paraId="7FFFF0CA" w14:textId="77777777" w:rsidR="008A78E3" w:rsidRPr="00EC6B0B" w:rsidRDefault="008A78E3">
      <w:pPr>
        <w:pStyle w:val="Lbjegyzetszveg"/>
      </w:pPr>
      <w:r>
        <w:rPr>
          <w:rStyle w:val="Lbjegyzet-hivatkozs"/>
        </w:rPr>
        <w:footnoteRef/>
      </w:r>
      <w:r>
        <w:t xml:space="preserve"> </w:t>
      </w:r>
      <w:hyperlink r:id="rId3" w:history="1">
        <w:r>
          <w:rPr>
            <w:rStyle w:val="Hiperhivatkozs"/>
          </w:rPr>
          <w:t>https://hitelintezetiszemle.mnb.hu/letoltes/hsz-19-3-t2-szenes-dabi.pdf</w:t>
        </w:r>
      </w:hyperlink>
    </w:p>
  </w:footnote>
  <w:footnote w:id="38">
    <w:p w14:paraId="7FFFF0CB" w14:textId="77777777" w:rsidR="008A78E3" w:rsidRPr="00780492" w:rsidRDefault="008A78E3">
      <w:pPr>
        <w:pStyle w:val="Lbjegyzetszveg"/>
      </w:pPr>
      <w:r>
        <w:rPr>
          <w:rStyle w:val="Lbjegyzet-hivatkozs"/>
        </w:rPr>
        <w:footnoteRef/>
      </w:r>
      <w:r>
        <w:t xml:space="preserve"> </w:t>
      </w:r>
      <w:r w:rsidRPr="000F616B">
        <w:t>https://eba.europa.eu/eba-releases-its-annual-assessment-of-the-consistency-of-internal-model-outcom-1</w:t>
      </w:r>
    </w:p>
  </w:footnote>
  <w:footnote w:id="39">
    <w:p w14:paraId="7FFFF0CC" w14:textId="77777777" w:rsidR="008A78E3" w:rsidRPr="00D70F07" w:rsidRDefault="008A78E3">
      <w:pPr>
        <w:pStyle w:val="Lbjegyzetszveg"/>
      </w:pPr>
      <w:r>
        <w:rPr>
          <w:rStyle w:val="Lbjegyzet-hivatkozs"/>
        </w:rPr>
        <w:footnoteRef/>
      </w:r>
      <w:r>
        <w:t xml:space="preserve"> </w:t>
      </w:r>
      <w:r w:rsidRPr="00244CE1">
        <w:t>https://net.jogtar.hu/jogszabaly?docid=a0400034.tv</w:t>
      </w:r>
    </w:p>
  </w:footnote>
  <w:footnote w:id="40">
    <w:p w14:paraId="7FFFF0CD" w14:textId="77777777" w:rsidR="008A78E3" w:rsidRPr="002E6584" w:rsidRDefault="008A78E3">
      <w:pPr>
        <w:pStyle w:val="Lbjegyzetszveg"/>
      </w:pPr>
    </w:p>
  </w:footnote>
  <w:footnote w:id="41">
    <w:p w14:paraId="7FFFF0CE" w14:textId="77777777" w:rsidR="008A78E3" w:rsidRPr="0050673C" w:rsidRDefault="008A78E3">
      <w:pPr>
        <w:pStyle w:val="Lbjegyzetszveg"/>
      </w:pPr>
      <w:r>
        <w:rPr>
          <w:rStyle w:val="Lbjegyzet-hivatkozs"/>
        </w:rPr>
        <w:footnoteRef/>
      </w:r>
      <w:r>
        <w:t xml:space="preserve">  A fedezeti megtérülések gyűjtésére az intézményt a </w:t>
      </w:r>
      <w:r w:rsidRPr="007F6167">
        <w:t>40/2016. (X. 11.) MNB rendelet</w:t>
      </w:r>
      <w:r>
        <w:t xml:space="preserve"> 16.§ (2) g) is kötelezi</w:t>
      </w:r>
    </w:p>
  </w:footnote>
  <w:footnote w:id="42">
    <w:p w14:paraId="7FFFF0CF" w14:textId="77777777" w:rsidR="008A78E3" w:rsidRPr="00185637" w:rsidRDefault="008A78E3">
      <w:pPr>
        <w:pStyle w:val="Lbjegyzetszveg"/>
      </w:pPr>
      <w:r>
        <w:rPr>
          <w:rStyle w:val="Lbjegyzet-hivatkozs"/>
        </w:rPr>
        <w:footnoteRef/>
      </w:r>
      <w:r>
        <w:t xml:space="preserve"> Az MNB alapvetően az EBA által kiadott </w:t>
      </w:r>
      <w:r w:rsidRPr="00E54906">
        <w:rPr>
          <w:i/>
          <w:iCs/>
        </w:rPr>
        <w:t>RTS on the specification of the nature, severity and duration of an economic downturn</w:t>
      </w:r>
      <w:r>
        <w:t xml:space="preserve"> és </w:t>
      </w:r>
      <w:r w:rsidRPr="00E54906">
        <w:rPr>
          <w:i/>
          <w:iCs/>
        </w:rPr>
        <w:t>Guidelines for the estimation of LGD appropriate for an economic downturn</w:t>
      </w:r>
      <w:r>
        <w:t xml:space="preserve"> útmutatókban leírtak alkalmazását várja el</w:t>
      </w:r>
    </w:p>
  </w:footnote>
  <w:footnote w:id="43">
    <w:p w14:paraId="7FFFF0D0" w14:textId="77777777" w:rsidR="008A78E3" w:rsidRPr="00635DA9" w:rsidRDefault="008A78E3" w:rsidP="00D10772">
      <w:pPr>
        <w:pStyle w:val="Lbjegyzetszveg"/>
      </w:pPr>
      <w:r w:rsidRPr="00635DA9">
        <w:rPr>
          <w:rStyle w:val="Lbjegyzet-hivatkozs"/>
        </w:rPr>
        <w:footnoteRef/>
      </w:r>
      <w:r w:rsidRPr="00635DA9">
        <w:t xml:space="preserve"> A tőke</w:t>
      </w:r>
      <w:r>
        <w:t>követelmény-</w:t>
      </w:r>
      <w:r w:rsidRPr="00635DA9">
        <w:t xml:space="preserve">számítás során az LGD-t érintő korrekció hiányával összhangban indokolt lehet a bemeneti PD-k arányos csökkentése.    </w:t>
      </w:r>
    </w:p>
  </w:footnote>
  <w:footnote w:id="44">
    <w:p w14:paraId="7FFFF0D1" w14:textId="77777777" w:rsidR="008A78E3" w:rsidRPr="0050673C" w:rsidRDefault="008A78E3" w:rsidP="00DF266C">
      <w:pPr>
        <w:pStyle w:val="Lbjegyzetszveg"/>
      </w:pPr>
      <w:r>
        <w:rPr>
          <w:rStyle w:val="Lbjegyzet-hivatkozs"/>
        </w:rPr>
        <w:footnoteRef/>
      </w:r>
      <w:r>
        <w:t xml:space="preserve"> A CRR rendelkezéseinek értelmezését segíti Seregdi László: A szavatoló tőke szerepe a hitelintézetek prudenciális szabályozásában című anyaga.</w:t>
      </w:r>
    </w:p>
  </w:footnote>
  <w:footnote w:id="45">
    <w:p w14:paraId="7FFFF0D2" w14:textId="77777777" w:rsidR="008A78E3" w:rsidRPr="00185637" w:rsidRDefault="008A78E3" w:rsidP="00BD54BA">
      <w:pPr>
        <w:pStyle w:val="Lbjegyzetszveg"/>
      </w:pPr>
      <w:r>
        <w:rPr>
          <w:rStyle w:val="Lbjegyzet-hivatkozs"/>
        </w:rPr>
        <w:footnoteRef/>
      </w:r>
      <w:r>
        <w:t xml:space="preserve"> </w:t>
      </w:r>
      <w:bookmarkStart w:id="830" w:name="_Hlk500493758"/>
      <w:r w:rsidRPr="00BD54BA">
        <w:t>A Magyar Nemzeti Bank 10/2017. (VIII.8.) számú ajánlása</w:t>
      </w:r>
      <w:r>
        <w:t xml:space="preserve"> </w:t>
      </w:r>
      <w:r w:rsidRPr="00BD54BA">
        <w:t>a speciális hitelezési kitettségek és a spekulatív ingatlanfinanszírozás definiálásáról</w:t>
      </w:r>
      <w:bookmarkEnd w:id="830"/>
    </w:p>
  </w:footnote>
  <w:footnote w:id="46">
    <w:p w14:paraId="7FFFF0D3" w14:textId="77777777" w:rsidR="008A78E3" w:rsidRPr="000F0CB0" w:rsidRDefault="008A78E3">
      <w:pPr>
        <w:pStyle w:val="Lbjegyzetszveg"/>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t>ó</w:t>
      </w:r>
      <w:r w:rsidRPr="006E0409">
        <w:t xml:space="preserve"> rájuk, hogy nem ciklikusak.</w:t>
      </w:r>
    </w:p>
  </w:footnote>
  <w:footnote w:id="47">
    <w:p w14:paraId="7FFFF0D4" w14:textId="77777777" w:rsidR="008A78E3" w:rsidRPr="00185637" w:rsidRDefault="008A78E3">
      <w:pPr>
        <w:pStyle w:val="Lbjegyzetszveg"/>
      </w:pPr>
      <w:r>
        <w:rPr>
          <w:rStyle w:val="Lbjegyzet-hivatkozs"/>
        </w:rPr>
        <w:footnoteRef/>
      </w:r>
      <w:r>
        <w:t xml:space="preserve"> A témával kapcsolatosan lásd a következő Hitelintézeti szemle cikket: </w:t>
      </w:r>
      <w:hyperlink r:id="rId4" w:history="1">
        <w:r w:rsidRPr="00071979">
          <w:rPr>
            <w:rStyle w:val="Hiperhivatkozs"/>
          </w:rPr>
          <w:t>http://www.hitelintezetiszemle.hu/letoltes/szenes-mark-tomsics-andras-kutasi-david.pdf</w:t>
        </w:r>
      </w:hyperlink>
      <w:r>
        <w:t xml:space="preserve"> </w:t>
      </w:r>
    </w:p>
  </w:footnote>
  <w:footnote w:id="48">
    <w:p w14:paraId="7FFFF0D5" w14:textId="77777777" w:rsidR="008A78E3" w:rsidRPr="00EC6B0B" w:rsidRDefault="008A78E3">
      <w:pPr>
        <w:pStyle w:val="Lbjegyzetszveg"/>
      </w:pPr>
      <w:r>
        <w:rPr>
          <w:rStyle w:val="Lbjegyzet-hivatkozs"/>
        </w:rPr>
        <w:footnoteRef/>
      </w:r>
      <w:r>
        <w:t xml:space="preserve"> </w:t>
      </w:r>
      <w:r w:rsidRPr="00A71A36">
        <w:t>https://www.mnb.hu/letoltes/10-2017-sl-ajanlas.pdf</w:t>
      </w:r>
    </w:p>
  </w:footnote>
  <w:footnote w:id="49">
    <w:p w14:paraId="7FFFF0D6" w14:textId="77777777" w:rsidR="008A78E3" w:rsidRPr="00185637" w:rsidRDefault="008A78E3">
      <w:pPr>
        <w:pStyle w:val="Lbjegyzetszveg"/>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0">
    <w:p w14:paraId="7FFFF0D7" w14:textId="77777777" w:rsidR="008A78E3" w:rsidRPr="00185637" w:rsidRDefault="008A78E3">
      <w:pPr>
        <w:pStyle w:val="Lbjegyzetszveg"/>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1">
    <w:p w14:paraId="7FFFF0D8" w14:textId="77777777" w:rsidR="008A78E3" w:rsidRPr="00185637" w:rsidRDefault="008A78E3">
      <w:pPr>
        <w:pStyle w:val="Lbjegyzetszveg"/>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2">
    <w:p w14:paraId="7FFFF0D9" w14:textId="77777777" w:rsidR="008A78E3" w:rsidRPr="00173EDD" w:rsidRDefault="008A78E3"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3">
    <w:p w14:paraId="7FFFF0DA" w14:textId="77777777" w:rsidR="008A78E3" w:rsidRPr="0050673C" w:rsidRDefault="008A78E3">
      <w:pPr>
        <w:pStyle w:val="Lbjegyzetszveg"/>
      </w:pPr>
      <w:r>
        <w:rPr>
          <w:rStyle w:val="Lbjegyzet-hivatkozs"/>
        </w:rPr>
        <w:footnoteRef/>
      </w:r>
      <w:r>
        <w:t xml:space="preserve"> Összhangban a CRR 181. cikk (1) bekezdés c) pontjával.</w:t>
      </w:r>
    </w:p>
  </w:footnote>
  <w:footnote w:id="54">
    <w:p w14:paraId="7FFFF0DB" w14:textId="77777777" w:rsidR="008A78E3" w:rsidRPr="00BE6D5A" w:rsidRDefault="008A78E3">
      <w:pPr>
        <w:pStyle w:val="Lbjegyzetszveg"/>
      </w:pPr>
      <w:r>
        <w:rPr>
          <w:rStyle w:val="Lbjegyzet-hivatkozs"/>
        </w:rPr>
        <w:footnoteRef/>
      </w:r>
      <w:r>
        <w:t xml:space="preserve"> E pont alkalmazásában általában ügyletnek tekintendő valamilyen pénzpiaci vagy tőkepiaci termék, deviza, értékpapír vagy áru cseréjére vonatkozó megállapodás.</w:t>
      </w:r>
    </w:p>
  </w:footnote>
  <w:footnote w:id="55">
    <w:p w14:paraId="7FFFF0DC" w14:textId="77777777" w:rsidR="008A78E3" w:rsidRPr="00BE6D5A" w:rsidRDefault="008A78E3">
      <w:pPr>
        <w:pStyle w:val="Lbjegyzetszveg"/>
      </w:pPr>
      <w:r>
        <w:rPr>
          <w:rStyle w:val="Lbjegyzet-hivatkozs"/>
        </w:rPr>
        <w:footnoteRef/>
      </w:r>
      <w:r>
        <w:t xml:space="preserve"> SD = Settlement Date, a teljesítés napja</w:t>
      </w:r>
    </w:p>
  </w:footnote>
  <w:footnote w:id="56">
    <w:p w14:paraId="7FFFF0DD" w14:textId="77777777" w:rsidR="008A78E3" w:rsidRPr="00BE4137" w:rsidRDefault="008A78E3"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t>.</w:t>
      </w:r>
      <w:r w:rsidRPr="00BE4137">
        <w:t xml:space="preserve"> </w:t>
      </w:r>
    </w:p>
  </w:footnote>
  <w:footnote w:id="57">
    <w:p w14:paraId="7FFFF0DE" w14:textId="77777777" w:rsidR="008A78E3" w:rsidRPr="00B620E2" w:rsidRDefault="008A78E3"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58">
    <w:p w14:paraId="7FFFF0DF" w14:textId="77777777" w:rsidR="008A78E3" w:rsidRPr="00D04451" w:rsidRDefault="008A78E3" w:rsidP="003A7131">
      <w:pPr>
        <w:pStyle w:val="Lbjegyzetszveg"/>
      </w:pPr>
      <w:r>
        <w:rPr>
          <w:rStyle w:val="Lbjegyzet-hivatkozs"/>
        </w:rPr>
        <w:footnoteRef/>
      </w:r>
      <w:r>
        <w:t xml:space="preserve"> 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59">
    <w:p w14:paraId="7FFFF0E0" w14:textId="77777777" w:rsidR="008A78E3" w:rsidRPr="0050673C" w:rsidRDefault="008A78E3" w:rsidP="00D04A5F">
      <w:pPr>
        <w:pStyle w:val="Lbjegyzetszveg"/>
      </w:pPr>
      <w:r>
        <w:rPr>
          <w:rStyle w:val="Lbjegyzet-hivatkozs"/>
        </w:rPr>
        <w:footnoteRef/>
      </w:r>
      <w:r>
        <w:t xml:space="preserve"> Az értékpapírosítás témakörével a CRR 5. fejezete, </w:t>
      </w:r>
      <w:r w:rsidRPr="009B477B">
        <w:t xml:space="preserve">az értékpapírosítás egyedi keretrendszerének létrehozásáról szóló </w:t>
      </w:r>
      <w:r w:rsidRPr="009B477B">
        <w:rPr>
          <w:lang w:bidi="hu-HU"/>
        </w:rPr>
        <w:t xml:space="preserve">európai </w:t>
      </w:r>
      <w:r w:rsidRPr="009B477B">
        <w:t xml:space="preserve">parlamenti </w:t>
      </w:r>
      <w:r w:rsidRPr="009B477B">
        <w:rPr>
          <w:lang w:bidi="hu-HU"/>
        </w:rPr>
        <w:t xml:space="preserve">és </w:t>
      </w:r>
      <w:r w:rsidRPr="009B477B">
        <w:t>t</w:t>
      </w:r>
      <w:r w:rsidRPr="009B477B">
        <w:rPr>
          <w:lang w:bidi="hu-HU"/>
        </w:rPr>
        <w:t xml:space="preserve">anácsi </w:t>
      </w:r>
      <w:r w:rsidRPr="009B477B">
        <w:t>rendelet</w:t>
      </w:r>
      <w:r>
        <w:t>, a kapcsolódó másodszintű jogszabályok, techniaki sztenderdek, illetve az EBA által kiadott iránymutatások</w:t>
      </w:r>
      <w:r w:rsidRPr="00CE3686">
        <w:t xml:space="preserve"> </w:t>
      </w:r>
      <w:r>
        <w:t>és a vonatkozó MNB ajánlások foglalkoznak részletesen, valamint a CRD 82. cikke, és az EBA SREP Ajánlás 155-157. bekezdései</w:t>
      </w:r>
    </w:p>
  </w:footnote>
  <w:footnote w:id="60">
    <w:p w14:paraId="7FFFF0E1" w14:textId="77777777" w:rsidR="008A78E3" w:rsidRPr="005E0B79" w:rsidRDefault="008A78E3" w:rsidP="004C2D3B">
      <w:pPr>
        <w:pStyle w:val="Lbjegyzetszveg"/>
      </w:pPr>
      <w:r>
        <w:rPr>
          <w:rStyle w:val="Lbjegyzet-hivatkozs"/>
        </w:rPr>
        <w:footnoteRef/>
      </w:r>
      <w:r>
        <w:t xml:space="preserve"> </w:t>
      </w:r>
      <w:r w:rsidRPr="00871625">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936" w:name="_Hlk55896081"/>
      <w:r w:rsidRPr="00871625">
        <w:rPr>
          <w:lang w:bidi="hu-HU"/>
        </w:rPr>
        <w:t xml:space="preserve">európai </w:t>
      </w:r>
      <w:r w:rsidRPr="00871625">
        <w:t xml:space="preserve">parlamenti </w:t>
      </w:r>
      <w:r w:rsidRPr="00871625">
        <w:rPr>
          <w:lang w:bidi="hu-HU"/>
        </w:rPr>
        <w:t xml:space="preserve">és </w:t>
      </w:r>
      <w:r w:rsidRPr="00871625">
        <w:t>t</w:t>
      </w:r>
      <w:r w:rsidRPr="00871625">
        <w:rPr>
          <w:lang w:bidi="hu-HU"/>
        </w:rPr>
        <w:t xml:space="preserve">anácsi </w:t>
      </w:r>
      <w:bookmarkEnd w:id="936"/>
      <w:r w:rsidRPr="00871625">
        <w:t>(EU) 2017/2402 rendelet</w:t>
      </w:r>
      <w:r>
        <w:t xml:space="preserve">; </w:t>
      </w:r>
    </w:p>
  </w:footnote>
  <w:footnote w:id="61">
    <w:p w14:paraId="7FFFF0E2" w14:textId="77777777" w:rsidR="008A78E3" w:rsidRPr="007420CE" w:rsidRDefault="008A78E3" w:rsidP="00CE3686">
      <w:pPr>
        <w:pStyle w:val="Lbjegyzetszveg"/>
      </w:pPr>
      <w:r w:rsidRPr="007420CE">
        <w:rPr>
          <w:rStyle w:val="Lbjegyzet-hivatkozs"/>
        </w:rPr>
        <w:footnoteRef/>
      </w:r>
      <w:r>
        <w:t xml:space="preserve"> Az EBA vonatkozó iránymutatásai a következő oldalon elérhetőek: </w:t>
      </w:r>
      <w:hyperlink r:id="rId8" w:history="1">
        <w:r w:rsidRPr="001D715E">
          <w:rPr>
            <w:rStyle w:val="Hiperhivatkozs"/>
          </w:rPr>
          <w:t>https://eba.europa.eu/regulation-and-policy/securitisation-and-covered-bonds</w:t>
        </w:r>
      </w:hyperlink>
    </w:p>
  </w:footnote>
  <w:footnote w:id="62">
    <w:p w14:paraId="7FFFF0E3" w14:textId="77777777" w:rsidR="008A78E3" w:rsidRPr="005E0B79" w:rsidRDefault="008A78E3" w:rsidP="004C2D3B">
      <w:pPr>
        <w:pStyle w:val="Lbjegyzetszveg"/>
      </w:pPr>
      <w:r>
        <w:rPr>
          <w:rStyle w:val="Lbjegyzet-hivatkozs"/>
        </w:rPr>
        <w:footnoteRef/>
      </w:r>
      <w:r>
        <w:t xml:space="preserve"> </w:t>
      </w:r>
      <w:r w:rsidRPr="00643AD7">
        <w:t>https://www.mnb.hu/letoltes/3-2020-abcp-ertekpapirositas.pdf</w:t>
      </w:r>
      <w:r>
        <w:t xml:space="preserve"> ; </w:t>
      </w:r>
      <w:r w:rsidRPr="00643AD7">
        <w:t>https://www.mnb.hu/letoltes/4-2020-nemabcp-ertekpapirositas.pdf</w:t>
      </w:r>
    </w:p>
  </w:footnote>
  <w:footnote w:id="63">
    <w:p w14:paraId="7FFFF0E4" w14:textId="77777777" w:rsidR="008A78E3" w:rsidRDefault="008A78E3" w:rsidP="004C2D3B">
      <w:pPr>
        <w:pStyle w:val="Lbjegyzetszveg"/>
      </w:pPr>
      <w:r>
        <w:rPr>
          <w:rStyle w:val="Lbjegyzet-hivatkozs"/>
        </w:rPr>
        <w:footnoteRef/>
      </w:r>
      <w:r>
        <w:t xml:space="preserve"> </w:t>
      </w:r>
      <w:hyperlink r:id="rId9" w:history="1">
        <w:r w:rsidRPr="005D787D">
          <w:rPr>
            <w:rStyle w:val="Hiperhivatkozs"/>
          </w:rPr>
          <w:t>https://www.eba.europa.eu/documents/10180/1672271/Guidelines+on+implicit+support+for+securitisation+transactions+%28EBA-GL-2016-08%29_HU.pdf/c66b1d41-be92-45d9-b7f5-f119c6c3afbe</w:t>
        </w:r>
      </w:hyperlink>
    </w:p>
    <w:p w14:paraId="7FFFF0E5" w14:textId="77777777" w:rsidR="008A78E3" w:rsidRDefault="008A78E3" w:rsidP="004C2D3B">
      <w:pPr>
        <w:pStyle w:val="Lbjegyzetszveg"/>
      </w:pPr>
    </w:p>
  </w:footnote>
  <w:footnote w:id="64">
    <w:p w14:paraId="7FFFF0E6" w14:textId="77777777" w:rsidR="008A78E3" w:rsidRDefault="008A78E3"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65">
    <w:p w14:paraId="7FFFF0E7" w14:textId="77777777" w:rsidR="008A78E3" w:rsidRPr="00FA06EE" w:rsidRDefault="008A78E3" w:rsidP="004C2D3B">
      <w:pPr>
        <w:pStyle w:val="Lbjegyzetszveg"/>
        <w:rPr>
          <w:color w:val="auto"/>
        </w:rPr>
      </w:pPr>
      <w:r w:rsidRPr="00FA06EE">
        <w:rPr>
          <w:rStyle w:val="Lbjegyzet-hivatkozs"/>
          <w:color w:val="auto"/>
        </w:rPr>
        <w:footnoteRef/>
      </w:r>
      <w:r w:rsidRPr="00FA06EE">
        <w:rPr>
          <w:color w:val="auto"/>
        </w:rPr>
        <w:t xml:space="preserve"> CRR 257. cikk (1) bekezdés a) pont</w:t>
      </w:r>
    </w:p>
  </w:footnote>
  <w:footnote w:id="66">
    <w:p w14:paraId="7FFFF0E8" w14:textId="77777777" w:rsidR="008A78E3" w:rsidRDefault="008A78E3" w:rsidP="004C2D3B">
      <w:pPr>
        <w:pStyle w:val="Lbjegyzetszveg"/>
      </w:pPr>
      <w:r w:rsidRPr="00FA06EE">
        <w:rPr>
          <w:rStyle w:val="Lbjegyzet-hivatkozs"/>
          <w:color w:val="auto"/>
        </w:rPr>
        <w:footnoteRef/>
      </w:r>
      <w:r w:rsidRPr="00FA06EE">
        <w:rPr>
          <w:color w:val="auto"/>
        </w:rPr>
        <w:t xml:space="preserve"> CRR 257. cikk (1) bekezdés b) pont</w:t>
      </w:r>
    </w:p>
  </w:footnote>
  <w:footnote w:id="67">
    <w:p w14:paraId="7FFFF0E9" w14:textId="77777777" w:rsidR="008A78E3" w:rsidRPr="00847897" w:rsidRDefault="008A78E3" w:rsidP="004C2D3B">
      <w:pPr>
        <w:pStyle w:val="Lbjegyzetszveg"/>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68">
    <w:p w14:paraId="7FFFF0EA" w14:textId="77777777" w:rsidR="008A78E3" w:rsidRDefault="008A78E3"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69">
    <w:p w14:paraId="7FFFF0EB" w14:textId="77777777" w:rsidR="008A78E3" w:rsidRDefault="008A78E3" w:rsidP="003F7941">
      <w:pPr>
        <w:pStyle w:val="Lbjegyzetszveg"/>
      </w:pPr>
      <w:r>
        <w:rPr>
          <w:rStyle w:val="Lbjegyzet-hivatkozs"/>
        </w:rPr>
        <w:footnoteRef/>
      </w:r>
      <w:r>
        <w:t xml:space="preserve"> Lsd. CRR 4. cikk (1) bekezdés 39.</w:t>
      </w:r>
    </w:p>
  </w:footnote>
  <w:footnote w:id="70">
    <w:p w14:paraId="7FFFF0EC" w14:textId="77777777" w:rsidR="008A78E3" w:rsidRDefault="008A78E3" w:rsidP="003F7941">
      <w:pPr>
        <w:pStyle w:val="Lbjegyzetszveg"/>
      </w:pPr>
      <w:r>
        <w:rPr>
          <w:rStyle w:val="Lbjegyzet-hivatkozs"/>
        </w:rPr>
        <w:footnoteRef/>
      </w:r>
      <w:r>
        <w:t xml:space="preserve"> A CRR 395. cikke szabályozza a nagykockázat vállalását.</w:t>
      </w:r>
    </w:p>
  </w:footnote>
  <w:footnote w:id="71">
    <w:p w14:paraId="7FFFF0ED" w14:textId="77777777" w:rsidR="008A78E3" w:rsidRDefault="008A78E3" w:rsidP="00D10A36">
      <w:pPr>
        <w:pStyle w:val="Lbjegyzetszveg"/>
      </w:pPr>
      <w:r>
        <w:rPr>
          <w:rStyle w:val="Lbjegyzet-hivatkozs"/>
        </w:rPr>
        <w:footnoteRef/>
      </w:r>
      <w:r>
        <w:t xml:space="preserve"> Moody’s, Standard and Poor’s, Fitch Ratings</w:t>
      </w:r>
    </w:p>
  </w:footnote>
  <w:footnote w:id="72">
    <w:p w14:paraId="7FFFF0EE" w14:textId="77777777" w:rsidR="008A78E3" w:rsidRPr="0022464F" w:rsidRDefault="008A78E3">
      <w:pPr>
        <w:pStyle w:val="Lbjegyzetszveg"/>
      </w:pPr>
      <w:r>
        <w:rPr>
          <w:rStyle w:val="Lbjegyzet-hivatkozs"/>
        </w:rPr>
        <w:footnoteRef/>
      </w:r>
      <w:r>
        <w:t xml:space="preserve"> 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3">
    <w:p w14:paraId="7FFFF0EF" w14:textId="77777777" w:rsidR="008A78E3" w:rsidRPr="0022464F" w:rsidRDefault="008A78E3">
      <w:pPr>
        <w:pStyle w:val="Lbjegyzetszveg"/>
      </w:pPr>
      <w:r>
        <w:rPr>
          <w:rStyle w:val="Lbjegyzet-hivatkozs"/>
        </w:rPr>
        <w:footnoteRef/>
      </w:r>
      <w:r>
        <w:t xml:space="preserve"> a granularitási limit a bank teljesítő hitelállományának méretétől függően, szakértői alapon kerül meghatározásra</w:t>
      </w:r>
    </w:p>
  </w:footnote>
  <w:footnote w:id="74">
    <w:p w14:paraId="7FFFF0F0" w14:textId="77777777" w:rsidR="008A78E3" w:rsidRPr="000F0CB0" w:rsidRDefault="008A78E3">
      <w:pPr>
        <w:pStyle w:val="Lbjegyzetszveg"/>
      </w:pPr>
      <w:r>
        <w:rPr>
          <w:rStyle w:val="Lbjegyzet-hivatkozs"/>
        </w:rPr>
        <w:footnoteRef/>
      </w:r>
      <w:r>
        <w:t xml:space="preserve"> 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5">
    <w:p w14:paraId="7FFFF0F1" w14:textId="77777777" w:rsidR="008A78E3" w:rsidRDefault="008A78E3" w:rsidP="005041F1">
      <w:pPr>
        <w:pStyle w:val="Lbjegyzetszveg"/>
      </w:pPr>
      <w:r>
        <w:rPr>
          <w:rStyle w:val="Lbjegyzet-hivatkozs"/>
        </w:rPr>
        <w:footnoteRef/>
      </w:r>
      <w:r>
        <w:t xml:space="preserve">  a granularitási limit a bank teljesítő hitelállományának méretétől függően, szakértői alapon kerül meghatározásra. Kisbankok esetében tekinthető a teljes porfólió nem granulárisnak.</w:t>
      </w:r>
    </w:p>
  </w:footnote>
  <w:footnote w:id="76">
    <w:p w14:paraId="7FFFF0F2" w14:textId="77777777" w:rsidR="008A78E3" w:rsidRPr="00EC6B0B" w:rsidRDefault="008A78E3">
      <w:pPr>
        <w:pStyle w:val="Lbjegyzetszveg"/>
      </w:pPr>
      <w:r>
        <w:rPr>
          <w:rStyle w:val="Lbjegyzet-hivatkozs"/>
        </w:rPr>
        <w:footnoteRef/>
      </w:r>
      <w:r>
        <w:t xml:space="preserve"> piaci érték alapú LTV (loan to value: hitelfedezeti arány)</w:t>
      </w:r>
    </w:p>
  </w:footnote>
  <w:footnote w:id="77">
    <w:p w14:paraId="7FFFF0F3" w14:textId="77777777" w:rsidR="008A78E3" w:rsidRDefault="008A78E3" w:rsidP="005041F1">
      <w:pPr>
        <w:pStyle w:val="Lbjegyzetszveg"/>
      </w:pPr>
      <w:r>
        <w:rPr>
          <w:rStyle w:val="Lbjegyzet-hivatkozs"/>
        </w:rPr>
        <w:footnoteRef/>
      </w:r>
      <w:r>
        <w:t xml:space="preserve"> banki, intézményi kitettségek</w:t>
      </w:r>
    </w:p>
  </w:footnote>
  <w:footnote w:id="78">
    <w:p w14:paraId="7FFFF0F4" w14:textId="77777777" w:rsidR="008A78E3" w:rsidRDefault="008A78E3" w:rsidP="005041F1">
      <w:pPr>
        <w:pStyle w:val="Lbjegyzetszveg"/>
      </w:pPr>
      <w:r>
        <w:rPr>
          <w:rStyle w:val="Lbjegyzet-hivatkozs"/>
        </w:rPr>
        <w:footnoteRef/>
      </w:r>
      <w:r>
        <w:t xml:space="preserve"> minden egyéb szegmens</w:t>
      </w:r>
    </w:p>
  </w:footnote>
  <w:footnote w:id="79">
    <w:p w14:paraId="7FFFF0F5" w14:textId="77777777" w:rsidR="008A78E3" w:rsidRPr="008F31AB" w:rsidRDefault="008A78E3" w:rsidP="00D10772">
      <w:pPr>
        <w:pStyle w:val="Lbjegyzetszveg"/>
      </w:pPr>
      <w:r w:rsidRPr="0084556F">
        <w:rPr>
          <w:rStyle w:val="Lbjegyzet-hivatkozs"/>
        </w:rPr>
        <w:footnoteRef/>
      </w:r>
      <w:r>
        <w:t xml:space="preserve"> a tőke</w:t>
      </w:r>
      <w:r w:rsidRPr="0084556F">
        <w:t xml:space="preserve"> értékvesztés</w:t>
      </w:r>
      <w:r>
        <w:t>-</w:t>
      </w:r>
      <w:r w:rsidRPr="0084556F">
        <w:t>hiánnyal való csökkentését</w:t>
      </w:r>
      <w:r>
        <w:t>,</w:t>
      </w:r>
      <w:r w:rsidRPr="0084556F">
        <w:t xml:space="preserve"> ill</w:t>
      </w:r>
      <w:r>
        <w:t>etve</w:t>
      </w:r>
      <w:r w:rsidRPr="0084556F">
        <w:t xml:space="preserve"> az értékvesztés</w:t>
      </w:r>
      <w:r>
        <w:t>-</w:t>
      </w:r>
      <w:r w:rsidRPr="0084556F">
        <w:t>többlet (egy részével) való növelését</w:t>
      </w:r>
    </w:p>
  </w:footnote>
  <w:footnote w:id="80">
    <w:p w14:paraId="7FFFF0F6" w14:textId="77777777" w:rsidR="008A78E3" w:rsidRPr="00B8237C" w:rsidRDefault="008A78E3" w:rsidP="00B8237C">
      <w:pPr>
        <w:pStyle w:val="Lbjegyzetszveg"/>
        <w:rPr>
          <w:sz w:val="18"/>
          <w:szCs w:val="22"/>
        </w:rPr>
      </w:pPr>
      <w:r>
        <w:rPr>
          <w:rStyle w:val="Lbjegyzet-hivatkozs"/>
        </w:rPr>
        <w:footnoteRef/>
      </w:r>
      <w:r>
        <w:t xml:space="preserve"> </w:t>
      </w:r>
      <w:r w:rsidRPr="00B8237C">
        <w:rPr>
          <w:sz w:val="18"/>
          <w:szCs w:val="22"/>
        </w:rPr>
        <w:t xml:space="preserve">A kézikönyv publikálásakor elérhető a </w:t>
      </w:r>
      <w:r w:rsidRPr="0041798A">
        <w:rPr>
          <w:sz w:val="18"/>
          <w:szCs w:val="22"/>
        </w:rPr>
        <w:t>https://www.mnb.hu/letoltes/tajekoztato-zlt-20230906-public.pdf</w:t>
      </w:r>
    </w:p>
    <w:p w14:paraId="7FFFF0F7" w14:textId="77777777" w:rsidR="008A78E3" w:rsidRDefault="008A78E3" w:rsidP="007E7749">
      <w:pPr>
        <w:pStyle w:val="Lbjegyzetszveg"/>
      </w:pPr>
      <w:r w:rsidRPr="00B8237C">
        <w:rPr>
          <w:sz w:val="18"/>
          <w:szCs w:val="22"/>
        </w:rPr>
        <w:t xml:space="preserve"> oldalon.</w:t>
      </w:r>
    </w:p>
  </w:footnote>
  <w:footnote w:id="81">
    <w:p w14:paraId="7FFFF0F8" w14:textId="77777777" w:rsidR="008A78E3" w:rsidRDefault="008A78E3"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2">
    <w:p w14:paraId="7FFFF0F9" w14:textId="77777777" w:rsidR="008A78E3" w:rsidRPr="00456B36" w:rsidRDefault="008A78E3">
      <w:pPr>
        <w:pStyle w:val="Lbjegyzetszveg"/>
      </w:pPr>
      <w:r>
        <w:rPr>
          <w:rStyle w:val="Lbjegyzet-hivatkozs"/>
        </w:rPr>
        <w:footnoteRef/>
      </w:r>
      <w:r>
        <w:t xml:space="preserve"> </w:t>
      </w:r>
      <w:bookmarkStart w:id="995" w:name="_Hlk82179194"/>
      <w:r>
        <w:t xml:space="preserve">A program Tájékoztató dokumentuma és a hozzá tartozó Melléklet elérhető a </w:t>
      </w:r>
      <w:hyperlink r:id="rId10" w:history="1">
        <w:r>
          <w:rPr>
            <w:rStyle w:val="Hiperhivatkozs"/>
          </w:rPr>
          <w:t>tajekoztato-zvt-20230906-public.pdf (mnb.hu)</w:t>
        </w:r>
      </w:hyperlink>
      <w:r>
        <w:t xml:space="preserve"> oldalon.</w:t>
      </w:r>
      <w:bookmarkEnd w:id="995"/>
    </w:p>
  </w:footnote>
  <w:footnote w:id="83">
    <w:p w14:paraId="7FFFF0FA" w14:textId="77777777" w:rsidR="008A78E3" w:rsidRPr="00D83C59" w:rsidRDefault="008A78E3" w:rsidP="0051678E">
      <w:pPr>
        <w:pStyle w:val="Lbjegyzetszveg"/>
      </w:pPr>
      <w:r>
        <w:rPr>
          <w:rStyle w:val="Lbjegyzet-hivatkozs"/>
        </w:rPr>
        <w:footnoteRef/>
      </w:r>
      <w:r>
        <w:t xml:space="preserve"> A programhoz tartozó önkéntes adatszolgáltatás táblaképe és kitöltési útmutatója elérhető a </w:t>
      </w:r>
      <w:hyperlink r:id="rId11" w:history="1">
        <w:r w:rsidRPr="00911343">
          <w:rPr>
            <w:rStyle w:val="Hiperhivatkozs"/>
          </w:rPr>
          <w:t>https://www.mnb.hu/letoltes/zvt-adatszolgaltatas.zip</w:t>
        </w:r>
      </w:hyperlink>
      <w:r>
        <w:t xml:space="preserve"> oldalon.</w:t>
      </w:r>
    </w:p>
  </w:footnote>
  <w:footnote w:id="84">
    <w:p w14:paraId="7FFFF0FB" w14:textId="77777777" w:rsidR="008A78E3" w:rsidRPr="00EC6B0B" w:rsidRDefault="008A78E3">
      <w:pPr>
        <w:pStyle w:val="Lbjegyzetszveg"/>
        <w:rPr>
          <w:i/>
          <w:iCs/>
        </w:rPr>
      </w:pPr>
      <w:r>
        <w:rPr>
          <w:rStyle w:val="Lbjegyzet-hivatkozs"/>
        </w:rPr>
        <w:footnoteRef/>
      </w:r>
      <w:r>
        <w:t xml:space="preserve"> Az arányossági elvek gyakorlati alkalmazásában segítséget nyújt az </w:t>
      </w:r>
      <w:r>
        <w:rPr>
          <w:i/>
          <w:iCs/>
        </w:rPr>
        <w:t xml:space="preserve">Arányossági elvek a hitelintézetek működési kockázatkezelésében </w:t>
      </w:r>
      <w:r>
        <w:t xml:space="preserve">című tanulmány, amely a Hitelintézeti Szemle 2020 szeptemberi számában jelent meg. A tanulmány elérhető az alábbi linken: </w:t>
      </w:r>
      <w:r w:rsidRPr="004D61C0">
        <w:t>https://hitelintezetiszemle.mnb.hu/letoltes/hsz-19-3-t3-kozma.pdf</w:t>
      </w:r>
      <w:r>
        <w:t xml:space="preserve"> </w:t>
      </w:r>
    </w:p>
  </w:footnote>
  <w:footnote w:id="85">
    <w:p w14:paraId="7FFFF0FC" w14:textId="77777777" w:rsidR="008A78E3" w:rsidRPr="0050673C" w:rsidRDefault="008A78E3">
      <w:pPr>
        <w:pStyle w:val="Lbjegyzetszveg"/>
      </w:pPr>
      <w:r>
        <w:rPr>
          <w:rStyle w:val="Lbjegyzet-hivatkozs"/>
        </w:rPr>
        <w:footnoteRef/>
      </w:r>
      <w:r>
        <w:t xml:space="preserve"> 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megtérülések, hitelkockázat relevancia stb.)</w:t>
      </w:r>
    </w:p>
  </w:footnote>
  <w:footnote w:id="86">
    <w:p w14:paraId="7FFFF0FD" w14:textId="77777777" w:rsidR="008A78E3" w:rsidRPr="000333D6" w:rsidRDefault="008A78E3" w:rsidP="001F0E61">
      <w:pPr>
        <w:pStyle w:val="Bold"/>
        <w:spacing w:after="0" w:line="240" w:lineRule="auto"/>
        <w:rPr>
          <w:rFonts w:eastAsia="Times New Roman"/>
          <w:b w:val="0"/>
          <w:bCs/>
          <w:color w:val="000000"/>
          <w:sz w:val="16"/>
          <w:szCs w:val="16"/>
        </w:rPr>
      </w:pPr>
      <w:r w:rsidRPr="00456B36">
        <w:rPr>
          <w:rStyle w:val="Lbjegyzet-hivatkozs"/>
          <w:bCs/>
        </w:rPr>
        <w:footnoteRef/>
      </w:r>
      <w:r w:rsidRPr="00456B36">
        <w:rPr>
          <w:rStyle w:val="Lbjegyzet-hivatkozs"/>
          <w:bCs/>
        </w:rPr>
        <w:t xml:space="preserve"> </w:t>
      </w:r>
      <w:r w:rsidRPr="00F1431C">
        <w:rPr>
          <w:rFonts w:eastAsia="Times New Roman"/>
          <w:b w:val="0"/>
          <w:bCs/>
          <w:color w:val="000000"/>
          <w:sz w:val="16"/>
          <w:szCs w:val="16"/>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rPr>
        <w:t>A COVID-19 j</w:t>
      </w:r>
      <w:r w:rsidRPr="005F6DC7">
        <w:rPr>
          <w:rFonts w:eastAsia="Times New Roman"/>
          <w:b w:val="0"/>
          <w:bCs/>
          <w:i/>
          <w:iCs/>
          <w:color w:val="000000"/>
          <w:sz w:val="16"/>
          <w:szCs w:val="16"/>
        </w:rPr>
        <w:t>árványhoz kapcsolódó felügyeleti működési kockázatkezelési irányelvek</w:t>
      </w:r>
      <w:r w:rsidRPr="005F6DC7">
        <w:rPr>
          <w:rFonts w:eastAsia="Times New Roman"/>
          <w:b w:val="0"/>
          <w:bCs/>
          <w:color w:val="000000"/>
          <w:sz w:val="16"/>
          <w:szCs w:val="16"/>
        </w:rPr>
        <w:t xml:space="preserve"> című, Magyar Bankszövetség részére megküldött körlevél alapján történik.</w:t>
      </w:r>
    </w:p>
    <w:p w14:paraId="7FFFF0FE" w14:textId="77777777" w:rsidR="008A78E3" w:rsidRPr="00EC6B0B" w:rsidRDefault="008A78E3">
      <w:pPr>
        <w:pStyle w:val="Lbjegyzetszveg"/>
      </w:pPr>
    </w:p>
  </w:footnote>
  <w:footnote w:id="87">
    <w:p w14:paraId="7FFFF0FF" w14:textId="77777777" w:rsidR="008A78E3" w:rsidRPr="00EC6B0B" w:rsidRDefault="008A78E3" w:rsidP="00E10290">
      <w:pPr>
        <w:rPr>
          <w:color w:val="auto"/>
          <w:sz w:val="16"/>
          <w:szCs w:val="16"/>
        </w:rPr>
      </w:pPr>
      <w:r>
        <w:rPr>
          <w:rStyle w:val="Lbjegyzet-hivatkozs"/>
        </w:rPr>
        <w:footnoteRef/>
      </w:r>
      <w:r>
        <w:rPr>
          <w:color w:val="auto"/>
          <w:sz w:val="16"/>
          <w:szCs w:val="16"/>
        </w:rPr>
        <w:t xml:space="preserve"> </w:t>
      </w:r>
      <w:hyperlink r:id="rId12" w:history="1">
        <w:r w:rsidRPr="00B07160">
          <w:rPr>
            <w:rStyle w:val="Hiperhivatkozs"/>
            <w:sz w:val="16"/>
            <w:szCs w:val="16"/>
          </w:rPr>
          <w:t>https://www.ecb.europa.eu/press/key/date/2023/html/ecb.sp230609~c9ef904931.en.html</w:t>
        </w:r>
      </w:hyperlink>
    </w:p>
    <w:p w14:paraId="7FFFF100" w14:textId="77777777" w:rsidR="008A78E3" w:rsidRPr="00EC6B0B" w:rsidRDefault="008A78E3">
      <w:pPr>
        <w:pStyle w:val="Lbjegyzetszveg"/>
      </w:pPr>
    </w:p>
  </w:footnote>
  <w:footnote w:id="88">
    <w:p w14:paraId="7FFFF101" w14:textId="77777777" w:rsidR="008A78E3" w:rsidRPr="0050673C" w:rsidRDefault="008A78E3" w:rsidP="000A7275">
      <w:pPr>
        <w:pStyle w:val="Lbjegyzetszveg"/>
      </w:pPr>
      <w:r>
        <w:rPr>
          <w:rStyle w:val="Lbjegyzet-hivatkozs"/>
        </w:rPr>
        <w:footnoteRef/>
      </w:r>
      <w:r>
        <w:t xml:space="preserve"> 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89">
    <w:p w14:paraId="7FFFF102" w14:textId="77777777" w:rsidR="008A78E3" w:rsidRPr="0034042C" w:rsidRDefault="008A78E3" w:rsidP="00AB2106">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0">
    <w:p w14:paraId="7FFFF103" w14:textId="77777777" w:rsidR="008A78E3" w:rsidRPr="009065F3" w:rsidRDefault="008A78E3" w:rsidP="00AB2106">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91">
    <w:p w14:paraId="7FFFF104" w14:textId="77777777" w:rsidR="008A78E3" w:rsidRPr="009065F3" w:rsidRDefault="008A78E3" w:rsidP="00AB2106">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2">
    <w:p w14:paraId="7FFFF105" w14:textId="77777777" w:rsidR="008A78E3" w:rsidRPr="009065F3" w:rsidRDefault="008A78E3" w:rsidP="00AB2106">
      <w:pPr>
        <w:pStyle w:val="Lbjegyzetszveg"/>
      </w:pPr>
      <w:r w:rsidRPr="009065F3">
        <w:rPr>
          <w:rStyle w:val="Lbjegyzet-hivatkozs"/>
        </w:rPr>
        <w:footnoteRef/>
      </w:r>
      <w:r w:rsidRPr="009065F3">
        <w:t xml:space="preserve"> Pl. tartási periódus, konfidencia intervallum, korrekciós tényező, stb</w:t>
      </w:r>
    </w:p>
  </w:footnote>
  <w:footnote w:id="93">
    <w:p w14:paraId="7FFFF106" w14:textId="77777777" w:rsidR="008A78E3" w:rsidRDefault="008A78E3" w:rsidP="00AB2106"/>
    <w:p w14:paraId="7FFFF107" w14:textId="77777777" w:rsidR="008A78E3" w:rsidRPr="00EC7392" w:rsidRDefault="008A78E3" w:rsidP="00AB2106">
      <w:pPr>
        <w:pStyle w:val="Lbjegyzetszveg"/>
      </w:pPr>
    </w:p>
  </w:footnote>
  <w:footnote w:id="94">
    <w:p w14:paraId="7FFFF108" w14:textId="77777777" w:rsidR="008A78E3" w:rsidRPr="004753B5" w:rsidRDefault="008A78E3" w:rsidP="00AB2106">
      <w:pPr>
        <w:pStyle w:val="Lbjegyzetszveg"/>
      </w:pPr>
      <w:r>
        <w:rPr>
          <w:rStyle w:val="Lbjegyzet-hivatkozs"/>
        </w:rPr>
        <w:footnoteRef/>
      </w:r>
      <w:r>
        <w:t xml:space="preserve"> EBA iránymutatása a stresszhelyzeti kockáztatott értékről (EBA/GL/2012/2)</w:t>
      </w:r>
    </w:p>
  </w:footnote>
  <w:footnote w:id="95">
    <w:p w14:paraId="7FFFF109" w14:textId="77777777" w:rsidR="008A78E3" w:rsidRPr="00426E9D" w:rsidRDefault="008A78E3" w:rsidP="00AB2106">
      <w:pPr>
        <w:pStyle w:val="Lbjegyzetszveg"/>
      </w:pPr>
      <w:r>
        <w:rPr>
          <w:rStyle w:val="Lbjegyzet-hivatkozs"/>
        </w:rPr>
        <w:footnoteRef/>
      </w:r>
      <w:r>
        <w:t xml:space="preserve"> 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96">
    <w:p w14:paraId="7FFFF10A" w14:textId="77777777" w:rsidR="008A78E3" w:rsidRDefault="008A78E3" w:rsidP="00C114D9">
      <w:pPr>
        <w:pStyle w:val="Lbjegyzetszveg"/>
      </w:pPr>
      <w:r>
        <w:rPr>
          <w:rStyle w:val="Lbjegyzet-hivatkozs"/>
        </w:rPr>
        <w:footnoteRef/>
      </w:r>
      <w:r>
        <w:t xml:space="preserve"> </w:t>
      </w:r>
      <w:r w:rsidRPr="001E0129">
        <w:t>Amennyiben rendelkezésre áll egy adott devizanem esetében, akkor OIS hozamgörbe</w:t>
      </w:r>
      <w:r>
        <w:t xml:space="preserve"> alkalmazandó</w:t>
      </w:r>
      <w:r w:rsidRPr="001E0129">
        <w:t xml:space="preserve">, egyéb esetben pl. egy </w:t>
      </w:r>
      <w:r>
        <w:t xml:space="preserve">vagy három </w:t>
      </w:r>
      <w:r w:rsidRPr="001E0129">
        <w:t xml:space="preserve">hónapos </w:t>
      </w:r>
      <w:r>
        <w:t xml:space="preserve">futamidejű pénzpiaci kamatlábból, </w:t>
      </w:r>
      <w:r w:rsidRPr="001E0129">
        <w:t>FRA</w:t>
      </w:r>
      <w:r>
        <w:t xml:space="preserve"> vagy </w:t>
      </w:r>
      <w:r w:rsidRPr="001E0129">
        <w:t xml:space="preserve">futures </w:t>
      </w:r>
      <w:r>
        <w:t xml:space="preserve">ügyletekből </w:t>
      </w:r>
      <w:r w:rsidRPr="001E0129">
        <w:t xml:space="preserve">és </w:t>
      </w:r>
      <w:r>
        <w:t xml:space="preserve">ennek megfelelő </w:t>
      </w:r>
      <w:r w:rsidRPr="001E0129">
        <w:t>kamatfizetési gyakoriságú swap ügyletekből álló hozamgörbe.</w:t>
      </w:r>
    </w:p>
  </w:footnote>
  <w:footnote w:id="97">
    <w:p w14:paraId="7FFFF10B" w14:textId="77777777" w:rsidR="008A78E3" w:rsidRPr="00E87D60" w:rsidRDefault="008A78E3" w:rsidP="00C114D9">
      <w:pPr>
        <w:pStyle w:val="Lbjegyzetszveg"/>
      </w:pPr>
      <w:r>
        <w:rPr>
          <w:rStyle w:val="Lbjegyzet-hivatkozs"/>
        </w:rPr>
        <w:footnoteRef/>
      </w:r>
      <w:r>
        <w:t xml:space="preserve"> </w:t>
      </w:r>
      <w:r w:rsidRPr="00234116">
        <w:t>Ptk. 6:390. § (1)</w:t>
      </w:r>
      <w:r>
        <w:t>, Hpt. 280. §</w:t>
      </w:r>
    </w:p>
  </w:footnote>
  <w:footnote w:id="98">
    <w:p w14:paraId="7FFFF10C" w14:textId="77777777" w:rsidR="008A78E3" w:rsidRPr="005E3CDF" w:rsidRDefault="008A78E3" w:rsidP="00C114D9">
      <w:pPr>
        <w:pStyle w:val="Lbjegyzetszveg"/>
      </w:pPr>
      <w:r>
        <w:rPr>
          <w:rStyle w:val="Lbjegyzet-hivatkozs"/>
        </w:rPr>
        <w:footnoteRef/>
      </w:r>
      <w:r>
        <w:t xml:space="preserve"> BCBS (2016): Standards – Interest rate risk in the banking book</w:t>
      </w:r>
    </w:p>
  </w:footnote>
  <w:footnote w:id="99">
    <w:p w14:paraId="7FFFF10D" w14:textId="77777777" w:rsidR="008A78E3" w:rsidRPr="005E3CDF" w:rsidRDefault="008A78E3" w:rsidP="00C114D9">
      <w:pPr>
        <w:pStyle w:val="Lbjegyzetszveg"/>
      </w:pPr>
      <w:r>
        <w:rPr>
          <w:rStyle w:val="Lbjegyzet-hivatkozs"/>
        </w:rPr>
        <w:footnoteRef/>
      </w:r>
      <w:r>
        <w:t xml:space="preserve">EBA/GL/2022/14 </w:t>
      </w:r>
      <w:r w:rsidRPr="00D836E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p>
  </w:footnote>
  <w:footnote w:id="100">
    <w:p w14:paraId="7FFFF10E" w14:textId="77777777" w:rsidR="008A78E3" w:rsidRPr="005E3CDF" w:rsidRDefault="008A78E3" w:rsidP="00C114D9">
      <w:pPr>
        <w:pStyle w:val="Lbjegyzetszveg"/>
      </w:pPr>
      <w:r>
        <w:rPr>
          <w:rStyle w:val="Lbjegyzet-hivatkozs"/>
        </w:rPr>
        <w:footnoteRef/>
      </w:r>
      <w:r>
        <w:t xml:space="preserve">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1">
    <w:p w14:paraId="7FFFF10F" w14:textId="77777777" w:rsidR="008A78E3" w:rsidRPr="00BE3993" w:rsidRDefault="008A78E3" w:rsidP="00C114D9">
      <w:pPr>
        <w:pStyle w:val="Lbjegyzetszveg"/>
      </w:pPr>
      <w:r>
        <w:rPr>
          <w:rStyle w:val="Lbjegyzet-hivatkozs"/>
        </w:rPr>
        <w:footnoteRef/>
      </w:r>
      <w:r>
        <w:t xml:space="preserve"> ld, BCBS: Standard: Intererest rate risk in the banking book;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2">
    <w:p w14:paraId="7FFFF110" w14:textId="77777777" w:rsidR="008A78E3" w:rsidRPr="0050673C" w:rsidRDefault="008A78E3">
      <w:pPr>
        <w:pStyle w:val="Lbjegyzetszveg"/>
      </w:pPr>
      <w:r>
        <w:rPr>
          <w:rStyle w:val="Lbjegyzet-hivatkozs"/>
        </w:rPr>
        <w:footnoteRef/>
      </w:r>
      <w:r>
        <w:t xml:space="preserve"> Például a modell 1) fejlesztésért és felülvizsgálatáért, 2) validációjáért, 3) üzleti alkalmazásáért, 4) implementációjáért felelős vezető/szakértő. Csoportmodellek esetén 4) a helyi implementációért felelős vezető/szakértő.</w:t>
      </w:r>
    </w:p>
  </w:footnote>
  <w:footnote w:id="103">
    <w:p w14:paraId="7FFFF111" w14:textId="77777777" w:rsidR="008A78E3" w:rsidRPr="00606714" w:rsidRDefault="008A78E3" w:rsidP="00EE2C35">
      <w:pPr>
        <w:pStyle w:val="Lbjegyzetszveg"/>
      </w:pPr>
      <w:r>
        <w:rPr>
          <w:rStyle w:val="Lbjegyzet-hivatkozs"/>
        </w:rPr>
        <w:footnoteRef/>
      </w:r>
      <w:r>
        <w:t xml:space="preserve"> </w:t>
      </w:r>
      <w:r w:rsidRPr="00B119EA">
        <w:t>Consultation on revised draft Guidelines on common procedures and methodologies for the supervisory review and evaluation process (SREP) and supervisory stress testing</w:t>
      </w:r>
      <w:r>
        <w:t xml:space="preserve">, </w:t>
      </w:r>
      <w:r w:rsidRPr="00B119EA">
        <w:t>EBA/CP/2021/26</w:t>
      </w:r>
    </w:p>
  </w:footnote>
  <w:footnote w:id="104">
    <w:p w14:paraId="7FFFF112" w14:textId="77777777" w:rsidR="008A78E3" w:rsidRPr="00457EDB" w:rsidRDefault="008A78E3"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5">
    <w:p w14:paraId="7FFFF113" w14:textId="77777777" w:rsidR="008A78E3" w:rsidRPr="009F7C08" w:rsidRDefault="008A78E3"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06">
    <w:p w14:paraId="7FFFF114" w14:textId="77777777" w:rsidR="008A78E3" w:rsidRDefault="008A78E3"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07">
    <w:p w14:paraId="7FFFF115" w14:textId="77777777" w:rsidR="008A78E3" w:rsidRPr="00EC6B0B" w:rsidRDefault="008A78E3" w:rsidP="002B37C7">
      <w:pPr>
        <w:pStyle w:val="Lbjegyzetszveg"/>
      </w:pPr>
      <w:r>
        <w:rPr>
          <w:rStyle w:val="Lbjegyzet-hivatkozs"/>
        </w:rPr>
        <w:footnoteRef/>
      </w:r>
      <w:hyperlink r:id="rId13" w:history="1">
        <w:r w:rsidRPr="00B24F23">
          <w:rPr>
            <w:rStyle w:val="Hiperhivatkozs"/>
          </w:rPr>
          <w:t>https://eba.europa.eu/sites/default/documents/files/documents/10180/2282644/2b604bc8-fd08-4b17-ac4a-cdd5e662b802/Guidelines%20on%20institutions%20stress%20testing%20(EBA-GL-2018-04).pdf</w:t>
        </w:r>
      </w:hyperlink>
    </w:p>
  </w:footnote>
  <w:footnote w:id="108">
    <w:p w14:paraId="7FFFF116" w14:textId="77777777" w:rsidR="008A78E3" w:rsidRPr="00EC6B0B" w:rsidRDefault="008A78E3" w:rsidP="002B37C7">
      <w:pPr>
        <w:pStyle w:val="Lbjegyzetszveg"/>
      </w:pPr>
      <w:r>
        <w:rPr>
          <w:rStyle w:val="Lbjegyzet-hivatkozs"/>
        </w:rPr>
        <w:footnoteRef/>
      </w:r>
      <w:hyperlink w:history="1"/>
      <w:bookmarkStart w:id="1276" w:name="OLE_LINK5"/>
      <w:r w:rsidRPr="006D78D3">
        <w:rPr>
          <w:rStyle w:val="Hiperhivatkozs"/>
        </w:rPr>
        <w:t>https://www.eba.europa.eu/sites/default/documents/files/document_library/Risk%20Analysis%20and%20Data/EU-wide%20Stress%20Testing/2021/Launch%20of%20the%20ST/962559/2021%20EU-wide%20stress%20test%20-%20Methodological%20Note.pdf</w:t>
      </w:r>
      <w:bookmarkEnd w:id="1276"/>
    </w:p>
  </w:footnote>
  <w:footnote w:id="109">
    <w:p w14:paraId="7FFFF117" w14:textId="77777777" w:rsidR="008A78E3" w:rsidRDefault="008A78E3" w:rsidP="002E348F">
      <w:pPr>
        <w:pStyle w:val="Lbjegyzetszveg"/>
      </w:pPr>
      <w:r>
        <w:rPr>
          <w:rStyle w:val="Lbjegyzet-hivatkozs"/>
        </w:rPr>
        <w:footnoteRef/>
      </w:r>
      <w:r>
        <w:t xml:space="preserve"> Az Európai Bankhatóság a felülvizsgált </w:t>
      </w:r>
      <w:r>
        <w:rPr>
          <w:rFonts w:asciiTheme="minorHAnsi" w:hAnsiTheme="minorHAnsi"/>
        </w:rPr>
        <w:t>EBA SREP Ajánlásba</w:t>
      </w:r>
      <w:r>
        <w:t xml:space="preserve"> 2018-ban beemelte a Pillar 2 Guidance-et (P2G), mint a stresszteszt közvetlen tőkeelvárás vonzatát. A P2G a CRD-nek is része lesz.</w:t>
      </w:r>
    </w:p>
  </w:footnote>
  <w:footnote w:id="110">
    <w:p w14:paraId="7FFFF118" w14:textId="77777777" w:rsidR="008A78E3" w:rsidRDefault="008A78E3" w:rsidP="007C50A5">
      <w:pPr>
        <w:pStyle w:val="Lbjegyzetszveg"/>
      </w:pPr>
      <w:r>
        <w:rPr>
          <w:rStyle w:val="Lbjegyzet-hivatkozs"/>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11">
    <w:p w14:paraId="7FFFF119" w14:textId="77777777" w:rsidR="008A78E3" w:rsidRDefault="008A78E3" w:rsidP="002E348F">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12">
    <w:p w14:paraId="7FFFF11A" w14:textId="77777777" w:rsidR="008A78E3" w:rsidRDefault="008A78E3" w:rsidP="002E348F">
      <w:pPr>
        <w:pStyle w:val="Lbjegyzetszveg"/>
      </w:pPr>
      <w:r>
        <w:rPr>
          <w:rStyle w:val="Lbjegyzet-hivatkozs"/>
        </w:rPr>
        <w:footnoteRef/>
      </w:r>
      <w:r>
        <w:t xml:space="preserve"> Pl.: Beruházás, GDP, Munkanélküliségi ráta, Infláció, Árfolyam, Nettó export, Szektorális átlagbérek, Háztartások megtakarítása</w:t>
      </w:r>
    </w:p>
  </w:footnote>
  <w:footnote w:id="113">
    <w:p w14:paraId="7FFFF11B" w14:textId="77777777" w:rsidR="008A78E3" w:rsidRDefault="008A78E3" w:rsidP="00D10772">
      <w:pPr>
        <w:pStyle w:val="Lbjegyzetszveg"/>
      </w:pPr>
      <w:r>
        <w:rPr>
          <w:rStyle w:val="Lbjegyzet-hivatkozs"/>
        </w:rPr>
        <w:footnoteRef/>
      </w:r>
      <w:r>
        <w:t xml:space="preserve"> Ez az egyik leglényegesebb különbség. Az 1. pillérben a hitelkockázatra nem lehet a diverzifikációs hatásokat is figyelembevevő belső modellt alkalmazni.</w:t>
      </w:r>
    </w:p>
  </w:footnote>
  <w:footnote w:id="114">
    <w:p w14:paraId="7FFFF11C" w14:textId="77777777" w:rsidR="008A78E3" w:rsidRDefault="008A78E3"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15">
    <w:p w14:paraId="7FFFF11D" w14:textId="77777777" w:rsidR="008A78E3" w:rsidRPr="008F31AB" w:rsidRDefault="008A78E3">
      <w:pPr>
        <w:pStyle w:val="Lbjegyzetszveg"/>
      </w:pPr>
      <w:r>
        <w:rPr>
          <w:rStyle w:val="Lbjegyzet-hivatkozs"/>
        </w:rPr>
        <w:footnoteRef/>
      </w:r>
      <w:r>
        <w:t xml:space="preserve"> Az 1. pillérben előírt konfidenciaszintek inkább a szigorúbb felszámolási szemléletnek felelnek meg</w:t>
      </w:r>
    </w:p>
  </w:footnote>
  <w:footnote w:id="116">
    <w:p w14:paraId="7FFFF11E" w14:textId="77777777" w:rsidR="008A78E3" w:rsidRPr="00185637" w:rsidRDefault="008A78E3">
      <w:pPr>
        <w:pStyle w:val="Lbjegyzetszveg"/>
      </w:pPr>
      <w:r>
        <w:rPr>
          <w:rStyle w:val="Lbjegyzet-hivatkozs"/>
        </w:rPr>
        <w:footnoteRef/>
      </w:r>
      <w:r>
        <w:t xml:space="preserve"> Az MNB elvárása összhangban van az EBA SREP Ajánlással. </w:t>
      </w:r>
    </w:p>
  </w:footnote>
  <w:footnote w:id="117">
    <w:p w14:paraId="7FFFF11F" w14:textId="77777777" w:rsidR="008A78E3" w:rsidRDefault="008A78E3"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tőkekövetelmény-számítás nem kellően kiforrott voltát, belső elfogadottságának hiányát jelenti.</w:t>
      </w:r>
    </w:p>
  </w:footnote>
  <w:footnote w:id="118">
    <w:p w14:paraId="7FFFF120" w14:textId="77777777" w:rsidR="008A78E3" w:rsidRDefault="008A78E3">
      <w:pPr>
        <w:pStyle w:val="Lbjegyzetszveg"/>
      </w:pPr>
      <w:r>
        <w:rPr>
          <w:rStyle w:val="Lbjegyzet-hivatkozs"/>
        </w:rPr>
        <w:footnoteRef/>
      </w:r>
      <w:r>
        <w:t xml:space="preserve"> </w:t>
      </w:r>
      <w:hyperlink r:id="rId14" w:history="1">
        <w:r>
          <w:rPr>
            <w:rStyle w:val="Hiperhivatkozs"/>
          </w:rPr>
          <w:t>Az MNB 5/2023. (VI.23.) számú ajánlása a pénzforgalmi szolgáltatásokon keresztül megfigyelhető visszaélések megelőzéséről, észleléséről, megakadályozásáról és kezeléséről</w:t>
        </w:r>
      </w:hyperlink>
    </w:p>
  </w:footnote>
  <w:footnote w:id="119">
    <w:p w14:paraId="7FFFF121" w14:textId="77777777" w:rsidR="008A78E3" w:rsidRPr="004F2070" w:rsidRDefault="008A78E3">
      <w:pPr>
        <w:pStyle w:val="Lbjegyzetszveg"/>
      </w:pPr>
      <w:r>
        <w:rPr>
          <w:rStyle w:val="Lbjegyzet-hivatkozs"/>
        </w:rPr>
        <w:footnoteRef/>
      </w:r>
      <w:r>
        <w:t xml:space="preserve"> Amennyiben az áttekintő lapon az intézményi ICAAP számítások által nem alátámasztott számok szerepelnek, az MNB kérheti az áttekintő lap újra küldését.</w:t>
      </w:r>
    </w:p>
  </w:footnote>
  <w:footnote w:id="120">
    <w:p w14:paraId="7FFFF122" w14:textId="77777777" w:rsidR="008A78E3" w:rsidRPr="00EC6B0B" w:rsidRDefault="008A78E3">
      <w:pPr>
        <w:pStyle w:val="Lbjegyzetszveg"/>
      </w:pPr>
      <w:r>
        <w:rPr>
          <w:rStyle w:val="Lbjegyzet-hivatkozs"/>
        </w:rPr>
        <w:footnoteRef/>
      </w:r>
      <w:r>
        <w:t xml:space="preserve"> V.2.1.30. fejezetben ismertetett tőkekövetelmény-kedvezmények</w:t>
      </w:r>
    </w:p>
  </w:footnote>
  <w:footnote w:id="121">
    <w:p w14:paraId="7FFFF123" w14:textId="77777777" w:rsidR="008A78E3" w:rsidRPr="00E87D60" w:rsidRDefault="008A78E3">
      <w:pPr>
        <w:pStyle w:val="Lbjegyzetszveg"/>
      </w:pPr>
      <w:r>
        <w:rPr>
          <w:rStyle w:val="Lbjegyzet-hivatkozs"/>
        </w:rPr>
        <w:footnoteRef/>
      </w:r>
      <w:r>
        <w:t xml:space="preserve"> A kézikönyv 2023-es felülvizsgálatakor az ICAAP felülvizsgálatok hatáskörébe eső intézmények egyike sem globálisan rendszerszinten jelentős intézmény, így TSLRR=OLRR.</w:t>
      </w:r>
    </w:p>
  </w:footnote>
  <w:footnote w:id="122">
    <w:p w14:paraId="7FFFF124" w14:textId="77777777" w:rsidR="008A78E3" w:rsidRPr="005978F7" w:rsidRDefault="008A78E3" w:rsidP="00BE6A34">
      <w:pPr>
        <w:pStyle w:val="Lbjegyzetszveg"/>
      </w:pPr>
      <w:r>
        <w:rPr>
          <w:rStyle w:val="Lbjegyzet-hivatkozs"/>
        </w:rPr>
        <w:footnoteRef/>
      </w:r>
      <w:r>
        <w:t xml:space="preserve"> K</w:t>
      </w:r>
      <w:r w:rsidRPr="00B2679D">
        <w:t>ontingencia terv, vészhelyzeti vagy üzletmenet folytonossági terv</w:t>
      </w:r>
      <w:r>
        <w:t xml:space="preserve"> - A jogszabályi rendelkezések eltérő fogalmakat használnak.</w:t>
      </w:r>
    </w:p>
  </w:footnote>
  <w:footnote w:id="123">
    <w:p w14:paraId="7FFFF125" w14:textId="77777777" w:rsidR="008A78E3" w:rsidRPr="00B16C16" w:rsidRDefault="008A78E3" w:rsidP="00B16C16">
      <w:pPr>
        <w:pStyle w:val="Lbjegyzetszveg"/>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4">
    <w:p w14:paraId="7FFFF126" w14:textId="77777777" w:rsidR="008A78E3" w:rsidRPr="00EC76E2" w:rsidRDefault="008A78E3"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5">
    <w:p w14:paraId="7FFFF127" w14:textId="77777777" w:rsidR="008A78E3" w:rsidRPr="00EC76E2" w:rsidRDefault="008A78E3" w:rsidP="00D10772">
      <w:pPr>
        <w:pStyle w:val="Lbjegyzetszveg"/>
      </w:pPr>
      <w:r w:rsidRPr="00EC76E2">
        <w:rPr>
          <w:rStyle w:val="Lbjegyzet-hivatkozs"/>
        </w:rPr>
        <w:footnoteRef/>
      </w:r>
      <w:r w:rsidRPr="00EC76E2">
        <w:t xml:space="preserve"> nettó stabil forrás ellátottsági mutató</w:t>
      </w:r>
    </w:p>
  </w:footnote>
  <w:footnote w:id="126">
    <w:p w14:paraId="7FFFF128" w14:textId="77777777" w:rsidR="008A78E3" w:rsidRPr="0034406D" w:rsidRDefault="008A78E3" w:rsidP="00D10772">
      <w:pPr>
        <w:pStyle w:val="Lbjegyzetszveg"/>
      </w:pPr>
      <w:r w:rsidRPr="0034406D">
        <w:rPr>
          <w:rStyle w:val="Lbjegyzet-hivatkozs"/>
        </w:rPr>
        <w:footnoteRef/>
      </w:r>
      <w:r w:rsidRPr="0034406D">
        <w:t xml:space="preserve"> </w:t>
      </w:r>
      <w:r>
        <w:t>I</w:t>
      </w:r>
      <w:r w:rsidRPr="0034406D">
        <w:t>ntergiro</w:t>
      </w:r>
    </w:p>
  </w:footnote>
  <w:footnote w:id="127">
    <w:p w14:paraId="7FFFF129" w14:textId="77777777" w:rsidR="008A78E3" w:rsidRPr="001E5734" w:rsidRDefault="008A78E3" w:rsidP="00064978">
      <w:pPr>
        <w:pStyle w:val="Lbjegyzetszveg"/>
      </w:pPr>
      <w:r>
        <w:rPr>
          <w:rStyle w:val="Lbjegyzet-hivatkozs"/>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28">
    <w:p w14:paraId="7FFFF12A" w14:textId="77777777" w:rsidR="008A78E3" w:rsidRPr="008D3680" w:rsidRDefault="008A78E3" w:rsidP="00D10772">
      <w:pPr>
        <w:pStyle w:val="Lbjegyzetszveg"/>
      </w:pPr>
      <w:r w:rsidRPr="00D20F0E">
        <w:rPr>
          <w:rStyle w:val="Lbjegyzet-hivatkozs"/>
        </w:rPr>
        <w:footnoteRef/>
      </w:r>
      <w:r w:rsidRPr="00D20F0E">
        <w:t xml:space="preserve"> MCO = maximum cash outflow</w:t>
      </w:r>
    </w:p>
  </w:footnote>
  <w:footnote w:id="129">
    <w:p w14:paraId="7FFFF12B" w14:textId="77777777" w:rsidR="008A78E3" w:rsidRPr="001E3A50" w:rsidRDefault="008A78E3">
      <w:pPr>
        <w:pStyle w:val="Lbjegyzetszveg"/>
      </w:pPr>
      <w:r>
        <w:rPr>
          <w:rStyle w:val="Lbjegyzet-hivatkozs"/>
        </w:rPr>
        <w:footnoteRef/>
      </w:r>
      <w:r>
        <w:t xml:space="preserve"> Amíg az ICAAP során meghatározott többlet-követelmények nagy része tőkére vonatkozik </w:t>
      </w:r>
      <w:r w:rsidRPr="001D3EB3">
        <w:t>és</w:t>
      </w:r>
      <w: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30">
    <w:p w14:paraId="7FFFF12C" w14:textId="77777777" w:rsidR="008A78E3" w:rsidRPr="001E3A50" w:rsidRDefault="008A78E3">
      <w:pPr>
        <w:pStyle w:val="Lbjegyzetszveg"/>
      </w:pPr>
      <w:r>
        <w:rPr>
          <w:rStyle w:val="Lbjegyzet-hivatkozs"/>
        </w:rPr>
        <w:footnoteRef/>
      </w:r>
      <w:r>
        <w:t xml:space="preserve"> 2021 júniustól hatályos.</w:t>
      </w:r>
    </w:p>
  </w:footnote>
  <w:footnote w:id="131">
    <w:p w14:paraId="7FFFF12D" w14:textId="77777777" w:rsidR="008A78E3" w:rsidRDefault="008A78E3"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2">
    <w:p w14:paraId="7FFFF12E" w14:textId="77777777" w:rsidR="008A78E3" w:rsidRPr="00426B4F" w:rsidRDefault="008A78E3"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33">
    <w:p w14:paraId="7FFFF12F" w14:textId="77777777" w:rsidR="008A78E3" w:rsidRDefault="008A78E3" w:rsidP="004F1946">
      <w:pPr>
        <w:pStyle w:val="Lbjegyzetszveg"/>
      </w:pPr>
      <w:r>
        <w:rPr>
          <w:rStyle w:val="Lbjegyzet-hivatkozs"/>
        </w:rPr>
        <w:footnoteRef/>
      </w:r>
      <w:r>
        <w:t xml:space="preserve"> Az alkalmazott forgatókönyveket és azok meghatározásának módját a 2. függelék tartalmazza</w:t>
      </w:r>
    </w:p>
  </w:footnote>
  <w:footnote w:id="134">
    <w:p w14:paraId="7FFFF130" w14:textId="77777777" w:rsidR="008A78E3" w:rsidRDefault="008A78E3" w:rsidP="007F1D4A">
      <w:pPr>
        <w:pStyle w:val="Lbjegyzetszveg"/>
      </w:pPr>
      <w:r>
        <w:rPr>
          <w:rStyle w:val="Lbjegyzet-hivatkozs"/>
        </w:rPr>
        <w:footnoteRef/>
      </w:r>
      <w:r>
        <w:t xml:space="preserve"> IRS, CIRS, FRA ügyletek</w:t>
      </w:r>
    </w:p>
  </w:footnote>
  <w:footnote w:id="135">
    <w:p w14:paraId="7FFFF131" w14:textId="77777777" w:rsidR="008A78E3" w:rsidRPr="00E87D60" w:rsidRDefault="008A78E3" w:rsidP="007F1D4A">
      <w:pPr>
        <w:pStyle w:val="Lbjegyzetszveg"/>
      </w:pPr>
      <w:r>
        <w:rPr>
          <w:rStyle w:val="Lbjegyzet-hivatkozs"/>
        </w:rPr>
        <w:footnoteRef/>
      </w:r>
      <w:r>
        <w:t xml:space="preserve"> </w:t>
      </w:r>
      <w:r w:rsidRPr="00223CDE">
        <w:t>F_02.00</w:t>
      </w:r>
      <w:r>
        <w:t xml:space="preserve">, illetve </w:t>
      </w:r>
      <w:r w:rsidRPr="00096578">
        <w:t>SF02</w:t>
      </w:r>
      <w:r>
        <w:t xml:space="preserve"> azonosító kódú adatszolgáltatások. A hónap végi tőkeszükségletek számítása során a rendelkezésre álló legfrissebb, negyedév végi kamatbevétel és kamatráfordítás adatokat három hónapig változatlan összegben lehet figyelembe venni.     </w:t>
      </w:r>
    </w:p>
  </w:footnote>
  <w:footnote w:id="136">
    <w:p w14:paraId="7FFFF132" w14:textId="77777777" w:rsidR="008A78E3" w:rsidRDefault="008A78E3" w:rsidP="007F1D4A">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 w:id="137">
    <w:p w14:paraId="7FFFF133" w14:textId="77777777" w:rsidR="008A78E3" w:rsidRDefault="008A78E3" w:rsidP="002008EE">
      <w:pPr>
        <w:pStyle w:val="Lbjegyzetszveg"/>
      </w:pPr>
      <w:r>
        <w:rPr>
          <w:rStyle w:val="Lbjegyzet-hivatkozs"/>
        </w:rPr>
        <w:footnoteRef/>
      </w:r>
      <w:r>
        <w:t xml:space="preserve"> </w:t>
      </w:r>
      <w:r w:rsidRPr="009C633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r>
        <w:t xml:space="preserve"> (</w:t>
      </w:r>
      <w:r w:rsidRPr="009C633B">
        <w:t>EBA/GL/2022/14</w:t>
      </w:r>
      <w:r>
        <w:t>).</w:t>
      </w:r>
    </w:p>
  </w:footnote>
  <w:footnote w:id="138">
    <w:p w14:paraId="7FFFF134" w14:textId="77777777" w:rsidR="008A78E3" w:rsidRDefault="008A78E3" w:rsidP="002008EE">
      <w:pPr>
        <w:pStyle w:val="Lbjegyzetszveg"/>
      </w:pPr>
      <w:r>
        <w:rPr>
          <w:rStyle w:val="Lbjegyzet-hivatkozs"/>
        </w:rPr>
        <w:footnoteRef/>
      </w:r>
      <w:r>
        <w:t xml:space="preserve"> </w:t>
      </w:r>
      <w:r w:rsidRPr="00E7598F">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r>
        <w:t xml:space="preserve"> (</w:t>
      </w:r>
      <w:r w:rsidRPr="00D53BC2">
        <w:t>EBA/RTS/2022/10</w:t>
      </w:r>
      <w:r>
        <w:t>).</w:t>
      </w:r>
    </w:p>
  </w:footnote>
  <w:footnote w:id="139">
    <w:p w14:paraId="7FFFF135" w14:textId="77777777" w:rsidR="008A78E3" w:rsidRDefault="008A78E3" w:rsidP="002008EE">
      <w:pPr>
        <w:pStyle w:val="Lbjegyzetszveg"/>
      </w:pPr>
      <w:r>
        <w:rPr>
          <w:rStyle w:val="Lbjegyzet-hivatkozs"/>
        </w:rPr>
        <w:footnoteRef/>
      </w:r>
      <w:r>
        <w:t xml:space="preserve"> Amennyiben rendelkezésre áll egy adott devizanem esetében, akkor OIS hozamgörbe, egyéb esetben pl. egy hónapos kamatfizetési gyakoriságú FRA/futures és swap ügyletekből álló hozamgörbe kerül alkalmazásra.</w:t>
      </w:r>
    </w:p>
  </w:footnote>
  <w:footnote w:id="140">
    <w:p w14:paraId="7FFFF136" w14:textId="77777777" w:rsidR="008A78E3" w:rsidRDefault="008A78E3" w:rsidP="00E52511">
      <w:pPr>
        <w:pStyle w:val="Lbjegyzetszveg"/>
      </w:pPr>
      <w:r>
        <w:rPr>
          <w:rStyle w:val="Lbjegyzet-hivatkozs"/>
        </w:rPr>
        <w:footnoteRef/>
      </w:r>
      <w:r>
        <w:t xml:space="preserve"> Azaz a 3 hónapos zérókupon kamatláb differenciák szórását a „short”, az 5 évesét a „parallel”, míg a 20 évesét a „long” kamat sokk mérték alapján állapítjuk meg.</w:t>
      </w:r>
    </w:p>
  </w:footnote>
  <w:footnote w:id="141">
    <w:p w14:paraId="7FFFF137" w14:textId="77777777" w:rsidR="008A78E3" w:rsidRDefault="008A78E3" w:rsidP="00E52511">
      <w:pPr>
        <w:pStyle w:val="Lbjegyzetszveg"/>
      </w:pPr>
      <w:r>
        <w:rPr>
          <w:rStyle w:val="Lbjegyzet-hivatkozs"/>
        </w:rPr>
        <w:footnoteRef/>
      </w:r>
      <w:r>
        <w:t xml:space="preserve"> </w:t>
      </w:r>
      <w:r>
        <w:rPr>
          <w:rFonts w:asciiTheme="minorHAnsi" w:hAnsiTheme="minorHAnsi"/>
        </w:rPr>
        <w:t>„i” értéke tehát 1 és 10.000 közötti egész szám.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79866F8A">
      <w:start w:val="1"/>
      <w:numFmt w:val="bullet"/>
      <w:lvlText w:val=""/>
      <w:lvlJc w:val="left"/>
      <w:pPr>
        <w:ind w:left="720" w:hanging="360"/>
      </w:pPr>
      <w:rPr>
        <w:rFonts w:ascii="Symbol" w:hAnsi="Symbol" w:hint="default"/>
      </w:rPr>
    </w:lvl>
    <w:lvl w:ilvl="1" w:tplc="7EA8759A" w:tentative="1">
      <w:start w:val="1"/>
      <w:numFmt w:val="bullet"/>
      <w:lvlText w:val="o"/>
      <w:lvlJc w:val="left"/>
      <w:pPr>
        <w:ind w:left="1440" w:hanging="360"/>
      </w:pPr>
      <w:rPr>
        <w:rFonts w:ascii="Courier New" w:hAnsi="Courier New" w:cs="Courier New" w:hint="default"/>
      </w:rPr>
    </w:lvl>
    <w:lvl w:ilvl="2" w:tplc="EEFA96F0" w:tentative="1">
      <w:start w:val="1"/>
      <w:numFmt w:val="bullet"/>
      <w:lvlText w:val=""/>
      <w:lvlJc w:val="left"/>
      <w:pPr>
        <w:ind w:left="2160" w:hanging="360"/>
      </w:pPr>
      <w:rPr>
        <w:rFonts w:ascii="Wingdings" w:hAnsi="Wingdings" w:hint="default"/>
      </w:rPr>
    </w:lvl>
    <w:lvl w:ilvl="3" w:tplc="2052426A" w:tentative="1">
      <w:start w:val="1"/>
      <w:numFmt w:val="bullet"/>
      <w:lvlText w:val=""/>
      <w:lvlJc w:val="left"/>
      <w:pPr>
        <w:ind w:left="2880" w:hanging="360"/>
      </w:pPr>
      <w:rPr>
        <w:rFonts w:ascii="Symbol" w:hAnsi="Symbol" w:hint="default"/>
      </w:rPr>
    </w:lvl>
    <w:lvl w:ilvl="4" w:tplc="3352201A" w:tentative="1">
      <w:start w:val="1"/>
      <w:numFmt w:val="bullet"/>
      <w:lvlText w:val="o"/>
      <w:lvlJc w:val="left"/>
      <w:pPr>
        <w:ind w:left="3600" w:hanging="360"/>
      </w:pPr>
      <w:rPr>
        <w:rFonts w:ascii="Courier New" w:hAnsi="Courier New" w:cs="Courier New" w:hint="default"/>
      </w:rPr>
    </w:lvl>
    <w:lvl w:ilvl="5" w:tplc="0C5A2C32" w:tentative="1">
      <w:start w:val="1"/>
      <w:numFmt w:val="bullet"/>
      <w:lvlText w:val=""/>
      <w:lvlJc w:val="left"/>
      <w:pPr>
        <w:ind w:left="4320" w:hanging="360"/>
      </w:pPr>
      <w:rPr>
        <w:rFonts w:ascii="Wingdings" w:hAnsi="Wingdings" w:hint="default"/>
      </w:rPr>
    </w:lvl>
    <w:lvl w:ilvl="6" w:tplc="D53CE084" w:tentative="1">
      <w:start w:val="1"/>
      <w:numFmt w:val="bullet"/>
      <w:lvlText w:val=""/>
      <w:lvlJc w:val="left"/>
      <w:pPr>
        <w:ind w:left="5040" w:hanging="360"/>
      </w:pPr>
      <w:rPr>
        <w:rFonts w:ascii="Symbol" w:hAnsi="Symbol" w:hint="default"/>
      </w:rPr>
    </w:lvl>
    <w:lvl w:ilvl="7" w:tplc="E47296E0" w:tentative="1">
      <w:start w:val="1"/>
      <w:numFmt w:val="bullet"/>
      <w:lvlText w:val="o"/>
      <w:lvlJc w:val="left"/>
      <w:pPr>
        <w:ind w:left="5760" w:hanging="360"/>
      </w:pPr>
      <w:rPr>
        <w:rFonts w:ascii="Courier New" w:hAnsi="Courier New" w:cs="Courier New" w:hint="default"/>
      </w:rPr>
    </w:lvl>
    <w:lvl w:ilvl="8" w:tplc="AD8C57DE"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F7CCDC94">
      <w:start w:val="1"/>
      <w:numFmt w:val="bullet"/>
      <w:lvlText w:val=""/>
      <w:lvlJc w:val="left"/>
      <w:pPr>
        <w:ind w:left="720" w:hanging="360"/>
      </w:pPr>
      <w:rPr>
        <w:rFonts w:ascii="Symbol" w:hAnsi="Symbol" w:hint="default"/>
      </w:rPr>
    </w:lvl>
    <w:lvl w:ilvl="1" w:tplc="9FD6502C" w:tentative="1">
      <w:start w:val="1"/>
      <w:numFmt w:val="bullet"/>
      <w:lvlText w:val="o"/>
      <w:lvlJc w:val="left"/>
      <w:pPr>
        <w:ind w:left="1440" w:hanging="360"/>
      </w:pPr>
      <w:rPr>
        <w:rFonts w:ascii="Courier New" w:hAnsi="Courier New" w:cs="Courier New" w:hint="default"/>
      </w:rPr>
    </w:lvl>
    <w:lvl w:ilvl="2" w:tplc="2BFCEF2E" w:tentative="1">
      <w:start w:val="1"/>
      <w:numFmt w:val="bullet"/>
      <w:lvlText w:val=""/>
      <w:lvlJc w:val="left"/>
      <w:pPr>
        <w:ind w:left="2160" w:hanging="360"/>
      </w:pPr>
      <w:rPr>
        <w:rFonts w:ascii="Wingdings" w:hAnsi="Wingdings" w:hint="default"/>
      </w:rPr>
    </w:lvl>
    <w:lvl w:ilvl="3" w:tplc="456A77B4" w:tentative="1">
      <w:start w:val="1"/>
      <w:numFmt w:val="bullet"/>
      <w:lvlText w:val=""/>
      <w:lvlJc w:val="left"/>
      <w:pPr>
        <w:ind w:left="2880" w:hanging="360"/>
      </w:pPr>
      <w:rPr>
        <w:rFonts w:ascii="Symbol" w:hAnsi="Symbol" w:hint="default"/>
      </w:rPr>
    </w:lvl>
    <w:lvl w:ilvl="4" w:tplc="D598B6DE" w:tentative="1">
      <w:start w:val="1"/>
      <w:numFmt w:val="bullet"/>
      <w:lvlText w:val="o"/>
      <w:lvlJc w:val="left"/>
      <w:pPr>
        <w:ind w:left="3600" w:hanging="360"/>
      </w:pPr>
      <w:rPr>
        <w:rFonts w:ascii="Courier New" w:hAnsi="Courier New" w:cs="Courier New" w:hint="default"/>
      </w:rPr>
    </w:lvl>
    <w:lvl w:ilvl="5" w:tplc="11AAED22" w:tentative="1">
      <w:start w:val="1"/>
      <w:numFmt w:val="bullet"/>
      <w:lvlText w:val=""/>
      <w:lvlJc w:val="left"/>
      <w:pPr>
        <w:ind w:left="4320" w:hanging="360"/>
      </w:pPr>
      <w:rPr>
        <w:rFonts w:ascii="Wingdings" w:hAnsi="Wingdings" w:hint="default"/>
      </w:rPr>
    </w:lvl>
    <w:lvl w:ilvl="6" w:tplc="C8AAA89E" w:tentative="1">
      <w:start w:val="1"/>
      <w:numFmt w:val="bullet"/>
      <w:lvlText w:val=""/>
      <w:lvlJc w:val="left"/>
      <w:pPr>
        <w:ind w:left="5040" w:hanging="360"/>
      </w:pPr>
      <w:rPr>
        <w:rFonts w:ascii="Symbol" w:hAnsi="Symbol" w:hint="default"/>
      </w:rPr>
    </w:lvl>
    <w:lvl w:ilvl="7" w:tplc="4A6096FA" w:tentative="1">
      <w:start w:val="1"/>
      <w:numFmt w:val="bullet"/>
      <w:lvlText w:val="o"/>
      <w:lvlJc w:val="left"/>
      <w:pPr>
        <w:ind w:left="5760" w:hanging="360"/>
      </w:pPr>
      <w:rPr>
        <w:rFonts w:ascii="Courier New" w:hAnsi="Courier New" w:cs="Courier New" w:hint="default"/>
      </w:rPr>
    </w:lvl>
    <w:lvl w:ilvl="8" w:tplc="5A8C2232"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8BD27D06">
      <w:start w:val="1"/>
      <w:numFmt w:val="bullet"/>
      <w:lvlText w:val=""/>
      <w:lvlJc w:val="left"/>
      <w:pPr>
        <w:ind w:left="720" w:hanging="360"/>
      </w:pPr>
      <w:rPr>
        <w:rFonts w:ascii="Symbol" w:hAnsi="Symbol" w:hint="default"/>
      </w:rPr>
    </w:lvl>
    <w:lvl w:ilvl="1" w:tplc="D87C89CA" w:tentative="1">
      <w:start w:val="1"/>
      <w:numFmt w:val="bullet"/>
      <w:lvlText w:val="o"/>
      <w:lvlJc w:val="left"/>
      <w:pPr>
        <w:ind w:left="1440" w:hanging="360"/>
      </w:pPr>
      <w:rPr>
        <w:rFonts w:ascii="Courier New" w:hAnsi="Courier New" w:cs="Courier New" w:hint="default"/>
      </w:rPr>
    </w:lvl>
    <w:lvl w:ilvl="2" w:tplc="90EC4BB4" w:tentative="1">
      <w:start w:val="1"/>
      <w:numFmt w:val="bullet"/>
      <w:lvlText w:val=""/>
      <w:lvlJc w:val="left"/>
      <w:pPr>
        <w:ind w:left="2160" w:hanging="360"/>
      </w:pPr>
      <w:rPr>
        <w:rFonts w:ascii="Wingdings" w:hAnsi="Wingdings" w:hint="default"/>
      </w:rPr>
    </w:lvl>
    <w:lvl w:ilvl="3" w:tplc="B5B8D8CA" w:tentative="1">
      <w:start w:val="1"/>
      <w:numFmt w:val="bullet"/>
      <w:lvlText w:val=""/>
      <w:lvlJc w:val="left"/>
      <w:pPr>
        <w:ind w:left="2880" w:hanging="360"/>
      </w:pPr>
      <w:rPr>
        <w:rFonts w:ascii="Symbol" w:hAnsi="Symbol" w:hint="default"/>
      </w:rPr>
    </w:lvl>
    <w:lvl w:ilvl="4" w:tplc="4EC42036" w:tentative="1">
      <w:start w:val="1"/>
      <w:numFmt w:val="bullet"/>
      <w:lvlText w:val="o"/>
      <w:lvlJc w:val="left"/>
      <w:pPr>
        <w:ind w:left="3600" w:hanging="360"/>
      </w:pPr>
      <w:rPr>
        <w:rFonts w:ascii="Courier New" w:hAnsi="Courier New" w:cs="Courier New" w:hint="default"/>
      </w:rPr>
    </w:lvl>
    <w:lvl w:ilvl="5" w:tplc="3246343E" w:tentative="1">
      <w:start w:val="1"/>
      <w:numFmt w:val="bullet"/>
      <w:lvlText w:val=""/>
      <w:lvlJc w:val="left"/>
      <w:pPr>
        <w:ind w:left="4320" w:hanging="360"/>
      </w:pPr>
      <w:rPr>
        <w:rFonts w:ascii="Wingdings" w:hAnsi="Wingdings" w:hint="default"/>
      </w:rPr>
    </w:lvl>
    <w:lvl w:ilvl="6" w:tplc="BF047FD6" w:tentative="1">
      <w:start w:val="1"/>
      <w:numFmt w:val="bullet"/>
      <w:lvlText w:val=""/>
      <w:lvlJc w:val="left"/>
      <w:pPr>
        <w:ind w:left="5040" w:hanging="360"/>
      </w:pPr>
      <w:rPr>
        <w:rFonts w:ascii="Symbol" w:hAnsi="Symbol" w:hint="default"/>
      </w:rPr>
    </w:lvl>
    <w:lvl w:ilvl="7" w:tplc="B64AD414" w:tentative="1">
      <w:start w:val="1"/>
      <w:numFmt w:val="bullet"/>
      <w:lvlText w:val="o"/>
      <w:lvlJc w:val="left"/>
      <w:pPr>
        <w:ind w:left="5760" w:hanging="360"/>
      </w:pPr>
      <w:rPr>
        <w:rFonts w:ascii="Courier New" w:hAnsi="Courier New" w:cs="Courier New" w:hint="default"/>
      </w:rPr>
    </w:lvl>
    <w:lvl w:ilvl="8" w:tplc="813E9006"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88E2DE1A">
      <w:start w:val="1"/>
      <w:numFmt w:val="bullet"/>
      <w:lvlText w:val="o"/>
      <w:lvlJc w:val="left"/>
      <w:pPr>
        <w:tabs>
          <w:tab w:val="num" w:pos="1428"/>
        </w:tabs>
        <w:ind w:left="1428" w:hanging="360"/>
      </w:pPr>
      <w:rPr>
        <w:rFonts w:ascii="Courier New" w:hAnsi="Courier New" w:cs="Courier New" w:hint="default"/>
      </w:rPr>
    </w:lvl>
    <w:lvl w:ilvl="1" w:tplc="43C40804">
      <w:start w:val="1"/>
      <w:numFmt w:val="bullet"/>
      <w:lvlText w:val="o"/>
      <w:lvlJc w:val="left"/>
      <w:pPr>
        <w:tabs>
          <w:tab w:val="num" w:pos="2148"/>
        </w:tabs>
        <w:ind w:left="2148" w:hanging="360"/>
      </w:pPr>
      <w:rPr>
        <w:rFonts w:ascii="Courier New" w:hAnsi="Courier New" w:cs="Courier New" w:hint="default"/>
      </w:rPr>
    </w:lvl>
    <w:lvl w:ilvl="2" w:tplc="D262AE94">
      <w:start w:val="1"/>
      <w:numFmt w:val="bullet"/>
      <w:lvlText w:val=""/>
      <w:lvlJc w:val="left"/>
      <w:pPr>
        <w:tabs>
          <w:tab w:val="num" w:pos="2868"/>
        </w:tabs>
        <w:ind w:left="2868" w:hanging="360"/>
      </w:pPr>
      <w:rPr>
        <w:rFonts w:ascii="Wingdings" w:hAnsi="Wingdings" w:hint="default"/>
      </w:rPr>
    </w:lvl>
    <w:lvl w:ilvl="3" w:tplc="EBA0E45A" w:tentative="1">
      <w:start w:val="1"/>
      <w:numFmt w:val="bullet"/>
      <w:lvlText w:val=""/>
      <w:lvlJc w:val="left"/>
      <w:pPr>
        <w:tabs>
          <w:tab w:val="num" w:pos="3588"/>
        </w:tabs>
        <w:ind w:left="3588" w:hanging="360"/>
      </w:pPr>
      <w:rPr>
        <w:rFonts w:ascii="Symbol" w:hAnsi="Symbol" w:hint="default"/>
      </w:rPr>
    </w:lvl>
    <w:lvl w:ilvl="4" w:tplc="E9224FF8">
      <w:start w:val="1"/>
      <w:numFmt w:val="bullet"/>
      <w:lvlText w:val="o"/>
      <w:lvlJc w:val="left"/>
      <w:pPr>
        <w:tabs>
          <w:tab w:val="num" w:pos="4308"/>
        </w:tabs>
        <w:ind w:left="4308" w:hanging="360"/>
      </w:pPr>
      <w:rPr>
        <w:rFonts w:ascii="Courier New" w:hAnsi="Courier New" w:cs="Courier New" w:hint="default"/>
      </w:rPr>
    </w:lvl>
    <w:lvl w:ilvl="5" w:tplc="6DA24360" w:tentative="1">
      <w:start w:val="1"/>
      <w:numFmt w:val="bullet"/>
      <w:lvlText w:val=""/>
      <w:lvlJc w:val="left"/>
      <w:pPr>
        <w:tabs>
          <w:tab w:val="num" w:pos="5028"/>
        </w:tabs>
        <w:ind w:left="5028" w:hanging="360"/>
      </w:pPr>
      <w:rPr>
        <w:rFonts w:ascii="Wingdings" w:hAnsi="Wingdings" w:hint="default"/>
      </w:rPr>
    </w:lvl>
    <w:lvl w:ilvl="6" w:tplc="4D82F2F8" w:tentative="1">
      <w:start w:val="1"/>
      <w:numFmt w:val="bullet"/>
      <w:lvlText w:val=""/>
      <w:lvlJc w:val="left"/>
      <w:pPr>
        <w:tabs>
          <w:tab w:val="num" w:pos="5748"/>
        </w:tabs>
        <w:ind w:left="5748" w:hanging="360"/>
      </w:pPr>
      <w:rPr>
        <w:rFonts w:ascii="Symbol" w:hAnsi="Symbol" w:hint="default"/>
      </w:rPr>
    </w:lvl>
    <w:lvl w:ilvl="7" w:tplc="D9180152" w:tentative="1">
      <w:start w:val="1"/>
      <w:numFmt w:val="bullet"/>
      <w:lvlText w:val="o"/>
      <w:lvlJc w:val="left"/>
      <w:pPr>
        <w:tabs>
          <w:tab w:val="num" w:pos="6468"/>
        </w:tabs>
        <w:ind w:left="6468" w:hanging="360"/>
      </w:pPr>
      <w:rPr>
        <w:rFonts w:ascii="Courier New" w:hAnsi="Courier New" w:cs="Courier New" w:hint="default"/>
      </w:rPr>
    </w:lvl>
    <w:lvl w:ilvl="8" w:tplc="0958DD04"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8B023B4C">
      <w:start w:val="1"/>
      <w:numFmt w:val="lowerLetter"/>
      <w:lvlText w:val="%1.)"/>
      <w:lvlJc w:val="left"/>
      <w:pPr>
        <w:tabs>
          <w:tab w:val="num" w:pos="720"/>
        </w:tabs>
        <w:ind w:left="720" w:hanging="360"/>
      </w:pPr>
      <w:rPr>
        <w:rFonts w:ascii="Times New Roman" w:hAnsi="Times New Roman" w:cs="Times New Roman" w:hint="default"/>
        <w:color w:val="auto"/>
      </w:rPr>
    </w:lvl>
    <w:lvl w:ilvl="1" w:tplc="625E06D0">
      <w:start w:val="1"/>
      <w:numFmt w:val="bullet"/>
      <w:lvlText w:val=""/>
      <w:lvlJc w:val="left"/>
      <w:pPr>
        <w:tabs>
          <w:tab w:val="num" w:pos="1440"/>
        </w:tabs>
        <w:ind w:left="1440" w:hanging="360"/>
      </w:pPr>
      <w:rPr>
        <w:rFonts w:ascii="Symbol" w:hAnsi="Symbol" w:hint="default"/>
        <w:color w:val="auto"/>
      </w:rPr>
    </w:lvl>
    <w:lvl w:ilvl="2" w:tplc="A18AC210">
      <w:start w:val="2"/>
      <w:numFmt w:val="bullet"/>
      <w:lvlText w:val="-"/>
      <w:lvlJc w:val="left"/>
      <w:pPr>
        <w:tabs>
          <w:tab w:val="num" w:pos="2340"/>
        </w:tabs>
        <w:ind w:left="2340" w:hanging="360"/>
      </w:pPr>
      <w:rPr>
        <w:rFonts w:ascii="Times New Roman" w:eastAsia="Times New Roman" w:hAnsi="Times New Roman" w:cs="Times New Roman" w:hint="default"/>
      </w:rPr>
    </w:lvl>
    <w:lvl w:ilvl="3" w:tplc="614624D2">
      <w:start w:val="1"/>
      <w:numFmt w:val="decimal"/>
      <w:lvlText w:val="%4-"/>
      <w:lvlJc w:val="left"/>
      <w:pPr>
        <w:ind w:left="2880" w:hanging="360"/>
      </w:pPr>
      <w:rPr>
        <w:rFonts w:hint="default"/>
      </w:rPr>
    </w:lvl>
    <w:lvl w:ilvl="4" w:tplc="046C02D2">
      <w:start w:val="5"/>
      <w:numFmt w:val="upperRoman"/>
      <w:lvlText w:val="%5."/>
      <w:lvlJc w:val="left"/>
      <w:pPr>
        <w:ind w:left="3960" w:hanging="720"/>
      </w:pPr>
      <w:rPr>
        <w:rFonts w:hint="default"/>
      </w:rPr>
    </w:lvl>
    <w:lvl w:ilvl="5" w:tplc="9D7E5172" w:tentative="1">
      <w:start w:val="1"/>
      <w:numFmt w:val="lowerRoman"/>
      <w:lvlText w:val="%6."/>
      <w:lvlJc w:val="right"/>
      <w:pPr>
        <w:tabs>
          <w:tab w:val="num" w:pos="4320"/>
        </w:tabs>
        <w:ind w:left="4320" w:hanging="180"/>
      </w:pPr>
    </w:lvl>
    <w:lvl w:ilvl="6" w:tplc="FD28B3B4" w:tentative="1">
      <w:start w:val="1"/>
      <w:numFmt w:val="decimal"/>
      <w:lvlText w:val="%7."/>
      <w:lvlJc w:val="left"/>
      <w:pPr>
        <w:tabs>
          <w:tab w:val="num" w:pos="5040"/>
        </w:tabs>
        <w:ind w:left="5040" w:hanging="360"/>
      </w:pPr>
    </w:lvl>
    <w:lvl w:ilvl="7" w:tplc="97B0E69C" w:tentative="1">
      <w:start w:val="1"/>
      <w:numFmt w:val="lowerLetter"/>
      <w:lvlText w:val="%8."/>
      <w:lvlJc w:val="left"/>
      <w:pPr>
        <w:tabs>
          <w:tab w:val="num" w:pos="5760"/>
        </w:tabs>
        <w:ind w:left="5760" w:hanging="360"/>
      </w:pPr>
    </w:lvl>
    <w:lvl w:ilvl="8" w:tplc="79F2C0F8"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2808029A">
      <w:start w:val="1"/>
      <w:numFmt w:val="bullet"/>
      <w:lvlText w:val=""/>
      <w:lvlJc w:val="left"/>
      <w:pPr>
        <w:ind w:left="720" w:hanging="360"/>
      </w:pPr>
      <w:rPr>
        <w:rFonts w:ascii="Symbol" w:hAnsi="Symbol" w:hint="default"/>
      </w:rPr>
    </w:lvl>
    <w:lvl w:ilvl="1" w:tplc="36C45BFE" w:tentative="1">
      <w:start w:val="1"/>
      <w:numFmt w:val="bullet"/>
      <w:lvlText w:val="o"/>
      <w:lvlJc w:val="left"/>
      <w:pPr>
        <w:ind w:left="1440" w:hanging="360"/>
      </w:pPr>
      <w:rPr>
        <w:rFonts w:ascii="Courier New" w:hAnsi="Courier New" w:cs="Courier New" w:hint="default"/>
      </w:rPr>
    </w:lvl>
    <w:lvl w:ilvl="2" w:tplc="AE6E550E" w:tentative="1">
      <w:start w:val="1"/>
      <w:numFmt w:val="bullet"/>
      <w:lvlText w:val=""/>
      <w:lvlJc w:val="left"/>
      <w:pPr>
        <w:ind w:left="2160" w:hanging="360"/>
      </w:pPr>
      <w:rPr>
        <w:rFonts w:ascii="Wingdings" w:hAnsi="Wingdings" w:hint="default"/>
      </w:rPr>
    </w:lvl>
    <w:lvl w:ilvl="3" w:tplc="8E62B114" w:tentative="1">
      <w:start w:val="1"/>
      <w:numFmt w:val="bullet"/>
      <w:lvlText w:val=""/>
      <w:lvlJc w:val="left"/>
      <w:pPr>
        <w:ind w:left="2880" w:hanging="360"/>
      </w:pPr>
      <w:rPr>
        <w:rFonts w:ascii="Symbol" w:hAnsi="Symbol" w:hint="default"/>
      </w:rPr>
    </w:lvl>
    <w:lvl w:ilvl="4" w:tplc="F27C2F2E" w:tentative="1">
      <w:start w:val="1"/>
      <w:numFmt w:val="bullet"/>
      <w:lvlText w:val="o"/>
      <w:lvlJc w:val="left"/>
      <w:pPr>
        <w:ind w:left="3600" w:hanging="360"/>
      </w:pPr>
      <w:rPr>
        <w:rFonts w:ascii="Courier New" w:hAnsi="Courier New" w:cs="Courier New" w:hint="default"/>
      </w:rPr>
    </w:lvl>
    <w:lvl w:ilvl="5" w:tplc="3FC24B3A" w:tentative="1">
      <w:start w:val="1"/>
      <w:numFmt w:val="bullet"/>
      <w:lvlText w:val=""/>
      <w:lvlJc w:val="left"/>
      <w:pPr>
        <w:ind w:left="4320" w:hanging="360"/>
      </w:pPr>
      <w:rPr>
        <w:rFonts w:ascii="Wingdings" w:hAnsi="Wingdings" w:hint="default"/>
      </w:rPr>
    </w:lvl>
    <w:lvl w:ilvl="6" w:tplc="75EC6FE0" w:tentative="1">
      <w:start w:val="1"/>
      <w:numFmt w:val="bullet"/>
      <w:lvlText w:val=""/>
      <w:lvlJc w:val="left"/>
      <w:pPr>
        <w:ind w:left="5040" w:hanging="360"/>
      </w:pPr>
      <w:rPr>
        <w:rFonts w:ascii="Symbol" w:hAnsi="Symbol" w:hint="default"/>
      </w:rPr>
    </w:lvl>
    <w:lvl w:ilvl="7" w:tplc="6F382B70" w:tentative="1">
      <w:start w:val="1"/>
      <w:numFmt w:val="bullet"/>
      <w:lvlText w:val="o"/>
      <w:lvlJc w:val="left"/>
      <w:pPr>
        <w:ind w:left="5760" w:hanging="360"/>
      </w:pPr>
      <w:rPr>
        <w:rFonts w:ascii="Courier New" w:hAnsi="Courier New" w:cs="Courier New" w:hint="default"/>
      </w:rPr>
    </w:lvl>
    <w:lvl w:ilvl="8" w:tplc="CB96F0D4" w:tentative="1">
      <w:start w:val="1"/>
      <w:numFmt w:val="bullet"/>
      <w:lvlText w:val=""/>
      <w:lvlJc w:val="left"/>
      <w:pPr>
        <w:ind w:left="6480" w:hanging="360"/>
      </w:pPr>
      <w:rPr>
        <w:rFonts w:ascii="Wingdings" w:hAnsi="Wingdings" w:hint="default"/>
      </w:rPr>
    </w:lvl>
  </w:abstractNum>
  <w:abstractNum w:abstractNumId="7" w15:restartNumberingAfterBreak="0">
    <w:nsid w:val="0802566E"/>
    <w:multiLevelType w:val="hybridMultilevel"/>
    <w:tmpl w:val="0150D586"/>
    <w:lvl w:ilvl="0" w:tplc="C8EED5DA">
      <w:start w:val="1"/>
      <w:numFmt w:val="bullet"/>
      <w:lvlText w:val=""/>
      <w:lvlJc w:val="left"/>
      <w:pPr>
        <w:ind w:left="720" w:hanging="360"/>
      </w:pPr>
      <w:rPr>
        <w:rFonts w:ascii="Symbol" w:hAnsi="Symbol" w:hint="default"/>
      </w:rPr>
    </w:lvl>
    <w:lvl w:ilvl="1" w:tplc="901C1F20" w:tentative="1">
      <w:start w:val="1"/>
      <w:numFmt w:val="bullet"/>
      <w:lvlText w:val="o"/>
      <w:lvlJc w:val="left"/>
      <w:pPr>
        <w:ind w:left="1440" w:hanging="360"/>
      </w:pPr>
      <w:rPr>
        <w:rFonts w:ascii="Courier New" w:hAnsi="Courier New" w:cs="Courier New" w:hint="default"/>
      </w:rPr>
    </w:lvl>
    <w:lvl w:ilvl="2" w:tplc="7F16F74C" w:tentative="1">
      <w:start w:val="1"/>
      <w:numFmt w:val="bullet"/>
      <w:lvlText w:val=""/>
      <w:lvlJc w:val="left"/>
      <w:pPr>
        <w:ind w:left="2160" w:hanging="360"/>
      </w:pPr>
      <w:rPr>
        <w:rFonts w:ascii="Wingdings" w:hAnsi="Wingdings" w:hint="default"/>
      </w:rPr>
    </w:lvl>
    <w:lvl w:ilvl="3" w:tplc="D766E6E2" w:tentative="1">
      <w:start w:val="1"/>
      <w:numFmt w:val="bullet"/>
      <w:lvlText w:val=""/>
      <w:lvlJc w:val="left"/>
      <w:pPr>
        <w:ind w:left="2880" w:hanging="360"/>
      </w:pPr>
      <w:rPr>
        <w:rFonts w:ascii="Symbol" w:hAnsi="Symbol" w:hint="default"/>
      </w:rPr>
    </w:lvl>
    <w:lvl w:ilvl="4" w:tplc="06DEC37E" w:tentative="1">
      <w:start w:val="1"/>
      <w:numFmt w:val="bullet"/>
      <w:lvlText w:val="o"/>
      <w:lvlJc w:val="left"/>
      <w:pPr>
        <w:ind w:left="3600" w:hanging="360"/>
      </w:pPr>
      <w:rPr>
        <w:rFonts w:ascii="Courier New" w:hAnsi="Courier New" w:cs="Courier New" w:hint="default"/>
      </w:rPr>
    </w:lvl>
    <w:lvl w:ilvl="5" w:tplc="40568EEA" w:tentative="1">
      <w:start w:val="1"/>
      <w:numFmt w:val="bullet"/>
      <w:lvlText w:val=""/>
      <w:lvlJc w:val="left"/>
      <w:pPr>
        <w:ind w:left="4320" w:hanging="360"/>
      </w:pPr>
      <w:rPr>
        <w:rFonts w:ascii="Wingdings" w:hAnsi="Wingdings" w:hint="default"/>
      </w:rPr>
    </w:lvl>
    <w:lvl w:ilvl="6" w:tplc="2FEE0E68" w:tentative="1">
      <w:start w:val="1"/>
      <w:numFmt w:val="bullet"/>
      <w:lvlText w:val=""/>
      <w:lvlJc w:val="left"/>
      <w:pPr>
        <w:ind w:left="5040" w:hanging="360"/>
      </w:pPr>
      <w:rPr>
        <w:rFonts w:ascii="Symbol" w:hAnsi="Symbol" w:hint="default"/>
      </w:rPr>
    </w:lvl>
    <w:lvl w:ilvl="7" w:tplc="EA22BC68" w:tentative="1">
      <w:start w:val="1"/>
      <w:numFmt w:val="bullet"/>
      <w:lvlText w:val="o"/>
      <w:lvlJc w:val="left"/>
      <w:pPr>
        <w:ind w:left="5760" w:hanging="360"/>
      </w:pPr>
      <w:rPr>
        <w:rFonts w:ascii="Courier New" w:hAnsi="Courier New" w:cs="Courier New" w:hint="default"/>
      </w:rPr>
    </w:lvl>
    <w:lvl w:ilvl="8" w:tplc="971805BC" w:tentative="1">
      <w:start w:val="1"/>
      <w:numFmt w:val="bullet"/>
      <w:lvlText w:val=""/>
      <w:lvlJc w:val="left"/>
      <w:pPr>
        <w:ind w:left="6480" w:hanging="360"/>
      </w:pPr>
      <w:rPr>
        <w:rFonts w:ascii="Wingdings" w:hAnsi="Wingdings" w:hint="default"/>
      </w:rPr>
    </w:lvl>
  </w:abstractNum>
  <w:abstractNum w:abstractNumId="8" w15:restartNumberingAfterBreak="0">
    <w:nsid w:val="0853156F"/>
    <w:multiLevelType w:val="hybridMultilevel"/>
    <w:tmpl w:val="69FECDE2"/>
    <w:lvl w:ilvl="0" w:tplc="BFB0470C">
      <w:start w:val="1"/>
      <w:numFmt w:val="decimal"/>
      <w:lvlText w:val="%1."/>
      <w:lvlJc w:val="left"/>
      <w:pPr>
        <w:ind w:left="1440" w:hanging="360"/>
      </w:pPr>
    </w:lvl>
    <w:lvl w:ilvl="1" w:tplc="F1CA7A34" w:tentative="1">
      <w:start w:val="1"/>
      <w:numFmt w:val="lowerLetter"/>
      <w:lvlText w:val="%2."/>
      <w:lvlJc w:val="left"/>
      <w:pPr>
        <w:ind w:left="2160" w:hanging="360"/>
      </w:pPr>
    </w:lvl>
    <w:lvl w:ilvl="2" w:tplc="7D4C2EB8" w:tentative="1">
      <w:start w:val="1"/>
      <w:numFmt w:val="lowerRoman"/>
      <w:lvlText w:val="%3."/>
      <w:lvlJc w:val="right"/>
      <w:pPr>
        <w:ind w:left="2880" w:hanging="180"/>
      </w:pPr>
    </w:lvl>
    <w:lvl w:ilvl="3" w:tplc="9A6CAACE" w:tentative="1">
      <w:start w:val="1"/>
      <w:numFmt w:val="decimal"/>
      <w:lvlText w:val="%4."/>
      <w:lvlJc w:val="left"/>
      <w:pPr>
        <w:ind w:left="3600" w:hanging="360"/>
      </w:pPr>
    </w:lvl>
    <w:lvl w:ilvl="4" w:tplc="2FE6E360" w:tentative="1">
      <w:start w:val="1"/>
      <w:numFmt w:val="lowerLetter"/>
      <w:lvlText w:val="%5."/>
      <w:lvlJc w:val="left"/>
      <w:pPr>
        <w:ind w:left="4320" w:hanging="360"/>
      </w:pPr>
    </w:lvl>
    <w:lvl w:ilvl="5" w:tplc="7D269A74" w:tentative="1">
      <w:start w:val="1"/>
      <w:numFmt w:val="lowerRoman"/>
      <w:lvlText w:val="%6."/>
      <w:lvlJc w:val="right"/>
      <w:pPr>
        <w:ind w:left="5040" w:hanging="180"/>
      </w:pPr>
    </w:lvl>
    <w:lvl w:ilvl="6" w:tplc="E2768D88" w:tentative="1">
      <w:start w:val="1"/>
      <w:numFmt w:val="decimal"/>
      <w:lvlText w:val="%7."/>
      <w:lvlJc w:val="left"/>
      <w:pPr>
        <w:ind w:left="5760" w:hanging="360"/>
      </w:pPr>
    </w:lvl>
    <w:lvl w:ilvl="7" w:tplc="111497EA" w:tentative="1">
      <w:start w:val="1"/>
      <w:numFmt w:val="lowerLetter"/>
      <w:lvlText w:val="%8."/>
      <w:lvlJc w:val="left"/>
      <w:pPr>
        <w:ind w:left="6480" w:hanging="360"/>
      </w:pPr>
    </w:lvl>
    <w:lvl w:ilvl="8" w:tplc="73309D28" w:tentative="1">
      <w:start w:val="1"/>
      <w:numFmt w:val="lowerRoman"/>
      <w:lvlText w:val="%9."/>
      <w:lvlJc w:val="right"/>
      <w:pPr>
        <w:ind w:left="7200" w:hanging="180"/>
      </w:pPr>
    </w:lvl>
  </w:abstractNum>
  <w:abstractNum w:abstractNumId="9" w15:restartNumberingAfterBreak="0">
    <w:nsid w:val="092C1430"/>
    <w:multiLevelType w:val="hybridMultilevel"/>
    <w:tmpl w:val="5EF410D4"/>
    <w:lvl w:ilvl="0" w:tplc="49B89882">
      <w:start w:val="1"/>
      <w:numFmt w:val="bullet"/>
      <w:lvlText w:val=""/>
      <w:lvlJc w:val="left"/>
      <w:pPr>
        <w:ind w:left="765" w:hanging="360"/>
      </w:pPr>
      <w:rPr>
        <w:rFonts w:ascii="Symbol" w:hAnsi="Symbol" w:hint="default"/>
      </w:rPr>
    </w:lvl>
    <w:lvl w:ilvl="1" w:tplc="5AF4B4C4">
      <w:start w:val="1"/>
      <w:numFmt w:val="bullet"/>
      <w:lvlText w:val="o"/>
      <w:lvlJc w:val="left"/>
      <w:pPr>
        <w:ind w:left="1485" w:hanging="360"/>
      </w:pPr>
      <w:rPr>
        <w:rFonts w:ascii="Courier New" w:hAnsi="Courier New" w:cs="Courier New" w:hint="default"/>
      </w:rPr>
    </w:lvl>
    <w:lvl w:ilvl="2" w:tplc="5080D0FC" w:tentative="1">
      <w:start w:val="1"/>
      <w:numFmt w:val="bullet"/>
      <w:lvlText w:val=""/>
      <w:lvlJc w:val="left"/>
      <w:pPr>
        <w:ind w:left="2205" w:hanging="360"/>
      </w:pPr>
      <w:rPr>
        <w:rFonts w:ascii="Wingdings" w:hAnsi="Wingdings" w:hint="default"/>
      </w:rPr>
    </w:lvl>
    <w:lvl w:ilvl="3" w:tplc="E5C44E2A" w:tentative="1">
      <w:start w:val="1"/>
      <w:numFmt w:val="bullet"/>
      <w:lvlText w:val=""/>
      <w:lvlJc w:val="left"/>
      <w:pPr>
        <w:ind w:left="2925" w:hanging="360"/>
      </w:pPr>
      <w:rPr>
        <w:rFonts w:ascii="Symbol" w:hAnsi="Symbol" w:hint="default"/>
      </w:rPr>
    </w:lvl>
    <w:lvl w:ilvl="4" w:tplc="0512D866" w:tentative="1">
      <w:start w:val="1"/>
      <w:numFmt w:val="bullet"/>
      <w:lvlText w:val="o"/>
      <w:lvlJc w:val="left"/>
      <w:pPr>
        <w:ind w:left="3645" w:hanging="360"/>
      </w:pPr>
      <w:rPr>
        <w:rFonts w:ascii="Courier New" w:hAnsi="Courier New" w:cs="Courier New" w:hint="default"/>
      </w:rPr>
    </w:lvl>
    <w:lvl w:ilvl="5" w:tplc="4D40177C" w:tentative="1">
      <w:start w:val="1"/>
      <w:numFmt w:val="bullet"/>
      <w:lvlText w:val=""/>
      <w:lvlJc w:val="left"/>
      <w:pPr>
        <w:ind w:left="4365" w:hanging="360"/>
      </w:pPr>
      <w:rPr>
        <w:rFonts w:ascii="Wingdings" w:hAnsi="Wingdings" w:hint="default"/>
      </w:rPr>
    </w:lvl>
    <w:lvl w:ilvl="6" w:tplc="325C6CC8" w:tentative="1">
      <w:start w:val="1"/>
      <w:numFmt w:val="bullet"/>
      <w:lvlText w:val=""/>
      <w:lvlJc w:val="left"/>
      <w:pPr>
        <w:ind w:left="5085" w:hanging="360"/>
      </w:pPr>
      <w:rPr>
        <w:rFonts w:ascii="Symbol" w:hAnsi="Symbol" w:hint="default"/>
      </w:rPr>
    </w:lvl>
    <w:lvl w:ilvl="7" w:tplc="B704C1BE" w:tentative="1">
      <w:start w:val="1"/>
      <w:numFmt w:val="bullet"/>
      <w:lvlText w:val="o"/>
      <w:lvlJc w:val="left"/>
      <w:pPr>
        <w:ind w:left="5805" w:hanging="360"/>
      </w:pPr>
      <w:rPr>
        <w:rFonts w:ascii="Courier New" w:hAnsi="Courier New" w:cs="Courier New" w:hint="default"/>
      </w:rPr>
    </w:lvl>
    <w:lvl w:ilvl="8" w:tplc="0E960684" w:tentative="1">
      <w:start w:val="1"/>
      <w:numFmt w:val="bullet"/>
      <w:lvlText w:val=""/>
      <w:lvlJc w:val="left"/>
      <w:pPr>
        <w:ind w:left="6525" w:hanging="360"/>
      </w:pPr>
      <w:rPr>
        <w:rFonts w:ascii="Wingdings" w:hAnsi="Wingdings" w:hint="default"/>
      </w:rPr>
    </w:lvl>
  </w:abstractNum>
  <w:abstractNum w:abstractNumId="10" w15:restartNumberingAfterBreak="0">
    <w:nsid w:val="09431155"/>
    <w:multiLevelType w:val="hybridMultilevel"/>
    <w:tmpl w:val="20AA9518"/>
    <w:lvl w:ilvl="0" w:tplc="EA265928">
      <w:start w:val="1"/>
      <w:numFmt w:val="bullet"/>
      <w:lvlText w:val=""/>
      <w:lvlJc w:val="left"/>
      <w:pPr>
        <w:ind w:left="720" w:hanging="360"/>
      </w:pPr>
      <w:rPr>
        <w:rFonts w:ascii="Symbol" w:hAnsi="Symbol" w:hint="default"/>
      </w:rPr>
    </w:lvl>
    <w:lvl w:ilvl="1" w:tplc="ECD43A2C">
      <w:start w:val="1"/>
      <w:numFmt w:val="bullet"/>
      <w:lvlText w:val="o"/>
      <w:lvlJc w:val="left"/>
      <w:pPr>
        <w:ind w:left="1440" w:hanging="360"/>
      </w:pPr>
      <w:rPr>
        <w:rFonts w:ascii="Courier New" w:hAnsi="Courier New" w:cs="Courier New" w:hint="default"/>
      </w:rPr>
    </w:lvl>
    <w:lvl w:ilvl="2" w:tplc="15F48AAA" w:tentative="1">
      <w:start w:val="1"/>
      <w:numFmt w:val="bullet"/>
      <w:lvlText w:val=""/>
      <w:lvlJc w:val="left"/>
      <w:pPr>
        <w:ind w:left="2160" w:hanging="360"/>
      </w:pPr>
      <w:rPr>
        <w:rFonts w:ascii="Wingdings" w:hAnsi="Wingdings" w:hint="default"/>
      </w:rPr>
    </w:lvl>
    <w:lvl w:ilvl="3" w:tplc="FF144D16" w:tentative="1">
      <w:start w:val="1"/>
      <w:numFmt w:val="bullet"/>
      <w:lvlText w:val=""/>
      <w:lvlJc w:val="left"/>
      <w:pPr>
        <w:ind w:left="2880" w:hanging="360"/>
      </w:pPr>
      <w:rPr>
        <w:rFonts w:ascii="Symbol" w:hAnsi="Symbol" w:hint="default"/>
      </w:rPr>
    </w:lvl>
    <w:lvl w:ilvl="4" w:tplc="D5548112" w:tentative="1">
      <w:start w:val="1"/>
      <w:numFmt w:val="bullet"/>
      <w:lvlText w:val="o"/>
      <w:lvlJc w:val="left"/>
      <w:pPr>
        <w:ind w:left="3600" w:hanging="360"/>
      </w:pPr>
      <w:rPr>
        <w:rFonts w:ascii="Courier New" w:hAnsi="Courier New" w:cs="Courier New" w:hint="default"/>
      </w:rPr>
    </w:lvl>
    <w:lvl w:ilvl="5" w:tplc="37EA6F00" w:tentative="1">
      <w:start w:val="1"/>
      <w:numFmt w:val="bullet"/>
      <w:lvlText w:val=""/>
      <w:lvlJc w:val="left"/>
      <w:pPr>
        <w:ind w:left="4320" w:hanging="360"/>
      </w:pPr>
      <w:rPr>
        <w:rFonts w:ascii="Wingdings" w:hAnsi="Wingdings" w:hint="default"/>
      </w:rPr>
    </w:lvl>
    <w:lvl w:ilvl="6" w:tplc="E6A6093C" w:tentative="1">
      <w:start w:val="1"/>
      <w:numFmt w:val="bullet"/>
      <w:lvlText w:val=""/>
      <w:lvlJc w:val="left"/>
      <w:pPr>
        <w:ind w:left="5040" w:hanging="360"/>
      </w:pPr>
      <w:rPr>
        <w:rFonts w:ascii="Symbol" w:hAnsi="Symbol" w:hint="default"/>
      </w:rPr>
    </w:lvl>
    <w:lvl w:ilvl="7" w:tplc="B47A6508" w:tentative="1">
      <w:start w:val="1"/>
      <w:numFmt w:val="bullet"/>
      <w:lvlText w:val="o"/>
      <w:lvlJc w:val="left"/>
      <w:pPr>
        <w:ind w:left="5760" w:hanging="360"/>
      </w:pPr>
      <w:rPr>
        <w:rFonts w:ascii="Courier New" w:hAnsi="Courier New" w:cs="Courier New" w:hint="default"/>
      </w:rPr>
    </w:lvl>
    <w:lvl w:ilvl="8" w:tplc="78B40DE8" w:tentative="1">
      <w:start w:val="1"/>
      <w:numFmt w:val="bullet"/>
      <w:lvlText w:val=""/>
      <w:lvlJc w:val="left"/>
      <w:pPr>
        <w:ind w:left="6480" w:hanging="360"/>
      </w:pPr>
      <w:rPr>
        <w:rFonts w:ascii="Wingdings" w:hAnsi="Wingdings" w:hint="default"/>
      </w:rPr>
    </w:lvl>
  </w:abstractNum>
  <w:abstractNum w:abstractNumId="11" w15:restartNumberingAfterBreak="0">
    <w:nsid w:val="0DCA40E4"/>
    <w:multiLevelType w:val="hybridMultilevel"/>
    <w:tmpl w:val="62A020EA"/>
    <w:lvl w:ilvl="0" w:tplc="99386806">
      <w:start w:val="1"/>
      <w:numFmt w:val="bullet"/>
      <w:lvlText w:val=""/>
      <w:lvlJc w:val="left"/>
      <w:pPr>
        <w:ind w:left="720" w:hanging="360"/>
      </w:pPr>
      <w:rPr>
        <w:rFonts w:ascii="Symbol" w:hAnsi="Symbol" w:hint="default"/>
      </w:rPr>
    </w:lvl>
    <w:lvl w:ilvl="1" w:tplc="400EB7E6" w:tentative="1">
      <w:start w:val="1"/>
      <w:numFmt w:val="bullet"/>
      <w:lvlText w:val="o"/>
      <w:lvlJc w:val="left"/>
      <w:pPr>
        <w:ind w:left="1440" w:hanging="360"/>
      </w:pPr>
      <w:rPr>
        <w:rFonts w:ascii="Courier New" w:hAnsi="Courier New" w:cs="Courier New" w:hint="default"/>
      </w:rPr>
    </w:lvl>
    <w:lvl w:ilvl="2" w:tplc="9FF28B16" w:tentative="1">
      <w:start w:val="1"/>
      <w:numFmt w:val="bullet"/>
      <w:lvlText w:val=""/>
      <w:lvlJc w:val="left"/>
      <w:pPr>
        <w:ind w:left="2160" w:hanging="360"/>
      </w:pPr>
      <w:rPr>
        <w:rFonts w:ascii="Wingdings" w:hAnsi="Wingdings" w:hint="default"/>
      </w:rPr>
    </w:lvl>
    <w:lvl w:ilvl="3" w:tplc="74DCA946" w:tentative="1">
      <w:start w:val="1"/>
      <w:numFmt w:val="bullet"/>
      <w:lvlText w:val=""/>
      <w:lvlJc w:val="left"/>
      <w:pPr>
        <w:ind w:left="2880" w:hanging="360"/>
      </w:pPr>
      <w:rPr>
        <w:rFonts w:ascii="Symbol" w:hAnsi="Symbol" w:hint="default"/>
      </w:rPr>
    </w:lvl>
    <w:lvl w:ilvl="4" w:tplc="89CCD230" w:tentative="1">
      <w:start w:val="1"/>
      <w:numFmt w:val="bullet"/>
      <w:lvlText w:val="o"/>
      <w:lvlJc w:val="left"/>
      <w:pPr>
        <w:ind w:left="3600" w:hanging="360"/>
      </w:pPr>
      <w:rPr>
        <w:rFonts w:ascii="Courier New" w:hAnsi="Courier New" w:cs="Courier New" w:hint="default"/>
      </w:rPr>
    </w:lvl>
    <w:lvl w:ilvl="5" w:tplc="FAE01816" w:tentative="1">
      <w:start w:val="1"/>
      <w:numFmt w:val="bullet"/>
      <w:lvlText w:val=""/>
      <w:lvlJc w:val="left"/>
      <w:pPr>
        <w:ind w:left="4320" w:hanging="360"/>
      </w:pPr>
      <w:rPr>
        <w:rFonts w:ascii="Wingdings" w:hAnsi="Wingdings" w:hint="default"/>
      </w:rPr>
    </w:lvl>
    <w:lvl w:ilvl="6" w:tplc="84A2A720" w:tentative="1">
      <w:start w:val="1"/>
      <w:numFmt w:val="bullet"/>
      <w:lvlText w:val=""/>
      <w:lvlJc w:val="left"/>
      <w:pPr>
        <w:ind w:left="5040" w:hanging="360"/>
      </w:pPr>
      <w:rPr>
        <w:rFonts w:ascii="Symbol" w:hAnsi="Symbol" w:hint="default"/>
      </w:rPr>
    </w:lvl>
    <w:lvl w:ilvl="7" w:tplc="19E24E16" w:tentative="1">
      <w:start w:val="1"/>
      <w:numFmt w:val="bullet"/>
      <w:lvlText w:val="o"/>
      <w:lvlJc w:val="left"/>
      <w:pPr>
        <w:ind w:left="5760" w:hanging="360"/>
      </w:pPr>
      <w:rPr>
        <w:rFonts w:ascii="Courier New" w:hAnsi="Courier New" w:cs="Courier New" w:hint="default"/>
      </w:rPr>
    </w:lvl>
    <w:lvl w:ilvl="8" w:tplc="0C009D52" w:tentative="1">
      <w:start w:val="1"/>
      <w:numFmt w:val="bullet"/>
      <w:lvlText w:val=""/>
      <w:lvlJc w:val="left"/>
      <w:pPr>
        <w:ind w:left="6480" w:hanging="360"/>
      </w:pPr>
      <w:rPr>
        <w:rFonts w:ascii="Wingdings" w:hAnsi="Wingdings" w:hint="default"/>
      </w:rPr>
    </w:lvl>
  </w:abstractNum>
  <w:abstractNum w:abstractNumId="12" w15:restartNumberingAfterBreak="0">
    <w:nsid w:val="0E9F2F63"/>
    <w:multiLevelType w:val="hybridMultilevel"/>
    <w:tmpl w:val="BC9E7402"/>
    <w:lvl w:ilvl="0" w:tplc="FA7ADF7A">
      <w:start w:val="1"/>
      <w:numFmt w:val="decimal"/>
      <w:lvlText w:val="%1)"/>
      <w:lvlJc w:val="left"/>
      <w:pPr>
        <w:ind w:left="720" w:hanging="360"/>
      </w:pPr>
      <w:rPr>
        <w:rFonts w:hint="default"/>
      </w:rPr>
    </w:lvl>
    <w:lvl w:ilvl="1" w:tplc="D6749958" w:tentative="1">
      <w:start w:val="1"/>
      <w:numFmt w:val="lowerLetter"/>
      <w:lvlText w:val="%2."/>
      <w:lvlJc w:val="left"/>
      <w:pPr>
        <w:ind w:left="1440" w:hanging="360"/>
      </w:pPr>
    </w:lvl>
    <w:lvl w:ilvl="2" w:tplc="6436FBCA" w:tentative="1">
      <w:start w:val="1"/>
      <w:numFmt w:val="lowerRoman"/>
      <w:lvlText w:val="%3."/>
      <w:lvlJc w:val="right"/>
      <w:pPr>
        <w:ind w:left="2160" w:hanging="180"/>
      </w:pPr>
    </w:lvl>
    <w:lvl w:ilvl="3" w:tplc="0212B72A" w:tentative="1">
      <w:start w:val="1"/>
      <w:numFmt w:val="decimal"/>
      <w:lvlText w:val="%4."/>
      <w:lvlJc w:val="left"/>
      <w:pPr>
        <w:ind w:left="2880" w:hanging="360"/>
      </w:pPr>
    </w:lvl>
    <w:lvl w:ilvl="4" w:tplc="3746C936" w:tentative="1">
      <w:start w:val="1"/>
      <w:numFmt w:val="lowerLetter"/>
      <w:lvlText w:val="%5."/>
      <w:lvlJc w:val="left"/>
      <w:pPr>
        <w:ind w:left="3600" w:hanging="360"/>
      </w:pPr>
    </w:lvl>
    <w:lvl w:ilvl="5" w:tplc="AEE887D6" w:tentative="1">
      <w:start w:val="1"/>
      <w:numFmt w:val="lowerRoman"/>
      <w:lvlText w:val="%6."/>
      <w:lvlJc w:val="right"/>
      <w:pPr>
        <w:ind w:left="4320" w:hanging="180"/>
      </w:pPr>
    </w:lvl>
    <w:lvl w:ilvl="6" w:tplc="97F2996C" w:tentative="1">
      <w:start w:val="1"/>
      <w:numFmt w:val="decimal"/>
      <w:lvlText w:val="%7."/>
      <w:lvlJc w:val="left"/>
      <w:pPr>
        <w:ind w:left="5040" w:hanging="360"/>
      </w:pPr>
    </w:lvl>
    <w:lvl w:ilvl="7" w:tplc="6562D15E" w:tentative="1">
      <w:start w:val="1"/>
      <w:numFmt w:val="lowerLetter"/>
      <w:lvlText w:val="%8."/>
      <w:lvlJc w:val="left"/>
      <w:pPr>
        <w:ind w:left="5760" w:hanging="360"/>
      </w:pPr>
    </w:lvl>
    <w:lvl w:ilvl="8" w:tplc="95B6F620" w:tentative="1">
      <w:start w:val="1"/>
      <w:numFmt w:val="lowerRoman"/>
      <w:lvlText w:val="%9."/>
      <w:lvlJc w:val="right"/>
      <w:pPr>
        <w:ind w:left="6480" w:hanging="180"/>
      </w:pPr>
    </w:lvl>
  </w:abstractNum>
  <w:abstractNum w:abstractNumId="13" w15:restartNumberingAfterBreak="0">
    <w:nsid w:val="0F3A43B7"/>
    <w:multiLevelType w:val="hybridMultilevel"/>
    <w:tmpl w:val="2C701E3A"/>
    <w:lvl w:ilvl="0" w:tplc="94703B8E">
      <w:start w:val="1"/>
      <w:numFmt w:val="bullet"/>
      <w:lvlText w:val=""/>
      <w:lvlJc w:val="left"/>
      <w:pPr>
        <w:ind w:left="720" w:hanging="360"/>
      </w:pPr>
      <w:rPr>
        <w:rFonts w:ascii="Symbol" w:hAnsi="Symbol" w:hint="default"/>
      </w:rPr>
    </w:lvl>
    <w:lvl w:ilvl="1" w:tplc="126E89F8" w:tentative="1">
      <w:start w:val="1"/>
      <w:numFmt w:val="bullet"/>
      <w:lvlText w:val="o"/>
      <w:lvlJc w:val="left"/>
      <w:pPr>
        <w:ind w:left="1440" w:hanging="360"/>
      </w:pPr>
      <w:rPr>
        <w:rFonts w:ascii="Courier New" w:hAnsi="Courier New" w:cs="Courier New" w:hint="default"/>
      </w:rPr>
    </w:lvl>
    <w:lvl w:ilvl="2" w:tplc="5B0A1378" w:tentative="1">
      <w:start w:val="1"/>
      <w:numFmt w:val="bullet"/>
      <w:lvlText w:val=""/>
      <w:lvlJc w:val="left"/>
      <w:pPr>
        <w:ind w:left="2160" w:hanging="360"/>
      </w:pPr>
      <w:rPr>
        <w:rFonts w:ascii="Wingdings" w:hAnsi="Wingdings" w:hint="default"/>
      </w:rPr>
    </w:lvl>
    <w:lvl w:ilvl="3" w:tplc="24BCB0CA" w:tentative="1">
      <w:start w:val="1"/>
      <w:numFmt w:val="bullet"/>
      <w:lvlText w:val=""/>
      <w:lvlJc w:val="left"/>
      <w:pPr>
        <w:ind w:left="2880" w:hanging="360"/>
      </w:pPr>
      <w:rPr>
        <w:rFonts w:ascii="Symbol" w:hAnsi="Symbol" w:hint="default"/>
      </w:rPr>
    </w:lvl>
    <w:lvl w:ilvl="4" w:tplc="C4E4F5C8" w:tentative="1">
      <w:start w:val="1"/>
      <w:numFmt w:val="bullet"/>
      <w:lvlText w:val="o"/>
      <w:lvlJc w:val="left"/>
      <w:pPr>
        <w:ind w:left="3600" w:hanging="360"/>
      </w:pPr>
      <w:rPr>
        <w:rFonts w:ascii="Courier New" w:hAnsi="Courier New" w:cs="Courier New" w:hint="default"/>
      </w:rPr>
    </w:lvl>
    <w:lvl w:ilvl="5" w:tplc="A44213F8" w:tentative="1">
      <w:start w:val="1"/>
      <w:numFmt w:val="bullet"/>
      <w:lvlText w:val=""/>
      <w:lvlJc w:val="left"/>
      <w:pPr>
        <w:ind w:left="4320" w:hanging="360"/>
      </w:pPr>
      <w:rPr>
        <w:rFonts w:ascii="Wingdings" w:hAnsi="Wingdings" w:hint="default"/>
      </w:rPr>
    </w:lvl>
    <w:lvl w:ilvl="6" w:tplc="66343426" w:tentative="1">
      <w:start w:val="1"/>
      <w:numFmt w:val="bullet"/>
      <w:lvlText w:val=""/>
      <w:lvlJc w:val="left"/>
      <w:pPr>
        <w:ind w:left="5040" w:hanging="360"/>
      </w:pPr>
      <w:rPr>
        <w:rFonts w:ascii="Symbol" w:hAnsi="Symbol" w:hint="default"/>
      </w:rPr>
    </w:lvl>
    <w:lvl w:ilvl="7" w:tplc="12FCCB00" w:tentative="1">
      <w:start w:val="1"/>
      <w:numFmt w:val="bullet"/>
      <w:lvlText w:val="o"/>
      <w:lvlJc w:val="left"/>
      <w:pPr>
        <w:ind w:left="5760" w:hanging="360"/>
      </w:pPr>
      <w:rPr>
        <w:rFonts w:ascii="Courier New" w:hAnsi="Courier New" w:cs="Courier New" w:hint="default"/>
      </w:rPr>
    </w:lvl>
    <w:lvl w:ilvl="8" w:tplc="571887FC" w:tentative="1">
      <w:start w:val="1"/>
      <w:numFmt w:val="bullet"/>
      <w:lvlText w:val=""/>
      <w:lvlJc w:val="left"/>
      <w:pPr>
        <w:ind w:left="6480" w:hanging="360"/>
      </w:pPr>
      <w:rPr>
        <w:rFonts w:ascii="Wingdings" w:hAnsi="Wingdings" w:hint="default"/>
      </w:rPr>
    </w:lvl>
  </w:abstractNum>
  <w:abstractNum w:abstractNumId="14" w15:restartNumberingAfterBreak="0">
    <w:nsid w:val="0F834789"/>
    <w:multiLevelType w:val="hybridMultilevel"/>
    <w:tmpl w:val="B3042396"/>
    <w:lvl w:ilvl="0" w:tplc="29DC388E">
      <w:start w:val="1"/>
      <w:numFmt w:val="lowerLetter"/>
      <w:lvlText w:val="%1)"/>
      <w:lvlJc w:val="left"/>
      <w:pPr>
        <w:ind w:left="720" w:hanging="360"/>
      </w:pPr>
      <w:rPr>
        <w:rFonts w:hint="default"/>
      </w:rPr>
    </w:lvl>
    <w:lvl w:ilvl="1" w:tplc="0CB833C8" w:tentative="1">
      <w:start w:val="1"/>
      <w:numFmt w:val="lowerLetter"/>
      <w:lvlText w:val="%2."/>
      <w:lvlJc w:val="left"/>
      <w:pPr>
        <w:ind w:left="1440" w:hanging="360"/>
      </w:pPr>
    </w:lvl>
    <w:lvl w:ilvl="2" w:tplc="DB945A32" w:tentative="1">
      <w:start w:val="1"/>
      <w:numFmt w:val="lowerRoman"/>
      <w:lvlText w:val="%3."/>
      <w:lvlJc w:val="right"/>
      <w:pPr>
        <w:ind w:left="2160" w:hanging="180"/>
      </w:pPr>
    </w:lvl>
    <w:lvl w:ilvl="3" w:tplc="95D4916C" w:tentative="1">
      <w:start w:val="1"/>
      <w:numFmt w:val="decimal"/>
      <w:lvlText w:val="%4."/>
      <w:lvlJc w:val="left"/>
      <w:pPr>
        <w:ind w:left="2880" w:hanging="360"/>
      </w:pPr>
    </w:lvl>
    <w:lvl w:ilvl="4" w:tplc="417A5D38" w:tentative="1">
      <w:start w:val="1"/>
      <w:numFmt w:val="lowerLetter"/>
      <w:lvlText w:val="%5."/>
      <w:lvlJc w:val="left"/>
      <w:pPr>
        <w:ind w:left="3600" w:hanging="360"/>
      </w:pPr>
    </w:lvl>
    <w:lvl w:ilvl="5" w:tplc="9B36E1D2" w:tentative="1">
      <w:start w:val="1"/>
      <w:numFmt w:val="lowerRoman"/>
      <w:lvlText w:val="%6."/>
      <w:lvlJc w:val="right"/>
      <w:pPr>
        <w:ind w:left="4320" w:hanging="180"/>
      </w:pPr>
    </w:lvl>
    <w:lvl w:ilvl="6" w:tplc="B0B818D0" w:tentative="1">
      <w:start w:val="1"/>
      <w:numFmt w:val="decimal"/>
      <w:lvlText w:val="%7."/>
      <w:lvlJc w:val="left"/>
      <w:pPr>
        <w:ind w:left="5040" w:hanging="360"/>
      </w:pPr>
    </w:lvl>
    <w:lvl w:ilvl="7" w:tplc="513601AA" w:tentative="1">
      <w:start w:val="1"/>
      <w:numFmt w:val="lowerLetter"/>
      <w:lvlText w:val="%8."/>
      <w:lvlJc w:val="left"/>
      <w:pPr>
        <w:ind w:left="5760" w:hanging="360"/>
      </w:pPr>
    </w:lvl>
    <w:lvl w:ilvl="8" w:tplc="11DC938C" w:tentative="1">
      <w:start w:val="1"/>
      <w:numFmt w:val="lowerRoman"/>
      <w:lvlText w:val="%9."/>
      <w:lvlJc w:val="right"/>
      <w:pPr>
        <w:ind w:left="6480" w:hanging="180"/>
      </w:pPr>
    </w:lvl>
  </w:abstractNum>
  <w:abstractNum w:abstractNumId="15" w15:restartNumberingAfterBreak="0">
    <w:nsid w:val="0F986CC1"/>
    <w:multiLevelType w:val="hybridMultilevel"/>
    <w:tmpl w:val="DF484A72"/>
    <w:lvl w:ilvl="0" w:tplc="A472397A">
      <w:start w:val="1"/>
      <w:numFmt w:val="bullet"/>
      <w:lvlText w:val=""/>
      <w:lvlJc w:val="left"/>
      <w:pPr>
        <w:ind w:left="720" w:hanging="360"/>
      </w:pPr>
      <w:rPr>
        <w:rFonts w:ascii="Symbol" w:hAnsi="Symbol" w:hint="default"/>
      </w:rPr>
    </w:lvl>
    <w:lvl w:ilvl="1" w:tplc="86BEBF1E" w:tentative="1">
      <w:start w:val="1"/>
      <w:numFmt w:val="bullet"/>
      <w:lvlText w:val="o"/>
      <w:lvlJc w:val="left"/>
      <w:pPr>
        <w:ind w:left="1440" w:hanging="360"/>
      </w:pPr>
      <w:rPr>
        <w:rFonts w:ascii="Courier New" w:hAnsi="Courier New" w:cs="Courier New" w:hint="default"/>
      </w:rPr>
    </w:lvl>
    <w:lvl w:ilvl="2" w:tplc="71A2B514" w:tentative="1">
      <w:start w:val="1"/>
      <w:numFmt w:val="bullet"/>
      <w:lvlText w:val=""/>
      <w:lvlJc w:val="left"/>
      <w:pPr>
        <w:ind w:left="2160" w:hanging="360"/>
      </w:pPr>
      <w:rPr>
        <w:rFonts w:ascii="Wingdings" w:hAnsi="Wingdings" w:hint="default"/>
      </w:rPr>
    </w:lvl>
    <w:lvl w:ilvl="3" w:tplc="6D26E64A" w:tentative="1">
      <w:start w:val="1"/>
      <w:numFmt w:val="bullet"/>
      <w:lvlText w:val=""/>
      <w:lvlJc w:val="left"/>
      <w:pPr>
        <w:ind w:left="2880" w:hanging="360"/>
      </w:pPr>
      <w:rPr>
        <w:rFonts w:ascii="Symbol" w:hAnsi="Symbol" w:hint="default"/>
      </w:rPr>
    </w:lvl>
    <w:lvl w:ilvl="4" w:tplc="3EAA6FB8" w:tentative="1">
      <w:start w:val="1"/>
      <w:numFmt w:val="bullet"/>
      <w:lvlText w:val="o"/>
      <w:lvlJc w:val="left"/>
      <w:pPr>
        <w:ind w:left="3600" w:hanging="360"/>
      </w:pPr>
      <w:rPr>
        <w:rFonts w:ascii="Courier New" w:hAnsi="Courier New" w:cs="Courier New" w:hint="default"/>
      </w:rPr>
    </w:lvl>
    <w:lvl w:ilvl="5" w:tplc="6F5A66DC" w:tentative="1">
      <w:start w:val="1"/>
      <w:numFmt w:val="bullet"/>
      <w:lvlText w:val=""/>
      <w:lvlJc w:val="left"/>
      <w:pPr>
        <w:ind w:left="4320" w:hanging="360"/>
      </w:pPr>
      <w:rPr>
        <w:rFonts w:ascii="Wingdings" w:hAnsi="Wingdings" w:hint="default"/>
      </w:rPr>
    </w:lvl>
    <w:lvl w:ilvl="6" w:tplc="68643B8E" w:tentative="1">
      <w:start w:val="1"/>
      <w:numFmt w:val="bullet"/>
      <w:lvlText w:val=""/>
      <w:lvlJc w:val="left"/>
      <w:pPr>
        <w:ind w:left="5040" w:hanging="360"/>
      </w:pPr>
      <w:rPr>
        <w:rFonts w:ascii="Symbol" w:hAnsi="Symbol" w:hint="default"/>
      </w:rPr>
    </w:lvl>
    <w:lvl w:ilvl="7" w:tplc="2D8A8A7C" w:tentative="1">
      <w:start w:val="1"/>
      <w:numFmt w:val="bullet"/>
      <w:lvlText w:val="o"/>
      <w:lvlJc w:val="left"/>
      <w:pPr>
        <w:ind w:left="5760" w:hanging="360"/>
      </w:pPr>
      <w:rPr>
        <w:rFonts w:ascii="Courier New" w:hAnsi="Courier New" w:cs="Courier New" w:hint="default"/>
      </w:rPr>
    </w:lvl>
    <w:lvl w:ilvl="8" w:tplc="27AC8028" w:tentative="1">
      <w:start w:val="1"/>
      <w:numFmt w:val="bullet"/>
      <w:lvlText w:val=""/>
      <w:lvlJc w:val="left"/>
      <w:pPr>
        <w:ind w:left="6480" w:hanging="360"/>
      </w:pPr>
      <w:rPr>
        <w:rFonts w:ascii="Wingdings" w:hAnsi="Wingdings" w:hint="default"/>
      </w:rPr>
    </w:lvl>
  </w:abstractNum>
  <w:abstractNum w:abstractNumId="16" w15:restartNumberingAfterBreak="0">
    <w:nsid w:val="10084575"/>
    <w:multiLevelType w:val="hybridMultilevel"/>
    <w:tmpl w:val="DE24C4C8"/>
    <w:lvl w:ilvl="0" w:tplc="73B68602">
      <w:start w:val="1"/>
      <w:numFmt w:val="bullet"/>
      <w:lvlText w:val=""/>
      <w:lvlJc w:val="left"/>
      <w:pPr>
        <w:ind w:left="1428" w:hanging="360"/>
      </w:pPr>
      <w:rPr>
        <w:rFonts w:ascii="Symbol" w:hAnsi="Symbol" w:hint="default"/>
      </w:rPr>
    </w:lvl>
    <w:lvl w:ilvl="1" w:tplc="5E2638D2">
      <w:start w:val="1"/>
      <w:numFmt w:val="bullet"/>
      <w:lvlText w:val="o"/>
      <w:lvlJc w:val="left"/>
      <w:pPr>
        <w:ind w:left="2148" w:hanging="360"/>
      </w:pPr>
      <w:rPr>
        <w:rFonts w:ascii="Courier New" w:hAnsi="Courier New" w:cs="Courier New" w:hint="default"/>
      </w:rPr>
    </w:lvl>
    <w:lvl w:ilvl="2" w:tplc="1B62DAEE">
      <w:start w:val="1"/>
      <w:numFmt w:val="bullet"/>
      <w:lvlText w:val=""/>
      <w:lvlJc w:val="left"/>
      <w:pPr>
        <w:ind w:left="2868" w:hanging="360"/>
      </w:pPr>
      <w:rPr>
        <w:rFonts w:ascii="Wingdings" w:hAnsi="Wingdings" w:hint="default"/>
      </w:rPr>
    </w:lvl>
    <w:lvl w:ilvl="3" w:tplc="55F4E53E" w:tentative="1">
      <w:start w:val="1"/>
      <w:numFmt w:val="bullet"/>
      <w:lvlText w:val=""/>
      <w:lvlJc w:val="left"/>
      <w:pPr>
        <w:ind w:left="3588" w:hanging="360"/>
      </w:pPr>
      <w:rPr>
        <w:rFonts w:ascii="Symbol" w:hAnsi="Symbol" w:hint="default"/>
      </w:rPr>
    </w:lvl>
    <w:lvl w:ilvl="4" w:tplc="1E82C786" w:tentative="1">
      <w:start w:val="1"/>
      <w:numFmt w:val="bullet"/>
      <w:lvlText w:val="o"/>
      <w:lvlJc w:val="left"/>
      <w:pPr>
        <w:ind w:left="4308" w:hanging="360"/>
      </w:pPr>
      <w:rPr>
        <w:rFonts w:ascii="Courier New" w:hAnsi="Courier New" w:cs="Courier New" w:hint="default"/>
      </w:rPr>
    </w:lvl>
    <w:lvl w:ilvl="5" w:tplc="0598EF7E" w:tentative="1">
      <w:start w:val="1"/>
      <w:numFmt w:val="bullet"/>
      <w:lvlText w:val=""/>
      <w:lvlJc w:val="left"/>
      <w:pPr>
        <w:ind w:left="5028" w:hanging="360"/>
      </w:pPr>
      <w:rPr>
        <w:rFonts w:ascii="Wingdings" w:hAnsi="Wingdings" w:hint="default"/>
      </w:rPr>
    </w:lvl>
    <w:lvl w:ilvl="6" w:tplc="3B2A3B96" w:tentative="1">
      <w:start w:val="1"/>
      <w:numFmt w:val="bullet"/>
      <w:lvlText w:val=""/>
      <w:lvlJc w:val="left"/>
      <w:pPr>
        <w:ind w:left="5748" w:hanging="360"/>
      </w:pPr>
      <w:rPr>
        <w:rFonts w:ascii="Symbol" w:hAnsi="Symbol" w:hint="default"/>
      </w:rPr>
    </w:lvl>
    <w:lvl w:ilvl="7" w:tplc="390E2544" w:tentative="1">
      <w:start w:val="1"/>
      <w:numFmt w:val="bullet"/>
      <w:lvlText w:val="o"/>
      <w:lvlJc w:val="left"/>
      <w:pPr>
        <w:ind w:left="6468" w:hanging="360"/>
      </w:pPr>
      <w:rPr>
        <w:rFonts w:ascii="Courier New" w:hAnsi="Courier New" w:cs="Courier New" w:hint="default"/>
      </w:rPr>
    </w:lvl>
    <w:lvl w:ilvl="8" w:tplc="FC3C40B6" w:tentative="1">
      <w:start w:val="1"/>
      <w:numFmt w:val="bullet"/>
      <w:lvlText w:val=""/>
      <w:lvlJc w:val="left"/>
      <w:pPr>
        <w:ind w:left="7188" w:hanging="360"/>
      </w:pPr>
      <w:rPr>
        <w:rFonts w:ascii="Wingdings" w:hAnsi="Wingdings" w:hint="default"/>
      </w:rPr>
    </w:lvl>
  </w:abstractNum>
  <w:abstractNum w:abstractNumId="17" w15:restartNumberingAfterBreak="0">
    <w:nsid w:val="10A07B88"/>
    <w:multiLevelType w:val="hybridMultilevel"/>
    <w:tmpl w:val="A9F82E8C"/>
    <w:lvl w:ilvl="0" w:tplc="B9022008">
      <w:start w:val="1"/>
      <w:numFmt w:val="lowerLetter"/>
      <w:lvlText w:val="%1)"/>
      <w:lvlJc w:val="left"/>
      <w:pPr>
        <w:ind w:left="765" w:hanging="360"/>
      </w:pPr>
      <w:rPr>
        <w:rFonts w:hint="default"/>
      </w:rPr>
    </w:lvl>
    <w:lvl w:ilvl="1" w:tplc="32CC4662" w:tentative="1">
      <w:start w:val="1"/>
      <w:numFmt w:val="bullet"/>
      <w:lvlText w:val="o"/>
      <w:lvlJc w:val="left"/>
      <w:pPr>
        <w:ind w:left="1485" w:hanging="360"/>
      </w:pPr>
      <w:rPr>
        <w:rFonts w:ascii="Courier New" w:hAnsi="Courier New" w:cs="Courier New" w:hint="default"/>
      </w:rPr>
    </w:lvl>
    <w:lvl w:ilvl="2" w:tplc="8CE23950" w:tentative="1">
      <w:start w:val="1"/>
      <w:numFmt w:val="bullet"/>
      <w:lvlText w:val=""/>
      <w:lvlJc w:val="left"/>
      <w:pPr>
        <w:ind w:left="2205" w:hanging="360"/>
      </w:pPr>
      <w:rPr>
        <w:rFonts w:ascii="Wingdings" w:hAnsi="Wingdings" w:hint="default"/>
      </w:rPr>
    </w:lvl>
    <w:lvl w:ilvl="3" w:tplc="111801CC" w:tentative="1">
      <w:start w:val="1"/>
      <w:numFmt w:val="bullet"/>
      <w:lvlText w:val=""/>
      <w:lvlJc w:val="left"/>
      <w:pPr>
        <w:ind w:left="2925" w:hanging="360"/>
      </w:pPr>
      <w:rPr>
        <w:rFonts w:ascii="Symbol" w:hAnsi="Symbol" w:hint="default"/>
      </w:rPr>
    </w:lvl>
    <w:lvl w:ilvl="4" w:tplc="677C6E92" w:tentative="1">
      <w:start w:val="1"/>
      <w:numFmt w:val="bullet"/>
      <w:lvlText w:val="o"/>
      <w:lvlJc w:val="left"/>
      <w:pPr>
        <w:ind w:left="3645" w:hanging="360"/>
      </w:pPr>
      <w:rPr>
        <w:rFonts w:ascii="Courier New" w:hAnsi="Courier New" w:cs="Courier New" w:hint="default"/>
      </w:rPr>
    </w:lvl>
    <w:lvl w:ilvl="5" w:tplc="74BA81BC" w:tentative="1">
      <w:start w:val="1"/>
      <w:numFmt w:val="bullet"/>
      <w:lvlText w:val=""/>
      <w:lvlJc w:val="left"/>
      <w:pPr>
        <w:ind w:left="4365" w:hanging="360"/>
      </w:pPr>
      <w:rPr>
        <w:rFonts w:ascii="Wingdings" w:hAnsi="Wingdings" w:hint="default"/>
      </w:rPr>
    </w:lvl>
    <w:lvl w:ilvl="6" w:tplc="75A6DF42" w:tentative="1">
      <w:start w:val="1"/>
      <w:numFmt w:val="bullet"/>
      <w:lvlText w:val=""/>
      <w:lvlJc w:val="left"/>
      <w:pPr>
        <w:ind w:left="5085" w:hanging="360"/>
      </w:pPr>
      <w:rPr>
        <w:rFonts w:ascii="Symbol" w:hAnsi="Symbol" w:hint="default"/>
      </w:rPr>
    </w:lvl>
    <w:lvl w:ilvl="7" w:tplc="64CEADA0" w:tentative="1">
      <w:start w:val="1"/>
      <w:numFmt w:val="bullet"/>
      <w:lvlText w:val="o"/>
      <w:lvlJc w:val="left"/>
      <w:pPr>
        <w:ind w:left="5805" w:hanging="360"/>
      </w:pPr>
      <w:rPr>
        <w:rFonts w:ascii="Courier New" w:hAnsi="Courier New" w:cs="Courier New" w:hint="default"/>
      </w:rPr>
    </w:lvl>
    <w:lvl w:ilvl="8" w:tplc="3F4E11F8" w:tentative="1">
      <w:start w:val="1"/>
      <w:numFmt w:val="bullet"/>
      <w:lvlText w:val=""/>
      <w:lvlJc w:val="left"/>
      <w:pPr>
        <w:ind w:left="6525" w:hanging="360"/>
      </w:pPr>
      <w:rPr>
        <w:rFonts w:ascii="Wingdings" w:hAnsi="Wingdings" w:hint="default"/>
      </w:rPr>
    </w:lvl>
  </w:abstractNum>
  <w:abstractNum w:abstractNumId="18" w15:restartNumberingAfterBreak="0">
    <w:nsid w:val="12882A1D"/>
    <w:multiLevelType w:val="hybridMultilevel"/>
    <w:tmpl w:val="B57C0D18"/>
    <w:lvl w:ilvl="0" w:tplc="18ACDB34">
      <w:start w:val="1"/>
      <w:numFmt w:val="decimal"/>
      <w:lvlText w:val="%1."/>
      <w:lvlJc w:val="left"/>
      <w:pPr>
        <w:ind w:left="720" w:hanging="360"/>
      </w:pPr>
    </w:lvl>
    <w:lvl w:ilvl="1" w:tplc="FC1E9448">
      <w:start w:val="1"/>
      <w:numFmt w:val="lowerLetter"/>
      <w:lvlText w:val="%2."/>
      <w:lvlJc w:val="left"/>
      <w:pPr>
        <w:ind w:left="1440" w:hanging="360"/>
      </w:pPr>
    </w:lvl>
    <w:lvl w:ilvl="2" w:tplc="17DCB8C4" w:tentative="1">
      <w:start w:val="1"/>
      <w:numFmt w:val="lowerRoman"/>
      <w:lvlText w:val="%3."/>
      <w:lvlJc w:val="right"/>
      <w:pPr>
        <w:ind w:left="2160" w:hanging="180"/>
      </w:pPr>
    </w:lvl>
    <w:lvl w:ilvl="3" w:tplc="C6844616" w:tentative="1">
      <w:start w:val="1"/>
      <w:numFmt w:val="decimal"/>
      <w:lvlText w:val="%4."/>
      <w:lvlJc w:val="left"/>
      <w:pPr>
        <w:ind w:left="2880" w:hanging="360"/>
      </w:pPr>
    </w:lvl>
    <w:lvl w:ilvl="4" w:tplc="2590819A" w:tentative="1">
      <w:start w:val="1"/>
      <w:numFmt w:val="lowerLetter"/>
      <w:lvlText w:val="%5."/>
      <w:lvlJc w:val="left"/>
      <w:pPr>
        <w:ind w:left="3600" w:hanging="360"/>
      </w:pPr>
    </w:lvl>
    <w:lvl w:ilvl="5" w:tplc="8C76F01C" w:tentative="1">
      <w:start w:val="1"/>
      <w:numFmt w:val="lowerRoman"/>
      <w:lvlText w:val="%6."/>
      <w:lvlJc w:val="right"/>
      <w:pPr>
        <w:ind w:left="4320" w:hanging="180"/>
      </w:pPr>
    </w:lvl>
    <w:lvl w:ilvl="6" w:tplc="F10AA92A" w:tentative="1">
      <w:start w:val="1"/>
      <w:numFmt w:val="decimal"/>
      <w:lvlText w:val="%7."/>
      <w:lvlJc w:val="left"/>
      <w:pPr>
        <w:ind w:left="5040" w:hanging="360"/>
      </w:pPr>
    </w:lvl>
    <w:lvl w:ilvl="7" w:tplc="36EC4706" w:tentative="1">
      <w:start w:val="1"/>
      <w:numFmt w:val="lowerLetter"/>
      <w:lvlText w:val="%8."/>
      <w:lvlJc w:val="left"/>
      <w:pPr>
        <w:ind w:left="5760" w:hanging="360"/>
      </w:pPr>
    </w:lvl>
    <w:lvl w:ilvl="8" w:tplc="413AC2B4" w:tentative="1">
      <w:start w:val="1"/>
      <w:numFmt w:val="lowerRoman"/>
      <w:lvlText w:val="%9."/>
      <w:lvlJc w:val="right"/>
      <w:pPr>
        <w:ind w:left="6480" w:hanging="180"/>
      </w:pPr>
    </w:lvl>
  </w:abstractNum>
  <w:abstractNum w:abstractNumId="19" w15:restartNumberingAfterBreak="0">
    <w:nsid w:val="12AF78E8"/>
    <w:multiLevelType w:val="hybridMultilevel"/>
    <w:tmpl w:val="74566280"/>
    <w:lvl w:ilvl="0" w:tplc="CDB06ABA">
      <w:start w:val="1"/>
      <w:numFmt w:val="bullet"/>
      <w:lvlText w:val=""/>
      <w:lvlJc w:val="left"/>
      <w:pPr>
        <w:ind w:left="770" w:hanging="360"/>
      </w:pPr>
      <w:rPr>
        <w:rFonts w:ascii="Symbol" w:hAnsi="Symbol" w:hint="default"/>
      </w:rPr>
    </w:lvl>
    <w:lvl w:ilvl="1" w:tplc="FD52F29A" w:tentative="1">
      <w:start w:val="1"/>
      <w:numFmt w:val="bullet"/>
      <w:lvlText w:val="o"/>
      <w:lvlJc w:val="left"/>
      <w:pPr>
        <w:ind w:left="1490" w:hanging="360"/>
      </w:pPr>
      <w:rPr>
        <w:rFonts w:ascii="Courier New" w:hAnsi="Courier New" w:cs="Courier New" w:hint="default"/>
      </w:rPr>
    </w:lvl>
    <w:lvl w:ilvl="2" w:tplc="7E10C7D6" w:tentative="1">
      <w:start w:val="1"/>
      <w:numFmt w:val="bullet"/>
      <w:lvlText w:val=""/>
      <w:lvlJc w:val="left"/>
      <w:pPr>
        <w:ind w:left="2210" w:hanging="360"/>
      </w:pPr>
      <w:rPr>
        <w:rFonts w:ascii="Wingdings" w:hAnsi="Wingdings" w:hint="default"/>
      </w:rPr>
    </w:lvl>
    <w:lvl w:ilvl="3" w:tplc="F2043722" w:tentative="1">
      <w:start w:val="1"/>
      <w:numFmt w:val="bullet"/>
      <w:lvlText w:val=""/>
      <w:lvlJc w:val="left"/>
      <w:pPr>
        <w:ind w:left="2930" w:hanging="360"/>
      </w:pPr>
      <w:rPr>
        <w:rFonts w:ascii="Symbol" w:hAnsi="Symbol" w:hint="default"/>
      </w:rPr>
    </w:lvl>
    <w:lvl w:ilvl="4" w:tplc="89BC6258" w:tentative="1">
      <w:start w:val="1"/>
      <w:numFmt w:val="bullet"/>
      <w:lvlText w:val="o"/>
      <w:lvlJc w:val="left"/>
      <w:pPr>
        <w:ind w:left="3650" w:hanging="360"/>
      </w:pPr>
      <w:rPr>
        <w:rFonts w:ascii="Courier New" w:hAnsi="Courier New" w:cs="Courier New" w:hint="default"/>
      </w:rPr>
    </w:lvl>
    <w:lvl w:ilvl="5" w:tplc="2A10FD40" w:tentative="1">
      <w:start w:val="1"/>
      <w:numFmt w:val="bullet"/>
      <w:lvlText w:val=""/>
      <w:lvlJc w:val="left"/>
      <w:pPr>
        <w:ind w:left="4370" w:hanging="360"/>
      </w:pPr>
      <w:rPr>
        <w:rFonts w:ascii="Wingdings" w:hAnsi="Wingdings" w:hint="default"/>
      </w:rPr>
    </w:lvl>
    <w:lvl w:ilvl="6" w:tplc="111CCD30" w:tentative="1">
      <w:start w:val="1"/>
      <w:numFmt w:val="bullet"/>
      <w:lvlText w:val=""/>
      <w:lvlJc w:val="left"/>
      <w:pPr>
        <w:ind w:left="5090" w:hanging="360"/>
      </w:pPr>
      <w:rPr>
        <w:rFonts w:ascii="Symbol" w:hAnsi="Symbol" w:hint="default"/>
      </w:rPr>
    </w:lvl>
    <w:lvl w:ilvl="7" w:tplc="6450A9B0" w:tentative="1">
      <w:start w:val="1"/>
      <w:numFmt w:val="bullet"/>
      <w:lvlText w:val="o"/>
      <w:lvlJc w:val="left"/>
      <w:pPr>
        <w:ind w:left="5810" w:hanging="360"/>
      </w:pPr>
      <w:rPr>
        <w:rFonts w:ascii="Courier New" w:hAnsi="Courier New" w:cs="Courier New" w:hint="default"/>
      </w:rPr>
    </w:lvl>
    <w:lvl w:ilvl="8" w:tplc="3C1C58C4" w:tentative="1">
      <w:start w:val="1"/>
      <w:numFmt w:val="bullet"/>
      <w:lvlText w:val=""/>
      <w:lvlJc w:val="left"/>
      <w:pPr>
        <w:ind w:left="6530" w:hanging="360"/>
      </w:pPr>
      <w:rPr>
        <w:rFonts w:ascii="Wingdings" w:hAnsi="Wingdings" w:hint="default"/>
      </w:rPr>
    </w:lvl>
  </w:abstractNum>
  <w:abstractNum w:abstractNumId="20"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063B0F"/>
    <w:multiLevelType w:val="hybridMultilevel"/>
    <w:tmpl w:val="D5BAEE62"/>
    <w:lvl w:ilvl="0" w:tplc="75244160">
      <w:start w:val="1"/>
      <w:numFmt w:val="bullet"/>
      <w:lvlText w:val=""/>
      <w:lvlJc w:val="left"/>
      <w:pPr>
        <w:ind w:left="720" w:hanging="360"/>
      </w:pPr>
      <w:rPr>
        <w:rFonts w:ascii="Symbol" w:hAnsi="Symbol" w:hint="default"/>
      </w:rPr>
    </w:lvl>
    <w:lvl w:ilvl="1" w:tplc="8682B2C0" w:tentative="1">
      <w:start w:val="1"/>
      <w:numFmt w:val="bullet"/>
      <w:lvlText w:val="o"/>
      <w:lvlJc w:val="left"/>
      <w:pPr>
        <w:ind w:left="1440" w:hanging="360"/>
      </w:pPr>
      <w:rPr>
        <w:rFonts w:ascii="Courier New" w:hAnsi="Courier New" w:cs="Courier New" w:hint="default"/>
      </w:rPr>
    </w:lvl>
    <w:lvl w:ilvl="2" w:tplc="1CE00738" w:tentative="1">
      <w:start w:val="1"/>
      <w:numFmt w:val="bullet"/>
      <w:lvlText w:val=""/>
      <w:lvlJc w:val="left"/>
      <w:pPr>
        <w:ind w:left="2160" w:hanging="360"/>
      </w:pPr>
      <w:rPr>
        <w:rFonts w:ascii="Wingdings" w:hAnsi="Wingdings" w:hint="default"/>
      </w:rPr>
    </w:lvl>
    <w:lvl w:ilvl="3" w:tplc="5F5E19A4" w:tentative="1">
      <w:start w:val="1"/>
      <w:numFmt w:val="bullet"/>
      <w:lvlText w:val=""/>
      <w:lvlJc w:val="left"/>
      <w:pPr>
        <w:ind w:left="2880" w:hanging="360"/>
      </w:pPr>
      <w:rPr>
        <w:rFonts w:ascii="Symbol" w:hAnsi="Symbol" w:hint="default"/>
      </w:rPr>
    </w:lvl>
    <w:lvl w:ilvl="4" w:tplc="F48C3084" w:tentative="1">
      <w:start w:val="1"/>
      <w:numFmt w:val="bullet"/>
      <w:lvlText w:val="o"/>
      <w:lvlJc w:val="left"/>
      <w:pPr>
        <w:ind w:left="3600" w:hanging="360"/>
      </w:pPr>
      <w:rPr>
        <w:rFonts w:ascii="Courier New" w:hAnsi="Courier New" w:cs="Courier New" w:hint="default"/>
      </w:rPr>
    </w:lvl>
    <w:lvl w:ilvl="5" w:tplc="C3C4DF0E" w:tentative="1">
      <w:start w:val="1"/>
      <w:numFmt w:val="bullet"/>
      <w:lvlText w:val=""/>
      <w:lvlJc w:val="left"/>
      <w:pPr>
        <w:ind w:left="4320" w:hanging="360"/>
      </w:pPr>
      <w:rPr>
        <w:rFonts w:ascii="Wingdings" w:hAnsi="Wingdings" w:hint="default"/>
      </w:rPr>
    </w:lvl>
    <w:lvl w:ilvl="6" w:tplc="BC92E3AA" w:tentative="1">
      <w:start w:val="1"/>
      <w:numFmt w:val="bullet"/>
      <w:lvlText w:val=""/>
      <w:lvlJc w:val="left"/>
      <w:pPr>
        <w:ind w:left="5040" w:hanging="360"/>
      </w:pPr>
      <w:rPr>
        <w:rFonts w:ascii="Symbol" w:hAnsi="Symbol" w:hint="default"/>
      </w:rPr>
    </w:lvl>
    <w:lvl w:ilvl="7" w:tplc="B44A2A60" w:tentative="1">
      <w:start w:val="1"/>
      <w:numFmt w:val="bullet"/>
      <w:lvlText w:val="o"/>
      <w:lvlJc w:val="left"/>
      <w:pPr>
        <w:ind w:left="5760" w:hanging="360"/>
      </w:pPr>
      <w:rPr>
        <w:rFonts w:ascii="Courier New" w:hAnsi="Courier New" w:cs="Courier New" w:hint="default"/>
      </w:rPr>
    </w:lvl>
    <w:lvl w:ilvl="8" w:tplc="F3188D1C" w:tentative="1">
      <w:start w:val="1"/>
      <w:numFmt w:val="bullet"/>
      <w:lvlText w:val=""/>
      <w:lvlJc w:val="left"/>
      <w:pPr>
        <w:ind w:left="6480" w:hanging="360"/>
      </w:pPr>
      <w:rPr>
        <w:rFonts w:ascii="Wingdings" w:hAnsi="Wingdings" w:hint="default"/>
      </w:rPr>
    </w:lvl>
  </w:abstractNum>
  <w:abstractNum w:abstractNumId="22" w15:restartNumberingAfterBreak="0">
    <w:nsid w:val="15BC78C4"/>
    <w:multiLevelType w:val="hybridMultilevel"/>
    <w:tmpl w:val="B1106318"/>
    <w:lvl w:ilvl="0" w:tplc="FD16C23A">
      <w:start w:val="1"/>
      <w:numFmt w:val="bullet"/>
      <w:lvlText w:val=""/>
      <w:lvlJc w:val="left"/>
      <w:pPr>
        <w:ind w:left="720" w:hanging="360"/>
      </w:pPr>
      <w:rPr>
        <w:rFonts w:ascii="Symbol" w:hAnsi="Symbol" w:hint="default"/>
      </w:rPr>
    </w:lvl>
    <w:lvl w:ilvl="1" w:tplc="D1788348" w:tentative="1">
      <w:start w:val="1"/>
      <w:numFmt w:val="bullet"/>
      <w:lvlText w:val="o"/>
      <w:lvlJc w:val="left"/>
      <w:pPr>
        <w:ind w:left="1440" w:hanging="360"/>
      </w:pPr>
      <w:rPr>
        <w:rFonts w:ascii="Courier New" w:hAnsi="Courier New" w:cs="Courier New" w:hint="default"/>
      </w:rPr>
    </w:lvl>
    <w:lvl w:ilvl="2" w:tplc="C89CC042" w:tentative="1">
      <w:start w:val="1"/>
      <w:numFmt w:val="bullet"/>
      <w:lvlText w:val=""/>
      <w:lvlJc w:val="left"/>
      <w:pPr>
        <w:ind w:left="2160" w:hanging="360"/>
      </w:pPr>
      <w:rPr>
        <w:rFonts w:ascii="Wingdings" w:hAnsi="Wingdings" w:hint="default"/>
      </w:rPr>
    </w:lvl>
    <w:lvl w:ilvl="3" w:tplc="2D846782" w:tentative="1">
      <w:start w:val="1"/>
      <w:numFmt w:val="bullet"/>
      <w:lvlText w:val=""/>
      <w:lvlJc w:val="left"/>
      <w:pPr>
        <w:ind w:left="2880" w:hanging="360"/>
      </w:pPr>
      <w:rPr>
        <w:rFonts w:ascii="Symbol" w:hAnsi="Symbol" w:hint="default"/>
      </w:rPr>
    </w:lvl>
    <w:lvl w:ilvl="4" w:tplc="5E82281A" w:tentative="1">
      <w:start w:val="1"/>
      <w:numFmt w:val="bullet"/>
      <w:lvlText w:val="o"/>
      <w:lvlJc w:val="left"/>
      <w:pPr>
        <w:ind w:left="3600" w:hanging="360"/>
      </w:pPr>
      <w:rPr>
        <w:rFonts w:ascii="Courier New" w:hAnsi="Courier New" w:cs="Courier New" w:hint="default"/>
      </w:rPr>
    </w:lvl>
    <w:lvl w:ilvl="5" w:tplc="E7C64AA6" w:tentative="1">
      <w:start w:val="1"/>
      <w:numFmt w:val="bullet"/>
      <w:lvlText w:val=""/>
      <w:lvlJc w:val="left"/>
      <w:pPr>
        <w:ind w:left="4320" w:hanging="360"/>
      </w:pPr>
      <w:rPr>
        <w:rFonts w:ascii="Wingdings" w:hAnsi="Wingdings" w:hint="default"/>
      </w:rPr>
    </w:lvl>
    <w:lvl w:ilvl="6" w:tplc="189EE706" w:tentative="1">
      <w:start w:val="1"/>
      <w:numFmt w:val="bullet"/>
      <w:lvlText w:val=""/>
      <w:lvlJc w:val="left"/>
      <w:pPr>
        <w:ind w:left="5040" w:hanging="360"/>
      </w:pPr>
      <w:rPr>
        <w:rFonts w:ascii="Symbol" w:hAnsi="Symbol" w:hint="default"/>
      </w:rPr>
    </w:lvl>
    <w:lvl w:ilvl="7" w:tplc="5E5E9EE6" w:tentative="1">
      <w:start w:val="1"/>
      <w:numFmt w:val="bullet"/>
      <w:lvlText w:val="o"/>
      <w:lvlJc w:val="left"/>
      <w:pPr>
        <w:ind w:left="5760" w:hanging="360"/>
      </w:pPr>
      <w:rPr>
        <w:rFonts w:ascii="Courier New" w:hAnsi="Courier New" w:cs="Courier New" w:hint="default"/>
      </w:rPr>
    </w:lvl>
    <w:lvl w:ilvl="8" w:tplc="6EDC83C2" w:tentative="1">
      <w:start w:val="1"/>
      <w:numFmt w:val="bullet"/>
      <w:lvlText w:val=""/>
      <w:lvlJc w:val="left"/>
      <w:pPr>
        <w:ind w:left="6480" w:hanging="360"/>
      </w:pPr>
      <w:rPr>
        <w:rFonts w:ascii="Wingdings" w:hAnsi="Wingdings" w:hint="default"/>
      </w:rPr>
    </w:lvl>
  </w:abstractNum>
  <w:abstractNum w:abstractNumId="23" w15:restartNumberingAfterBreak="0">
    <w:nsid w:val="161F497A"/>
    <w:multiLevelType w:val="hybridMultilevel"/>
    <w:tmpl w:val="2ECE0C50"/>
    <w:lvl w:ilvl="0" w:tplc="BA26E4EE">
      <w:start w:val="1"/>
      <w:numFmt w:val="bullet"/>
      <w:lvlText w:val=""/>
      <w:lvlJc w:val="left"/>
      <w:pPr>
        <w:ind w:left="765" w:hanging="360"/>
      </w:pPr>
      <w:rPr>
        <w:rFonts w:ascii="Symbol" w:hAnsi="Symbol" w:hint="default"/>
      </w:rPr>
    </w:lvl>
    <w:lvl w:ilvl="1" w:tplc="4268005A" w:tentative="1">
      <w:start w:val="1"/>
      <w:numFmt w:val="bullet"/>
      <w:lvlText w:val="o"/>
      <w:lvlJc w:val="left"/>
      <w:pPr>
        <w:ind w:left="1485" w:hanging="360"/>
      </w:pPr>
      <w:rPr>
        <w:rFonts w:ascii="Courier New" w:hAnsi="Courier New" w:cs="Courier New" w:hint="default"/>
      </w:rPr>
    </w:lvl>
    <w:lvl w:ilvl="2" w:tplc="D946CD70" w:tentative="1">
      <w:start w:val="1"/>
      <w:numFmt w:val="bullet"/>
      <w:lvlText w:val=""/>
      <w:lvlJc w:val="left"/>
      <w:pPr>
        <w:ind w:left="2205" w:hanging="360"/>
      </w:pPr>
      <w:rPr>
        <w:rFonts w:ascii="Wingdings" w:hAnsi="Wingdings" w:hint="default"/>
      </w:rPr>
    </w:lvl>
    <w:lvl w:ilvl="3" w:tplc="F730AAAE" w:tentative="1">
      <w:start w:val="1"/>
      <w:numFmt w:val="bullet"/>
      <w:lvlText w:val=""/>
      <w:lvlJc w:val="left"/>
      <w:pPr>
        <w:ind w:left="2925" w:hanging="360"/>
      </w:pPr>
      <w:rPr>
        <w:rFonts w:ascii="Symbol" w:hAnsi="Symbol" w:hint="default"/>
      </w:rPr>
    </w:lvl>
    <w:lvl w:ilvl="4" w:tplc="7DF82658" w:tentative="1">
      <w:start w:val="1"/>
      <w:numFmt w:val="bullet"/>
      <w:lvlText w:val="o"/>
      <w:lvlJc w:val="left"/>
      <w:pPr>
        <w:ind w:left="3645" w:hanging="360"/>
      </w:pPr>
      <w:rPr>
        <w:rFonts w:ascii="Courier New" w:hAnsi="Courier New" w:cs="Courier New" w:hint="default"/>
      </w:rPr>
    </w:lvl>
    <w:lvl w:ilvl="5" w:tplc="4BDCC60C" w:tentative="1">
      <w:start w:val="1"/>
      <w:numFmt w:val="bullet"/>
      <w:lvlText w:val=""/>
      <w:lvlJc w:val="left"/>
      <w:pPr>
        <w:ind w:left="4365" w:hanging="360"/>
      </w:pPr>
      <w:rPr>
        <w:rFonts w:ascii="Wingdings" w:hAnsi="Wingdings" w:hint="default"/>
      </w:rPr>
    </w:lvl>
    <w:lvl w:ilvl="6" w:tplc="4CDCFF28" w:tentative="1">
      <w:start w:val="1"/>
      <w:numFmt w:val="bullet"/>
      <w:lvlText w:val=""/>
      <w:lvlJc w:val="left"/>
      <w:pPr>
        <w:ind w:left="5085" w:hanging="360"/>
      </w:pPr>
      <w:rPr>
        <w:rFonts w:ascii="Symbol" w:hAnsi="Symbol" w:hint="default"/>
      </w:rPr>
    </w:lvl>
    <w:lvl w:ilvl="7" w:tplc="29CAA52E" w:tentative="1">
      <w:start w:val="1"/>
      <w:numFmt w:val="bullet"/>
      <w:lvlText w:val="o"/>
      <w:lvlJc w:val="left"/>
      <w:pPr>
        <w:ind w:left="5805" w:hanging="360"/>
      </w:pPr>
      <w:rPr>
        <w:rFonts w:ascii="Courier New" w:hAnsi="Courier New" w:cs="Courier New" w:hint="default"/>
      </w:rPr>
    </w:lvl>
    <w:lvl w:ilvl="8" w:tplc="6BC85C8E" w:tentative="1">
      <w:start w:val="1"/>
      <w:numFmt w:val="bullet"/>
      <w:lvlText w:val=""/>
      <w:lvlJc w:val="left"/>
      <w:pPr>
        <w:ind w:left="6525" w:hanging="360"/>
      </w:pPr>
      <w:rPr>
        <w:rFonts w:ascii="Wingdings" w:hAnsi="Wingdings" w:hint="default"/>
      </w:rPr>
    </w:lvl>
  </w:abstractNum>
  <w:abstractNum w:abstractNumId="24" w15:restartNumberingAfterBreak="0">
    <w:nsid w:val="17721CCF"/>
    <w:multiLevelType w:val="hybridMultilevel"/>
    <w:tmpl w:val="FC96AC80"/>
    <w:lvl w:ilvl="0" w:tplc="0E0403BC">
      <w:start w:val="1"/>
      <w:numFmt w:val="lowerLetter"/>
      <w:pStyle w:val="Listabetvel"/>
      <w:lvlText w:val="%1)"/>
      <w:lvlJc w:val="left"/>
      <w:pPr>
        <w:ind w:left="720" w:hanging="360"/>
      </w:pPr>
    </w:lvl>
    <w:lvl w:ilvl="1" w:tplc="B59CA398" w:tentative="1">
      <w:start w:val="1"/>
      <w:numFmt w:val="lowerLetter"/>
      <w:lvlText w:val="%2."/>
      <w:lvlJc w:val="left"/>
      <w:pPr>
        <w:ind w:left="1440" w:hanging="360"/>
      </w:pPr>
    </w:lvl>
    <w:lvl w:ilvl="2" w:tplc="AA2CF148" w:tentative="1">
      <w:start w:val="1"/>
      <w:numFmt w:val="lowerRoman"/>
      <w:lvlText w:val="%3."/>
      <w:lvlJc w:val="right"/>
      <w:pPr>
        <w:ind w:left="2160" w:hanging="180"/>
      </w:pPr>
    </w:lvl>
    <w:lvl w:ilvl="3" w:tplc="DCCE7AF6" w:tentative="1">
      <w:start w:val="1"/>
      <w:numFmt w:val="decimal"/>
      <w:lvlText w:val="%4."/>
      <w:lvlJc w:val="left"/>
      <w:pPr>
        <w:ind w:left="2880" w:hanging="360"/>
      </w:pPr>
    </w:lvl>
    <w:lvl w:ilvl="4" w:tplc="A198E8C2" w:tentative="1">
      <w:start w:val="1"/>
      <w:numFmt w:val="lowerLetter"/>
      <w:lvlText w:val="%5."/>
      <w:lvlJc w:val="left"/>
      <w:pPr>
        <w:ind w:left="3600" w:hanging="360"/>
      </w:pPr>
    </w:lvl>
    <w:lvl w:ilvl="5" w:tplc="1FECF12E" w:tentative="1">
      <w:start w:val="1"/>
      <w:numFmt w:val="lowerRoman"/>
      <w:lvlText w:val="%6."/>
      <w:lvlJc w:val="right"/>
      <w:pPr>
        <w:ind w:left="4320" w:hanging="180"/>
      </w:pPr>
    </w:lvl>
    <w:lvl w:ilvl="6" w:tplc="0484A960" w:tentative="1">
      <w:start w:val="1"/>
      <w:numFmt w:val="decimal"/>
      <w:lvlText w:val="%7."/>
      <w:lvlJc w:val="left"/>
      <w:pPr>
        <w:ind w:left="5040" w:hanging="360"/>
      </w:pPr>
    </w:lvl>
    <w:lvl w:ilvl="7" w:tplc="77685BE8" w:tentative="1">
      <w:start w:val="1"/>
      <w:numFmt w:val="lowerLetter"/>
      <w:lvlText w:val="%8."/>
      <w:lvlJc w:val="left"/>
      <w:pPr>
        <w:ind w:left="5760" w:hanging="360"/>
      </w:pPr>
    </w:lvl>
    <w:lvl w:ilvl="8" w:tplc="6ACC86C4" w:tentative="1">
      <w:start w:val="1"/>
      <w:numFmt w:val="lowerRoman"/>
      <w:lvlText w:val="%9."/>
      <w:lvlJc w:val="right"/>
      <w:pPr>
        <w:ind w:left="6480" w:hanging="180"/>
      </w:pPr>
    </w:lvl>
  </w:abstractNum>
  <w:abstractNum w:abstractNumId="25" w15:restartNumberingAfterBreak="0">
    <w:nsid w:val="1B8F7771"/>
    <w:multiLevelType w:val="hybridMultilevel"/>
    <w:tmpl w:val="DDF804A8"/>
    <w:lvl w:ilvl="0" w:tplc="A33E2BA6">
      <w:numFmt w:val="bullet"/>
      <w:lvlText w:val="-"/>
      <w:lvlJc w:val="left"/>
      <w:pPr>
        <w:ind w:left="720" w:hanging="360"/>
      </w:pPr>
      <w:rPr>
        <w:rFonts w:ascii="Calibri" w:eastAsia="Calibri" w:hAnsi="Calibri" w:cs="Times New Roman" w:hint="default"/>
      </w:rPr>
    </w:lvl>
    <w:lvl w:ilvl="1" w:tplc="0ECE3240" w:tentative="1">
      <w:start w:val="1"/>
      <w:numFmt w:val="bullet"/>
      <w:lvlText w:val="o"/>
      <w:lvlJc w:val="left"/>
      <w:pPr>
        <w:ind w:left="1440" w:hanging="360"/>
      </w:pPr>
      <w:rPr>
        <w:rFonts w:ascii="Courier New" w:hAnsi="Courier New" w:cs="Courier New" w:hint="default"/>
      </w:rPr>
    </w:lvl>
    <w:lvl w:ilvl="2" w:tplc="31921F54" w:tentative="1">
      <w:start w:val="1"/>
      <w:numFmt w:val="bullet"/>
      <w:lvlText w:val=""/>
      <w:lvlJc w:val="left"/>
      <w:pPr>
        <w:ind w:left="2160" w:hanging="360"/>
      </w:pPr>
      <w:rPr>
        <w:rFonts w:ascii="Wingdings" w:hAnsi="Wingdings" w:hint="default"/>
      </w:rPr>
    </w:lvl>
    <w:lvl w:ilvl="3" w:tplc="4C2A5F5A" w:tentative="1">
      <w:start w:val="1"/>
      <w:numFmt w:val="bullet"/>
      <w:lvlText w:val=""/>
      <w:lvlJc w:val="left"/>
      <w:pPr>
        <w:ind w:left="2880" w:hanging="360"/>
      </w:pPr>
      <w:rPr>
        <w:rFonts w:ascii="Symbol" w:hAnsi="Symbol" w:hint="default"/>
      </w:rPr>
    </w:lvl>
    <w:lvl w:ilvl="4" w:tplc="858CC21E" w:tentative="1">
      <w:start w:val="1"/>
      <w:numFmt w:val="bullet"/>
      <w:lvlText w:val="o"/>
      <w:lvlJc w:val="left"/>
      <w:pPr>
        <w:ind w:left="3600" w:hanging="360"/>
      </w:pPr>
      <w:rPr>
        <w:rFonts w:ascii="Courier New" w:hAnsi="Courier New" w:cs="Courier New" w:hint="default"/>
      </w:rPr>
    </w:lvl>
    <w:lvl w:ilvl="5" w:tplc="955EA1E8" w:tentative="1">
      <w:start w:val="1"/>
      <w:numFmt w:val="bullet"/>
      <w:lvlText w:val=""/>
      <w:lvlJc w:val="left"/>
      <w:pPr>
        <w:ind w:left="4320" w:hanging="360"/>
      </w:pPr>
      <w:rPr>
        <w:rFonts w:ascii="Wingdings" w:hAnsi="Wingdings" w:hint="default"/>
      </w:rPr>
    </w:lvl>
    <w:lvl w:ilvl="6" w:tplc="F118DBA8" w:tentative="1">
      <w:start w:val="1"/>
      <w:numFmt w:val="bullet"/>
      <w:lvlText w:val=""/>
      <w:lvlJc w:val="left"/>
      <w:pPr>
        <w:ind w:left="5040" w:hanging="360"/>
      </w:pPr>
      <w:rPr>
        <w:rFonts w:ascii="Symbol" w:hAnsi="Symbol" w:hint="default"/>
      </w:rPr>
    </w:lvl>
    <w:lvl w:ilvl="7" w:tplc="4510FC66" w:tentative="1">
      <w:start w:val="1"/>
      <w:numFmt w:val="bullet"/>
      <w:lvlText w:val="o"/>
      <w:lvlJc w:val="left"/>
      <w:pPr>
        <w:ind w:left="5760" w:hanging="360"/>
      </w:pPr>
      <w:rPr>
        <w:rFonts w:ascii="Courier New" w:hAnsi="Courier New" w:cs="Courier New" w:hint="default"/>
      </w:rPr>
    </w:lvl>
    <w:lvl w:ilvl="8" w:tplc="8890937C" w:tentative="1">
      <w:start w:val="1"/>
      <w:numFmt w:val="bullet"/>
      <w:lvlText w:val=""/>
      <w:lvlJc w:val="left"/>
      <w:pPr>
        <w:ind w:left="6480" w:hanging="360"/>
      </w:pPr>
      <w:rPr>
        <w:rFonts w:ascii="Wingdings" w:hAnsi="Wingdings" w:hint="default"/>
      </w:rPr>
    </w:lvl>
  </w:abstractNum>
  <w:abstractNum w:abstractNumId="26" w15:restartNumberingAfterBreak="0">
    <w:nsid w:val="1C5A521D"/>
    <w:multiLevelType w:val="hybridMultilevel"/>
    <w:tmpl w:val="D8A4A55C"/>
    <w:lvl w:ilvl="0" w:tplc="C1D0DD84">
      <w:start w:val="1"/>
      <w:numFmt w:val="bullet"/>
      <w:lvlText w:val=""/>
      <w:lvlJc w:val="left"/>
      <w:pPr>
        <w:ind w:left="720" w:hanging="360"/>
      </w:pPr>
      <w:rPr>
        <w:rFonts w:ascii="Symbol" w:hAnsi="Symbol" w:hint="default"/>
      </w:rPr>
    </w:lvl>
    <w:lvl w:ilvl="1" w:tplc="B1103900" w:tentative="1">
      <w:start w:val="1"/>
      <w:numFmt w:val="bullet"/>
      <w:lvlText w:val="o"/>
      <w:lvlJc w:val="left"/>
      <w:pPr>
        <w:ind w:left="1440" w:hanging="360"/>
      </w:pPr>
      <w:rPr>
        <w:rFonts w:ascii="Courier New" w:hAnsi="Courier New" w:cs="Courier New" w:hint="default"/>
      </w:rPr>
    </w:lvl>
    <w:lvl w:ilvl="2" w:tplc="3A343218" w:tentative="1">
      <w:start w:val="1"/>
      <w:numFmt w:val="bullet"/>
      <w:lvlText w:val=""/>
      <w:lvlJc w:val="left"/>
      <w:pPr>
        <w:ind w:left="2160" w:hanging="360"/>
      </w:pPr>
      <w:rPr>
        <w:rFonts w:ascii="Wingdings" w:hAnsi="Wingdings" w:hint="default"/>
      </w:rPr>
    </w:lvl>
    <w:lvl w:ilvl="3" w:tplc="25BE6650" w:tentative="1">
      <w:start w:val="1"/>
      <w:numFmt w:val="bullet"/>
      <w:lvlText w:val=""/>
      <w:lvlJc w:val="left"/>
      <w:pPr>
        <w:ind w:left="2880" w:hanging="360"/>
      </w:pPr>
      <w:rPr>
        <w:rFonts w:ascii="Symbol" w:hAnsi="Symbol" w:hint="default"/>
      </w:rPr>
    </w:lvl>
    <w:lvl w:ilvl="4" w:tplc="75C6C9A0" w:tentative="1">
      <w:start w:val="1"/>
      <w:numFmt w:val="bullet"/>
      <w:lvlText w:val="o"/>
      <w:lvlJc w:val="left"/>
      <w:pPr>
        <w:ind w:left="3600" w:hanging="360"/>
      </w:pPr>
      <w:rPr>
        <w:rFonts w:ascii="Courier New" w:hAnsi="Courier New" w:cs="Courier New" w:hint="default"/>
      </w:rPr>
    </w:lvl>
    <w:lvl w:ilvl="5" w:tplc="9B0E1538" w:tentative="1">
      <w:start w:val="1"/>
      <w:numFmt w:val="bullet"/>
      <w:lvlText w:val=""/>
      <w:lvlJc w:val="left"/>
      <w:pPr>
        <w:ind w:left="4320" w:hanging="360"/>
      </w:pPr>
      <w:rPr>
        <w:rFonts w:ascii="Wingdings" w:hAnsi="Wingdings" w:hint="default"/>
      </w:rPr>
    </w:lvl>
    <w:lvl w:ilvl="6" w:tplc="835621F4" w:tentative="1">
      <w:start w:val="1"/>
      <w:numFmt w:val="bullet"/>
      <w:lvlText w:val=""/>
      <w:lvlJc w:val="left"/>
      <w:pPr>
        <w:ind w:left="5040" w:hanging="360"/>
      </w:pPr>
      <w:rPr>
        <w:rFonts w:ascii="Symbol" w:hAnsi="Symbol" w:hint="default"/>
      </w:rPr>
    </w:lvl>
    <w:lvl w:ilvl="7" w:tplc="02E67C3A" w:tentative="1">
      <w:start w:val="1"/>
      <w:numFmt w:val="bullet"/>
      <w:lvlText w:val="o"/>
      <w:lvlJc w:val="left"/>
      <w:pPr>
        <w:ind w:left="5760" w:hanging="360"/>
      </w:pPr>
      <w:rPr>
        <w:rFonts w:ascii="Courier New" w:hAnsi="Courier New" w:cs="Courier New" w:hint="default"/>
      </w:rPr>
    </w:lvl>
    <w:lvl w:ilvl="8" w:tplc="591E588A" w:tentative="1">
      <w:start w:val="1"/>
      <w:numFmt w:val="bullet"/>
      <w:lvlText w:val=""/>
      <w:lvlJc w:val="left"/>
      <w:pPr>
        <w:ind w:left="6480" w:hanging="360"/>
      </w:pPr>
      <w:rPr>
        <w:rFonts w:ascii="Wingdings" w:hAnsi="Wingdings" w:hint="default"/>
      </w:rPr>
    </w:lvl>
  </w:abstractNum>
  <w:abstractNum w:abstractNumId="27" w15:restartNumberingAfterBreak="0">
    <w:nsid w:val="20EB0898"/>
    <w:multiLevelType w:val="hybridMultilevel"/>
    <w:tmpl w:val="B85ADBF0"/>
    <w:lvl w:ilvl="0" w:tplc="E3E0A596">
      <w:start w:val="1"/>
      <w:numFmt w:val="bullet"/>
      <w:lvlText w:val=""/>
      <w:lvlJc w:val="left"/>
      <w:pPr>
        <w:ind w:left="720" w:hanging="360"/>
      </w:pPr>
      <w:rPr>
        <w:rFonts w:ascii="Symbol" w:hAnsi="Symbol" w:hint="default"/>
      </w:rPr>
    </w:lvl>
    <w:lvl w:ilvl="1" w:tplc="E4EA9114" w:tentative="1">
      <w:start w:val="1"/>
      <w:numFmt w:val="bullet"/>
      <w:lvlText w:val="o"/>
      <w:lvlJc w:val="left"/>
      <w:pPr>
        <w:ind w:left="1440" w:hanging="360"/>
      </w:pPr>
      <w:rPr>
        <w:rFonts w:ascii="Courier New" w:hAnsi="Courier New" w:cs="Courier New" w:hint="default"/>
      </w:rPr>
    </w:lvl>
    <w:lvl w:ilvl="2" w:tplc="337C95FC" w:tentative="1">
      <w:start w:val="1"/>
      <w:numFmt w:val="bullet"/>
      <w:lvlText w:val=""/>
      <w:lvlJc w:val="left"/>
      <w:pPr>
        <w:ind w:left="2160" w:hanging="360"/>
      </w:pPr>
      <w:rPr>
        <w:rFonts w:ascii="Wingdings" w:hAnsi="Wingdings" w:hint="default"/>
      </w:rPr>
    </w:lvl>
    <w:lvl w:ilvl="3" w:tplc="93A82610" w:tentative="1">
      <w:start w:val="1"/>
      <w:numFmt w:val="bullet"/>
      <w:lvlText w:val=""/>
      <w:lvlJc w:val="left"/>
      <w:pPr>
        <w:ind w:left="2880" w:hanging="360"/>
      </w:pPr>
      <w:rPr>
        <w:rFonts w:ascii="Symbol" w:hAnsi="Symbol" w:hint="default"/>
      </w:rPr>
    </w:lvl>
    <w:lvl w:ilvl="4" w:tplc="AB601636" w:tentative="1">
      <w:start w:val="1"/>
      <w:numFmt w:val="bullet"/>
      <w:lvlText w:val="o"/>
      <w:lvlJc w:val="left"/>
      <w:pPr>
        <w:ind w:left="3600" w:hanging="360"/>
      </w:pPr>
      <w:rPr>
        <w:rFonts w:ascii="Courier New" w:hAnsi="Courier New" w:cs="Courier New" w:hint="default"/>
      </w:rPr>
    </w:lvl>
    <w:lvl w:ilvl="5" w:tplc="68BC5AB2" w:tentative="1">
      <w:start w:val="1"/>
      <w:numFmt w:val="bullet"/>
      <w:lvlText w:val=""/>
      <w:lvlJc w:val="left"/>
      <w:pPr>
        <w:ind w:left="4320" w:hanging="360"/>
      </w:pPr>
      <w:rPr>
        <w:rFonts w:ascii="Wingdings" w:hAnsi="Wingdings" w:hint="default"/>
      </w:rPr>
    </w:lvl>
    <w:lvl w:ilvl="6" w:tplc="DC16D050" w:tentative="1">
      <w:start w:val="1"/>
      <w:numFmt w:val="bullet"/>
      <w:lvlText w:val=""/>
      <w:lvlJc w:val="left"/>
      <w:pPr>
        <w:ind w:left="5040" w:hanging="360"/>
      </w:pPr>
      <w:rPr>
        <w:rFonts w:ascii="Symbol" w:hAnsi="Symbol" w:hint="default"/>
      </w:rPr>
    </w:lvl>
    <w:lvl w:ilvl="7" w:tplc="264A31A6" w:tentative="1">
      <w:start w:val="1"/>
      <w:numFmt w:val="bullet"/>
      <w:lvlText w:val="o"/>
      <w:lvlJc w:val="left"/>
      <w:pPr>
        <w:ind w:left="5760" w:hanging="360"/>
      </w:pPr>
      <w:rPr>
        <w:rFonts w:ascii="Courier New" w:hAnsi="Courier New" w:cs="Courier New" w:hint="default"/>
      </w:rPr>
    </w:lvl>
    <w:lvl w:ilvl="8" w:tplc="17243FF2" w:tentative="1">
      <w:start w:val="1"/>
      <w:numFmt w:val="bullet"/>
      <w:lvlText w:val=""/>
      <w:lvlJc w:val="left"/>
      <w:pPr>
        <w:ind w:left="6480" w:hanging="360"/>
      </w:pPr>
      <w:rPr>
        <w:rFonts w:ascii="Wingdings" w:hAnsi="Wingdings" w:hint="default"/>
      </w:rPr>
    </w:lvl>
  </w:abstractNum>
  <w:abstractNum w:abstractNumId="28" w15:restartNumberingAfterBreak="0">
    <w:nsid w:val="26485847"/>
    <w:multiLevelType w:val="hybridMultilevel"/>
    <w:tmpl w:val="48983B82"/>
    <w:lvl w:ilvl="0" w:tplc="DE668468">
      <w:start w:val="1"/>
      <w:numFmt w:val="lowerLetter"/>
      <w:lvlText w:val="%1)"/>
      <w:lvlJc w:val="left"/>
      <w:pPr>
        <w:ind w:left="1065" w:hanging="360"/>
      </w:pPr>
      <w:rPr>
        <w:rFonts w:hint="default"/>
      </w:rPr>
    </w:lvl>
    <w:lvl w:ilvl="1" w:tplc="F09071EC">
      <w:start w:val="2"/>
      <w:numFmt w:val="bullet"/>
      <w:lvlText w:val="-"/>
      <w:lvlJc w:val="left"/>
      <w:pPr>
        <w:ind w:left="1785" w:hanging="360"/>
      </w:pPr>
      <w:rPr>
        <w:rFonts w:ascii="Times New Roman" w:eastAsia="Times New Roman" w:hAnsi="Times New Roman" w:cs="Times New Roman" w:hint="default"/>
      </w:rPr>
    </w:lvl>
    <w:lvl w:ilvl="2" w:tplc="DA30DE6A">
      <w:start w:val="1"/>
      <w:numFmt w:val="decimal"/>
      <w:lvlText w:val="%3."/>
      <w:lvlJc w:val="left"/>
      <w:pPr>
        <w:ind w:left="2685" w:hanging="360"/>
      </w:pPr>
      <w:rPr>
        <w:rFonts w:hint="default"/>
      </w:rPr>
    </w:lvl>
    <w:lvl w:ilvl="3" w:tplc="3420F69C" w:tentative="1">
      <w:start w:val="1"/>
      <w:numFmt w:val="decimal"/>
      <w:lvlText w:val="%4."/>
      <w:lvlJc w:val="left"/>
      <w:pPr>
        <w:ind w:left="3225" w:hanging="360"/>
      </w:pPr>
    </w:lvl>
    <w:lvl w:ilvl="4" w:tplc="5968452E" w:tentative="1">
      <w:start w:val="1"/>
      <w:numFmt w:val="lowerLetter"/>
      <w:lvlText w:val="%5."/>
      <w:lvlJc w:val="left"/>
      <w:pPr>
        <w:ind w:left="3945" w:hanging="360"/>
      </w:pPr>
    </w:lvl>
    <w:lvl w:ilvl="5" w:tplc="6F08EC10" w:tentative="1">
      <w:start w:val="1"/>
      <w:numFmt w:val="lowerRoman"/>
      <w:lvlText w:val="%6."/>
      <w:lvlJc w:val="right"/>
      <w:pPr>
        <w:ind w:left="4665" w:hanging="180"/>
      </w:pPr>
    </w:lvl>
    <w:lvl w:ilvl="6" w:tplc="B370625C" w:tentative="1">
      <w:start w:val="1"/>
      <w:numFmt w:val="decimal"/>
      <w:lvlText w:val="%7."/>
      <w:lvlJc w:val="left"/>
      <w:pPr>
        <w:ind w:left="5385" w:hanging="360"/>
      </w:pPr>
    </w:lvl>
    <w:lvl w:ilvl="7" w:tplc="02A4CAFE" w:tentative="1">
      <w:start w:val="1"/>
      <w:numFmt w:val="lowerLetter"/>
      <w:lvlText w:val="%8."/>
      <w:lvlJc w:val="left"/>
      <w:pPr>
        <w:ind w:left="6105" w:hanging="360"/>
      </w:pPr>
    </w:lvl>
    <w:lvl w:ilvl="8" w:tplc="1138D094" w:tentative="1">
      <w:start w:val="1"/>
      <w:numFmt w:val="lowerRoman"/>
      <w:lvlText w:val="%9."/>
      <w:lvlJc w:val="right"/>
      <w:pPr>
        <w:ind w:left="6825" w:hanging="180"/>
      </w:pPr>
    </w:lvl>
  </w:abstractNum>
  <w:abstractNum w:abstractNumId="29"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0" w15:restartNumberingAfterBreak="0">
    <w:nsid w:val="2B052BA9"/>
    <w:multiLevelType w:val="hybridMultilevel"/>
    <w:tmpl w:val="A710C3CE"/>
    <w:lvl w:ilvl="0" w:tplc="3564B920">
      <w:start w:val="1"/>
      <w:numFmt w:val="decimal"/>
      <w:pStyle w:val="szmozottfelsorols"/>
      <w:lvlText w:val="%1."/>
      <w:lvlJc w:val="left"/>
      <w:pPr>
        <w:ind w:left="720" w:hanging="360"/>
      </w:pPr>
      <w:rPr>
        <w:rFonts w:hint="default"/>
        <w:i/>
      </w:rPr>
    </w:lvl>
    <w:lvl w:ilvl="1" w:tplc="BA34E39C" w:tentative="1">
      <w:start w:val="1"/>
      <w:numFmt w:val="lowerLetter"/>
      <w:lvlText w:val="%2."/>
      <w:lvlJc w:val="left"/>
      <w:pPr>
        <w:ind w:left="1440" w:hanging="360"/>
      </w:pPr>
    </w:lvl>
    <w:lvl w:ilvl="2" w:tplc="8C4826C6" w:tentative="1">
      <w:start w:val="1"/>
      <w:numFmt w:val="lowerRoman"/>
      <w:lvlText w:val="%3."/>
      <w:lvlJc w:val="right"/>
      <w:pPr>
        <w:ind w:left="2160" w:hanging="180"/>
      </w:pPr>
    </w:lvl>
    <w:lvl w:ilvl="3" w:tplc="C4B26B82" w:tentative="1">
      <w:start w:val="1"/>
      <w:numFmt w:val="decimal"/>
      <w:lvlText w:val="%4."/>
      <w:lvlJc w:val="left"/>
      <w:pPr>
        <w:ind w:left="2880" w:hanging="360"/>
      </w:pPr>
    </w:lvl>
    <w:lvl w:ilvl="4" w:tplc="BC5A4B9C" w:tentative="1">
      <w:start w:val="1"/>
      <w:numFmt w:val="lowerLetter"/>
      <w:lvlText w:val="%5."/>
      <w:lvlJc w:val="left"/>
      <w:pPr>
        <w:ind w:left="3600" w:hanging="360"/>
      </w:pPr>
    </w:lvl>
    <w:lvl w:ilvl="5" w:tplc="11540FA6" w:tentative="1">
      <w:start w:val="1"/>
      <w:numFmt w:val="lowerRoman"/>
      <w:lvlText w:val="%6."/>
      <w:lvlJc w:val="right"/>
      <w:pPr>
        <w:ind w:left="4320" w:hanging="180"/>
      </w:pPr>
    </w:lvl>
    <w:lvl w:ilvl="6" w:tplc="AE382EA4" w:tentative="1">
      <w:start w:val="1"/>
      <w:numFmt w:val="decimal"/>
      <w:lvlText w:val="%7."/>
      <w:lvlJc w:val="left"/>
      <w:pPr>
        <w:ind w:left="5040" w:hanging="360"/>
      </w:pPr>
    </w:lvl>
    <w:lvl w:ilvl="7" w:tplc="CAC69842" w:tentative="1">
      <w:start w:val="1"/>
      <w:numFmt w:val="lowerLetter"/>
      <w:lvlText w:val="%8."/>
      <w:lvlJc w:val="left"/>
      <w:pPr>
        <w:ind w:left="5760" w:hanging="360"/>
      </w:pPr>
    </w:lvl>
    <w:lvl w:ilvl="8" w:tplc="CAFCB6BE" w:tentative="1">
      <w:start w:val="1"/>
      <w:numFmt w:val="lowerRoman"/>
      <w:lvlText w:val="%9."/>
      <w:lvlJc w:val="right"/>
      <w:pPr>
        <w:ind w:left="6480" w:hanging="180"/>
      </w:pPr>
    </w:lvl>
  </w:abstractNum>
  <w:abstractNum w:abstractNumId="31" w15:restartNumberingAfterBreak="0">
    <w:nsid w:val="2D2D4439"/>
    <w:multiLevelType w:val="hybridMultilevel"/>
    <w:tmpl w:val="F5AC4CD4"/>
    <w:lvl w:ilvl="0" w:tplc="F15E5C70">
      <w:start w:val="1"/>
      <w:numFmt w:val="bullet"/>
      <w:lvlText w:val=""/>
      <w:lvlJc w:val="left"/>
      <w:pPr>
        <w:ind w:left="720" w:hanging="360"/>
      </w:pPr>
      <w:rPr>
        <w:rFonts w:ascii="Symbol" w:hAnsi="Symbol" w:hint="default"/>
      </w:rPr>
    </w:lvl>
    <w:lvl w:ilvl="1" w:tplc="B8B229CA">
      <w:start w:val="1"/>
      <w:numFmt w:val="bullet"/>
      <w:lvlText w:val="o"/>
      <w:lvlJc w:val="left"/>
      <w:pPr>
        <w:ind w:left="1440" w:hanging="360"/>
      </w:pPr>
      <w:rPr>
        <w:rFonts w:ascii="Courier New" w:hAnsi="Courier New" w:cs="Courier New" w:hint="default"/>
      </w:rPr>
    </w:lvl>
    <w:lvl w:ilvl="2" w:tplc="8612F848" w:tentative="1">
      <w:start w:val="1"/>
      <w:numFmt w:val="bullet"/>
      <w:lvlText w:val=""/>
      <w:lvlJc w:val="left"/>
      <w:pPr>
        <w:ind w:left="2160" w:hanging="360"/>
      </w:pPr>
      <w:rPr>
        <w:rFonts w:ascii="Wingdings" w:hAnsi="Wingdings" w:hint="default"/>
      </w:rPr>
    </w:lvl>
    <w:lvl w:ilvl="3" w:tplc="83E0B120" w:tentative="1">
      <w:start w:val="1"/>
      <w:numFmt w:val="bullet"/>
      <w:lvlText w:val=""/>
      <w:lvlJc w:val="left"/>
      <w:pPr>
        <w:ind w:left="2880" w:hanging="360"/>
      </w:pPr>
      <w:rPr>
        <w:rFonts w:ascii="Symbol" w:hAnsi="Symbol" w:hint="default"/>
      </w:rPr>
    </w:lvl>
    <w:lvl w:ilvl="4" w:tplc="CEB6BFDC" w:tentative="1">
      <w:start w:val="1"/>
      <w:numFmt w:val="bullet"/>
      <w:lvlText w:val="o"/>
      <w:lvlJc w:val="left"/>
      <w:pPr>
        <w:ind w:left="3600" w:hanging="360"/>
      </w:pPr>
      <w:rPr>
        <w:rFonts w:ascii="Courier New" w:hAnsi="Courier New" w:cs="Courier New" w:hint="default"/>
      </w:rPr>
    </w:lvl>
    <w:lvl w:ilvl="5" w:tplc="0556F42A" w:tentative="1">
      <w:start w:val="1"/>
      <w:numFmt w:val="bullet"/>
      <w:lvlText w:val=""/>
      <w:lvlJc w:val="left"/>
      <w:pPr>
        <w:ind w:left="4320" w:hanging="360"/>
      </w:pPr>
      <w:rPr>
        <w:rFonts w:ascii="Wingdings" w:hAnsi="Wingdings" w:hint="default"/>
      </w:rPr>
    </w:lvl>
    <w:lvl w:ilvl="6" w:tplc="7D7A11F6" w:tentative="1">
      <w:start w:val="1"/>
      <w:numFmt w:val="bullet"/>
      <w:lvlText w:val=""/>
      <w:lvlJc w:val="left"/>
      <w:pPr>
        <w:ind w:left="5040" w:hanging="360"/>
      </w:pPr>
      <w:rPr>
        <w:rFonts w:ascii="Symbol" w:hAnsi="Symbol" w:hint="default"/>
      </w:rPr>
    </w:lvl>
    <w:lvl w:ilvl="7" w:tplc="5CD834BC" w:tentative="1">
      <w:start w:val="1"/>
      <w:numFmt w:val="bullet"/>
      <w:lvlText w:val="o"/>
      <w:lvlJc w:val="left"/>
      <w:pPr>
        <w:ind w:left="5760" w:hanging="360"/>
      </w:pPr>
      <w:rPr>
        <w:rFonts w:ascii="Courier New" w:hAnsi="Courier New" w:cs="Courier New" w:hint="default"/>
      </w:rPr>
    </w:lvl>
    <w:lvl w:ilvl="8" w:tplc="9310494C" w:tentative="1">
      <w:start w:val="1"/>
      <w:numFmt w:val="bullet"/>
      <w:lvlText w:val=""/>
      <w:lvlJc w:val="left"/>
      <w:pPr>
        <w:ind w:left="6480" w:hanging="360"/>
      </w:pPr>
      <w:rPr>
        <w:rFonts w:ascii="Wingdings" w:hAnsi="Wingdings" w:hint="default"/>
      </w:rPr>
    </w:lvl>
  </w:abstractNum>
  <w:abstractNum w:abstractNumId="32" w15:restartNumberingAfterBreak="0">
    <w:nsid w:val="2D2D4740"/>
    <w:multiLevelType w:val="multilevel"/>
    <w:tmpl w:val="D7EE5530"/>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3" w15:restartNumberingAfterBreak="0">
    <w:nsid w:val="31665408"/>
    <w:multiLevelType w:val="hybridMultilevel"/>
    <w:tmpl w:val="0A28FC6C"/>
    <w:lvl w:ilvl="0" w:tplc="5D363F08">
      <w:start w:val="1"/>
      <w:numFmt w:val="bullet"/>
      <w:lvlText w:val=""/>
      <w:lvlJc w:val="left"/>
      <w:pPr>
        <w:ind w:left="720" w:hanging="360"/>
      </w:pPr>
      <w:rPr>
        <w:rFonts w:ascii="Symbol" w:hAnsi="Symbol" w:hint="default"/>
      </w:rPr>
    </w:lvl>
    <w:lvl w:ilvl="1" w:tplc="8F08A65C" w:tentative="1">
      <w:start w:val="1"/>
      <w:numFmt w:val="bullet"/>
      <w:lvlText w:val="o"/>
      <w:lvlJc w:val="left"/>
      <w:pPr>
        <w:ind w:left="1440" w:hanging="360"/>
      </w:pPr>
      <w:rPr>
        <w:rFonts w:ascii="Courier New" w:hAnsi="Courier New" w:cs="Courier New" w:hint="default"/>
      </w:rPr>
    </w:lvl>
    <w:lvl w:ilvl="2" w:tplc="AD866944" w:tentative="1">
      <w:start w:val="1"/>
      <w:numFmt w:val="bullet"/>
      <w:lvlText w:val=""/>
      <w:lvlJc w:val="left"/>
      <w:pPr>
        <w:ind w:left="2160" w:hanging="360"/>
      </w:pPr>
      <w:rPr>
        <w:rFonts w:ascii="Wingdings" w:hAnsi="Wingdings" w:hint="default"/>
      </w:rPr>
    </w:lvl>
    <w:lvl w:ilvl="3" w:tplc="F6C22956" w:tentative="1">
      <w:start w:val="1"/>
      <w:numFmt w:val="bullet"/>
      <w:lvlText w:val=""/>
      <w:lvlJc w:val="left"/>
      <w:pPr>
        <w:ind w:left="2880" w:hanging="360"/>
      </w:pPr>
      <w:rPr>
        <w:rFonts w:ascii="Symbol" w:hAnsi="Symbol" w:hint="default"/>
      </w:rPr>
    </w:lvl>
    <w:lvl w:ilvl="4" w:tplc="44F6DDC8" w:tentative="1">
      <w:start w:val="1"/>
      <w:numFmt w:val="bullet"/>
      <w:lvlText w:val="o"/>
      <w:lvlJc w:val="left"/>
      <w:pPr>
        <w:ind w:left="3600" w:hanging="360"/>
      </w:pPr>
      <w:rPr>
        <w:rFonts w:ascii="Courier New" w:hAnsi="Courier New" w:cs="Courier New" w:hint="default"/>
      </w:rPr>
    </w:lvl>
    <w:lvl w:ilvl="5" w:tplc="F1AAC728" w:tentative="1">
      <w:start w:val="1"/>
      <w:numFmt w:val="bullet"/>
      <w:lvlText w:val=""/>
      <w:lvlJc w:val="left"/>
      <w:pPr>
        <w:ind w:left="4320" w:hanging="360"/>
      </w:pPr>
      <w:rPr>
        <w:rFonts w:ascii="Wingdings" w:hAnsi="Wingdings" w:hint="default"/>
      </w:rPr>
    </w:lvl>
    <w:lvl w:ilvl="6" w:tplc="F828B2E0" w:tentative="1">
      <w:start w:val="1"/>
      <w:numFmt w:val="bullet"/>
      <w:lvlText w:val=""/>
      <w:lvlJc w:val="left"/>
      <w:pPr>
        <w:ind w:left="5040" w:hanging="360"/>
      </w:pPr>
      <w:rPr>
        <w:rFonts w:ascii="Symbol" w:hAnsi="Symbol" w:hint="default"/>
      </w:rPr>
    </w:lvl>
    <w:lvl w:ilvl="7" w:tplc="B538B0E2" w:tentative="1">
      <w:start w:val="1"/>
      <w:numFmt w:val="bullet"/>
      <w:lvlText w:val="o"/>
      <w:lvlJc w:val="left"/>
      <w:pPr>
        <w:ind w:left="5760" w:hanging="360"/>
      </w:pPr>
      <w:rPr>
        <w:rFonts w:ascii="Courier New" w:hAnsi="Courier New" w:cs="Courier New" w:hint="default"/>
      </w:rPr>
    </w:lvl>
    <w:lvl w:ilvl="8" w:tplc="7DD4B222" w:tentative="1">
      <w:start w:val="1"/>
      <w:numFmt w:val="bullet"/>
      <w:lvlText w:val=""/>
      <w:lvlJc w:val="left"/>
      <w:pPr>
        <w:ind w:left="6480" w:hanging="360"/>
      </w:pPr>
      <w:rPr>
        <w:rFonts w:ascii="Wingdings" w:hAnsi="Wingdings" w:hint="default"/>
      </w:rPr>
    </w:lvl>
  </w:abstractNum>
  <w:abstractNum w:abstractNumId="34" w15:restartNumberingAfterBreak="0">
    <w:nsid w:val="330D3D64"/>
    <w:multiLevelType w:val="hybridMultilevel"/>
    <w:tmpl w:val="C85892E8"/>
    <w:lvl w:ilvl="0" w:tplc="5AFCE5B8">
      <w:start w:val="1"/>
      <w:numFmt w:val="bullet"/>
      <w:lvlText w:val=""/>
      <w:lvlJc w:val="left"/>
      <w:pPr>
        <w:ind w:left="720" w:hanging="360"/>
      </w:pPr>
      <w:rPr>
        <w:rFonts w:ascii="Symbol" w:hAnsi="Symbol" w:hint="default"/>
      </w:rPr>
    </w:lvl>
    <w:lvl w:ilvl="1" w:tplc="8ABA6D92" w:tentative="1">
      <w:start w:val="1"/>
      <w:numFmt w:val="bullet"/>
      <w:lvlText w:val="o"/>
      <w:lvlJc w:val="left"/>
      <w:pPr>
        <w:ind w:left="1440" w:hanging="360"/>
      </w:pPr>
      <w:rPr>
        <w:rFonts w:ascii="Courier New" w:hAnsi="Courier New" w:cs="Courier New" w:hint="default"/>
      </w:rPr>
    </w:lvl>
    <w:lvl w:ilvl="2" w:tplc="1542DD52" w:tentative="1">
      <w:start w:val="1"/>
      <w:numFmt w:val="bullet"/>
      <w:lvlText w:val=""/>
      <w:lvlJc w:val="left"/>
      <w:pPr>
        <w:ind w:left="2160" w:hanging="360"/>
      </w:pPr>
      <w:rPr>
        <w:rFonts w:ascii="Wingdings" w:hAnsi="Wingdings" w:hint="default"/>
      </w:rPr>
    </w:lvl>
    <w:lvl w:ilvl="3" w:tplc="483E057E" w:tentative="1">
      <w:start w:val="1"/>
      <w:numFmt w:val="bullet"/>
      <w:lvlText w:val=""/>
      <w:lvlJc w:val="left"/>
      <w:pPr>
        <w:ind w:left="2880" w:hanging="360"/>
      </w:pPr>
      <w:rPr>
        <w:rFonts w:ascii="Symbol" w:hAnsi="Symbol" w:hint="default"/>
      </w:rPr>
    </w:lvl>
    <w:lvl w:ilvl="4" w:tplc="F830E806" w:tentative="1">
      <w:start w:val="1"/>
      <w:numFmt w:val="bullet"/>
      <w:lvlText w:val="o"/>
      <w:lvlJc w:val="left"/>
      <w:pPr>
        <w:ind w:left="3600" w:hanging="360"/>
      </w:pPr>
      <w:rPr>
        <w:rFonts w:ascii="Courier New" w:hAnsi="Courier New" w:cs="Courier New" w:hint="default"/>
      </w:rPr>
    </w:lvl>
    <w:lvl w:ilvl="5" w:tplc="AC20E738" w:tentative="1">
      <w:start w:val="1"/>
      <w:numFmt w:val="bullet"/>
      <w:lvlText w:val=""/>
      <w:lvlJc w:val="left"/>
      <w:pPr>
        <w:ind w:left="4320" w:hanging="360"/>
      </w:pPr>
      <w:rPr>
        <w:rFonts w:ascii="Wingdings" w:hAnsi="Wingdings" w:hint="default"/>
      </w:rPr>
    </w:lvl>
    <w:lvl w:ilvl="6" w:tplc="D12AD1AE" w:tentative="1">
      <w:start w:val="1"/>
      <w:numFmt w:val="bullet"/>
      <w:lvlText w:val=""/>
      <w:lvlJc w:val="left"/>
      <w:pPr>
        <w:ind w:left="5040" w:hanging="360"/>
      </w:pPr>
      <w:rPr>
        <w:rFonts w:ascii="Symbol" w:hAnsi="Symbol" w:hint="default"/>
      </w:rPr>
    </w:lvl>
    <w:lvl w:ilvl="7" w:tplc="8F1CAAD0" w:tentative="1">
      <w:start w:val="1"/>
      <w:numFmt w:val="bullet"/>
      <w:lvlText w:val="o"/>
      <w:lvlJc w:val="left"/>
      <w:pPr>
        <w:ind w:left="5760" w:hanging="360"/>
      </w:pPr>
      <w:rPr>
        <w:rFonts w:ascii="Courier New" w:hAnsi="Courier New" w:cs="Courier New" w:hint="default"/>
      </w:rPr>
    </w:lvl>
    <w:lvl w:ilvl="8" w:tplc="5FF22EC2" w:tentative="1">
      <w:start w:val="1"/>
      <w:numFmt w:val="bullet"/>
      <w:lvlText w:val=""/>
      <w:lvlJc w:val="left"/>
      <w:pPr>
        <w:ind w:left="6480" w:hanging="360"/>
      </w:pPr>
      <w:rPr>
        <w:rFonts w:ascii="Wingdings" w:hAnsi="Wingdings" w:hint="default"/>
      </w:rPr>
    </w:lvl>
  </w:abstractNum>
  <w:abstractNum w:abstractNumId="35" w15:restartNumberingAfterBreak="0">
    <w:nsid w:val="331B58B8"/>
    <w:multiLevelType w:val="hybridMultilevel"/>
    <w:tmpl w:val="FBB2A404"/>
    <w:lvl w:ilvl="0" w:tplc="91143A04">
      <w:start w:val="1"/>
      <w:numFmt w:val="bullet"/>
      <w:pStyle w:val="felsorolsos"/>
      <w:lvlText w:val=""/>
      <w:lvlJc w:val="left"/>
      <w:pPr>
        <w:tabs>
          <w:tab w:val="num" w:pos="1068"/>
        </w:tabs>
        <w:ind w:left="1068" w:hanging="360"/>
      </w:pPr>
      <w:rPr>
        <w:rFonts w:ascii="Symbol" w:hAnsi="Symbol" w:hint="default"/>
      </w:rPr>
    </w:lvl>
    <w:lvl w:ilvl="1" w:tplc="FC304F62">
      <w:start w:val="1"/>
      <w:numFmt w:val="bullet"/>
      <w:lvlText w:val="o"/>
      <w:lvlJc w:val="left"/>
      <w:pPr>
        <w:tabs>
          <w:tab w:val="num" w:pos="1788"/>
        </w:tabs>
        <w:ind w:left="1788" w:hanging="360"/>
      </w:pPr>
      <w:rPr>
        <w:rFonts w:ascii="Courier New" w:hAnsi="Courier New" w:cs="Courier New" w:hint="default"/>
      </w:rPr>
    </w:lvl>
    <w:lvl w:ilvl="2" w:tplc="DC1CAE12">
      <w:start w:val="1"/>
      <w:numFmt w:val="bullet"/>
      <w:lvlText w:val=""/>
      <w:lvlJc w:val="left"/>
      <w:pPr>
        <w:tabs>
          <w:tab w:val="num" w:pos="2508"/>
        </w:tabs>
        <w:ind w:left="2508" w:hanging="360"/>
      </w:pPr>
      <w:rPr>
        <w:rFonts w:ascii="Wingdings" w:hAnsi="Wingdings" w:hint="default"/>
      </w:rPr>
    </w:lvl>
    <w:lvl w:ilvl="3" w:tplc="54BE5434" w:tentative="1">
      <w:start w:val="1"/>
      <w:numFmt w:val="bullet"/>
      <w:lvlText w:val=""/>
      <w:lvlJc w:val="left"/>
      <w:pPr>
        <w:tabs>
          <w:tab w:val="num" w:pos="3228"/>
        </w:tabs>
        <w:ind w:left="3228" w:hanging="360"/>
      </w:pPr>
      <w:rPr>
        <w:rFonts w:ascii="Symbol" w:hAnsi="Symbol" w:hint="default"/>
      </w:rPr>
    </w:lvl>
    <w:lvl w:ilvl="4" w:tplc="C6485A08">
      <w:start w:val="1"/>
      <w:numFmt w:val="bullet"/>
      <w:lvlText w:val="o"/>
      <w:lvlJc w:val="left"/>
      <w:pPr>
        <w:tabs>
          <w:tab w:val="num" w:pos="3948"/>
        </w:tabs>
        <w:ind w:left="3948" w:hanging="360"/>
      </w:pPr>
      <w:rPr>
        <w:rFonts w:ascii="Courier New" w:hAnsi="Courier New" w:cs="Courier New" w:hint="default"/>
      </w:rPr>
    </w:lvl>
    <w:lvl w:ilvl="5" w:tplc="7E645066" w:tentative="1">
      <w:start w:val="1"/>
      <w:numFmt w:val="bullet"/>
      <w:lvlText w:val=""/>
      <w:lvlJc w:val="left"/>
      <w:pPr>
        <w:tabs>
          <w:tab w:val="num" w:pos="4668"/>
        </w:tabs>
        <w:ind w:left="4668" w:hanging="360"/>
      </w:pPr>
      <w:rPr>
        <w:rFonts w:ascii="Wingdings" w:hAnsi="Wingdings" w:hint="default"/>
      </w:rPr>
    </w:lvl>
    <w:lvl w:ilvl="6" w:tplc="EEDAC0FE" w:tentative="1">
      <w:start w:val="1"/>
      <w:numFmt w:val="bullet"/>
      <w:lvlText w:val=""/>
      <w:lvlJc w:val="left"/>
      <w:pPr>
        <w:tabs>
          <w:tab w:val="num" w:pos="5388"/>
        </w:tabs>
        <w:ind w:left="5388" w:hanging="360"/>
      </w:pPr>
      <w:rPr>
        <w:rFonts w:ascii="Symbol" w:hAnsi="Symbol" w:hint="default"/>
      </w:rPr>
    </w:lvl>
    <w:lvl w:ilvl="7" w:tplc="67B03F08" w:tentative="1">
      <w:start w:val="1"/>
      <w:numFmt w:val="bullet"/>
      <w:lvlText w:val="o"/>
      <w:lvlJc w:val="left"/>
      <w:pPr>
        <w:tabs>
          <w:tab w:val="num" w:pos="6108"/>
        </w:tabs>
        <w:ind w:left="6108" w:hanging="360"/>
      </w:pPr>
      <w:rPr>
        <w:rFonts w:ascii="Courier New" w:hAnsi="Courier New" w:cs="Courier New" w:hint="default"/>
      </w:rPr>
    </w:lvl>
    <w:lvl w:ilvl="8" w:tplc="834A1B54"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38705D04"/>
    <w:multiLevelType w:val="hybridMultilevel"/>
    <w:tmpl w:val="5EC8B3D2"/>
    <w:lvl w:ilvl="0" w:tplc="BD7CAD76">
      <w:start w:val="1"/>
      <w:numFmt w:val="bullet"/>
      <w:lvlText w:val=""/>
      <w:lvlJc w:val="left"/>
      <w:pPr>
        <w:ind w:left="720" w:hanging="360"/>
      </w:pPr>
      <w:rPr>
        <w:rFonts w:ascii="Symbol" w:hAnsi="Symbol" w:hint="default"/>
      </w:rPr>
    </w:lvl>
    <w:lvl w:ilvl="1" w:tplc="0930B798" w:tentative="1">
      <w:start w:val="1"/>
      <w:numFmt w:val="bullet"/>
      <w:lvlText w:val="o"/>
      <w:lvlJc w:val="left"/>
      <w:pPr>
        <w:ind w:left="1440" w:hanging="360"/>
      </w:pPr>
      <w:rPr>
        <w:rFonts w:ascii="Courier New" w:hAnsi="Courier New" w:cs="Courier New" w:hint="default"/>
      </w:rPr>
    </w:lvl>
    <w:lvl w:ilvl="2" w:tplc="B06A50EC" w:tentative="1">
      <w:start w:val="1"/>
      <w:numFmt w:val="bullet"/>
      <w:lvlText w:val=""/>
      <w:lvlJc w:val="left"/>
      <w:pPr>
        <w:ind w:left="2160" w:hanging="360"/>
      </w:pPr>
      <w:rPr>
        <w:rFonts w:ascii="Wingdings" w:hAnsi="Wingdings" w:hint="default"/>
      </w:rPr>
    </w:lvl>
    <w:lvl w:ilvl="3" w:tplc="BDE69702" w:tentative="1">
      <w:start w:val="1"/>
      <w:numFmt w:val="bullet"/>
      <w:lvlText w:val=""/>
      <w:lvlJc w:val="left"/>
      <w:pPr>
        <w:ind w:left="2880" w:hanging="360"/>
      </w:pPr>
      <w:rPr>
        <w:rFonts w:ascii="Symbol" w:hAnsi="Symbol" w:hint="default"/>
      </w:rPr>
    </w:lvl>
    <w:lvl w:ilvl="4" w:tplc="AA24BCE4" w:tentative="1">
      <w:start w:val="1"/>
      <w:numFmt w:val="bullet"/>
      <w:lvlText w:val="o"/>
      <w:lvlJc w:val="left"/>
      <w:pPr>
        <w:ind w:left="3600" w:hanging="360"/>
      </w:pPr>
      <w:rPr>
        <w:rFonts w:ascii="Courier New" w:hAnsi="Courier New" w:cs="Courier New" w:hint="default"/>
      </w:rPr>
    </w:lvl>
    <w:lvl w:ilvl="5" w:tplc="1B342380" w:tentative="1">
      <w:start w:val="1"/>
      <w:numFmt w:val="bullet"/>
      <w:lvlText w:val=""/>
      <w:lvlJc w:val="left"/>
      <w:pPr>
        <w:ind w:left="4320" w:hanging="360"/>
      </w:pPr>
      <w:rPr>
        <w:rFonts w:ascii="Wingdings" w:hAnsi="Wingdings" w:hint="default"/>
      </w:rPr>
    </w:lvl>
    <w:lvl w:ilvl="6" w:tplc="469886B0" w:tentative="1">
      <w:start w:val="1"/>
      <w:numFmt w:val="bullet"/>
      <w:lvlText w:val=""/>
      <w:lvlJc w:val="left"/>
      <w:pPr>
        <w:ind w:left="5040" w:hanging="360"/>
      </w:pPr>
      <w:rPr>
        <w:rFonts w:ascii="Symbol" w:hAnsi="Symbol" w:hint="default"/>
      </w:rPr>
    </w:lvl>
    <w:lvl w:ilvl="7" w:tplc="84DC5170" w:tentative="1">
      <w:start w:val="1"/>
      <w:numFmt w:val="bullet"/>
      <w:lvlText w:val="o"/>
      <w:lvlJc w:val="left"/>
      <w:pPr>
        <w:ind w:left="5760" w:hanging="360"/>
      </w:pPr>
      <w:rPr>
        <w:rFonts w:ascii="Courier New" w:hAnsi="Courier New" w:cs="Courier New" w:hint="default"/>
      </w:rPr>
    </w:lvl>
    <w:lvl w:ilvl="8" w:tplc="A27E26F0" w:tentative="1">
      <w:start w:val="1"/>
      <w:numFmt w:val="bullet"/>
      <w:lvlText w:val=""/>
      <w:lvlJc w:val="left"/>
      <w:pPr>
        <w:ind w:left="6480" w:hanging="360"/>
      </w:pPr>
      <w:rPr>
        <w:rFonts w:ascii="Wingdings" w:hAnsi="Wingdings" w:hint="default"/>
      </w:rPr>
    </w:lvl>
  </w:abstractNum>
  <w:abstractNum w:abstractNumId="37" w15:restartNumberingAfterBreak="0">
    <w:nsid w:val="389B61B5"/>
    <w:multiLevelType w:val="hybridMultilevel"/>
    <w:tmpl w:val="4942FB56"/>
    <w:lvl w:ilvl="0" w:tplc="4080D5EA">
      <w:start w:val="1"/>
      <w:numFmt w:val="bullet"/>
      <w:lvlText w:val=""/>
      <w:lvlJc w:val="left"/>
      <w:pPr>
        <w:ind w:left="720" w:hanging="360"/>
      </w:pPr>
      <w:rPr>
        <w:rFonts w:ascii="Symbol" w:hAnsi="Symbol" w:hint="default"/>
      </w:rPr>
    </w:lvl>
    <w:lvl w:ilvl="1" w:tplc="0FDCE7B6" w:tentative="1">
      <w:start w:val="1"/>
      <w:numFmt w:val="bullet"/>
      <w:lvlText w:val="o"/>
      <w:lvlJc w:val="left"/>
      <w:pPr>
        <w:ind w:left="1440" w:hanging="360"/>
      </w:pPr>
      <w:rPr>
        <w:rFonts w:ascii="Courier New" w:hAnsi="Courier New" w:cs="Courier New" w:hint="default"/>
      </w:rPr>
    </w:lvl>
    <w:lvl w:ilvl="2" w:tplc="B82A91D8" w:tentative="1">
      <w:start w:val="1"/>
      <w:numFmt w:val="bullet"/>
      <w:lvlText w:val=""/>
      <w:lvlJc w:val="left"/>
      <w:pPr>
        <w:ind w:left="2160" w:hanging="360"/>
      </w:pPr>
      <w:rPr>
        <w:rFonts w:ascii="Wingdings" w:hAnsi="Wingdings" w:hint="default"/>
      </w:rPr>
    </w:lvl>
    <w:lvl w:ilvl="3" w:tplc="75B64974" w:tentative="1">
      <w:start w:val="1"/>
      <w:numFmt w:val="bullet"/>
      <w:lvlText w:val=""/>
      <w:lvlJc w:val="left"/>
      <w:pPr>
        <w:ind w:left="2880" w:hanging="360"/>
      </w:pPr>
      <w:rPr>
        <w:rFonts w:ascii="Symbol" w:hAnsi="Symbol" w:hint="default"/>
      </w:rPr>
    </w:lvl>
    <w:lvl w:ilvl="4" w:tplc="55421532" w:tentative="1">
      <w:start w:val="1"/>
      <w:numFmt w:val="bullet"/>
      <w:lvlText w:val="o"/>
      <w:lvlJc w:val="left"/>
      <w:pPr>
        <w:ind w:left="3600" w:hanging="360"/>
      </w:pPr>
      <w:rPr>
        <w:rFonts w:ascii="Courier New" w:hAnsi="Courier New" w:cs="Courier New" w:hint="default"/>
      </w:rPr>
    </w:lvl>
    <w:lvl w:ilvl="5" w:tplc="7CB0D98C" w:tentative="1">
      <w:start w:val="1"/>
      <w:numFmt w:val="bullet"/>
      <w:lvlText w:val=""/>
      <w:lvlJc w:val="left"/>
      <w:pPr>
        <w:ind w:left="4320" w:hanging="360"/>
      </w:pPr>
      <w:rPr>
        <w:rFonts w:ascii="Wingdings" w:hAnsi="Wingdings" w:hint="default"/>
      </w:rPr>
    </w:lvl>
    <w:lvl w:ilvl="6" w:tplc="81FC4038" w:tentative="1">
      <w:start w:val="1"/>
      <w:numFmt w:val="bullet"/>
      <w:lvlText w:val=""/>
      <w:lvlJc w:val="left"/>
      <w:pPr>
        <w:ind w:left="5040" w:hanging="360"/>
      </w:pPr>
      <w:rPr>
        <w:rFonts w:ascii="Symbol" w:hAnsi="Symbol" w:hint="default"/>
      </w:rPr>
    </w:lvl>
    <w:lvl w:ilvl="7" w:tplc="FBFCC0D0" w:tentative="1">
      <w:start w:val="1"/>
      <w:numFmt w:val="bullet"/>
      <w:lvlText w:val="o"/>
      <w:lvlJc w:val="left"/>
      <w:pPr>
        <w:ind w:left="5760" w:hanging="360"/>
      </w:pPr>
      <w:rPr>
        <w:rFonts w:ascii="Courier New" w:hAnsi="Courier New" w:cs="Courier New" w:hint="default"/>
      </w:rPr>
    </w:lvl>
    <w:lvl w:ilvl="8" w:tplc="9DB47A9E" w:tentative="1">
      <w:start w:val="1"/>
      <w:numFmt w:val="bullet"/>
      <w:lvlText w:val=""/>
      <w:lvlJc w:val="left"/>
      <w:pPr>
        <w:ind w:left="6480" w:hanging="360"/>
      </w:pPr>
      <w:rPr>
        <w:rFonts w:ascii="Wingdings" w:hAnsi="Wingdings" w:hint="default"/>
      </w:rPr>
    </w:lvl>
  </w:abstractNum>
  <w:abstractNum w:abstractNumId="38" w15:restartNumberingAfterBreak="0">
    <w:nsid w:val="39FC2DD7"/>
    <w:multiLevelType w:val="hybridMultilevel"/>
    <w:tmpl w:val="AE7C4918"/>
    <w:lvl w:ilvl="0" w:tplc="924AC326">
      <w:start w:val="1"/>
      <w:numFmt w:val="upperLetter"/>
      <w:lvlText w:val="%1."/>
      <w:lvlJc w:val="left"/>
      <w:pPr>
        <w:ind w:left="720" w:hanging="360"/>
      </w:pPr>
    </w:lvl>
    <w:lvl w:ilvl="1" w:tplc="22F2F716" w:tentative="1">
      <w:start w:val="1"/>
      <w:numFmt w:val="lowerLetter"/>
      <w:lvlText w:val="%2."/>
      <w:lvlJc w:val="left"/>
      <w:pPr>
        <w:ind w:left="1440" w:hanging="360"/>
      </w:pPr>
    </w:lvl>
    <w:lvl w:ilvl="2" w:tplc="B636C392" w:tentative="1">
      <w:start w:val="1"/>
      <w:numFmt w:val="lowerRoman"/>
      <w:lvlText w:val="%3."/>
      <w:lvlJc w:val="right"/>
      <w:pPr>
        <w:ind w:left="2160" w:hanging="180"/>
      </w:pPr>
    </w:lvl>
    <w:lvl w:ilvl="3" w:tplc="5A049DD8" w:tentative="1">
      <w:start w:val="1"/>
      <w:numFmt w:val="decimal"/>
      <w:lvlText w:val="%4."/>
      <w:lvlJc w:val="left"/>
      <w:pPr>
        <w:ind w:left="2880" w:hanging="360"/>
      </w:pPr>
    </w:lvl>
    <w:lvl w:ilvl="4" w:tplc="EEBC5B6C" w:tentative="1">
      <w:start w:val="1"/>
      <w:numFmt w:val="lowerLetter"/>
      <w:lvlText w:val="%5."/>
      <w:lvlJc w:val="left"/>
      <w:pPr>
        <w:ind w:left="3600" w:hanging="360"/>
      </w:pPr>
    </w:lvl>
    <w:lvl w:ilvl="5" w:tplc="A81E1F42" w:tentative="1">
      <w:start w:val="1"/>
      <w:numFmt w:val="lowerRoman"/>
      <w:lvlText w:val="%6."/>
      <w:lvlJc w:val="right"/>
      <w:pPr>
        <w:ind w:left="4320" w:hanging="180"/>
      </w:pPr>
    </w:lvl>
    <w:lvl w:ilvl="6" w:tplc="83DCED16" w:tentative="1">
      <w:start w:val="1"/>
      <w:numFmt w:val="decimal"/>
      <w:lvlText w:val="%7."/>
      <w:lvlJc w:val="left"/>
      <w:pPr>
        <w:ind w:left="5040" w:hanging="360"/>
      </w:pPr>
    </w:lvl>
    <w:lvl w:ilvl="7" w:tplc="17706FC8" w:tentative="1">
      <w:start w:val="1"/>
      <w:numFmt w:val="lowerLetter"/>
      <w:lvlText w:val="%8."/>
      <w:lvlJc w:val="left"/>
      <w:pPr>
        <w:ind w:left="5760" w:hanging="360"/>
      </w:pPr>
    </w:lvl>
    <w:lvl w:ilvl="8" w:tplc="B5B091F0" w:tentative="1">
      <w:start w:val="1"/>
      <w:numFmt w:val="lowerRoman"/>
      <w:lvlText w:val="%9."/>
      <w:lvlJc w:val="right"/>
      <w:pPr>
        <w:ind w:left="6480" w:hanging="180"/>
      </w:pPr>
    </w:lvl>
  </w:abstractNum>
  <w:abstractNum w:abstractNumId="39" w15:restartNumberingAfterBreak="0">
    <w:nsid w:val="3AA75117"/>
    <w:multiLevelType w:val="hybridMultilevel"/>
    <w:tmpl w:val="54941D8C"/>
    <w:lvl w:ilvl="0" w:tplc="76D2EC7C">
      <w:start w:val="1"/>
      <w:numFmt w:val="bullet"/>
      <w:lvlText w:val=""/>
      <w:lvlJc w:val="left"/>
      <w:pPr>
        <w:ind w:left="720" w:hanging="360"/>
      </w:pPr>
      <w:rPr>
        <w:rFonts w:ascii="Symbol" w:hAnsi="Symbol" w:hint="default"/>
      </w:rPr>
    </w:lvl>
    <w:lvl w:ilvl="1" w:tplc="E3B67C66" w:tentative="1">
      <w:start w:val="1"/>
      <w:numFmt w:val="bullet"/>
      <w:lvlText w:val="o"/>
      <w:lvlJc w:val="left"/>
      <w:pPr>
        <w:ind w:left="1440" w:hanging="360"/>
      </w:pPr>
      <w:rPr>
        <w:rFonts w:ascii="Courier New" w:hAnsi="Courier New" w:cs="Courier New" w:hint="default"/>
      </w:rPr>
    </w:lvl>
    <w:lvl w:ilvl="2" w:tplc="B61CF14A" w:tentative="1">
      <w:start w:val="1"/>
      <w:numFmt w:val="bullet"/>
      <w:lvlText w:val=""/>
      <w:lvlJc w:val="left"/>
      <w:pPr>
        <w:ind w:left="2160" w:hanging="360"/>
      </w:pPr>
      <w:rPr>
        <w:rFonts w:ascii="Wingdings" w:hAnsi="Wingdings" w:hint="default"/>
      </w:rPr>
    </w:lvl>
    <w:lvl w:ilvl="3" w:tplc="5B1CA914" w:tentative="1">
      <w:start w:val="1"/>
      <w:numFmt w:val="bullet"/>
      <w:lvlText w:val=""/>
      <w:lvlJc w:val="left"/>
      <w:pPr>
        <w:ind w:left="2880" w:hanging="360"/>
      </w:pPr>
      <w:rPr>
        <w:rFonts w:ascii="Symbol" w:hAnsi="Symbol" w:hint="default"/>
      </w:rPr>
    </w:lvl>
    <w:lvl w:ilvl="4" w:tplc="E67A53CE" w:tentative="1">
      <w:start w:val="1"/>
      <w:numFmt w:val="bullet"/>
      <w:lvlText w:val="o"/>
      <w:lvlJc w:val="left"/>
      <w:pPr>
        <w:ind w:left="3600" w:hanging="360"/>
      </w:pPr>
      <w:rPr>
        <w:rFonts w:ascii="Courier New" w:hAnsi="Courier New" w:cs="Courier New" w:hint="default"/>
      </w:rPr>
    </w:lvl>
    <w:lvl w:ilvl="5" w:tplc="9ABA591C" w:tentative="1">
      <w:start w:val="1"/>
      <w:numFmt w:val="bullet"/>
      <w:lvlText w:val=""/>
      <w:lvlJc w:val="left"/>
      <w:pPr>
        <w:ind w:left="4320" w:hanging="360"/>
      </w:pPr>
      <w:rPr>
        <w:rFonts w:ascii="Wingdings" w:hAnsi="Wingdings" w:hint="default"/>
      </w:rPr>
    </w:lvl>
    <w:lvl w:ilvl="6" w:tplc="F9142670" w:tentative="1">
      <w:start w:val="1"/>
      <w:numFmt w:val="bullet"/>
      <w:lvlText w:val=""/>
      <w:lvlJc w:val="left"/>
      <w:pPr>
        <w:ind w:left="5040" w:hanging="360"/>
      </w:pPr>
      <w:rPr>
        <w:rFonts w:ascii="Symbol" w:hAnsi="Symbol" w:hint="default"/>
      </w:rPr>
    </w:lvl>
    <w:lvl w:ilvl="7" w:tplc="F918DA24" w:tentative="1">
      <w:start w:val="1"/>
      <w:numFmt w:val="bullet"/>
      <w:lvlText w:val="o"/>
      <w:lvlJc w:val="left"/>
      <w:pPr>
        <w:ind w:left="5760" w:hanging="360"/>
      </w:pPr>
      <w:rPr>
        <w:rFonts w:ascii="Courier New" w:hAnsi="Courier New" w:cs="Courier New" w:hint="default"/>
      </w:rPr>
    </w:lvl>
    <w:lvl w:ilvl="8" w:tplc="227AFA74" w:tentative="1">
      <w:start w:val="1"/>
      <w:numFmt w:val="bullet"/>
      <w:lvlText w:val=""/>
      <w:lvlJc w:val="left"/>
      <w:pPr>
        <w:ind w:left="6480" w:hanging="360"/>
      </w:pPr>
      <w:rPr>
        <w:rFonts w:ascii="Wingdings" w:hAnsi="Wingdings" w:hint="default"/>
      </w:rPr>
    </w:lvl>
  </w:abstractNum>
  <w:abstractNum w:abstractNumId="40" w15:restartNumberingAfterBreak="0">
    <w:nsid w:val="3B8F1BD7"/>
    <w:multiLevelType w:val="hybridMultilevel"/>
    <w:tmpl w:val="9C24BAA2"/>
    <w:lvl w:ilvl="0" w:tplc="92DEC79A">
      <w:start w:val="1"/>
      <w:numFmt w:val="bullet"/>
      <w:lvlText w:val=""/>
      <w:lvlJc w:val="left"/>
      <w:pPr>
        <w:tabs>
          <w:tab w:val="num" w:pos="1068"/>
        </w:tabs>
        <w:ind w:left="1068" w:hanging="360"/>
      </w:pPr>
      <w:rPr>
        <w:rFonts w:ascii="Symbol" w:hAnsi="Symbol" w:hint="default"/>
      </w:rPr>
    </w:lvl>
    <w:lvl w:ilvl="1" w:tplc="19C629AC">
      <w:start w:val="2"/>
      <w:numFmt w:val="bullet"/>
      <w:lvlText w:val="-"/>
      <w:lvlJc w:val="left"/>
      <w:pPr>
        <w:tabs>
          <w:tab w:val="num" w:pos="1788"/>
        </w:tabs>
        <w:ind w:left="1788" w:hanging="360"/>
      </w:pPr>
      <w:rPr>
        <w:rFonts w:ascii="Times New Roman" w:eastAsia="Times New Roman" w:hAnsi="Times New Roman" w:cs="Times New Roman" w:hint="default"/>
      </w:rPr>
    </w:lvl>
    <w:lvl w:ilvl="2" w:tplc="314E0370">
      <w:start w:val="1"/>
      <w:numFmt w:val="bullet"/>
      <w:lvlText w:val=""/>
      <w:lvlJc w:val="left"/>
      <w:pPr>
        <w:tabs>
          <w:tab w:val="num" w:pos="2508"/>
        </w:tabs>
        <w:ind w:left="2508" w:hanging="360"/>
      </w:pPr>
      <w:rPr>
        <w:rFonts w:ascii="Wingdings" w:hAnsi="Wingdings" w:hint="default"/>
      </w:rPr>
    </w:lvl>
    <w:lvl w:ilvl="3" w:tplc="630AD78A" w:tentative="1">
      <w:start w:val="1"/>
      <w:numFmt w:val="bullet"/>
      <w:lvlText w:val=""/>
      <w:lvlJc w:val="left"/>
      <w:pPr>
        <w:tabs>
          <w:tab w:val="num" w:pos="3228"/>
        </w:tabs>
        <w:ind w:left="3228" w:hanging="360"/>
      </w:pPr>
      <w:rPr>
        <w:rFonts w:ascii="Symbol" w:hAnsi="Symbol" w:hint="default"/>
      </w:rPr>
    </w:lvl>
    <w:lvl w:ilvl="4" w:tplc="4C9441CC">
      <w:start w:val="1"/>
      <w:numFmt w:val="bullet"/>
      <w:lvlText w:val="o"/>
      <w:lvlJc w:val="left"/>
      <w:pPr>
        <w:tabs>
          <w:tab w:val="num" w:pos="3948"/>
        </w:tabs>
        <w:ind w:left="3948" w:hanging="360"/>
      </w:pPr>
      <w:rPr>
        <w:rFonts w:ascii="Courier New" w:hAnsi="Courier New" w:cs="Courier New" w:hint="default"/>
      </w:rPr>
    </w:lvl>
    <w:lvl w:ilvl="5" w:tplc="BD82C9B8" w:tentative="1">
      <w:start w:val="1"/>
      <w:numFmt w:val="bullet"/>
      <w:lvlText w:val=""/>
      <w:lvlJc w:val="left"/>
      <w:pPr>
        <w:tabs>
          <w:tab w:val="num" w:pos="4668"/>
        </w:tabs>
        <w:ind w:left="4668" w:hanging="360"/>
      </w:pPr>
      <w:rPr>
        <w:rFonts w:ascii="Wingdings" w:hAnsi="Wingdings" w:hint="default"/>
      </w:rPr>
    </w:lvl>
    <w:lvl w:ilvl="6" w:tplc="1D3030E8" w:tentative="1">
      <w:start w:val="1"/>
      <w:numFmt w:val="bullet"/>
      <w:lvlText w:val=""/>
      <w:lvlJc w:val="left"/>
      <w:pPr>
        <w:tabs>
          <w:tab w:val="num" w:pos="5388"/>
        </w:tabs>
        <w:ind w:left="5388" w:hanging="360"/>
      </w:pPr>
      <w:rPr>
        <w:rFonts w:ascii="Symbol" w:hAnsi="Symbol" w:hint="default"/>
      </w:rPr>
    </w:lvl>
    <w:lvl w:ilvl="7" w:tplc="7F0C590E" w:tentative="1">
      <w:start w:val="1"/>
      <w:numFmt w:val="bullet"/>
      <w:lvlText w:val="o"/>
      <w:lvlJc w:val="left"/>
      <w:pPr>
        <w:tabs>
          <w:tab w:val="num" w:pos="6108"/>
        </w:tabs>
        <w:ind w:left="6108" w:hanging="360"/>
      </w:pPr>
      <w:rPr>
        <w:rFonts w:ascii="Courier New" w:hAnsi="Courier New" w:cs="Courier New" w:hint="default"/>
      </w:rPr>
    </w:lvl>
    <w:lvl w:ilvl="8" w:tplc="E30E3762"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3BA32D4B"/>
    <w:multiLevelType w:val="hybridMultilevel"/>
    <w:tmpl w:val="C9600270"/>
    <w:lvl w:ilvl="0" w:tplc="C48225A6">
      <w:start w:val="1"/>
      <w:numFmt w:val="bullet"/>
      <w:lvlText w:val=""/>
      <w:lvlJc w:val="left"/>
      <w:pPr>
        <w:ind w:left="720" w:hanging="360"/>
      </w:pPr>
      <w:rPr>
        <w:rFonts w:ascii="Symbol" w:hAnsi="Symbol" w:hint="default"/>
      </w:rPr>
    </w:lvl>
    <w:lvl w:ilvl="1" w:tplc="B0789084" w:tentative="1">
      <w:start w:val="1"/>
      <w:numFmt w:val="bullet"/>
      <w:lvlText w:val="o"/>
      <w:lvlJc w:val="left"/>
      <w:pPr>
        <w:ind w:left="1440" w:hanging="360"/>
      </w:pPr>
      <w:rPr>
        <w:rFonts w:ascii="Courier New" w:hAnsi="Courier New" w:cs="Courier New" w:hint="default"/>
      </w:rPr>
    </w:lvl>
    <w:lvl w:ilvl="2" w:tplc="B0E6D8C6" w:tentative="1">
      <w:start w:val="1"/>
      <w:numFmt w:val="bullet"/>
      <w:lvlText w:val=""/>
      <w:lvlJc w:val="left"/>
      <w:pPr>
        <w:ind w:left="2160" w:hanging="360"/>
      </w:pPr>
      <w:rPr>
        <w:rFonts w:ascii="Wingdings" w:hAnsi="Wingdings" w:hint="default"/>
      </w:rPr>
    </w:lvl>
    <w:lvl w:ilvl="3" w:tplc="DF86B782" w:tentative="1">
      <w:start w:val="1"/>
      <w:numFmt w:val="bullet"/>
      <w:lvlText w:val=""/>
      <w:lvlJc w:val="left"/>
      <w:pPr>
        <w:ind w:left="2880" w:hanging="360"/>
      </w:pPr>
      <w:rPr>
        <w:rFonts w:ascii="Symbol" w:hAnsi="Symbol" w:hint="default"/>
      </w:rPr>
    </w:lvl>
    <w:lvl w:ilvl="4" w:tplc="AB1E1676" w:tentative="1">
      <w:start w:val="1"/>
      <w:numFmt w:val="bullet"/>
      <w:lvlText w:val="o"/>
      <w:lvlJc w:val="left"/>
      <w:pPr>
        <w:ind w:left="3600" w:hanging="360"/>
      </w:pPr>
      <w:rPr>
        <w:rFonts w:ascii="Courier New" w:hAnsi="Courier New" w:cs="Courier New" w:hint="default"/>
      </w:rPr>
    </w:lvl>
    <w:lvl w:ilvl="5" w:tplc="04B4EB5A" w:tentative="1">
      <w:start w:val="1"/>
      <w:numFmt w:val="bullet"/>
      <w:lvlText w:val=""/>
      <w:lvlJc w:val="left"/>
      <w:pPr>
        <w:ind w:left="4320" w:hanging="360"/>
      </w:pPr>
      <w:rPr>
        <w:rFonts w:ascii="Wingdings" w:hAnsi="Wingdings" w:hint="default"/>
      </w:rPr>
    </w:lvl>
    <w:lvl w:ilvl="6" w:tplc="7D14076E" w:tentative="1">
      <w:start w:val="1"/>
      <w:numFmt w:val="bullet"/>
      <w:lvlText w:val=""/>
      <w:lvlJc w:val="left"/>
      <w:pPr>
        <w:ind w:left="5040" w:hanging="360"/>
      </w:pPr>
      <w:rPr>
        <w:rFonts w:ascii="Symbol" w:hAnsi="Symbol" w:hint="default"/>
      </w:rPr>
    </w:lvl>
    <w:lvl w:ilvl="7" w:tplc="87985520" w:tentative="1">
      <w:start w:val="1"/>
      <w:numFmt w:val="bullet"/>
      <w:lvlText w:val="o"/>
      <w:lvlJc w:val="left"/>
      <w:pPr>
        <w:ind w:left="5760" w:hanging="360"/>
      </w:pPr>
      <w:rPr>
        <w:rFonts w:ascii="Courier New" w:hAnsi="Courier New" w:cs="Courier New" w:hint="default"/>
      </w:rPr>
    </w:lvl>
    <w:lvl w:ilvl="8" w:tplc="1D640AB0" w:tentative="1">
      <w:start w:val="1"/>
      <w:numFmt w:val="bullet"/>
      <w:lvlText w:val=""/>
      <w:lvlJc w:val="left"/>
      <w:pPr>
        <w:ind w:left="6480" w:hanging="360"/>
      </w:pPr>
      <w:rPr>
        <w:rFonts w:ascii="Wingdings" w:hAnsi="Wingdings" w:hint="default"/>
      </w:rPr>
    </w:lvl>
  </w:abstractNum>
  <w:abstractNum w:abstractNumId="42" w15:restartNumberingAfterBreak="0">
    <w:nsid w:val="3FBE1420"/>
    <w:multiLevelType w:val="hybridMultilevel"/>
    <w:tmpl w:val="7E700E8C"/>
    <w:lvl w:ilvl="0" w:tplc="45CAB0E0">
      <w:start w:val="1"/>
      <w:numFmt w:val="bullet"/>
      <w:lvlText w:val=""/>
      <w:lvlJc w:val="left"/>
      <w:pPr>
        <w:ind w:left="720" w:hanging="360"/>
      </w:pPr>
      <w:rPr>
        <w:rFonts w:ascii="Symbol" w:hAnsi="Symbol" w:hint="default"/>
      </w:rPr>
    </w:lvl>
    <w:lvl w:ilvl="1" w:tplc="29EA80AC" w:tentative="1">
      <w:start w:val="1"/>
      <w:numFmt w:val="bullet"/>
      <w:lvlText w:val="o"/>
      <w:lvlJc w:val="left"/>
      <w:pPr>
        <w:ind w:left="1440" w:hanging="360"/>
      </w:pPr>
      <w:rPr>
        <w:rFonts w:ascii="Courier New" w:hAnsi="Courier New" w:cs="Courier New" w:hint="default"/>
      </w:rPr>
    </w:lvl>
    <w:lvl w:ilvl="2" w:tplc="B2C229E2" w:tentative="1">
      <w:start w:val="1"/>
      <w:numFmt w:val="bullet"/>
      <w:lvlText w:val=""/>
      <w:lvlJc w:val="left"/>
      <w:pPr>
        <w:ind w:left="2160" w:hanging="360"/>
      </w:pPr>
      <w:rPr>
        <w:rFonts w:ascii="Wingdings" w:hAnsi="Wingdings" w:hint="default"/>
      </w:rPr>
    </w:lvl>
    <w:lvl w:ilvl="3" w:tplc="1B200C7A" w:tentative="1">
      <w:start w:val="1"/>
      <w:numFmt w:val="bullet"/>
      <w:lvlText w:val=""/>
      <w:lvlJc w:val="left"/>
      <w:pPr>
        <w:ind w:left="2880" w:hanging="360"/>
      </w:pPr>
      <w:rPr>
        <w:rFonts w:ascii="Symbol" w:hAnsi="Symbol" w:hint="default"/>
      </w:rPr>
    </w:lvl>
    <w:lvl w:ilvl="4" w:tplc="1D523E44" w:tentative="1">
      <w:start w:val="1"/>
      <w:numFmt w:val="bullet"/>
      <w:lvlText w:val="o"/>
      <w:lvlJc w:val="left"/>
      <w:pPr>
        <w:ind w:left="3600" w:hanging="360"/>
      </w:pPr>
      <w:rPr>
        <w:rFonts w:ascii="Courier New" w:hAnsi="Courier New" w:cs="Courier New" w:hint="default"/>
      </w:rPr>
    </w:lvl>
    <w:lvl w:ilvl="5" w:tplc="06D464C0" w:tentative="1">
      <w:start w:val="1"/>
      <w:numFmt w:val="bullet"/>
      <w:lvlText w:val=""/>
      <w:lvlJc w:val="left"/>
      <w:pPr>
        <w:ind w:left="4320" w:hanging="360"/>
      </w:pPr>
      <w:rPr>
        <w:rFonts w:ascii="Wingdings" w:hAnsi="Wingdings" w:hint="default"/>
      </w:rPr>
    </w:lvl>
    <w:lvl w:ilvl="6" w:tplc="B7DE55B2" w:tentative="1">
      <w:start w:val="1"/>
      <w:numFmt w:val="bullet"/>
      <w:lvlText w:val=""/>
      <w:lvlJc w:val="left"/>
      <w:pPr>
        <w:ind w:left="5040" w:hanging="360"/>
      </w:pPr>
      <w:rPr>
        <w:rFonts w:ascii="Symbol" w:hAnsi="Symbol" w:hint="default"/>
      </w:rPr>
    </w:lvl>
    <w:lvl w:ilvl="7" w:tplc="F7C2896C" w:tentative="1">
      <w:start w:val="1"/>
      <w:numFmt w:val="bullet"/>
      <w:lvlText w:val="o"/>
      <w:lvlJc w:val="left"/>
      <w:pPr>
        <w:ind w:left="5760" w:hanging="360"/>
      </w:pPr>
      <w:rPr>
        <w:rFonts w:ascii="Courier New" w:hAnsi="Courier New" w:cs="Courier New" w:hint="default"/>
      </w:rPr>
    </w:lvl>
    <w:lvl w:ilvl="8" w:tplc="755E2746" w:tentative="1">
      <w:start w:val="1"/>
      <w:numFmt w:val="bullet"/>
      <w:lvlText w:val=""/>
      <w:lvlJc w:val="left"/>
      <w:pPr>
        <w:ind w:left="6480" w:hanging="360"/>
      </w:pPr>
      <w:rPr>
        <w:rFonts w:ascii="Wingdings" w:hAnsi="Wingdings" w:hint="default"/>
      </w:rPr>
    </w:lvl>
  </w:abstractNum>
  <w:abstractNum w:abstractNumId="43" w15:restartNumberingAfterBreak="0">
    <w:nsid w:val="3FC77012"/>
    <w:multiLevelType w:val="hybridMultilevel"/>
    <w:tmpl w:val="85688404"/>
    <w:lvl w:ilvl="0" w:tplc="A0488B60">
      <w:start w:val="1"/>
      <w:numFmt w:val="bullet"/>
      <w:lvlText w:val=""/>
      <w:lvlJc w:val="left"/>
      <w:pPr>
        <w:ind w:left="1800" w:hanging="360"/>
      </w:pPr>
      <w:rPr>
        <w:rFonts w:ascii="Symbol" w:hAnsi="Symbol" w:hint="default"/>
      </w:rPr>
    </w:lvl>
    <w:lvl w:ilvl="1" w:tplc="6C206B9C">
      <w:start w:val="1"/>
      <w:numFmt w:val="bullet"/>
      <w:lvlText w:val="o"/>
      <w:lvlJc w:val="left"/>
      <w:pPr>
        <w:ind w:left="2520" w:hanging="360"/>
      </w:pPr>
      <w:rPr>
        <w:rFonts w:ascii="Courier New" w:hAnsi="Courier New" w:cs="Courier New" w:hint="default"/>
      </w:rPr>
    </w:lvl>
    <w:lvl w:ilvl="2" w:tplc="9CE8DD00" w:tentative="1">
      <w:start w:val="1"/>
      <w:numFmt w:val="bullet"/>
      <w:lvlText w:val=""/>
      <w:lvlJc w:val="left"/>
      <w:pPr>
        <w:ind w:left="3240" w:hanging="360"/>
      </w:pPr>
      <w:rPr>
        <w:rFonts w:ascii="Wingdings" w:hAnsi="Wingdings" w:hint="default"/>
      </w:rPr>
    </w:lvl>
    <w:lvl w:ilvl="3" w:tplc="DEE22F30" w:tentative="1">
      <w:start w:val="1"/>
      <w:numFmt w:val="bullet"/>
      <w:lvlText w:val=""/>
      <w:lvlJc w:val="left"/>
      <w:pPr>
        <w:ind w:left="3960" w:hanging="360"/>
      </w:pPr>
      <w:rPr>
        <w:rFonts w:ascii="Symbol" w:hAnsi="Symbol" w:hint="default"/>
      </w:rPr>
    </w:lvl>
    <w:lvl w:ilvl="4" w:tplc="998C0812" w:tentative="1">
      <w:start w:val="1"/>
      <w:numFmt w:val="bullet"/>
      <w:lvlText w:val="o"/>
      <w:lvlJc w:val="left"/>
      <w:pPr>
        <w:ind w:left="4680" w:hanging="360"/>
      </w:pPr>
      <w:rPr>
        <w:rFonts w:ascii="Courier New" w:hAnsi="Courier New" w:cs="Courier New" w:hint="default"/>
      </w:rPr>
    </w:lvl>
    <w:lvl w:ilvl="5" w:tplc="DC2AC238" w:tentative="1">
      <w:start w:val="1"/>
      <w:numFmt w:val="bullet"/>
      <w:lvlText w:val=""/>
      <w:lvlJc w:val="left"/>
      <w:pPr>
        <w:ind w:left="5400" w:hanging="360"/>
      </w:pPr>
      <w:rPr>
        <w:rFonts w:ascii="Wingdings" w:hAnsi="Wingdings" w:hint="default"/>
      </w:rPr>
    </w:lvl>
    <w:lvl w:ilvl="6" w:tplc="69A8C642" w:tentative="1">
      <w:start w:val="1"/>
      <w:numFmt w:val="bullet"/>
      <w:lvlText w:val=""/>
      <w:lvlJc w:val="left"/>
      <w:pPr>
        <w:ind w:left="6120" w:hanging="360"/>
      </w:pPr>
      <w:rPr>
        <w:rFonts w:ascii="Symbol" w:hAnsi="Symbol" w:hint="default"/>
      </w:rPr>
    </w:lvl>
    <w:lvl w:ilvl="7" w:tplc="4440BC60" w:tentative="1">
      <w:start w:val="1"/>
      <w:numFmt w:val="bullet"/>
      <w:lvlText w:val="o"/>
      <w:lvlJc w:val="left"/>
      <w:pPr>
        <w:ind w:left="6840" w:hanging="360"/>
      </w:pPr>
      <w:rPr>
        <w:rFonts w:ascii="Courier New" w:hAnsi="Courier New" w:cs="Courier New" w:hint="default"/>
      </w:rPr>
    </w:lvl>
    <w:lvl w:ilvl="8" w:tplc="51D832FE" w:tentative="1">
      <w:start w:val="1"/>
      <w:numFmt w:val="bullet"/>
      <w:lvlText w:val=""/>
      <w:lvlJc w:val="left"/>
      <w:pPr>
        <w:ind w:left="7560" w:hanging="360"/>
      </w:pPr>
      <w:rPr>
        <w:rFonts w:ascii="Wingdings" w:hAnsi="Wingdings" w:hint="default"/>
      </w:rPr>
    </w:lvl>
  </w:abstractNum>
  <w:abstractNum w:abstractNumId="44" w15:restartNumberingAfterBreak="0">
    <w:nsid w:val="40013656"/>
    <w:multiLevelType w:val="hybridMultilevel"/>
    <w:tmpl w:val="626653AA"/>
    <w:lvl w:ilvl="0" w:tplc="B7606840">
      <w:start w:val="1"/>
      <w:numFmt w:val="bullet"/>
      <w:lvlText w:val=""/>
      <w:lvlJc w:val="left"/>
      <w:pPr>
        <w:ind w:left="774" w:hanging="360"/>
      </w:pPr>
      <w:rPr>
        <w:rFonts w:ascii="Symbol" w:hAnsi="Symbol" w:hint="default"/>
      </w:rPr>
    </w:lvl>
    <w:lvl w:ilvl="1" w:tplc="DA9E61B0">
      <w:start w:val="1"/>
      <w:numFmt w:val="bullet"/>
      <w:lvlText w:val="o"/>
      <w:lvlJc w:val="left"/>
      <w:pPr>
        <w:ind w:left="1494" w:hanging="360"/>
      </w:pPr>
      <w:rPr>
        <w:rFonts w:ascii="Courier New" w:hAnsi="Courier New" w:cs="Courier New" w:hint="default"/>
      </w:rPr>
    </w:lvl>
    <w:lvl w:ilvl="2" w:tplc="27624ECC" w:tentative="1">
      <w:start w:val="1"/>
      <w:numFmt w:val="bullet"/>
      <w:lvlText w:val=""/>
      <w:lvlJc w:val="left"/>
      <w:pPr>
        <w:ind w:left="2214" w:hanging="360"/>
      </w:pPr>
      <w:rPr>
        <w:rFonts w:ascii="Wingdings" w:hAnsi="Wingdings" w:hint="default"/>
      </w:rPr>
    </w:lvl>
    <w:lvl w:ilvl="3" w:tplc="60FE74FC" w:tentative="1">
      <w:start w:val="1"/>
      <w:numFmt w:val="bullet"/>
      <w:lvlText w:val=""/>
      <w:lvlJc w:val="left"/>
      <w:pPr>
        <w:ind w:left="2934" w:hanging="360"/>
      </w:pPr>
      <w:rPr>
        <w:rFonts w:ascii="Symbol" w:hAnsi="Symbol" w:hint="default"/>
      </w:rPr>
    </w:lvl>
    <w:lvl w:ilvl="4" w:tplc="8056FD4A" w:tentative="1">
      <w:start w:val="1"/>
      <w:numFmt w:val="bullet"/>
      <w:lvlText w:val="o"/>
      <w:lvlJc w:val="left"/>
      <w:pPr>
        <w:ind w:left="3654" w:hanging="360"/>
      </w:pPr>
      <w:rPr>
        <w:rFonts w:ascii="Courier New" w:hAnsi="Courier New" w:cs="Courier New" w:hint="default"/>
      </w:rPr>
    </w:lvl>
    <w:lvl w:ilvl="5" w:tplc="B016B1FE" w:tentative="1">
      <w:start w:val="1"/>
      <w:numFmt w:val="bullet"/>
      <w:lvlText w:val=""/>
      <w:lvlJc w:val="left"/>
      <w:pPr>
        <w:ind w:left="4374" w:hanging="360"/>
      </w:pPr>
      <w:rPr>
        <w:rFonts w:ascii="Wingdings" w:hAnsi="Wingdings" w:hint="default"/>
      </w:rPr>
    </w:lvl>
    <w:lvl w:ilvl="6" w:tplc="FA8A3300" w:tentative="1">
      <w:start w:val="1"/>
      <w:numFmt w:val="bullet"/>
      <w:lvlText w:val=""/>
      <w:lvlJc w:val="left"/>
      <w:pPr>
        <w:ind w:left="5094" w:hanging="360"/>
      </w:pPr>
      <w:rPr>
        <w:rFonts w:ascii="Symbol" w:hAnsi="Symbol" w:hint="default"/>
      </w:rPr>
    </w:lvl>
    <w:lvl w:ilvl="7" w:tplc="0324F6A2" w:tentative="1">
      <w:start w:val="1"/>
      <w:numFmt w:val="bullet"/>
      <w:lvlText w:val="o"/>
      <w:lvlJc w:val="left"/>
      <w:pPr>
        <w:ind w:left="5814" w:hanging="360"/>
      </w:pPr>
      <w:rPr>
        <w:rFonts w:ascii="Courier New" w:hAnsi="Courier New" w:cs="Courier New" w:hint="default"/>
      </w:rPr>
    </w:lvl>
    <w:lvl w:ilvl="8" w:tplc="29948618" w:tentative="1">
      <w:start w:val="1"/>
      <w:numFmt w:val="bullet"/>
      <w:lvlText w:val=""/>
      <w:lvlJc w:val="left"/>
      <w:pPr>
        <w:ind w:left="6534" w:hanging="360"/>
      </w:pPr>
      <w:rPr>
        <w:rFonts w:ascii="Wingdings" w:hAnsi="Wingdings" w:hint="default"/>
      </w:rPr>
    </w:lvl>
  </w:abstractNum>
  <w:abstractNum w:abstractNumId="45" w15:restartNumberingAfterBreak="0">
    <w:nsid w:val="40B059BB"/>
    <w:multiLevelType w:val="hybridMultilevel"/>
    <w:tmpl w:val="9CF84A0A"/>
    <w:lvl w:ilvl="0" w:tplc="680E5A58">
      <w:start w:val="1"/>
      <w:numFmt w:val="decimal"/>
      <w:lvlText w:val="%1."/>
      <w:lvlJc w:val="left"/>
      <w:pPr>
        <w:ind w:left="720" w:hanging="360"/>
      </w:pPr>
      <w:rPr>
        <w:sz w:val="22"/>
        <w:szCs w:val="22"/>
      </w:rPr>
    </w:lvl>
    <w:lvl w:ilvl="1" w:tplc="53FC3C36" w:tentative="1">
      <w:start w:val="1"/>
      <w:numFmt w:val="lowerLetter"/>
      <w:lvlText w:val="%2."/>
      <w:lvlJc w:val="left"/>
      <w:pPr>
        <w:ind w:left="1440" w:hanging="360"/>
      </w:pPr>
    </w:lvl>
    <w:lvl w:ilvl="2" w:tplc="502ABD96" w:tentative="1">
      <w:start w:val="1"/>
      <w:numFmt w:val="lowerRoman"/>
      <w:lvlText w:val="%3."/>
      <w:lvlJc w:val="right"/>
      <w:pPr>
        <w:ind w:left="2160" w:hanging="180"/>
      </w:pPr>
    </w:lvl>
    <w:lvl w:ilvl="3" w:tplc="BBE82620" w:tentative="1">
      <w:start w:val="1"/>
      <w:numFmt w:val="decimal"/>
      <w:lvlText w:val="%4."/>
      <w:lvlJc w:val="left"/>
      <w:pPr>
        <w:ind w:left="2880" w:hanging="360"/>
      </w:pPr>
    </w:lvl>
    <w:lvl w:ilvl="4" w:tplc="DEC85426" w:tentative="1">
      <w:start w:val="1"/>
      <w:numFmt w:val="lowerLetter"/>
      <w:lvlText w:val="%5."/>
      <w:lvlJc w:val="left"/>
      <w:pPr>
        <w:ind w:left="3600" w:hanging="360"/>
      </w:pPr>
    </w:lvl>
    <w:lvl w:ilvl="5" w:tplc="88FEDEA4" w:tentative="1">
      <w:start w:val="1"/>
      <w:numFmt w:val="lowerRoman"/>
      <w:lvlText w:val="%6."/>
      <w:lvlJc w:val="right"/>
      <w:pPr>
        <w:ind w:left="4320" w:hanging="180"/>
      </w:pPr>
    </w:lvl>
    <w:lvl w:ilvl="6" w:tplc="B4743524" w:tentative="1">
      <w:start w:val="1"/>
      <w:numFmt w:val="decimal"/>
      <w:lvlText w:val="%7."/>
      <w:lvlJc w:val="left"/>
      <w:pPr>
        <w:ind w:left="5040" w:hanging="360"/>
      </w:pPr>
    </w:lvl>
    <w:lvl w:ilvl="7" w:tplc="FA96CFAE" w:tentative="1">
      <w:start w:val="1"/>
      <w:numFmt w:val="lowerLetter"/>
      <w:lvlText w:val="%8."/>
      <w:lvlJc w:val="left"/>
      <w:pPr>
        <w:ind w:left="5760" w:hanging="360"/>
      </w:pPr>
    </w:lvl>
    <w:lvl w:ilvl="8" w:tplc="EA02D184" w:tentative="1">
      <w:start w:val="1"/>
      <w:numFmt w:val="lowerRoman"/>
      <w:lvlText w:val="%9."/>
      <w:lvlJc w:val="right"/>
      <w:pPr>
        <w:ind w:left="6480" w:hanging="180"/>
      </w:pPr>
    </w:lvl>
  </w:abstractNum>
  <w:abstractNum w:abstractNumId="46" w15:restartNumberingAfterBreak="0">
    <w:nsid w:val="40EB2A7C"/>
    <w:multiLevelType w:val="hybridMultilevel"/>
    <w:tmpl w:val="4A3EBD9C"/>
    <w:lvl w:ilvl="0" w:tplc="2ED2A4CA">
      <w:start w:val="1"/>
      <w:numFmt w:val="bullet"/>
      <w:lvlText w:val=""/>
      <w:lvlJc w:val="left"/>
      <w:pPr>
        <w:ind w:left="720" w:hanging="360"/>
      </w:pPr>
      <w:rPr>
        <w:rFonts w:ascii="Symbol" w:hAnsi="Symbol" w:hint="default"/>
      </w:rPr>
    </w:lvl>
    <w:lvl w:ilvl="1" w:tplc="6310D45E" w:tentative="1">
      <w:start w:val="1"/>
      <w:numFmt w:val="bullet"/>
      <w:lvlText w:val="o"/>
      <w:lvlJc w:val="left"/>
      <w:pPr>
        <w:ind w:left="1440" w:hanging="360"/>
      </w:pPr>
      <w:rPr>
        <w:rFonts w:ascii="Courier New" w:hAnsi="Courier New" w:cs="Courier New" w:hint="default"/>
      </w:rPr>
    </w:lvl>
    <w:lvl w:ilvl="2" w:tplc="C87E4798" w:tentative="1">
      <w:start w:val="1"/>
      <w:numFmt w:val="bullet"/>
      <w:lvlText w:val=""/>
      <w:lvlJc w:val="left"/>
      <w:pPr>
        <w:ind w:left="2160" w:hanging="360"/>
      </w:pPr>
      <w:rPr>
        <w:rFonts w:ascii="Wingdings" w:hAnsi="Wingdings" w:hint="default"/>
      </w:rPr>
    </w:lvl>
    <w:lvl w:ilvl="3" w:tplc="F97A67C0" w:tentative="1">
      <w:start w:val="1"/>
      <w:numFmt w:val="bullet"/>
      <w:lvlText w:val=""/>
      <w:lvlJc w:val="left"/>
      <w:pPr>
        <w:ind w:left="2880" w:hanging="360"/>
      </w:pPr>
      <w:rPr>
        <w:rFonts w:ascii="Symbol" w:hAnsi="Symbol" w:hint="default"/>
      </w:rPr>
    </w:lvl>
    <w:lvl w:ilvl="4" w:tplc="995CED40" w:tentative="1">
      <w:start w:val="1"/>
      <w:numFmt w:val="bullet"/>
      <w:lvlText w:val="o"/>
      <w:lvlJc w:val="left"/>
      <w:pPr>
        <w:ind w:left="3600" w:hanging="360"/>
      </w:pPr>
      <w:rPr>
        <w:rFonts w:ascii="Courier New" w:hAnsi="Courier New" w:cs="Courier New" w:hint="default"/>
      </w:rPr>
    </w:lvl>
    <w:lvl w:ilvl="5" w:tplc="4AA066DE" w:tentative="1">
      <w:start w:val="1"/>
      <w:numFmt w:val="bullet"/>
      <w:lvlText w:val=""/>
      <w:lvlJc w:val="left"/>
      <w:pPr>
        <w:ind w:left="4320" w:hanging="360"/>
      </w:pPr>
      <w:rPr>
        <w:rFonts w:ascii="Wingdings" w:hAnsi="Wingdings" w:hint="default"/>
      </w:rPr>
    </w:lvl>
    <w:lvl w:ilvl="6" w:tplc="B3A65438" w:tentative="1">
      <w:start w:val="1"/>
      <w:numFmt w:val="bullet"/>
      <w:lvlText w:val=""/>
      <w:lvlJc w:val="left"/>
      <w:pPr>
        <w:ind w:left="5040" w:hanging="360"/>
      </w:pPr>
      <w:rPr>
        <w:rFonts w:ascii="Symbol" w:hAnsi="Symbol" w:hint="default"/>
      </w:rPr>
    </w:lvl>
    <w:lvl w:ilvl="7" w:tplc="701C3A3A" w:tentative="1">
      <w:start w:val="1"/>
      <w:numFmt w:val="bullet"/>
      <w:lvlText w:val="o"/>
      <w:lvlJc w:val="left"/>
      <w:pPr>
        <w:ind w:left="5760" w:hanging="360"/>
      </w:pPr>
      <w:rPr>
        <w:rFonts w:ascii="Courier New" w:hAnsi="Courier New" w:cs="Courier New" w:hint="default"/>
      </w:rPr>
    </w:lvl>
    <w:lvl w:ilvl="8" w:tplc="3DD4689A" w:tentative="1">
      <w:start w:val="1"/>
      <w:numFmt w:val="bullet"/>
      <w:lvlText w:val=""/>
      <w:lvlJc w:val="left"/>
      <w:pPr>
        <w:ind w:left="6480" w:hanging="360"/>
      </w:pPr>
      <w:rPr>
        <w:rFonts w:ascii="Wingdings" w:hAnsi="Wingdings" w:hint="default"/>
      </w:rPr>
    </w:lvl>
  </w:abstractNum>
  <w:abstractNum w:abstractNumId="47" w15:restartNumberingAfterBreak="0">
    <w:nsid w:val="418C66E8"/>
    <w:multiLevelType w:val="hybridMultilevel"/>
    <w:tmpl w:val="36B2C396"/>
    <w:lvl w:ilvl="0" w:tplc="34701998">
      <w:start w:val="1"/>
      <w:numFmt w:val="bullet"/>
      <w:lvlText w:val=""/>
      <w:lvlJc w:val="left"/>
      <w:pPr>
        <w:ind w:left="720" w:hanging="360"/>
      </w:pPr>
      <w:rPr>
        <w:rFonts w:ascii="Symbol" w:hAnsi="Symbol" w:cstheme="minorHAnsi" w:hint="default"/>
        <w:b/>
        <w:color w:val="1F497D" w:themeColor="text2"/>
        <w:sz w:val="24"/>
      </w:rPr>
    </w:lvl>
    <w:lvl w:ilvl="1" w:tplc="211EF8CA">
      <w:numFmt w:val="bullet"/>
      <w:lvlText w:val="-"/>
      <w:lvlJc w:val="left"/>
      <w:pPr>
        <w:ind w:left="2138" w:hanging="360"/>
      </w:pPr>
      <w:rPr>
        <w:rFonts w:ascii="Calibri" w:eastAsia="Calibri" w:hAnsi="Calibri" w:cs="Times New Roman" w:hint="default"/>
      </w:rPr>
    </w:lvl>
    <w:lvl w:ilvl="2" w:tplc="E8A6E114">
      <w:start w:val="1"/>
      <w:numFmt w:val="bullet"/>
      <w:lvlText w:val=""/>
      <w:lvlJc w:val="left"/>
      <w:pPr>
        <w:ind w:left="2160" w:hanging="360"/>
      </w:pPr>
      <w:rPr>
        <w:rFonts w:ascii="Wingdings" w:hAnsi="Wingdings" w:cstheme="minorHAnsi" w:hint="default"/>
        <w:b/>
        <w:color w:val="4BACC6" w:themeColor="accent5"/>
        <w:sz w:val="24"/>
      </w:rPr>
    </w:lvl>
    <w:lvl w:ilvl="3" w:tplc="63647BBC">
      <w:start w:val="1"/>
      <w:numFmt w:val="bullet"/>
      <w:lvlText w:val=""/>
      <w:lvlJc w:val="left"/>
      <w:pPr>
        <w:ind w:left="2880" w:hanging="360"/>
      </w:pPr>
      <w:rPr>
        <w:rFonts w:ascii="Symbol" w:hAnsi="Symbol" w:cstheme="minorHAnsi" w:hint="default"/>
        <w:b/>
        <w:color w:val="4BACC6" w:themeColor="accent5"/>
        <w:sz w:val="24"/>
      </w:rPr>
    </w:lvl>
    <w:lvl w:ilvl="4" w:tplc="7428A7B0">
      <w:start w:val="1"/>
      <w:numFmt w:val="bullet"/>
      <w:lvlText w:val="o"/>
      <w:lvlJc w:val="left"/>
      <w:pPr>
        <w:ind w:left="3600" w:hanging="360"/>
      </w:pPr>
      <w:rPr>
        <w:rFonts w:ascii="Courier New" w:hAnsi="Courier New" w:cs="Courier New" w:hint="default"/>
      </w:rPr>
    </w:lvl>
    <w:lvl w:ilvl="5" w:tplc="9976C8C2">
      <w:start w:val="1"/>
      <w:numFmt w:val="bullet"/>
      <w:lvlText w:val=""/>
      <w:lvlJc w:val="left"/>
      <w:pPr>
        <w:ind w:left="4320" w:hanging="360"/>
      </w:pPr>
      <w:rPr>
        <w:rFonts w:ascii="Wingdings" w:hAnsi="Wingdings" w:hint="default"/>
      </w:rPr>
    </w:lvl>
    <w:lvl w:ilvl="6" w:tplc="5C023E1A">
      <w:start w:val="1"/>
      <w:numFmt w:val="bullet"/>
      <w:lvlText w:val=""/>
      <w:lvlJc w:val="left"/>
      <w:pPr>
        <w:ind w:left="5040" w:hanging="360"/>
      </w:pPr>
      <w:rPr>
        <w:rFonts w:ascii="Symbol" w:hAnsi="Symbol" w:hint="default"/>
      </w:rPr>
    </w:lvl>
    <w:lvl w:ilvl="7" w:tplc="DE5E7DE0">
      <w:start w:val="1"/>
      <w:numFmt w:val="bullet"/>
      <w:lvlText w:val="o"/>
      <w:lvlJc w:val="left"/>
      <w:pPr>
        <w:ind w:left="5760" w:hanging="360"/>
      </w:pPr>
      <w:rPr>
        <w:rFonts w:ascii="Courier New" w:hAnsi="Courier New" w:cs="Courier New" w:hint="default"/>
      </w:rPr>
    </w:lvl>
    <w:lvl w:ilvl="8" w:tplc="A18034A2">
      <w:start w:val="1"/>
      <w:numFmt w:val="bullet"/>
      <w:lvlText w:val=""/>
      <w:lvlJc w:val="left"/>
      <w:pPr>
        <w:ind w:left="6480" w:hanging="360"/>
      </w:pPr>
      <w:rPr>
        <w:rFonts w:ascii="Wingdings" w:hAnsi="Wingdings" w:hint="default"/>
      </w:rPr>
    </w:lvl>
  </w:abstractNum>
  <w:abstractNum w:abstractNumId="48" w15:restartNumberingAfterBreak="0">
    <w:nsid w:val="41AD3FC2"/>
    <w:multiLevelType w:val="hybridMultilevel"/>
    <w:tmpl w:val="8AD0C9DA"/>
    <w:lvl w:ilvl="0" w:tplc="6122C826">
      <w:start w:val="1"/>
      <w:numFmt w:val="bullet"/>
      <w:lvlText w:val=""/>
      <w:lvlJc w:val="left"/>
      <w:pPr>
        <w:ind w:left="1428" w:hanging="360"/>
      </w:pPr>
      <w:rPr>
        <w:rFonts w:ascii="Symbol" w:hAnsi="Symbol" w:hint="default"/>
      </w:rPr>
    </w:lvl>
    <w:lvl w:ilvl="1" w:tplc="0F1C1454" w:tentative="1">
      <w:start w:val="1"/>
      <w:numFmt w:val="bullet"/>
      <w:lvlText w:val="o"/>
      <w:lvlJc w:val="left"/>
      <w:pPr>
        <w:ind w:left="2148" w:hanging="360"/>
      </w:pPr>
      <w:rPr>
        <w:rFonts w:ascii="Courier New" w:hAnsi="Courier New" w:cs="Courier New" w:hint="default"/>
      </w:rPr>
    </w:lvl>
    <w:lvl w:ilvl="2" w:tplc="3AB478E6" w:tentative="1">
      <w:start w:val="1"/>
      <w:numFmt w:val="bullet"/>
      <w:lvlText w:val=""/>
      <w:lvlJc w:val="left"/>
      <w:pPr>
        <w:ind w:left="2868" w:hanging="360"/>
      </w:pPr>
      <w:rPr>
        <w:rFonts w:ascii="Wingdings" w:hAnsi="Wingdings" w:hint="default"/>
      </w:rPr>
    </w:lvl>
    <w:lvl w:ilvl="3" w:tplc="9690848E" w:tentative="1">
      <w:start w:val="1"/>
      <w:numFmt w:val="bullet"/>
      <w:lvlText w:val=""/>
      <w:lvlJc w:val="left"/>
      <w:pPr>
        <w:ind w:left="3588" w:hanging="360"/>
      </w:pPr>
      <w:rPr>
        <w:rFonts w:ascii="Symbol" w:hAnsi="Symbol" w:hint="default"/>
      </w:rPr>
    </w:lvl>
    <w:lvl w:ilvl="4" w:tplc="CFD829FA" w:tentative="1">
      <w:start w:val="1"/>
      <w:numFmt w:val="bullet"/>
      <w:lvlText w:val="o"/>
      <w:lvlJc w:val="left"/>
      <w:pPr>
        <w:ind w:left="4308" w:hanging="360"/>
      </w:pPr>
      <w:rPr>
        <w:rFonts w:ascii="Courier New" w:hAnsi="Courier New" w:cs="Courier New" w:hint="default"/>
      </w:rPr>
    </w:lvl>
    <w:lvl w:ilvl="5" w:tplc="D17AF534" w:tentative="1">
      <w:start w:val="1"/>
      <w:numFmt w:val="bullet"/>
      <w:lvlText w:val=""/>
      <w:lvlJc w:val="left"/>
      <w:pPr>
        <w:ind w:left="5028" w:hanging="360"/>
      </w:pPr>
      <w:rPr>
        <w:rFonts w:ascii="Wingdings" w:hAnsi="Wingdings" w:hint="default"/>
      </w:rPr>
    </w:lvl>
    <w:lvl w:ilvl="6" w:tplc="6EA880A2" w:tentative="1">
      <w:start w:val="1"/>
      <w:numFmt w:val="bullet"/>
      <w:lvlText w:val=""/>
      <w:lvlJc w:val="left"/>
      <w:pPr>
        <w:ind w:left="5748" w:hanging="360"/>
      </w:pPr>
      <w:rPr>
        <w:rFonts w:ascii="Symbol" w:hAnsi="Symbol" w:hint="default"/>
      </w:rPr>
    </w:lvl>
    <w:lvl w:ilvl="7" w:tplc="6E90075C" w:tentative="1">
      <w:start w:val="1"/>
      <w:numFmt w:val="bullet"/>
      <w:lvlText w:val="o"/>
      <w:lvlJc w:val="left"/>
      <w:pPr>
        <w:ind w:left="6468" w:hanging="360"/>
      </w:pPr>
      <w:rPr>
        <w:rFonts w:ascii="Courier New" w:hAnsi="Courier New" w:cs="Courier New" w:hint="default"/>
      </w:rPr>
    </w:lvl>
    <w:lvl w:ilvl="8" w:tplc="C19AA90C" w:tentative="1">
      <w:start w:val="1"/>
      <w:numFmt w:val="bullet"/>
      <w:lvlText w:val=""/>
      <w:lvlJc w:val="left"/>
      <w:pPr>
        <w:ind w:left="7188" w:hanging="360"/>
      </w:pPr>
      <w:rPr>
        <w:rFonts w:ascii="Wingdings" w:hAnsi="Wingdings" w:hint="default"/>
      </w:rPr>
    </w:lvl>
  </w:abstractNum>
  <w:abstractNum w:abstractNumId="49" w15:restartNumberingAfterBreak="0">
    <w:nsid w:val="41AE03E1"/>
    <w:multiLevelType w:val="hybridMultilevel"/>
    <w:tmpl w:val="F4B2FD08"/>
    <w:lvl w:ilvl="0" w:tplc="967697B2">
      <w:start w:val="1"/>
      <w:numFmt w:val="bullet"/>
      <w:lvlText w:val=""/>
      <w:lvlJc w:val="left"/>
      <w:pPr>
        <w:ind w:left="765" w:hanging="360"/>
      </w:pPr>
      <w:rPr>
        <w:rFonts w:ascii="Symbol" w:hAnsi="Symbol" w:hint="default"/>
      </w:rPr>
    </w:lvl>
    <w:lvl w:ilvl="1" w:tplc="288AB688" w:tentative="1">
      <w:start w:val="1"/>
      <w:numFmt w:val="bullet"/>
      <w:lvlText w:val="o"/>
      <w:lvlJc w:val="left"/>
      <w:pPr>
        <w:ind w:left="1485" w:hanging="360"/>
      </w:pPr>
      <w:rPr>
        <w:rFonts w:ascii="Courier New" w:hAnsi="Courier New" w:cs="Courier New" w:hint="default"/>
      </w:rPr>
    </w:lvl>
    <w:lvl w:ilvl="2" w:tplc="F9AA7A54" w:tentative="1">
      <w:start w:val="1"/>
      <w:numFmt w:val="bullet"/>
      <w:lvlText w:val=""/>
      <w:lvlJc w:val="left"/>
      <w:pPr>
        <w:ind w:left="2205" w:hanging="360"/>
      </w:pPr>
      <w:rPr>
        <w:rFonts w:ascii="Wingdings" w:hAnsi="Wingdings" w:hint="default"/>
      </w:rPr>
    </w:lvl>
    <w:lvl w:ilvl="3" w:tplc="69F41460" w:tentative="1">
      <w:start w:val="1"/>
      <w:numFmt w:val="bullet"/>
      <w:lvlText w:val=""/>
      <w:lvlJc w:val="left"/>
      <w:pPr>
        <w:ind w:left="2925" w:hanging="360"/>
      </w:pPr>
      <w:rPr>
        <w:rFonts w:ascii="Symbol" w:hAnsi="Symbol" w:hint="default"/>
      </w:rPr>
    </w:lvl>
    <w:lvl w:ilvl="4" w:tplc="FDA653E2" w:tentative="1">
      <w:start w:val="1"/>
      <w:numFmt w:val="bullet"/>
      <w:lvlText w:val="o"/>
      <w:lvlJc w:val="left"/>
      <w:pPr>
        <w:ind w:left="3645" w:hanging="360"/>
      </w:pPr>
      <w:rPr>
        <w:rFonts w:ascii="Courier New" w:hAnsi="Courier New" w:cs="Courier New" w:hint="default"/>
      </w:rPr>
    </w:lvl>
    <w:lvl w:ilvl="5" w:tplc="7C6A648C" w:tentative="1">
      <w:start w:val="1"/>
      <w:numFmt w:val="bullet"/>
      <w:lvlText w:val=""/>
      <w:lvlJc w:val="left"/>
      <w:pPr>
        <w:ind w:left="4365" w:hanging="360"/>
      </w:pPr>
      <w:rPr>
        <w:rFonts w:ascii="Wingdings" w:hAnsi="Wingdings" w:hint="default"/>
      </w:rPr>
    </w:lvl>
    <w:lvl w:ilvl="6" w:tplc="E80A6DFE" w:tentative="1">
      <w:start w:val="1"/>
      <w:numFmt w:val="bullet"/>
      <w:lvlText w:val=""/>
      <w:lvlJc w:val="left"/>
      <w:pPr>
        <w:ind w:left="5085" w:hanging="360"/>
      </w:pPr>
      <w:rPr>
        <w:rFonts w:ascii="Symbol" w:hAnsi="Symbol" w:hint="default"/>
      </w:rPr>
    </w:lvl>
    <w:lvl w:ilvl="7" w:tplc="1A0E01B6" w:tentative="1">
      <w:start w:val="1"/>
      <w:numFmt w:val="bullet"/>
      <w:lvlText w:val="o"/>
      <w:lvlJc w:val="left"/>
      <w:pPr>
        <w:ind w:left="5805" w:hanging="360"/>
      </w:pPr>
      <w:rPr>
        <w:rFonts w:ascii="Courier New" w:hAnsi="Courier New" w:cs="Courier New" w:hint="default"/>
      </w:rPr>
    </w:lvl>
    <w:lvl w:ilvl="8" w:tplc="0FBAB048" w:tentative="1">
      <w:start w:val="1"/>
      <w:numFmt w:val="bullet"/>
      <w:lvlText w:val=""/>
      <w:lvlJc w:val="left"/>
      <w:pPr>
        <w:ind w:left="6525" w:hanging="360"/>
      </w:pPr>
      <w:rPr>
        <w:rFonts w:ascii="Wingdings" w:hAnsi="Wingdings" w:hint="default"/>
      </w:rPr>
    </w:lvl>
  </w:abstractNum>
  <w:abstractNum w:abstractNumId="50" w15:restartNumberingAfterBreak="0">
    <w:nsid w:val="420624E0"/>
    <w:multiLevelType w:val="hybridMultilevel"/>
    <w:tmpl w:val="2F122830"/>
    <w:lvl w:ilvl="0" w:tplc="3A5E7E08">
      <w:start w:val="1"/>
      <w:numFmt w:val="upperLetter"/>
      <w:pStyle w:val="CimModern1"/>
      <w:lvlText w:val="%1."/>
      <w:lvlJc w:val="left"/>
      <w:pPr>
        <w:ind w:left="1080" w:hanging="720"/>
      </w:pPr>
      <w:rPr>
        <w:rFonts w:hint="default"/>
      </w:rPr>
    </w:lvl>
    <w:lvl w:ilvl="1" w:tplc="680E3C0E" w:tentative="1">
      <w:start w:val="1"/>
      <w:numFmt w:val="lowerLetter"/>
      <w:lvlText w:val="%2."/>
      <w:lvlJc w:val="left"/>
      <w:pPr>
        <w:ind w:left="1440" w:hanging="360"/>
      </w:pPr>
    </w:lvl>
    <w:lvl w:ilvl="2" w:tplc="502C13B6" w:tentative="1">
      <w:start w:val="1"/>
      <w:numFmt w:val="lowerRoman"/>
      <w:lvlText w:val="%3."/>
      <w:lvlJc w:val="right"/>
      <w:pPr>
        <w:ind w:left="2160" w:hanging="180"/>
      </w:pPr>
    </w:lvl>
    <w:lvl w:ilvl="3" w:tplc="8FCE71A6" w:tentative="1">
      <w:start w:val="1"/>
      <w:numFmt w:val="decimal"/>
      <w:lvlText w:val="%4."/>
      <w:lvlJc w:val="left"/>
      <w:pPr>
        <w:ind w:left="2880" w:hanging="360"/>
      </w:pPr>
    </w:lvl>
    <w:lvl w:ilvl="4" w:tplc="51C8DF08" w:tentative="1">
      <w:start w:val="1"/>
      <w:numFmt w:val="lowerLetter"/>
      <w:lvlText w:val="%5."/>
      <w:lvlJc w:val="left"/>
      <w:pPr>
        <w:ind w:left="3600" w:hanging="360"/>
      </w:pPr>
    </w:lvl>
    <w:lvl w:ilvl="5" w:tplc="B622B178" w:tentative="1">
      <w:start w:val="1"/>
      <w:numFmt w:val="lowerRoman"/>
      <w:lvlText w:val="%6."/>
      <w:lvlJc w:val="right"/>
      <w:pPr>
        <w:ind w:left="4320" w:hanging="180"/>
      </w:pPr>
    </w:lvl>
    <w:lvl w:ilvl="6" w:tplc="C6FA1162" w:tentative="1">
      <w:start w:val="1"/>
      <w:numFmt w:val="decimal"/>
      <w:lvlText w:val="%7."/>
      <w:lvlJc w:val="left"/>
      <w:pPr>
        <w:ind w:left="5040" w:hanging="360"/>
      </w:pPr>
    </w:lvl>
    <w:lvl w:ilvl="7" w:tplc="45AA09B2" w:tentative="1">
      <w:start w:val="1"/>
      <w:numFmt w:val="lowerLetter"/>
      <w:lvlText w:val="%8."/>
      <w:lvlJc w:val="left"/>
      <w:pPr>
        <w:ind w:left="5760" w:hanging="360"/>
      </w:pPr>
    </w:lvl>
    <w:lvl w:ilvl="8" w:tplc="5C14C650" w:tentative="1">
      <w:start w:val="1"/>
      <w:numFmt w:val="lowerRoman"/>
      <w:lvlText w:val="%9."/>
      <w:lvlJc w:val="right"/>
      <w:pPr>
        <w:ind w:left="6480" w:hanging="180"/>
      </w:pPr>
    </w:lvl>
  </w:abstractNum>
  <w:abstractNum w:abstractNumId="51" w15:restartNumberingAfterBreak="0">
    <w:nsid w:val="42086893"/>
    <w:multiLevelType w:val="hybridMultilevel"/>
    <w:tmpl w:val="5DF886AE"/>
    <w:lvl w:ilvl="0" w:tplc="4AA4DF2E">
      <w:start w:val="1"/>
      <w:numFmt w:val="bullet"/>
      <w:lvlText w:val=""/>
      <w:lvlJc w:val="left"/>
      <w:pPr>
        <w:ind w:left="720" w:hanging="360"/>
      </w:pPr>
      <w:rPr>
        <w:rFonts w:ascii="Symbol" w:hAnsi="Symbol" w:hint="default"/>
      </w:rPr>
    </w:lvl>
    <w:lvl w:ilvl="1" w:tplc="940CFB8A">
      <w:start w:val="2"/>
      <w:numFmt w:val="bullet"/>
      <w:lvlText w:val="-"/>
      <w:lvlJc w:val="left"/>
      <w:pPr>
        <w:ind w:left="1440" w:hanging="360"/>
      </w:pPr>
      <w:rPr>
        <w:rFonts w:ascii="Times New Roman" w:eastAsia="Times New Roman" w:hAnsi="Times New Roman" w:cs="Times New Roman" w:hint="default"/>
      </w:rPr>
    </w:lvl>
    <w:lvl w:ilvl="2" w:tplc="795C39D2" w:tentative="1">
      <w:start w:val="1"/>
      <w:numFmt w:val="bullet"/>
      <w:lvlText w:val=""/>
      <w:lvlJc w:val="left"/>
      <w:pPr>
        <w:ind w:left="2160" w:hanging="360"/>
      </w:pPr>
      <w:rPr>
        <w:rFonts w:ascii="Wingdings" w:hAnsi="Wingdings" w:hint="default"/>
      </w:rPr>
    </w:lvl>
    <w:lvl w:ilvl="3" w:tplc="875AF570" w:tentative="1">
      <w:start w:val="1"/>
      <w:numFmt w:val="bullet"/>
      <w:lvlText w:val=""/>
      <w:lvlJc w:val="left"/>
      <w:pPr>
        <w:ind w:left="2880" w:hanging="360"/>
      </w:pPr>
      <w:rPr>
        <w:rFonts w:ascii="Symbol" w:hAnsi="Symbol" w:hint="default"/>
      </w:rPr>
    </w:lvl>
    <w:lvl w:ilvl="4" w:tplc="847AD92A" w:tentative="1">
      <w:start w:val="1"/>
      <w:numFmt w:val="bullet"/>
      <w:lvlText w:val="o"/>
      <w:lvlJc w:val="left"/>
      <w:pPr>
        <w:ind w:left="3600" w:hanging="360"/>
      </w:pPr>
      <w:rPr>
        <w:rFonts w:ascii="Courier New" w:hAnsi="Courier New" w:cs="Courier New" w:hint="default"/>
      </w:rPr>
    </w:lvl>
    <w:lvl w:ilvl="5" w:tplc="9942257C" w:tentative="1">
      <w:start w:val="1"/>
      <w:numFmt w:val="bullet"/>
      <w:lvlText w:val=""/>
      <w:lvlJc w:val="left"/>
      <w:pPr>
        <w:ind w:left="4320" w:hanging="360"/>
      </w:pPr>
      <w:rPr>
        <w:rFonts w:ascii="Wingdings" w:hAnsi="Wingdings" w:hint="default"/>
      </w:rPr>
    </w:lvl>
    <w:lvl w:ilvl="6" w:tplc="7F6AA820" w:tentative="1">
      <w:start w:val="1"/>
      <w:numFmt w:val="bullet"/>
      <w:lvlText w:val=""/>
      <w:lvlJc w:val="left"/>
      <w:pPr>
        <w:ind w:left="5040" w:hanging="360"/>
      </w:pPr>
      <w:rPr>
        <w:rFonts w:ascii="Symbol" w:hAnsi="Symbol" w:hint="default"/>
      </w:rPr>
    </w:lvl>
    <w:lvl w:ilvl="7" w:tplc="7B08770E" w:tentative="1">
      <w:start w:val="1"/>
      <w:numFmt w:val="bullet"/>
      <w:lvlText w:val="o"/>
      <w:lvlJc w:val="left"/>
      <w:pPr>
        <w:ind w:left="5760" w:hanging="360"/>
      </w:pPr>
      <w:rPr>
        <w:rFonts w:ascii="Courier New" w:hAnsi="Courier New" w:cs="Courier New" w:hint="default"/>
      </w:rPr>
    </w:lvl>
    <w:lvl w:ilvl="8" w:tplc="E948F316" w:tentative="1">
      <w:start w:val="1"/>
      <w:numFmt w:val="bullet"/>
      <w:lvlText w:val=""/>
      <w:lvlJc w:val="left"/>
      <w:pPr>
        <w:ind w:left="6480" w:hanging="360"/>
      </w:pPr>
      <w:rPr>
        <w:rFonts w:ascii="Wingdings" w:hAnsi="Wingdings" w:hint="default"/>
      </w:rPr>
    </w:lvl>
  </w:abstractNum>
  <w:abstractNum w:abstractNumId="52" w15:restartNumberingAfterBreak="0">
    <w:nsid w:val="489C4690"/>
    <w:multiLevelType w:val="hybridMultilevel"/>
    <w:tmpl w:val="A8FC6008"/>
    <w:lvl w:ilvl="0" w:tplc="6BDA182E">
      <w:numFmt w:val="bullet"/>
      <w:lvlText w:val="-"/>
      <w:lvlJc w:val="left"/>
      <w:pPr>
        <w:ind w:left="2138" w:hanging="360"/>
      </w:pPr>
      <w:rPr>
        <w:rFonts w:ascii="Calibri" w:eastAsia="Calibri" w:hAnsi="Calibri" w:cs="Times New Roman" w:hint="default"/>
      </w:rPr>
    </w:lvl>
    <w:lvl w:ilvl="1" w:tplc="20187A8E" w:tentative="1">
      <w:start w:val="1"/>
      <w:numFmt w:val="bullet"/>
      <w:lvlText w:val="o"/>
      <w:lvlJc w:val="left"/>
      <w:pPr>
        <w:ind w:left="2858" w:hanging="360"/>
      </w:pPr>
      <w:rPr>
        <w:rFonts w:ascii="Courier New" w:hAnsi="Courier New" w:cs="Courier New" w:hint="default"/>
      </w:rPr>
    </w:lvl>
    <w:lvl w:ilvl="2" w:tplc="3D40191E" w:tentative="1">
      <w:start w:val="1"/>
      <w:numFmt w:val="bullet"/>
      <w:lvlText w:val=""/>
      <w:lvlJc w:val="left"/>
      <w:pPr>
        <w:ind w:left="3578" w:hanging="360"/>
      </w:pPr>
      <w:rPr>
        <w:rFonts w:ascii="Wingdings" w:hAnsi="Wingdings" w:hint="default"/>
      </w:rPr>
    </w:lvl>
    <w:lvl w:ilvl="3" w:tplc="0B02CC56" w:tentative="1">
      <w:start w:val="1"/>
      <w:numFmt w:val="bullet"/>
      <w:lvlText w:val=""/>
      <w:lvlJc w:val="left"/>
      <w:pPr>
        <w:ind w:left="4298" w:hanging="360"/>
      </w:pPr>
      <w:rPr>
        <w:rFonts w:ascii="Symbol" w:hAnsi="Symbol" w:hint="default"/>
      </w:rPr>
    </w:lvl>
    <w:lvl w:ilvl="4" w:tplc="8640D95C" w:tentative="1">
      <w:start w:val="1"/>
      <w:numFmt w:val="bullet"/>
      <w:lvlText w:val="o"/>
      <w:lvlJc w:val="left"/>
      <w:pPr>
        <w:ind w:left="5018" w:hanging="360"/>
      </w:pPr>
      <w:rPr>
        <w:rFonts w:ascii="Courier New" w:hAnsi="Courier New" w:cs="Courier New" w:hint="default"/>
      </w:rPr>
    </w:lvl>
    <w:lvl w:ilvl="5" w:tplc="1E98337C" w:tentative="1">
      <w:start w:val="1"/>
      <w:numFmt w:val="bullet"/>
      <w:lvlText w:val=""/>
      <w:lvlJc w:val="left"/>
      <w:pPr>
        <w:ind w:left="5738" w:hanging="360"/>
      </w:pPr>
      <w:rPr>
        <w:rFonts w:ascii="Wingdings" w:hAnsi="Wingdings" w:hint="default"/>
      </w:rPr>
    </w:lvl>
    <w:lvl w:ilvl="6" w:tplc="6720C902" w:tentative="1">
      <w:start w:val="1"/>
      <w:numFmt w:val="bullet"/>
      <w:lvlText w:val=""/>
      <w:lvlJc w:val="left"/>
      <w:pPr>
        <w:ind w:left="6458" w:hanging="360"/>
      </w:pPr>
      <w:rPr>
        <w:rFonts w:ascii="Symbol" w:hAnsi="Symbol" w:hint="default"/>
      </w:rPr>
    </w:lvl>
    <w:lvl w:ilvl="7" w:tplc="F080E542" w:tentative="1">
      <w:start w:val="1"/>
      <w:numFmt w:val="bullet"/>
      <w:lvlText w:val="o"/>
      <w:lvlJc w:val="left"/>
      <w:pPr>
        <w:ind w:left="7178" w:hanging="360"/>
      </w:pPr>
      <w:rPr>
        <w:rFonts w:ascii="Courier New" w:hAnsi="Courier New" w:cs="Courier New" w:hint="default"/>
      </w:rPr>
    </w:lvl>
    <w:lvl w:ilvl="8" w:tplc="D440390C" w:tentative="1">
      <w:start w:val="1"/>
      <w:numFmt w:val="bullet"/>
      <w:lvlText w:val=""/>
      <w:lvlJc w:val="left"/>
      <w:pPr>
        <w:ind w:left="7898" w:hanging="360"/>
      </w:pPr>
      <w:rPr>
        <w:rFonts w:ascii="Wingdings" w:hAnsi="Wingdings" w:hint="default"/>
      </w:rPr>
    </w:lvl>
  </w:abstractNum>
  <w:abstractNum w:abstractNumId="53" w15:restartNumberingAfterBreak="0">
    <w:nsid w:val="48B22761"/>
    <w:multiLevelType w:val="hybridMultilevel"/>
    <w:tmpl w:val="93B2B43A"/>
    <w:lvl w:ilvl="0" w:tplc="04DE2C94">
      <w:start w:val="1"/>
      <w:numFmt w:val="bullet"/>
      <w:lvlText w:val=""/>
      <w:lvlJc w:val="left"/>
      <w:pPr>
        <w:ind w:left="720" w:hanging="360"/>
      </w:pPr>
      <w:rPr>
        <w:rFonts w:ascii="Symbol" w:hAnsi="Symbol" w:hint="default"/>
      </w:rPr>
    </w:lvl>
    <w:lvl w:ilvl="1" w:tplc="B5B42C54" w:tentative="1">
      <w:start w:val="1"/>
      <w:numFmt w:val="bullet"/>
      <w:lvlText w:val="o"/>
      <w:lvlJc w:val="left"/>
      <w:pPr>
        <w:ind w:left="1440" w:hanging="360"/>
      </w:pPr>
      <w:rPr>
        <w:rFonts w:ascii="Courier New" w:hAnsi="Courier New" w:cs="Courier New" w:hint="default"/>
      </w:rPr>
    </w:lvl>
    <w:lvl w:ilvl="2" w:tplc="F6581F0E" w:tentative="1">
      <w:start w:val="1"/>
      <w:numFmt w:val="bullet"/>
      <w:lvlText w:val=""/>
      <w:lvlJc w:val="left"/>
      <w:pPr>
        <w:ind w:left="2160" w:hanging="360"/>
      </w:pPr>
      <w:rPr>
        <w:rFonts w:ascii="Wingdings" w:hAnsi="Wingdings" w:hint="default"/>
      </w:rPr>
    </w:lvl>
    <w:lvl w:ilvl="3" w:tplc="DA54889C" w:tentative="1">
      <w:start w:val="1"/>
      <w:numFmt w:val="bullet"/>
      <w:lvlText w:val=""/>
      <w:lvlJc w:val="left"/>
      <w:pPr>
        <w:ind w:left="2880" w:hanging="360"/>
      </w:pPr>
      <w:rPr>
        <w:rFonts w:ascii="Symbol" w:hAnsi="Symbol" w:hint="default"/>
      </w:rPr>
    </w:lvl>
    <w:lvl w:ilvl="4" w:tplc="4530AA4A" w:tentative="1">
      <w:start w:val="1"/>
      <w:numFmt w:val="bullet"/>
      <w:lvlText w:val="o"/>
      <w:lvlJc w:val="left"/>
      <w:pPr>
        <w:ind w:left="3600" w:hanging="360"/>
      </w:pPr>
      <w:rPr>
        <w:rFonts w:ascii="Courier New" w:hAnsi="Courier New" w:cs="Courier New" w:hint="default"/>
      </w:rPr>
    </w:lvl>
    <w:lvl w:ilvl="5" w:tplc="63345470" w:tentative="1">
      <w:start w:val="1"/>
      <w:numFmt w:val="bullet"/>
      <w:lvlText w:val=""/>
      <w:lvlJc w:val="left"/>
      <w:pPr>
        <w:ind w:left="4320" w:hanging="360"/>
      </w:pPr>
      <w:rPr>
        <w:rFonts w:ascii="Wingdings" w:hAnsi="Wingdings" w:hint="default"/>
      </w:rPr>
    </w:lvl>
    <w:lvl w:ilvl="6" w:tplc="D39EFB08" w:tentative="1">
      <w:start w:val="1"/>
      <w:numFmt w:val="bullet"/>
      <w:lvlText w:val=""/>
      <w:lvlJc w:val="left"/>
      <w:pPr>
        <w:ind w:left="5040" w:hanging="360"/>
      </w:pPr>
      <w:rPr>
        <w:rFonts w:ascii="Symbol" w:hAnsi="Symbol" w:hint="default"/>
      </w:rPr>
    </w:lvl>
    <w:lvl w:ilvl="7" w:tplc="0602B2E2" w:tentative="1">
      <w:start w:val="1"/>
      <w:numFmt w:val="bullet"/>
      <w:lvlText w:val="o"/>
      <w:lvlJc w:val="left"/>
      <w:pPr>
        <w:ind w:left="5760" w:hanging="360"/>
      </w:pPr>
      <w:rPr>
        <w:rFonts w:ascii="Courier New" w:hAnsi="Courier New" w:cs="Courier New" w:hint="default"/>
      </w:rPr>
    </w:lvl>
    <w:lvl w:ilvl="8" w:tplc="FBCAFA50" w:tentative="1">
      <w:start w:val="1"/>
      <w:numFmt w:val="bullet"/>
      <w:lvlText w:val=""/>
      <w:lvlJc w:val="left"/>
      <w:pPr>
        <w:ind w:left="6480" w:hanging="360"/>
      </w:pPr>
      <w:rPr>
        <w:rFonts w:ascii="Wingdings" w:hAnsi="Wingdings" w:hint="default"/>
      </w:rPr>
    </w:lvl>
  </w:abstractNum>
  <w:abstractNum w:abstractNumId="54" w15:restartNumberingAfterBreak="0">
    <w:nsid w:val="4A0263B8"/>
    <w:multiLevelType w:val="hybridMultilevel"/>
    <w:tmpl w:val="B574CADA"/>
    <w:lvl w:ilvl="0" w:tplc="69EE26F6">
      <w:start w:val="1"/>
      <w:numFmt w:val="bullet"/>
      <w:lvlText w:val=""/>
      <w:lvlJc w:val="left"/>
      <w:pPr>
        <w:ind w:left="720" w:hanging="360"/>
      </w:pPr>
      <w:rPr>
        <w:rFonts w:ascii="Symbol" w:hAnsi="Symbol" w:hint="default"/>
      </w:rPr>
    </w:lvl>
    <w:lvl w:ilvl="1" w:tplc="25A6A9DC" w:tentative="1">
      <w:start w:val="1"/>
      <w:numFmt w:val="bullet"/>
      <w:lvlText w:val="o"/>
      <w:lvlJc w:val="left"/>
      <w:pPr>
        <w:ind w:left="1440" w:hanging="360"/>
      </w:pPr>
      <w:rPr>
        <w:rFonts w:ascii="Courier New" w:hAnsi="Courier New" w:cs="Courier New" w:hint="default"/>
      </w:rPr>
    </w:lvl>
    <w:lvl w:ilvl="2" w:tplc="C8D8B09E" w:tentative="1">
      <w:start w:val="1"/>
      <w:numFmt w:val="bullet"/>
      <w:lvlText w:val=""/>
      <w:lvlJc w:val="left"/>
      <w:pPr>
        <w:ind w:left="2160" w:hanging="360"/>
      </w:pPr>
      <w:rPr>
        <w:rFonts w:ascii="Wingdings" w:hAnsi="Wingdings" w:hint="default"/>
      </w:rPr>
    </w:lvl>
    <w:lvl w:ilvl="3" w:tplc="1FE02DCA" w:tentative="1">
      <w:start w:val="1"/>
      <w:numFmt w:val="bullet"/>
      <w:lvlText w:val=""/>
      <w:lvlJc w:val="left"/>
      <w:pPr>
        <w:ind w:left="2880" w:hanging="360"/>
      </w:pPr>
      <w:rPr>
        <w:rFonts w:ascii="Symbol" w:hAnsi="Symbol" w:hint="default"/>
      </w:rPr>
    </w:lvl>
    <w:lvl w:ilvl="4" w:tplc="0388C5F4" w:tentative="1">
      <w:start w:val="1"/>
      <w:numFmt w:val="bullet"/>
      <w:lvlText w:val="o"/>
      <w:lvlJc w:val="left"/>
      <w:pPr>
        <w:ind w:left="3600" w:hanging="360"/>
      </w:pPr>
      <w:rPr>
        <w:rFonts w:ascii="Courier New" w:hAnsi="Courier New" w:cs="Courier New" w:hint="default"/>
      </w:rPr>
    </w:lvl>
    <w:lvl w:ilvl="5" w:tplc="A5BA5EA2" w:tentative="1">
      <w:start w:val="1"/>
      <w:numFmt w:val="bullet"/>
      <w:lvlText w:val=""/>
      <w:lvlJc w:val="left"/>
      <w:pPr>
        <w:ind w:left="4320" w:hanging="360"/>
      </w:pPr>
      <w:rPr>
        <w:rFonts w:ascii="Wingdings" w:hAnsi="Wingdings" w:hint="default"/>
      </w:rPr>
    </w:lvl>
    <w:lvl w:ilvl="6" w:tplc="C6869552" w:tentative="1">
      <w:start w:val="1"/>
      <w:numFmt w:val="bullet"/>
      <w:lvlText w:val=""/>
      <w:lvlJc w:val="left"/>
      <w:pPr>
        <w:ind w:left="5040" w:hanging="360"/>
      </w:pPr>
      <w:rPr>
        <w:rFonts w:ascii="Symbol" w:hAnsi="Symbol" w:hint="default"/>
      </w:rPr>
    </w:lvl>
    <w:lvl w:ilvl="7" w:tplc="19AC4018" w:tentative="1">
      <w:start w:val="1"/>
      <w:numFmt w:val="bullet"/>
      <w:lvlText w:val="o"/>
      <w:lvlJc w:val="left"/>
      <w:pPr>
        <w:ind w:left="5760" w:hanging="360"/>
      </w:pPr>
      <w:rPr>
        <w:rFonts w:ascii="Courier New" w:hAnsi="Courier New" w:cs="Courier New" w:hint="default"/>
      </w:rPr>
    </w:lvl>
    <w:lvl w:ilvl="8" w:tplc="56160F76" w:tentative="1">
      <w:start w:val="1"/>
      <w:numFmt w:val="bullet"/>
      <w:lvlText w:val=""/>
      <w:lvlJc w:val="left"/>
      <w:pPr>
        <w:ind w:left="6480" w:hanging="360"/>
      </w:pPr>
      <w:rPr>
        <w:rFonts w:ascii="Wingdings" w:hAnsi="Wingdings" w:hint="default"/>
      </w:rPr>
    </w:lvl>
  </w:abstractNum>
  <w:abstractNum w:abstractNumId="55" w15:restartNumberingAfterBreak="0">
    <w:nsid w:val="4B0015FE"/>
    <w:multiLevelType w:val="hybridMultilevel"/>
    <w:tmpl w:val="D5825332"/>
    <w:lvl w:ilvl="0" w:tplc="41C0C05A">
      <w:start w:val="1"/>
      <w:numFmt w:val="bullet"/>
      <w:lvlText w:val=""/>
      <w:lvlJc w:val="left"/>
      <w:pPr>
        <w:ind w:left="720" w:hanging="360"/>
      </w:pPr>
      <w:rPr>
        <w:rFonts w:ascii="Symbol" w:hAnsi="Symbol" w:hint="default"/>
      </w:rPr>
    </w:lvl>
    <w:lvl w:ilvl="1" w:tplc="B93E0D86" w:tentative="1">
      <w:start w:val="1"/>
      <w:numFmt w:val="lowerLetter"/>
      <w:lvlText w:val="%2."/>
      <w:lvlJc w:val="left"/>
      <w:pPr>
        <w:ind w:left="1440" w:hanging="360"/>
      </w:pPr>
    </w:lvl>
    <w:lvl w:ilvl="2" w:tplc="3A4E2F22" w:tentative="1">
      <w:start w:val="1"/>
      <w:numFmt w:val="lowerRoman"/>
      <w:lvlText w:val="%3."/>
      <w:lvlJc w:val="right"/>
      <w:pPr>
        <w:ind w:left="2160" w:hanging="180"/>
      </w:pPr>
    </w:lvl>
    <w:lvl w:ilvl="3" w:tplc="9DC28FF2" w:tentative="1">
      <w:start w:val="1"/>
      <w:numFmt w:val="decimal"/>
      <w:lvlText w:val="%4."/>
      <w:lvlJc w:val="left"/>
      <w:pPr>
        <w:ind w:left="2880" w:hanging="360"/>
      </w:pPr>
    </w:lvl>
    <w:lvl w:ilvl="4" w:tplc="C378590C" w:tentative="1">
      <w:start w:val="1"/>
      <w:numFmt w:val="lowerLetter"/>
      <w:lvlText w:val="%5."/>
      <w:lvlJc w:val="left"/>
      <w:pPr>
        <w:ind w:left="3600" w:hanging="360"/>
      </w:pPr>
    </w:lvl>
    <w:lvl w:ilvl="5" w:tplc="82E4C320" w:tentative="1">
      <w:start w:val="1"/>
      <w:numFmt w:val="lowerRoman"/>
      <w:lvlText w:val="%6."/>
      <w:lvlJc w:val="right"/>
      <w:pPr>
        <w:ind w:left="4320" w:hanging="180"/>
      </w:pPr>
    </w:lvl>
    <w:lvl w:ilvl="6" w:tplc="3A96F5A4" w:tentative="1">
      <w:start w:val="1"/>
      <w:numFmt w:val="decimal"/>
      <w:lvlText w:val="%7."/>
      <w:lvlJc w:val="left"/>
      <w:pPr>
        <w:ind w:left="5040" w:hanging="360"/>
      </w:pPr>
    </w:lvl>
    <w:lvl w:ilvl="7" w:tplc="52A0528C" w:tentative="1">
      <w:start w:val="1"/>
      <w:numFmt w:val="lowerLetter"/>
      <w:lvlText w:val="%8."/>
      <w:lvlJc w:val="left"/>
      <w:pPr>
        <w:ind w:left="5760" w:hanging="360"/>
      </w:pPr>
    </w:lvl>
    <w:lvl w:ilvl="8" w:tplc="1DFCA502" w:tentative="1">
      <w:start w:val="1"/>
      <w:numFmt w:val="lowerRoman"/>
      <w:lvlText w:val="%9."/>
      <w:lvlJc w:val="right"/>
      <w:pPr>
        <w:ind w:left="6480" w:hanging="180"/>
      </w:pPr>
    </w:lvl>
  </w:abstractNum>
  <w:abstractNum w:abstractNumId="56" w15:restartNumberingAfterBreak="0">
    <w:nsid w:val="4BBF1761"/>
    <w:multiLevelType w:val="hybridMultilevel"/>
    <w:tmpl w:val="832A5FFC"/>
    <w:lvl w:ilvl="0" w:tplc="0978AE5C">
      <w:start w:val="1"/>
      <w:numFmt w:val="bullet"/>
      <w:lvlText w:val=""/>
      <w:lvlJc w:val="left"/>
      <w:pPr>
        <w:ind w:left="720" w:hanging="360"/>
      </w:pPr>
      <w:rPr>
        <w:rFonts w:ascii="Symbol" w:hAnsi="Symbol" w:hint="default"/>
      </w:rPr>
    </w:lvl>
    <w:lvl w:ilvl="1" w:tplc="ABAA2DE0">
      <w:start w:val="1"/>
      <w:numFmt w:val="bullet"/>
      <w:lvlText w:val="o"/>
      <w:lvlJc w:val="left"/>
      <w:pPr>
        <w:ind w:left="1440" w:hanging="360"/>
      </w:pPr>
      <w:rPr>
        <w:rFonts w:ascii="Courier New" w:hAnsi="Courier New" w:cs="Courier New" w:hint="default"/>
      </w:rPr>
    </w:lvl>
    <w:lvl w:ilvl="2" w:tplc="4E72DCDE" w:tentative="1">
      <w:start w:val="1"/>
      <w:numFmt w:val="bullet"/>
      <w:lvlText w:val=""/>
      <w:lvlJc w:val="left"/>
      <w:pPr>
        <w:ind w:left="2160" w:hanging="360"/>
      </w:pPr>
      <w:rPr>
        <w:rFonts w:ascii="Wingdings" w:hAnsi="Wingdings" w:hint="default"/>
      </w:rPr>
    </w:lvl>
    <w:lvl w:ilvl="3" w:tplc="AB80DE1C" w:tentative="1">
      <w:start w:val="1"/>
      <w:numFmt w:val="bullet"/>
      <w:lvlText w:val=""/>
      <w:lvlJc w:val="left"/>
      <w:pPr>
        <w:ind w:left="2880" w:hanging="360"/>
      </w:pPr>
      <w:rPr>
        <w:rFonts w:ascii="Symbol" w:hAnsi="Symbol" w:hint="default"/>
      </w:rPr>
    </w:lvl>
    <w:lvl w:ilvl="4" w:tplc="56A80712" w:tentative="1">
      <w:start w:val="1"/>
      <w:numFmt w:val="bullet"/>
      <w:lvlText w:val="o"/>
      <w:lvlJc w:val="left"/>
      <w:pPr>
        <w:ind w:left="3600" w:hanging="360"/>
      </w:pPr>
      <w:rPr>
        <w:rFonts w:ascii="Courier New" w:hAnsi="Courier New" w:cs="Courier New" w:hint="default"/>
      </w:rPr>
    </w:lvl>
    <w:lvl w:ilvl="5" w:tplc="A190AA98" w:tentative="1">
      <w:start w:val="1"/>
      <w:numFmt w:val="bullet"/>
      <w:lvlText w:val=""/>
      <w:lvlJc w:val="left"/>
      <w:pPr>
        <w:ind w:left="4320" w:hanging="360"/>
      </w:pPr>
      <w:rPr>
        <w:rFonts w:ascii="Wingdings" w:hAnsi="Wingdings" w:hint="default"/>
      </w:rPr>
    </w:lvl>
    <w:lvl w:ilvl="6" w:tplc="1430CD88" w:tentative="1">
      <w:start w:val="1"/>
      <w:numFmt w:val="bullet"/>
      <w:lvlText w:val=""/>
      <w:lvlJc w:val="left"/>
      <w:pPr>
        <w:ind w:left="5040" w:hanging="360"/>
      </w:pPr>
      <w:rPr>
        <w:rFonts w:ascii="Symbol" w:hAnsi="Symbol" w:hint="default"/>
      </w:rPr>
    </w:lvl>
    <w:lvl w:ilvl="7" w:tplc="6F545356" w:tentative="1">
      <w:start w:val="1"/>
      <w:numFmt w:val="bullet"/>
      <w:lvlText w:val="o"/>
      <w:lvlJc w:val="left"/>
      <w:pPr>
        <w:ind w:left="5760" w:hanging="360"/>
      </w:pPr>
      <w:rPr>
        <w:rFonts w:ascii="Courier New" w:hAnsi="Courier New" w:cs="Courier New" w:hint="default"/>
      </w:rPr>
    </w:lvl>
    <w:lvl w:ilvl="8" w:tplc="73AE6628" w:tentative="1">
      <w:start w:val="1"/>
      <w:numFmt w:val="bullet"/>
      <w:lvlText w:val=""/>
      <w:lvlJc w:val="left"/>
      <w:pPr>
        <w:ind w:left="6480" w:hanging="360"/>
      </w:pPr>
      <w:rPr>
        <w:rFonts w:ascii="Wingdings" w:hAnsi="Wingdings" w:hint="default"/>
      </w:rPr>
    </w:lvl>
  </w:abstractNum>
  <w:abstractNum w:abstractNumId="57" w15:restartNumberingAfterBreak="0">
    <w:nsid w:val="50E11773"/>
    <w:multiLevelType w:val="hybridMultilevel"/>
    <w:tmpl w:val="EE96A14C"/>
    <w:lvl w:ilvl="0" w:tplc="7324A052">
      <w:start w:val="1"/>
      <w:numFmt w:val="decimal"/>
      <w:lvlText w:val="%1."/>
      <w:lvlJc w:val="left"/>
      <w:pPr>
        <w:ind w:left="705" w:hanging="705"/>
      </w:pPr>
      <w:rPr>
        <w:rFonts w:hint="default"/>
        <w:b/>
      </w:rPr>
    </w:lvl>
    <w:lvl w:ilvl="1" w:tplc="F1EEB67A" w:tentative="1">
      <w:start w:val="1"/>
      <w:numFmt w:val="lowerLetter"/>
      <w:lvlText w:val="%2."/>
      <w:lvlJc w:val="left"/>
      <w:pPr>
        <w:ind w:left="1080" w:hanging="360"/>
      </w:pPr>
    </w:lvl>
    <w:lvl w:ilvl="2" w:tplc="1C9850DE" w:tentative="1">
      <w:start w:val="1"/>
      <w:numFmt w:val="lowerRoman"/>
      <w:lvlText w:val="%3."/>
      <w:lvlJc w:val="right"/>
      <w:pPr>
        <w:ind w:left="1800" w:hanging="180"/>
      </w:pPr>
    </w:lvl>
    <w:lvl w:ilvl="3" w:tplc="DAD6E8EA" w:tentative="1">
      <w:start w:val="1"/>
      <w:numFmt w:val="decimal"/>
      <w:lvlText w:val="%4."/>
      <w:lvlJc w:val="left"/>
      <w:pPr>
        <w:ind w:left="2520" w:hanging="360"/>
      </w:pPr>
    </w:lvl>
    <w:lvl w:ilvl="4" w:tplc="10782FE8" w:tentative="1">
      <w:start w:val="1"/>
      <w:numFmt w:val="lowerLetter"/>
      <w:lvlText w:val="%5."/>
      <w:lvlJc w:val="left"/>
      <w:pPr>
        <w:ind w:left="3240" w:hanging="360"/>
      </w:pPr>
    </w:lvl>
    <w:lvl w:ilvl="5" w:tplc="5D68BF1A" w:tentative="1">
      <w:start w:val="1"/>
      <w:numFmt w:val="lowerRoman"/>
      <w:lvlText w:val="%6."/>
      <w:lvlJc w:val="right"/>
      <w:pPr>
        <w:ind w:left="3960" w:hanging="180"/>
      </w:pPr>
    </w:lvl>
    <w:lvl w:ilvl="6" w:tplc="C4F80744" w:tentative="1">
      <w:start w:val="1"/>
      <w:numFmt w:val="decimal"/>
      <w:lvlText w:val="%7."/>
      <w:lvlJc w:val="left"/>
      <w:pPr>
        <w:ind w:left="4680" w:hanging="360"/>
      </w:pPr>
    </w:lvl>
    <w:lvl w:ilvl="7" w:tplc="07187C42" w:tentative="1">
      <w:start w:val="1"/>
      <w:numFmt w:val="lowerLetter"/>
      <w:lvlText w:val="%8."/>
      <w:lvlJc w:val="left"/>
      <w:pPr>
        <w:ind w:left="5400" w:hanging="360"/>
      </w:pPr>
    </w:lvl>
    <w:lvl w:ilvl="8" w:tplc="56183A7E" w:tentative="1">
      <w:start w:val="1"/>
      <w:numFmt w:val="lowerRoman"/>
      <w:lvlText w:val="%9."/>
      <w:lvlJc w:val="right"/>
      <w:pPr>
        <w:ind w:left="6120" w:hanging="180"/>
      </w:pPr>
    </w:lvl>
  </w:abstractNum>
  <w:abstractNum w:abstractNumId="58" w15:restartNumberingAfterBreak="0">
    <w:nsid w:val="51AF7C96"/>
    <w:multiLevelType w:val="hybridMultilevel"/>
    <w:tmpl w:val="99223A0E"/>
    <w:lvl w:ilvl="0" w:tplc="C1E6482E">
      <w:start w:val="1"/>
      <w:numFmt w:val="bullet"/>
      <w:lvlText w:val=""/>
      <w:lvlJc w:val="left"/>
      <w:pPr>
        <w:ind w:left="720" w:hanging="360"/>
      </w:pPr>
      <w:rPr>
        <w:rFonts w:ascii="Symbol" w:hAnsi="Symbol" w:hint="default"/>
      </w:rPr>
    </w:lvl>
    <w:lvl w:ilvl="1" w:tplc="A336C808" w:tentative="1">
      <w:start w:val="1"/>
      <w:numFmt w:val="bullet"/>
      <w:lvlText w:val="o"/>
      <w:lvlJc w:val="left"/>
      <w:pPr>
        <w:ind w:left="1440" w:hanging="360"/>
      </w:pPr>
      <w:rPr>
        <w:rFonts w:ascii="Courier New" w:hAnsi="Courier New" w:cs="Courier New" w:hint="default"/>
      </w:rPr>
    </w:lvl>
    <w:lvl w:ilvl="2" w:tplc="90EAFB96" w:tentative="1">
      <w:start w:val="1"/>
      <w:numFmt w:val="bullet"/>
      <w:lvlText w:val=""/>
      <w:lvlJc w:val="left"/>
      <w:pPr>
        <w:ind w:left="2160" w:hanging="360"/>
      </w:pPr>
      <w:rPr>
        <w:rFonts w:ascii="Wingdings" w:hAnsi="Wingdings" w:hint="default"/>
      </w:rPr>
    </w:lvl>
    <w:lvl w:ilvl="3" w:tplc="647A26A4" w:tentative="1">
      <w:start w:val="1"/>
      <w:numFmt w:val="bullet"/>
      <w:lvlText w:val=""/>
      <w:lvlJc w:val="left"/>
      <w:pPr>
        <w:ind w:left="2880" w:hanging="360"/>
      </w:pPr>
      <w:rPr>
        <w:rFonts w:ascii="Symbol" w:hAnsi="Symbol" w:hint="default"/>
      </w:rPr>
    </w:lvl>
    <w:lvl w:ilvl="4" w:tplc="B590C1F6" w:tentative="1">
      <w:start w:val="1"/>
      <w:numFmt w:val="bullet"/>
      <w:lvlText w:val="o"/>
      <w:lvlJc w:val="left"/>
      <w:pPr>
        <w:ind w:left="3600" w:hanging="360"/>
      </w:pPr>
      <w:rPr>
        <w:rFonts w:ascii="Courier New" w:hAnsi="Courier New" w:cs="Courier New" w:hint="default"/>
      </w:rPr>
    </w:lvl>
    <w:lvl w:ilvl="5" w:tplc="83385FA0" w:tentative="1">
      <w:start w:val="1"/>
      <w:numFmt w:val="bullet"/>
      <w:lvlText w:val=""/>
      <w:lvlJc w:val="left"/>
      <w:pPr>
        <w:ind w:left="4320" w:hanging="360"/>
      </w:pPr>
      <w:rPr>
        <w:rFonts w:ascii="Wingdings" w:hAnsi="Wingdings" w:hint="default"/>
      </w:rPr>
    </w:lvl>
    <w:lvl w:ilvl="6" w:tplc="0FCA220E" w:tentative="1">
      <w:start w:val="1"/>
      <w:numFmt w:val="bullet"/>
      <w:lvlText w:val=""/>
      <w:lvlJc w:val="left"/>
      <w:pPr>
        <w:ind w:left="5040" w:hanging="360"/>
      </w:pPr>
      <w:rPr>
        <w:rFonts w:ascii="Symbol" w:hAnsi="Symbol" w:hint="default"/>
      </w:rPr>
    </w:lvl>
    <w:lvl w:ilvl="7" w:tplc="F4C27BDC" w:tentative="1">
      <w:start w:val="1"/>
      <w:numFmt w:val="bullet"/>
      <w:lvlText w:val="o"/>
      <w:lvlJc w:val="left"/>
      <w:pPr>
        <w:ind w:left="5760" w:hanging="360"/>
      </w:pPr>
      <w:rPr>
        <w:rFonts w:ascii="Courier New" w:hAnsi="Courier New" w:cs="Courier New" w:hint="default"/>
      </w:rPr>
    </w:lvl>
    <w:lvl w:ilvl="8" w:tplc="13A4E108" w:tentative="1">
      <w:start w:val="1"/>
      <w:numFmt w:val="bullet"/>
      <w:lvlText w:val=""/>
      <w:lvlJc w:val="left"/>
      <w:pPr>
        <w:ind w:left="6480" w:hanging="360"/>
      </w:pPr>
      <w:rPr>
        <w:rFonts w:ascii="Wingdings" w:hAnsi="Wingdings" w:hint="default"/>
      </w:rPr>
    </w:lvl>
  </w:abstractNum>
  <w:abstractNum w:abstractNumId="59"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0" w15:restartNumberingAfterBreak="0">
    <w:nsid w:val="54E63B84"/>
    <w:multiLevelType w:val="hybridMultilevel"/>
    <w:tmpl w:val="CC1AC02E"/>
    <w:lvl w:ilvl="0" w:tplc="A0F44C3E">
      <w:start w:val="1"/>
      <w:numFmt w:val="bullet"/>
      <w:lvlText w:val=""/>
      <w:lvlJc w:val="left"/>
      <w:pPr>
        <w:ind w:left="1428" w:hanging="360"/>
      </w:pPr>
      <w:rPr>
        <w:rFonts w:ascii="Symbol" w:hAnsi="Symbol" w:hint="default"/>
      </w:rPr>
    </w:lvl>
    <w:lvl w:ilvl="1" w:tplc="7718659C">
      <w:start w:val="1"/>
      <w:numFmt w:val="bullet"/>
      <w:lvlText w:val="o"/>
      <w:lvlJc w:val="left"/>
      <w:pPr>
        <w:ind w:left="2148" w:hanging="360"/>
      </w:pPr>
      <w:rPr>
        <w:rFonts w:ascii="Courier New" w:hAnsi="Courier New" w:cs="Courier New" w:hint="default"/>
      </w:rPr>
    </w:lvl>
    <w:lvl w:ilvl="2" w:tplc="8C9A66E8">
      <w:start w:val="1"/>
      <w:numFmt w:val="bullet"/>
      <w:lvlText w:val=""/>
      <w:lvlJc w:val="left"/>
      <w:pPr>
        <w:ind w:left="2868" w:hanging="360"/>
      </w:pPr>
      <w:rPr>
        <w:rFonts w:ascii="Wingdings" w:hAnsi="Wingdings" w:hint="default"/>
      </w:rPr>
    </w:lvl>
    <w:lvl w:ilvl="3" w:tplc="690C4BEA" w:tentative="1">
      <w:start w:val="1"/>
      <w:numFmt w:val="bullet"/>
      <w:lvlText w:val=""/>
      <w:lvlJc w:val="left"/>
      <w:pPr>
        <w:ind w:left="3588" w:hanging="360"/>
      </w:pPr>
      <w:rPr>
        <w:rFonts w:ascii="Symbol" w:hAnsi="Symbol" w:hint="default"/>
      </w:rPr>
    </w:lvl>
    <w:lvl w:ilvl="4" w:tplc="CD46A0F6" w:tentative="1">
      <w:start w:val="1"/>
      <w:numFmt w:val="bullet"/>
      <w:lvlText w:val="o"/>
      <w:lvlJc w:val="left"/>
      <w:pPr>
        <w:ind w:left="4308" w:hanging="360"/>
      </w:pPr>
      <w:rPr>
        <w:rFonts w:ascii="Courier New" w:hAnsi="Courier New" w:cs="Courier New" w:hint="default"/>
      </w:rPr>
    </w:lvl>
    <w:lvl w:ilvl="5" w:tplc="A8A2E276" w:tentative="1">
      <w:start w:val="1"/>
      <w:numFmt w:val="bullet"/>
      <w:lvlText w:val=""/>
      <w:lvlJc w:val="left"/>
      <w:pPr>
        <w:ind w:left="5028" w:hanging="360"/>
      </w:pPr>
      <w:rPr>
        <w:rFonts w:ascii="Wingdings" w:hAnsi="Wingdings" w:hint="default"/>
      </w:rPr>
    </w:lvl>
    <w:lvl w:ilvl="6" w:tplc="55DAF98E" w:tentative="1">
      <w:start w:val="1"/>
      <w:numFmt w:val="bullet"/>
      <w:lvlText w:val=""/>
      <w:lvlJc w:val="left"/>
      <w:pPr>
        <w:ind w:left="5748" w:hanging="360"/>
      </w:pPr>
      <w:rPr>
        <w:rFonts w:ascii="Symbol" w:hAnsi="Symbol" w:hint="default"/>
      </w:rPr>
    </w:lvl>
    <w:lvl w:ilvl="7" w:tplc="75360552" w:tentative="1">
      <w:start w:val="1"/>
      <w:numFmt w:val="bullet"/>
      <w:lvlText w:val="o"/>
      <w:lvlJc w:val="left"/>
      <w:pPr>
        <w:ind w:left="6468" w:hanging="360"/>
      </w:pPr>
      <w:rPr>
        <w:rFonts w:ascii="Courier New" w:hAnsi="Courier New" w:cs="Courier New" w:hint="default"/>
      </w:rPr>
    </w:lvl>
    <w:lvl w:ilvl="8" w:tplc="8EC0CA9E" w:tentative="1">
      <w:start w:val="1"/>
      <w:numFmt w:val="bullet"/>
      <w:lvlText w:val=""/>
      <w:lvlJc w:val="left"/>
      <w:pPr>
        <w:ind w:left="7188" w:hanging="360"/>
      </w:pPr>
      <w:rPr>
        <w:rFonts w:ascii="Wingdings" w:hAnsi="Wingdings" w:hint="default"/>
      </w:rPr>
    </w:lvl>
  </w:abstractNum>
  <w:abstractNum w:abstractNumId="61" w15:restartNumberingAfterBreak="0">
    <w:nsid w:val="54E7736F"/>
    <w:multiLevelType w:val="hybridMultilevel"/>
    <w:tmpl w:val="20825D08"/>
    <w:lvl w:ilvl="0" w:tplc="EBC6B4B8">
      <w:start w:val="1"/>
      <w:numFmt w:val="decimal"/>
      <w:pStyle w:val="Norml1"/>
      <w:lvlText w:val="%1."/>
      <w:lvlJc w:val="left"/>
      <w:pPr>
        <w:tabs>
          <w:tab w:val="num" w:pos="900"/>
        </w:tabs>
        <w:ind w:left="900" w:hanging="360"/>
      </w:pPr>
    </w:lvl>
    <w:lvl w:ilvl="1" w:tplc="8F7899E8">
      <w:start w:val="1"/>
      <w:numFmt w:val="bullet"/>
      <w:lvlText w:val="o"/>
      <w:lvlJc w:val="left"/>
      <w:pPr>
        <w:tabs>
          <w:tab w:val="num" w:pos="1346"/>
        </w:tabs>
        <w:ind w:left="1346" w:hanging="360"/>
      </w:pPr>
      <w:rPr>
        <w:rFonts w:ascii="Courier New" w:hAnsi="Courier New" w:cs="Courier New" w:hint="default"/>
      </w:rPr>
    </w:lvl>
    <w:lvl w:ilvl="2" w:tplc="D8327860">
      <w:start w:val="1"/>
      <w:numFmt w:val="bullet"/>
      <w:lvlText w:val=""/>
      <w:lvlJc w:val="left"/>
      <w:pPr>
        <w:tabs>
          <w:tab w:val="num" w:pos="2246"/>
        </w:tabs>
        <w:ind w:left="2246" w:hanging="360"/>
      </w:pPr>
      <w:rPr>
        <w:rFonts w:ascii="Symbol" w:hAnsi="Symbol" w:hint="default"/>
      </w:rPr>
    </w:lvl>
    <w:lvl w:ilvl="3" w:tplc="740C8CB2">
      <w:start w:val="1"/>
      <w:numFmt w:val="decimal"/>
      <w:lvlText w:val="%4."/>
      <w:lvlJc w:val="left"/>
      <w:pPr>
        <w:tabs>
          <w:tab w:val="num" w:pos="2786"/>
        </w:tabs>
        <w:ind w:left="2786" w:hanging="360"/>
      </w:pPr>
    </w:lvl>
    <w:lvl w:ilvl="4" w:tplc="F01AD20A" w:tentative="1">
      <w:start w:val="1"/>
      <w:numFmt w:val="lowerLetter"/>
      <w:lvlText w:val="%5."/>
      <w:lvlJc w:val="left"/>
      <w:pPr>
        <w:tabs>
          <w:tab w:val="num" w:pos="3506"/>
        </w:tabs>
        <w:ind w:left="3506" w:hanging="360"/>
      </w:pPr>
    </w:lvl>
    <w:lvl w:ilvl="5" w:tplc="80606C2E" w:tentative="1">
      <w:start w:val="1"/>
      <w:numFmt w:val="lowerRoman"/>
      <w:lvlText w:val="%6."/>
      <w:lvlJc w:val="right"/>
      <w:pPr>
        <w:tabs>
          <w:tab w:val="num" w:pos="4226"/>
        </w:tabs>
        <w:ind w:left="4226" w:hanging="180"/>
      </w:pPr>
    </w:lvl>
    <w:lvl w:ilvl="6" w:tplc="A3B2729C" w:tentative="1">
      <w:start w:val="1"/>
      <w:numFmt w:val="decimal"/>
      <w:lvlText w:val="%7."/>
      <w:lvlJc w:val="left"/>
      <w:pPr>
        <w:tabs>
          <w:tab w:val="num" w:pos="4946"/>
        </w:tabs>
        <w:ind w:left="4946" w:hanging="360"/>
      </w:pPr>
    </w:lvl>
    <w:lvl w:ilvl="7" w:tplc="67E670D2" w:tentative="1">
      <w:start w:val="1"/>
      <w:numFmt w:val="lowerLetter"/>
      <w:lvlText w:val="%8."/>
      <w:lvlJc w:val="left"/>
      <w:pPr>
        <w:tabs>
          <w:tab w:val="num" w:pos="5666"/>
        </w:tabs>
        <w:ind w:left="5666" w:hanging="360"/>
      </w:pPr>
    </w:lvl>
    <w:lvl w:ilvl="8" w:tplc="84169EF4" w:tentative="1">
      <w:start w:val="1"/>
      <w:numFmt w:val="lowerRoman"/>
      <w:lvlText w:val="%9."/>
      <w:lvlJc w:val="right"/>
      <w:pPr>
        <w:tabs>
          <w:tab w:val="num" w:pos="6386"/>
        </w:tabs>
        <w:ind w:left="6386" w:hanging="180"/>
      </w:pPr>
    </w:lvl>
  </w:abstractNum>
  <w:abstractNum w:abstractNumId="62" w15:restartNumberingAfterBreak="0">
    <w:nsid w:val="55364BF9"/>
    <w:multiLevelType w:val="hybridMultilevel"/>
    <w:tmpl w:val="AB961616"/>
    <w:lvl w:ilvl="0" w:tplc="4ACE4F14">
      <w:start w:val="1"/>
      <w:numFmt w:val="bullet"/>
      <w:lvlText w:val=""/>
      <w:lvlJc w:val="left"/>
      <w:pPr>
        <w:ind w:left="720" w:hanging="360"/>
      </w:pPr>
      <w:rPr>
        <w:rFonts w:ascii="Symbol" w:hAnsi="Symbol" w:hint="default"/>
      </w:rPr>
    </w:lvl>
    <w:lvl w:ilvl="1" w:tplc="4B8C8916" w:tentative="1">
      <w:start w:val="1"/>
      <w:numFmt w:val="bullet"/>
      <w:lvlText w:val="o"/>
      <w:lvlJc w:val="left"/>
      <w:pPr>
        <w:ind w:left="1440" w:hanging="360"/>
      </w:pPr>
      <w:rPr>
        <w:rFonts w:ascii="Courier New" w:hAnsi="Courier New" w:cs="Courier New" w:hint="default"/>
      </w:rPr>
    </w:lvl>
    <w:lvl w:ilvl="2" w:tplc="A9D4AA34" w:tentative="1">
      <w:start w:val="1"/>
      <w:numFmt w:val="bullet"/>
      <w:lvlText w:val=""/>
      <w:lvlJc w:val="left"/>
      <w:pPr>
        <w:ind w:left="2160" w:hanging="360"/>
      </w:pPr>
      <w:rPr>
        <w:rFonts w:ascii="Wingdings" w:hAnsi="Wingdings" w:hint="default"/>
      </w:rPr>
    </w:lvl>
    <w:lvl w:ilvl="3" w:tplc="280E1874" w:tentative="1">
      <w:start w:val="1"/>
      <w:numFmt w:val="bullet"/>
      <w:lvlText w:val=""/>
      <w:lvlJc w:val="left"/>
      <w:pPr>
        <w:ind w:left="2880" w:hanging="360"/>
      </w:pPr>
      <w:rPr>
        <w:rFonts w:ascii="Symbol" w:hAnsi="Symbol" w:hint="default"/>
      </w:rPr>
    </w:lvl>
    <w:lvl w:ilvl="4" w:tplc="96C20E70" w:tentative="1">
      <w:start w:val="1"/>
      <w:numFmt w:val="bullet"/>
      <w:lvlText w:val="o"/>
      <w:lvlJc w:val="left"/>
      <w:pPr>
        <w:ind w:left="3600" w:hanging="360"/>
      </w:pPr>
      <w:rPr>
        <w:rFonts w:ascii="Courier New" w:hAnsi="Courier New" w:cs="Courier New" w:hint="default"/>
      </w:rPr>
    </w:lvl>
    <w:lvl w:ilvl="5" w:tplc="21447728" w:tentative="1">
      <w:start w:val="1"/>
      <w:numFmt w:val="bullet"/>
      <w:lvlText w:val=""/>
      <w:lvlJc w:val="left"/>
      <w:pPr>
        <w:ind w:left="4320" w:hanging="360"/>
      </w:pPr>
      <w:rPr>
        <w:rFonts w:ascii="Wingdings" w:hAnsi="Wingdings" w:hint="default"/>
      </w:rPr>
    </w:lvl>
    <w:lvl w:ilvl="6" w:tplc="96FCB5F4" w:tentative="1">
      <w:start w:val="1"/>
      <w:numFmt w:val="bullet"/>
      <w:lvlText w:val=""/>
      <w:lvlJc w:val="left"/>
      <w:pPr>
        <w:ind w:left="5040" w:hanging="360"/>
      </w:pPr>
      <w:rPr>
        <w:rFonts w:ascii="Symbol" w:hAnsi="Symbol" w:hint="default"/>
      </w:rPr>
    </w:lvl>
    <w:lvl w:ilvl="7" w:tplc="CAB2B19E" w:tentative="1">
      <w:start w:val="1"/>
      <w:numFmt w:val="bullet"/>
      <w:lvlText w:val="o"/>
      <w:lvlJc w:val="left"/>
      <w:pPr>
        <w:ind w:left="5760" w:hanging="360"/>
      </w:pPr>
      <w:rPr>
        <w:rFonts w:ascii="Courier New" w:hAnsi="Courier New" w:cs="Courier New" w:hint="default"/>
      </w:rPr>
    </w:lvl>
    <w:lvl w:ilvl="8" w:tplc="ADDEBD38" w:tentative="1">
      <w:start w:val="1"/>
      <w:numFmt w:val="bullet"/>
      <w:lvlText w:val=""/>
      <w:lvlJc w:val="left"/>
      <w:pPr>
        <w:ind w:left="6480" w:hanging="360"/>
      </w:pPr>
      <w:rPr>
        <w:rFonts w:ascii="Wingdings" w:hAnsi="Wingdings" w:hint="default"/>
      </w:rPr>
    </w:lvl>
  </w:abstractNum>
  <w:abstractNum w:abstractNumId="63" w15:restartNumberingAfterBreak="0">
    <w:nsid w:val="5B0B0FD5"/>
    <w:multiLevelType w:val="hybridMultilevel"/>
    <w:tmpl w:val="920C4052"/>
    <w:lvl w:ilvl="0" w:tplc="04A6A974">
      <w:start w:val="1"/>
      <w:numFmt w:val="upperLetter"/>
      <w:lvlText w:val="%1."/>
      <w:lvlJc w:val="left"/>
      <w:pPr>
        <w:ind w:left="720" w:hanging="360"/>
      </w:pPr>
    </w:lvl>
    <w:lvl w:ilvl="1" w:tplc="4216BC0E" w:tentative="1">
      <w:start w:val="1"/>
      <w:numFmt w:val="lowerLetter"/>
      <w:lvlText w:val="%2."/>
      <w:lvlJc w:val="left"/>
      <w:pPr>
        <w:ind w:left="1440" w:hanging="360"/>
      </w:pPr>
    </w:lvl>
    <w:lvl w:ilvl="2" w:tplc="D8061C1C" w:tentative="1">
      <w:start w:val="1"/>
      <w:numFmt w:val="lowerRoman"/>
      <w:lvlText w:val="%3."/>
      <w:lvlJc w:val="right"/>
      <w:pPr>
        <w:ind w:left="2160" w:hanging="180"/>
      </w:pPr>
    </w:lvl>
    <w:lvl w:ilvl="3" w:tplc="E92CE9E4" w:tentative="1">
      <w:start w:val="1"/>
      <w:numFmt w:val="decimal"/>
      <w:lvlText w:val="%4."/>
      <w:lvlJc w:val="left"/>
      <w:pPr>
        <w:ind w:left="2880" w:hanging="360"/>
      </w:pPr>
    </w:lvl>
    <w:lvl w:ilvl="4" w:tplc="566A8D9E" w:tentative="1">
      <w:start w:val="1"/>
      <w:numFmt w:val="lowerLetter"/>
      <w:lvlText w:val="%5."/>
      <w:lvlJc w:val="left"/>
      <w:pPr>
        <w:ind w:left="3600" w:hanging="360"/>
      </w:pPr>
    </w:lvl>
    <w:lvl w:ilvl="5" w:tplc="7666C54A" w:tentative="1">
      <w:start w:val="1"/>
      <w:numFmt w:val="lowerRoman"/>
      <w:lvlText w:val="%6."/>
      <w:lvlJc w:val="right"/>
      <w:pPr>
        <w:ind w:left="4320" w:hanging="180"/>
      </w:pPr>
    </w:lvl>
    <w:lvl w:ilvl="6" w:tplc="46DE1F5C" w:tentative="1">
      <w:start w:val="1"/>
      <w:numFmt w:val="decimal"/>
      <w:lvlText w:val="%7."/>
      <w:lvlJc w:val="left"/>
      <w:pPr>
        <w:ind w:left="5040" w:hanging="360"/>
      </w:pPr>
    </w:lvl>
    <w:lvl w:ilvl="7" w:tplc="7DC42A40" w:tentative="1">
      <w:start w:val="1"/>
      <w:numFmt w:val="lowerLetter"/>
      <w:lvlText w:val="%8."/>
      <w:lvlJc w:val="left"/>
      <w:pPr>
        <w:ind w:left="5760" w:hanging="360"/>
      </w:pPr>
    </w:lvl>
    <w:lvl w:ilvl="8" w:tplc="5E1E1D88" w:tentative="1">
      <w:start w:val="1"/>
      <w:numFmt w:val="lowerRoman"/>
      <w:lvlText w:val="%9."/>
      <w:lvlJc w:val="right"/>
      <w:pPr>
        <w:ind w:left="6480" w:hanging="180"/>
      </w:pPr>
    </w:lvl>
  </w:abstractNum>
  <w:abstractNum w:abstractNumId="64" w15:restartNumberingAfterBreak="0">
    <w:nsid w:val="5C125C8F"/>
    <w:multiLevelType w:val="hybridMultilevel"/>
    <w:tmpl w:val="3A3EBE8E"/>
    <w:lvl w:ilvl="0" w:tplc="4C4C77F0">
      <w:start w:val="1"/>
      <w:numFmt w:val="bullet"/>
      <w:lvlText w:val=""/>
      <w:lvlJc w:val="left"/>
      <w:pPr>
        <w:ind w:left="720" w:hanging="360"/>
      </w:pPr>
      <w:rPr>
        <w:rFonts w:ascii="Symbol" w:hAnsi="Symbol" w:hint="default"/>
      </w:rPr>
    </w:lvl>
    <w:lvl w:ilvl="1" w:tplc="C81EA57A" w:tentative="1">
      <w:start w:val="1"/>
      <w:numFmt w:val="bullet"/>
      <w:lvlText w:val="o"/>
      <w:lvlJc w:val="left"/>
      <w:pPr>
        <w:ind w:left="1440" w:hanging="360"/>
      </w:pPr>
      <w:rPr>
        <w:rFonts w:ascii="Courier New" w:hAnsi="Courier New" w:cs="Courier New" w:hint="default"/>
      </w:rPr>
    </w:lvl>
    <w:lvl w:ilvl="2" w:tplc="D30E8144" w:tentative="1">
      <w:start w:val="1"/>
      <w:numFmt w:val="bullet"/>
      <w:lvlText w:val=""/>
      <w:lvlJc w:val="left"/>
      <w:pPr>
        <w:ind w:left="2160" w:hanging="360"/>
      </w:pPr>
      <w:rPr>
        <w:rFonts w:ascii="Wingdings" w:hAnsi="Wingdings" w:hint="default"/>
      </w:rPr>
    </w:lvl>
    <w:lvl w:ilvl="3" w:tplc="8FD2ECE2" w:tentative="1">
      <w:start w:val="1"/>
      <w:numFmt w:val="bullet"/>
      <w:lvlText w:val=""/>
      <w:lvlJc w:val="left"/>
      <w:pPr>
        <w:ind w:left="2880" w:hanging="360"/>
      </w:pPr>
      <w:rPr>
        <w:rFonts w:ascii="Symbol" w:hAnsi="Symbol" w:hint="default"/>
      </w:rPr>
    </w:lvl>
    <w:lvl w:ilvl="4" w:tplc="5E8479E0" w:tentative="1">
      <w:start w:val="1"/>
      <w:numFmt w:val="bullet"/>
      <w:lvlText w:val="o"/>
      <w:lvlJc w:val="left"/>
      <w:pPr>
        <w:ind w:left="3600" w:hanging="360"/>
      </w:pPr>
      <w:rPr>
        <w:rFonts w:ascii="Courier New" w:hAnsi="Courier New" w:cs="Courier New" w:hint="default"/>
      </w:rPr>
    </w:lvl>
    <w:lvl w:ilvl="5" w:tplc="E8C0950A" w:tentative="1">
      <w:start w:val="1"/>
      <w:numFmt w:val="bullet"/>
      <w:lvlText w:val=""/>
      <w:lvlJc w:val="left"/>
      <w:pPr>
        <w:ind w:left="4320" w:hanging="360"/>
      </w:pPr>
      <w:rPr>
        <w:rFonts w:ascii="Wingdings" w:hAnsi="Wingdings" w:hint="default"/>
      </w:rPr>
    </w:lvl>
    <w:lvl w:ilvl="6" w:tplc="0C22B38C" w:tentative="1">
      <w:start w:val="1"/>
      <w:numFmt w:val="bullet"/>
      <w:lvlText w:val=""/>
      <w:lvlJc w:val="left"/>
      <w:pPr>
        <w:ind w:left="5040" w:hanging="360"/>
      </w:pPr>
      <w:rPr>
        <w:rFonts w:ascii="Symbol" w:hAnsi="Symbol" w:hint="default"/>
      </w:rPr>
    </w:lvl>
    <w:lvl w:ilvl="7" w:tplc="83282A96" w:tentative="1">
      <w:start w:val="1"/>
      <w:numFmt w:val="bullet"/>
      <w:lvlText w:val="o"/>
      <w:lvlJc w:val="left"/>
      <w:pPr>
        <w:ind w:left="5760" w:hanging="360"/>
      </w:pPr>
      <w:rPr>
        <w:rFonts w:ascii="Courier New" w:hAnsi="Courier New" w:cs="Courier New" w:hint="default"/>
      </w:rPr>
    </w:lvl>
    <w:lvl w:ilvl="8" w:tplc="07744B40" w:tentative="1">
      <w:start w:val="1"/>
      <w:numFmt w:val="bullet"/>
      <w:lvlText w:val=""/>
      <w:lvlJc w:val="left"/>
      <w:pPr>
        <w:ind w:left="6480" w:hanging="360"/>
      </w:pPr>
      <w:rPr>
        <w:rFonts w:ascii="Wingdings" w:hAnsi="Wingdings" w:hint="default"/>
      </w:rPr>
    </w:lvl>
  </w:abstractNum>
  <w:abstractNum w:abstractNumId="65" w15:restartNumberingAfterBreak="0">
    <w:nsid w:val="667856DD"/>
    <w:multiLevelType w:val="hybridMultilevel"/>
    <w:tmpl w:val="42226280"/>
    <w:lvl w:ilvl="0" w:tplc="4C54A6D2">
      <w:start w:val="1"/>
      <w:numFmt w:val="lowerLetter"/>
      <w:lvlText w:val="%1.)"/>
      <w:lvlJc w:val="left"/>
      <w:pPr>
        <w:tabs>
          <w:tab w:val="num" w:pos="720"/>
        </w:tabs>
        <w:ind w:left="720" w:hanging="360"/>
      </w:pPr>
      <w:rPr>
        <w:rFonts w:ascii="Times New Roman" w:hAnsi="Times New Roman" w:cs="Times New Roman" w:hint="default"/>
        <w:color w:val="auto"/>
      </w:rPr>
    </w:lvl>
    <w:lvl w:ilvl="1" w:tplc="78A826B0">
      <w:start w:val="1"/>
      <w:numFmt w:val="bullet"/>
      <w:lvlText w:val=""/>
      <w:lvlJc w:val="left"/>
      <w:pPr>
        <w:tabs>
          <w:tab w:val="num" w:pos="1440"/>
        </w:tabs>
        <w:ind w:left="1440" w:hanging="360"/>
      </w:pPr>
      <w:rPr>
        <w:rFonts w:ascii="Symbol" w:hAnsi="Symbol" w:hint="default"/>
        <w:color w:val="auto"/>
      </w:rPr>
    </w:lvl>
    <w:lvl w:ilvl="2" w:tplc="7380628A">
      <w:start w:val="2"/>
      <w:numFmt w:val="bullet"/>
      <w:lvlText w:val="-"/>
      <w:lvlJc w:val="left"/>
      <w:pPr>
        <w:tabs>
          <w:tab w:val="num" w:pos="2340"/>
        </w:tabs>
        <w:ind w:left="2340" w:hanging="360"/>
      </w:pPr>
      <w:rPr>
        <w:rFonts w:ascii="Times New Roman" w:eastAsia="Times New Roman" w:hAnsi="Times New Roman" w:cs="Times New Roman" w:hint="default"/>
      </w:rPr>
    </w:lvl>
    <w:lvl w:ilvl="3" w:tplc="AEBCE118">
      <w:start w:val="1"/>
      <w:numFmt w:val="decimal"/>
      <w:lvlText w:val="%4-"/>
      <w:lvlJc w:val="left"/>
      <w:pPr>
        <w:ind w:left="2880" w:hanging="360"/>
      </w:pPr>
      <w:rPr>
        <w:rFonts w:hint="default"/>
      </w:rPr>
    </w:lvl>
    <w:lvl w:ilvl="4" w:tplc="11F66D42">
      <w:start w:val="5"/>
      <w:numFmt w:val="upperRoman"/>
      <w:lvlText w:val="%5."/>
      <w:lvlJc w:val="left"/>
      <w:pPr>
        <w:ind w:left="3960" w:hanging="720"/>
      </w:pPr>
      <w:rPr>
        <w:rFonts w:hint="default"/>
      </w:rPr>
    </w:lvl>
    <w:lvl w:ilvl="5" w:tplc="EDD6B9D2" w:tentative="1">
      <w:start w:val="1"/>
      <w:numFmt w:val="lowerRoman"/>
      <w:lvlText w:val="%6."/>
      <w:lvlJc w:val="right"/>
      <w:pPr>
        <w:tabs>
          <w:tab w:val="num" w:pos="4320"/>
        </w:tabs>
        <w:ind w:left="4320" w:hanging="180"/>
      </w:pPr>
    </w:lvl>
    <w:lvl w:ilvl="6" w:tplc="3210D7C2" w:tentative="1">
      <w:start w:val="1"/>
      <w:numFmt w:val="decimal"/>
      <w:lvlText w:val="%7."/>
      <w:lvlJc w:val="left"/>
      <w:pPr>
        <w:tabs>
          <w:tab w:val="num" w:pos="5040"/>
        </w:tabs>
        <w:ind w:left="5040" w:hanging="360"/>
      </w:pPr>
    </w:lvl>
    <w:lvl w:ilvl="7" w:tplc="E51C04BA" w:tentative="1">
      <w:start w:val="1"/>
      <w:numFmt w:val="lowerLetter"/>
      <w:lvlText w:val="%8."/>
      <w:lvlJc w:val="left"/>
      <w:pPr>
        <w:tabs>
          <w:tab w:val="num" w:pos="5760"/>
        </w:tabs>
        <w:ind w:left="5760" w:hanging="360"/>
      </w:pPr>
    </w:lvl>
    <w:lvl w:ilvl="8" w:tplc="9884A47E" w:tentative="1">
      <w:start w:val="1"/>
      <w:numFmt w:val="lowerRoman"/>
      <w:lvlText w:val="%9."/>
      <w:lvlJc w:val="right"/>
      <w:pPr>
        <w:tabs>
          <w:tab w:val="num" w:pos="6480"/>
        </w:tabs>
        <w:ind w:left="6480" w:hanging="180"/>
      </w:pPr>
    </w:lvl>
  </w:abstractNum>
  <w:abstractNum w:abstractNumId="66" w15:restartNumberingAfterBreak="0">
    <w:nsid w:val="66CD0585"/>
    <w:multiLevelType w:val="hybridMultilevel"/>
    <w:tmpl w:val="C8D05F26"/>
    <w:lvl w:ilvl="0" w:tplc="812A8D78">
      <w:start w:val="1"/>
      <w:numFmt w:val="bullet"/>
      <w:lvlText w:val=""/>
      <w:lvlJc w:val="left"/>
      <w:pPr>
        <w:ind w:left="1428" w:hanging="360"/>
      </w:pPr>
      <w:rPr>
        <w:rFonts w:ascii="Symbol" w:hAnsi="Symbol" w:hint="default"/>
      </w:rPr>
    </w:lvl>
    <w:lvl w:ilvl="1" w:tplc="9558E900" w:tentative="1">
      <w:start w:val="1"/>
      <w:numFmt w:val="bullet"/>
      <w:lvlText w:val="o"/>
      <w:lvlJc w:val="left"/>
      <w:pPr>
        <w:ind w:left="2148" w:hanging="360"/>
      </w:pPr>
      <w:rPr>
        <w:rFonts w:ascii="Courier New" w:hAnsi="Courier New" w:cs="Courier New" w:hint="default"/>
      </w:rPr>
    </w:lvl>
    <w:lvl w:ilvl="2" w:tplc="5DA01BC6" w:tentative="1">
      <w:start w:val="1"/>
      <w:numFmt w:val="bullet"/>
      <w:lvlText w:val=""/>
      <w:lvlJc w:val="left"/>
      <w:pPr>
        <w:ind w:left="2868" w:hanging="360"/>
      </w:pPr>
      <w:rPr>
        <w:rFonts w:ascii="Wingdings" w:hAnsi="Wingdings" w:hint="default"/>
      </w:rPr>
    </w:lvl>
    <w:lvl w:ilvl="3" w:tplc="F4B445BC" w:tentative="1">
      <w:start w:val="1"/>
      <w:numFmt w:val="bullet"/>
      <w:lvlText w:val=""/>
      <w:lvlJc w:val="left"/>
      <w:pPr>
        <w:ind w:left="3588" w:hanging="360"/>
      </w:pPr>
      <w:rPr>
        <w:rFonts w:ascii="Symbol" w:hAnsi="Symbol" w:hint="default"/>
      </w:rPr>
    </w:lvl>
    <w:lvl w:ilvl="4" w:tplc="B4549DC6" w:tentative="1">
      <w:start w:val="1"/>
      <w:numFmt w:val="bullet"/>
      <w:lvlText w:val="o"/>
      <w:lvlJc w:val="left"/>
      <w:pPr>
        <w:ind w:left="4308" w:hanging="360"/>
      </w:pPr>
      <w:rPr>
        <w:rFonts w:ascii="Courier New" w:hAnsi="Courier New" w:cs="Courier New" w:hint="default"/>
      </w:rPr>
    </w:lvl>
    <w:lvl w:ilvl="5" w:tplc="5736449A" w:tentative="1">
      <w:start w:val="1"/>
      <w:numFmt w:val="bullet"/>
      <w:lvlText w:val=""/>
      <w:lvlJc w:val="left"/>
      <w:pPr>
        <w:ind w:left="5028" w:hanging="360"/>
      </w:pPr>
      <w:rPr>
        <w:rFonts w:ascii="Wingdings" w:hAnsi="Wingdings" w:hint="default"/>
      </w:rPr>
    </w:lvl>
    <w:lvl w:ilvl="6" w:tplc="1FB4AFD8" w:tentative="1">
      <w:start w:val="1"/>
      <w:numFmt w:val="bullet"/>
      <w:lvlText w:val=""/>
      <w:lvlJc w:val="left"/>
      <w:pPr>
        <w:ind w:left="5748" w:hanging="360"/>
      </w:pPr>
      <w:rPr>
        <w:rFonts w:ascii="Symbol" w:hAnsi="Symbol" w:hint="default"/>
      </w:rPr>
    </w:lvl>
    <w:lvl w:ilvl="7" w:tplc="7F66CA1C" w:tentative="1">
      <w:start w:val="1"/>
      <w:numFmt w:val="bullet"/>
      <w:lvlText w:val="o"/>
      <w:lvlJc w:val="left"/>
      <w:pPr>
        <w:ind w:left="6468" w:hanging="360"/>
      </w:pPr>
      <w:rPr>
        <w:rFonts w:ascii="Courier New" w:hAnsi="Courier New" w:cs="Courier New" w:hint="default"/>
      </w:rPr>
    </w:lvl>
    <w:lvl w:ilvl="8" w:tplc="2FE6E412" w:tentative="1">
      <w:start w:val="1"/>
      <w:numFmt w:val="bullet"/>
      <w:lvlText w:val=""/>
      <w:lvlJc w:val="left"/>
      <w:pPr>
        <w:ind w:left="7188" w:hanging="360"/>
      </w:pPr>
      <w:rPr>
        <w:rFonts w:ascii="Wingdings" w:hAnsi="Wingdings" w:hint="default"/>
      </w:rPr>
    </w:lvl>
  </w:abstractNum>
  <w:abstractNum w:abstractNumId="67" w15:restartNumberingAfterBreak="0">
    <w:nsid w:val="6AF04133"/>
    <w:multiLevelType w:val="hybridMultilevel"/>
    <w:tmpl w:val="3D58DA28"/>
    <w:lvl w:ilvl="0" w:tplc="7F6A9B10">
      <w:start w:val="1"/>
      <w:numFmt w:val="bullet"/>
      <w:lvlText w:val=""/>
      <w:lvlJc w:val="left"/>
      <w:pPr>
        <w:ind w:left="720" w:hanging="360"/>
      </w:pPr>
      <w:rPr>
        <w:rFonts w:ascii="Symbol" w:hAnsi="Symbol" w:hint="default"/>
      </w:rPr>
    </w:lvl>
    <w:lvl w:ilvl="1" w:tplc="3148F8E8">
      <w:start w:val="1"/>
      <w:numFmt w:val="bullet"/>
      <w:lvlText w:val="o"/>
      <w:lvlJc w:val="left"/>
      <w:pPr>
        <w:ind w:left="1440" w:hanging="360"/>
      </w:pPr>
      <w:rPr>
        <w:rFonts w:ascii="Courier New" w:hAnsi="Courier New" w:cs="Courier New" w:hint="default"/>
      </w:rPr>
    </w:lvl>
    <w:lvl w:ilvl="2" w:tplc="A934DF84" w:tentative="1">
      <w:start w:val="1"/>
      <w:numFmt w:val="bullet"/>
      <w:lvlText w:val=""/>
      <w:lvlJc w:val="left"/>
      <w:pPr>
        <w:ind w:left="2160" w:hanging="360"/>
      </w:pPr>
      <w:rPr>
        <w:rFonts w:ascii="Wingdings" w:hAnsi="Wingdings" w:hint="default"/>
      </w:rPr>
    </w:lvl>
    <w:lvl w:ilvl="3" w:tplc="80CA3F2A" w:tentative="1">
      <w:start w:val="1"/>
      <w:numFmt w:val="bullet"/>
      <w:lvlText w:val=""/>
      <w:lvlJc w:val="left"/>
      <w:pPr>
        <w:ind w:left="2880" w:hanging="360"/>
      </w:pPr>
      <w:rPr>
        <w:rFonts w:ascii="Symbol" w:hAnsi="Symbol" w:hint="default"/>
      </w:rPr>
    </w:lvl>
    <w:lvl w:ilvl="4" w:tplc="997C8FBC" w:tentative="1">
      <w:start w:val="1"/>
      <w:numFmt w:val="bullet"/>
      <w:lvlText w:val="o"/>
      <w:lvlJc w:val="left"/>
      <w:pPr>
        <w:ind w:left="3600" w:hanging="360"/>
      </w:pPr>
      <w:rPr>
        <w:rFonts w:ascii="Courier New" w:hAnsi="Courier New" w:cs="Courier New" w:hint="default"/>
      </w:rPr>
    </w:lvl>
    <w:lvl w:ilvl="5" w:tplc="9A60ECAE" w:tentative="1">
      <w:start w:val="1"/>
      <w:numFmt w:val="bullet"/>
      <w:lvlText w:val=""/>
      <w:lvlJc w:val="left"/>
      <w:pPr>
        <w:ind w:left="4320" w:hanging="360"/>
      </w:pPr>
      <w:rPr>
        <w:rFonts w:ascii="Wingdings" w:hAnsi="Wingdings" w:hint="default"/>
      </w:rPr>
    </w:lvl>
    <w:lvl w:ilvl="6" w:tplc="76A4E270" w:tentative="1">
      <w:start w:val="1"/>
      <w:numFmt w:val="bullet"/>
      <w:lvlText w:val=""/>
      <w:lvlJc w:val="left"/>
      <w:pPr>
        <w:ind w:left="5040" w:hanging="360"/>
      </w:pPr>
      <w:rPr>
        <w:rFonts w:ascii="Symbol" w:hAnsi="Symbol" w:hint="default"/>
      </w:rPr>
    </w:lvl>
    <w:lvl w:ilvl="7" w:tplc="95B83DB2" w:tentative="1">
      <w:start w:val="1"/>
      <w:numFmt w:val="bullet"/>
      <w:lvlText w:val="o"/>
      <w:lvlJc w:val="left"/>
      <w:pPr>
        <w:ind w:left="5760" w:hanging="360"/>
      </w:pPr>
      <w:rPr>
        <w:rFonts w:ascii="Courier New" w:hAnsi="Courier New" w:cs="Courier New" w:hint="default"/>
      </w:rPr>
    </w:lvl>
    <w:lvl w:ilvl="8" w:tplc="2F4E512A" w:tentative="1">
      <w:start w:val="1"/>
      <w:numFmt w:val="bullet"/>
      <w:lvlText w:val=""/>
      <w:lvlJc w:val="left"/>
      <w:pPr>
        <w:ind w:left="6480" w:hanging="360"/>
      </w:pPr>
      <w:rPr>
        <w:rFonts w:ascii="Wingdings" w:hAnsi="Wingdings" w:hint="default"/>
      </w:rPr>
    </w:lvl>
  </w:abstractNum>
  <w:abstractNum w:abstractNumId="68" w15:restartNumberingAfterBreak="0">
    <w:nsid w:val="6B561563"/>
    <w:multiLevelType w:val="hybridMultilevel"/>
    <w:tmpl w:val="8FEA83A0"/>
    <w:lvl w:ilvl="0" w:tplc="1ADA638A">
      <w:start w:val="1"/>
      <w:numFmt w:val="decimal"/>
      <w:pStyle w:val="numberedparagraph"/>
      <w:lvlText w:val="%1."/>
      <w:lvlJc w:val="left"/>
      <w:pPr>
        <w:ind w:left="1146" w:hanging="360"/>
      </w:pPr>
    </w:lvl>
    <w:lvl w:ilvl="1" w:tplc="1242F326">
      <w:start w:val="1"/>
      <w:numFmt w:val="lowerLetter"/>
      <w:lvlText w:val="%2."/>
      <w:lvlJc w:val="left"/>
      <w:pPr>
        <w:ind w:left="1866" w:hanging="360"/>
      </w:pPr>
    </w:lvl>
    <w:lvl w:ilvl="2" w:tplc="90A48270">
      <w:start w:val="1"/>
      <w:numFmt w:val="lowerRoman"/>
      <w:lvlText w:val="%3."/>
      <w:lvlJc w:val="right"/>
      <w:pPr>
        <w:ind w:left="2586" w:hanging="180"/>
      </w:pPr>
    </w:lvl>
    <w:lvl w:ilvl="3" w:tplc="A67A07D0">
      <w:start w:val="1"/>
      <w:numFmt w:val="decimal"/>
      <w:lvlText w:val="%4."/>
      <w:lvlJc w:val="left"/>
      <w:pPr>
        <w:ind w:left="3306" w:hanging="360"/>
      </w:pPr>
    </w:lvl>
    <w:lvl w:ilvl="4" w:tplc="0D78F302">
      <w:start w:val="1"/>
      <w:numFmt w:val="lowerLetter"/>
      <w:lvlText w:val="%5."/>
      <w:lvlJc w:val="left"/>
      <w:pPr>
        <w:ind w:left="4026" w:hanging="360"/>
      </w:pPr>
    </w:lvl>
    <w:lvl w:ilvl="5" w:tplc="577A63A2">
      <w:start w:val="1"/>
      <w:numFmt w:val="lowerRoman"/>
      <w:lvlText w:val="%6."/>
      <w:lvlJc w:val="right"/>
      <w:pPr>
        <w:ind w:left="4746" w:hanging="180"/>
      </w:pPr>
    </w:lvl>
    <w:lvl w:ilvl="6" w:tplc="9DFC4A96">
      <w:start w:val="1"/>
      <w:numFmt w:val="decimal"/>
      <w:lvlText w:val="%7."/>
      <w:lvlJc w:val="left"/>
      <w:pPr>
        <w:ind w:left="5466" w:hanging="360"/>
      </w:pPr>
    </w:lvl>
    <w:lvl w:ilvl="7" w:tplc="F39C6160">
      <w:start w:val="1"/>
      <w:numFmt w:val="lowerLetter"/>
      <w:lvlText w:val="%8."/>
      <w:lvlJc w:val="left"/>
      <w:pPr>
        <w:ind w:left="6186" w:hanging="360"/>
      </w:pPr>
    </w:lvl>
    <w:lvl w:ilvl="8" w:tplc="2BB631BA">
      <w:start w:val="1"/>
      <w:numFmt w:val="lowerRoman"/>
      <w:lvlText w:val="%9."/>
      <w:lvlJc w:val="right"/>
      <w:pPr>
        <w:ind w:left="6906" w:hanging="180"/>
      </w:pPr>
    </w:lvl>
  </w:abstractNum>
  <w:abstractNum w:abstractNumId="69" w15:restartNumberingAfterBreak="0">
    <w:nsid w:val="6B6666DC"/>
    <w:multiLevelType w:val="hybridMultilevel"/>
    <w:tmpl w:val="A502DB5A"/>
    <w:lvl w:ilvl="0" w:tplc="CA34E54A">
      <w:start w:val="1"/>
      <w:numFmt w:val="bullet"/>
      <w:lvlText w:val=""/>
      <w:lvlJc w:val="left"/>
      <w:pPr>
        <w:ind w:left="1287" w:hanging="360"/>
      </w:pPr>
      <w:rPr>
        <w:rFonts w:ascii="Symbol" w:hAnsi="Symbol" w:hint="default"/>
      </w:rPr>
    </w:lvl>
    <w:lvl w:ilvl="1" w:tplc="F448F4F0" w:tentative="1">
      <w:start w:val="1"/>
      <w:numFmt w:val="bullet"/>
      <w:lvlText w:val="o"/>
      <w:lvlJc w:val="left"/>
      <w:pPr>
        <w:ind w:left="2007" w:hanging="360"/>
      </w:pPr>
      <w:rPr>
        <w:rFonts w:ascii="Courier New" w:hAnsi="Courier New" w:cs="Courier New" w:hint="default"/>
      </w:rPr>
    </w:lvl>
    <w:lvl w:ilvl="2" w:tplc="5002B232" w:tentative="1">
      <w:start w:val="1"/>
      <w:numFmt w:val="bullet"/>
      <w:lvlText w:val=""/>
      <w:lvlJc w:val="left"/>
      <w:pPr>
        <w:ind w:left="2727" w:hanging="360"/>
      </w:pPr>
      <w:rPr>
        <w:rFonts w:ascii="Wingdings" w:hAnsi="Wingdings" w:hint="default"/>
      </w:rPr>
    </w:lvl>
    <w:lvl w:ilvl="3" w:tplc="98D4A060" w:tentative="1">
      <w:start w:val="1"/>
      <w:numFmt w:val="bullet"/>
      <w:lvlText w:val=""/>
      <w:lvlJc w:val="left"/>
      <w:pPr>
        <w:ind w:left="3447" w:hanging="360"/>
      </w:pPr>
      <w:rPr>
        <w:rFonts w:ascii="Symbol" w:hAnsi="Symbol" w:hint="default"/>
      </w:rPr>
    </w:lvl>
    <w:lvl w:ilvl="4" w:tplc="F0241DD4" w:tentative="1">
      <w:start w:val="1"/>
      <w:numFmt w:val="bullet"/>
      <w:lvlText w:val="o"/>
      <w:lvlJc w:val="left"/>
      <w:pPr>
        <w:ind w:left="4167" w:hanging="360"/>
      </w:pPr>
      <w:rPr>
        <w:rFonts w:ascii="Courier New" w:hAnsi="Courier New" w:cs="Courier New" w:hint="default"/>
      </w:rPr>
    </w:lvl>
    <w:lvl w:ilvl="5" w:tplc="C74AFB86" w:tentative="1">
      <w:start w:val="1"/>
      <w:numFmt w:val="bullet"/>
      <w:lvlText w:val=""/>
      <w:lvlJc w:val="left"/>
      <w:pPr>
        <w:ind w:left="4887" w:hanging="360"/>
      </w:pPr>
      <w:rPr>
        <w:rFonts w:ascii="Wingdings" w:hAnsi="Wingdings" w:hint="default"/>
      </w:rPr>
    </w:lvl>
    <w:lvl w:ilvl="6" w:tplc="DAE4EAEA" w:tentative="1">
      <w:start w:val="1"/>
      <w:numFmt w:val="bullet"/>
      <w:lvlText w:val=""/>
      <w:lvlJc w:val="left"/>
      <w:pPr>
        <w:ind w:left="5607" w:hanging="360"/>
      </w:pPr>
      <w:rPr>
        <w:rFonts w:ascii="Symbol" w:hAnsi="Symbol" w:hint="default"/>
      </w:rPr>
    </w:lvl>
    <w:lvl w:ilvl="7" w:tplc="A9EC6DE6" w:tentative="1">
      <w:start w:val="1"/>
      <w:numFmt w:val="bullet"/>
      <w:lvlText w:val="o"/>
      <w:lvlJc w:val="left"/>
      <w:pPr>
        <w:ind w:left="6327" w:hanging="360"/>
      </w:pPr>
      <w:rPr>
        <w:rFonts w:ascii="Courier New" w:hAnsi="Courier New" w:cs="Courier New" w:hint="default"/>
      </w:rPr>
    </w:lvl>
    <w:lvl w:ilvl="8" w:tplc="A26231AA" w:tentative="1">
      <w:start w:val="1"/>
      <w:numFmt w:val="bullet"/>
      <w:lvlText w:val=""/>
      <w:lvlJc w:val="left"/>
      <w:pPr>
        <w:ind w:left="7047" w:hanging="360"/>
      </w:pPr>
      <w:rPr>
        <w:rFonts w:ascii="Wingdings" w:hAnsi="Wingdings" w:hint="default"/>
      </w:rPr>
    </w:lvl>
  </w:abstractNum>
  <w:abstractNum w:abstractNumId="70" w15:restartNumberingAfterBreak="0">
    <w:nsid w:val="6CAF3B1D"/>
    <w:multiLevelType w:val="hybridMultilevel"/>
    <w:tmpl w:val="EB26CBDA"/>
    <w:lvl w:ilvl="0" w:tplc="96A6E104">
      <w:start w:val="1"/>
      <w:numFmt w:val="bullet"/>
      <w:lvlText w:val=""/>
      <w:lvlJc w:val="left"/>
      <w:pPr>
        <w:ind w:left="720" w:hanging="360"/>
      </w:pPr>
      <w:rPr>
        <w:rFonts w:ascii="Symbol" w:hAnsi="Symbol" w:hint="default"/>
      </w:rPr>
    </w:lvl>
    <w:lvl w:ilvl="1" w:tplc="DA8EFC40" w:tentative="1">
      <w:start w:val="1"/>
      <w:numFmt w:val="bullet"/>
      <w:lvlText w:val="o"/>
      <w:lvlJc w:val="left"/>
      <w:pPr>
        <w:ind w:left="1440" w:hanging="360"/>
      </w:pPr>
      <w:rPr>
        <w:rFonts w:ascii="Courier New" w:hAnsi="Courier New" w:cs="Courier New" w:hint="default"/>
      </w:rPr>
    </w:lvl>
    <w:lvl w:ilvl="2" w:tplc="C6EAA012" w:tentative="1">
      <w:start w:val="1"/>
      <w:numFmt w:val="bullet"/>
      <w:lvlText w:val=""/>
      <w:lvlJc w:val="left"/>
      <w:pPr>
        <w:ind w:left="2160" w:hanging="360"/>
      </w:pPr>
      <w:rPr>
        <w:rFonts w:ascii="Wingdings" w:hAnsi="Wingdings" w:hint="default"/>
      </w:rPr>
    </w:lvl>
    <w:lvl w:ilvl="3" w:tplc="701AFFFA" w:tentative="1">
      <w:start w:val="1"/>
      <w:numFmt w:val="bullet"/>
      <w:lvlText w:val=""/>
      <w:lvlJc w:val="left"/>
      <w:pPr>
        <w:ind w:left="2880" w:hanging="360"/>
      </w:pPr>
      <w:rPr>
        <w:rFonts w:ascii="Symbol" w:hAnsi="Symbol" w:hint="default"/>
      </w:rPr>
    </w:lvl>
    <w:lvl w:ilvl="4" w:tplc="D284A984" w:tentative="1">
      <w:start w:val="1"/>
      <w:numFmt w:val="bullet"/>
      <w:lvlText w:val="o"/>
      <w:lvlJc w:val="left"/>
      <w:pPr>
        <w:ind w:left="3600" w:hanging="360"/>
      </w:pPr>
      <w:rPr>
        <w:rFonts w:ascii="Courier New" w:hAnsi="Courier New" w:cs="Courier New" w:hint="default"/>
      </w:rPr>
    </w:lvl>
    <w:lvl w:ilvl="5" w:tplc="B4303E50" w:tentative="1">
      <w:start w:val="1"/>
      <w:numFmt w:val="bullet"/>
      <w:lvlText w:val=""/>
      <w:lvlJc w:val="left"/>
      <w:pPr>
        <w:ind w:left="4320" w:hanging="360"/>
      </w:pPr>
      <w:rPr>
        <w:rFonts w:ascii="Wingdings" w:hAnsi="Wingdings" w:hint="default"/>
      </w:rPr>
    </w:lvl>
    <w:lvl w:ilvl="6" w:tplc="EE721360" w:tentative="1">
      <w:start w:val="1"/>
      <w:numFmt w:val="bullet"/>
      <w:lvlText w:val=""/>
      <w:lvlJc w:val="left"/>
      <w:pPr>
        <w:ind w:left="5040" w:hanging="360"/>
      </w:pPr>
      <w:rPr>
        <w:rFonts w:ascii="Symbol" w:hAnsi="Symbol" w:hint="default"/>
      </w:rPr>
    </w:lvl>
    <w:lvl w:ilvl="7" w:tplc="9B7681E6" w:tentative="1">
      <w:start w:val="1"/>
      <w:numFmt w:val="bullet"/>
      <w:lvlText w:val="o"/>
      <w:lvlJc w:val="left"/>
      <w:pPr>
        <w:ind w:left="5760" w:hanging="360"/>
      </w:pPr>
      <w:rPr>
        <w:rFonts w:ascii="Courier New" w:hAnsi="Courier New" w:cs="Courier New" w:hint="default"/>
      </w:rPr>
    </w:lvl>
    <w:lvl w:ilvl="8" w:tplc="EF02D67A" w:tentative="1">
      <w:start w:val="1"/>
      <w:numFmt w:val="bullet"/>
      <w:lvlText w:val=""/>
      <w:lvlJc w:val="left"/>
      <w:pPr>
        <w:ind w:left="6480" w:hanging="360"/>
      </w:pPr>
      <w:rPr>
        <w:rFonts w:ascii="Wingdings" w:hAnsi="Wingdings" w:hint="default"/>
      </w:rPr>
    </w:lvl>
  </w:abstractNum>
  <w:abstractNum w:abstractNumId="71" w15:restartNumberingAfterBreak="0">
    <w:nsid w:val="6F322B13"/>
    <w:multiLevelType w:val="hybridMultilevel"/>
    <w:tmpl w:val="802CA3B0"/>
    <w:lvl w:ilvl="0" w:tplc="D3C6E840">
      <w:start w:val="1"/>
      <w:numFmt w:val="bullet"/>
      <w:pStyle w:val="Listaszerbekezds2szint"/>
      <w:lvlText w:val="o"/>
      <w:lvlJc w:val="left"/>
      <w:pPr>
        <w:ind w:left="1800" w:hanging="360"/>
      </w:pPr>
      <w:rPr>
        <w:rFonts w:ascii="Courier New" w:hAnsi="Courier New" w:hint="default"/>
        <w:b/>
        <w:color w:val="4BACC6" w:themeColor="accent5"/>
        <w:sz w:val="24"/>
      </w:rPr>
    </w:lvl>
    <w:lvl w:ilvl="1" w:tplc="6E94B3FA" w:tentative="1">
      <w:start w:val="1"/>
      <w:numFmt w:val="bullet"/>
      <w:lvlText w:val="o"/>
      <w:lvlJc w:val="left"/>
      <w:pPr>
        <w:ind w:left="2520" w:hanging="360"/>
      </w:pPr>
      <w:rPr>
        <w:rFonts w:ascii="Courier New" w:hAnsi="Courier New" w:cs="Courier New" w:hint="default"/>
      </w:rPr>
    </w:lvl>
    <w:lvl w:ilvl="2" w:tplc="301C0D26" w:tentative="1">
      <w:start w:val="1"/>
      <w:numFmt w:val="bullet"/>
      <w:lvlText w:val=""/>
      <w:lvlJc w:val="left"/>
      <w:pPr>
        <w:ind w:left="3240" w:hanging="360"/>
      </w:pPr>
      <w:rPr>
        <w:rFonts w:ascii="Wingdings" w:hAnsi="Wingdings" w:hint="default"/>
      </w:rPr>
    </w:lvl>
    <w:lvl w:ilvl="3" w:tplc="AAA293EE" w:tentative="1">
      <w:start w:val="1"/>
      <w:numFmt w:val="bullet"/>
      <w:lvlText w:val=""/>
      <w:lvlJc w:val="left"/>
      <w:pPr>
        <w:ind w:left="3960" w:hanging="360"/>
      </w:pPr>
      <w:rPr>
        <w:rFonts w:ascii="Symbol" w:hAnsi="Symbol" w:hint="default"/>
      </w:rPr>
    </w:lvl>
    <w:lvl w:ilvl="4" w:tplc="7E3065C4" w:tentative="1">
      <w:start w:val="1"/>
      <w:numFmt w:val="bullet"/>
      <w:lvlText w:val="o"/>
      <w:lvlJc w:val="left"/>
      <w:pPr>
        <w:ind w:left="4680" w:hanging="360"/>
      </w:pPr>
      <w:rPr>
        <w:rFonts w:ascii="Courier New" w:hAnsi="Courier New" w:cs="Courier New" w:hint="default"/>
      </w:rPr>
    </w:lvl>
    <w:lvl w:ilvl="5" w:tplc="84BA541C" w:tentative="1">
      <w:start w:val="1"/>
      <w:numFmt w:val="bullet"/>
      <w:lvlText w:val=""/>
      <w:lvlJc w:val="left"/>
      <w:pPr>
        <w:ind w:left="5400" w:hanging="360"/>
      </w:pPr>
      <w:rPr>
        <w:rFonts w:ascii="Wingdings" w:hAnsi="Wingdings" w:hint="default"/>
      </w:rPr>
    </w:lvl>
    <w:lvl w:ilvl="6" w:tplc="1B200C38" w:tentative="1">
      <w:start w:val="1"/>
      <w:numFmt w:val="bullet"/>
      <w:lvlText w:val=""/>
      <w:lvlJc w:val="left"/>
      <w:pPr>
        <w:ind w:left="6120" w:hanging="360"/>
      </w:pPr>
      <w:rPr>
        <w:rFonts w:ascii="Symbol" w:hAnsi="Symbol" w:hint="default"/>
      </w:rPr>
    </w:lvl>
    <w:lvl w:ilvl="7" w:tplc="24E82A42" w:tentative="1">
      <w:start w:val="1"/>
      <w:numFmt w:val="bullet"/>
      <w:lvlText w:val="o"/>
      <w:lvlJc w:val="left"/>
      <w:pPr>
        <w:ind w:left="6840" w:hanging="360"/>
      </w:pPr>
      <w:rPr>
        <w:rFonts w:ascii="Courier New" w:hAnsi="Courier New" w:cs="Courier New" w:hint="default"/>
      </w:rPr>
    </w:lvl>
    <w:lvl w:ilvl="8" w:tplc="7834C93A" w:tentative="1">
      <w:start w:val="1"/>
      <w:numFmt w:val="bullet"/>
      <w:lvlText w:val=""/>
      <w:lvlJc w:val="left"/>
      <w:pPr>
        <w:ind w:left="7560" w:hanging="360"/>
      </w:pPr>
      <w:rPr>
        <w:rFonts w:ascii="Wingdings" w:hAnsi="Wingdings" w:hint="default"/>
      </w:rPr>
    </w:lvl>
  </w:abstractNum>
  <w:abstractNum w:abstractNumId="72" w15:restartNumberingAfterBreak="0">
    <w:nsid w:val="70885D46"/>
    <w:multiLevelType w:val="hybridMultilevel"/>
    <w:tmpl w:val="395A9C74"/>
    <w:lvl w:ilvl="0" w:tplc="B666E0EA">
      <w:start w:val="1"/>
      <w:numFmt w:val="bullet"/>
      <w:lvlText w:val=""/>
      <w:lvlJc w:val="left"/>
      <w:pPr>
        <w:ind w:left="720" w:hanging="360"/>
      </w:pPr>
      <w:rPr>
        <w:rFonts w:ascii="Symbol" w:hAnsi="Symbol" w:hint="default"/>
      </w:rPr>
    </w:lvl>
    <w:lvl w:ilvl="1" w:tplc="FC862DC6">
      <w:start w:val="1"/>
      <w:numFmt w:val="bullet"/>
      <w:lvlText w:val="o"/>
      <w:lvlJc w:val="left"/>
      <w:pPr>
        <w:ind w:left="1440" w:hanging="360"/>
      </w:pPr>
      <w:rPr>
        <w:rFonts w:ascii="Courier New" w:hAnsi="Courier New" w:cs="Courier New" w:hint="default"/>
      </w:rPr>
    </w:lvl>
    <w:lvl w:ilvl="2" w:tplc="85CC8A3C" w:tentative="1">
      <w:start w:val="1"/>
      <w:numFmt w:val="bullet"/>
      <w:lvlText w:val=""/>
      <w:lvlJc w:val="left"/>
      <w:pPr>
        <w:ind w:left="2160" w:hanging="360"/>
      </w:pPr>
      <w:rPr>
        <w:rFonts w:ascii="Wingdings" w:hAnsi="Wingdings" w:hint="default"/>
      </w:rPr>
    </w:lvl>
    <w:lvl w:ilvl="3" w:tplc="B9405142" w:tentative="1">
      <w:start w:val="1"/>
      <w:numFmt w:val="bullet"/>
      <w:lvlText w:val=""/>
      <w:lvlJc w:val="left"/>
      <w:pPr>
        <w:ind w:left="2880" w:hanging="360"/>
      </w:pPr>
      <w:rPr>
        <w:rFonts w:ascii="Symbol" w:hAnsi="Symbol" w:hint="default"/>
      </w:rPr>
    </w:lvl>
    <w:lvl w:ilvl="4" w:tplc="DBDE7EF2" w:tentative="1">
      <w:start w:val="1"/>
      <w:numFmt w:val="bullet"/>
      <w:lvlText w:val="o"/>
      <w:lvlJc w:val="left"/>
      <w:pPr>
        <w:ind w:left="3600" w:hanging="360"/>
      </w:pPr>
      <w:rPr>
        <w:rFonts w:ascii="Courier New" w:hAnsi="Courier New" w:cs="Courier New" w:hint="default"/>
      </w:rPr>
    </w:lvl>
    <w:lvl w:ilvl="5" w:tplc="9FDAEB64" w:tentative="1">
      <w:start w:val="1"/>
      <w:numFmt w:val="bullet"/>
      <w:lvlText w:val=""/>
      <w:lvlJc w:val="left"/>
      <w:pPr>
        <w:ind w:left="4320" w:hanging="360"/>
      </w:pPr>
      <w:rPr>
        <w:rFonts w:ascii="Wingdings" w:hAnsi="Wingdings" w:hint="default"/>
      </w:rPr>
    </w:lvl>
    <w:lvl w:ilvl="6" w:tplc="EFB47A24" w:tentative="1">
      <w:start w:val="1"/>
      <w:numFmt w:val="bullet"/>
      <w:lvlText w:val=""/>
      <w:lvlJc w:val="left"/>
      <w:pPr>
        <w:ind w:left="5040" w:hanging="360"/>
      </w:pPr>
      <w:rPr>
        <w:rFonts w:ascii="Symbol" w:hAnsi="Symbol" w:hint="default"/>
      </w:rPr>
    </w:lvl>
    <w:lvl w:ilvl="7" w:tplc="4080C106" w:tentative="1">
      <w:start w:val="1"/>
      <w:numFmt w:val="bullet"/>
      <w:lvlText w:val="o"/>
      <w:lvlJc w:val="left"/>
      <w:pPr>
        <w:ind w:left="5760" w:hanging="360"/>
      </w:pPr>
      <w:rPr>
        <w:rFonts w:ascii="Courier New" w:hAnsi="Courier New" w:cs="Courier New" w:hint="default"/>
      </w:rPr>
    </w:lvl>
    <w:lvl w:ilvl="8" w:tplc="84B812DA" w:tentative="1">
      <w:start w:val="1"/>
      <w:numFmt w:val="bullet"/>
      <w:lvlText w:val=""/>
      <w:lvlJc w:val="left"/>
      <w:pPr>
        <w:ind w:left="6480" w:hanging="360"/>
      </w:pPr>
      <w:rPr>
        <w:rFonts w:ascii="Wingdings" w:hAnsi="Wingdings" w:hint="default"/>
      </w:rPr>
    </w:lvl>
  </w:abstractNum>
  <w:abstractNum w:abstractNumId="73" w15:restartNumberingAfterBreak="0">
    <w:nsid w:val="72E57AFE"/>
    <w:multiLevelType w:val="hybridMultilevel"/>
    <w:tmpl w:val="6930D660"/>
    <w:lvl w:ilvl="0" w:tplc="49EE8A38">
      <w:start w:val="1"/>
      <w:numFmt w:val="bullet"/>
      <w:lvlText w:val=""/>
      <w:lvlJc w:val="left"/>
      <w:pPr>
        <w:ind w:left="720" w:hanging="360"/>
      </w:pPr>
      <w:rPr>
        <w:rFonts w:ascii="Symbol" w:hAnsi="Symbol" w:hint="default"/>
      </w:rPr>
    </w:lvl>
    <w:lvl w:ilvl="1" w:tplc="F196AAB4" w:tentative="1">
      <w:start w:val="1"/>
      <w:numFmt w:val="bullet"/>
      <w:lvlText w:val="o"/>
      <w:lvlJc w:val="left"/>
      <w:pPr>
        <w:ind w:left="1440" w:hanging="360"/>
      </w:pPr>
      <w:rPr>
        <w:rFonts w:ascii="Courier New" w:hAnsi="Courier New" w:cs="Courier New" w:hint="default"/>
      </w:rPr>
    </w:lvl>
    <w:lvl w:ilvl="2" w:tplc="5FD27E8E" w:tentative="1">
      <w:start w:val="1"/>
      <w:numFmt w:val="bullet"/>
      <w:lvlText w:val=""/>
      <w:lvlJc w:val="left"/>
      <w:pPr>
        <w:ind w:left="2160" w:hanging="360"/>
      </w:pPr>
      <w:rPr>
        <w:rFonts w:ascii="Wingdings" w:hAnsi="Wingdings" w:hint="default"/>
      </w:rPr>
    </w:lvl>
    <w:lvl w:ilvl="3" w:tplc="ACDE5408" w:tentative="1">
      <w:start w:val="1"/>
      <w:numFmt w:val="bullet"/>
      <w:lvlText w:val=""/>
      <w:lvlJc w:val="left"/>
      <w:pPr>
        <w:ind w:left="2880" w:hanging="360"/>
      </w:pPr>
      <w:rPr>
        <w:rFonts w:ascii="Symbol" w:hAnsi="Symbol" w:hint="default"/>
      </w:rPr>
    </w:lvl>
    <w:lvl w:ilvl="4" w:tplc="48426C5A" w:tentative="1">
      <w:start w:val="1"/>
      <w:numFmt w:val="bullet"/>
      <w:lvlText w:val="o"/>
      <w:lvlJc w:val="left"/>
      <w:pPr>
        <w:ind w:left="3600" w:hanging="360"/>
      </w:pPr>
      <w:rPr>
        <w:rFonts w:ascii="Courier New" w:hAnsi="Courier New" w:cs="Courier New" w:hint="default"/>
      </w:rPr>
    </w:lvl>
    <w:lvl w:ilvl="5" w:tplc="17F69114" w:tentative="1">
      <w:start w:val="1"/>
      <w:numFmt w:val="bullet"/>
      <w:lvlText w:val=""/>
      <w:lvlJc w:val="left"/>
      <w:pPr>
        <w:ind w:left="4320" w:hanging="360"/>
      </w:pPr>
      <w:rPr>
        <w:rFonts w:ascii="Wingdings" w:hAnsi="Wingdings" w:hint="default"/>
      </w:rPr>
    </w:lvl>
    <w:lvl w:ilvl="6" w:tplc="20E2FAF2" w:tentative="1">
      <w:start w:val="1"/>
      <w:numFmt w:val="bullet"/>
      <w:lvlText w:val=""/>
      <w:lvlJc w:val="left"/>
      <w:pPr>
        <w:ind w:left="5040" w:hanging="360"/>
      </w:pPr>
      <w:rPr>
        <w:rFonts w:ascii="Symbol" w:hAnsi="Symbol" w:hint="default"/>
      </w:rPr>
    </w:lvl>
    <w:lvl w:ilvl="7" w:tplc="C748C442" w:tentative="1">
      <w:start w:val="1"/>
      <w:numFmt w:val="bullet"/>
      <w:lvlText w:val="o"/>
      <w:lvlJc w:val="left"/>
      <w:pPr>
        <w:ind w:left="5760" w:hanging="360"/>
      </w:pPr>
      <w:rPr>
        <w:rFonts w:ascii="Courier New" w:hAnsi="Courier New" w:cs="Courier New" w:hint="default"/>
      </w:rPr>
    </w:lvl>
    <w:lvl w:ilvl="8" w:tplc="92206162" w:tentative="1">
      <w:start w:val="1"/>
      <w:numFmt w:val="bullet"/>
      <w:lvlText w:val=""/>
      <w:lvlJc w:val="left"/>
      <w:pPr>
        <w:ind w:left="6480" w:hanging="360"/>
      </w:pPr>
      <w:rPr>
        <w:rFonts w:ascii="Wingdings" w:hAnsi="Wingdings" w:hint="default"/>
      </w:rPr>
    </w:lvl>
  </w:abstractNum>
  <w:abstractNum w:abstractNumId="74" w15:restartNumberingAfterBreak="0">
    <w:nsid w:val="75311877"/>
    <w:multiLevelType w:val="hybridMultilevel"/>
    <w:tmpl w:val="81D0B1D0"/>
    <w:lvl w:ilvl="0" w:tplc="CC78A500">
      <w:start w:val="1"/>
      <w:numFmt w:val="lowerLetter"/>
      <w:lvlText w:val="%1)"/>
      <w:lvlJc w:val="left"/>
      <w:pPr>
        <w:ind w:left="1065" w:hanging="360"/>
      </w:pPr>
      <w:rPr>
        <w:rFonts w:hint="default"/>
      </w:rPr>
    </w:lvl>
    <w:lvl w:ilvl="1" w:tplc="5D5E6374" w:tentative="1">
      <w:start w:val="1"/>
      <w:numFmt w:val="lowerLetter"/>
      <w:lvlText w:val="%2."/>
      <w:lvlJc w:val="left"/>
      <w:pPr>
        <w:ind w:left="1440" w:hanging="360"/>
      </w:pPr>
    </w:lvl>
    <w:lvl w:ilvl="2" w:tplc="CFB02EAE" w:tentative="1">
      <w:start w:val="1"/>
      <w:numFmt w:val="lowerRoman"/>
      <w:lvlText w:val="%3."/>
      <w:lvlJc w:val="right"/>
      <w:pPr>
        <w:ind w:left="2160" w:hanging="180"/>
      </w:pPr>
    </w:lvl>
    <w:lvl w:ilvl="3" w:tplc="5302DC26" w:tentative="1">
      <w:start w:val="1"/>
      <w:numFmt w:val="decimal"/>
      <w:lvlText w:val="%4."/>
      <w:lvlJc w:val="left"/>
      <w:pPr>
        <w:ind w:left="2880" w:hanging="360"/>
      </w:pPr>
    </w:lvl>
    <w:lvl w:ilvl="4" w:tplc="2B98B96C" w:tentative="1">
      <w:start w:val="1"/>
      <w:numFmt w:val="lowerLetter"/>
      <w:lvlText w:val="%5."/>
      <w:lvlJc w:val="left"/>
      <w:pPr>
        <w:ind w:left="3600" w:hanging="360"/>
      </w:pPr>
    </w:lvl>
    <w:lvl w:ilvl="5" w:tplc="04BE40C8" w:tentative="1">
      <w:start w:val="1"/>
      <w:numFmt w:val="lowerRoman"/>
      <w:lvlText w:val="%6."/>
      <w:lvlJc w:val="right"/>
      <w:pPr>
        <w:ind w:left="4320" w:hanging="180"/>
      </w:pPr>
    </w:lvl>
    <w:lvl w:ilvl="6" w:tplc="BC940E88" w:tentative="1">
      <w:start w:val="1"/>
      <w:numFmt w:val="decimal"/>
      <w:lvlText w:val="%7."/>
      <w:lvlJc w:val="left"/>
      <w:pPr>
        <w:ind w:left="5040" w:hanging="360"/>
      </w:pPr>
    </w:lvl>
    <w:lvl w:ilvl="7" w:tplc="EB8E2616" w:tentative="1">
      <w:start w:val="1"/>
      <w:numFmt w:val="lowerLetter"/>
      <w:lvlText w:val="%8."/>
      <w:lvlJc w:val="left"/>
      <w:pPr>
        <w:ind w:left="5760" w:hanging="360"/>
      </w:pPr>
    </w:lvl>
    <w:lvl w:ilvl="8" w:tplc="91D4E430" w:tentative="1">
      <w:start w:val="1"/>
      <w:numFmt w:val="lowerRoman"/>
      <w:lvlText w:val="%9."/>
      <w:lvlJc w:val="right"/>
      <w:pPr>
        <w:ind w:left="6480" w:hanging="180"/>
      </w:pPr>
    </w:lvl>
  </w:abstractNum>
  <w:abstractNum w:abstractNumId="75" w15:restartNumberingAfterBreak="0">
    <w:nsid w:val="75DB2A74"/>
    <w:multiLevelType w:val="hybridMultilevel"/>
    <w:tmpl w:val="9A984F3A"/>
    <w:lvl w:ilvl="0" w:tplc="129094D6">
      <w:start w:val="1"/>
      <w:numFmt w:val="bullet"/>
      <w:lvlText w:val=""/>
      <w:lvlJc w:val="left"/>
      <w:pPr>
        <w:ind w:left="720" w:hanging="360"/>
      </w:pPr>
      <w:rPr>
        <w:rFonts w:ascii="Symbol" w:hAnsi="Symbol" w:hint="default"/>
      </w:rPr>
    </w:lvl>
    <w:lvl w:ilvl="1" w:tplc="51E2D5F6" w:tentative="1">
      <w:start w:val="1"/>
      <w:numFmt w:val="bullet"/>
      <w:lvlText w:val="o"/>
      <w:lvlJc w:val="left"/>
      <w:pPr>
        <w:ind w:left="1440" w:hanging="360"/>
      </w:pPr>
      <w:rPr>
        <w:rFonts w:ascii="Courier New" w:hAnsi="Courier New" w:cs="Courier New" w:hint="default"/>
      </w:rPr>
    </w:lvl>
    <w:lvl w:ilvl="2" w:tplc="BA2234A6" w:tentative="1">
      <w:start w:val="1"/>
      <w:numFmt w:val="bullet"/>
      <w:lvlText w:val=""/>
      <w:lvlJc w:val="left"/>
      <w:pPr>
        <w:ind w:left="2160" w:hanging="360"/>
      </w:pPr>
      <w:rPr>
        <w:rFonts w:ascii="Wingdings" w:hAnsi="Wingdings" w:hint="default"/>
      </w:rPr>
    </w:lvl>
    <w:lvl w:ilvl="3" w:tplc="2236DACC" w:tentative="1">
      <w:start w:val="1"/>
      <w:numFmt w:val="bullet"/>
      <w:lvlText w:val=""/>
      <w:lvlJc w:val="left"/>
      <w:pPr>
        <w:ind w:left="2880" w:hanging="360"/>
      </w:pPr>
      <w:rPr>
        <w:rFonts w:ascii="Symbol" w:hAnsi="Symbol" w:hint="default"/>
      </w:rPr>
    </w:lvl>
    <w:lvl w:ilvl="4" w:tplc="51DE27B2" w:tentative="1">
      <w:start w:val="1"/>
      <w:numFmt w:val="bullet"/>
      <w:lvlText w:val="o"/>
      <w:lvlJc w:val="left"/>
      <w:pPr>
        <w:ind w:left="3600" w:hanging="360"/>
      </w:pPr>
      <w:rPr>
        <w:rFonts w:ascii="Courier New" w:hAnsi="Courier New" w:cs="Courier New" w:hint="default"/>
      </w:rPr>
    </w:lvl>
    <w:lvl w:ilvl="5" w:tplc="516CEAD2" w:tentative="1">
      <w:start w:val="1"/>
      <w:numFmt w:val="bullet"/>
      <w:lvlText w:val=""/>
      <w:lvlJc w:val="left"/>
      <w:pPr>
        <w:ind w:left="4320" w:hanging="360"/>
      </w:pPr>
      <w:rPr>
        <w:rFonts w:ascii="Wingdings" w:hAnsi="Wingdings" w:hint="default"/>
      </w:rPr>
    </w:lvl>
    <w:lvl w:ilvl="6" w:tplc="024A409C" w:tentative="1">
      <w:start w:val="1"/>
      <w:numFmt w:val="bullet"/>
      <w:lvlText w:val=""/>
      <w:lvlJc w:val="left"/>
      <w:pPr>
        <w:ind w:left="5040" w:hanging="360"/>
      </w:pPr>
      <w:rPr>
        <w:rFonts w:ascii="Symbol" w:hAnsi="Symbol" w:hint="default"/>
      </w:rPr>
    </w:lvl>
    <w:lvl w:ilvl="7" w:tplc="03787BC8" w:tentative="1">
      <w:start w:val="1"/>
      <w:numFmt w:val="bullet"/>
      <w:lvlText w:val="o"/>
      <w:lvlJc w:val="left"/>
      <w:pPr>
        <w:ind w:left="5760" w:hanging="360"/>
      </w:pPr>
      <w:rPr>
        <w:rFonts w:ascii="Courier New" w:hAnsi="Courier New" w:cs="Courier New" w:hint="default"/>
      </w:rPr>
    </w:lvl>
    <w:lvl w:ilvl="8" w:tplc="14901A9E" w:tentative="1">
      <w:start w:val="1"/>
      <w:numFmt w:val="bullet"/>
      <w:lvlText w:val=""/>
      <w:lvlJc w:val="left"/>
      <w:pPr>
        <w:ind w:left="6480" w:hanging="360"/>
      </w:pPr>
      <w:rPr>
        <w:rFonts w:ascii="Wingdings" w:hAnsi="Wingdings" w:hint="default"/>
      </w:rPr>
    </w:lvl>
  </w:abstractNum>
  <w:abstractNum w:abstractNumId="76" w15:restartNumberingAfterBreak="0">
    <w:nsid w:val="77BC3BAD"/>
    <w:multiLevelType w:val="hybridMultilevel"/>
    <w:tmpl w:val="9A62397E"/>
    <w:lvl w:ilvl="0" w:tplc="CB14337E">
      <w:start w:val="1"/>
      <w:numFmt w:val="lowerLetter"/>
      <w:lvlText w:val="%1)"/>
      <w:lvlJc w:val="left"/>
      <w:pPr>
        <w:ind w:left="1065" w:hanging="360"/>
      </w:pPr>
      <w:rPr>
        <w:rFonts w:hint="default"/>
      </w:rPr>
    </w:lvl>
    <w:lvl w:ilvl="1" w:tplc="F7C4D268">
      <w:start w:val="1"/>
      <w:numFmt w:val="lowerLetter"/>
      <w:lvlText w:val="%2."/>
      <w:lvlJc w:val="left"/>
      <w:pPr>
        <w:ind w:left="1785" w:hanging="360"/>
      </w:pPr>
    </w:lvl>
    <w:lvl w:ilvl="2" w:tplc="8DAA25B8" w:tentative="1">
      <w:start w:val="1"/>
      <w:numFmt w:val="lowerRoman"/>
      <w:lvlText w:val="%3."/>
      <w:lvlJc w:val="right"/>
      <w:pPr>
        <w:ind w:left="2505" w:hanging="180"/>
      </w:pPr>
    </w:lvl>
    <w:lvl w:ilvl="3" w:tplc="4FB2F546" w:tentative="1">
      <w:start w:val="1"/>
      <w:numFmt w:val="decimal"/>
      <w:lvlText w:val="%4."/>
      <w:lvlJc w:val="left"/>
      <w:pPr>
        <w:ind w:left="3225" w:hanging="360"/>
      </w:pPr>
    </w:lvl>
    <w:lvl w:ilvl="4" w:tplc="0492CFC2" w:tentative="1">
      <w:start w:val="1"/>
      <w:numFmt w:val="lowerLetter"/>
      <w:lvlText w:val="%5."/>
      <w:lvlJc w:val="left"/>
      <w:pPr>
        <w:ind w:left="3945" w:hanging="360"/>
      </w:pPr>
    </w:lvl>
    <w:lvl w:ilvl="5" w:tplc="01A43480" w:tentative="1">
      <w:start w:val="1"/>
      <w:numFmt w:val="lowerRoman"/>
      <w:lvlText w:val="%6."/>
      <w:lvlJc w:val="right"/>
      <w:pPr>
        <w:ind w:left="4665" w:hanging="180"/>
      </w:pPr>
    </w:lvl>
    <w:lvl w:ilvl="6" w:tplc="907EBB18" w:tentative="1">
      <w:start w:val="1"/>
      <w:numFmt w:val="decimal"/>
      <w:lvlText w:val="%7."/>
      <w:lvlJc w:val="left"/>
      <w:pPr>
        <w:ind w:left="5385" w:hanging="360"/>
      </w:pPr>
    </w:lvl>
    <w:lvl w:ilvl="7" w:tplc="3E745FCA" w:tentative="1">
      <w:start w:val="1"/>
      <w:numFmt w:val="lowerLetter"/>
      <w:lvlText w:val="%8."/>
      <w:lvlJc w:val="left"/>
      <w:pPr>
        <w:ind w:left="6105" w:hanging="360"/>
      </w:pPr>
    </w:lvl>
    <w:lvl w:ilvl="8" w:tplc="24E00D3A" w:tentative="1">
      <w:start w:val="1"/>
      <w:numFmt w:val="lowerRoman"/>
      <w:lvlText w:val="%9."/>
      <w:lvlJc w:val="right"/>
      <w:pPr>
        <w:ind w:left="6825" w:hanging="180"/>
      </w:pPr>
    </w:lvl>
  </w:abstractNum>
  <w:abstractNum w:abstractNumId="77" w15:restartNumberingAfterBreak="0">
    <w:nsid w:val="78633BE6"/>
    <w:multiLevelType w:val="hybridMultilevel"/>
    <w:tmpl w:val="6F581838"/>
    <w:lvl w:ilvl="0" w:tplc="C282A63E">
      <w:start w:val="1"/>
      <w:numFmt w:val="bullet"/>
      <w:lvlText w:val=""/>
      <w:lvlJc w:val="left"/>
      <w:pPr>
        <w:ind w:left="720" w:hanging="360"/>
      </w:pPr>
      <w:rPr>
        <w:rFonts w:ascii="Symbol" w:hAnsi="Symbol" w:hint="default"/>
      </w:rPr>
    </w:lvl>
    <w:lvl w:ilvl="1" w:tplc="19D69D06" w:tentative="1">
      <w:start w:val="1"/>
      <w:numFmt w:val="bullet"/>
      <w:lvlText w:val="o"/>
      <w:lvlJc w:val="left"/>
      <w:pPr>
        <w:ind w:left="1440" w:hanging="360"/>
      </w:pPr>
      <w:rPr>
        <w:rFonts w:ascii="Courier New" w:hAnsi="Courier New" w:cs="Courier New" w:hint="default"/>
      </w:rPr>
    </w:lvl>
    <w:lvl w:ilvl="2" w:tplc="5628CF98" w:tentative="1">
      <w:start w:val="1"/>
      <w:numFmt w:val="bullet"/>
      <w:lvlText w:val=""/>
      <w:lvlJc w:val="left"/>
      <w:pPr>
        <w:ind w:left="2160" w:hanging="360"/>
      </w:pPr>
      <w:rPr>
        <w:rFonts w:ascii="Wingdings" w:hAnsi="Wingdings" w:hint="default"/>
      </w:rPr>
    </w:lvl>
    <w:lvl w:ilvl="3" w:tplc="8266EAE0" w:tentative="1">
      <w:start w:val="1"/>
      <w:numFmt w:val="bullet"/>
      <w:lvlText w:val=""/>
      <w:lvlJc w:val="left"/>
      <w:pPr>
        <w:ind w:left="2880" w:hanging="360"/>
      </w:pPr>
      <w:rPr>
        <w:rFonts w:ascii="Symbol" w:hAnsi="Symbol" w:hint="default"/>
      </w:rPr>
    </w:lvl>
    <w:lvl w:ilvl="4" w:tplc="2E2C9FF6" w:tentative="1">
      <w:start w:val="1"/>
      <w:numFmt w:val="bullet"/>
      <w:lvlText w:val="o"/>
      <w:lvlJc w:val="left"/>
      <w:pPr>
        <w:ind w:left="3600" w:hanging="360"/>
      </w:pPr>
      <w:rPr>
        <w:rFonts w:ascii="Courier New" w:hAnsi="Courier New" w:cs="Courier New" w:hint="default"/>
      </w:rPr>
    </w:lvl>
    <w:lvl w:ilvl="5" w:tplc="4A1696C6" w:tentative="1">
      <w:start w:val="1"/>
      <w:numFmt w:val="bullet"/>
      <w:lvlText w:val=""/>
      <w:lvlJc w:val="left"/>
      <w:pPr>
        <w:ind w:left="4320" w:hanging="360"/>
      </w:pPr>
      <w:rPr>
        <w:rFonts w:ascii="Wingdings" w:hAnsi="Wingdings" w:hint="default"/>
      </w:rPr>
    </w:lvl>
    <w:lvl w:ilvl="6" w:tplc="B3E263B0" w:tentative="1">
      <w:start w:val="1"/>
      <w:numFmt w:val="bullet"/>
      <w:lvlText w:val=""/>
      <w:lvlJc w:val="left"/>
      <w:pPr>
        <w:ind w:left="5040" w:hanging="360"/>
      </w:pPr>
      <w:rPr>
        <w:rFonts w:ascii="Symbol" w:hAnsi="Symbol" w:hint="default"/>
      </w:rPr>
    </w:lvl>
    <w:lvl w:ilvl="7" w:tplc="ECE476D8" w:tentative="1">
      <w:start w:val="1"/>
      <w:numFmt w:val="bullet"/>
      <w:lvlText w:val="o"/>
      <w:lvlJc w:val="left"/>
      <w:pPr>
        <w:ind w:left="5760" w:hanging="360"/>
      </w:pPr>
      <w:rPr>
        <w:rFonts w:ascii="Courier New" w:hAnsi="Courier New" w:cs="Courier New" w:hint="default"/>
      </w:rPr>
    </w:lvl>
    <w:lvl w:ilvl="8" w:tplc="974852B6" w:tentative="1">
      <w:start w:val="1"/>
      <w:numFmt w:val="bullet"/>
      <w:lvlText w:val=""/>
      <w:lvlJc w:val="left"/>
      <w:pPr>
        <w:ind w:left="6480" w:hanging="360"/>
      </w:pPr>
      <w:rPr>
        <w:rFonts w:ascii="Wingdings" w:hAnsi="Wingdings" w:hint="default"/>
      </w:rPr>
    </w:lvl>
  </w:abstractNum>
  <w:abstractNum w:abstractNumId="78" w15:restartNumberingAfterBreak="0">
    <w:nsid w:val="78B92FA0"/>
    <w:multiLevelType w:val="hybridMultilevel"/>
    <w:tmpl w:val="95288972"/>
    <w:lvl w:ilvl="0" w:tplc="9DE0456A">
      <w:start w:val="1"/>
      <w:numFmt w:val="bullet"/>
      <w:lvlText w:val=""/>
      <w:lvlJc w:val="left"/>
      <w:pPr>
        <w:ind w:left="720" w:hanging="360"/>
      </w:pPr>
      <w:rPr>
        <w:rFonts w:ascii="Symbol" w:hAnsi="Symbol" w:hint="default"/>
      </w:rPr>
    </w:lvl>
    <w:lvl w:ilvl="1" w:tplc="4588EE74" w:tentative="1">
      <w:start w:val="1"/>
      <w:numFmt w:val="bullet"/>
      <w:lvlText w:val="o"/>
      <w:lvlJc w:val="left"/>
      <w:pPr>
        <w:ind w:left="1440" w:hanging="360"/>
      </w:pPr>
      <w:rPr>
        <w:rFonts w:ascii="Courier New" w:hAnsi="Courier New" w:cs="Courier New" w:hint="default"/>
      </w:rPr>
    </w:lvl>
    <w:lvl w:ilvl="2" w:tplc="61406CE2" w:tentative="1">
      <w:start w:val="1"/>
      <w:numFmt w:val="bullet"/>
      <w:lvlText w:val=""/>
      <w:lvlJc w:val="left"/>
      <w:pPr>
        <w:ind w:left="2160" w:hanging="360"/>
      </w:pPr>
      <w:rPr>
        <w:rFonts w:ascii="Wingdings" w:hAnsi="Wingdings" w:hint="default"/>
      </w:rPr>
    </w:lvl>
    <w:lvl w:ilvl="3" w:tplc="ABFA2F4C" w:tentative="1">
      <w:start w:val="1"/>
      <w:numFmt w:val="bullet"/>
      <w:lvlText w:val=""/>
      <w:lvlJc w:val="left"/>
      <w:pPr>
        <w:ind w:left="2880" w:hanging="360"/>
      </w:pPr>
      <w:rPr>
        <w:rFonts w:ascii="Symbol" w:hAnsi="Symbol" w:hint="default"/>
      </w:rPr>
    </w:lvl>
    <w:lvl w:ilvl="4" w:tplc="E51E53F8" w:tentative="1">
      <w:start w:val="1"/>
      <w:numFmt w:val="bullet"/>
      <w:lvlText w:val="o"/>
      <w:lvlJc w:val="left"/>
      <w:pPr>
        <w:ind w:left="3600" w:hanging="360"/>
      </w:pPr>
      <w:rPr>
        <w:rFonts w:ascii="Courier New" w:hAnsi="Courier New" w:cs="Courier New" w:hint="default"/>
      </w:rPr>
    </w:lvl>
    <w:lvl w:ilvl="5" w:tplc="C6B2498E" w:tentative="1">
      <w:start w:val="1"/>
      <w:numFmt w:val="bullet"/>
      <w:lvlText w:val=""/>
      <w:lvlJc w:val="left"/>
      <w:pPr>
        <w:ind w:left="4320" w:hanging="360"/>
      </w:pPr>
      <w:rPr>
        <w:rFonts w:ascii="Wingdings" w:hAnsi="Wingdings" w:hint="default"/>
      </w:rPr>
    </w:lvl>
    <w:lvl w:ilvl="6" w:tplc="4FD63F06" w:tentative="1">
      <w:start w:val="1"/>
      <w:numFmt w:val="bullet"/>
      <w:lvlText w:val=""/>
      <w:lvlJc w:val="left"/>
      <w:pPr>
        <w:ind w:left="5040" w:hanging="360"/>
      </w:pPr>
      <w:rPr>
        <w:rFonts w:ascii="Symbol" w:hAnsi="Symbol" w:hint="default"/>
      </w:rPr>
    </w:lvl>
    <w:lvl w:ilvl="7" w:tplc="2F403864" w:tentative="1">
      <w:start w:val="1"/>
      <w:numFmt w:val="bullet"/>
      <w:lvlText w:val="o"/>
      <w:lvlJc w:val="left"/>
      <w:pPr>
        <w:ind w:left="5760" w:hanging="360"/>
      </w:pPr>
      <w:rPr>
        <w:rFonts w:ascii="Courier New" w:hAnsi="Courier New" w:cs="Courier New" w:hint="default"/>
      </w:rPr>
    </w:lvl>
    <w:lvl w:ilvl="8" w:tplc="B266A3B4" w:tentative="1">
      <w:start w:val="1"/>
      <w:numFmt w:val="bullet"/>
      <w:lvlText w:val=""/>
      <w:lvlJc w:val="left"/>
      <w:pPr>
        <w:ind w:left="6480" w:hanging="360"/>
      </w:pPr>
      <w:rPr>
        <w:rFonts w:ascii="Wingdings" w:hAnsi="Wingdings" w:hint="default"/>
      </w:rPr>
    </w:lvl>
  </w:abstractNum>
  <w:abstractNum w:abstractNumId="79" w15:restartNumberingAfterBreak="0">
    <w:nsid w:val="79FB5F36"/>
    <w:multiLevelType w:val="hybridMultilevel"/>
    <w:tmpl w:val="A9362C7A"/>
    <w:lvl w:ilvl="0" w:tplc="683EA580">
      <w:start w:val="1"/>
      <w:numFmt w:val="bullet"/>
      <w:lvlText w:val=""/>
      <w:lvlJc w:val="left"/>
      <w:pPr>
        <w:ind w:left="720" w:hanging="360"/>
      </w:pPr>
      <w:rPr>
        <w:rFonts w:ascii="Symbol" w:hAnsi="Symbol" w:hint="default"/>
      </w:rPr>
    </w:lvl>
    <w:lvl w:ilvl="1" w:tplc="A560EE8A" w:tentative="1">
      <w:start w:val="1"/>
      <w:numFmt w:val="bullet"/>
      <w:lvlText w:val="o"/>
      <w:lvlJc w:val="left"/>
      <w:pPr>
        <w:ind w:left="1440" w:hanging="360"/>
      </w:pPr>
      <w:rPr>
        <w:rFonts w:ascii="Courier New" w:hAnsi="Courier New" w:cs="Courier New" w:hint="default"/>
      </w:rPr>
    </w:lvl>
    <w:lvl w:ilvl="2" w:tplc="CA6C1066" w:tentative="1">
      <w:start w:val="1"/>
      <w:numFmt w:val="bullet"/>
      <w:lvlText w:val=""/>
      <w:lvlJc w:val="left"/>
      <w:pPr>
        <w:ind w:left="2160" w:hanging="360"/>
      </w:pPr>
      <w:rPr>
        <w:rFonts w:ascii="Wingdings" w:hAnsi="Wingdings" w:hint="default"/>
      </w:rPr>
    </w:lvl>
    <w:lvl w:ilvl="3" w:tplc="8312EDDC" w:tentative="1">
      <w:start w:val="1"/>
      <w:numFmt w:val="bullet"/>
      <w:lvlText w:val=""/>
      <w:lvlJc w:val="left"/>
      <w:pPr>
        <w:ind w:left="2880" w:hanging="360"/>
      </w:pPr>
      <w:rPr>
        <w:rFonts w:ascii="Symbol" w:hAnsi="Symbol" w:hint="default"/>
      </w:rPr>
    </w:lvl>
    <w:lvl w:ilvl="4" w:tplc="953C8F50" w:tentative="1">
      <w:start w:val="1"/>
      <w:numFmt w:val="bullet"/>
      <w:lvlText w:val="o"/>
      <w:lvlJc w:val="left"/>
      <w:pPr>
        <w:ind w:left="3600" w:hanging="360"/>
      </w:pPr>
      <w:rPr>
        <w:rFonts w:ascii="Courier New" w:hAnsi="Courier New" w:cs="Courier New" w:hint="default"/>
      </w:rPr>
    </w:lvl>
    <w:lvl w:ilvl="5" w:tplc="84E018B4" w:tentative="1">
      <w:start w:val="1"/>
      <w:numFmt w:val="bullet"/>
      <w:lvlText w:val=""/>
      <w:lvlJc w:val="left"/>
      <w:pPr>
        <w:ind w:left="4320" w:hanging="360"/>
      </w:pPr>
      <w:rPr>
        <w:rFonts w:ascii="Wingdings" w:hAnsi="Wingdings" w:hint="default"/>
      </w:rPr>
    </w:lvl>
    <w:lvl w:ilvl="6" w:tplc="2C7E3AE2" w:tentative="1">
      <w:start w:val="1"/>
      <w:numFmt w:val="bullet"/>
      <w:lvlText w:val=""/>
      <w:lvlJc w:val="left"/>
      <w:pPr>
        <w:ind w:left="5040" w:hanging="360"/>
      </w:pPr>
      <w:rPr>
        <w:rFonts w:ascii="Symbol" w:hAnsi="Symbol" w:hint="default"/>
      </w:rPr>
    </w:lvl>
    <w:lvl w:ilvl="7" w:tplc="7C183D7A" w:tentative="1">
      <w:start w:val="1"/>
      <w:numFmt w:val="bullet"/>
      <w:lvlText w:val="o"/>
      <w:lvlJc w:val="left"/>
      <w:pPr>
        <w:ind w:left="5760" w:hanging="360"/>
      </w:pPr>
      <w:rPr>
        <w:rFonts w:ascii="Courier New" w:hAnsi="Courier New" w:cs="Courier New" w:hint="default"/>
      </w:rPr>
    </w:lvl>
    <w:lvl w:ilvl="8" w:tplc="EE747956" w:tentative="1">
      <w:start w:val="1"/>
      <w:numFmt w:val="bullet"/>
      <w:lvlText w:val=""/>
      <w:lvlJc w:val="left"/>
      <w:pPr>
        <w:ind w:left="6480" w:hanging="360"/>
      </w:pPr>
      <w:rPr>
        <w:rFonts w:ascii="Wingdings" w:hAnsi="Wingdings" w:hint="default"/>
      </w:rPr>
    </w:lvl>
  </w:abstractNum>
  <w:abstractNum w:abstractNumId="80" w15:restartNumberingAfterBreak="0">
    <w:nsid w:val="7A027124"/>
    <w:multiLevelType w:val="hybridMultilevel"/>
    <w:tmpl w:val="6F0C9C5A"/>
    <w:lvl w:ilvl="0" w:tplc="CBE220A4">
      <w:start w:val="1"/>
      <w:numFmt w:val="bullet"/>
      <w:lvlText w:val=""/>
      <w:lvlJc w:val="left"/>
      <w:pPr>
        <w:ind w:left="1287" w:hanging="360"/>
      </w:pPr>
      <w:rPr>
        <w:rFonts w:ascii="Symbol" w:hAnsi="Symbol" w:hint="default"/>
      </w:rPr>
    </w:lvl>
    <w:lvl w:ilvl="1" w:tplc="B3543E4A">
      <w:start w:val="1"/>
      <w:numFmt w:val="bullet"/>
      <w:lvlText w:val="o"/>
      <w:lvlJc w:val="left"/>
      <w:pPr>
        <w:ind w:left="2007" w:hanging="360"/>
      </w:pPr>
      <w:rPr>
        <w:rFonts w:ascii="Courier New" w:hAnsi="Courier New" w:cs="Courier New" w:hint="default"/>
      </w:rPr>
    </w:lvl>
    <w:lvl w:ilvl="2" w:tplc="F028D522" w:tentative="1">
      <w:start w:val="1"/>
      <w:numFmt w:val="bullet"/>
      <w:lvlText w:val=""/>
      <w:lvlJc w:val="left"/>
      <w:pPr>
        <w:ind w:left="2727" w:hanging="360"/>
      </w:pPr>
      <w:rPr>
        <w:rFonts w:ascii="Wingdings" w:hAnsi="Wingdings" w:hint="default"/>
      </w:rPr>
    </w:lvl>
    <w:lvl w:ilvl="3" w:tplc="031EEA90" w:tentative="1">
      <w:start w:val="1"/>
      <w:numFmt w:val="bullet"/>
      <w:lvlText w:val=""/>
      <w:lvlJc w:val="left"/>
      <w:pPr>
        <w:ind w:left="3447" w:hanging="360"/>
      </w:pPr>
      <w:rPr>
        <w:rFonts w:ascii="Symbol" w:hAnsi="Symbol" w:hint="default"/>
      </w:rPr>
    </w:lvl>
    <w:lvl w:ilvl="4" w:tplc="52027DD6" w:tentative="1">
      <w:start w:val="1"/>
      <w:numFmt w:val="bullet"/>
      <w:lvlText w:val="o"/>
      <w:lvlJc w:val="left"/>
      <w:pPr>
        <w:ind w:left="4167" w:hanging="360"/>
      </w:pPr>
      <w:rPr>
        <w:rFonts w:ascii="Courier New" w:hAnsi="Courier New" w:cs="Courier New" w:hint="default"/>
      </w:rPr>
    </w:lvl>
    <w:lvl w:ilvl="5" w:tplc="137CE9C8" w:tentative="1">
      <w:start w:val="1"/>
      <w:numFmt w:val="bullet"/>
      <w:lvlText w:val=""/>
      <w:lvlJc w:val="left"/>
      <w:pPr>
        <w:ind w:left="4887" w:hanging="360"/>
      </w:pPr>
      <w:rPr>
        <w:rFonts w:ascii="Wingdings" w:hAnsi="Wingdings" w:hint="default"/>
      </w:rPr>
    </w:lvl>
    <w:lvl w:ilvl="6" w:tplc="25CE95A0" w:tentative="1">
      <w:start w:val="1"/>
      <w:numFmt w:val="bullet"/>
      <w:lvlText w:val=""/>
      <w:lvlJc w:val="left"/>
      <w:pPr>
        <w:ind w:left="5607" w:hanging="360"/>
      </w:pPr>
      <w:rPr>
        <w:rFonts w:ascii="Symbol" w:hAnsi="Symbol" w:hint="default"/>
      </w:rPr>
    </w:lvl>
    <w:lvl w:ilvl="7" w:tplc="896421AE" w:tentative="1">
      <w:start w:val="1"/>
      <w:numFmt w:val="bullet"/>
      <w:lvlText w:val="o"/>
      <w:lvlJc w:val="left"/>
      <w:pPr>
        <w:ind w:left="6327" w:hanging="360"/>
      </w:pPr>
      <w:rPr>
        <w:rFonts w:ascii="Courier New" w:hAnsi="Courier New" w:cs="Courier New" w:hint="default"/>
      </w:rPr>
    </w:lvl>
    <w:lvl w:ilvl="8" w:tplc="9B3CE44E" w:tentative="1">
      <w:start w:val="1"/>
      <w:numFmt w:val="bullet"/>
      <w:lvlText w:val=""/>
      <w:lvlJc w:val="left"/>
      <w:pPr>
        <w:ind w:left="7047" w:hanging="360"/>
      </w:pPr>
      <w:rPr>
        <w:rFonts w:ascii="Wingdings" w:hAnsi="Wingdings" w:hint="default"/>
      </w:rPr>
    </w:lvl>
  </w:abstractNum>
  <w:abstractNum w:abstractNumId="81" w15:restartNumberingAfterBreak="0">
    <w:nsid w:val="7C4E212E"/>
    <w:multiLevelType w:val="hybridMultilevel"/>
    <w:tmpl w:val="21FACA90"/>
    <w:lvl w:ilvl="0" w:tplc="6F1AA464">
      <w:start w:val="1"/>
      <w:numFmt w:val="lowerLetter"/>
      <w:lvlText w:val="%1.)"/>
      <w:lvlJc w:val="left"/>
      <w:pPr>
        <w:tabs>
          <w:tab w:val="num" w:pos="720"/>
        </w:tabs>
        <w:ind w:left="720" w:hanging="360"/>
      </w:pPr>
      <w:rPr>
        <w:rFonts w:ascii="Times New Roman" w:hAnsi="Times New Roman" w:cs="Times New Roman" w:hint="default"/>
        <w:color w:val="auto"/>
      </w:rPr>
    </w:lvl>
    <w:lvl w:ilvl="1" w:tplc="15F255A6">
      <w:start w:val="1"/>
      <w:numFmt w:val="bullet"/>
      <w:lvlText w:val=""/>
      <w:lvlJc w:val="left"/>
      <w:pPr>
        <w:tabs>
          <w:tab w:val="num" w:pos="1440"/>
        </w:tabs>
        <w:ind w:left="1440" w:hanging="360"/>
      </w:pPr>
      <w:rPr>
        <w:rFonts w:ascii="Symbol" w:hAnsi="Symbol" w:hint="default"/>
        <w:color w:val="auto"/>
      </w:rPr>
    </w:lvl>
    <w:lvl w:ilvl="2" w:tplc="566AAD5A">
      <w:start w:val="2"/>
      <w:numFmt w:val="bullet"/>
      <w:lvlText w:val="-"/>
      <w:lvlJc w:val="left"/>
      <w:pPr>
        <w:tabs>
          <w:tab w:val="num" w:pos="2340"/>
        </w:tabs>
        <w:ind w:left="2340" w:hanging="360"/>
      </w:pPr>
      <w:rPr>
        <w:rFonts w:ascii="Times New Roman" w:eastAsia="Times New Roman" w:hAnsi="Times New Roman" w:cs="Times New Roman" w:hint="default"/>
      </w:rPr>
    </w:lvl>
    <w:lvl w:ilvl="3" w:tplc="C21095BA">
      <w:start w:val="1"/>
      <w:numFmt w:val="decimal"/>
      <w:lvlText w:val="%4-"/>
      <w:lvlJc w:val="left"/>
      <w:pPr>
        <w:ind w:left="2880" w:hanging="360"/>
      </w:pPr>
      <w:rPr>
        <w:rFonts w:hint="default"/>
      </w:rPr>
    </w:lvl>
    <w:lvl w:ilvl="4" w:tplc="64A2212A">
      <w:start w:val="5"/>
      <w:numFmt w:val="upperRoman"/>
      <w:lvlText w:val="%5."/>
      <w:lvlJc w:val="left"/>
      <w:pPr>
        <w:ind w:left="3960" w:hanging="720"/>
      </w:pPr>
      <w:rPr>
        <w:rFonts w:hint="default"/>
      </w:rPr>
    </w:lvl>
    <w:lvl w:ilvl="5" w:tplc="8A1841C0" w:tentative="1">
      <w:start w:val="1"/>
      <w:numFmt w:val="lowerRoman"/>
      <w:lvlText w:val="%6."/>
      <w:lvlJc w:val="right"/>
      <w:pPr>
        <w:tabs>
          <w:tab w:val="num" w:pos="4320"/>
        </w:tabs>
        <w:ind w:left="4320" w:hanging="180"/>
      </w:pPr>
    </w:lvl>
    <w:lvl w:ilvl="6" w:tplc="BD144E8E" w:tentative="1">
      <w:start w:val="1"/>
      <w:numFmt w:val="decimal"/>
      <w:lvlText w:val="%7."/>
      <w:lvlJc w:val="left"/>
      <w:pPr>
        <w:tabs>
          <w:tab w:val="num" w:pos="5040"/>
        </w:tabs>
        <w:ind w:left="5040" w:hanging="360"/>
      </w:pPr>
    </w:lvl>
    <w:lvl w:ilvl="7" w:tplc="FBDE1664" w:tentative="1">
      <w:start w:val="1"/>
      <w:numFmt w:val="lowerLetter"/>
      <w:lvlText w:val="%8."/>
      <w:lvlJc w:val="left"/>
      <w:pPr>
        <w:tabs>
          <w:tab w:val="num" w:pos="5760"/>
        </w:tabs>
        <w:ind w:left="5760" w:hanging="360"/>
      </w:pPr>
    </w:lvl>
    <w:lvl w:ilvl="8" w:tplc="7D244CCC" w:tentative="1">
      <w:start w:val="1"/>
      <w:numFmt w:val="lowerRoman"/>
      <w:lvlText w:val="%9."/>
      <w:lvlJc w:val="right"/>
      <w:pPr>
        <w:tabs>
          <w:tab w:val="num" w:pos="6480"/>
        </w:tabs>
        <w:ind w:left="6480" w:hanging="180"/>
      </w:pPr>
    </w:lvl>
  </w:abstractNum>
  <w:abstractNum w:abstractNumId="82" w15:restartNumberingAfterBreak="0">
    <w:nsid w:val="7CDD6CDA"/>
    <w:multiLevelType w:val="hybridMultilevel"/>
    <w:tmpl w:val="667AD862"/>
    <w:lvl w:ilvl="0" w:tplc="92FAE728">
      <w:start w:val="2012"/>
      <w:numFmt w:val="bullet"/>
      <w:lvlText w:val="–"/>
      <w:lvlJc w:val="left"/>
      <w:pPr>
        <w:ind w:left="720" w:hanging="360"/>
      </w:pPr>
      <w:rPr>
        <w:rFonts w:ascii="Calibri" w:eastAsia="Calibri" w:hAnsi="Calibri" w:cs="Times New Roman" w:hint="default"/>
      </w:rPr>
    </w:lvl>
    <w:lvl w:ilvl="1" w:tplc="7BFCDCA0">
      <w:start w:val="1"/>
      <w:numFmt w:val="bullet"/>
      <w:lvlText w:val=""/>
      <w:lvlJc w:val="left"/>
      <w:pPr>
        <w:ind w:left="1440" w:hanging="360"/>
      </w:pPr>
      <w:rPr>
        <w:rFonts w:ascii="Symbol" w:hAnsi="Symbol" w:hint="default"/>
      </w:rPr>
    </w:lvl>
    <w:lvl w:ilvl="2" w:tplc="82186A96">
      <w:start w:val="1"/>
      <w:numFmt w:val="bullet"/>
      <w:lvlText w:val=""/>
      <w:lvlJc w:val="left"/>
      <w:pPr>
        <w:ind w:left="2160" w:hanging="360"/>
      </w:pPr>
      <w:rPr>
        <w:rFonts w:ascii="Wingdings" w:hAnsi="Wingdings" w:hint="default"/>
      </w:rPr>
    </w:lvl>
    <w:lvl w:ilvl="3" w:tplc="6EE8224C" w:tentative="1">
      <w:start w:val="1"/>
      <w:numFmt w:val="bullet"/>
      <w:lvlText w:val=""/>
      <w:lvlJc w:val="left"/>
      <w:pPr>
        <w:ind w:left="2880" w:hanging="360"/>
      </w:pPr>
      <w:rPr>
        <w:rFonts w:ascii="Symbol" w:hAnsi="Symbol" w:hint="default"/>
      </w:rPr>
    </w:lvl>
    <w:lvl w:ilvl="4" w:tplc="3B244D10" w:tentative="1">
      <w:start w:val="1"/>
      <w:numFmt w:val="bullet"/>
      <w:lvlText w:val="o"/>
      <w:lvlJc w:val="left"/>
      <w:pPr>
        <w:ind w:left="3600" w:hanging="360"/>
      </w:pPr>
      <w:rPr>
        <w:rFonts w:ascii="Courier New" w:hAnsi="Courier New" w:cs="Courier New" w:hint="default"/>
      </w:rPr>
    </w:lvl>
    <w:lvl w:ilvl="5" w:tplc="F1969FF4" w:tentative="1">
      <w:start w:val="1"/>
      <w:numFmt w:val="bullet"/>
      <w:lvlText w:val=""/>
      <w:lvlJc w:val="left"/>
      <w:pPr>
        <w:ind w:left="4320" w:hanging="360"/>
      </w:pPr>
      <w:rPr>
        <w:rFonts w:ascii="Wingdings" w:hAnsi="Wingdings" w:hint="default"/>
      </w:rPr>
    </w:lvl>
    <w:lvl w:ilvl="6" w:tplc="EB108C1E" w:tentative="1">
      <w:start w:val="1"/>
      <w:numFmt w:val="bullet"/>
      <w:lvlText w:val=""/>
      <w:lvlJc w:val="left"/>
      <w:pPr>
        <w:ind w:left="5040" w:hanging="360"/>
      </w:pPr>
      <w:rPr>
        <w:rFonts w:ascii="Symbol" w:hAnsi="Symbol" w:hint="default"/>
      </w:rPr>
    </w:lvl>
    <w:lvl w:ilvl="7" w:tplc="D3F29E48" w:tentative="1">
      <w:start w:val="1"/>
      <w:numFmt w:val="bullet"/>
      <w:lvlText w:val="o"/>
      <w:lvlJc w:val="left"/>
      <w:pPr>
        <w:ind w:left="5760" w:hanging="360"/>
      </w:pPr>
      <w:rPr>
        <w:rFonts w:ascii="Courier New" w:hAnsi="Courier New" w:cs="Courier New" w:hint="default"/>
      </w:rPr>
    </w:lvl>
    <w:lvl w:ilvl="8" w:tplc="9F1A4620" w:tentative="1">
      <w:start w:val="1"/>
      <w:numFmt w:val="bullet"/>
      <w:lvlText w:val=""/>
      <w:lvlJc w:val="left"/>
      <w:pPr>
        <w:ind w:left="6480" w:hanging="360"/>
      </w:pPr>
      <w:rPr>
        <w:rFonts w:ascii="Wingdings" w:hAnsi="Wingdings" w:hint="default"/>
      </w:rPr>
    </w:lvl>
  </w:abstractNum>
  <w:abstractNum w:abstractNumId="83" w15:restartNumberingAfterBreak="0">
    <w:nsid w:val="7EC05D53"/>
    <w:multiLevelType w:val="hybridMultilevel"/>
    <w:tmpl w:val="E6ACD8D0"/>
    <w:lvl w:ilvl="0" w:tplc="49C2E656">
      <w:start w:val="2012"/>
      <w:numFmt w:val="bullet"/>
      <w:lvlText w:val="–"/>
      <w:lvlJc w:val="left"/>
      <w:pPr>
        <w:ind w:left="720" w:hanging="360"/>
      </w:pPr>
      <w:rPr>
        <w:rFonts w:ascii="Calibri" w:eastAsia="Calibri" w:hAnsi="Calibri" w:cs="Times New Roman" w:hint="default"/>
      </w:rPr>
    </w:lvl>
    <w:lvl w:ilvl="1" w:tplc="1AA81F22" w:tentative="1">
      <w:start w:val="1"/>
      <w:numFmt w:val="bullet"/>
      <w:lvlText w:val="o"/>
      <w:lvlJc w:val="left"/>
      <w:pPr>
        <w:ind w:left="1440" w:hanging="360"/>
      </w:pPr>
      <w:rPr>
        <w:rFonts w:ascii="Courier New" w:hAnsi="Courier New" w:cs="Courier New" w:hint="default"/>
      </w:rPr>
    </w:lvl>
    <w:lvl w:ilvl="2" w:tplc="DEBEC7EC" w:tentative="1">
      <w:start w:val="1"/>
      <w:numFmt w:val="bullet"/>
      <w:lvlText w:val=""/>
      <w:lvlJc w:val="left"/>
      <w:pPr>
        <w:ind w:left="2160" w:hanging="360"/>
      </w:pPr>
      <w:rPr>
        <w:rFonts w:ascii="Wingdings" w:hAnsi="Wingdings" w:hint="default"/>
      </w:rPr>
    </w:lvl>
    <w:lvl w:ilvl="3" w:tplc="5C2A3B80" w:tentative="1">
      <w:start w:val="1"/>
      <w:numFmt w:val="bullet"/>
      <w:lvlText w:val=""/>
      <w:lvlJc w:val="left"/>
      <w:pPr>
        <w:ind w:left="2880" w:hanging="360"/>
      </w:pPr>
      <w:rPr>
        <w:rFonts w:ascii="Symbol" w:hAnsi="Symbol" w:hint="default"/>
      </w:rPr>
    </w:lvl>
    <w:lvl w:ilvl="4" w:tplc="1B921CE4" w:tentative="1">
      <w:start w:val="1"/>
      <w:numFmt w:val="bullet"/>
      <w:lvlText w:val="o"/>
      <w:lvlJc w:val="left"/>
      <w:pPr>
        <w:ind w:left="3600" w:hanging="360"/>
      </w:pPr>
      <w:rPr>
        <w:rFonts w:ascii="Courier New" w:hAnsi="Courier New" w:cs="Courier New" w:hint="default"/>
      </w:rPr>
    </w:lvl>
    <w:lvl w:ilvl="5" w:tplc="C7688210" w:tentative="1">
      <w:start w:val="1"/>
      <w:numFmt w:val="bullet"/>
      <w:lvlText w:val=""/>
      <w:lvlJc w:val="left"/>
      <w:pPr>
        <w:ind w:left="4320" w:hanging="360"/>
      </w:pPr>
      <w:rPr>
        <w:rFonts w:ascii="Wingdings" w:hAnsi="Wingdings" w:hint="default"/>
      </w:rPr>
    </w:lvl>
    <w:lvl w:ilvl="6" w:tplc="2C5C1768" w:tentative="1">
      <w:start w:val="1"/>
      <w:numFmt w:val="bullet"/>
      <w:lvlText w:val=""/>
      <w:lvlJc w:val="left"/>
      <w:pPr>
        <w:ind w:left="5040" w:hanging="360"/>
      </w:pPr>
      <w:rPr>
        <w:rFonts w:ascii="Symbol" w:hAnsi="Symbol" w:hint="default"/>
      </w:rPr>
    </w:lvl>
    <w:lvl w:ilvl="7" w:tplc="54B643B2" w:tentative="1">
      <w:start w:val="1"/>
      <w:numFmt w:val="bullet"/>
      <w:lvlText w:val="o"/>
      <w:lvlJc w:val="left"/>
      <w:pPr>
        <w:ind w:left="5760" w:hanging="360"/>
      </w:pPr>
      <w:rPr>
        <w:rFonts w:ascii="Courier New" w:hAnsi="Courier New" w:cs="Courier New" w:hint="default"/>
      </w:rPr>
    </w:lvl>
    <w:lvl w:ilvl="8" w:tplc="7F4CF668" w:tentative="1">
      <w:start w:val="1"/>
      <w:numFmt w:val="bullet"/>
      <w:lvlText w:val=""/>
      <w:lvlJc w:val="left"/>
      <w:pPr>
        <w:ind w:left="6480" w:hanging="360"/>
      </w:pPr>
      <w:rPr>
        <w:rFonts w:ascii="Wingdings" w:hAnsi="Wingdings" w:hint="default"/>
      </w:rPr>
    </w:lvl>
  </w:abstractNum>
  <w:abstractNum w:abstractNumId="84" w15:restartNumberingAfterBreak="0">
    <w:nsid w:val="7EF72E19"/>
    <w:multiLevelType w:val="hybridMultilevel"/>
    <w:tmpl w:val="4948D0C4"/>
    <w:lvl w:ilvl="0" w:tplc="306E77A6">
      <w:start w:val="1"/>
      <w:numFmt w:val="bullet"/>
      <w:lvlText w:val=""/>
      <w:lvlJc w:val="left"/>
      <w:pPr>
        <w:ind w:left="720" w:hanging="360"/>
      </w:pPr>
      <w:rPr>
        <w:rFonts w:ascii="Symbol" w:hAnsi="Symbol" w:hint="default"/>
      </w:rPr>
    </w:lvl>
    <w:lvl w:ilvl="1" w:tplc="8F9A84C6" w:tentative="1">
      <w:start w:val="1"/>
      <w:numFmt w:val="bullet"/>
      <w:lvlText w:val="o"/>
      <w:lvlJc w:val="left"/>
      <w:pPr>
        <w:ind w:left="1440" w:hanging="360"/>
      </w:pPr>
      <w:rPr>
        <w:rFonts w:ascii="Courier New" w:hAnsi="Courier New" w:cs="Courier New" w:hint="default"/>
      </w:rPr>
    </w:lvl>
    <w:lvl w:ilvl="2" w:tplc="20E07FBA" w:tentative="1">
      <w:start w:val="1"/>
      <w:numFmt w:val="bullet"/>
      <w:lvlText w:val=""/>
      <w:lvlJc w:val="left"/>
      <w:pPr>
        <w:ind w:left="2160" w:hanging="360"/>
      </w:pPr>
      <w:rPr>
        <w:rFonts w:ascii="Wingdings" w:hAnsi="Wingdings" w:hint="default"/>
      </w:rPr>
    </w:lvl>
    <w:lvl w:ilvl="3" w:tplc="A49ED32C" w:tentative="1">
      <w:start w:val="1"/>
      <w:numFmt w:val="bullet"/>
      <w:lvlText w:val=""/>
      <w:lvlJc w:val="left"/>
      <w:pPr>
        <w:ind w:left="2880" w:hanging="360"/>
      </w:pPr>
      <w:rPr>
        <w:rFonts w:ascii="Symbol" w:hAnsi="Symbol" w:hint="default"/>
      </w:rPr>
    </w:lvl>
    <w:lvl w:ilvl="4" w:tplc="EFB217A0" w:tentative="1">
      <w:start w:val="1"/>
      <w:numFmt w:val="bullet"/>
      <w:lvlText w:val="o"/>
      <w:lvlJc w:val="left"/>
      <w:pPr>
        <w:ind w:left="3600" w:hanging="360"/>
      </w:pPr>
      <w:rPr>
        <w:rFonts w:ascii="Courier New" w:hAnsi="Courier New" w:cs="Courier New" w:hint="default"/>
      </w:rPr>
    </w:lvl>
    <w:lvl w:ilvl="5" w:tplc="B2CE0466" w:tentative="1">
      <w:start w:val="1"/>
      <w:numFmt w:val="bullet"/>
      <w:lvlText w:val=""/>
      <w:lvlJc w:val="left"/>
      <w:pPr>
        <w:ind w:left="4320" w:hanging="360"/>
      </w:pPr>
      <w:rPr>
        <w:rFonts w:ascii="Wingdings" w:hAnsi="Wingdings" w:hint="default"/>
      </w:rPr>
    </w:lvl>
    <w:lvl w:ilvl="6" w:tplc="25A229A2" w:tentative="1">
      <w:start w:val="1"/>
      <w:numFmt w:val="bullet"/>
      <w:lvlText w:val=""/>
      <w:lvlJc w:val="left"/>
      <w:pPr>
        <w:ind w:left="5040" w:hanging="360"/>
      </w:pPr>
      <w:rPr>
        <w:rFonts w:ascii="Symbol" w:hAnsi="Symbol" w:hint="default"/>
      </w:rPr>
    </w:lvl>
    <w:lvl w:ilvl="7" w:tplc="A446A42A" w:tentative="1">
      <w:start w:val="1"/>
      <w:numFmt w:val="bullet"/>
      <w:lvlText w:val="o"/>
      <w:lvlJc w:val="left"/>
      <w:pPr>
        <w:ind w:left="5760" w:hanging="360"/>
      </w:pPr>
      <w:rPr>
        <w:rFonts w:ascii="Courier New" w:hAnsi="Courier New" w:cs="Courier New" w:hint="default"/>
      </w:rPr>
    </w:lvl>
    <w:lvl w:ilvl="8" w:tplc="6FDCDD1E" w:tentative="1">
      <w:start w:val="1"/>
      <w:numFmt w:val="bullet"/>
      <w:lvlText w:val=""/>
      <w:lvlJc w:val="left"/>
      <w:pPr>
        <w:ind w:left="6480" w:hanging="360"/>
      </w:pPr>
      <w:rPr>
        <w:rFonts w:ascii="Wingdings" w:hAnsi="Wingdings" w:hint="default"/>
      </w:rPr>
    </w:lvl>
  </w:abstractNum>
  <w:abstractNum w:abstractNumId="85" w15:restartNumberingAfterBreak="0">
    <w:nsid w:val="7FB6380C"/>
    <w:multiLevelType w:val="hybridMultilevel"/>
    <w:tmpl w:val="A3FCAA1A"/>
    <w:lvl w:ilvl="0" w:tplc="2E8E5238">
      <w:start w:val="1"/>
      <w:numFmt w:val="bullet"/>
      <w:lvlText w:val=""/>
      <w:lvlJc w:val="left"/>
      <w:pPr>
        <w:ind w:left="1287" w:hanging="360"/>
      </w:pPr>
      <w:rPr>
        <w:rFonts w:ascii="Symbol" w:hAnsi="Symbol" w:hint="default"/>
      </w:rPr>
    </w:lvl>
    <w:lvl w:ilvl="1" w:tplc="A0E64594" w:tentative="1">
      <w:start w:val="1"/>
      <w:numFmt w:val="bullet"/>
      <w:lvlText w:val="o"/>
      <w:lvlJc w:val="left"/>
      <w:pPr>
        <w:ind w:left="2007" w:hanging="360"/>
      </w:pPr>
      <w:rPr>
        <w:rFonts w:ascii="Courier New" w:hAnsi="Courier New" w:cs="Courier New" w:hint="default"/>
      </w:rPr>
    </w:lvl>
    <w:lvl w:ilvl="2" w:tplc="8AFC823A" w:tentative="1">
      <w:start w:val="1"/>
      <w:numFmt w:val="bullet"/>
      <w:lvlText w:val=""/>
      <w:lvlJc w:val="left"/>
      <w:pPr>
        <w:ind w:left="2727" w:hanging="360"/>
      </w:pPr>
      <w:rPr>
        <w:rFonts w:ascii="Wingdings" w:hAnsi="Wingdings" w:hint="default"/>
      </w:rPr>
    </w:lvl>
    <w:lvl w:ilvl="3" w:tplc="65420596" w:tentative="1">
      <w:start w:val="1"/>
      <w:numFmt w:val="bullet"/>
      <w:lvlText w:val=""/>
      <w:lvlJc w:val="left"/>
      <w:pPr>
        <w:ind w:left="3447" w:hanging="360"/>
      </w:pPr>
      <w:rPr>
        <w:rFonts w:ascii="Symbol" w:hAnsi="Symbol" w:hint="default"/>
      </w:rPr>
    </w:lvl>
    <w:lvl w:ilvl="4" w:tplc="C486C228" w:tentative="1">
      <w:start w:val="1"/>
      <w:numFmt w:val="bullet"/>
      <w:lvlText w:val="o"/>
      <w:lvlJc w:val="left"/>
      <w:pPr>
        <w:ind w:left="4167" w:hanging="360"/>
      </w:pPr>
      <w:rPr>
        <w:rFonts w:ascii="Courier New" w:hAnsi="Courier New" w:cs="Courier New" w:hint="default"/>
      </w:rPr>
    </w:lvl>
    <w:lvl w:ilvl="5" w:tplc="F164432C" w:tentative="1">
      <w:start w:val="1"/>
      <w:numFmt w:val="bullet"/>
      <w:lvlText w:val=""/>
      <w:lvlJc w:val="left"/>
      <w:pPr>
        <w:ind w:left="4887" w:hanging="360"/>
      </w:pPr>
      <w:rPr>
        <w:rFonts w:ascii="Wingdings" w:hAnsi="Wingdings" w:hint="default"/>
      </w:rPr>
    </w:lvl>
    <w:lvl w:ilvl="6" w:tplc="60180AFC" w:tentative="1">
      <w:start w:val="1"/>
      <w:numFmt w:val="bullet"/>
      <w:lvlText w:val=""/>
      <w:lvlJc w:val="left"/>
      <w:pPr>
        <w:ind w:left="5607" w:hanging="360"/>
      </w:pPr>
      <w:rPr>
        <w:rFonts w:ascii="Symbol" w:hAnsi="Symbol" w:hint="default"/>
      </w:rPr>
    </w:lvl>
    <w:lvl w:ilvl="7" w:tplc="C9705B52" w:tentative="1">
      <w:start w:val="1"/>
      <w:numFmt w:val="bullet"/>
      <w:lvlText w:val="o"/>
      <w:lvlJc w:val="left"/>
      <w:pPr>
        <w:ind w:left="6327" w:hanging="360"/>
      </w:pPr>
      <w:rPr>
        <w:rFonts w:ascii="Courier New" w:hAnsi="Courier New" w:cs="Courier New" w:hint="default"/>
      </w:rPr>
    </w:lvl>
    <w:lvl w:ilvl="8" w:tplc="CEF635CC" w:tentative="1">
      <w:start w:val="1"/>
      <w:numFmt w:val="bullet"/>
      <w:lvlText w:val=""/>
      <w:lvlJc w:val="left"/>
      <w:pPr>
        <w:ind w:left="7047" w:hanging="360"/>
      </w:pPr>
      <w:rPr>
        <w:rFonts w:ascii="Wingdings" w:hAnsi="Wingdings" w:hint="default"/>
      </w:rPr>
    </w:lvl>
  </w:abstractNum>
  <w:num w:numId="1" w16cid:durableId="2095734497">
    <w:abstractNumId w:val="61"/>
  </w:num>
  <w:num w:numId="2" w16cid:durableId="1205101305">
    <w:abstractNumId w:val="35"/>
  </w:num>
  <w:num w:numId="3" w16cid:durableId="1407608613">
    <w:abstractNumId w:val="29"/>
  </w:num>
  <w:num w:numId="4" w16cid:durableId="1603803555">
    <w:abstractNumId w:val="30"/>
  </w:num>
  <w:num w:numId="5" w16cid:durableId="583345293">
    <w:abstractNumId w:val="32"/>
  </w:num>
  <w:num w:numId="6" w16cid:durableId="926695332">
    <w:abstractNumId w:val="57"/>
  </w:num>
  <w:num w:numId="7" w16cid:durableId="2083990662">
    <w:abstractNumId w:val="63"/>
  </w:num>
  <w:num w:numId="8" w16cid:durableId="318190014">
    <w:abstractNumId w:val="64"/>
  </w:num>
  <w:num w:numId="9" w16cid:durableId="18452424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9411967">
    <w:abstractNumId w:val="15"/>
  </w:num>
  <w:num w:numId="11" w16cid:durableId="1474911108">
    <w:abstractNumId w:val="8"/>
  </w:num>
  <w:num w:numId="12" w16cid:durableId="1908684368">
    <w:abstractNumId w:val="46"/>
  </w:num>
  <w:num w:numId="13" w16cid:durableId="1326933307">
    <w:abstractNumId w:val="19"/>
  </w:num>
  <w:num w:numId="14" w16cid:durableId="1942909623">
    <w:abstractNumId w:val="24"/>
  </w:num>
  <w:num w:numId="15" w16cid:durableId="825583928">
    <w:abstractNumId w:val="83"/>
  </w:num>
  <w:num w:numId="16" w16cid:durableId="1309632195">
    <w:abstractNumId w:val="76"/>
  </w:num>
  <w:num w:numId="17" w16cid:durableId="753479858">
    <w:abstractNumId w:val="44"/>
  </w:num>
  <w:num w:numId="18" w16cid:durableId="530186458">
    <w:abstractNumId w:val="48"/>
  </w:num>
  <w:num w:numId="19" w16cid:durableId="1392458958">
    <w:abstractNumId w:val="71"/>
  </w:num>
  <w:num w:numId="20" w16cid:durableId="441191567">
    <w:abstractNumId w:val="13"/>
  </w:num>
  <w:num w:numId="21" w16cid:durableId="889148763">
    <w:abstractNumId w:val="11"/>
  </w:num>
  <w:num w:numId="22" w16cid:durableId="1671910672">
    <w:abstractNumId w:val="22"/>
  </w:num>
  <w:num w:numId="23" w16cid:durableId="838618559">
    <w:abstractNumId w:val="73"/>
  </w:num>
  <w:num w:numId="24" w16cid:durableId="1327900628">
    <w:abstractNumId w:val="53"/>
  </w:num>
  <w:num w:numId="25" w16cid:durableId="69235984">
    <w:abstractNumId w:val="10"/>
  </w:num>
  <w:num w:numId="26" w16cid:durableId="183372249">
    <w:abstractNumId w:val="31"/>
  </w:num>
  <w:num w:numId="27" w16cid:durableId="516113754">
    <w:abstractNumId w:val="26"/>
  </w:num>
  <w:num w:numId="28" w16cid:durableId="1508641426">
    <w:abstractNumId w:val="58"/>
  </w:num>
  <w:num w:numId="29" w16cid:durableId="1619483038">
    <w:abstractNumId w:val="79"/>
  </w:num>
  <w:num w:numId="30" w16cid:durableId="810291305">
    <w:abstractNumId w:val="56"/>
  </w:num>
  <w:num w:numId="31" w16cid:durableId="116066579">
    <w:abstractNumId w:val="55"/>
  </w:num>
  <w:num w:numId="32" w16cid:durableId="296494606">
    <w:abstractNumId w:val="40"/>
  </w:num>
  <w:num w:numId="33" w16cid:durableId="249317483">
    <w:abstractNumId w:val="84"/>
  </w:num>
  <w:num w:numId="34" w16cid:durableId="1587768553">
    <w:abstractNumId w:val="67"/>
  </w:num>
  <w:num w:numId="35" w16cid:durableId="546795403">
    <w:abstractNumId w:val="33"/>
  </w:num>
  <w:num w:numId="36" w16cid:durableId="1070998495">
    <w:abstractNumId w:val="28"/>
  </w:num>
  <w:num w:numId="37" w16cid:durableId="1505973910">
    <w:abstractNumId w:val="75"/>
  </w:num>
  <w:num w:numId="38" w16cid:durableId="352805767">
    <w:abstractNumId w:val="69"/>
  </w:num>
  <w:num w:numId="39" w16cid:durableId="1412848326">
    <w:abstractNumId w:val="85"/>
  </w:num>
  <w:num w:numId="40" w16cid:durableId="1377775707">
    <w:abstractNumId w:val="80"/>
  </w:num>
  <w:num w:numId="41" w16cid:durableId="1217282935">
    <w:abstractNumId w:val="34"/>
  </w:num>
  <w:num w:numId="42" w16cid:durableId="1084642898">
    <w:abstractNumId w:val="65"/>
  </w:num>
  <w:num w:numId="43" w16cid:durableId="1823934543">
    <w:abstractNumId w:val="81"/>
  </w:num>
  <w:num w:numId="44" w16cid:durableId="1869219401">
    <w:abstractNumId w:val="4"/>
  </w:num>
  <w:num w:numId="45" w16cid:durableId="1579365986">
    <w:abstractNumId w:val="25"/>
  </w:num>
  <w:num w:numId="46" w16cid:durableId="2045210257">
    <w:abstractNumId w:val="2"/>
  </w:num>
  <w:num w:numId="47" w16cid:durableId="1451703411">
    <w:abstractNumId w:val="21"/>
  </w:num>
  <w:num w:numId="48" w16cid:durableId="998654860">
    <w:abstractNumId w:val="52"/>
  </w:num>
  <w:num w:numId="49" w16cid:durableId="1774083529">
    <w:abstractNumId w:val="59"/>
  </w:num>
  <w:num w:numId="50" w16cid:durableId="1417482824">
    <w:abstractNumId w:val="5"/>
  </w:num>
  <w:num w:numId="51" w16cid:durableId="1768230973">
    <w:abstractNumId w:val="9"/>
  </w:num>
  <w:num w:numId="52" w16cid:durableId="1716923173">
    <w:abstractNumId w:val="23"/>
  </w:num>
  <w:num w:numId="53" w16cid:durableId="1499467983">
    <w:abstractNumId w:val="70"/>
  </w:num>
  <w:num w:numId="54" w16cid:durableId="791048149">
    <w:abstractNumId w:val="72"/>
  </w:num>
  <w:num w:numId="55" w16cid:durableId="1937326021">
    <w:abstractNumId w:val="77"/>
  </w:num>
  <w:num w:numId="56" w16cid:durableId="233274954">
    <w:abstractNumId w:val="50"/>
  </w:num>
  <w:num w:numId="57" w16cid:durableId="1061094049">
    <w:abstractNumId w:val="1"/>
  </w:num>
  <w:num w:numId="58" w16cid:durableId="424040516">
    <w:abstractNumId w:val="41"/>
  </w:num>
  <w:num w:numId="59" w16cid:durableId="2016809236">
    <w:abstractNumId w:val="37"/>
  </w:num>
  <w:num w:numId="60" w16cid:durableId="1056900134">
    <w:abstractNumId w:val="54"/>
  </w:num>
  <w:num w:numId="61" w16cid:durableId="1099830710">
    <w:abstractNumId w:val="49"/>
  </w:num>
  <w:num w:numId="62" w16cid:durableId="502470742">
    <w:abstractNumId w:val="0"/>
  </w:num>
  <w:num w:numId="63" w16cid:durableId="449592953">
    <w:abstractNumId w:val="78"/>
  </w:num>
  <w:num w:numId="64" w16cid:durableId="651562867">
    <w:abstractNumId w:val="45"/>
  </w:num>
  <w:num w:numId="65" w16cid:durableId="296030486">
    <w:abstractNumId w:val="82"/>
  </w:num>
  <w:num w:numId="66" w16cid:durableId="110707113">
    <w:abstractNumId w:val="43"/>
  </w:num>
  <w:num w:numId="67" w16cid:durableId="747655110">
    <w:abstractNumId w:val="20"/>
  </w:num>
  <w:num w:numId="68" w16cid:durableId="666053089">
    <w:abstractNumId w:val="3"/>
  </w:num>
  <w:num w:numId="69" w16cid:durableId="1648393541">
    <w:abstractNumId w:val="47"/>
  </w:num>
  <w:num w:numId="70" w16cid:durableId="1677995328">
    <w:abstractNumId w:val="12"/>
  </w:num>
  <w:num w:numId="71" w16cid:durableId="1966615247">
    <w:abstractNumId w:val="38"/>
  </w:num>
  <w:num w:numId="72" w16cid:durableId="97969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69232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814536">
    <w:abstractNumId w:val="16"/>
  </w:num>
  <w:num w:numId="75" w16cid:durableId="1952202840">
    <w:abstractNumId w:val="60"/>
  </w:num>
  <w:num w:numId="76" w16cid:durableId="1089079478">
    <w:abstractNumId w:val="42"/>
  </w:num>
  <w:num w:numId="77" w16cid:durableId="1929851862">
    <w:abstractNumId w:val="62"/>
  </w:num>
  <w:num w:numId="78" w16cid:durableId="1953704770">
    <w:abstractNumId w:val="6"/>
  </w:num>
  <w:num w:numId="79" w16cid:durableId="873267894">
    <w:abstractNumId w:val="36"/>
  </w:num>
  <w:num w:numId="80" w16cid:durableId="2127429662">
    <w:abstractNumId w:val="51"/>
  </w:num>
  <w:num w:numId="81" w16cid:durableId="805854794">
    <w:abstractNumId w:val="7"/>
  </w:num>
  <w:num w:numId="82" w16cid:durableId="689264191">
    <w:abstractNumId w:val="17"/>
  </w:num>
  <w:num w:numId="83" w16cid:durableId="261767402">
    <w:abstractNumId w:val="66"/>
  </w:num>
  <w:num w:numId="84" w16cid:durableId="967585323">
    <w:abstractNumId w:val="74"/>
  </w:num>
  <w:num w:numId="85" w16cid:durableId="658461437">
    <w:abstractNumId w:val="27"/>
  </w:num>
  <w:num w:numId="86" w16cid:durableId="154339192">
    <w:abstractNumId w:val="39"/>
  </w:num>
  <w:num w:numId="87" w16cid:durableId="680202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hideSpellingErrors/>
  <w:hideGrammaticalError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4C"/>
    <w:rsid w:val="00527C4C"/>
    <w:rsid w:val="008A78E3"/>
    <w:rsid w:val="009D2DEA"/>
    <w:rsid w:val="00B459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9F4CDA"/>
    <w:pPr>
      <w:keepNext/>
      <w:numPr>
        <w:ilvl w:val="1"/>
        <w:numId w:val="5"/>
      </w:numPr>
      <w:spacing w:after="240"/>
      <w:ind w:left="576"/>
      <w:outlineLvl w:val="1"/>
    </w:pPr>
    <w:rPr>
      <w:b/>
      <w:bCs/>
      <w:iCs/>
    </w:rPr>
  </w:style>
  <w:style w:type="paragraph" w:styleId="Cmsor3">
    <w:name w:val="heading 3"/>
    <w:basedOn w:val="Norml"/>
    <w:next w:val="Norml"/>
    <w:link w:val="Cmsor3Char"/>
    <w:qFormat/>
    <w:rsid w:val="003F29E3"/>
    <w:pPr>
      <w:keepNext/>
      <w:numPr>
        <w:ilvl w:val="2"/>
        <w:numId w:val="5"/>
      </w:numPr>
      <w:outlineLvl w:val="2"/>
    </w:pPr>
    <w:rPr>
      <w:b/>
      <w:bCs/>
      <w:i/>
      <w:color w:val="auto"/>
    </w:rPr>
  </w:style>
  <w:style w:type="paragraph" w:styleId="Cmsor4">
    <w:name w:val="heading 4"/>
    <w:basedOn w:val="Norml"/>
    <w:next w:val="Norml"/>
    <w:link w:val="Cmsor4Char"/>
    <w:unhideWhenUsed/>
    <w:qFormat/>
    <w:rsid w:val="00C91131"/>
    <w:pPr>
      <w:keepNext/>
      <w:keepLines/>
      <w:numPr>
        <w:ilvl w:val="3"/>
        <w:numId w:val="5"/>
      </w:numPr>
      <w:spacing w:before="200"/>
      <w:outlineLvl w:val="3"/>
    </w:pPr>
    <w:rPr>
      <w:b/>
      <w:bCs/>
      <w:i/>
      <w:iCs/>
      <w:color w:val="auto"/>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rPr>
  </w:style>
  <w:style w:type="paragraph" w:styleId="Cmsor7">
    <w:name w:val="heading 7"/>
    <w:basedOn w:val="Norml"/>
    <w:next w:val="Norml"/>
    <w:link w:val="Cmsor7Char"/>
    <w:semiHidden/>
    <w:unhideWhenUsed/>
    <w:qFormat/>
    <w:rsid w:val="003F29E3"/>
    <w:pPr>
      <w:numPr>
        <w:ilvl w:val="6"/>
        <w:numId w:val="5"/>
      </w:numPr>
      <w:spacing w:before="240" w:after="60"/>
      <w:outlineLvl w:val="6"/>
    </w:p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9F4CDA"/>
    <w:rPr>
      <w:rFonts w:eastAsia="Times New Roman"/>
      <w:b/>
      <w:bCs/>
      <w:iCs/>
      <w:color w:val="000000"/>
      <w:sz w:val="22"/>
      <w:szCs w:val="22"/>
    </w:rPr>
  </w:style>
  <w:style w:type="character" w:customStyle="1" w:styleId="Cmsor3Char">
    <w:name w:val="Címsor 3 Char"/>
    <w:link w:val="Cmsor3"/>
    <w:rsid w:val="003F29E3"/>
    <w:rPr>
      <w:rFonts w:eastAsia="Times New Roman"/>
      <w:b/>
      <w:bCs/>
      <w:i/>
      <w:sz w:val="22"/>
      <w:szCs w:val="22"/>
    </w:rPr>
  </w:style>
  <w:style w:type="character" w:customStyle="1" w:styleId="Cmsor4Char">
    <w:name w:val="Címsor 4 Char"/>
    <w:link w:val="Cmsor4"/>
    <w:rsid w:val="00274C60"/>
    <w:rPr>
      <w:rFonts w:eastAsia="Times New Roman"/>
      <w:b/>
      <w:bCs/>
      <w:i/>
      <w:iCs/>
      <w:sz w:val="22"/>
      <w:szCs w:val="22"/>
    </w:rPr>
  </w:style>
  <w:style w:type="character" w:customStyle="1" w:styleId="Cmsor5Char">
    <w:name w:val="Címsor 5 Char"/>
    <w:link w:val="Cmsor5"/>
    <w:rsid w:val="003F29E3"/>
    <w:rPr>
      <w:rFonts w:eastAsia="Times New Roman"/>
      <w:b/>
      <w:sz w:val="22"/>
      <w:szCs w:val="22"/>
    </w:rPr>
  </w:style>
  <w:style w:type="character" w:customStyle="1" w:styleId="Cmsor6Char">
    <w:name w:val="Címsor 6 Char"/>
    <w:link w:val="Cmsor6"/>
    <w:rsid w:val="003F29E3"/>
    <w:rPr>
      <w:rFonts w:eastAsia="Times New Roman"/>
      <w:b/>
      <w:bCs/>
      <w:color w:val="000000"/>
      <w:sz w:val="22"/>
      <w:szCs w:val="22"/>
    </w:rPr>
  </w:style>
  <w:style w:type="character" w:customStyle="1" w:styleId="Cmsor7Char">
    <w:name w:val="Címsor 7 Char"/>
    <w:link w:val="Cmsor7"/>
    <w:semiHidden/>
    <w:rsid w:val="003F29E3"/>
    <w:rPr>
      <w:rFonts w:eastAsia="Times New Roman"/>
      <w:color w:val="000000"/>
      <w:sz w:val="22"/>
      <w:szCs w:val="22"/>
    </w:rPr>
  </w:style>
  <w:style w:type="character" w:customStyle="1" w:styleId="Cmsor8Char">
    <w:name w:val="Címsor 8 Char"/>
    <w:link w:val="Cmsor8"/>
    <w:semiHidden/>
    <w:rsid w:val="003F29E3"/>
    <w:rPr>
      <w:rFonts w:eastAsia="Times New Roman"/>
      <w:i/>
      <w:iCs/>
      <w:color w:val="000000"/>
      <w:sz w:val="22"/>
      <w:szCs w:val="22"/>
    </w:rPr>
  </w:style>
  <w:style w:type="character" w:customStyle="1" w:styleId="Cmsor9Char">
    <w:name w:val="Címsor 9 Char"/>
    <w:link w:val="Cmsor9"/>
    <w:semiHidden/>
    <w:rsid w:val="003F29E3"/>
    <w:rPr>
      <w:rFonts w:ascii="Cambria" w:eastAsia="Times New Roman" w:hAnsi="Cambria"/>
      <w:color w:val="000000"/>
      <w:sz w:val="22"/>
      <w:szCs w:val="22"/>
    </w:rPr>
  </w:style>
  <w:style w:type="paragraph" w:styleId="Lbjegyzetszveg">
    <w:name w:val="footnote text"/>
    <w:aliases w:val="Footnote Text Char Char,Footnote Text Char Char Char,Footnote Text Char1,Footnote Text Char1 Char,Lábjegyzet szöveg,lábléc,lábléc Char Char,lábléc Char Char Char,lábléc Char1,lábléc Char1 Char"/>
    <w:basedOn w:val="Norml"/>
    <w:link w:val="LbjegyzetszvegChar"/>
    <w:uiPriority w:val="99"/>
    <w:qFormat/>
    <w:rsid w:val="003F29E3"/>
    <w:pPr>
      <w:spacing w:after="0"/>
    </w:pPr>
    <w:rPr>
      <w:sz w:val="16"/>
      <w:szCs w:val="16"/>
    </w:rPr>
  </w:style>
  <w:style w:type="character" w:customStyle="1" w:styleId="LbjegyzetszvegChar">
    <w:name w:val="Lábjegyzetszöveg Char"/>
    <w:aliases w:val="Footnote Text Char Char Char1,Footnote Text Char Char Char Char,Footnote Text Char1 Char1,Footnote Text Char1 Char Char,Lábjegyzet szöveg Char,lábléc Char,lábléc Char Char Char1,lábléc Char Char Char Char,lábléc Char1 Char1"/>
    <w:link w:val="Lbjegyzetszveg"/>
    <w:uiPriority w:val="99"/>
    <w:rsid w:val="003F29E3"/>
    <w:rPr>
      <w:rFonts w:ascii="Calibri" w:eastAsia="Times New Roman" w:hAnsi="Calibri" w:cs="Times New Roman"/>
      <w:color w:val="000000"/>
      <w:sz w:val="16"/>
      <w:szCs w:val="16"/>
    </w:rPr>
  </w:style>
  <w:style w:type="character" w:styleId="Lbjegyzet-hivatkozs">
    <w:name w:val="footnote reference"/>
    <w:aliases w:val=" Char1,Char1,Footnote Reference Number,Footnote Reference_LVL6,Footnote Reference_LVL61,Footnote Reference_LVL62,Footnote Reference_LVL63,Footnote Reference_LVL64,Footnote reference number,Footnote symbol,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uiPriority w:val="99"/>
    <w:rsid w:val="003F29E3"/>
    <w:rPr>
      <w:sz w:val="16"/>
      <w:szCs w:val="16"/>
    </w:rPr>
  </w:style>
  <w:style w:type="paragraph" w:styleId="Jegyzetszveg">
    <w:name w:val="annotation text"/>
    <w:basedOn w:val="Norml"/>
    <w:link w:val="JegyzetszvegChar"/>
    <w:uiPriority w:val="99"/>
    <w:rsid w:val="003F29E3"/>
    <w:rPr>
      <w:sz w:val="20"/>
      <w:szCs w:val="20"/>
    </w:rPr>
  </w:style>
  <w:style w:type="character" w:customStyle="1" w:styleId="JegyzetszvegChar">
    <w:name w:val="Jegyzetszöveg Char"/>
    <w:link w:val="Jegyzetszveg"/>
    <w:uiPriority w:val="99"/>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rPr>
  </w:style>
  <w:style w:type="character" w:customStyle="1" w:styleId="SzvegtrzsChar">
    <w:name w:val="Szövegtörzs Char"/>
    <w:link w:val="Szvegtrzs"/>
    <w:rsid w:val="003F29E3"/>
    <w:rPr>
      <w:rFonts w:ascii="Times New Roman" w:eastAsia="Times New Roman" w:hAnsi="Times New Roman" w:cs="Times New Roman"/>
      <w:bCs/>
      <w:sz w:val="24"/>
      <w:szCs w:val="20"/>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9F4CDA"/>
    <w:pPr>
      <w:tabs>
        <w:tab w:val="left" w:pos="482"/>
        <w:tab w:val="right" w:leader="dot" w:pos="9373"/>
      </w:tabs>
    </w:pPr>
    <w:rPr>
      <w:b/>
      <w:noProof/>
    </w:rPr>
  </w:style>
  <w:style w:type="paragraph" w:styleId="TJ2">
    <w:name w:val="toc 2"/>
    <w:basedOn w:val="Norml"/>
    <w:next w:val="Norml"/>
    <w:autoRedefine/>
    <w:uiPriority w:val="39"/>
    <w:rsid w:val="009F4CDA"/>
    <w:pPr>
      <w:tabs>
        <w:tab w:val="left" w:pos="482"/>
        <w:tab w:val="left" w:pos="720"/>
        <w:tab w:val="right" w:leader="dot" w:pos="9373"/>
      </w:tabs>
      <w:ind w:left="240"/>
    </w:pPr>
    <w:rPr>
      <w:noProof/>
    </w:rPr>
  </w:style>
  <w:style w:type="paragraph" w:styleId="TJ3">
    <w:name w:val="toc 3"/>
    <w:basedOn w:val="Norml"/>
    <w:next w:val="Norml"/>
    <w:autoRedefine/>
    <w:uiPriority w:val="39"/>
    <w:rsid w:val="00A43704"/>
    <w:pPr>
      <w:tabs>
        <w:tab w:val="left" w:pos="1320"/>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Bekezdsalapbettpusa"/>
    <w:rsid w:val="003F29E3"/>
  </w:style>
  <w:style w:type="character" w:styleId="Kiemels">
    <w:name w:val="Emphasis"/>
    <w:uiPriority w:val="6"/>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rPr>
  </w:style>
  <w:style w:type="paragraph" w:customStyle="1" w:styleId="KKnorml">
    <w:name w:val="KK normál"/>
    <w:basedOn w:val="Norm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A512EF"/>
    <w:pPr>
      <w:tabs>
        <w:tab w:val="left" w:pos="1760"/>
        <w:tab w:val="right" w:leader="dot" w:pos="9346"/>
      </w:tabs>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rPr>
  </w:style>
  <w:style w:type="character" w:customStyle="1" w:styleId="AlcmChar">
    <w:name w:val="Alcím Char"/>
    <w:link w:val="Alcm"/>
    <w:rsid w:val="003F29E3"/>
    <w:rPr>
      <w:rFonts w:ascii="Cambria" w:eastAsia="Times New Roman" w:hAnsi="Cambria" w:cs="Times New Roman"/>
      <w:sz w:val="24"/>
      <w:szCs w:val="24"/>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4"/>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19"/>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0"/>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aszerbekezds"/>
    <w:link w:val="Albekezds1Char"/>
    <w:qFormat/>
    <w:rsid w:val="00615CB9"/>
    <w:pPr>
      <w:widowControl w:val="0"/>
      <w:numPr>
        <w:ilvl w:val="1"/>
        <w:numId w:val="49"/>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56"/>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Feloldatlanmegemlts2">
    <w:name w:val="Feloldatlan megemlítés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67"/>
      </w:numPr>
    </w:pPr>
  </w:style>
  <w:style w:type="character" w:customStyle="1" w:styleId="cf01">
    <w:name w:val="cf01"/>
    <w:basedOn w:val="Bekezdsalapbettpusa"/>
    <w:rsid w:val="009D41B1"/>
    <w:rPr>
      <w:rFonts w:ascii="Segoe UI" w:hAnsi="Segoe UI" w:cs="Segoe UI" w:hint="default"/>
      <w:sz w:val="18"/>
      <w:szCs w:val="18"/>
    </w:rPr>
  </w:style>
  <w:style w:type="character" w:customStyle="1" w:styleId="Feloldatlanmegemlts3">
    <w:name w:val="Feloldatlan megemlítés3"/>
    <w:basedOn w:val="Bekezdsalapbettpusa"/>
    <w:uiPriority w:val="99"/>
    <w:unhideWhenUsed/>
    <w:rsid w:val="00EB0F43"/>
    <w:rPr>
      <w:color w:val="605E5C"/>
      <w:shd w:val="clear" w:color="auto" w:fill="E1DFDD"/>
    </w:rPr>
  </w:style>
  <w:style w:type="character" w:customStyle="1" w:styleId="UnresolvedMention2">
    <w:name w:val="Unresolved Mention2"/>
    <w:basedOn w:val="Bekezdsalapbettpusa"/>
    <w:uiPriority w:val="99"/>
    <w:unhideWhenUsed/>
    <w:rsid w:val="00F55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image" Target="media/image5.emf"/><Relationship Id="rId47" Type="http://schemas.openxmlformats.org/officeDocument/2006/relationships/image" Target="media/image10.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46" Type="http://schemas.openxmlformats.org/officeDocument/2006/relationships/image" Target="media/image9.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image" Target="media/image3.png"/><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6.png"/><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eba.europa.eu/sites/default/documents/files/documents/10180/2282644/2b604bc8-fd08-4b17-ac4a-cdd5e662b802/Guidelines%20on%20institutions%20stress%20testing%20(EBA-GL-2018-04).pdf"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ecb.europa.eu/press/key/date/2023/html/ecb.sp230609~c9ef904931.en.html"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zvt-adatszolgaltatas.zip"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www.mnb.hu/letoltes/tajekoztato-zvt-20230906-public.pdf"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eba.europa.eu/documents/10180/1672271/Guidelines+on+implicit+support+for+securitisation+transactions+%28EBA-GL-2016-08%29_HU.pdf/c66b1d41-be92-45d9-b7f5-f119c6c3afbe" TargetMode="External"/><Relationship Id="rId14" Type="http://schemas.openxmlformats.org/officeDocument/2006/relationships/hyperlink" Target="https://www.mnb.hu/letoltes/5-2023-penzforgalmi-visszaelesek-ajanla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1"/>
    <dgm:cxn modelId="{0AF9FE2C-C18B-47D7-94AA-776D6F6E528E}" type="presOf" srcId="{0470846F-CFEC-420C-A100-DE48ECBBC291}" destId="{652E01CB-06B2-4E9B-9A9D-712685CC5296}" srcOrd="0" destOrd="0" presId="urn:microsoft.com/office/officeart/2005/8/layout/orgChart1#1"/>
    <dgm:cxn modelId="{EC717B41-307D-4EB4-909E-980D91DEA6E0}" type="presOf" srcId="{9AE84EE3-A3BC-46F5-A5F7-CD9EBAA9E0BE}" destId="{D8BC3276-ED9D-4B06-9D0D-98FFC798AD56}" srcOrd="1" destOrd="0" presId="urn:microsoft.com/office/officeart/2005/8/layout/orgChart1#1"/>
    <dgm:cxn modelId="{60C2DA43-1F67-4082-B8DD-F10F8E889A19}" type="presOf" srcId="{C22CB852-C883-4E84-9876-AE5386011EB7}" destId="{F0A24E22-8B7E-4B2F-9197-DB143DA8D292}" srcOrd="1" destOrd="0" presId="urn:microsoft.com/office/officeart/2005/8/layout/orgChart1#1"/>
    <dgm:cxn modelId="{E0EFEA4C-D87E-472E-97DC-672B3FFBC540}" type="presOf" srcId="{EDFD46D7-A1AD-4244-8E89-0AF9BC8033A9}" destId="{07635FD1-7448-436E-9B01-DD8DDC6B0DE0}" srcOrd="0" destOrd="0" presId="urn:microsoft.com/office/officeart/2005/8/layout/orgChart1#1"/>
    <dgm:cxn modelId="{EBE6D071-4A90-4D64-B0BB-AE4B1B65CA0E}" type="presOf" srcId="{C22CB852-C883-4E84-9876-AE5386011EB7}" destId="{797C12C5-1BB8-4D6B-A05F-9963F61302F2}" srcOrd="0" destOrd="0" presId="urn:microsoft.com/office/officeart/2005/8/layout/orgChart1#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1"/>
    <dgm:cxn modelId="{9994E491-BEEE-4E8E-9CE2-A3F7E1CE1D8F}" type="presOf" srcId="{5B6C4A9B-9898-4139-88E7-DC595EF94A1D}" destId="{72FEABFE-0EC8-4A53-956B-58D58DD067DC}" srcOrd="0" destOrd="0" presId="urn:microsoft.com/office/officeart/2005/8/layout/orgChart1#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1"/>
    <dgm:cxn modelId="{126F59B0-1500-45CB-BD5E-D9A1297ABDFC}" type="presOf" srcId="{F50C8965-45E3-444B-9414-9AF24D054303}" destId="{A6FA7CBE-5758-444B-AE99-FAD67B7C2581}" srcOrd="1" destOrd="0" presId="urn:microsoft.com/office/officeart/2005/8/layout/orgChart1#1"/>
    <dgm:cxn modelId="{AB9CCEB4-C75D-46A3-B2EF-2BD14D983F2F}" type="presOf" srcId="{758DFA68-F85A-4337-80C1-ED7487DC2448}" destId="{0A7B2013-9F7B-42BD-8BC0-A264FADE1EF5}" srcOrd="1" destOrd="0" presId="urn:microsoft.com/office/officeart/2005/8/layout/orgChart1#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1"/>
    <dgm:cxn modelId="{10EA63CB-4E76-493A-9B72-7A9BFA61ECFC}" type="presOf" srcId="{C5ED77D8-24E7-4855-AB08-49F29D04892F}" destId="{EC850226-7A4B-49DA-9128-A681EAD35FB8}" srcOrd="0" destOrd="0" presId="urn:microsoft.com/office/officeart/2005/8/layout/orgChart1#1"/>
    <dgm:cxn modelId="{DE2E6CCC-F7F7-45C6-AB79-22925FCFA51B}" type="presOf" srcId="{30AC1080-B406-41F2-B1BA-95C7D53E7DA7}" destId="{A392BC23-3B30-437F-A7B2-C92CA9EB3FD3}" srcOrd="1" destOrd="0" presId="urn:microsoft.com/office/officeart/2005/8/layout/orgChart1#1"/>
    <dgm:cxn modelId="{1FAC7FD5-2614-469C-9AEF-956B56A33739}" type="presOf" srcId="{1412DE38-84EF-454F-898B-AAC9B5D3866F}" destId="{D5FE2AF0-FF16-4627-B28E-BCDB21DE5E38}" srcOrd="0" destOrd="0" presId="urn:microsoft.com/office/officeart/2005/8/layout/orgChart1#1"/>
    <dgm:cxn modelId="{FAD3DDDB-0B67-4C78-8A3E-3B1080B204FB}" type="presOf" srcId="{86E4897D-B9EA-431E-ADD9-E8125DBF52EA}" destId="{3305396F-0C14-4161-A783-AFC36A8E4842}" srcOrd="0" destOrd="0" presId="urn:microsoft.com/office/officeart/2005/8/layout/orgChart1#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1"/>
    <dgm:cxn modelId="{D7E840B8-E3EF-4616-A36D-93D9A03140B4}" type="presParOf" srcId="{3305396F-0C14-4161-A783-AFC36A8E4842}" destId="{F19FCE2C-4209-4B17-8B24-95799C3FA096}" srcOrd="0" destOrd="0" presId="urn:microsoft.com/office/officeart/2005/8/layout/orgChart1#1"/>
    <dgm:cxn modelId="{7C799B7C-13ED-4462-9EC4-ACA5E38FE60D}" type="presParOf" srcId="{F19FCE2C-4209-4B17-8B24-95799C3FA096}" destId="{2329305D-8A19-432C-8894-30F1C96CCB19}" srcOrd="0" destOrd="0" presId="urn:microsoft.com/office/officeart/2005/8/layout/orgChart1#1"/>
    <dgm:cxn modelId="{0E825B81-4460-48B1-9758-63455F13F4A9}" type="presParOf" srcId="{2329305D-8A19-432C-8894-30F1C96CCB19}" destId="{62B0C581-63A2-4AB4-ABFB-FA12879F1BC7}" srcOrd="0" destOrd="0" presId="urn:microsoft.com/office/officeart/2005/8/layout/orgChart1#1"/>
    <dgm:cxn modelId="{F046811B-9E01-4B29-91BB-DF42C860850F}" type="presParOf" srcId="{2329305D-8A19-432C-8894-30F1C96CCB19}" destId="{74397F75-16F8-4EE2-99C9-F014C6A8065C}" srcOrd="1" destOrd="0" presId="urn:microsoft.com/office/officeart/2005/8/layout/orgChart1#1"/>
    <dgm:cxn modelId="{E16BB1B6-1113-48BD-9650-2759AB9413A0}" type="presParOf" srcId="{F19FCE2C-4209-4B17-8B24-95799C3FA096}" destId="{8D54CC20-034B-43E1-8019-66B3AC414C0A}" srcOrd="1" destOrd="0" presId="urn:microsoft.com/office/officeart/2005/8/layout/orgChart1#1"/>
    <dgm:cxn modelId="{4FA5EEF1-0D10-45F6-A356-2FF81AED18D9}" type="presParOf" srcId="{8D54CC20-034B-43E1-8019-66B3AC414C0A}" destId="{EC850226-7A4B-49DA-9128-A681EAD35FB8}" srcOrd="0" destOrd="0" presId="urn:microsoft.com/office/officeart/2005/8/layout/orgChart1#1"/>
    <dgm:cxn modelId="{BB0033D6-EA7F-4BD1-AAD7-61B2D3F451E1}" type="presParOf" srcId="{8D54CC20-034B-43E1-8019-66B3AC414C0A}" destId="{33DEBCD1-2DF1-4112-B5BC-D7332A21F1C9}" srcOrd="1" destOrd="0" presId="urn:microsoft.com/office/officeart/2005/8/layout/orgChart1#1"/>
    <dgm:cxn modelId="{F8D032EF-5162-4ACD-B71A-BB67D3873CBE}" type="presParOf" srcId="{33DEBCD1-2DF1-4112-B5BC-D7332A21F1C9}" destId="{4F430394-2294-4CBB-8E51-E93F8CC8BEB5}" srcOrd="0" destOrd="0" presId="urn:microsoft.com/office/officeart/2005/8/layout/orgChart1#1"/>
    <dgm:cxn modelId="{22335AF5-5FC8-4562-9177-79D467948A60}" type="presParOf" srcId="{4F430394-2294-4CBB-8E51-E93F8CC8BEB5}" destId="{04490F09-89EA-4042-B671-F18CE2B7A364}" srcOrd="0" destOrd="0" presId="urn:microsoft.com/office/officeart/2005/8/layout/orgChart1#1"/>
    <dgm:cxn modelId="{B8E17993-2057-415C-A05F-EAF4E74E2598}" type="presParOf" srcId="{4F430394-2294-4CBB-8E51-E93F8CC8BEB5}" destId="{A392BC23-3B30-437F-A7B2-C92CA9EB3FD3}" srcOrd="1" destOrd="0" presId="urn:microsoft.com/office/officeart/2005/8/layout/orgChart1#1"/>
    <dgm:cxn modelId="{5838AB45-8AED-424D-B58C-2EC9B3B9CEB1}" type="presParOf" srcId="{33DEBCD1-2DF1-4112-B5BC-D7332A21F1C9}" destId="{A61CEE7C-F7C2-49FD-8F7A-336BFC7E839D}" srcOrd="1" destOrd="0" presId="urn:microsoft.com/office/officeart/2005/8/layout/orgChart1#1"/>
    <dgm:cxn modelId="{66A0EA5F-CCB2-461D-8DAA-41FC2AD99E7F}" type="presParOf" srcId="{33DEBCD1-2DF1-4112-B5BC-D7332A21F1C9}" destId="{6AAF386F-A879-400A-A9AE-C1472C03E8EE}" srcOrd="2" destOrd="0" presId="urn:microsoft.com/office/officeart/2005/8/layout/orgChart1#1"/>
    <dgm:cxn modelId="{0BE6F1F0-9370-4F3B-A913-072C42EF2254}" type="presParOf" srcId="{8D54CC20-034B-43E1-8019-66B3AC414C0A}" destId="{07635FD1-7448-436E-9B01-DD8DDC6B0DE0}" srcOrd="2" destOrd="0" presId="urn:microsoft.com/office/officeart/2005/8/layout/orgChart1#1"/>
    <dgm:cxn modelId="{1EBEA490-9683-4587-B8A1-611560CDCAB8}" type="presParOf" srcId="{8D54CC20-034B-43E1-8019-66B3AC414C0A}" destId="{44DE6D20-3A44-42A2-9255-D59E67B89E71}" srcOrd="3" destOrd="0" presId="urn:microsoft.com/office/officeart/2005/8/layout/orgChart1#1"/>
    <dgm:cxn modelId="{7C7CFCCE-BC43-4FC8-B5BD-DDD613E287AC}" type="presParOf" srcId="{44DE6D20-3A44-42A2-9255-D59E67B89E71}" destId="{ADCE97E4-C0ED-4FB8-9454-D094E942EFC7}" srcOrd="0" destOrd="0" presId="urn:microsoft.com/office/officeart/2005/8/layout/orgChart1#1"/>
    <dgm:cxn modelId="{12FF67C5-3DB9-44D2-A499-70C309A4A096}" type="presParOf" srcId="{ADCE97E4-C0ED-4FB8-9454-D094E942EFC7}" destId="{E6AB2609-3D5F-4575-8960-1CFAEFF69BFE}" srcOrd="0" destOrd="0" presId="urn:microsoft.com/office/officeart/2005/8/layout/orgChart1#1"/>
    <dgm:cxn modelId="{CCD4507C-C851-4D00-A644-F97F286F1224}" type="presParOf" srcId="{ADCE97E4-C0ED-4FB8-9454-D094E942EFC7}" destId="{0A7B2013-9F7B-42BD-8BC0-A264FADE1EF5}" srcOrd="1" destOrd="0" presId="urn:microsoft.com/office/officeart/2005/8/layout/orgChart1#1"/>
    <dgm:cxn modelId="{15B67F40-06BE-43B5-AFFC-A59D883374B6}" type="presParOf" srcId="{44DE6D20-3A44-42A2-9255-D59E67B89E71}" destId="{0D576817-6A4C-45BC-81B5-3B6260A3F909}" srcOrd="1" destOrd="0" presId="urn:microsoft.com/office/officeart/2005/8/layout/orgChart1#1"/>
    <dgm:cxn modelId="{0DD2EF0E-7C24-4FD7-938F-BFC16F6BD826}" type="presParOf" srcId="{44DE6D20-3A44-42A2-9255-D59E67B89E71}" destId="{093125BA-8039-4F37-A790-6E0713AE71A7}" srcOrd="2" destOrd="0" presId="urn:microsoft.com/office/officeart/2005/8/layout/orgChart1#1"/>
    <dgm:cxn modelId="{E973C52D-A56E-4074-A5BA-A985A5B57E39}" type="presParOf" srcId="{8D54CC20-034B-43E1-8019-66B3AC414C0A}" destId="{D5FE2AF0-FF16-4627-B28E-BCDB21DE5E38}" srcOrd="4" destOrd="0" presId="urn:microsoft.com/office/officeart/2005/8/layout/orgChart1#1"/>
    <dgm:cxn modelId="{FDD6FAE0-C84B-46C6-9255-CF78A96CFEE4}" type="presParOf" srcId="{8D54CC20-034B-43E1-8019-66B3AC414C0A}" destId="{242A12E2-B770-46E5-A5D2-70D3618A9CEB}" srcOrd="5" destOrd="0" presId="urn:microsoft.com/office/officeart/2005/8/layout/orgChart1#1"/>
    <dgm:cxn modelId="{614CEAA8-E2A0-4AD3-9EB5-457761B08224}" type="presParOf" srcId="{242A12E2-B770-46E5-A5D2-70D3618A9CEB}" destId="{92443A1C-5A68-4BDE-BDFB-2C129F0BF7D7}" srcOrd="0" destOrd="0" presId="urn:microsoft.com/office/officeart/2005/8/layout/orgChart1#1"/>
    <dgm:cxn modelId="{7E1DCAB6-D654-455B-967A-7473880E7F03}" type="presParOf" srcId="{92443A1C-5A68-4BDE-BDFB-2C129F0BF7D7}" destId="{797C12C5-1BB8-4D6B-A05F-9963F61302F2}" srcOrd="0" destOrd="0" presId="urn:microsoft.com/office/officeart/2005/8/layout/orgChart1#1"/>
    <dgm:cxn modelId="{D4222745-FE5F-4E54-BC1A-87981B0F40DC}" type="presParOf" srcId="{92443A1C-5A68-4BDE-BDFB-2C129F0BF7D7}" destId="{F0A24E22-8B7E-4B2F-9197-DB143DA8D292}" srcOrd="1" destOrd="0" presId="urn:microsoft.com/office/officeart/2005/8/layout/orgChart1#1"/>
    <dgm:cxn modelId="{30740697-C431-4210-A38A-A9DE1725BB01}" type="presParOf" srcId="{242A12E2-B770-46E5-A5D2-70D3618A9CEB}" destId="{748A2C25-256B-4EE7-A681-4B46A55AE8E6}" srcOrd="1" destOrd="0" presId="urn:microsoft.com/office/officeart/2005/8/layout/orgChart1#1"/>
    <dgm:cxn modelId="{2EAE5865-33D2-4C81-B145-5C2AE79D08DD}" type="presParOf" srcId="{748A2C25-256B-4EE7-A681-4B46A55AE8E6}" destId="{652E01CB-06B2-4E9B-9A9D-712685CC5296}" srcOrd="0" destOrd="0" presId="urn:microsoft.com/office/officeart/2005/8/layout/orgChart1#1"/>
    <dgm:cxn modelId="{01425800-7316-47C0-9D4A-C4561C2752B7}" type="presParOf" srcId="{748A2C25-256B-4EE7-A681-4B46A55AE8E6}" destId="{4B061452-2A9E-4D9C-8113-3986443A9620}" srcOrd="1" destOrd="0" presId="urn:microsoft.com/office/officeart/2005/8/layout/orgChart1#1"/>
    <dgm:cxn modelId="{42AEE32C-D49A-41F0-8C71-972D5E0A4618}" type="presParOf" srcId="{4B061452-2A9E-4D9C-8113-3986443A9620}" destId="{1488D6EB-D319-4ADD-AA1B-BB77012D42B4}" srcOrd="0" destOrd="0" presId="urn:microsoft.com/office/officeart/2005/8/layout/orgChart1#1"/>
    <dgm:cxn modelId="{F8444463-E00C-4B45-8CA3-892D01FC9A2C}" type="presParOf" srcId="{1488D6EB-D319-4ADD-AA1B-BB77012D42B4}" destId="{32BC8322-AF47-4EB1-929D-CB53EB1EDD1B}" srcOrd="0" destOrd="0" presId="urn:microsoft.com/office/officeart/2005/8/layout/orgChart1#1"/>
    <dgm:cxn modelId="{E453097B-9845-425D-9FDA-2F0B3798240A}" type="presParOf" srcId="{1488D6EB-D319-4ADD-AA1B-BB77012D42B4}" destId="{D8BC3276-ED9D-4B06-9D0D-98FFC798AD56}" srcOrd="1" destOrd="0" presId="urn:microsoft.com/office/officeart/2005/8/layout/orgChart1#1"/>
    <dgm:cxn modelId="{BF513B91-6658-4BBF-B4B6-65E3AC6B077C}" type="presParOf" srcId="{4B061452-2A9E-4D9C-8113-3986443A9620}" destId="{BCE6056C-8947-419C-AE5E-E303B2F1BA09}" srcOrd="1" destOrd="0" presId="urn:microsoft.com/office/officeart/2005/8/layout/orgChart1#1"/>
    <dgm:cxn modelId="{E0D17E35-8847-49E9-9B48-0E3D7F9EDFC4}" type="presParOf" srcId="{4B061452-2A9E-4D9C-8113-3986443A9620}" destId="{45AB4E94-83D7-4CB4-B2DD-3C5663A4565B}" srcOrd="2" destOrd="0" presId="urn:microsoft.com/office/officeart/2005/8/layout/orgChart1#1"/>
    <dgm:cxn modelId="{98F2D33E-0A37-4BEA-8435-F7968A8FF4A5}" type="presParOf" srcId="{242A12E2-B770-46E5-A5D2-70D3618A9CEB}" destId="{509CA7CA-63F0-4FA6-B8F2-252044A70736}" srcOrd="2" destOrd="0" presId="urn:microsoft.com/office/officeart/2005/8/layout/orgChart1#1"/>
    <dgm:cxn modelId="{F8E6AC15-6BCA-46AC-9AA8-08D8DE30B730}" type="presParOf" srcId="{8D54CC20-034B-43E1-8019-66B3AC414C0A}" destId="{72FEABFE-0EC8-4A53-956B-58D58DD067DC}" srcOrd="6" destOrd="0" presId="urn:microsoft.com/office/officeart/2005/8/layout/orgChart1#1"/>
    <dgm:cxn modelId="{EA398855-B338-4DA3-8248-1F5AD3EF46D8}" type="presParOf" srcId="{8D54CC20-034B-43E1-8019-66B3AC414C0A}" destId="{E7A68D38-8190-44AF-B074-4F65798CD0D7}" srcOrd="7" destOrd="0" presId="urn:microsoft.com/office/officeart/2005/8/layout/orgChart1#1"/>
    <dgm:cxn modelId="{A56B67B3-C913-46D2-9137-39C62E5C953A}" type="presParOf" srcId="{E7A68D38-8190-44AF-B074-4F65798CD0D7}" destId="{E9CF43C2-860B-476D-89C0-7582089B00ED}" srcOrd="0" destOrd="0" presId="urn:microsoft.com/office/officeart/2005/8/layout/orgChart1#1"/>
    <dgm:cxn modelId="{8C3F93F9-E3C6-4C9D-9415-C3D40B012808}" type="presParOf" srcId="{E9CF43C2-860B-476D-89C0-7582089B00ED}" destId="{0CF81988-BE01-456F-893D-9FC70C7C493A}" srcOrd="0" destOrd="0" presId="urn:microsoft.com/office/officeart/2005/8/layout/orgChart1#1"/>
    <dgm:cxn modelId="{C6B2BA1F-95AC-4083-8207-CD30954B2554}" type="presParOf" srcId="{E9CF43C2-860B-476D-89C0-7582089B00ED}" destId="{A6FA7CBE-5758-444B-AE99-FAD67B7C2581}" srcOrd="1" destOrd="0" presId="urn:microsoft.com/office/officeart/2005/8/layout/orgChart1#1"/>
    <dgm:cxn modelId="{CBC64093-50CF-4CA0-A66D-CE3B81CA40D0}" type="presParOf" srcId="{E7A68D38-8190-44AF-B074-4F65798CD0D7}" destId="{348CDC18-64B1-400C-962C-9320DC624EE8}" srcOrd="1" destOrd="0" presId="urn:microsoft.com/office/officeart/2005/8/layout/orgChart1#1"/>
    <dgm:cxn modelId="{17910B27-9083-46F1-8E50-69CD76B14F53}" type="presParOf" srcId="{E7A68D38-8190-44AF-B074-4F65798CD0D7}" destId="{88FEF4CF-A81A-4EBC-9079-34A3578D021E}" srcOrd="2" destOrd="0" presId="urn:microsoft.com/office/officeart/2005/8/layout/orgChart1#1"/>
    <dgm:cxn modelId="{5D868765-5BF1-4968-967C-A3E83B116DE5}" type="presParOf" srcId="{F19FCE2C-4209-4B17-8B24-95799C3FA096}" destId="{2C9E97EB-51F6-49C4-B449-C1984237E516}"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2"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2"/>
    <dgm:cxn modelId="{BDBF4706-7116-4C43-B607-1C5795B6150B}" type="presOf" srcId="{4AF0A06A-7FB4-49F6-9428-9CBF523BDA87}" destId="{0F1815B4-7B40-4AAC-A9C1-06720F474B4C}" srcOrd="1" destOrd="0" presId="urn:microsoft.com/office/officeart/2005/8/layout/orgChart1#2"/>
    <dgm:cxn modelId="{DD1B3218-2902-4D41-BC19-471A060EDC9A}" type="presOf" srcId="{02A432DB-9A1E-4C46-9BF9-AD21F4DFBBE5}" destId="{C37734EC-B3D0-4123-88ED-C936881E5816}" srcOrd="0" destOrd="0" presId="urn:microsoft.com/office/officeart/2005/8/layout/orgChart1#2"/>
    <dgm:cxn modelId="{91F2BD19-3BF9-45B4-A91B-AD6773E02E20}" type="presOf" srcId="{539F169E-F3CD-429C-8B08-DE5C37EF76D0}" destId="{A57150C1-F2D5-45F0-A423-7304197EB336}" srcOrd="0" destOrd="0" presId="urn:microsoft.com/office/officeart/2005/8/layout/orgChart1#2"/>
    <dgm:cxn modelId="{54DDAE1C-59B7-4C05-9268-F3AEEAC82685}" type="presOf" srcId="{73D85DD0-8867-456F-85CD-C092567AD6EA}" destId="{F1982391-9E72-4958-81F4-A4E1498018DF}" srcOrd="1" destOrd="0" presId="urn:microsoft.com/office/officeart/2005/8/layout/orgChart1#2"/>
    <dgm:cxn modelId="{7C2C761D-4DA5-4C1E-9800-3A216C5FFE12}" type="presOf" srcId="{95635B1D-3455-4499-BD14-D9B674BD533D}" destId="{7047782D-B586-4E26-ABB5-8B64B3FE0970}" srcOrd="0" destOrd="0" presId="urn:microsoft.com/office/officeart/2005/8/layout/orgChart1#2"/>
    <dgm:cxn modelId="{6002B124-D3BF-4380-9C5A-F7939BD0E50B}" type="presOf" srcId="{93ED99CB-7555-4243-95DE-E27B0CA5AB8A}" destId="{96D7B7F3-16E1-401F-9080-79C3CD240B12}" srcOrd="0" destOrd="0" presId="urn:microsoft.com/office/officeart/2005/8/layout/orgChart1#2"/>
    <dgm:cxn modelId="{6CA45F2B-C56F-47D0-8F87-4A36B489615B}" type="presOf" srcId="{2E4BECC1-29E7-4336-AC0A-C302CFBADB3F}" destId="{B0644172-082B-470C-BE8C-40795B0B0CE5}" srcOrd="0" destOrd="0" presId="urn:microsoft.com/office/officeart/2005/8/layout/orgChart1#2"/>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2"/>
    <dgm:cxn modelId="{49AE0F63-347F-460C-99B4-FF36D95FD152}" type="presOf" srcId="{5F0C3B7C-8922-44C4-8418-CF11C765C76D}" destId="{5093651E-2E1D-460B-B6A0-2C83ED82AEA9}" srcOrd="1" destOrd="0" presId="urn:microsoft.com/office/officeart/2005/8/layout/orgChart1#2"/>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2"/>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2"/>
    <dgm:cxn modelId="{1A8CDB6F-9DAF-4EE4-8186-4F2214E1D2D0}" type="presOf" srcId="{00311832-9019-4F4D-A2C3-C20B03EC68A1}" destId="{74619353-182D-4FA9-9E2F-0D013DB80159}" srcOrd="0" destOrd="0" presId="urn:microsoft.com/office/officeart/2005/8/layout/orgChart1#2"/>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2"/>
    <dgm:cxn modelId="{7B47079E-53EF-456D-B52D-DCE2179C592A}" type="presOf" srcId="{FC68FD10-AC86-4062-B866-979C10BAC564}" destId="{8A6CE1AE-0FA6-4B34-A6F0-1333A421786D}" srcOrd="0" destOrd="0" presId="urn:microsoft.com/office/officeart/2005/8/layout/orgChart1#2"/>
    <dgm:cxn modelId="{1A58D1A2-01A0-420A-9DA0-67C2D0A8BEED}" type="presOf" srcId="{E0432F6F-1314-45B0-99C3-7228CA556081}" destId="{257A3C42-E2FB-44CA-B38A-D1CDB90AC01A}" srcOrd="1" destOrd="0" presId="urn:microsoft.com/office/officeart/2005/8/layout/orgChart1#2"/>
    <dgm:cxn modelId="{C52FE9AE-9B55-4E84-8475-9C3EF219DFBE}" type="presOf" srcId="{4AF0A06A-7FB4-49F6-9428-9CBF523BDA87}" destId="{D65DA5BB-C0BC-4799-89E7-6E3494B2997C}" srcOrd="0" destOrd="0" presId="urn:microsoft.com/office/officeart/2005/8/layout/orgChart1#2"/>
    <dgm:cxn modelId="{1F554DB4-3626-46AE-8698-F434E02A2855}" type="presOf" srcId="{79857FA4-ED34-48F6-98E1-8408586BC04E}" destId="{98154086-FCD7-4965-A6B7-A389E1C0EC29}" srcOrd="0" destOrd="0" presId="urn:microsoft.com/office/officeart/2005/8/layout/orgChart1#2"/>
    <dgm:cxn modelId="{64CF27CA-A294-49D2-88FD-5340E49FD5AF}" type="presOf" srcId="{6C5D3CA0-ED0C-4DB2-9121-362ED1446C5E}" destId="{BD605F9E-348D-43F6-B67D-CEAE6FF661D8}" srcOrd="0" destOrd="0" presId="urn:microsoft.com/office/officeart/2005/8/layout/orgChart1#2"/>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2"/>
    <dgm:cxn modelId="{39533BDF-5F76-4F3F-8346-7B58BB3C9380}" type="presOf" srcId="{646CFC89-903B-443E-A31F-46082F7A2799}" destId="{AFEC6366-7B0C-4CEE-A584-8B2C9F12F146}" srcOrd="1" destOrd="0" presId="urn:microsoft.com/office/officeart/2005/8/layout/orgChart1#2"/>
    <dgm:cxn modelId="{70571CEE-246D-4D37-ABFE-2519D69D8279}" type="presOf" srcId="{95635B1D-3455-4499-BD14-D9B674BD533D}" destId="{5FA31A5F-8770-4EEA-B85C-E50AA8F9D166}" srcOrd="1" destOrd="0" presId="urn:microsoft.com/office/officeart/2005/8/layout/orgChart1#2"/>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2"/>
    <dgm:cxn modelId="{0C3CDBFA-0E51-4736-A157-DD5BB3ACDD12}" type="presOf" srcId="{646CFC89-903B-443E-A31F-46082F7A2799}" destId="{714C544D-F6E6-40E9-A3B0-7E1763F57071}" srcOrd="0" destOrd="0" presId="urn:microsoft.com/office/officeart/2005/8/layout/orgChart1#2"/>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2"/>
    <dgm:cxn modelId="{60F21923-8CE6-41D1-B9A3-89A0929881A3}" type="presParOf" srcId="{D2DD2CE5-2888-4C73-A203-A73479D0D91D}" destId="{9A93C9AC-E0E0-4245-8F0E-4C4DCDE9E8CC}" srcOrd="0" destOrd="0" presId="urn:microsoft.com/office/officeart/2005/8/layout/orgChart1#2"/>
    <dgm:cxn modelId="{35567238-BDB2-4351-BD18-21CAA7860FF6}" type="presParOf" srcId="{9A93C9AC-E0E0-4245-8F0E-4C4DCDE9E8CC}" destId="{7047782D-B586-4E26-ABB5-8B64B3FE0970}" srcOrd="0" destOrd="0" presId="urn:microsoft.com/office/officeart/2005/8/layout/orgChart1#2"/>
    <dgm:cxn modelId="{5AAB974F-DC05-47A3-9978-176E7151BD1B}" type="presParOf" srcId="{9A93C9AC-E0E0-4245-8F0E-4C4DCDE9E8CC}" destId="{5FA31A5F-8770-4EEA-B85C-E50AA8F9D166}" srcOrd="1" destOrd="0" presId="urn:microsoft.com/office/officeart/2005/8/layout/orgChart1#2"/>
    <dgm:cxn modelId="{C12A65EC-0C03-41C6-B7B7-1DFC76D43806}" type="presParOf" srcId="{D2DD2CE5-2888-4C73-A203-A73479D0D91D}" destId="{3B39BBAD-6CF8-49C6-B6CC-AFFDB634152A}" srcOrd="1" destOrd="0" presId="urn:microsoft.com/office/officeart/2005/8/layout/orgChart1#2"/>
    <dgm:cxn modelId="{FBFDCDA2-9170-4869-AE82-AD9C2232E256}" type="presParOf" srcId="{3B39BBAD-6CF8-49C6-B6CC-AFFDB634152A}" destId="{41102AA6-A727-4076-9F7F-0530A1C5301C}" srcOrd="0" destOrd="0" presId="urn:microsoft.com/office/officeart/2005/8/layout/orgChart1#2"/>
    <dgm:cxn modelId="{F9552A64-B509-4FCC-A6BE-D15256E83731}" type="presParOf" srcId="{3B39BBAD-6CF8-49C6-B6CC-AFFDB634152A}" destId="{B81BC657-E372-4D6B-ABB7-2986A9B96A8A}" srcOrd="1" destOrd="0" presId="urn:microsoft.com/office/officeart/2005/8/layout/orgChart1#2"/>
    <dgm:cxn modelId="{567D666A-37A3-4681-876D-60E88F780D0C}" type="presParOf" srcId="{B81BC657-E372-4D6B-ABB7-2986A9B96A8A}" destId="{B21E6B7F-6C6A-432F-B824-D857FA91FCCB}" srcOrd="0" destOrd="0" presId="urn:microsoft.com/office/officeart/2005/8/layout/orgChart1#2"/>
    <dgm:cxn modelId="{86DB5CA7-DA68-4B22-8D43-DD881CE96564}" type="presParOf" srcId="{B21E6B7F-6C6A-432F-B824-D857FA91FCCB}" destId="{D65DA5BB-C0BC-4799-89E7-6E3494B2997C}" srcOrd="0" destOrd="0" presId="urn:microsoft.com/office/officeart/2005/8/layout/orgChart1#2"/>
    <dgm:cxn modelId="{20692936-5C2C-452E-B1A4-96EB42CB7FDF}" type="presParOf" srcId="{B21E6B7F-6C6A-432F-B824-D857FA91FCCB}" destId="{0F1815B4-7B40-4AAC-A9C1-06720F474B4C}" srcOrd="1" destOrd="0" presId="urn:microsoft.com/office/officeart/2005/8/layout/orgChart1#2"/>
    <dgm:cxn modelId="{F31D45CE-AD3D-4B83-81BE-970966E4E56F}" type="presParOf" srcId="{B81BC657-E372-4D6B-ABB7-2986A9B96A8A}" destId="{9CC2F6A5-7BC5-4211-9FA5-C97BA12A5D5A}" srcOrd="1" destOrd="0" presId="urn:microsoft.com/office/officeart/2005/8/layout/orgChart1#2"/>
    <dgm:cxn modelId="{0BF5A805-8A83-49BB-9722-33CD500D2A1C}" type="presParOf" srcId="{B81BC657-E372-4D6B-ABB7-2986A9B96A8A}" destId="{0D22CC52-9F56-4F80-9C5E-C616D7962C88}" srcOrd="2" destOrd="0" presId="urn:microsoft.com/office/officeart/2005/8/layout/orgChart1#2"/>
    <dgm:cxn modelId="{0DB043A6-76AC-4A4C-BEC0-DE1180052322}" type="presParOf" srcId="{3B39BBAD-6CF8-49C6-B6CC-AFFDB634152A}" destId="{AD1422DD-B8E7-4ACD-8908-4BE611ADCA58}" srcOrd="2" destOrd="0" presId="urn:microsoft.com/office/officeart/2005/8/layout/orgChart1#2"/>
    <dgm:cxn modelId="{FB74D661-3AFD-4F62-A228-53CBCDBFAC43}" type="presParOf" srcId="{3B39BBAD-6CF8-49C6-B6CC-AFFDB634152A}" destId="{0E011475-6376-4F9A-85F9-E767AF4292CC}" srcOrd="3" destOrd="0" presId="urn:microsoft.com/office/officeart/2005/8/layout/orgChart1#2"/>
    <dgm:cxn modelId="{C6C0A232-0CD4-40C4-9DA3-35E17E769CC2}" type="presParOf" srcId="{0E011475-6376-4F9A-85F9-E767AF4292CC}" destId="{10F2EA5D-E240-4580-A655-8DD0960C2C12}" srcOrd="0" destOrd="0" presId="urn:microsoft.com/office/officeart/2005/8/layout/orgChart1#2"/>
    <dgm:cxn modelId="{346FE690-583B-4574-8413-1097075ABD08}" type="presParOf" srcId="{10F2EA5D-E240-4580-A655-8DD0960C2C12}" destId="{BC6C7B4C-947D-4ADF-947C-95C485F9E73E}" srcOrd="0" destOrd="0" presId="urn:microsoft.com/office/officeart/2005/8/layout/orgChart1#2"/>
    <dgm:cxn modelId="{1E8153A2-06BD-4AFB-A650-A046331F7E94}" type="presParOf" srcId="{10F2EA5D-E240-4580-A655-8DD0960C2C12}" destId="{5093651E-2E1D-460B-B6A0-2C83ED82AEA9}" srcOrd="1" destOrd="0" presId="urn:microsoft.com/office/officeart/2005/8/layout/orgChart1#2"/>
    <dgm:cxn modelId="{B6A6ED31-9EA2-4D68-A79A-C307E3F6B316}" type="presParOf" srcId="{0E011475-6376-4F9A-85F9-E767AF4292CC}" destId="{FE33C86A-20A8-41A4-8387-9D8570A47B45}" srcOrd="1" destOrd="0" presId="urn:microsoft.com/office/officeart/2005/8/layout/orgChart1#2"/>
    <dgm:cxn modelId="{785E50B4-0835-4D59-83E7-12E979944CA2}" type="presParOf" srcId="{0E011475-6376-4F9A-85F9-E767AF4292CC}" destId="{EF672EF5-4818-421E-AD7D-687C56EB8741}" srcOrd="2" destOrd="0" presId="urn:microsoft.com/office/officeart/2005/8/layout/orgChart1#2"/>
    <dgm:cxn modelId="{BFE7D7D2-3859-43EE-A154-AECC7AF9F489}" type="presParOf" srcId="{3B39BBAD-6CF8-49C6-B6CC-AFFDB634152A}" destId="{96D7B7F3-16E1-401F-9080-79C3CD240B12}" srcOrd="4" destOrd="0" presId="urn:microsoft.com/office/officeart/2005/8/layout/orgChart1#2"/>
    <dgm:cxn modelId="{6633E65D-0290-446A-AE51-075EFAE28AA3}" type="presParOf" srcId="{3B39BBAD-6CF8-49C6-B6CC-AFFDB634152A}" destId="{CFBF5BB5-983E-4B8B-BA7C-4B991A1BC231}" srcOrd="5" destOrd="0" presId="urn:microsoft.com/office/officeart/2005/8/layout/orgChart1#2"/>
    <dgm:cxn modelId="{3106D4E4-0E19-4564-87CA-E1C4B58CE888}" type="presParOf" srcId="{CFBF5BB5-983E-4B8B-BA7C-4B991A1BC231}" destId="{230A7F5D-8EEE-412A-8DF6-169290094E8E}" srcOrd="0" destOrd="0" presId="urn:microsoft.com/office/officeart/2005/8/layout/orgChart1#2"/>
    <dgm:cxn modelId="{FE71CC4C-0F6F-47CE-8591-FCFDC6E8ECAC}" type="presParOf" srcId="{230A7F5D-8EEE-412A-8DF6-169290094E8E}" destId="{BD605F9E-348D-43F6-B67D-CEAE6FF661D8}" srcOrd="0" destOrd="0" presId="urn:microsoft.com/office/officeart/2005/8/layout/orgChart1#2"/>
    <dgm:cxn modelId="{AB9941CE-2AEC-42EB-8B4E-896ED2029A87}" type="presParOf" srcId="{230A7F5D-8EEE-412A-8DF6-169290094E8E}" destId="{6C99A5B3-A2B2-4E50-97EB-4E2BF5E44C8B}" srcOrd="1" destOrd="0" presId="urn:microsoft.com/office/officeart/2005/8/layout/orgChart1#2"/>
    <dgm:cxn modelId="{CC098BD9-FF72-40C3-B0AF-1E8E967094D6}" type="presParOf" srcId="{CFBF5BB5-983E-4B8B-BA7C-4B991A1BC231}" destId="{69891469-A461-418D-809E-58C885DCF455}" srcOrd="1" destOrd="0" presId="urn:microsoft.com/office/officeart/2005/8/layout/orgChart1#2"/>
    <dgm:cxn modelId="{A5080F5A-8339-40B0-8548-66854D7294C6}" type="presParOf" srcId="{69891469-A461-418D-809E-58C885DCF455}" destId="{98154086-FCD7-4965-A6B7-A389E1C0EC29}" srcOrd="0" destOrd="0" presId="urn:microsoft.com/office/officeart/2005/8/layout/orgChart1#2"/>
    <dgm:cxn modelId="{2C108300-F710-455E-9213-EB743B52641B}" type="presParOf" srcId="{69891469-A461-418D-809E-58C885DCF455}" destId="{36E7C4F8-4A4F-4293-B453-37E54FA22F18}" srcOrd="1" destOrd="0" presId="urn:microsoft.com/office/officeart/2005/8/layout/orgChart1#2"/>
    <dgm:cxn modelId="{3D39BA50-513D-4724-ACA2-DA7F2DE395BD}" type="presParOf" srcId="{36E7C4F8-4A4F-4293-B453-37E54FA22F18}" destId="{E34A40F7-7064-4989-8A2D-10DBCADE01F7}" srcOrd="0" destOrd="0" presId="urn:microsoft.com/office/officeart/2005/8/layout/orgChart1#2"/>
    <dgm:cxn modelId="{8A1CC59B-EFD9-47AA-8DFC-FBE4F6863B2E}" type="presParOf" srcId="{E34A40F7-7064-4989-8A2D-10DBCADE01F7}" destId="{8A6CE1AE-0FA6-4B34-A6F0-1333A421786D}" srcOrd="0" destOrd="0" presId="urn:microsoft.com/office/officeart/2005/8/layout/orgChart1#2"/>
    <dgm:cxn modelId="{C7A85B8E-BADD-42AE-920F-F13984DBFE3E}" type="presParOf" srcId="{E34A40F7-7064-4989-8A2D-10DBCADE01F7}" destId="{06756F45-2F02-4D43-BBA1-2266EBB7F87B}" srcOrd="1" destOrd="0" presId="urn:microsoft.com/office/officeart/2005/8/layout/orgChart1#2"/>
    <dgm:cxn modelId="{4EBFC17F-E9CA-4E3E-BC07-E2EDE5E4102F}" type="presParOf" srcId="{36E7C4F8-4A4F-4293-B453-37E54FA22F18}" destId="{4BCAE84E-DE89-4C9B-846D-CB24EC1BFA18}" srcOrd="1" destOrd="0" presId="urn:microsoft.com/office/officeart/2005/8/layout/orgChart1#2"/>
    <dgm:cxn modelId="{CC9228D5-778A-4620-8C29-7CC1F0C20AB6}" type="presParOf" srcId="{36E7C4F8-4A4F-4293-B453-37E54FA22F18}" destId="{91164FEC-C1BC-4C52-8A79-FBDA6A260484}" srcOrd="2" destOrd="0" presId="urn:microsoft.com/office/officeart/2005/8/layout/orgChart1#2"/>
    <dgm:cxn modelId="{7F600D4C-F5DD-4189-B3DB-6309932BB53A}" type="presParOf" srcId="{69891469-A461-418D-809E-58C885DCF455}" destId="{C37734EC-B3D0-4123-88ED-C936881E5816}" srcOrd="2" destOrd="0" presId="urn:microsoft.com/office/officeart/2005/8/layout/orgChart1#2"/>
    <dgm:cxn modelId="{DD0E4F9D-8E91-4057-ADD2-F96D7F98BC19}" type="presParOf" srcId="{69891469-A461-418D-809E-58C885DCF455}" destId="{7E5912F9-EB3C-44D7-B735-98934A5C0066}" srcOrd="3" destOrd="0" presId="urn:microsoft.com/office/officeart/2005/8/layout/orgChart1#2"/>
    <dgm:cxn modelId="{25B01E74-7305-41FA-9EA8-97E81332EE0F}" type="presParOf" srcId="{7E5912F9-EB3C-44D7-B735-98934A5C0066}" destId="{E94C4B73-7D70-4D45-985E-CE4CA0C6D32B}" srcOrd="0" destOrd="0" presId="urn:microsoft.com/office/officeart/2005/8/layout/orgChart1#2"/>
    <dgm:cxn modelId="{7FDFB52D-DDF2-4318-B6FD-1C8026B77165}" type="presParOf" srcId="{E94C4B73-7D70-4D45-985E-CE4CA0C6D32B}" destId="{714C544D-F6E6-40E9-A3B0-7E1763F57071}" srcOrd="0" destOrd="0" presId="urn:microsoft.com/office/officeart/2005/8/layout/orgChart1#2"/>
    <dgm:cxn modelId="{33BF3E26-4341-4877-9D19-2AA4E7CD32FB}" type="presParOf" srcId="{E94C4B73-7D70-4D45-985E-CE4CA0C6D32B}" destId="{AFEC6366-7B0C-4CEE-A584-8B2C9F12F146}" srcOrd="1" destOrd="0" presId="urn:microsoft.com/office/officeart/2005/8/layout/orgChart1#2"/>
    <dgm:cxn modelId="{D20C7C6A-7A49-4FF1-9684-E0707D43B60C}" type="presParOf" srcId="{7E5912F9-EB3C-44D7-B735-98934A5C0066}" destId="{DB113D93-C2BA-4A63-87D6-284930CE4F66}" srcOrd="1" destOrd="0" presId="urn:microsoft.com/office/officeart/2005/8/layout/orgChart1#2"/>
    <dgm:cxn modelId="{C6F7E35B-395F-45AF-BD87-294D81FE937D}" type="presParOf" srcId="{7E5912F9-EB3C-44D7-B735-98934A5C0066}" destId="{51D755F7-500E-4BC4-A32A-27B72A99B3EC}" srcOrd="2" destOrd="0" presId="urn:microsoft.com/office/officeart/2005/8/layout/orgChart1#2"/>
    <dgm:cxn modelId="{75DD2E6F-17A6-41B7-BE65-8CF583B98AC1}" type="presParOf" srcId="{69891469-A461-418D-809E-58C885DCF455}" destId="{B0644172-082B-470C-BE8C-40795B0B0CE5}" srcOrd="4" destOrd="0" presId="urn:microsoft.com/office/officeart/2005/8/layout/orgChart1#2"/>
    <dgm:cxn modelId="{F24AF5E5-7976-4DBE-A218-533EE0102678}" type="presParOf" srcId="{69891469-A461-418D-809E-58C885DCF455}" destId="{A5A19D6B-89F0-47A2-9BBC-4EE0E8DC48DA}" srcOrd="5" destOrd="0" presId="urn:microsoft.com/office/officeart/2005/8/layout/orgChart1#2"/>
    <dgm:cxn modelId="{2B9F590A-D7CC-4EFB-9DEA-CEEBDDCF4027}" type="presParOf" srcId="{A5A19D6B-89F0-47A2-9BBC-4EE0E8DC48DA}" destId="{38ACFAFC-5BFD-4450-96AC-7785A75A1B2F}" srcOrd="0" destOrd="0" presId="urn:microsoft.com/office/officeart/2005/8/layout/orgChart1#2"/>
    <dgm:cxn modelId="{5A20C6B1-5F91-4552-9AE2-26DD55CA23C9}" type="presParOf" srcId="{38ACFAFC-5BFD-4450-96AC-7785A75A1B2F}" destId="{2632EED7-146E-461C-B004-E49D1772E9B0}" srcOrd="0" destOrd="0" presId="urn:microsoft.com/office/officeart/2005/8/layout/orgChart1#2"/>
    <dgm:cxn modelId="{5B32E2F8-4ECB-49A3-BE0B-FFA00AD1F0C6}" type="presParOf" srcId="{38ACFAFC-5BFD-4450-96AC-7785A75A1B2F}" destId="{257A3C42-E2FB-44CA-B38A-D1CDB90AC01A}" srcOrd="1" destOrd="0" presId="urn:microsoft.com/office/officeart/2005/8/layout/orgChart1#2"/>
    <dgm:cxn modelId="{B7444BE7-5985-4BE8-9B53-0BDABF79B1F5}" type="presParOf" srcId="{A5A19D6B-89F0-47A2-9BBC-4EE0E8DC48DA}" destId="{0FF46ACF-B37C-4107-9960-5C9B7E4E8779}" srcOrd="1" destOrd="0" presId="urn:microsoft.com/office/officeart/2005/8/layout/orgChart1#2"/>
    <dgm:cxn modelId="{484470FD-E93D-41D4-BE03-CE057EC7E2C6}" type="presParOf" srcId="{A5A19D6B-89F0-47A2-9BBC-4EE0E8DC48DA}" destId="{E8520D33-D523-4D42-912E-FD64BA326589}" srcOrd="2" destOrd="0" presId="urn:microsoft.com/office/officeart/2005/8/layout/orgChart1#2"/>
    <dgm:cxn modelId="{68215F6F-32E5-46E4-BCE6-74E07A4588C2}" type="presParOf" srcId="{CFBF5BB5-983E-4B8B-BA7C-4B991A1BC231}" destId="{03D69233-6C2E-49A8-9976-4D59EB58ACED}" srcOrd="2" destOrd="0" presId="urn:microsoft.com/office/officeart/2005/8/layout/orgChart1#2"/>
    <dgm:cxn modelId="{9AD106DB-3FF7-49A3-A964-387CDD9FF8CD}" type="presParOf" srcId="{3B39BBAD-6CF8-49C6-B6CC-AFFDB634152A}" destId="{A57150C1-F2D5-45F0-A423-7304197EB336}" srcOrd="6" destOrd="0" presId="urn:microsoft.com/office/officeart/2005/8/layout/orgChart1#2"/>
    <dgm:cxn modelId="{6915F659-B954-4426-BBCB-4155671FA2C4}" type="presParOf" srcId="{3B39BBAD-6CF8-49C6-B6CC-AFFDB634152A}" destId="{B2E601B2-3759-4E17-9DF1-FAF615765392}" srcOrd="7" destOrd="0" presId="urn:microsoft.com/office/officeart/2005/8/layout/orgChart1#2"/>
    <dgm:cxn modelId="{7E885B71-C2D6-4B6A-8CFB-C7DE451F437A}" type="presParOf" srcId="{B2E601B2-3759-4E17-9DF1-FAF615765392}" destId="{79EA9F23-D2FC-4F59-A9F7-68929CD8D58D}" srcOrd="0" destOrd="0" presId="urn:microsoft.com/office/officeart/2005/8/layout/orgChart1#2"/>
    <dgm:cxn modelId="{80B91C31-2DCC-4B7F-A912-9FF7B57502C6}" type="presParOf" srcId="{79EA9F23-D2FC-4F59-A9F7-68929CD8D58D}" destId="{6CA19065-F2D1-475B-AD7C-6FB622CB6417}" srcOrd="0" destOrd="0" presId="urn:microsoft.com/office/officeart/2005/8/layout/orgChart1#2"/>
    <dgm:cxn modelId="{FC42992B-C66F-4EBF-9D7E-B559D620C891}" type="presParOf" srcId="{79EA9F23-D2FC-4F59-A9F7-68929CD8D58D}" destId="{F1982391-9E72-4958-81F4-A4E1498018DF}" srcOrd="1" destOrd="0" presId="urn:microsoft.com/office/officeart/2005/8/layout/orgChart1#2"/>
    <dgm:cxn modelId="{388B0CF7-93A5-4B7F-A74B-D938B74309BF}" type="presParOf" srcId="{B2E601B2-3759-4E17-9DF1-FAF615765392}" destId="{F506F088-9C8C-4655-B4D6-2BFDB9114769}" srcOrd="1" destOrd="0" presId="urn:microsoft.com/office/officeart/2005/8/layout/orgChart1#2"/>
    <dgm:cxn modelId="{1107ACC6-286E-4F71-A12E-8E718D44E63A}" type="presParOf" srcId="{B2E601B2-3759-4E17-9DF1-FAF615765392}" destId="{D889969E-074F-4BA1-A14A-C7ACAB2EC7DD}" srcOrd="2" destOrd="0" presId="urn:microsoft.com/office/officeart/2005/8/layout/orgChart1#2"/>
    <dgm:cxn modelId="{00494F46-9C57-4092-9A1E-750A00B0DEBE}" type="presParOf" srcId="{D2DD2CE5-2888-4C73-A203-A73479D0D91D}" destId="{D678E1AD-252F-4D91-9B5F-52C6E6B837E3}" srcOrd="2" destOrd="0" presId="urn:microsoft.com/office/officeart/2005/8/layout/orgChart1#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3"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3"/>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3"/>
    <dgm:cxn modelId="{51C59B14-CEEB-4D96-85BE-0E5706AA55FF}" type="presOf" srcId="{45B0C606-26A6-48BB-9EBC-5A8A810DE162}" destId="{10CF9AD9-54F3-415C-AF48-E45C9E8722E0}" srcOrd="1" destOrd="0" presId="urn:microsoft.com/office/officeart/2005/8/layout/orgChart1#3"/>
    <dgm:cxn modelId="{F6D67116-B6DF-4741-8FF5-BBE3BC0E435C}" type="presOf" srcId="{24DDB76B-6EE4-4B2C-B68F-73C5BA8BCB30}" destId="{A7A1369C-6B59-485D-AE62-2940DBE1C943}" srcOrd="0" destOrd="0" presId="urn:microsoft.com/office/officeart/2005/8/layout/orgChart1#3"/>
    <dgm:cxn modelId="{CCAB5526-05B7-409F-8EF2-FBFA9B68DC69}" type="presOf" srcId="{38929868-226A-4D7F-8688-07EFD9CD6436}" destId="{FBDDCDBD-8A61-4173-A599-32ED8C87121D}" srcOrd="0" destOrd="0" presId="urn:microsoft.com/office/officeart/2005/8/layout/orgChart1#3"/>
    <dgm:cxn modelId="{10A87428-71D1-4626-B19C-70142F4D16EE}" type="presOf" srcId="{45B0C606-26A6-48BB-9EBC-5A8A810DE162}" destId="{BC8424C9-2404-4107-B385-81A8619142D2}" srcOrd="0" destOrd="0" presId="urn:microsoft.com/office/officeart/2005/8/layout/orgChart1#3"/>
    <dgm:cxn modelId="{B027062B-E2E7-4954-94B0-C1CDF18A81F6}" type="presOf" srcId="{38929868-226A-4D7F-8688-07EFD9CD6436}" destId="{B3225CF9-E180-4583-BDAF-7FF717356D8F}" srcOrd="1" destOrd="0" presId="urn:microsoft.com/office/officeart/2005/8/layout/orgChart1#3"/>
    <dgm:cxn modelId="{5602F53C-B862-477E-908A-EEB885996937}" type="presOf" srcId="{68155A5F-730B-436D-A117-918717A9693D}" destId="{F446F1FC-70BB-4B54-BD20-0F9B285E5D02}" srcOrd="0" destOrd="0" presId="urn:microsoft.com/office/officeart/2005/8/layout/orgChart1#3"/>
    <dgm:cxn modelId="{BB7CD940-0D0C-4916-8216-D7D9D07F7815}" type="presOf" srcId="{1BD7034E-09BC-4D8E-BC2E-6969F1FA1173}" destId="{B1F4795D-59AA-4FFE-BFFA-36596810EEF3}" srcOrd="0" destOrd="0" presId="urn:microsoft.com/office/officeart/2005/8/layout/orgChart1#3"/>
    <dgm:cxn modelId="{1F8AD965-35E6-4217-9A12-E874776F2D0A}" type="presOf" srcId="{B68007D4-66EE-483F-B26C-0E0AFE0BDED7}" destId="{E3D3CDBB-4A7F-4D4E-B520-6FB8C5E6CAF9}" srcOrd="1" destOrd="0" presId="urn:microsoft.com/office/officeart/2005/8/layout/orgChart1#3"/>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3"/>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3"/>
    <dgm:cxn modelId="{8B870C80-5DA9-4A23-86B6-3A9A7FF83AA3}" type="presOf" srcId="{24DDB76B-6EE4-4B2C-B68F-73C5BA8BCB30}" destId="{73D8D446-8660-4656-A091-09B3CE979856}" srcOrd="1" destOrd="0" presId="urn:microsoft.com/office/officeart/2005/8/layout/orgChart1#3"/>
    <dgm:cxn modelId="{F8F9F280-02CB-40A6-BAC4-43EAE5F5E038}" type="presOf" srcId="{B68007D4-66EE-483F-B26C-0E0AFE0BDED7}" destId="{ECE37C99-F18B-4E86-A2E2-2477A2B8289D}" srcOrd="0" destOrd="0" presId="urn:microsoft.com/office/officeart/2005/8/layout/orgChart1#3"/>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3"/>
    <dgm:cxn modelId="{54E18BB6-DC87-44C4-B045-F3A58667C4AF}" type="presOf" srcId="{F7B49A32-18CE-42F1-92EF-D33943DC808E}" destId="{A046D519-4DF1-4212-A2A2-993A0A63AEF0}" srcOrd="0" destOrd="0" presId="urn:microsoft.com/office/officeart/2005/8/layout/orgChart1#3"/>
    <dgm:cxn modelId="{E9C936BD-E807-4E5D-B5CC-CDC693A79B4B}" type="presOf" srcId="{E20AB978-DCD9-40D3-A795-267C12DC23CE}" destId="{5AF88AD5-B7D3-48B6-AB26-9422E3248415}" srcOrd="1" destOrd="0" presId="urn:microsoft.com/office/officeart/2005/8/layout/orgChart1#3"/>
    <dgm:cxn modelId="{AC04CDC5-DAEB-48C3-870F-AE8E21F9988C}" type="presOf" srcId="{290C2173-9F3A-47B1-ACC7-55BFB92D43D5}" destId="{0C3CF65D-ADF9-475C-8521-C5A30604DBE7}" srcOrd="0" destOrd="0" presId="urn:microsoft.com/office/officeart/2005/8/layout/orgChart1#3"/>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3"/>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3"/>
    <dgm:cxn modelId="{6B6DF1E5-71F0-45A2-BD6F-EFD0C1D49033}" type="presOf" srcId="{36C0E1DC-9BE7-4BB2-BA88-0B17759E0338}" destId="{062C5560-98DC-4C33-BA17-D79AAA9CE9FC}" srcOrd="0" destOrd="0" presId="urn:microsoft.com/office/officeart/2005/8/layout/orgChart1#3"/>
    <dgm:cxn modelId="{4E12FAAC-0006-4CEE-8551-FF14574C81D4}" type="presParOf" srcId="{359D9735-E4B1-48EB-BB81-AC7040D8FAE5}" destId="{3F7194DF-E191-4E6F-B25D-A2D8DAAF1CC0}" srcOrd="0" destOrd="0" presId="urn:microsoft.com/office/officeart/2005/8/layout/orgChart1#3"/>
    <dgm:cxn modelId="{C537F76D-1E60-421D-A003-0749142E597E}" type="presParOf" srcId="{3F7194DF-E191-4E6F-B25D-A2D8DAAF1CC0}" destId="{88F668B6-3CAC-4FCD-B789-38BE6080ABFD}" srcOrd="0" destOrd="0" presId="urn:microsoft.com/office/officeart/2005/8/layout/orgChart1#3"/>
    <dgm:cxn modelId="{BB77E874-64A3-4D7A-A827-DF01A4B76F9E}" type="presParOf" srcId="{88F668B6-3CAC-4FCD-B789-38BE6080ABFD}" destId="{0C3CF65D-ADF9-475C-8521-C5A30604DBE7}" srcOrd="0" destOrd="0" presId="urn:microsoft.com/office/officeart/2005/8/layout/orgChart1#3"/>
    <dgm:cxn modelId="{B7666B7E-7995-4CAC-839D-101EFCDFA5D9}" type="presParOf" srcId="{88F668B6-3CAC-4FCD-B789-38BE6080ABFD}" destId="{BB6B3B2B-25ED-4DAA-AB96-EE0241D98EC3}" srcOrd="1" destOrd="0" presId="urn:microsoft.com/office/officeart/2005/8/layout/orgChart1#3"/>
    <dgm:cxn modelId="{DEE36793-E96A-4252-8363-405A5939D58D}" type="presParOf" srcId="{3F7194DF-E191-4E6F-B25D-A2D8DAAF1CC0}" destId="{DBEFD03B-F0DA-4DD5-9441-450580280EA2}" srcOrd="1" destOrd="0" presId="urn:microsoft.com/office/officeart/2005/8/layout/orgChart1#3"/>
    <dgm:cxn modelId="{BF548490-40F4-4B51-912F-9D063AAD03DF}" type="presParOf" srcId="{DBEFD03B-F0DA-4DD5-9441-450580280EA2}" destId="{6AC53688-31B0-4163-9635-8477DAAEE8B5}" srcOrd="0" destOrd="0" presId="urn:microsoft.com/office/officeart/2005/8/layout/orgChart1#3"/>
    <dgm:cxn modelId="{C34F6796-13B8-42CE-AF5A-BB1E92C7B27B}" type="presParOf" srcId="{DBEFD03B-F0DA-4DD5-9441-450580280EA2}" destId="{90DE0E53-9C57-4E85-B0DD-1038F1807ED7}" srcOrd="1" destOrd="0" presId="urn:microsoft.com/office/officeart/2005/8/layout/orgChart1#3"/>
    <dgm:cxn modelId="{5D6AC86E-57D4-49A5-B2FB-CF20ACBC4298}" type="presParOf" srcId="{90DE0E53-9C57-4E85-B0DD-1038F1807ED7}" destId="{927768BC-755E-46F0-B632-F157FA9492A4}" srcOrd="0" destOrd="0" presId="urn:microsoft.com/office/officeart/2005/8/layout/orgChart1#3"/>
    <dgm:cxn modelId="{9EBCC616-EBF2-4569-A793-84C149F3E17B}" type="presParOf" srcId="{927768BC-755E-46F0-B632-F157FA9492A4}" destId="{FBDDCDBD-8A61-4173-A599-32ED8C87121D}" srcOrd="0" destOrd="0" presId="urn:microsoft.com/office/officeart/2005/8/layout/orgChart1#3"/>
    <dgm:cxn modelId="{1A00FAC9-5A53-407E-85D0-8CADAF06FCE8}" type="presParOf" srcId="{927768BC-755E-46F0-B632-F157FA9492A4}" destId="{B3225CF9-E180-4583-BDAF-7FF717356D8F}" srcOrd="1" destOrd="0" presId="urn:microsoft.com/office/officeart/2005/8/layout/orgChart1#3"/>
    <dgm:cxn modelId="{1386A25D-1064-4B0B-9101-413D90523306}" type="presParOf" srcId="{90DE0E53-9C57-4E85-B0DD-1038F1807ED7}" destId="{9DA63538-DCA3-4B28-8E2F-91AE9FF22E38}" srcOrd="1" destOrd="0" presId="urn:microsoft.com/office/officeart/2005/8/layout/orgChart1#3"/>
    <dgm:cxn modelId="{C2BC05AC-373B-443C-AEBB-2F1C7A29353B}" type="presParOf" srcId="{9DA63538-DCA3-4B28-8E2F-91AE9FF22E38}" destId="{B1F4795D-59AA-4FFE-BFFA-36596810EEF3}" srcOrd="0" destOrd="0" presId="urn:microsoft.com/office/officeart/2005/8/layout/orgChart1#3"/>
    <dgm:cxn modelId="{F8F3D9BB-C556-42CF-8A89-D073ABE9AB06}" type="presParOf" srcId="{9DA63538-DCA3-4B28-8E2F-91AE9FF22E38}" destId="{67549845-7676-4547-B72F-FF66B715AA3C}" srcOrd="1" destOrd="0" presId="urn:microsoft.com/office/officeart/2005/8/layout/orgChart1#3"/>
    <dgm:cxn modelId="{6708EC28-0A01-448D-A765-69E915FDFE3D}" type="presParOf" srcId="{67549845-7676-4547-B72F-FF66B715AA3C}" destId="{755A3EC2-84D8-43AA-83C2-C8E8C02B2ED8}" srcOrd="0" destOrd="0" presId="urn:microsoft.com/office/officeart/2005/8/layout/orgChart1#3"/>
    <dgm:cxn modelId="{A0CE8975-A5E1-4684-B7DA-CFCEEAB49126}" type="presParOf" srcId="{755A3EC2-84D8-43AA-83C2-C8E8C02B2ED8}" destId="{97FA4009-D432-490A-AFA3-A63E792C8BB6}" srcOrd="0" destOrd="0" presId="urn:microsoft.com/office/officeart/2005/8/layout/orgChart1#3"/>
    <dgm:cxn modelId="{C3C02F88-80B5-4F60-9914-575127AEF77B}" type="presParOf" srcId="{755A3EC2-84D8-43AA-83C2-C8E8C02B2ED8}" destId="{5AF88AD5-B7D3-48B6-AB26-9422E3248415}" srcOrd="1" destOrd="0" presId="urn:microsoft.com/office/officeart/2005/8/layout/orgChart1#3"/>
    <dgm:cxn modelId="{3D174513-A67A-4196-85CD-46DE354E71E8}" type="presParOf" srcId="{67549845-7676-4547-B72F-FF66B715AA3C}" destId="{E4DAFD29-0C52-4027-8D16-28313D56A3C3}" srcOrd="1" destOrd="0" presId="urn:microsoft.com/office/officeart/2005/8/layout/orgChart1#3"/>
    <dgm:cxn modelId="{B4E6A9CA-A1FE-4142-98C7-31643B3E0D85}" type="presParOf" srcId="{67549845-7676-4547-B72F-FF66B715AA3C}" destId="{BBF35B6C-A807-4391-A4FF-7109CE53A07D}" srcOrd="2" destOrd="0" presId="urn:microsoft.com/office/officeart/2005/8/layout/orgChart1#3"/>
    <dgm:cxn modelId="{DB0EC0F1-B813-406D-AE74-8E6702A19D7A}" type="presParOf" srcId="{9DA63538-DCA3-4B28-8E2F-91AE9FF22E38}" destId="{1A2B7726-F732-4456-B550-F2EBD385E217}" srcOrd="2" destOrd="0" presId="urn:microsoft.com/office/officeart/2005/8/layout/orgChart1#3"/>
    <dgm:cxn modelId="{61B56148-5C2E-4674-B7EE-A26182F17A42}" type="presParOf" srcId="{9DA63538-DCA3-4B28-8E2F-91AE9FF22E38}" destId="{29272511-816C-4A4D-AB44-34E8CC1D088A}" srcOrd="3" destOrd="0" presId="urn:microsoft.com/office/officeart/2005/8/layout/orgChart1#3"/>
    <dgm:cxn modelId="{0759D212-F2CD-4D4C-B141-F1C11A8228E5}" type="presParOf" srcId="{29272511-816C-4A4D-AB44-34E8CC1D088A}" destId="{40B5BD12-4EB6-4A0D-8DB6-5D9170BBBD93}" srcOrd="0" destOrd="0" presId="urn:microsoft.com/office/officeart/2005/8/layout/orgChart1#3"/>
    <dgm:cxn modelId="{B830CF20-2CCB-4C30-B962-AD431571602E}" type="presParOf" srcId="{40B5BD12-4EB6-4A0D-8DB6-5D9170BBBD93}" destId="{F446F1FC-70BB-4B54-BD20-0F9B285E5D02}" srcOrd="0" destOrd="0" presId="urn:microsoft.com/office/officeart/2005/8/layout/orgChart1#3"/>
    <dgm:cxn modelId="{26A455AB-DE09-4226-931B-6EE892F9DEF5}" type="presParOf" srcId="{40B5BD12-4EB6-4A0D-8DB6-5D9170BBBD93}" destId="{249E6CE6-8CFD-4E03-9421-5AEFEE634BDC}" srcOrd="1" destOrd="0" presId="urn:microsoft.com/office/officeart/2005/8/layout/orgChart1#3"/>
    <dgm:cxn modelId="{451A3AF2-A44F-458C-9312-B3071DE046DF}" type="presParOf" srcId="{29272511-816C-4A4D-AB44-34E8CC1D088A}" destId="{AF827201-A190-4B2F-A566-08653B8EFD49}" srcOrd="1" destOrd="0" presId="urn:microsoft.com/office/officeart/2005/8/layout/orgChart1#3"/>
    <dgm:cxn modelId="{E63376C6-9171-4534-AC08-3EF06C18712A}" type="presParOf" srcId="{29272511-816C-4A4D-AB44-34E8CC1D088A}" destId="{EC532D02-1EEB-48A0-A185-040BDC69110B}" srcOrd="2" destOrd="0" presId="urn:microsoft.com/office/officeart/2005/8/layout/orgChart1#3"/>
    <dgm:cxn modelId="{A4A268DE-482A-49CA-976E-7E79CFF574D1}" type="presParOf" srcId="{9DA63538-DCA3-4B28-8E2F-91AE9FF22E38}" destId="{062C5560-98DC-4C33-BA17-D79AAA9CE9FC}" srcOrd="4" destOrd="0" presId="urn:microsoft.com/office/officeart/2005/8/layout/orgChart1#3"/>
    <dgm:cxn modelId="{9DBAE545-6124-4B9A-8A25-903F4307F05E}" type="presParOf" srcId="{9DA63538-DCA3-4B28-8E2F-91AE9FF22E38}" destId="{8BF2D264-0A71-4D84-A375-8F09E98774A0}" srcOrd="5" destOrd="0" presId="urn:microsoft.com/office/officeart/2005/8/layout/orgChart1#3"/>
    <dgm:cxn modelId="{2C0081F2-BD90-4198-807E-DAC2AFF37BC4}" type="presParOf" srcId="{8BF2D264-0A71-4D84-A375-8F09E98774A0}" destId="{93AC8704-C6C1-4061-9112-2FE88FFBF289}" srcOrd="0" destOrd="0" presId="urn:microsoft.com/office/officeart/2005/8/layout/orgChart1#3"/>
    <dgm:cxn modelId="{9E6919CC-2DB6-4AEE-8366-05DC148B3C36}" type="presParOf" srcId="{93AC8704-C6C1-4061-9112-2FE88FFBF289}" destId="{A7A1369C-6B59-485D-AE62-2940DBE1C943}" srcOrd="0" destOrd="0" presId="urn:microsoft.com/office/officeart/2005/8/layout/orgChart1#3"/>
    <dgm:cxn modelId="{032AAD9F-21A2-4BF1-9AF3-6A863C60D3CA}" type="presParOf" srcId="{93AC8704-C6C1-4061-9112-2FE88FFBF289}" destId="{73D8D446-8660-4656-A091-09B3CE979856}" srcOrd="1" destOrd="0" presId="urn:microsoft.com/office/officeart/2005/8/layout/orgChart1#3"/>
    <dgm:cxn modelId="{B82E7344-A8E9-4DE2-8DDE-DC000A54B979}" type="presParOf" srcId="{8BF2D264-0A71-4D84-A375-8F09E98774A0}" destId="{F666343C-DC39-481A-B0DC-E0C972D2EC78}" srcOrd="1" destOrd="0" presId="urn:microsoft.com/office/officeart/2005/8/layout/orgChart1#3"/>
    <dgm:cxn modelId="{4A8760F5-FA97-455A-AE3E-693309E8A333}" type="presParOf" srcId="{8BF2D264-0A71-4D84-A375-8F09E98774A0}" destId="{C0D164BD-5CFF-4DCD-92DC-E9CA22955B47}" srcOrd="2" destOrd="0" presId="urn:microsoft.com/office/officeart/2005/8/layout/orgChart1#3"/>
    <dgm:cxn modelId="{B1826FBE-570A-4E73-89F3-A7F9B56151E5}" type="presParOf" srcId="{90DE0E53-9C57-4E85-B0DD-1038F1807ED7}" destId="{AA33A243-AD51-47E7-A9CB-101F055B5A16}" srcOrd="2" destOrd="0" presId="urn:microsoft.com/office/officeart/2005/8/layout/orgChart1#3"/>
    <dgm:cxn modelId="{65AEC7EA-965D-4F36-8417-ECB5DDB5A87B}" type="presParOf" srcId="{DBEFD03B-F0DA-4DD5-9441-450580280EA2}" destId="{A046D519-4DF1-4212-A2A2-993A0A63AEF0}" srcOrd="2" destOrd="0" presId="urn:microsoft.com/office/officeart/2005/8/layout/orgChart1#3"/>
    <dgm:cxn modelId="{25F57721-686D-4CD5-86F0-5C5794B71CB2}" type="presParOf" srcId="{DBEFD03B-F0DA-4DD5-9441-450580280EA2}" destId="{262C2E85-32AB-4DE1-8322-5BBD4EEF6C8A}" srcOrd="3" destOrd="0" presId="urn:microsoft.com/office/officeart/2005/8/layout/orgChart1#3"/>
    <dgm:cxn modelId="{4F052442-12C1-4C4D-B16D-504C148388B2}" type="presParOf" srcId="{262C2E85-32AB-4DE1-8322-5BBD4EEF6C8A}" destId="{FA6399F6-F837-4197-B72C-CE58760A8C76}" srcOrd="0" destOrd="0" presId="urn:microsoft.com/office/officeart/2005/8/layout/orgChart1#3"/>
    <dgm:cxn modelId="{76C55C03-7812-4EDF-8C51-6AEC7177E028}" type="presParOf" srcId="{FA6399F6-F837-4197-B72C-CE58760A8C76}" destId="{ECE37C99-F18B-4E86-A2E2-2477A2B8289D}" srcOrd="0" destOrd="0" presId="urn:microsoft.com/office/officeart/2005/8/layout/orgChart1#3"/>
    <dgm:cxn modelId="{4A62F48B-A921-45E4-97A4-3B6CBBB27E57}" type="presParOf" srcId="{FA6399F6-F837-4197-B72C-CE58760A8C76}" destId="{E3D3CDBB-4A7F-4D4E-B520-6FB8C5E6CAF9}" srcOrd="1" destOrd="0" presId="urn:microsoft.com/office/officeart/2005/8/layout/orgChart1#3"/>
    <dgm:cxn modelId="{5E7854AE-34BE-403D-9B26-AD1EF0ACD568}" type="presParOf" srcId="{262C2E85-32AB-4DE1-8322-5BBD4EEF6C8A}" destId="{1D98C9CB-C935-47A3-8B2C-C3CD29E6FD7B}" srcOrd="1" destOrd="0" presId="urn:microsoft.com/office/officeart/2005/8/layout/orgChart1#3"/>
    <dgm:cxn modelId="{678484D5-0FC6-4B8C-93D2-E25CAA5763ED}" type="presParOf" srcId="{262C2E85-32AB-4DE1-8322-5BBD4EEF6C8A}" destId="{6350D7F4-62C2-4270-B3BA-7CE50256BBD7}" srcOrd="2" destOrd="0" presId="urn:microsoft.com/office/officeart/2005/8/layout/orgChart1#3"/>
    <dgm:cxn modelId="{47F0796A-432A-4357-AEDD-5326AF7BB373}" type="presParOf" srcId="{DBEFD03B-F0DA-4DD5-9441-450580280EA2}" destId="{38F4797C-696B-44F8-A4CE-31FDA6EFE796}" srcOrd="4" destOrd="0" presId="urn:microsoft.com/office/officeart/2005/8/layout/orgChart1#3"/>
    <dgm:cxn modelId="{912E147A-5AF7-48E9-B4BF-1C3DFA9333DE}" type="presParOf" srcId="{DBEFD03B-F0DA-4DD5-9441-450580280EA2}" destId="{68AC6287-6905-4867-96EA-3330FFB68861}" srcOrd="5" destOrd="0" presId="urn:microsoft.com/office/officeart/2005/8/layout/orgChart1#3"/>
    <dgm:cxn modelId="{7250FC6E-9DBF-4690-A7F1-B7192C026A2C}" type="presParOf" srcId="{68AC6287-6905-4867-96EA-3330FFB68861}" destId="{E85BB488-4DD5-469C-9B4C-8C8DD1B0B691}" srcOrd="0" destOrd="0" presId="urn:microsoft.com/office/officeart/2005/8/layout/orgChart1#3"/>
    <dgm:cxn modelId="{B0AD0A18-212B-451B-80DB-404A656092F1}" type="presParOf" srcId="{E85BB488-4DD5-469C-9B4C-8C8DD1B0B691}" destId="{BC8424C9-2404-4107-B385-81A8619142D2}" srcOrd="0" destOrd="0" presId="urn:microsoft.com/office/officeart/2005/8/layout/orgChart1#3"/>
    <dgm:cxn modelId="{1BD4E037-28D2-499F-8479-81BB1BFE6C87}" type="presParOf" srcId="{E85BB488-4DD5-469C-9B4C-8C8DD1B0B691}" destId="{10CF9AD9-54F3-415C-AF48-E45C9E8722E0}" srcOrd="1" destOrd="0" presId="urn:microsoft.com/office/officeart/2005/8/layout/orgChart1#3"/>
    <dgm:cxn modelId="{3E244448-A8D3-4922-9CFF-3ECE9F23E8EA}" type="presParOf" srcId="{68AC6287-6905-4867-96EA-3330FFB68861}" destId="{E49F1176-43F9-4BA6-B964-564E8720F80D}" srcOrd="1" destOrd="0" presId="urn:microsoft.com/office/officeart/2005/8/layout/orgChart1#3"/>
    <dgm:cxn modelId="{0EA3682D-880E-4894-BBF9-FBDD06E3E717}" type="presParOf" srcId="{68AC6287-6905-4867-96EA-3330FFB68861}" destId="{6DDCEA61-463C-42DE-9F8E-3438BD61B5F5}" srcOrd="2" destOrd="0" presId="urn:microsoft.com/office/officeart/2005/8/layout/orgChart1#3"/>
    <dgm:cxn modelId="{732EDB91-0E6D-4882-9007-5E4F58681045}" type="presParOf" srcId="{3F7194DF-E191-4E6F-B25D-A2D8DAAF1CC0}" destId="{A0A052F5-97ED-44AF-9239-AC9030388416}" srcOrd="2" destOrd="0" presId="urn:microsoft.com/office/officeart/2005/8/layout/orgChart1#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4"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4"/>
    <dgm:cxn modelId="{CB18A85B-906C-45B3-A9AB-1763C3038AAC}" type="presOf" srcId="{30AC1080-B406-41F2-B1BA-95C7D53E7DA7}" destId="{04490F09-89EA-4042-B671-F18CE2B7A364}" srcOrd="0" destOrd="0" presId="urn:microsoft.com/office/officeart/2005/8/layout/orgChart1#4"/>
    <dgm:cxn modelId="{3F0D2741-83B4-4801-AA9A-00CAB3662FF6}" type="presOf" srcId="{C22CB852-C883-4E84-9876-AE5386011EB7}" destId="{F0A24E22-8B7E-4B2F-9197-DB143DA8D292}" srcOrd="1" destOrd="0" presId="urn:microsoft.com/office/officeart/2005/8/layout/orgChart1#4"/>
    <dgm:cxn modelId="{4454B36B-9D6C-4BFA-BA21-26F7F6E923C1}" type="presOf" srcId="{EDFD46D7-A1AD-4244-8E89-0AF9BC8033A9}" destId="{07635FD1-7448-436E-9B01-DD8DDC6B0DE0}" srcOrd="0" destOrd="0" presId="urn:microsoft.com/office/officeart/2005/8/layout/orgChart1#4"/>
    <dgm:cxn modelId="{6CC42276-3DFA-41BB-BA3B-D9F33E3A51DD}" type="presOf" srcId="{F50C8965-45E3-444B-9414-9AF24D054303}" destId="{A6FA7CBE-5758-444B-AE99-FAD67B7C2581}" srcOrd="1" destOrd="0" presId="urn:microsoft.com/office/officeart/2005/8/layout/orgChart1#4"/>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4"/>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4"/>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4"/>
    <dgm:cxn modelId="{69860F9E-26D2-41F1-B875-22BF4841A433}" type="presOf" srcId="{5B6C4A9B-9898-4139-88E7-DC595EF94A1D}" destId="{72FEABFE-0EC8-4A53-956B-58D58DD067DC}" srcOrd="0" destOrd="0" presId="urn:microsoft.com/office/officeart/2005/8/layout/orgChart1#4"/>
    <dgm:cxn modelId="{F07F58A5-1E8B-453C-8B4E-D5267E4E3A8F}" type="presOf" srcId="{30AC1080-B406-41F2-B1BA-95C7D53E7DA7}" destId="{A392BC23-3B30-437F-A7B2-C92CA9EB3FD3}" srcOrd="1" destOrd="0" presId="urn:microsoft.com/office/officeart/2005/8/layout/orgChart1#4"/>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4"/>
    <dgm:cxn modelId="{183DAACD-030B-4474-B134-560C8359AB9A}" type="presOf" srcId="{758DFA68-F85A-4337-80C1-ED7487DC2448}" destId="{0A7B2013-9F7B-42BD-8BC0-A264FADE1EF5}" srcOrd="1" destOrd="0" presId="urn:microsoft.com/office/officeart/2005/8/layout/orgChart1#4"/>
    <dgm:cxn modelId="{D5CFC4DE-B747-40BB-A74C-445F2206D914}" type="presOf" srcId="{C5ED77D8-24E7-4855-AB08-49F29D04892F}" destId="{EC850226-7A4B-49DA-9128-A681EAD35FB8}" srcOrd="0" destOrd="0" presId="urn:microsoft.com/office/officeart/2005/8/layout/orgChart1#4"/>
    <dgm:cxn modelId="{F81C14F0-4E85-4442-8F41-607552AED7CD}" type="presOf" srcId="{C22CB852-C883-4E84-9876-AE5386011EB7}" destId="{797C12C5-1BB8-4D6B-A05F-9963F61302F2}" srcOrd="0" destOrd="0" presId="urn:microsoft.com/office/officeart/2005/8/layout/orgChart1#4"/>
    <dgm:cxn modelId="{37BB36F9-BD98-4061-903F-B7087957027B}" type="presOf" srcId="{F50C8965-45E3-444B-9414-9AF24D054303}" destId="{0CF81988-BE01-456F-893D-9FC70C7C493A}" srcOrd="0" destOrd="0" presId="urn:microsoft.com/office/officeart/2005/8/layout/orgChart1#4"/>
    <dgm:cxn modelId="{DFAC232B-E2C5-4E9B-8F93-20DBDE672947}" type="presParOf" srcId="{3305396F-0C14-4161-A783-AFC36A8E4842}" destId="{F19FCE2C-4209-4B17-8B24-95799C3FA096}" srcOrd="0" destOrd="0" presId="urn:microsoft.com/office/officeart/2005/8/layout/orgChart1#4"/>
    <dgm:cxn modelId="{3A362E6D-BDF0-4160-B8A7-15B9E16E6836}" type="presParOf" srcId="{F19FCE2C-4209-4B17-8B24-95799C3FA096}" destId="{2329305D-8A19-432C-8894-30F1C96CCB19}" srcOrd="0" destOrd="0" presId="urn:microsoft.com/office/officeart/2005/8/layout/orgChart1#4"/>
    <dgm:cxn modelId="{A0F56285-ED6F-4CA1-BF01-DB3E8927A45B}" type="presParOf" srcId="{2329305D-8A19-432C-8894-30F1C96CCB19}" destId="{62B0C581-63A2-4AB4-ABFB-FA12879F1BC7}" srcOrd="0" destOrd="0" presId="urn:microsoft.com/office/officeart/2005/8/layout/orgChart1#4"/>
    <dgm:cxn modelId="{1F546ADB-3B7C-4138-B485-0F87577B3D5B}" type="presParOf" srcId="{2329305D-8A19-432C-8894-30F1C96CCB19}" destId="{74397F75-16F8-4EE2-99C9-F014C6A8065C}" srcOrd="1" destOrd="0" presId="urn:microsoft.com/office/officeart/2005/8/layout/orgChart1#4"/>
    <dgm:cxn modelId="{3554CE0D-E1B8-4EEC-8413-556CF765FC9F}" type="presParOf" srcId="{F19FCE2C-4209-4B17-8B24-95799C3FA096}" destId="{8D54CC20-034B-43E1-8019-66B3AC414C0A}" srcOrd="1" destOrd="0" presId="urn:microsoft.com/office/officeart/2005/8/layout/orgChart1#4"/>
    <dgm:cxn modelId="{9DA5B826-7685-49CD-9926-75814034046E}" type="presParOf" srcId="{8D54CC20-034B-43E1-8019-66B3AC414C0A}" destId="{EC850226-7A4B-49DA-9128-A681EAD35FB8}" srcOrd="0" destOrd="0" presId="urn:microsoft.com/office/officeart/2005/8/layout/orgChart1#4"/>
    <dgm:cxn modelId="{B9633CB9-D1FD-49F7-BB16-95CA0086E19F}" type="presParOf" srcId="{8D54CC20-034B-43E1-8019-66B3AC414C0A}" destId="{33DEBCD1-2DF1-4112-B5BC-D7332A21F1C9}" srcOrd="1" destOrd="0" presId="urn:microsoft.com/office/officeart/2005/8/layout/orgChart1#4"/>
    <dgm:cxn modelId="{BD75363F-B143-4184-B52B-B831A6C2ADB9}" type="presParOf" srcId="{33DEBCD1-2DF1-4112-B5BC-D7332A21F1C9}" destId="{4F430394-2294-4CBB-8E51-E93F8CC8BEB5}" srcOrd="0" destOrd="0" presId="urn:microsoft.com/office/officeart/2005/8/layout/orgChart1#4"/>
    <dgm:cxn modelId="{3EDD97ED-165D-4A98-8FD3-5C02B9C93143}" type="presParOf" srcId="{4F430394-2294-4CBB-8E51-E93F8CC8BEB5}" destId="{04490F09-89EA-4042-B671-F18CE2B7A364}" srcOrd="0" destOrd="0" presId="urn:microsoft.com/office/officeart/2005/8/layout/orgChart1#4"/>
    <dgm:cxn modelId="{E14C28B4-AF3E-4152-AB03-E855A96B2F9F}" type="presParOf" srcId="{4F430394-2294-4CBB-8E51-E93F8CC8BEB5}" destId="{A392BC23-3B30-437F-A7B2-C92CA9EB3FD3}" srcOrd="1" destOrd="0" presId="urn:microsoft.com/office/officeart/2005/8/layout/orgChart1#4"/>
    <dgm:cxn modelId="{70E12698-E064-41A7-9548-A38CF371EB55}" type="presParOf" srcId="{33DEBCD1-2DF1-4112-B5BC-D7332A21F1C9}" destId="{A61CEE7C-F7C2-49FD-8F7A-336BFC7E839D}" srcOrd="1" destOrd="0" presId="urn:microsoft.com/office/officeart/2005/8/layout/orgChart1#4"/>
    <dgm:cxn modelId="{D1FF5296-6D6A-40FE-B6DC-768C2288E7A2}" type="presParOf" srcId="{33DEBCD1-2DF1-4112-B5BC-D7332A21F1C9}" destId="{6AAF386F-A879-400A-A9AE-C1472C03E8EE}" srcOrd="2" destOrd="0" presId="urn:microsoft.com/office/officeart/2005/8/layout/orgChart1#4"/>
    <dgm:cxn modelId="{35C64B59-9206-473B-B43B-C5F94EB4351C}" type="presParOf" srcId="{8D54CC20-034B-43E1-8019-66B3AC414C0A}" destId="{07635FD1-7448-436E-9B01-DD8DDC6B0DE0}" srcOrd="2" destOrd="0" presId="urn:microsoft.com/office/officeart/2005/8/layout/orgChart1#4"/>
    <dgm:cxn modelId="{E4B34D19-21DE-484F-845B-64B3DFF1FFC4}" type="presParOf" srcId="{8D54CC20-034B-43E1-8019-66B3AC414C0A}" destId="{44DE6D20-3A44-42A2-9255-D59E67B89E71}" srcOrd="3" destOrd="0" presId="urn:microsoft.com/office/officeart/2005/8/layout/orgChart1#4"/>
    <dgm:cxn modelId="{D4F0CCC4-2C87-4091-981D-86D67E79CD95}" type="presParOf" srcId="{44DE6D20-3A44-42A2-9255-D59E67B89E71}" destId="{ADCE97E4-C0ED-4FB8-9454-D094E942EFC7}" srcOrd="0" destOrd="0" presId="urn:microsoft.com/office/officeart/2005/8/layout/orgChart1#4"/>
    <dgm:cxn modelId="{0A997658-4DF9-4ED6-A53E-3F11E6AF234A}" type="presParOf" srcId="{ADCE97E4-C0ED-4FB8-9454-D094E942EFC7}" destId="{E6AB2609-3D5F-4575-8960-1CFAEFF69BFE}" srcOrd="0" destOrd="0" presId="urn:microsoft.com/office/officeart/2005/8/layout/orgChart1#4"/>
    <dgm:cxn modelId="{13886F6D-A615-4895-8019-8273408879E1}" type="presParOf" srcId="{ADCE97E4-C0ED-4FB8-9454-D094E942EFC7}" destId="{0A7B2013-9F7B-42BD-8BC0-A264FADE1EF5}" srcOrd="1" destOrd="0" presId="urn:microsoft.com/office/officeart/2005/8/layout/orgChart1#4"/>
    <dgm:cxn modelId="{0C1068E9-FE9D-4606-8A16-AAA84F47F039}" type="presParOf" srcId="{44DE6D20-3A44-42A2-9255-D59E67B89E71}" destId="{0D576817-6A4C-45BC-81B5-3B6260A3F909}" srcOrd="1" destOrd="0" presId="urn:microsoft.com/office/officeart/2005/8/layout/orgChart1#4"/>
    <dgm:cxn modelId="{CA781FAF-3A95-423E-9607-61BEEC6C0AA5}" type="presParOf" srcId="{44DE6D20-3A44-42A2-9255-D59E67B89E71}" destId="{093125BA-8039-4F37-A790-6E0713AE71A7}" srcOrd="2" destOrd="0" presId="urn:microsoft.com/office/officeart/2005/8/layout/orgChart1#4"/>
    <dgm:cxn modelId="{FE842465-BEDE-4810-B2BC-2A4650E03BF1}" type="presParOf" srcId="{8D54CC20-034B-43E1-8019-66B3AC414C0A}" destId="{D5FE2AF0-FF16-4627-B28E-BCDB21DE5E38}" srcOrd="4" destOrd="0" presId="urn:microsoft.com/office/officeart/2005/8/layout/orgChart1#4"/>
    <dgm:cxn modelId="{19C5CE5F-9C55-482D-B889-FC40C50F23A0}" type="presParOf" srcId="{8D54CC20-034B-43E1-8019-66B3AC414C0A}" destId="{242A12E2-B770-46E5-A5D2-70D3618A9CEB}" srcOrd="5" destOrd="0" presId="urn:microsoft.com/office/officeart/2005/8/layout/orgChart1#4"/>
    <dgm:cxn modelId="{DF7C3F26-30FB-4A9B-9AF7-AFAF8789515F}" type="presParOf" srcId="{242A12E2-B770-46E5-A5D2-70D3618A9CEB}" destId="{92443A1C-5A68-4BDE-BDFB-2C129F0BF7D7}" srcOrd="0" destOrd="0" presId="urn:microsoft.com/office/officeart/2005/8/layout/orgChart1#4"/>
    <dgm:cxn modelId="{0B1CE2D6-1160-4FB7-B956-6C333A99E207}" type="presParOf" srcId="{92443A1C-5A68-4BDE-BDFB-2C129F0BF7D7}" destId="{797C12C5-1BB8-4D6B-A05F-9963F61302F2}" srcOrd="0" destOrd="0" presId="urn:microsoft.com/office/officeart/2005/8/layout/orgChart1#4"/>
    <dgm:cxn modelId="{43E827A4-8BA0-4B77-82F7-DFC287BE8345}" type="presParOf" srcId="{92443A1C-5A68-4BDE-BDFB-2C129F0BF7D7}" destId="{F0A24E22-8B7E-4B2F-9197-DB143DA8D292}" srcOrd="1" destOrd="0" presId="urn:microsoft.com/office/officeart/2005/8/layout/orgChart1#4"/>
    <dgm:cxn modelId="{B6D2FB4A-00E0-4EC6-9453-C99A6FF87EF3}" type="presParOf" srcId="{242A12E2-B770-46E5-A5D2-70D3618A9CEB}" destId="{748A2C25-256B-4EE7-A681-4B46A55AE8E6}" srcOrd="1" destOrd="0" presId="urn:microsoft.com/office/officeart/2005/8/layout/orgChart1#4"/>
    <dgm:cxn modelId="{AA86D4C2-BDDC-4E83-AA21-3240390AFA29}" type="presParOf" srcId="{242A12E2-B770-46E5-A5D2-70D3618A9CEB}" destId="{509CA7CA-63F0-4FA6-B8F2-252044A70736}" srcOrd="2" destOrd="0" presId="urn:microsoft.com/office/officeart/2005/8/layout/orgChart1#4"/>
    <dgm:cxn modelId="{C8A75EF4-B1A6-48C1-AF2C-75EB9BF87BD5}" type="presParOf" srcId="{8D54CC20-034B-43E1-8019-66B3AC414C0A}" destId="{72FEABFE-0EC8-4A53-956B-58D58DD067DC}" srcOrd="6" destOrd="0" presId="urn:microsoft.com/office/officeart/2005/8/layout/orgChart1#4"/>
    <dgm:cxn modelId="{EC4054ED-5B63-48EB-95E3-7534902D3173}" type="presParOf" srcId="{8D54CC20-034B-43E1-8019-66B3AC414C0A}" destId="{E7A68D38-8190-44AF-B074-4F65798CD0D7}" srcOrd="7" destOrd="0" presId="urn:microsoft.com/office/officeart/2005/8/layout/orgChart1#4"/>
    <dgm:cxn modelId="{0C88745B-48AB-466A-9C97-1301747FF159}" type="presParOf" srcId="{E7A68D38-8190-44AF-B074-4F65798CD0D7}" destId="{E9CF43C2-860B-476D-89C0-7582089B00ED}" srcOrd="0" destOrd="0" presId="urn:microsoft.com/office/officeart/2005/8/layout/orgChart1#4"/>
    <dgm:cxn modelId="{C673345D-BB78-484C-9C01-B05FA8B6BCF0}" type="presParOf" srcId="{E9CF43C2-860B-476D-89C0-7582089B00ED}" destId="{0CF81988-BE01-456F-893D-9FC70C7C493A}" srcOrd="0" destOrd="0" presId="urn:microsoft.com/office/officeart/2005/8/layout/orgChart1#4"/>
    <dgm:cxn modelId="{4D1F4277-2A47-4239-9AAF-C97EDCCEDB55}" type="presParOf" srcId="{E9CF43C2-860B-476D-89C0-7582089B00ED}" destId="{A6FA7CBE-5758-444B-AE99-FAD67B7C2581}" srcOrd="1" destOrd="0" presId="urn:microsoft.com/office/officeart/2005/8/layout/orgChart1#4"/>
    <dgm:cxn modelId="{819D9AB3-0ACD-475F-BECE-E22970845D4D}" type="presParOf" srcId="{E7A68D38-8190-44AF-B074-4F65798CD0D7}" destId="{348CDC18-64B1-400C-962C-9320DC624EE8}" srcOrd="1" destOrd="0" presId="urn:microsoft.com/office/officeart/2005/8/layout/orgChart1#4"/>
    <dgm:cxn modelId="{0B85DB45-FD36-42B4-A19F-9B0B760626F1}" type="presParOf" srcId="{E7A68D38-8190-44AF-B074-4F65798CD0D7}" destId="{88FEF4CF-A81A-4EBC-9079-34A3578D021E}" srcOrd="2" destOrd="0" presId="urn:microsoft.com/office/officeart/2005/8/layout/orgChart1#4"/>
    <dgm:cxn modelId="{91ACF03B-D5AA-4B96-B1E1-4823542B944D}" type="presParOf" srcId="{F19FCE2C-4209-4B17-8B24-95799C3FA096}" destId="{2C9E97EB-51F6-49C4-B449-C1984237E516}" srcOrd="2" destOrd="0" presId="urn:microsoft.com/office/officeart/2005/8/layout/orgChart1#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5"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5"/>
    <dgm:cxn modelId="{E0C0D50E-24F4-46B2-9173-A79C9A636AB6}" type="presOf" srcId="{86E4897D-B9EA-431E-ADD9-E8125DBF52EA}" destId="{3305396F-0C14-4161-A783-AFC36A8E4842}" srcOrd="0" destOrd="0" presId="urn:microsoft.com/office/officeart/2005/8/layout/orgChart1#5"/>
    <dgm:cxn modelId="{2ABB611B-C692-4884-A8D0-8792B01FA517}" type="presOf" srcId="{C5ED77D8-24E7-4855-AB08-49F29D04892F}" destId="{EC850226-7A4B-49DA-9128-A681EAD35FB8}" srcOrd="0" destOrd="0" presId="urn:microsoft.com/office/officeart/2005/8/layout/orgChart1#5"/>
    <dgm:cxn modelId="{DE050944-8B4F-4F36-8B6C-3804397B05A0}" type="presOf" srcId="{30AC1080-B406-41F2-B1BA-95C7D53E7DA7}" destId="{A392BC23-3B30-437F-A7B2-C92CA9EB3FD3}" srcOrd="1" destOrd="0" presId="urn:microsoft.com/office/officeart/2005/8/layout/orgChart1#5"/>
    <dgm:cxn modelId="{FBBFA145-6EAF-44BD-A354-D58EE9D24859}" type="presOf" srcId="{0470846F-CFEC-420C-A100-DE48ECBBC291}" destId="{652E01CB-06B2-4E9B-9A9D-712685CC5296}" srcOrd="0" destOrd="0" presId="urn:microsoft.com/office/officeart/2005/8/layout/orgChart1#5"/>
    <dgm:cxn modelId="{75769649-6D5C-4E27-B02E-A193A75BBF44}" type="presOf" srcId="{C22CB852-C883-4E84-9876-AE5386011EB7}" destId="{F0A24E22-8B7E-4B2F-9197-DB143DA8D292}" srcOrd="1" destOrd="0" presId="urn:microsoft.com/office/officeart/2005/8/layout/orgChart1#5"/>
    <dgm:cxn modelId="{70036B74-F5B1-4A9F-911E-D4DACE9CEDDF}" type="presOf" srcId="{30AC1080-B406-41F2-B1BA-95C7D53E7DA7}" destId="{04490F09-89EA-4042-B671-F18CE2B7A364}" srcOrd="0" destOrd="0" presId="urn:microsoft.com/office/officeart/2005/8/layout/orgChart1#5"/>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5"/>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5"/>
    <dgm:cxn modelId="{EDED4CB2-0ED5-494D-AA40-0BA02ED3E679}" type="presOf" srcId="{023CAB7D-E47E-4283-A320-CCE1F2A409B0}" destId="{74397F75-16F8-4EE2-99C9-F014C6A8065C}" srcOrd="1" destOrd="0" presId="urn:microsoft.com/office/officeart/2005/8/layout/orgChart1#5"/>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5"/>
    <dgm:cxn modelId="{680CE3D3-4365-43A8-8211-D7E42C4C4C11}" type="presOf" srcId="{023CAB7D-E47E-4283-A320-CCE1F2A409B0}" destId="{62B0C581-63A2-4AB4-ABFB-FA12879F1BC7}" srcOrd="0" destOrd="0" presId="urn:microsoft.com/office/officeart/2005/8/layout/orgChart1#5"/>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5"/>
    <dgm:cxn modelId="{228B2046-E52B-4789-AF28-CFAC8C0C1A8D}" type="presParOf" srcId="{F19FCE2C-4209-4B17-8B24-95799C3FA096}" destId="{2329305D-8A19-432C-8894-30F1C96CCB19}" srcOrd="0" destOrd="0" presId="urn:microsoft.com/office/officeart/2005/8/layout/orgChart1#5"/>
    <dgm:cxn modelId="{51043423-0308-4819-8C0A-564E9D8B508D}" type="presParOf" srcId="{2329305D-8A19-432C-8894-30F1C96CCB19}" destId="{62B0C581-63A2-4AB4-ABFB-FA12879F1BC7}" srcOrd="0" destOrd="0" presId="urn:microsoft.com/office/officeart/2005/8/layout/orgChart1#5"/>
    <dgm:cxn modelId="{B5AAF6CE-2E63-44C2-83DB-34FB7E6706D4}" type="presParOf" srcId="{2329305D-8A19-432C-8894-30F1C96CCB19}" destId="{74397F75-16F8-4EE2-99C9-F014C6A8065C}" srcOrd="1" destOrd="0" presId="urn:microsoft.com/office/officeart/2005/8/layout/orgChart1#5"/>
    <dgm:cxn modelId="{8EC733F4-23A0-4111-AAA3-5D793CBB9BEE}" type="presParOf" srcId="{F19FCE2C-4209-4B17-8B24-95799C3FA096}" destId="{8D54CC20-034B-43E1-8019-66B3AC414C0A}" srcOrd="1" destOrd="0" presId="urn:microsoft.com/office/officeart/2005/8/layout/orgChart1#5"/>
    <dgm:cxn modelId="{3B8415A9-F357-4539-9665-EF362708979E}" type="presParOf" srcId="{8D54CC20-034B-43E1-8019-66B3AC414C0A}" destId="{EC850226-7A4B-49DA-9128-A681EAD35FB8}" srcOrd="0" destOrd="0" presId="urn:microsoft.com/office/officeart/2005/8/layout/orgChart1#5"/>
    <dgm:cxn modelId="{874BFF03-2D7D-4E5C-A19E-7008F45F9F67}" type="presParOf" srcId="{8D54CC20-034B-43E1-8019-66B3AC414C0A}" destId="{33DEBCD1-2DF1-4112-B5BC-D7332A21F1C9}" srcOrd="1" destOrd="0" presId="urn:microsoft.com/office/officeart/2005/8/layout/orgChart1#5"/>
    <dgm:cxn modelId="{F8C577EE-83A9-46B9-8820-9F9BF81982B8}" type="presParOf" srcId="{33DEBCD1-2DF1-4112-B5BC-D7332A21F1C9}" destId="{4F430394-2294-4CBB-8E51-E93F8CC8BEB5}" srcOrd="0" destOrd="0" presId="urn:microsoft.com/office/officeart/2005/8/layout/orgChart1#5"/>
    <dgm:cxn modelId="{4586000C-F7F7-4F1A-B65D-EF52861CAAB6}" type="presParOf" srcId="{4F430394-2294-4CBB-8E51-E93F8CC8BEB5}" destId="{04490F09-89EA-4042-B671-F18CE2B7A364}" srcOrd="0" destOrd="0" presId="urn:microsoft.com/office/officeart/2005/8/layout/orgChart1#5"/>
    <dgm:cxn modelId="{825A9E38-AEE6-4A8F-A771-6866806FF7D1}" type="presParOf" srcId="{4F430394-2294-4CBB-8E51-E93F8CC8BEB5}" destId="{A392BC23-3B30-437F-A7B2-C92CA9EB3FD3}" srcOrd="1" destOrd="0" presId="urn:microsoft.com/office/officeart/2005/8/layout/orgChart1#5"/>
    <dgm:cxn modelId="{E6767CA6-63B8-43A5-B8AA-97FB5E9B92D9}" type="presParOf" srcId="{33DEBCD1-2DF1-4112-B5BC-D7332A21F1C9}" destId="{A61CEE7C-F7C2-49FD-8F7A-336BFC7E839D}" srcOrd="1" destOrd="0" presId="urn:microsoft.com/office/officeart/2005/8/layout/orgChart1#5"/>
    <dgm:cxn modelId="{C4BB9D19-4D02-4440-8B68-B6D93A348960}" type="presParOf" srcId="{33DEBCD1-2DF1-4112-B5BC-D7332A21F1C9}" destId="{6AAF386F-A879-400A-A9AE-C1472C03E8EE}" srcOrd="2" destOrd="0" presId="urn:microsoft.com/office/officeart/2005/8/layout/orgChart1#5"/>
    <dgm:cxn modelId="{F4215D32-45B6-49B3-A294-06A4D5FD3BC7}" type="presParOf" srcId="{8D54CC20-034B-43E1-8019-66B3AC414C0A}" destId="{D5FE2AF0-FF16-4627-B28E-BCDB21DE5E38}" srcOrd="2" destOrd="0" presId="urn:microsoft.com/office/officeart/2005/8/layout/orgChart1#5"/>
    <dgm:cxn modelId="{25AEDFC3-0D61-40B3-9075-42FDE1BC94CA}" type="presParOf" srcId="{8D54CC20-034B-43E1-8019-66B3AC414C0A}" destId="{242A12E2-B770-46E5-A5D2-70D3618A9CEB}" srcOrd="3" destOrd="0" presId="urn:microsoft.com/office/officeart/2005/8/layout/orgChart1#5"/>
    <dgm:cxn modelId="{0460C18B-F082-40B8-A1D9-C957833B3E3A}" type="presParOf" srcId="{242A12E2-B770-46E5-A5D2-70D3618A9CEB}" destId="{92443A1C-5A68-4BDE-BDFB-2C129F0BF7D7}" srcOrd="0" destOrd="0" presId="urn:microsoft.com/office/officeart/2005/8/layout/orgChart1#5"/>
    <dgm:cxn modelId="{B5CF7A9A-CD12-4BA0-947C-026A23928F3A}" type="presParOf" srcId="{92443A1C-5A68-4BDE-BDFB-2C129F0BF7D7}" destId="{797C12C5-1BB8-4D6B-A05F-9963F61302F2}" srcOrd="0" destOrd="0" presId="urn:microsoft.com/office/officeart/2005/8/layout/orgChart1#5"/>
    <dgm:cxn modelId="{5F12B9DA-867A-4839-A108-A670F4B9A5B6}" type="presParOf" srcId="{92443A1C-5A68-4BDE-BDFB-2C129F0BF7D7}" destId="{F0A24E22-8B7E-4B2F-9197-DB143DA8D292}" srcOrd="1" destOrd="0" presId="urn:microsoft.com/office/officeart/2005/8/layout/orgChart1#5"/>
    <dgm:cxn modelId="{404BABF9-B9C3-47A1-831E-8CA043A36947}" type="presParOf" srcId="{242A12E2-B770-46E5-A5D2-70D3618A9CEB}" destId="{748A2C25-256B-4EE7-A681-4B46A55AE8E6}" srcOrd="1" destOrd="0" presId="urn:microsoft.com/office/officeart/2005/8/layout/orgChart1#5"/>
    <dgm:cxn modelId="{93543DFC-1B97-4270-8171-DA8D6D036061}" type="presParOf" srcId="{748A2C25-256B-4EE7-A681-4B46A55AE8E6}" destId="{652E01CB-06B2-4E9B-9A9D-712685CC5296}" srcOrd="0" destOrd="0" presId="urn:microsoft.com/office/officeart/2005/8/layout/orgChart1#5"/>
    <dgm:cxn modelId="{031EC60A-4558-4B66-A6E2-862C38065BBE}" type="presParOf" srcId="{748A2C25-256B-4EE7-A681-4B46A55AE8E6}" destId="{4B061452-2A9E-4D9C-8113-3986443A9620}" srcOrd="1" destOrd="0" presId="urn:microsoft.com/office/officeart/2005/8/layout/orgChart1#5"/>
    <dgm:cxn modelId="{FB13B79A-5422-4F68-A03C-C1B26767B863}" type="presParOf" srcId="{4B061452-2A9E-4D9C-8113-3986443A9620}" destId="{1488D6EB-D319-4ADD-AA1B-BB77012D42B4}" srcOrd="0" destOrd="0" presId="urn:microsoft.com/office/officeart/2005/8/layout/orgChart1#5"/>
    <dgm:cxn modelId="{0304CAE2-63C3-44E0-BB00-C8D69CFF9793}" type="presParOf" srcId="{1488D6EB-D319-4ADD-AA1B-BB77012D42B4}" destId="{32BC8322-AF47-4EB1-929D-CB53EB1EDD1B}" srcOrd="0" destOrd="0" presId="urn:microsoft.com/office/officeart/2005/8/layout/orgChart1#5"/>
    <dgm:cxn modelId="{CC825FCD-FCAA-483A-A85C-72B266348B1D}" type="presParOf" srcId="{1488D6EB-D319-4ADD-AA1B-BB77012D42B4}" destId="{D8BC3276-ED9D-4B06-9D0D-98FFC798AD56}" srcOrd="1" destOrd="0" presId="urn:microsoft.com/office/officeart/2005/8/layout/orgChart1#5"/>
    <dgm:cxn modelId="{78820EE8-BD08-4B56-8020-7BE64FA07A02}" type="presParOf" srcId="{4B061452-2A9E-4D9C-8113-3986443A9620}" destId="{BCE6056C-8947-419C-AE5E-E303B2F1BA09}" srcOrd="1" destOrd="0" presId="urn:microsoft.com/office/officeart/2005/8/layout/orgChart1#5"/>
    <dgm:cxn modelId="{4570CCE5-7C51-4B42-9115-8755EC604772}" type="presParOf" srcId="{4B061452-2A9E-4D9C-8113-3986443A9620}" destId="{45AB4E94-83D7-4CB4-B2DD-3C5663A4565B}" srcOrd="2" destOrd="0" presId="urn:microsoft.com/office/officeart/2005/8/layout/orgChart1#5"/>
    <dgm:cxn modelId="{7BF93F28-74B7-4585-A528-7CD4050E6861}" type="presParOf" srcId="{242A12E2-B770-46E5-A5D2-70D3618A9CEB}" destId="{509CA7CA-63F0-4FA6-B8F2-252044A70736}" srcOrd="2" destOrd="0" presId="urn:microsoft.com/office/officeart/2005/8/layout/orgChart1#5"/>
    <dgm:cxn modelId="{A27FA7E6-36B4-4C4A-991B-D07B26389610}" type="presParOf" srcId="{F19FCE2C-4209-4B17-8B24-95799C3FA096}" destId="{2C9E97EB-51F6-49C4-B449-C1984237E516}" srcOrd="2" destOrd="0" presId="urn:microsoft.com/office/officeart/2005/8/layout/orgChart1#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um" ma:contentTypeID="0x010100E018A9540453ED4CB0FB516323574E3D" ma:contentTypeVersion="3" ma:contentTypeDescription="Új dokumentum létrehozása." ma:contentTypeScope="" ma:versionID="0babef6ffabc61f25831b98bf86677f7">
  <xsd:schema xmlns:xsd="http://www.w3.org/2001/XMLSchema" xmlns:xs="http://www.w3.org/2001/XMLSchema" xmlns:p="http://schemas.microsoft.com/office/2006/metadata/properties" xmlns:ns2="19214403-0287-4561-a472-7a94c7d2695f" xmlns:ns3="271746a1-4cbd-4b56-8d0b-00985982ad8e" targetNamespace="http://schemas.microsoft.com/office/2006/metadata/properties" ma:root="true" ma:fieldsID="c96b8e0169cc1c6ea6aa42f72e9097f5" ns2:_="" ns3:_="">
    <xsd:import namespace="19214403-0287-4561-a472-7a94c7d2695f"/>
    <xsd:import namespace="271746a1-4cbd-4b56-8d0b-00985982ad8e"/>
    <xsd:element name="properties">
      <xsd:complexType>
        <xsd:sequence>
          <xsd:element name="documentManagement">
            <xsd:complexType>
              <xsd:all>
                <xsd:element ref="ns2:Documen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14403-0287-4561-a472-7a94c7d2695f"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1746a1-4cbd-4b56-8d0b-00985982ad8e"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D xmlns="19214403-0287-4561-a472-7a94c7d2695f">631355</Documen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F3014-3DF7-492B-9D71-A390815150D4}">
  <ds:schemaRefs/>
</ds:datastoreItem>
</file>

<file path=customXml/itemProps2.xml><?xml version="1.0" encoding="utf-8"?>
<ds:datastoreItem xmlns:ds="http://schemas.openxmlformats.org/officeDocument/2006/customXml" ds:itemID="{1A21972E-816B-483E-8A90-9FB9AD15FB87}">
  <ds:schemaRefs/>
</ds:datastoreItem>
</file>

<file path=customXml/itemProps3.xml><?xml version="1.0" encoding="utf-8"?>
<ds:datastoreItem xmlns:ds="http://schemas.openxmlformats.org/officeDocument/2006/customXml" ds:itemID="{B391DC63-6FA7-4391-A77B-660837B37FEE}">
  <ds:schemaRefs>
    <ds:schemaRef ds:uri="http://schemas.microsoft.com/office/2006/documentManagement/types"/>
    <ds:schemaRef ds:uri="http://purl.org/dc/terms/"/>
    <ds:schemaRef ds:uri="271746a1-4cbd-4b56-8d0b-00985982ad8e"/>
    <ds:schemaRef ds:uri="19214403-0287-4561-a472-7a94c7d2695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7894B7-B662-467F-86F6-FF6339F4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69107</Words>
  <Characters>476840</Characters>
  <Application>Microsoft Office Word</Application>
  <DocSecurity>0</DocSecurity>
  <Lines>3973</Lines>
  <Paragraphs>1089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ICAAP-ILAAP-BMA Kézikönyv 2024Q1</dc:title>
  <dc:creator/>
  <cp:lastModifiedBy/>
  <cp:revision>1</cp:revision>
  <dcterms:created xsi:type="dcterms:W3CDTF">2024-04-18T14:14:00Z</dcterms:created>
  <dcterms:modified xsi:type="dcterms:W3CDTF">2024-04-23T09:33:00Z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0x010100E018A9540453ED4CB0FB516323574E3D</vt:lpwstr>
  </property>
  <property fmtid="{D5CDD505-2E9C-101B-9397-08002B2CF9AE}" pid="3" name="Érvényességet beállító">
    <vt:lpwstr>cziganya</vt:lpwstr>
  </property>
  <property fmtid="{D5CDD505-2E9C-101B-9397-08002B2CF9AE}" pid="4" name="Érvényességi idő">
    <vt:filetime>2028-12-06T11:40:05Z</vt:filetime>
  </property>
  <property fmtid="{D5CDD505-2E9C-101B-9397-08002B2CF9AE}" pid="5" name="Érvényességi idő első beállítása">
    <vt:filetime>2023-12-06T11:40:05Z</vt:filetime>
  </property>
</Properties>
</file>