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DC" w:rsidRDefault="00311ADC" w:rsidP="00784D2D">
      <w:pPr>
        <w:spacing w:line="276" w:lineRule="auto"/>
      </w:pPr>
    </w:p>
    <w:p w:rsidR="00311ADC" w:rsidRPr="00537A6B" w:rsidRDefault="00EF6B00" w:rsidP="00847ED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537A6B">
        <w:rPr>
          <w:rFonts w:asciiTheme="minorHAnsi" w:hAnsiTheme="minorHAnsi"/>
          <w:b/>
          <w:sz w:val="24"/>
          <w:szCs w:val="24"/>
        </w:rPr>
        <w:t>A 2014</w:t>
      </w:r>
      <w:r w:rsidR="00847ED7" w:rsidRPr="00537A6B">
        <w:rPr>
          <w:rFonts w:asciiTheme="minorHAnsi" w:hAnsiTheme="minorHAnsi"/>
          <w:b/>
          <w:sz w:val="24"/>
          <w:szCs w:val="24"/>
        </w:rPr>
        <w:t>.</w:t>
      </w:r>
      <w:r w:rsidRPr="00537A6B">
        <w:rPr>
          <w:rFonts w:asciiTheme="minorHAnsi" w:hAnsiTheme="minorHAnsi"/>
          <w:b/>
          <w:sz w:val="24"/>
          <w:szCs w:val="24"/>
        </w:rPr>
        <w:t xml:space="preserve"> évi CRR alapú a</w:t>
      </w:r>
      <w:r w:rsidR="00A54621">
        <w:rPr>
          <w:rFonts w:asciiTheme="minorHAnsi" w:hAnsiTheme="minorHAnsi"/>
          <w:b/>
          <w:sz w:val="24"/>
          <w:szCs w:val="24"/>
        </w:rPr>
        <w:t>datszolgáltatással kapcsolatos</w:t>
      </w:r>
      <w:r w:rsidRPr="00537A6B">
        <w:rPr>
          <w:rFonts w:asciiTheme="minorHAnsi" w:hAnsiTheme="minorHAnsi"/>
          <w:b/>
          <w:sz w:val="24"/>
          <w:szCs w:val="24"/>
        </w:rPr>
        <w:t xml:space="preserve"> </w:t>
      </w:r>
      <w:r w:rsidR="00794EAB" w:rsidRPr="00537A6B">
        <w:rPr>
          <w:rFonts w:asciiTheme="minorHAnsi" w:hAnsiTheme="minorHAnsi"/>
          <w:b/>
          <w:sz w:val="24"/>
          <w:szCs w:val="24"/>
        </w:rPr>
        <w:t>kérdések és válaszok</w:t>
      </w:r>
    </w:p>
    <w:p w:rsidR="00784D2D" w:rsidRPr="00537A6B" w:rsidRDefault="00784D2D" w:rsidP="00784D2D">
      <w:pPr>
        <w:rPr>
          <w:rFonts w:asciiTheme="minorHAnsi" w:hAnsiTheme="minorHAnsi"/>
        </w:rPr>
      </w:pPr>
    </w:p>
    <w:p w:rsidR="00853DB9" w:rsidRPr="00537A6B" w:rsidRDefault="00853DB9" w:rsidP="00784D2D">
      <w:pPr>
        <w:rPr>
          <w:rFonts w:asciiTheme="minorHAnsi" w:hAnsiTheme="minorHAnsi"/>
        </w:rPr>
      </w:pPr>
    </w:p>
    <w:p w:rsidR="00794EAB" w:rsidRPr="00537A6B" w:rsidRDefault="00794EAB" w:rsidP="00A54621">
      <w:pPr>
        <w:pStyle w:val="ListParagraph"/>
        <w:numPr>
          <w:ilvl w:val="0"/>
          <w:numId w:val="20"/>
        </w:numPr>
        <w:ind w:left="709"/>
        <w:rPr>
          <w:b/>
          <w:sz w:val="24"/>
          <w:szCs w:val="24"/>
        </w:rPr>
      </w:pPr>
      <w:r w:rsidRPr="00537A6B">
        <w:rPr>
          <w:b/>
          <w:sz w:val="24"/>
          <w:szCs w:val="24"/>
        </w:rPr>
        <w:t>ÁLTALÁNOS KÉRDÉSEK:</w:t>
      </w:r>
    </w:p>
    <w:p w:rsidR="00794EAB" w:rsidRPr="00537A6B" w:rsidRDefault="00794EAB" w:rsidP="00784D2D">
      <w:pPr>
        <w:rPr>
          <w:rFonts w:asciiTheme="minorHAnsi" w:hAnsiTheme="minorHAnsi"/>
          <w:b/>
          <w:sz w:val="24"/>
          <w:szCs w:val="24"/>
        </w:rPr>
      </w:pPr>
    </w:p>
    <w:p w:rsidR="00794EAB" w:rsidRDefault="004679DA" w:rsidP="00794EAB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eastAsia="Calibri" w:cs="Times New Roman"/>
        </w:rPr>
      </w:pPr>
      <w:r w:rsidRPr="00537A6B">
        <w:rPr>
          <w:rFonts w:eastAsia="Calibri" w:cs="Times New Roman"/>
          <w:b/>
          <w:u w:val="single"/>
        </w:rPr>
        <w:t>Kérdés:</w:t>
      </w:r>
      <w:r w:rsidRPr="00537A6B">
        <w:rPr>
          <w:rFonts w:eastAsia="Calibri" w:cs="Times New Roman"/>
        </w:rPr>
        <w:t xml:space="preserve"> </w:t>
      </w:r>
      <w:r w:rsidR="00794EAB" w:rsidRPr="00537A6B">
        <w:rPr>
          <w:rFonts w:eastAsia="Calibri" w:cs="Times New Roman"/>
        </w:rPr>
        <w:t xml:space="preserve">Milyen formában kell majd az adatszolgáltatást teljesíteni/beküldeni, a jelenlegi KAP rendszerben és lesz-e táblacsomag? (Vagy egyéb felületen pl. ERA, EBEAD, stb.?) </w:t>
      </w:r>
    </w:p>
    <w:p w:rsidR="006B0B68" w:rsidRPr="00537A6B" w:rsidRDefault="006B0B68" w:rsidP="00627C71">
      <w:pPr>
        <w:pStyle w:val="ListParagraph"/>
        <w:spacing w:after="0"/>
        <w:ind w:left="426"/>
        <w:jc w:val="both"/>
        <w:rPr>
          <w:rFonts w:eastAsia="Calibri" w:cs="Times New Roman"/>
        </w:rPr>
      </w:pPr>
    </w:p>
    <w:p w:rsidR="00794EAB" w:rsidRPr="006E4356" w:rsidRDefault="00794EAB" w:rsidP="00794EAB">
      <w:pPr>
        <w:pStyle w:val="ListParagraph"/>
        <w:spacing w:after="0"/>
        <w:ind w:left="426"/>
        <w:jc w:val="both"/>
        <w:rPr>
          <w:rFonts w:eastAsia="Calibri" w:cs="Times New Roman"/>
        </w:rPr>
      </w:pPr>
      <w:r w:rsidRPr="006E4356">
        <w:rPr>
          <w:rFonts w:eastAsia="Calibri" w:cs="Times New Roman"/>
          <w:b/>
          <w:u w:val="single"/>
        </w:rPr>
        <w:t>Válasz</w:t>
      </w:r>
      <w:r w:rsidRPr="006E4356">
        <w:rPr>
          <w:rFonts w:eastAsia="Calibri" w:cs="Times New Roman"/>
        </w:rPr>
        <w:t xml:space="preserve">: </w:t>
      </w:r>
      <w:r w:rsidR="00BE3D63">
        <w:rPr>
          <w:rFonts w:eastAsia="Calibri" w:cs="Times New Roman"/>
        </w:rPr>
        <w:t>A</w:t>
      </w:r>
      <w:r w:rsidRPr="006E4356">
        <w:rPr>
          <w:rFonts w:eastAsia="Calibri" w:cs="Times New Roman"/>
        </w:rPr>
        <w:t xml:space="preserve">z adatszolgáltatást a KAP rendszeren keresztül, jelentéscsomagok beküldésével kell teljesíteni. </w:t>
      </w:r>
    </w:p>
    <w:p w:rsidR="00537A6B" w:rsidRPr="006E4356" w:rsidRDefault="00537A6B" w:rsidP="00794EAB">
      <w:pPr>
        <w:pStyle w:val="ListParagraph"/>
        <w:spacing w:after="0"/>
        <w:ind w:left="426"/>
        <w:jc w:val="both"/>
        <w:rPr>
          <w:rFonts w:eastAsia="Calibri" w:cs="Times New Roman"/>
        </w:rPr>
      </w:pPr>
    </w:p>
    <w:p w:rsidR="00794EAB" w:rsidRDefault="004679DA" w:rsidP="00794EAB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eastAsia="Calibri" w:cs="Times New Roman"/>
        </w:rPr>
      </w:pPr>
      <w:r w:rsidRPr="00537A6B">
        <w:rPr>
          <w:rFonts w:eastAsia="Calibri" w:cs="Times New Roman"/>
          <w:b/>
          <w:u w:val="single"/>
        </w:rPr>
        <w:t>Kérdés:</w:t>
      </w:r>
      <w:r w:rsidRPr="00537A6B">
        <w:rPr>
          <w:rFonts w:eastAsia="Calibri" w:cs="Times New Roman"/>
        </w:rPr>
        <w:t xml:space="preserve"> </w:t>
      </w:r>
      <w:r w:rsidR="00794EAB" w:rsidRPr="00537A6B">
        <w:rPr>
          <w:rFonts w:eastAsia="Calibri" w:cs="Times New Roman"/>
        </w:rPr>
        <w:t xml:space="preserve">A földrajzi bontásos táblák </w:t>
      </w:r>
      <w:r w:rsidR="00794EAB" w:rsidRPr="00537A6B">
        <w:rPr>
          <w:rFonts w:eastAsia="Calibri" w:cs="Times New Roman"/>
          <w:b/>
        </w:rPr>
        <w:t>„z”</w:t>
      </w:r>
      <w:r w:rsidR="00794EAB" w:rsidRPr="00537A6B">
        <w:rPr>
          <w:rFonts w:eastAsia="Calibri" w:cs="Times New Roman"/>
        </w:rPr>
        <w:t xml:space="preserve"> tengelye technikailag hogyan lesz megoldva? – ez a fejlesztések miatt fontos információ lenne. </w:t>
      </w:r>
    </w:p>
    <w:p w:rsidR="006B0B68" w:rsidRPr="00537A6B" w:rsidRDefault="006B0B68" w:rsidP="006B0B68">
      <w:pPr>
        <w:pStyle w:val="ListParagraph"/>
        <w:spacing w:after="0"/>
        <w:ind w:left="426"/>
        <w:jc w:val="both"/>
        <w:rPr>
          <w:rFonts w:eastAsia="Calibri" w:cs="Times New Roman"/>
        </w:rPr>
      </w:pPr>
    </w:p>
    <w:p w:rsidR="00794EAB" w:rsidRPr="006E4356" w:rsidRDefault="00794EAB" w:rsidP="00794EAB">
      <w:pPr>
        <w:pStyle w:val="ListParagraph"/>
        <w:spacing w:after="0"/>
        <w:ind w:left="426"/>
        <w:jc w:val="both"/>
        <w:rPr>
          <w:rFonts w:eastAsia="Calibri" w:cs="Times New Roman"/>
        </w:rPr>
      </w:pPr>
      <w:r w:rsidRPr="006E4356">
        <w:rPr>
          <w:rFonts w:eastAsia="Calibri" w:cs="Times New Roman"/>
          <w:b/>
          <w:u w:val="single"/>
        </w:rPr>
        <w:t>Válasz</w:t>
      </w:r>
      <w:r w:rsidRPr="006E4356">
        <w:rPr>
          <w:rFonts w:eastAsia="Calibri" w:cs="Times New Roman"/>
        </w:rPr>
        <w:t>: Az ún. „z” tengelyek - ahogy azok az ITS táblaképekben szerepelnek - nem állíthatók elő a KAP programban. Ehelyett valószínűleg ismétlőblokkos táblaképek fognak szerepelni, ahol a különböző blokkok tartalmazzák a különböző országokat és az ismétlőblokkok egymás alá másolásával az adatszolgáltat</w:t>
      </w:r>
      <w:r w:rsidR="00543AC6" w:rsidRPr="006E4356">
        <w:rPr>
          <w:rFonts w:eastAsia="Calibri" w:cs="Times New Roman"/>
        </w:rPr>
        <w:t>ó saját maga határozhatja meg a jelentendő</w:t>
      </w:r>
      <w:r w:rsidRPr="006E4356">
        <w:rPr>
          <w:rFonts w:eastAsia="Calibri" w:cs="Times New Roman"/>
        </w:rPr>
        <w:t xml:space="preserve"> országok számát. </w:t>
      </w:r>
    </w:p>
    <w:p w:rsidR="00627C71" w:rsidRPr="006E4356" w:rsidRDefault="00627C71" w:rsidP="00794EAB">
      <w:pPr>
        <w:pStyle w:val="ListParagraph"/>
        <w:spacing w:after="0"/>
        <w:ind w:left="426"/>
        <w:jc w:val="both"/>
        <w:rPr>
          <w:rFonts w:eastAsia="Calibri" w:cs="Times New Roman"/>
        </w:rPr>
      </w:pPr>
    </w:p>
    <w:p w:rsidR="006B0B68" w:rsidRDefault="004679DA" w:rsidP="006B0B68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eastAsia="Calibri" w:cs="Times New Roman"/>
        </w:rPr>
      </w:pPr>
      <w:r w:rsidRPr="00537A6B">
        <w:rPr>
          <w:rFonts w:eastAsia="Calibri" w:cs="Times New Roman"/>
          <w:b/>
          <w:u w:val="single"/>
        </w:rPr>
        <w:t>Kérdés:</w:t>
      </w:r>
      <w:r w:rsidRPr="00537A6B">
        <w:rPr>
          <w:rFonts w:eastAsia="Calibri" w:cs="Times New Roman"/>
        </w:rPr>
        <w:t xml:space="preserve"> </w:t>
      </w:r>
      <w:r w:rsidR="001A5BD1">
        <w:rPr>
          <w:rFonts w:eastAsia="Calibri" w:cs="Times New Roman"/>
        </w:rPr>
        <w:t>Várható-e, ha igen m</w:t>
      </w:r>
      <w:r w:rsidR="00D63AC1" w:rsidRPr="00537A6B">
        <w:rPr>
          <w:rFonts w:cstheme="minorHAnsi"/>
        </w:rPr>
        <w:t xml:space="preserve">ikor </w:t>
      </w:r>
      <w:r w:rsidR="001A5BD1">
        <w:rPr>
          <w:rFonts w:cstheme="minorHAnsi"/>
        </w:rPr>
        <w:t xml:space="preserve">az ITS-hez kapcsolódóan az egyes bankcsoportokra </w:t>
      </w:r>
      <w:r w:rsidR="00794EAB" w:rsidRPr="00537A6B">
        <w:rPr>
          <w:rFonts w:cstheme="minorHAnsi"/>
        </w:rPr>
        <w:t xml:space="preserve">az összevont felügyeleti kör </w:t>
      </w:r>
      <w:r w:rsidR="001A5BD1">
        <w:rPr>
          <w:rFonts w:cstheme="minorHAnsi"/>
        </w:rPr>
        <w:t>meghatározása</w:t>
      </w:r>
      <w:r w:rsidR="001A5BD1" w:rsidRPr="00537A6B">
        <w:rPr>
          <w:rFonts w:cstheme="minorHAnsi"/>
        </w:rPr>
        <w:t xml:space="preserve"> </w:t>
      </w:r>
      <w:r w:rsidR="00D63AC1">
        <w:rPr>
          <w:rFonts w:cstheme="minorHAnsi"/>
        </w:rPr>
        <w:t>az</w:t>
      </w:r>
      <w:r w:rsidR="00D63AC1" w:rsidRPr="00537A6B">
        <w:rPr>
          <w:rFonts w:cstheme="minorHAnsi"/>
        </w:rPr>
        <w:t xml:space="preserve"> </w:t>
      </w:r>
      <w:r w:rsidR="00794EAB" w:rsidRPr="00537A6B">
        <w:rPr>
          <w:rFonts w:cstheme="minorHAnsi"/>
        </w:rPr>
        <w:t xml:space="preserve">MNB részéről? </w:t>
      </w:r>
      <w:r w:rsidR="000C15E2" w:rsidRPr="00537A6B">
        <w:rPr>
          <w:rFonts w:cstheme="minorHAnsi"/>
        </w:rPr>
        <w:t>Lesz-e bármilyen változás az összevont felügyeleti körbe sorolt entitások tekintetében?</w:t>
      </w:r>
    </w:p>
    <w:p w:rsidR="00794EAB" w:rsidRPr="006B0B68" w:rsidRDefault="00794EAB" w:rsidP="006B0B68">
      <w:pPr>
        <w:ind w:left="66"/>
        <w:jc w:val="both"/>
        <w:rPr>
          <w:sz w:val="24"/>
          <w:szCs w:val="24"/>
        </w:rPr>
      </w:pPr>
    </w:p>
    <w:p w:rsidR="00794EAB" w:rsidRPr="005D7BA2" w:rsidRDefault="00794EAB" w:rsidP="00794EAB">
      <w:pPr>
        <w:ind w:left="426"/>
        <w:jc w:val="both"/>
        <w:rPr>
          <w:rFonts w:asciiTheme="minorHAnsi" w:hAnsiTheme="minorHAnsi" w:cstheme="minorHAnsi"/>
        </w:rPr>
      </w:pPr>
      <w:r w:rsidRPr="005D7BA2">
        <w:rPr>
          <w:rFonts w:asciiTheme="minorHAnsi" w:hAnsiTheme="minorHAnsi" w:cstheme="minorHAnsi"/>
          <w:b/>
          <w:u w:val="single"/>
        </w:rPr>
        <w:t>Válasz</w:t>
      </w:r>
      <w:r w:rsidRPr="005D7BA2">
        <w:rPr>
          <w:rFonts w:asciiTheme="minorHAnsi" w:hAnsiTheme="minorHAnsi" w:cstheme="minorHAnsi"/>
        </w:rPr>
        <w:t xml:space="preserve">: </w:t>
      </w:r>
      <w:r w:rsidR="00812974">
        <w:rPr>
          <w:rFonts w:asciiTheme="minorHAnsi" w:hAnsiTheme="minorHAnsi" w:cstheme="minorHAnsi"/>
        </w:rPr>
        <w:t xml:space="preserve">A kérdés </w:t>
      </w:r>
      <w:r w:rsidR="00FB0317">
        <w:rPr>
          <w:rFonts w:asciiTheme="minorHAnsi" w:hAnsiTheme="minorHAnsi" w:cstheme="minorHAnsi"/>
        </w:rPr>
        <w:t xml:space="preserve">nem tartozik </w:t>
      </w:r>
      <w:r w:rsidR="00812974">
        <w:rPr>
          <w:rFonts w:asciiTheme="minorHAnsi" w:hAnsiTheme="minorHAnsi" w:cstheme="minorHAnsi"/>
        </w:rPr>
        <w:t>a Felügyeleti statisztikai önálló osztály hatásköré</w:t>
      </w:r>
      <w:r w:rsidR="00FB0317">
        <w:rPr>
          <w:rFonts w:asciiTheme="minorHAnsi" w:hAnsiTheme="minorHAnsi" w:cstheme="minorHAnsi"/>
        </w:rPr>
        <w:t>be</w:t>
      </w:r>
      <w:r w:rsidR="00812974">
        <w:rPr>
          <w:rFonts w:asciiTheme="minorHAnsi" w:hAnsiTheme="minorHAnsi" w:cstheme="minorHAnsi"/>
        </w:rPr>
        <w:t>, mivel</w:t>
      </w:r>
      <w:r w:rsidR="00812974" w:rsidRPr="005D7BA2">
        <w:rPr>
          <w:rFonts w:asciiTheme="minorHAnsi" w:hAnsiTheme="minorHAnsi" w:cstheme="minorHAnsi"/>
        </w:rPr>
        <w:t xml:space="preserve"> </w:t>
      </w:r>
      <w:r w:rsidR="00812974">
        <w:rPr>
          <w:rFonts w:asciiTheme="minorHAnsi" w:hAnsiTheme="minorHAnsi" w:cstheme="minorHAnsi"/>
        </w:rPr>
        <w:t xml:space="preserve">nem az </w:t>
      </w:r>
      <w:r w:rsidRPr="005D7BA2">
        <w:rPr>
          <w:rFonts w:asciiTheme="minorHAnsi" w:hAnsiTheme="minorHAnsi" w:cstheme="minorHAnsi"/>
        </w:rPr>
        <w:t>adatszolgáltatás</w:t>
      </w:r>
      <w:r w:rsidR="00812974">
        <w:rPr>
          <w:rFonts w:asciiTheme="minorHAnsi" w:hAnsiTheme="minorHAnsi" w:cstheme="minorHAnsi"/>
        </w:rPr>
        <w:t xml:space="preserve">ra vonatkozik, megválaszolása </w:t>
      </w:r>
      <w:r w:rsidRPr="005D7BA2">
        <w:rPr>
          <w:rFonts w:asciiTheme="minorHAnsi" w:hAnsiTheme="minorHAnsi" w:cstheme="minorHAnsi"/>
        </w:rPr>
        <w:t>a felügyeleti terület hatáskör</w:t>
      </w:r>
      <w:r w:rsidR="00FB0317">
        <w:rPr>
          <w:rFonts w:asciiTheme="minorHAnsi" w:hAnsiTheme="minorHAnsi" w:cstheme="minorHAnsi"/>
        </w:rPr>
        <w:t>e.</w:t>
      </w:r>
      <w:r w:rsidRPr="00B60B18">
        <w:rPr>
          <w:rFonts w:asciiTheme="minorHAnsi" w:hAnsiTheme="minorHAnsi" w:cstheme="minorHAnsi"/>
        </w:rPr>
        <w:t xml:space="preserve"> Az összevont felügyeleti kör a CRR hatálya alá tartozó intézményeket jelenti</w:t>
      </w:r>
      <w:r w:rsidR="00BB09B2" w:rsidRPr="00B60B18">
        <w:rPr>
          <w:rFonts w:asciiTheme="minorHAnsi" w:hAnsiTheme="minorHAnsi" w:cstheme="minorHAnsi"/>
        </w:rPr>
        <w:t xml:space="preserve">, </w:t>
      </w:r>
      <w:r w:rsidR="00BB09B2" w:rsidRPr="00B60B18">
        <w:rPr>
          <w:rFonts w:cstheme="minorHAnsi"/>
        </w:rPr>
        <w:t>valamint azon intézményeket, melyeket a CRR-ben és a Hpt.-ben is előírt szoros kapcsolat alapján ide sorolhatónak tekintünk</w:t>
      </w:r>
      <w:r w:rsidRPr="00B60B18">
        <w:rPr>
          <w:rFonts w:asciiTheme="minorHAnsi" w:hAnsiTheme="minorHAnsi" w:cstheme="minorHAnsi"/>
        </w:rPr>
        <w:t>.</w:t>
      </w:r>
      <w:r w:rsidRPr="005D7BA2">
        <w:rPr>
          <w:rFonts w:asciiTheme="minorHAnsi" w:hAnsiTheme="minorHAnsi" w:cstheme="minorHAnsi"/>
        </w:rPr>
        <w:t xml:space="preserve"> </w:t>
      </w:r>
    </w:p>
    <w:p w:rsidR="00794EAB" w:rsidRPr="005D7BA2" w:rsidRDefault="00BE3D63" w:rsidP="00794EAB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kérdést továbbítottu</w:t>
      </w:r>
      <w:r w:rsidR="00B7153D">
        <w:rPr>
          <w:rFonts w:asciiTheme="minorHAnsi" w:hAnsiTheme="minorHAnsi" w:cstheme="minorHAnsi"/>
        </w:rPr>
        <w:t>k a Komplex pénzügyi csoportok</w:t>
      </w:r>
      <w:r>
        <w:rPr>
          <w:rFonts w:asciiTheme="minorHAnsi" w:hAnsiTheme="minorHAnsi" w:cstheme="minorHAnsi"/>
        </w:rPr>
        <w:t xml:space="preserve"> főosztály</w:t>
      </w:r>
      <w:r w:rsidR="00B7153D">
        <w:rPr>
          <w:rFonts w:asciiTheme="minorHAnsi" w:hAnsiTheme="minorHAnsi" w:cstheme="minorHAnsi"/>
        </w:rPr>
        <w:t>á</w:t>
      </w:r>
      <w:r>
        <w:rPr>
          <w:rFonts w:asciiTheme="minorHAnsi" w:hAnsiTheme="minorHAnsi" w:cstheme="minorHAnsi"/>
        </w:rPr>
        <w:t>nak</w:t>
      </w:r>
      <w:r w:rsidR="00812974">
        <w:rPr>
          <w:rFonts w:asciiTheme="minorHAnsi" w:hAnsiTheme="minorHAnsi" w:cstheme="minorHAnsi"/>
        </w:rPr>
        <w:t>.</w:t>
      </w:r>
    </w:p>
    <w:p w:rsidR="00794EAB" w:rsidRPr="005D7BA2" w:rsidRDefault="00794EAB" w:rsidP="00794EAB">
      <w:pPr>
        <w:pStyle w:val="ListParagraph"/>
        <w:ind w:left="426"/>
        <w:jc w:val="both"/>
        <w:rPr>
          <w:sz w:val="24"/>
          <w:szCs w:val="24"/>
        </w:rPr>
      </w:pPr>
    </w:p>
    <w:p w:rsidR="006B0B68" w:rsidRDefault="004679DA" w:rsidP="006B0B68">
      <w:pPr>
        <w:pStyle w:val="ListParagraph"/>
        <w:numPr>
          <w:ilvl w:val="0"/>
          <w:numId w:val="19"/>
        </w:numPr>
        <w:spacing w:after="0"/>
        <w:ind w:left="426"/>
        <w:jc w:val="both"/>
        <w:rPr>
          <w:rFonts w:eastAsia="Calibri" w:cs="Times New Roman"/>
        </w:rPr>
      </w:pPr>
      <w:r w:rsidRPr="00537A6B">
        <w:rPr>
          <w:rFonts w:eastAsia="Calibri" w:cs="Times New Roman"/>
          <w:b/>
          <w:u w:val="single"/>
        </w:rPr>
        <w:t>Kérdés:</w:t>
      </w:r>
      <w:r w:rsidRPr="00537A6B">
        <w:rPr>
          <w:rFonts w:eastAsia="Calibri" w:cs="Times New Roman"/>
        </w:rPr>
        <w:t xml:space="preserve"> </w:t>
      </w:r>
      <w:r w:rsidR="00794EAB" w:rsidRPr="00537A6B">
        <w:rPr>
          <w:rFonts w:cstheme="minorHAnsi"/>
        </w:rPr>
        <w:t>A</w:t>
      </w:r>
      <w:bookmarkStart w:id="0" w:name="_GoBack"/>
      <w:bookmarkEnd w:id="0"/>
      <w:r w:rsidR="00794EAB" w:rsidRPr="00537A6B">
        <w:rPr>
          <w:rFonts w:cstheme="minorHAnsi"/>
        </w:rPr>
        <w:t xml:space="preserve"> FINREP első (2014. III. negyedévre vonatkozó) elkészítése előtt a jelenlegi </w:t>
      </w:r>
      <w:r w:rsidR="00794EAB" w:rsidRPr="00537A6B">
        <w:rPr>
          <w:rFonts w:cstheme="minorHAnsi"/>
          <w:b/>
        </w:rPr>
        <w:t xml:space="preserve">HAR </w:t>
      </w:r>
      <w:r w:rsidR="00794EAB" w:rsidRPr="00537A6B">
        <w:rPr>
          <w:rFonts w:cstheme="minorHAnsi"/>
        </w:rPr>
        <w:t xml:space="preserve">alapú összevont felügyeleti jelentéseket kell 2014. I-II. negyedévekre vonatkozóan teljesíteni. Kérdésünk lenne, hogy ugyanez a </w:t>
      </w:r>
      <w:r w:rsidR="00794EAB" w:rsidRPr="00537A6B">
        <w:rPr>
          <w:rFonts w:cstheme="minorHAnsi"/>
          <w:b/>
        </w:rPr>
        <w:t>HAR</w:t>
      </w:r>
      <w:r w:rsidR="00794EAB" w:rsidRPr="00537A6B">
        <w:rPr>
          <w:rFonts w:cstheme="minorHAnsi"/>
        </w:rPr>
        <w:t xml:space="preserve"> konszolidált beszámoló lesz az alapja a 2014. I. negyedévtől induló (konszolidált) COREP, illetve likviditás csomagoknak is? </w:t>
      </w:r>
    </w:p>
    <w:p w:rsidR="00794EAB" w:rsidRPr="006B0B68" w:rsidRDefault="00794EAB" w:rsidP="006B0B68">
      <w:pPr>
        <w:ind w:left="66"/>
        <w:jc w:val="both"/>
        <w:rPr>
          <w:sz w:val="24"/>
          <w:szCs w:val="24"/>
        </w:rPr>
      </w:pPr>
    </w:p>
    <w:p w:rsidR="005503F7" w:rsidRDefault="00794EAB">
      <w:pPr>
        <w:pStyle w:val="CM11"/>
        <w:spacing w:before="200" w:after="200"/>
        <w:ind w:left="426"/>
        <w:jc w:val="both"/>
        <w:rPr>
          <w:rFonts w:asciiTheme="minorHAnsi" w:hAnsiTheme="minorHAnsi"/>
          <w:sz w:val="22"/>
          <w:szCs w:val="22"/>
        </w:rPr>
      </w:pPr>
      <w:r w:rsidRPr="005D7BA2">
        <w:rPr>
          <w:rFonts w:asciiTheme="minorHAnsi" w:hAnsiTheme="minorHAnsi" w:cstheme="minorHAnsi"/>
          <w:b/>
          <w:sz w:val="22"/>
          <w:szCs w:val="22"/>
          <w:u w:val="single"/>
        </w:rPr>
        <w:t>Válasz:</w:t>
      </w:r>
      <w:r w:rsidRPr="005D7BA2">
        <w:rPr>
          <w:rFonts w:asciiTheme="minorHAnsi" w:hAnsiTheme="minorHAnsi" w:cstheme="minorHAnsi"/>
          <w:sz w:val="22"/>
          <w:szCs w:val="22"/>
        </w:rPr>
        <w:t xml:space="preserve"> Nem. A 2014. január 1-től teljesítendő, az adatszolgáltatási ITS-ben előírt adatszolgáltatás számviteli alapját a CRR definiálja. A CRR 24. cikk (1) bekezdése szerint az eszközök és a mérlegen kívüli tételek értékelését az alkalmazandó számviteli szabályozással összhangban kell elvégezni, ahol az </w:t>
      </w:r>
      <w:r w:rsidRPr="005D7BA2">
        <w:rPr>
          <w:rFonts w:asciiTheme="minorHAnsi" w:hAnsiTheme="minorHAnsi" w:cs="EUAlbertina"/>
          <w:sz w:val="22"/>
          <w:szCs w:val="22"/>
        </w:rPr>
        <w:t xml:space="preserve">alkalmazandó számviteli szabályozás: azok a számviteli </w:t>
      </w:r>
      <w:r w:rsidRPr="009E50E0">
        <w:rPr>
          <w:rFonts w:asciiTheme="minorHAnsi" w:hAnsiTheme="minorHAnsi" w:cs="EUAlbertina"/>
          <w:sz w:val="22"/>
          <w:szCs w:val="22"/>
        </w:rPr>
        <w:t xml:space="preserve">szabályok, amelyek az 1606/2002/EK rendelet értelmében, vagy a 86/635/EGK tanácsi irányelv értelmében az intézményre alkalmazandók. </w:t>
      </w:r>
      <w:r w:rsidRPr="005D7BA2">
        <w:rPr>
          <w:rFonts w:asciiTheme="minorHAnsi" w:hAnsiTheme="minorHAnsi"/>
          <w:sz w:val="22"/>
          <w:szCs w:val="22"/>
        </w:rPr>
        <w:t>Ezek alapján:</w:t>
      </w:r>
    </w:p>
    <w:p w:rsidR="00794EAB" w:rsidRPr="005D7BA2" w:rsidRDefault="00794EAB" w:rsidP="009E50E0">
      <w:pPr>
        <w:pStyle w:val="Default"/>
        <w:numPr>
          <w:ilvl w:val="0"/>
          <w:numId w:val="17"/>
        </w:numPr>
        <w:ind w:left="426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D7BA2">
        <w:rPr>
          <w:rFonts w:asciiTheme="minorHAnsi" w:hAnsiTheme="minorHAnsi"/>
          <w:color w:val="auto"/>
          <w:sz w:val="22"/>
          <w:szCs w:val="22"/>
        </w:rPr>
        <w:t xml:space="preserve">a tőzsdei, vagy tőzsdei kibocsátó társaságok, amelyek az 1606/2002/EK rendelet 4. cikke alapján a konszolidált beszámolójukat jelenleg is IFRS alapon kötelesek készíteni, valamint azok a </w:t>
      </w:r>
      <w:r w:rsidRPr="005D7BA2">
        <w:rPr>
          <w:rFonts w:asciiTheme="minorHAnsi" w:hAnsiTheme="minorHAnsi"/>
          <w:color w:val="auto"/>
          <w:sz w:val="22"/>
          <w:szCs w:val="22"/>
        </w:rPr>
        <w:lastRenderedPageBreak/>
        <w:t xml:space="preserve">társaságok, amelyek (az 1606/2002/EK rendelet 5. cikke és az Szmt. 10. § (3) alapján) az IFRS alapú konszolidált beszámoló készítését választották, a konszolidált jelentéseiket (pl. COREP, likviditás, stb.) IFRS alapon kötelesek elkészíteni. </w:t>
      </w:r>
    </w:p>
    <w:p w:rsidR="00794EAB" w:rsidRPr="005D7BA2" w:rsidRDefault="00794EAB" w:rsidP="009E50E0">
      <w:pPr>
        <w:pStyle w:val="Default"/>
        <w:numPr>
          <w:ilvl w:val="0"/>
          <w:numId w:val="17"/>
        </w:numPr>
        <w:ind w:left="426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D7BA2">
        <w:rPr>
          <w:rFonts w:asciiTheme="minorHAnsi" w:hAnsiTheme="minorHAnsi"/>
          <w:color w:val="auto"/>
          <w:sz w:val="22"/>
          <w:szCs w:val="22"/>
        </w:rPr>
        <w:t>a többi bankcsoport a konszolidált jelentést (pl. COREP, likviditás, stb.) továbbra is magyar számviteli alapon köteles készíteni</w:t>
      </w:r>
      <w:r w:rsidR="006E060C">
        <w:rPr>
          <w:rFonts w:asciiTheme="minorHAnsi" w:hAnsiTheme="minorHAnsi"/>
          <w:color w:val="auto"/>
          <w:sz w:val="22"/>
          <w:szCs w:val="22"/>
        </w:rPr>
        <w:t>.</w:t>
      </w:r>
    </w:p>
    <w:p w:rsidR="00794EAB" w:rsidRPr="005D7BA2" w:rsidRDefault="00794EAB" w:rsidP="009E50E0">
      <w:pPr>
        <w:pStyle w:val="Default"/>
        <w:numPr>
          <w:ilvl w:val="0"/>
          <w:numId w:val="17"/>
        </w:numPr>
        <w:ind w:left="426" w:firstLine="0"/>
        <w:jc w:val="both"/>
        <w:rPr>
          <w:rFonts w:asciiTheme="minorHAnsi" w:hAnsiTheme="minorHAnsi"/>
          <w:color w:val="auto"/>
          <w:sz w:val="22"/>
          <w:szCs w:val="22"/>
        </w:rPr>
      </w:pPr>
      <w:r w:rsidRPr="005D7BA2">
        <w:rPr>
          <w:rFonts w:asciiTheme="minorHAnsi" w:hAnsiTheme="minorHAnsi"/>
          <w:color w:val="auto"/>
          <w:sz w:val="22"/>
          <w:szCs w:val="22"/>
        </w:rPr>
        <w:t>Mivel Magyarországon egyedi szinten az IFRS alkalmazása nem megengedett, ezért az egyedi szintű ITS adatszolgáltatásokat minden intézménynek továbbra is a magyar számviteli alapon kell teljesítenie.</w:t>
      </w:r>
    </w:p>
    <w:p w:rsidR="00794EAB" w:rsidRDefault="00794EAB" w:rsidP="00794EAB">
      <w:pPr>
        <w:pStyle w:val="Default"/>
        <w:ind w:left="1080"/>
        <w:rPr>
          <w:rFonts w:asciiTheme="minorHAnsi" w:hAnsiTheme="minorHAnsi"/>
        </w:rPr>
      </w:pPr>
    </w:p>
    <w:p w:rsidR="00FF746C" w:rsidRPr="00FF746C" w:rsidRDefault="00FF746C" w:rsidP="00FF746C">
      <w:pPr>
        <w:pStyle w:val="PlainText"/>
        <w:numPr>
          <w:ilvl w:val="0"/>
          <w:numId w:val="19"/>
        </w:numPr>
        <w:ind w:left="426"/>
        <w:rPr>
          <w:rFonts w:asciiTheme="minorHAnsi" w:hAnsiTheme="minorHAnsi"/>
          <w:sz w:val="22"/>
          <w:szCs w:val="22"/>
        </w:rPr>
      </w:pPr>
      <w:r w:rsidRPr="00FF746C">
        <w:rPr>
          <w:rFonts w:asciiTheme="minorHAnsi" w:hAnsiTheme="minorHAnsi"/>
          <w:b/>
          <w:sz w:val="22"/>
          <w:szCs w:val="22"/>
          <w:u w:val="single"/>
        </w:rPr>
        <w:t>Kérdés</w:t>
      </w:r>
      <w:r w:rsidRPr="00FF746C">
        <w:rPr>
          <w:rFonts w:asciiTheme="minorHAnsi" w:hAnsiTheme="minorHAnsi"/>
          <w:sz w:val="22"/>
          <w:szCs w:val="22"/>
        </w:rPr>
        <w:t>: Átmeneti rendelkezések 465 cikktől:</w:t>
      </w:r>
    </w:p>
    <w:p w:rsidR="00FF746C" w:rsidRPr="00FF746C" w:rsidRDefault="00FF746C" w:rsidP="009524C3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FF746C">
        <w:rPr>
          <w:rFonts w:asciiTheme="minorHAnsi" w:hAnsiTheme="minorHAnsi"/>
          <w:sz w:val="22"/>
          <w:szCs w:val="22"/>
        </w:rPr>
        <w:t>Az átmeneti rendelkezések sok esetben az illetékes hatóságok feladatkörében helyezik, hogy meghatározzanak és közzétegyenek akár bizonyos %-os korlátok közötti felhasználhatóságot.</w:t>
      </w:r>
    </w:p>
    <w:p w:rsidR="00FF746C" w:rsidRPr="00FF746C" w:rsidRDefault="00FF746C" w:rsidP="009524C3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FF746C">
        <w:rPr>
          <w:rFonts w:asciiTheme="minorHAnsi" w:hAnsiTheme="minorHAnsi"/>
          <w:sz w:val="22"/>
          <w:szCs w:val="22"/>
        </w:rPr>
        <w:t>A kérdésünk az lenne, hogy mikorra várhatók az illetékes hatóság ezen meghatározásai? (a tervezés, fejlesztések szempontjából fontos lenne).</w:t>
      </w:r>
      <w:r w:rsidR="00812E72">
        <w:rPr>
          <w:rFonts w:asciiTheme="minorHAnsi" w:hAnsiTheme="minorHAnsi"/>
          <w:sz w:val="22"/>
          <w:szCs w:val="22"/>
        </w:rPr>
        <w:t xml:space="preserve"> </w:t>
      </w:r>
    </w:p>
    <w:p w:rsidR="00FF746C" w:rsidRPr="00FF746C" w:rsidRDefault="00FF746C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FF746C" w:rsidRPr="005D7BA2" w:rsidRDefault="00FF746C" w:rsidP="00E71841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5D7BA2">
        <w:rPr>
          <w:rFonts w:asciiTheme="minorHAnsi" w:hAnsiTheme="minorHAnsi"/>
          <w:b/>
          <w:sz w:val="22"/>
          <w:szCs w:val="22"/>
          <w:u w:val="single"/>
        </w:rPr>
        <w:t>Válasz:</w:t>
      </w:r>
      <w:r w:rsidRPr="005D7BA2">
        <w:rPr>
          <w:rFonts w:asciiTheme="minorHAnsi" w:hAnsiTheme="minorHAnsi"/>
          <w:sz w:val="22"/>
          <w:szCs w:val="22"/>
        </w:rPr>
        <w:t xml:space="preserve"> </w:t>
      </w:r>
      <w:r w:rsidR="005D7BA2" w:rsidRPr="00CF58E0">
        <w:rPr>
          <w:rFonts w:asciiTheme="minorHAnsi" w:hAnsiTheme="minorHAnsi"/>
          <w:sz w:val="22"/>
          <w:szCs w:val="22"/>
        </w:rPr>
        <w:t xml:space="preserve">A kérdés nem tartozik </w:t>
      </w:r>
      <w:r w:rsidR="004E19D7" w:rsidRPr="00CF58E0">
        <w:rPr>
          <w:rFonts w:asciiTheme="minorHAnsi" w:hAnsiTheme="minorHAnsi" w:cstheme="minorHAnsi"/>
          <w:sz w:val="22"/>
          <w:szCs w:val="22"/>
        </w:rPr>
        <w:t>a Felügyeleti statisztikai önálló osztály hatáskörébe</w:t>
      </w:r>
      <w:r w:rsidR="005D7BA2" w:rsidRPr="00CF58E0">
        <w:rPr>
          <w:rFonts w:asciiTheme="minorHAnsi" w:hAnsiTheme="minorHAnsi"/>
          <w:sz w:val="22"/>
          <w:szCs w:val="22"/>
        </w:rPr>
        <w:t xml:space="preserve">, ezért továbbítottuk a Mikroprudenciális szabályozási </w:t>
      </w:r>
      <w:r w:rsidR="00D35248" w:rsidRPr="00CF58E0">
        <w:rPr>
          <w:rFonts w:asciiTheme="minorHAnsi" w:hAnsiTheme="minorHAnsi"/>
          <w:sz w:val="22"/>
          <w:szCs w:val="22"/>
        </w:rPr>
        <w:t>igazgatóságnak</w:t>
      </w:r>
      <w:r w:rsidR="004E19D7" w:rsidRPr="00CF58E0">
        <w:rPr>
          <w:rFonts w:asciiTheme="minorHAnsi" w:hAnsiTheme="minorHAnsi"/>
          <w:sz w:val="22"/>
          <w:szCs w:val="22"/>
        </w:rPr>
        <w:t>.</w:t>
      </w:r>
    </w:p>
    <w:p w:rsidR="00FF746C" w:rsidRPr="00FF746C" w:rsidRDefault="00FF746C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FF746C" w:rsidRPr="00FF746C" w:rsidRDefault="00FF746C" w:rsidP="00FF746C">
      <w:pPr>
        <w:pStyle w:val="PlainText"/>
        <w:numPr>
          <w:ilvl w:val="0"/>
          <w:numId w:val="19"/>
        </w:numPr>
        <w:ind w:left="426"/>
        <w:rPr>
          <w:rFonts w:asciiTheme="minorHAnsi" w:hAnsiTheme="minorHAnsi"/>
          <w:sz w:val="22"/>
          <w:szCs w:val="22"/>
        </w:rPr>
      </w:pPr>
      <w:r w:rsidRPr="00FF746C">
        <w:rPr>
          <w:rFonts w:asciiTheme="minorHAnsi" w:hAnsiTheme="minorHAnsi"/>
          <w:b/>
          <w:sz w:val="22"/>
          <w:szCs w:val="22"/>
          <w:u w:val="single"/>
        </w:rPr>
        <w:t>Kérdés</w:t>
      </w:r>
      <w:r w:rsidRPr="00FF746C">
        <w:rPr>
          <w:rFonts w:asciiTheme="minorHAnsi" w:hAnsiTheme="minorHAnsi"/>
          <w:sz w:val="22"/>
          <w:szCs w:val="22"/>
        </w:rPr>
        <w:t>: Végleges ITS-ek:</w:t>
      </w:r>
    </w:p>
    <w:p w:rsidR="00FF746C" w:rsidRPr="00FF746C" w:rsidRDefault="00FF746C" w:rsidP="009524C3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FF746C">
        <w:rPr>
          <w:rFonts w:asciiTheme="minorHAnsi" w:hAnsiTheme="minorHAnsi"/>
          <w:sz w:val="22"/>
          <w:szCs w:val="22"/>
        </w:rPr>
        <w:t>A fejlesztés, értelmezés szempontjából fontosnak tartjuk, hogy az ITS-ek minél hamarabb végleges formát öltsenek, és magyarul is elérhetők legyenek. A kérdésünk az, hogy tervezetten ez mikorra várható?</w:t>
      </w:r>
      <w:r w:rsidR="00812E72">
        <w:rPr>
          <w:rFonts w:asciiTheme="minorHAnsi" w:hAnsiTheme="minorHAnsi"/>
          <w:sz w:val="22"/>
          <w:szCs w:val="22"/>
        </w:rPr>
        <w:t xml:space="preserve"> </w:t>
      </w:r>
    </w:p>
    <w:p w:rsidR="00FF746C" w:rsidRPr="00FF746C" w:rsidRDefault="00FF746C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FF746C" w:rsidRDefault="00FF746C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  <w:r w:rsidRPr="006E4356">
        <w:rPr>
          <w:rFonts w:asciiTheme="minorHAnsi" w:hAnsiTheme="minorHAnsi"/>
          <w:b/>
          <w:sz w:val="22"/>
          <w:szCs w:val="22"/>
          <w:u w:val="single"/>
        </w:rPr>
        <w:t>Válasz:</w:t>
      </w:r>
      <w:r w:rsidRPr="006E4356">
        <w:rPr>
          <w:rFonts w:asciiTheme="minorHAnsi" w:hAnsiTheme="minorHAnsi"/>
          <w:sz w:val="22"/>
          <w:szCs w:val="22"/>
        </w:rPr>
        <w:t xml:space="preserve"> </w:t>
      </w:r>
      <w:r w:rsidR="0091041F" w:rsidRPr="006E4356">
        <w:rPr>
          <w:rFonts w:asciiTheme="minorHAnsi" w:hAnsiTheme="minorHAnsi"/>
          <w:sz w:val="22"/>
          <w:szCs w:val="22"/>
        </w:rPr>
        <w:t xml:space="preserve">Legutolsó információnk szerint még </w:t>
      </w:r>
      <w:r w:rsidR="006E060C">
        <w:rPr>
          <w:rFonts w:asciiTheme="minorHAnsi" w:hAnsiTheme="minorHAnsi"/>
          <w:sz w:val="22"/>
          <w:szCs w:val="22"/>
        </w:rPr>
        <w:t xml:space="preserve">2013. </w:t>
      </w:r>
      <w:r w:rsidR="0091041F" w:rsidRPr="006E4356">
        <w:rPr>
          <w:rFonts w:asciiTheme="minorHAnsi" w:hAnsiTheme="minorHAnsi"/>
          <w:sz w:val="22"/>
          <w:szCs w:val="22"/>
        </w:rPr>
        <w:t>decemberben.</w:t>
      </w:r>
    </w:p>
    <w:p w:rsidR="00AC6A2D" w:rsidRDefault="00AC6A2D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AC6A2D" w:rsidRPr="00AC6A2D" w:rsidRDefault="00AC6A2D" w:rsidP="00AC6A2D">
      <w:pPr>
        <w:pStyle w:val="PlainText"/>
        <w:numPr>
          <w:ilvl w:val="0"/>
          <w:numId w:val="1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AC6A2D">
        <w:rPr>
          <w:rFonts w:asciiTheme="minorHAnsi" w:hAnsiTheme="minorHAnsi"/>
          <w:b/>
          <w:sz w:val="22"/>
          <w:szCs w:val="22"/>
          <w:u w:val="single"/>
        </w:rPr>
        <w:t xml:space="preserve">Kérdés: </w:t>
      </w:r>
      <w:r w:rsidRPr="00AC6A2D">
        <w:rPr>
          <w:rFonts w:asciiTheme="minorHAnsi" w:hAnsiTheme="minorHAnsi"/>
          <w:sz w:val="22"/>
          <w:szCs w:val="22"/>
        </w:rPr>
        <w:t>Az 1606/2002 EK rendelet hatálya alá tartozó bankcsoportoknak (nyilvános társaságok és tőzsdei kibocsátók) 2014. első negyedévétől kezdődően a tőkeszámítás</w:t>
      </w:r>
      <w:r w:rsidR="00AA551E">
        <w:rPr>
          <w:rFonts w:asciiTheme="minorHAnsi" w:hAnsiTheme="minorHAnsi"/>
          <w:sz w:val="22"/>
          <w:szCs w:val="22"/>
        </w:rPr>
        <w:t>t bemutató</w:t>
      </w:r>
      <w:r w:rsidRPr="00AC6A2D">
        <w:rPr>
          <w:rFonts w:asciiTheme="minorHAnsi" w:hAnsiTheme="minorHAnsi"/>
          <w:sz w:val="22"/>
          <w:szCs w:val="22"/>
        </w:rPr>
        <w:t xml:space="preserve"> COREP jelentéseket IFRS alapon kell elkészíteni. A pénzügyi információkat tartalmazó FINREP jelentéseket, azonban csak 2014. III. negyedév végéről kell először elkészíteni. Lehetséges-e, hogy a pénzügyi információkat tartalmazó magyar számviteli előírásokon alapuló jelenlegi konszolidált adatszolgáltatást már az első két negyedévről nem kell beküldeni, tekintettel arra, hogy a Bank jelenleg is küldi az MNB felé a KRI mutatók számításához használt, a FINREP egy korábbi verziójának bizonyos tábláiból egy szűkített adattartamú jelentést.</w:t>
      </w:r>
    </w:p>
    <w:p w:rsidR="00AC6A2D" w:rsidRPr="001C55DD" w:rsidRDefault="00AC6A2D" w:rsidP="00AC6A2D">
      <w:pPr>
        <w:pStyle w:val="ListParagraph"/>
        <w:ind w:left="0"/>
        <w:jc w:val="both"/>
        <w:rPr>
          <w:rFonts w:asciiTheme="majorHAnsi" w:hAnsiTheme="majorHAnsi" w:cstheme="minorHAnsi"/>
        </w:rPr>
      </w:pPr>
    </w:p>
    <w:p w:rsidR="00AC6A2D" w:rsidRPr="00AC6A2D" w:rsidRDefault="00AC6A2D" w:rsidP="00AC6A2D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AC6A2D">
        <w:rPr>
          <w:rFonts w:asciiTheme="minorHAnsi" w:hAnsiTheme="minorHAnsi"/>
          <w:b/>
          <w:sz w:val="22"/>
          <w:szCs w:val="22"/>
          <w:u w:val="single"/>
        </w:rPr>
        <w:t>Válasz</w:t>
      </w:r>
      <w:r w:rsidRPr="00AC6A2D">
        <w:rPr>
          <w:rFonts w:asciiTheme="minorHAnsi" w:hAnsiTheme="minorHAnsi"/>
          <w:sz w:val="22"/>
          <w:szCs w:val="22"/>
        </w:rPr>
        <w:t>: Mivel a jelenlegi negyedéves konszolidált adatszolgáltatás adatai mind a felügyelői, mind pedig az elemzői negyedéves értékelések, elemzések alapját képezik, nem tudunk eltekinteni a magyar számvitelen alapuló, pénzügyi információkat tartalmazó</w:t>
      </w:r>
      <w:r w:rsidR="009E50E0">
        <w:rPr>
          <w:rFonts w:asciiTheme="minorHAnsi" w:hAnsiTheme="minorHAnsi"/>
          <w:sz w:val="22"/>
          <w:szCs w:val="22"/>
        </w:rPr>
        <w:t xml:space="preserve"> </w:t>
      </w:r>
      <w:r w:rsidR="00BC2990">
        <w:rPr>
          <w:rFonts w:asciiTheme="minorHAnsi" w:hAnsiTheme="minorHAnsi"/>
          <w:sz w:val="22"/>
          <w:szCs w:val="22"/>
        </w:rPr>
        <w:t>konszolidált</w:t>
      </w:r>
      <w:r w:rsidRPr="00AC6A2D">
        <w:rPr>
          <w:rFonts w:asciiTheme="minorHAnsi" w:hAnsiTheme="minorHAnsi"/>
          <w:sz w:val="22"/>
          <w:szCs w:val="22"/>
        </w:rPr>
        <w:t xml:space="preserve"> adatok 2014 első két negyedév végére vonatkozó beküldésétől.</w:t>
      </w:r>
    </w:p>
    <w:p w:rsidR="00AC6A2D" w:rsidRPr="006E4356" w:rsidRDefault="00AC6A2D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FF746C" w:rsidRPr="00537A6B" w:rsidRDefault="00FF746C" w:rsidP="00FF746C">
      <w:pPr>
        <w:pStyle w:val="Default"/>
        <w:ind w:left="1080"/>
        <w:rPr>
          <w:rFonts w:asciiTheme="minorHAnsi" w:hAnsiTheme="minorHAnsi"/>
        </w:rPr>
      </w:pPr>
    </w:p>
    <w:p w:rsidR="00794EAB" w:rsidRPr="00537A6B" w:rsidRDefault="00794EAB" w:rsidP="00A54621">
      <w:pPr>
        <w:pStyle w:val="ListParagraph"/>
        <w:numPr>
          <w:ilvl w:val="0"/>
          <w:numId w:val="20"/>
        </w:numPr>
        <w:ind w:left="709"/>
        <w:rPr>
          <w:b/>
          <w:sz w:val="24"/>
          <w:szCs w:val="24"/>
        </w:rPr>
      </w:pPr>
      <w:r w:rsidRPr="00537A6B">
        <w:rPr>
          <w:b/>
          <w:sz w:val="24"/>
          <w:szCs w:val="24"/>
        </w:rPr>
        <w:t xml:space="preserve">COREP </w:t>
      </w:r>
    </w:p>
    <w:p w:rsidR="00C53469" w:rsidRPr="00C53469" w:rsidRDefault="00C53469" w:rsidP="005503F7">
      <w:pPr>
        <w:pStyle w:val="PlainText"/>
        <w:numPr>
          <w:ilvl w:val="0"/>
          <w:numId w:val="30"/>
        </w:numPr>
        <w:ind w:left="284"/>
        <w:rPr>
          <w:rFonts w:asciiTheme="minorHAnsi" w:hAnsiTheme="minorHAnsi"/>
          <w:sz w:val="22"/>
          <w:szCs w:val="22"/>
        </w:rPr>
      </w:pPr>
      <w:r w:rsidRPr="00C53469">
        <w:rPr>
          <w:rFonts w:asciiTheme="minorHAnsi" w:hAnsiTheme="minorHAnsi"/>
          <w:b/>
          <w:sz w:val="22"/>
          <w:szCs w:val="22"/>
        </w:rPr>
        <w:t xml:space="preserve">Kérdés: </w:t>
      </w:r>
      <w:r w:rsidRPr="00C53469">
        <w:rPr>
          <w:rFonts w:asciiTheme="minorHAnsi" w:hAnsiTheme="minorHAnsi"/>
          <w:sz w:val="22"/>
          <w:szCs w:val="22"/>
        </w:rPr>
        <w:t>Ingatlan fedezeti veszteség:</w:t>
      </w:r>
    </w:p>
    <w:p w:rsidR="00C53469" w:rsidRPr="00C53469" w:rsidRDefault="00C53469" w:rsidP="009524C3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C53469">
        <w:rPr>
          <w:rFonts w:asciiTheme="minorHAnsi" w:hAnsiTheme="minorHAnsi"/>
          <w:sz w:val="22"/>
          <w:szCs w:val="22"/>
        </w:rPr>
        <w:t>Jól értjük-e, hogy mind lakó, mind kereskedelmi ingatlan fedezetek esetén Magyarországon ezentúl kizárólag a piaci érték alapján kell megállapítani a kedvezményes súlyozású hitelrészt (125. cikk (2)/d és 126. cikk (2)/d)? A hitelbiztosítéki érték meghatározására vonatkozó 54/1997. (VIII.1.) FM, és a 25/1997. (VIII.1.) PM rendeletek ugyanis csak a jelzálog-hitelintézetekre írják elő a módszertani elveket. Az egységes szabályozás jegyében a kockázati súlyozásnál így értelmezésünk szerint csak a piaci érték alkalmazható.</w:t>
      </w:r>
      <w:r w:rsidR="00812E72">
        <w:rPr>
          <w:rFonts w:asciiTheme="minorHAnsi" w:hAnsiTheme="minorHAnsi"/>
          <w:sz w:val="22"/>
          <w:szCs w:val="22"/>
        </w:rPr>
        <w:t xml:space="preserve"> </w:t>
      </w:r>
    </w:p>
    <w:p w:rsidR="00C53469" w:rsidRPr="00C53469" w:rsidRDefault="00C53469" w:rsidP="00C53469">
      <w:pPr>
        <w:pStyle w:val="PlainText"/>
        <w:ind w:left="426"/>
        <w:rPr>
          <w:rFonts w:asciiTheme="minorHAnsi" w:hAnsiTheme="minorHAnsi"/>
          <w:sz w:val="22"/>
          <w:szCs w:val="22"/>
        </w:rPr>
      </w:pPr>
      <w:r w:rsidRPr="00C53469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BF0C4A" w:rsidRPr="00D35248" w:rsidRDefault="00C53469" w:rsidP="009524C3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D35248">
        <w:rPr>
          <w:rFonts w:asciiTheme="minorHAnsi" w:hAnsiTheme="minorHAnsi"/>
          <w:b/>
          <w:sz w:val="22"/>
          <w:szCs w:val="22"/>
          <w:u w:val="single"/>
        </w:rPr>
        <w:t>Válasz:</w:t>
      </w:r>
      <w:r w:rsidRPr="00D35248">
        <w:rPr>
          <w:rFonts w:asciiTheme="minorHAnsi" w:hAnsiTheme="minorHAnsi"/>
          <w:sz w:val="22"/>
          <w:szCs w:val="22"/>
        </w:rPr>
        <w:t xml:space="preserve"> </w:t>
      </w:r>
      <w:r w:rsidR="003E283C">
        <w:rPr>
          <w:rFonts w:asciiTheme="minorHAnsi" w:hAnsiTheme="minorHAnsi"/>
          <w:sz w:val="22"/>
          <w:szCs w:val="22"/>
        </w:rPr>
        <w:t>Mivel</w:t>
      </w:r>
      <w:r w:rsidR="00423FB1">
        <w:rPr>
          <w:rFonts w:asciiTheme="minorHAnsi" w:hAnsiTheme="minorHAnsi"/>
          <w:sz w:val="22"/>
          <w:szCs w:val="22"/>
        </w:rPr>
        <w:t xml:space="preserve"> a kérdés</w:t>
      </w:r>
      <w:r w:rsidR="003E283C">
        <w:rPr>
          <w:rFonts w:asciiTheme="minorHAnsi" w:hAnsiTheme="minorHAnsi"/>
          <w:sz w:val="22"/>
          <w:szCs w:val="22"/>
        </w:rPr>
        <w:t xml:space="preserve"> </w:t>
      </w:r>
      <w:r w:rsidR="00423FB1">
        <w:rPr>
          <w:rFonts w:asciiTheme="minorHAnsi" w:hAnsiTheme="minorHAnsi"/>
          <w:sz w:val="22"/>
          <w:szCs w:val="22"/>
        </w:rPr>
        <w:t>megválaszolása</w:t>
      </w:r>
      <w:r w:rsidR="00AB7158">
        <w:rPr>
          <w:rFonts w:asciiTheme="minorHAnsi" w:hAnsiTheme="minorHAnsi"/>
          <w:sz w:val="22"/>
          <w:szCs w:val="22"/>
        </w:rPr>
        <w:t xml:space="preserve"> </w:t>
      </w:r>
      <w:r w:rsidR="003E283C">
        <w:rPr>
          <w:rFonts w:asciiTheme="minorHAnsi" w:hAnsiTheme="minorHAnsi"/>
          <w:sz w:val="22"/>
          <w:szCs w:val="22"/>
        </w:rPr>
        <w:t>j</w:t>
      </w:r>
      <w:r w:rsidRPr="00D35248">
        <w:rPr>
          <w:rFonts w:asciiTheme="minorHAnsi" w:hAnsiTheme="minorHAnsi"/>
          <w:sz w:val="22"/>
          <w:szCs w:val="22"/>
        </w:rPr>
        <w:t>ogértelmezés</w:t>
      </w:r>
      <w:r w:rsidR="00423FB1">
        <w:rPr>
          <w:rFonts w:asciiTheme="minorHAnsi" w:hAnsiTheme="minorHAnsi"/>
          <w:sz w:val="22"/>
          <w:szCs w:val="22"/>
        </w:rPr>
        <w:t xml:space="preserve">t igényel, amely </w:t>
      </w:r>
      <w:r w:rsidR="005503F7">
        <w:rPr>
          <w:rFonts w:asciiTheme="minorHAnsi" w:hAnsiTheme="minorHAnsi"/>
          <w:sz w:val="22"/>
          <w:szCs w:val="22"/>
        </w:rPr>
        <w:t xml:space="preserve">nem tartozik </w:t>
      </w:r>
      <w:r w:rsidR="00423FB1">
        <w:rPr>
          <w:rFonts w:asciiTheme="minorHAnsi" w:hAnsiTheme="minorHAnsi"/>
          <w:sz w:val="22"/>
          <w:szCs w:val="22"/>
        </w:rPr>
        <w:t>a Felügyeleti statisztikai önálló osztály hatásköré</w:t>
      </w:r>
      <w:r w:rsidR="005503F7">
        <w:rPr>
          <w:rFonts w:asciiTheme="minorHAnsi" w:hAnsiTheme="minorHAnsi"/>
          <w:sz w:val="22"/>
          <w:szCs w:val="22"/>
        </w:rPr>
        <w:t>be</w:t>
      </w:r>
      <w:r w:rsidRPr="00D35248">
        <w:rPr>
          <w:rFonts w:asciiTheme="minorHAnsi" w:hAnsiTheme="minorHAnsi"/>
          <w:sz w:val="22"/>
          <w:szCs w:val="22"/>
        </w:rPr>
        <w:t xml:space="preserve">, </w:t>
      </w:r>
      <w:r w:rsidR="00423FB1">
        <w:rPr>
          <w:rFonts w:asciiTheme="minorHAnsi" w:hAnsiTheme="minorHAnsi"/>
          <w:sz w:val="22"/>
          <w:szCs w:val="22"/>
        </w:rPr>
        <w:t xml:space="preserve">a kérdést </w:t>
      </w:r>
      <w:r w:rsidR="00D35248" w:rsidRPr="00D35248">
        <w:rPr>
          <w:rFonts w:asciiTheme="minorHAnsi" w:hAnsiTheme="minorHAnsi"/>
          <w:sz w:val="22"/>
          <w:szCs w:val="22"/>
        </w:rPr>
        <w:t>továbbítottuk a Mikroprudenciális szabályozási igazgatóság részére megválaszolás céljából.</w:t>
      </w:r>
      <w:r w:rsidR="00BF0C4A" w:rsidRPr="00D35248">
        <w:rPr>
          <w:rFonts w:asciiTheme="minorHAnsi" w:hAnsiTheme="minorHAnsi"/>
          <w:sz w:val="22"/>
          <w:szCs w:val="22"/>
        </w:rPr>
        <w:t xml:space="preserve"> </w:t>
      </w:r>
    </w:p>
    <w:p w:rsidR="00BF0C4A" w:rsidRDefault="00BF0C4A" w:rsidP="00BF0C4A">
      <w:pPr>
        <w:pStyle w:val="PlainText"/>
        <w:ind w:left="426"/>
        <w:rPr>
          <w:rFonts w:asciiTheme="minorHAnsi" w:hAnsiTheme="minorHAnsi"/>
          <w:b/>
          <w:sz w:val="22"/>
          <w:szCs w:val="22"/>
          <w:u w:val="single"/>
        </w:rPr>
      </w:pPr>
    </w:p>
    <w:p w:rsidR="00DB7D57" w:rsidRDefault="00F54054" w:rsidP="005503F7">
      <w:pPr>
        <w:pStyle w:val="PlainText"/>
        <w:numPr>
          <w:ilvl w:val="0"/>
          <w:numId w:val="30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F54054">
        <w:rPr>
          <w:rFonts w:asciiTheme="minorHAnsi" w:hAnsiTheme="minorHAnsi"/>
          <w:b/>
          <w:sz w:val="22"/>
          <w:szCs w:val="22"/>
          <w:u w:val="single"/>
        </w:rPr>
        <w:t>Kérdés</w:t>
      </w:r>
      <w:r w:rsidRPr="00F54054">
        <w:rPr>
          <w:rFonts w:asciiTheme="minorHAnsi" w:hAnsiTheme="minorHAnsi"/>
          <w:sz w:val="22"/>
          <w:szCs w:val="22"/>
        </w:rPr>
        <w:t>: MKR SA EQU táblát piaconként (országonként) kell megbontani a kitöltési tájékoztató szerint. Mi a helyzet az olyan termékekkel ahol nincs piac, és mi a helyzet a kollektív befektetési termékekkel, amit nem feltétlen kell lebontani elemeire? A mi véleményünk szerint első körben a piacot, ha az nincs, akkor a kibocsátó országát kellene venni, és az alapján a megfelelő országra vonatkozó MKR SA EQU táblára tölteni az adatokat.</w:t>
      </w:r>
      <w:r w:rsidR="000642DD">
        <w:rPr>
          <w:rFonts w:asciiTheme="minorHAnsi" w:hAnsiTheme="minorHAnsi"/>
          <w:sz w:val="22"/>
          <w:szCs w:val="22"/>
        </w:rPr>
        <w:t xml:space="preserve"> (Ramasoft)</w:t>
      </w:r>
    </w:p>
    <w:p w:rsidR="00F54054" w:rsidRPr="00F54054" w:rsidRDefault="00F54054" w:rsidP="009524C3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:rsidR="00F54054" w:rsidRPr="00D35248" w:rsidRDefault="00F54054" w:rsidP="00A14F41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D35248">
        <w:rPr>
          <w:rFonts w:asciiTheme="minorHAnsi" w:hAnsiTheme="minorHAnsi"/>
          <w:b/>
          <w:sz w:val="22"/>
          <w:szCs w:val="22"/>
          <w:u w:val="single"/>
        </w:rPr>
        <w:t>Válasz</w:t>
      </w:r>
      <w:r w:rsidRPr="00D35248">
        <w:rPr>
          <w:rFonts w:asciiTheme="minorHAnsi" w:hAnsiTheme="minorHAnsi"/>
          <w:sz w:val="22"/>
          <w:szCs w:val="22"/>
        </w:rPr>
        <w:t xml:space="preserve">: </w:t>
      </w:r>
      <w:r w:rsidR="00A14F41" w:rsidRPr="00D35248">
        <w:rPr>
          <w:rFonts w:asciiTheme="minorHAnsi" w:hAnsiTheme="minorHAnsi"/>
          <w:sz w:val="22"/>
          <w:szCs w:val="22"/>
        </w:rPr>
        <w:t>Igen, egyetértünk. A</w:t>
      </w:r>
      <w:r w:rsidRPr="00D35248">
        <w:rPr>
          <w:rFonts w:asciiTheme="minorHAnsi" w:hAnsiTheme="minorHAnsi"/>
          <w:sz w:val="22"/>
          <w:szCs w:val="22"/>
        </w:rPr>
        <w:t xml:space="preserve"> kibocsátás helye szerinti ország</w:t>
      </w:r>
      <w:r w:rsidR="00A14F41" w:rsidRPr="00D35248">
        <w:rPr>
          <w:rFonts w:asciiTheme="minorHAnsi" w:hAnsiTheme="minorHAnsi"/>
          <w:sz w:val="22"/>
          <w:szCs w:val="22"/>
        </w:rPr>
        <w:t xml:space="preserve"> alapján</w:t>
      </w:r>
      <w:r w:rsidRPr="00D35248">
        <w:rPr>
          <w:rFonts w:asciiTheme="minorHAnsi" w:hAnsiTheme="minorHAnsi"/>
          <w:sz w:val="22"/>
          <w:szCs w:val="22"/>
        </w:rPr>
        <w:t xml:space="preserve"> kerül</w:t>
      </w:r>
      <w:r w:rsidR="00A14F41" w:rsidRPr="00D35248">
        <w:rPr>
          <w:rFonts w:asciiTheme="minorHAnsi" w:hAnsiTheme="minorHAnsi"/>
          <w:sz w:val="22"/>
          <w:szCs w:val="22"/>
        </w:rPr>
        <w:t>jön a kitettség a táblába</w:t>
      </w:r>
      <w:r w:rsidRPr="00D35248">
        <w:rPr>
          <w:rFonts w:asciiTheme="minorHAnsi" w:hAnsiTheme="minorHAnsi"/>
          <w:sz w:val="22"/>
          <w:szCs w:val="22"/>
        </w:rPr>
        <w:t>. (Pl. a Budapest Alapkezelőnek van olyan alapja, ami Magyarországon kerül ugyan kibocsátásra, de csak Lengyelországban forgalmazzák.)</w:t>
      </w:r>
      <w:r w:rsidR="00C14053" w:rsidRPr="00D35248">
        <w:rPr>
          <w:rFonts w:asciiTheme="minorHAnsi" w:hAnsiTheme="minorHAnsi"/>
          <w:sz w:val="22"/>
          <w:szCs w:val="22"/>
        </w:rPr>
        <w:t xml:space="preserve"> A „piac” meghatározásáról az EBA </w:t>
      </w:r>
      <w:r w:rsidR="00FB1B23">
        <w:rPr>
          <w:rFonts w:asciiTheme="minorHAnsi" w:hAnsiTheme="minorHAnsi"/>
          <w:sz w:val="22"/>
          <w:szCs w:val="22"/>
        </w:rPr>
        <w:t xml:space="preserve">2014. </w:t>
      </w:r>
      <w:r w:rsidR="00C14053" w:rsidRPr="00D35248">
        <w:rPr>
          <w:rFonts w:asciiTheme="minorHAnsi" w:hAnsiTheme="minorHAnsi"/>
          <w:sz w:val="22"/>
          <w:szCs w:val="22"/>
        </w:rPr>
        <w:t>jan. 31-ig RTS-t fog benyújtani a Bizottságnak. (CRR 341.cikk)</w:t>
      </w:r>
    </w:p>
    <w:p w:rsidR="00F54054" w:rsidRPr="00AB76AB" w:rsidRDefault="00F54054" w:rsidP="00A14F41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</w:p>
    <w:p w:rsidR="00414CC4" w:rsidRPr="00414CC4" w:rsidRDefault="00414CC4" w:rsidP="00414CC4">
      <w:pPr>
        <w:pStyle w:val="PlainText"/>
        <w:numPr>
          <w:ilvl w:val="0"/>
          <w:numId w:val="30"/>
        </w:numPr>
        <w:ind w:left="426"/>
        <w:rPr>
          <w:rFonts w:asciiTheme="minorHAnsi" w:hAnsiTheme="minorHAnsi"/>
          <w:sz w:val="22"/>
          <w:szCs w:val="22"/>
        </w:rPr>
      </w:pPr>
      <w:r w:rsidRPr="00414CC4">
        <w:rPr>
          <w:rFonts w:asciiTheme="minorHAnsi" w:hAnsiTheme="minorHAnsi"/>
          <w:b/>
          <w:sz w:val="22"/>
          <w:szCs w:val="22"/>
          <w:u w:val="single"/>
        </w:rPr>
        <w:t>Kérdés</w:t>
      </w:r>
      <w:r w:rsidRPr="00414CC4">
        <w:rPr>
          <w:rFonts w:asciiTheme="minorHAnsi" w:hAnsiTheme="minorHAnsi"/>
          <w:sz w:val="22"/>
          <w:szCs w:val="22"/>
        </w:rPr>
        <w:t>: A CVA számításnál a repók figyelembevételére a CRR azt írja, hogy a hatóság dönti el, hogy jelentős-e a repótevékenysége az intézménynek. És ha igen, akkor kell figyelembe venni. Ki a hatóság? Az EBA? Milyen formában dönti el? Mit jelent az, hogy jelentős a repókereskedelmi tevékenység?</w:t>
      </w:r>
      <w:r w:rsidR="000642DD" w:rsidRPr="000642DD">
        <w:rPr>
          <w:rFonts w:asciiTheme="minorHAnsi" w:hAnsiTheme="minorHAnsi"/>
          <w:sz w:val="22"/>
          <w:szCs w:val="22"/>
        </w:rPr>
        <w:t xml:space="preserve"> </w:t>
      </w:r>
      <w:r w:rsidR="000642DD">
        <w:rPr>
          <w:rFonts w:asciiTheme="minorHAnsi" w:hAnsiTheme="minorHAnsi"/>
          <w:sz w:val="22"/>
          <w:szCs w:val="22"/>
        </w:rPr>
        <w:t>(Ramasoft)</w:t>
      </w:r>
    </w:p>
    <w:p w:rsidR="00414CC4" w:rsidRPr="00414CC4" w:rsidRDefault="00414CC4" w:rsidP="00414CC4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414CC4" w:rsidRPr="00D35248" w:rsidRDefault="00414CC4" w:rsidP="00414CC4">
      <w:pPr>
        <w:pStyle w:val="PlainText"/>
        <w:ind w:left="426"/>
        <w:rPr>
          <w:rFonts w:asciiTheme="minorHAnsi" w:hAnsiTheme="minorHAnsi"/>
          <w:sz w:val="22"/>
          <w:szCs w:val="22"/>
        </w:rPr>
      </w:pPr>
      <w:r w:rsidRPr="00D35248">
        <w:rPr>
          <w:rFonts w:asciiTheme="minorHAnsi" w:hAnsiTheme="minorHAnsi"/>
          <w:b/>
          <w:sz w:val="22"/>
          <w:szCs w:val="22"/>
          <w:u w:val="single"/>
        </w:rPr>
        <w:t>Válasz</w:t>
      </w:r>
      <w:r w:rsidRPr="00D35248">
        <w:rPr>
          <w:rFonts w:asciiTheme="minorHAnsi" w:hAnsiTheme="minorHAnsi"/>
          <w:sz w:val="22"/>
          <w:szCs w:val="22"/>
        </w:rPr>
        <w:t xml:space="preserve">: </w:t>
      </w:r>
      <w:r w:rsidR="00D35248" w:rsidRPr="00D35248">
        <w:rPr>
          <w:rFonts w:asciiTheme="minorHAnsi" w:hAnsiTheme="minorHAnsi"/>
          <w:sz w:val="22"/>
          <w:szCs w:val="22"/>
        </w:rPr>
        <w:t xml:space="preserve">A kérdés megválaszolása </w:t>
      </w:r>
      <w:r w:rsidR="00283401">
        <w:rPr>
          <w:rFonts w:asciiTheme="minorHAnsi" w:hAnsiTheme="minorHAnsi"/>
          <w:sz w:val="22"/>
          <w:szCs w:val="22"/>
        </w:rPr>
        <w:t xml:space="preserve">jogértelmezést igényel, amely </w:t>
      </w:r>
      <w:r w:rsidR="005503F7">
        <w:rPr>
          <w:rFonts w:asciiTheme="minorHAnsi" w:hAnsiTheme="minorHAnsi"/>
          <w:sz w:val="22"/>
          <w:szCs w:val="22"/>
        </w:rPr>
        <w:t xml:space="preserve">nem tartozik </w:t>
      </w:r>
      <w:r w:rsidR="00283401">
        <w:rPr>
          <w:rFonts w:asciiTheme="minorHAnsi" w:hAnsiTheme="minorHAnsi"/>
          <w:sz w:val="22"/>
          <w:szCs w:val="22"/>
        </w:rPr>
        <w:t>a felügyeleti statisztikai önálló osztály hatásköré</w:t>
      </w:r>
      <w:r w:rsidR="005503F7">
        <w:rPr>
          <w:rFonts w:asciiTheme="minorHAnsi" w:hAnsiTheme="minorHAnsi"/>
          <w:sz w:val="22"/>
          <w:szCs w:val="22"/>
        </w:rPr>
        <w:t>be</w:t>
      </w:r>
      <w:r w:rsidR="00283401">
        <w:rPr>
          <w:rFonts w:asciiTheme="minorHAnsi" w:hAnsiTheme="minorHAnsi"/>
          <w:sz w:val="22"/>
          <w:szCs w:val="22"/>
        </w:rPr>
        <w:t>, ezért</w:t>
      </w:r>
      <w:r w:rsidR="00D35248" w:rsidRPr="00D35248">
        <w:rPr>
          <w:rFonts w:asciiTheme="minorHAnsi" w:hAnsiTheme="minorHAnsi"/>
          <w:sz w:val="22"/>
          <w:szCs w:val="22"/>
        </w:rPr>
        <w:t xml:space="preserve"> a kérdést továbbítottuk a Mikroprudenciális szabályozási igazgatóságnak megválaszolás céljából.</w:t>
      </w:r>
    </w:p>
    <w:p w:rsidR="00794EAB" w:rsidRPr="00D35248" w:rsidRDefault="00794EAB" w:rsidP="00794EAB">
      <w:pPr>
        <w:rPr>
          <w:rFonts w:asciiTheme="minorHAnsi" w:hAnsiTheme="minorHAnsi"/>
          <w:b/>
          <w:sz w:val="24"/>
          <w:szCs w:val="24"/>
        </w:rPr>
      </w:pPr>
    </w:p>
    <w:p w:rsidR="00794EAB" w:rsidRDefault="00794EAB" w:rsidP="00784D2D">
      <w:pPr>
        <w:rPr>
          <w:rFonts w:asciiTheme="minorHAnsi" w:hAnsiTheme="minorHAnsi"/>
          <w:b/>
          <w:sz w:val="24"/>
          <w:szCs w:val="24"/>
        </w:rPr>
      </w:pPr>
    </w:p>
    <w:p w:rsidR="00FF746C" w:rsidRDefault="00FF746C" w:rsidP="00FF746C">
      <w:pPr>
        <w:pStyle w:val="ListParagraph"/>
        <w:numPr>
          <w:ilvl w:val="0"/>
          <w:numId w:val="20"/>
        </w:num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LIKVIDITÁS</w:t>
      </w:r>
    </w:p>
    <w:p w:rsidR="00FF746C" w:rsidRPr="003F3E3E" w:rsidRDefault="00FF746C" w:rsidP="00FF746C">
      <w:pPr>
        <w:pStyle w:val="PlainText"/>
        <w:numPr>
          <w:ilvl w:val="0"/>
          <w:numId w:val="29"/>
        </w:numPr>
        <w:ind w:left="426"/>
        <w:rPr>
          <w:rFonts w:asciiTheme="minorHAnsi" w:hAnsiTheme="minorHAnsi"/>
          <w:sz w:val="22"/>
          <w:szCs w:val="22"/>
        </w:rPr>
      </w:pPr>
      <w:r w:rsidRPr="003F3E3E">
        <w:rPr>
          <w:rFonts w:asciiTheme="minorHAnsi" w:hAnsiTheme="minorHAnsi"/>
          <w:b/>
          <w:sz w:val="22"/>
          <w:szCs w:val="22"/>
          <w:u w:val="single"/>
        </w:rPr>
        <w:t>Kérdés:</w:t>
      </w:r>
      <w:r w:rsidRPr="003F3E3E">
        <w:rPr>
          <w:rFonts w:asciiTheme="minorHAnsi" w:hAnsiTheme="minorHAnsi"/>
          <w:sz w:val="22"/>
          <w:szCs w:val="22"/>
        </w:rPr>
        <w:t xml:space="preserve"> A rövid lejáratú likviditási </w:t>
      </w:r>
      <w:r w:rsidR="000805AB">
        <w:rPr>
          <w:rFonts w:asciiTheme="minorHAnsi" w:hAnsiTheme="minorHAnsi"/>
          <w:sz w:val="22"/>
          <w:szCs w:val="22"/>
        </w:rPr>
        <w:t xml:space="preserve">mutató </w:t>
      </w:r>
      <w:r w:rsidRPr="003F3E3E">
        <w:rPr>
          <w:rFonts w:asciiTheme="minorHAnsi" w:hAnsiTheme="minorHAnsi"/>
          <w:sz w:val="22"/>
          <w:szCs w:val="22"/>
        </w:rPr>
        <w:t>(LCR):</w:t>
      </w:r>
    </w:p>
    <w:p w:rsidR="00FF746C" w:rsidRPr="00FF746C" w:rsidRDefault="00FF746C" w:rsidP="009524C3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FF746C">
        <w:rPr>
          <w:rFonts w:asciiTheme="minorHAnsi" w:hAnsiTheme="minorHAnsi"/>
          <w:sz w:val="22"/>
          <w:szCs w:val="22"/>
        </w:rPr>
        <w:t xml:space="preserve">Article 129 (d)(i), (f)(i). : Magyarországon a vásárolt, forgalomban lévő jelzáloglevelek mögötti fedezetek (lakó ingatlannal ill. nem lakó ingatlannal fedezett) megbontásáról nincs elérhető információ. Hogyan lehet besorolni? (C51.00 250-270 sor és 280-300. sor) </w:t>
      </w:r>
    </w:p>
    <w:p w:rsidR="00FF746C" w:rsidRPr="00FF746C" w:rsidRDefault="00FF746C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FF746C" w:rsidRPr="00D35248" w:rsidRDefault="00FF746C" w:rsidP="009524C3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D35248">
        <w:rPr>
          <w:rFonts w:asciiTheme="minorHAnsi" w:hAnsiTheme="minorHAnsi"/>
          <w:b/>
          <w:sz w:val="22"/>
          <w:szCs w:val="22"/>
          <w:u w:val="single"/>
        </w:rPr>
        <w:t>Válasz:</w:t>
      </w:r>
      <w:r w:rsidRPr="00D35248">
        <w:rPr>
          <w:rFonts w:asciiTheme="minorHAnsi" w:hAnsiTheme="minorHAnsi"/>
          <w:sz w:val="22"/>
          <w:szCs w:val="22"/>
        </w:rPr>
        <w:t xml:space="preserve"> A nevezett sorokon azon tételeket lehet feltüntetni, melyek bizonyítottan megfelelnek a tartalomnak. Amennyiben nincs információ, akkor ezen a soron nem lehet szerepeltetni </w:t>
      </w:r>
      <w:r w:rsidR="000805AB">
        <w:rPr>
          <w:rFonts w:asciiTheme="minorHAnsi" w:hAnsiTheme="minorHAnsi"/>
          <w:sz w:val="22"/>
          <w:szCs w:val="22"/>
        </w:rPr>
        <w:t>a kérdéses</w:t>
      </w:r>
      <w:r w:rsidRPr="00D35248">
        <w:rPr>
          <w:rFonts w:asciiTheme="minorHAnsi" w:hAnsiTheme="minorHAnsi"/>
          <w:sz w:val="22"/>
          <w:szCs w:val="22"/>
        </w:rPr>
        <w:t xml:space="preserve"> tételeket.</w:t>
      </w:r>
    </w:p>
    <w:p w:rsidR="00FF746C" w:rsidRPr="00FF746C" w:rsidRDefault="00FF746C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FF746C" w:rsidRPr="00FF746C" w:rsidRDefault="00FF746C" w:rsidP="009524C3">
      <w:pPr>
        <w:pStyle w:val="PlainText"/>
        <w:numPr>
          <w:ilvl w:val="0"/>
          <w:numId w:val="2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FF746C">
        <w:rPr>
          <w:rFonts w:asciiTheme="minorHAnsi" w:hAnsiTheme="minorHAnsi"/>
          <w:b/>
          <w:sz w:val="22"/>
          <w:szCs w:val="22"/>
          <w:u w:val="single"/>
        </w:rPr>
        <w:t>Kérdés: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F746C">
        <w:rPr>
          <w:rFonts w:asciiTheme="minorHAnsi" w:hAnsiTheme="minorHAnsi"/>
          <w:sz w:val="22"/>
          <w:szCs w:val="22"/>
        </w:rPr>
        <w:t>Article 424. (2)(3) Mi tekintendő folyósítási kötelezettséggel járó hitelkeretnek (kölcsönszerződés szerinti hitel?)</w:t>
      </w:r>
      <w:r w:rsidR="007C4FEB">
        <w:rPr>
          <w:rFonts w:asciiTheme="minorHAnsi" w:hAnsiTheme="minorHAnsi"/>
          <w:sz w:val="22"/>
          <w:szCs w:val="22"/>
        </w:rPr>
        <w:t>,</w:t>
      </w:r>
      <w:r w:rsidRPr="00FF746C">
        <w:rPr>
          <w:rFonts w:asciiTheme="minorHAnsi" w:hAnsiTheme="minorHAnsi"/>
          <w:sz w:val="22"/>
          <w:szCs w:val="22"/>
        </w:rPr>
        <w:t xml:space="preserve"> valamint likviditási hitelkeretnek (folyószámlahitel ill. debit card?)? (C52.00 1230-1240. sorok)</w:t>
      </w:r>
      <w:r w:rsidR="000642DD">
        <w:rPr>
          <w:rFonts w:asciiTheme="minorHAnsi" w:hAnsiTheme="minorHAnsi"/>
          <w:sz w:val="22"/>
          <w:szCs w:val="22"/>
        </w:rPr>
        <w:t xml:space="preserve"> </w:t>
      </w:r>
    </w:p>
    <w:p w:rsidR="00FF746C" w:rsidRPr="00FF746C" w:rsidRDefault="00FF746C" w:rsidP="00FF746C">
      <w:pPr>
        <w:pStyle w:val="PlainText"/>
        <w:ind w:left="426"/>
        <w:rPr>
          <w:rFonts w:asciiTheme="minorHAnsi" w:hAnsiTheme="minorHAnsi"/>
          <w:sz w:val="22"/>
          <w:szCs w:val="22"/>
        </w:rPr>
      </w:pPr>
    </w:p>
    <w:p w:rsidR="00FF746C" w:rsidRPr="00D35248" w:rsidRDefault="00FF746C" w:rsidP="003F27E0">
      <w:pPr>
        <w:pStyle w:val="PlainText"/>
        <w:ind w:left="426"/>
        <w:jc w:val="both"/>
        <w:rPr>
          <w:rFonts w:asciiTheme="minorHAnsi" w:hAnsiTheme="minorHAnsi"/>
          <w:sz w:val="22"/>
          <w:szCs w:val="22"/>
        </w:rPr>
      </w:pPr>
      <w:r w:rsidRPr="00D35248">
        <w:rPr>
          <w:rFonts w:asciiTheme="minorHAnsi" w:hAnsiTheme="minorHAnsi"/>
          <w:b/>
          <w:sz w:val="22"/>
          <w:szCs w:val="22"/>
          <w:u w:val="single"/>
        </w:rPr>
        <w:t>Válasz:</w:t>
      </w:r>
      <w:r w:rsidRPr="00D35248">
        <w:rPr>
          <w:rFonts w:asciiTheme="minorHAnsi" w:hAnsiTheme="minorHAnsi"/>
          <w:sz w:val="22"/>
          <w:szCs w:val="22"/>
        </w:rPr>
        <w:t xml:space="preserve"> A likviditási hitelkeret a liquidity facility magyar fordítása. </w:t>
      </w:r>
      <w:r w:rsidR="007B1E31">
        <w:rPr>
          <w:rFonts w:asciiTheme="minorHAnsi" w:hAnsiTheme="minorHAnsi"/>
          <w:sz w:val="22"/>
          <w:szCs w:val="22"/>
        </w:rPr>
        <w:t>T</w:t>
      </w:r>
      <w:r w:rsidRPr="00D35248">
        <w:rPr>
          <w:rFonts w:asciiTheme="minorHAnsi" w:hAnsiTheme="minorHAnsi"/>
          <w:sz w:val="22"/>
          <w:szCs w:val="22"/>
        </w:rPr>
        <w:t xml:space="preserve">artalmát a Bázel III </w:t>
      </w:r>
      <w:r w:rsidR="005503F7">
        <w:rPr>
          <w:rFonts w:asciiTheme="minorHAnsi" w:hAnsiTheme="minorHAnsi"/>
          <w:sz w:val="22"/>
          <w:szCs w:val="22"/>
        </w:rPr>
        <w:t xml:space="preserve">szabályozás </w:t>
      </w:r>
      <w:r w:rsidR="007B1E31">
        <w:rPr>
          <w:rFonts w:asciiTheme="minorHAnsi" w:hAnsiTheme="minorHAnsi"/>
          <w:sz w:val="22"/>
          <w:szCs w:val="22"/>
        </w:rPr>
        <w:t>írja körül (</w:t>
      </w:r>
      <w:hyperlink r:id="rId8" w:history="1">
        <w:r w:rsidR="003F27E0" w:rsidRPr="00EF0645">
          <w:rPr>
            <w:rStyle w:val="Hyperlink"/>
            <w:rFonts w:asciiTheme="minorHAnsi" w:hAnsiTheme="minorHAnsi"/>
            <w:sz w:val="22"/>
            <w:szCs w:val="22"/>
          </w:rPr>
          <w:t>http://www.bis.org/publ/bcbs238.pdf</w:t>
        </w:r>
      </w:hyperlink>
      <w:r w:rsidR="003F27E0">
        <w:rPr>
          <w:rFonts w:asciiTheme="minorHAnsi" w:hAnsiTheme="minorHAnsi"/>
          <w:sz w:val="22"/>
          <w:szCs w:val="22"/>
        </w:rPr>
        <w:t xml:space="preserve">: </w:t>
      </w:r>
      <w:r w:rsidR="007B1E31">
        <w:rPr>
          <w:rFonts w:asciiTheme="minorHAnsi" w:hAnsiTheme="minorHAnsi"/>
          <w:sz w:val="22"/>
          <w:szCs w:val="22"/>
        </w:rPr>
        <w:t>128. pont), a CRR-ben ezen definíció nem szerepel.</w:t>
      </w:r>
      <w:r w:rsidRPr="00D35248">
        <w:rPr>
          <w:rFonts w:asciiTheme="minorHAnsi" w:hAnsiTheme="minorHAnsi"/>
          <w:sz w:val="22"/>
          <w:szCs w:val="22"/>
        </w:rPr>
        <w:t xml:space="preserve"> </w:t>
      </w:r>
      <w:r w:rsidR="007B1E31">
        <w:rPr>
          <w:rFonts w:asciiTheme="minorHAnsi" w:hAnsiTheme="minorHAnsi"/>
          <w:sz w:val="22"/>
          <w:szCs w:val="22"/>
        </w:rPr>
        <w:t>Pontos fogalom</w:t>
      </w:r>
      <w:r w:rsidR="00915755">
        <w:rPr>
          <w:rFonts w:asciiTheme="minorHAnsi" w:hAnsiTheme="minorHAnsi"/>
          <w:sz w:val="22"/>
          <w:szCs w:val="22"/>
        </w:rPr>
        <w:t xml:space="preserve"> </w:t>
      </w:r>
      <w:r w:rsidR="007B1E31">
        <w:rPr>
          <w:rFonts w:asciiTheme="minorHAnsi" w:hAnsiTheme="minorHAnsi"/>
          <w:sz w:val="22"/>
          <w:szCs w:val="22"/>
        </w:rPr>
        <w:t xml:space="preserve">meghatározás hiányában </w:t>
      </w:r>
      <w:r w:rsidRPr="00D35248">
        <w:rPr>
          <w:rFonts w:asciiTheme="minorHAnsi" w:hAnsiTheme="minorHAnsi"/>
          <w:sz w:val="22"/>
          <w:szCs w:val="22"/>
        </w:rPr>
        <w:t>az</w:t>
      </w:r>
      <w:r w:rsidR="007B1E31">
        <w:rPr>
          <w:rFonts w:asciiTheme="minorHAnsi" w:hAnsiTheme="minorHAnsi"/>
          <w:sz w:val="22"/>
          <w:szCs w:val="22"/>
        </w:rPr>
        <w:t xml:space="preserve"> ajánlásban szereplő iránymutatás</w:t>
      </w:r>
      <w:r w:rsidRPr="00D35248">
        <w:rPr>
          <w:rFonts w:asciiTheme="minorHAnsi" w:hAnsiTheme="minorHAnsi"/>
          <w:sz w:val="22"/>
          <w:szCs w:val="22"/>
        </w:rPr>
        <w:t xml:space="preserve"> tekinthető kiindulópontnak. </w:t>
      </w:r>
      <w:r w:rsidR="000805AB">
        <w:rPr>
          <w:rFonts w:asciiTheme="minorHAnsi" w:hAnsiTheme="minorHAnsi"/>
          <w:sz w:val="22"/>
          <w:szCs w:val="22"/>
        </w:rPr>
        <w:t>Folyósítási kötelezettséggel járó hitelkeret</w:t>
      </w:r>
      <w:r w:rsidR="003F27E0">
        <w:rPr>
          <w:rFonts w:asciiTheme="minorHAnsi" w:hAnsiTheme="minorHAnsi"/>
          <w:sz w:val="22"/>
          <w:szCs w:val="22"/>
        </w:rPr>
        <w:t>nek tekinthető minden leszerződött, visszavonhatatlan kötelezettségvállalás.</w:t>
      </w:r>
      <w:r w:rsidR="000805AB">
        <w:rPr>
          <w:rFonts w:asciiTheme="minorHAnsi" w:hAnsiTheme="minorHAnsi"/>
          <w:sz w:val="22"/>
          <w:szCs w:val="22"/>
        </w:rPr>
        <w:t xml:space="preserve"> </w:t>
      </w:r>
    </w:p>
    <w:p w:rsidR="00FF746C" w:rsidRDefault="00FF746C" w:rsidP="00FF746C">
      <w:pPr>
        <w:rPr>
          <w:b/>
          <w:sz w:val="24"/>
          <w:szCs w:val="24"/>
        </w:rPr>
      </w:pPr>
    </w:p>
    <w:p w:rsidR="00794EAB" w:rsidRPr="00537A6B" w:rsidRDefault="00794EAB" w:rsidP="00A54621">
      <w:pPr>
        <w:pStyle w:val="ListParagraph"/>
        <w:numPr>
          <w:ilvl w:val="0"/>
          <w:numId w:val="20"/>
        </w:numPr>
        <w:ind w:left="709"/>
        <w:rPr>
          <w:b/>
          <w:sz w:val="24"/>
          <w:szCs w:val="24"/>
        </w:rPr>
      </w:pPr>
      <w:r w:rsidRPr="00537A6B">
        <w:rPr>
          <w:b/>
          <w:sz w:val="24"/>
          <w:szCs w:val="24"/>
        </w:rPr>
        <w:t>NAGYKOCKÁZAT</w:t>
      </w:r>
    </w:p>
    <w:p w:rsidR="004679DA" w:rsidRPr="004A5E79" w:rsidRDefault="004679DA" w:rsidP="004A5E79">
      <w:pPr>
        <w:pStyle w:val="ListParagraph"/>
        <w:numPr>
          <w:ilvl w:val="0"/>
          <w:numId w:val="24"/>
        </w:numPr>
        <w:ind w:left="426"/>
        <w:rPr>
          <w:rFonts w:cstheme="minorHAnsi"/>
          <w:u w:val="single"/>
        </w:rPr>
      </w:pPr>
      <w:r w:rsidRPr="004A5E79">
        <w:rPr>
          <w:rFonts w:cstheme="minorHAnsi"/>
          <w:b/>
          <w:u w:val="single"/>
        </w:rPr>
        <w:t>Kérdés</w:t>
      </w:r>
      <w:r w:rsidRPr="004A5E79">
        <w:rPr>
          <w:rFonts w:cstheme="minorHAnsi"/>
          <w:b/>
        </w:rPr>
        <w:t xml:space="preserve">: </w:t>
      </w:r>
    </w:p>
    <w:p w:rsidR="005503F7" w:rsidRDefault="00794EAB">
      <w:pPr>
        <w:pStyle w:val="ListParagraph"/>
        <w:ind w:left="426"/>
        <w:rPr>
          <w:rFonts w:cstheme="minorHAnsi"/>
        </w:rPr>
      </w:pPr>
      <w:r w:rsidRPr="00A97764">
        <w:rPr>
          <w:rFonts w:cstheme="minorHAnsi"/>
        </w:rPr>
        <w:lastRenderedPageBreak/>
        <w:t>Jól értelmezzük-e, hogy:</w:t>
      </w:r>
      <w:r w:rsidR="001C10E8" w:rsidRPr="00A97764">
        <w:rPr>
          <w:rFonts w:cstheme="minorHAnsi"/>
        </w:rPr>
        <w:t xml:space="preserve"> </w:t>
      </w:r>
      <w:r w:rsidRPr="00537A6B">
        <w:rPr>
          <w:rFonts w:cstheme="minorHAnsi"/>
        </w:rPr>
        <w:t xml:space="preserve">a nagykockázat-vállalásra vonatkozó adatszolgáltatás (a szavatoló tőke 10 %-át elérő összkitettség esetén, egyedi és konszolidált szinten) LE1, LE2, LE3 tábláit csak összevont </w:t>
      </w:r>
      <w:r w:rsidRPr="00C87B56">
        <w:rPr>
          <w:rFonts w:cstheme="minorHAnsi"/>
        </w:rPr>
        <w:t>szinten elő kell állítani?</w:t>
      </w:r>
      <w:r w:rsidR="00C802B3">
        <w:rPr>
          <w:rFonts w:cstheme="minorHAnsi"/>
        </w:rPr>
        <w:t xml:space="preserve"> </w:t>
      </w:r>
    </w:p>
    <w:p w:rsidR="00C87B56" w:rsidRPr="00D35248" w:rsidRDefault="00C87B56" w:rsidP="00C87B56">
      <w:pPr>
        <w:ind w:left="284"/>
        <w:jc w:val="both"/>
        <w:rPr>
          <w:rFonts w:asciiTheme="minorHAnsi" w:hAnsiTheme="minorHAnsi" w:cstheme="minorHAnsi"/>
          <w:b/>
          <w:u w:val="single"/>
        </w:rPr>
      </w:pPr>
      <w:r w:rsidRPr="00D35248">
        <w:rPr>
          <w:rFonts w:asciiTheme="minorHAnsi" w:hAnsiTheme="minorHAnsi" w:cstheme="minorHAnsi"/>
          <w:b/>
          <w:u w:val="single"/>
        </w:rPr>
        <w:t xml:space="preserve">Válasz: </w:t>
      </w:r>
    </w:p>
    <w:p w:rsidR="00C87B56" w:rsidRPr="00D35248" w:rsidRDefault="00C87B56" w:rsidP="00C87B56">
      <w:pPr>
        <w:pStyle w:val="ListParagraph"/>
        <w:numPr>
          <w:ilvl w:val="0"/>
          <w:numId w:val="32"/>
        </w:numPr>
        <w:ind w:left="709"/>
        <w:jc w:val="both"/>
        <w:rPr>
          <w:rFonts w:cstheme="minorHAnsi"/>
        </w:rPr>
      </w:pPr>
      <w:r w:rsidRPr="00D35248">
        <w:rPr>
          <w:rFonts w:cstheme="minorHAnsi"/>
        </w:rPr>
        <w:t xml:space="preserve">Az </w:t>
      </w:r>
      <w:r w:rsidRPr="00D35248">
        <w:rPr>
          <w:rFonts w:cstheme="minorHAnsi"/>
          <w:b/>
          <w:u w:val="single"/>
        </w:rPr>
        <w:t>egyedi</w:t>
      </w:r>
      <w:r w:rsidRPr="00D35248">
        <w:rPr>
          <w:rFonts w:cstheme="minorHAnsi"/>
        </w:rPr>
        <w:t xml:space="preserve"> LE1, LE2, LE3 táblák csak a szavatolótőke 10 %-át elérő, vagy meghaladó nagykockázat-vállalásokat tartalmazzák. A táblát minden hitelintézetnek küldenie kell, függetlenül attól, hogy összevont felügyelet alá esik, vagy sem.</w:t>
      </w:r>
    </w:p>
    <w:p w:rsidR="00C87B56" w:rsidRPr="00D35248" w:rsidRDefault="00C87B56" w:rsidP="00C87B56">
      <w:pPr>
        <w:pStyle w:val="ListParagraph"/>
        <w:numPr>
          <w:ilvl w:val="0"/>
          <w:numId w:val="32"/>
        </w:numPr>
        <w:ind w:left="709"/>
        <w:jc w:val="both"/>
        <w:rPr>
          <w:rFonts w:cstheme="minorHAnsi"/>
        </w:rPr>
      </w:pPr>
      <w:r w:rsidRPr="00D35248">
        <w:rPr>
          <w:rFonts w:cstheme="minorHAnsi"/>
        </w:rPr>
        <w:t xml:space="preserve">A </w:t>
      </w:r>
      <w:r w:rsidRPr="00D35248">
        <w:rPr>
          <w:rFonts w:cstheme="minorHAnsi"/>
          <w:b/>
          <w:u w:val="single"/>
        </w:rPr>
        <w:t>konszolidált alapú</w:t>
      </w:r>
      <w:r w:rsidRPr="00D35248">
        <w:rPr>
          <w:rFonts w:cstheme="minorHAnsi"/>
        </w:rPr>
        <w:t xml:space="preserve"> LE1, LE2, LE3 táblákban 3 típusú adatot jelent a conso, subconso anyavállalat</w:t>
      </w:r>
    </w:p>
    <w:p w:rsidR="00C87B56" w:rsidRPr="00D35248" w:rsidRDefault="00C87B56" w:rsidP="00C87B56">
      <w:pPr>
        <w:pStyle w:val="ListParagraph"/>
        <w:ind w:left="709"/>
        <w:jc w:val="both"/>
        <w:rPr>
          <w:rFonts w:cstheme="minorHAnsi"/>
        </w:rPr>
      </w:pPr>
      <w:r w:rsidRPr="00D35248">
        <w:rPr>
          <w:rFonts w:cstheme="minorHAnsi"/>
        </w:rPr>
        <w:t>= a konszolidált szavatolótőke 10 %-át elérő, vagy meghaladó nagykockázat-vállalásokat</w:t>
      </w:r>
    </w:p>
    <w:p w:rsidR="00C87B56" w:rsidRPr="00D35248" w:rsidRDefault="00C87B56" w:rsidP="00C87B56">
      <w:pPr>
        <w:pStyle w:val="ListParagraph"/>
        <w:ind w:left="709"/>
        <w:jc w:val="both"/>
        <w:rPr>
          <w:rFonts w:cstheme="minorHAnsi"/>
        </w:rPr>
      </w:pPr>
      <w:r w:rsidRPr="00D35248">
        <w:rPr>
          <w:rFonts w:cstheme="minorHAnsi"/>
        </w:rPr>
        <w:t>= az IRB bankoknak a konszolidáltan 20 legnagyobb kitettséget, a limit alól mentesített kitettségeken kívül.</w:t>
      </w:r>
    </w:p>
    <w:p w:rsidR="00C87B56" w:rsidRPr="00D35248" w:rsidRDefault="00C87B56" w:rsidP="00C87B56">
      <w:pPr>
        <w:pStyle w:val="ListParagraph"/>
        <w:ind w:left="709"/>
        <w:jc w:val="both"/>
        <w:rPr>
          <w:rFonts w:cstheme="minorHAnsi"/>
        </w:rPr>
      </w:pPr>
      <w:r w:rsidRPr="00D35248">
        <w:rPr>
          <w:rFonts w:cstheme="minorHAnsi"/>
        </w:rPr>
        <w:t xml:space="preserve">= konszolidált alapon a 10 legnagyobb intézménnyel és 10 legnagyobb nem </w:t>
      </w:r>
      <w:r w:rsidR="00140965" w:rsidRPr="00140965">
        <w:rPr>
          <w:rFonts w:cstheme="minorHAnsi"/>
        </w:rPr>
        <w:t>szabályozott pénzügyi</w:t>
      </w:r>
      <w:r w:rsidR="00140965">
        <w:rPr>
          <w:rFonts w:cstheme="minorHAnsi"/>
        </w:rPr>
        <w:t xml:space="preserve"> </w:t>
      </w:r>
      <w:r w:rsidRPr="00D35248">
        <w:rPr>
          <w:rFonts w:cstheme="minorHAnsi"/>
        </w:rPr>
        <w:t>vállalattal szembeni kitettséget, beleértve a nagykockázati limit alól mentesített kitettségeket is.</w:t>
      </w:r>
    </w:p>
    <w:p w:rsidR="00C87B56" w:rsidRDefault="00C87B56" w:rsidP="00C87B56">
      <w:pPr>
        <w:pStyle w:val="ListParagraph"/>
        <w:numPr>
          <w:ilvl w:val="0"/>
          <w:numId w:val="33"/>
        </w:numPr>
        <w:ind w:left="709"/>
        <w:jc w:val="both"/>
        <w:rPr>
          <w:rFonts w:cstheme="minorHAnsi"/>
        </w:rPr>
      </w:pPr>
      <w:r w:rsidRPr="0013605A">
        <w:rPr>
          <w:rFonts w:cstheme="minorHAnsi"/>
        </w:rPr>
        <w:t xml:space="preserve">A </w:t>
      </w:r>
      <w:r w:rsidRPr="0013605A">
        <w:rPr>
          <w:rFonts w:cstheme="minorHAnsi"/>
          <w:b/>
          <w:u w:val="single"/>
        </w:rPr>
        <w:t>konszolidált alapú</w:t>
      </w:r>
      <w:r w:rsidRPr="0013605A">
        <w:rPr>
          <w:rFonts w:cstheme="minorHAnsi"/>
        </w:rPr>
        <w:t xml:space="preserve"> LE4, LE5 táblákban </w:t>
      </w:r>
      <w:r w:rsidR="00CD159E" w:rsidRPr="0013605A">
        <w:rPr>
          <w:rFonts w:cstheme="minorHAnsi"/>
        </w:rPr>
        <w:t xml:space="preserve">az anyabank </w:t>
      </w:r>
      <w:r w:rsidR="0013605A">
        <w:rPr>
          <w:rFonts w:cstheme="minorHAnsi"/>
        </w:rPr>
        <w:t xml:space="preserve">jelenti </w:t>
      </w:r>
      <w:r w:rsidR="00CD159E" w:rsidRPr="0013605A">
        <w:rPr>
          <w:rFonts w:cstheme="minorHAnsi"/>
        </w:rPr>
        <w:t xml:space="preserve">a 10 legnagyobb intézménnyel és 10 legnagyobb nem </w:t>
      </w:r>
      <w:r w:rsidR="00140965">
        <w:rPr>
          <w:rFonts w:cstheme="minorHAnsi"/>
        </w:rPr>
        <w:t xml:space="preserve">szabályozott pénzügyi </w:t>
      </w:r>
      <w:r w:rsidR="00CD159E" w:rsidRPr="0013605A">
        <w:rPr>
          <w:rFonts w:cstheme="minorHAnsi"/>
        </w:rPr>
        <w:t xml:space="preserve">vállalattal szembeni </w:t>
      </w:r>
      <w:r w:rsidRPr="0013605A">
        <w:rPr>
          <w:rFonts w:cstheme="minorHAnsi"/>
        </w:rPr>
        <w:t>kitettségek lejárati struktúráját</w:t>
      </w:r>
      <w:r w:rsidR="0013605A" w:rsidRPr="0013605A">
        <w:rPr>
          <w:rFonts w:cstheme="minorHAnsi"/>
        </w:rPr>
        <w:t>.</w:t>
      </w:r>
      <w:r w:rsidRPr="0013605A">
        <w:rPr>
          <w:rFonts w:cstheme="minorHAnsi"/>
        </w:rPr>
        <w:t xml:space="preserve"> </w:t>
      </w:r>
    </w:p>
    <w:p w:rsidR="0013605A" w:rsidRPr="0013605A" w:rsidRDefault="0013605A" w:rsidP="0013605A">
      <w:pPr>
        <w:ind w:left="349"/>
        <w:jc w:val="both"/>
        <w:rPr>
          <w:rFonts w:cstheme="minorHAnsi"/>
        </w:rPr>
      </w:pPr>
    </w:p>
    <w:p w:rsidR="001C10E8" w:rsidRPr="004A5E79" w:rsidRDefault="001C10E8" w:rsidP="001C10E8">
      <w:pPr>
        <w:pStyle w:val="ListParagraph"/>
        <w:numPr>
          <w:ilvl w:val="0"/>
          <w:numId w:val="24"/>
        </w:numPr>
        <w:ind w:left="426"/>
        <w:rPr>
          <w:rFonts w:cstheme="minorHAnsi"/>
          <w:u w:val="single"/>
        </w:rPr>
      </w:pPr>
      <w:r w:rsidRPr="004A5E79">
        <w:rPr>
          <w:rFonts w:cstheme="minorHAnsi"/>
          <w:b/>
          <w:u w:val="single"/>
        </w:rPr>
        <w:t>Kérdés</w:t>
      </w:r>
      <w:r w:rsidRPr="004A5E79">
        <w:rPr>
          <w:rFonts w:cstheme="minorHAnsi"/>
          <w:b/>
        </w:rPr>
        <w:t xml:space="preserve">: </w:t>
      </w:r>
    </w:p>
    <w:p w:rsidR="005503F7" w:rsidRDefault="001C10E8">
      <w:pPr>
        <w:ind w:left="360"/>
        <w:rPr>
          <w:rFonts w:cstheme="minorHAnsi"/>
        </w:rPr>
      </w:pPr>
      <w:r>
        <w:rPr>
          <w:rFonts w:cstheme="minorHAnsi"/>
        </w:rPr>
        <w:t>A</w:t>
      </w:r>
      <w:r w:rsidRPr="001C10E8">
        <w:rPr>
          <w:rFonts w:cstheme="minorHAnsi"/>
        </w:rPr>
        <w:t xml:space="preserve"> </w:t>
      </w:r>
      <w:r w:rsidR="00794EAB" w:rsidRPr="001C10E8">
        <w:rPr>
          <w:rFonts w:cstheme="minorHAnsi"/>
        </w:rPr>
        <w:t xml:space="preserve">20 legnagyobb kitettség (összevont alapon): csak IRB-t alkalmazó adatszolgáltatók esetében kell előállítani? </w:t>
      </w:r>
    </w:p>
    <w:p w:rsidR="00A97764" w:rsidRDefault="00A97764">
      <w:pPr>
        <w:ind w:left="360"/>
        <w:rPr>
          <w:rFonts w:cstheme="minorHAnsi"/>
        </w:rPr>
      </w:pPr>
    </w:p>
    <w:p w:rsidR="00C87B56" w:rsidRDefault="00C87B56" w:rsidP="00C87B56">
      <w:pPr>
        <w:ind w:left="426"/>
        <w:jc w:val="both"/>
        <w:rPr>
          <w:rFonts w:asciiTheme="minorHAnsi" w:hAnsiTheme="minorHAnsi" w:cstheme="minorHAnsi"/>
        </w:rPr>
      </w:pPr>
      <w:r w:rsidRPr="00D35248">
        <w:rPr>
          <w:rFonts w:asciiTheme="minorHAnsi" w:hAnsiTheme="minorHAnsi" w:cstheme="minorHAnsi"/>
          <w:b/>
          <w:u w:val="single"/>
        </w:rPr>
        <w:t>Válasz:</w:t>
      </w:r>
      <w:r w:rsidRPr="00D35248">
        <w:rPr>
          <w:rFonts w:asciiTheme="minorHAnsi" w:hAnsiTheme="minorHAnsi" w:cstheme="minorHAnsi"/>
        </w:rPr>
        <w:t xml:space="preserve"> Igen. </w:t>
      </w:r>
    </w:p>
    <w:p w:rsidR="005503F7" w:rsidRPr="00D35248" w:rsidRDefault="005503F7" w:rsidP="00C87B56">
      <w:pPr>
        <w:ind w:left="426"/>
        <w:jc w:val="both"/>
        <w:rPr>
          <w:rFonts w:asciiTheme="minorHAnsi" w:hAnsiTheme="minorHAnsi" w:cstheme="minorHAnsi"/>
        </w:rPr>
      </w:pPr>
    </w:p>
    <w:p w:rsidR="00C87B56" w:rsidRPr="00A97764" w:rsidRDefault="005503F7" w:rsidP="005503F7">
      <w:pPr>
        <w:pStyle w:val="ListParagraph"/>
        <w:numPr>
          <w:ilvl w:val="0"/>
          <w:numId w:val="24"/>
        </w:numPr>
        <w:ind w:left="426"/>
        <w:rPr>
          <w:rFonts w:cstheme="minorHAnsi"/>
          <w:b/>
          <w:u w:val="single"/>
        </w:rPr>
      </w:pPr>
      <w:r w:rsidRPr="00A97764">
        <w:rPr>
          <w:rFonts w:cstheme="minorHAnsi"/>
          <w:b/>
          <w:u w:val="single"/>
        </w:rPr>
        <w:t>Kérdés:</w:t>
      </w:r>
    </w:p>
    <w:p w:rsidR="004A5E79" w:rsidRDefault="005503F7" w:rsidP="003B554F">
      <w:pPr>
        <w:ind w:left="426"/>
        <w:jc w:val="both"/>
        <w:rPr>
          <w:rFonts w:cstheme="minorHAnsi"/>
        </w:rPr>
      </w:pPr>
      <w:r>
        <w:rPr>
          <w:rFonts w:cstheme="minorHAnsi"/>
        </w:rPr>
        <w:t>A</w:t>
      </w:r>
      <w:r w:rsidR="00794EAB" w:rsidRPr="005503F7">
        <w:rPr>
          <w:rFonts w:cstheme="minorHAnsi"/>
        </w:rPr>
        <w:t xml:space="preserve"> 10 legnagyobb intézménnyel szembeni, illetve a 10 legnagyobb nem szabályozott pénzügyi vállalattal szembeni kitettség valamennyi tábláját (LE1,…,LE5) csak összevont szinten kell teljesíteni?</w:t>
      </w:r>
      <w:r w:rsidR="00C802B3" w:rsidRPr="005503F7">
        <w:rPr>
          <w:rFonts w:cstheme="minorHAnsi"/>
        </w:rPr>
        <w:t xml:space="preserve"> </w:t>
      </w:r>
    </w:p>
    <w:p w:rsidR="00A97764" w:rsidRPr="005503F7" w:rsidRDefault="00A97764" w:rsidP="005503F7">
      <w:pPr>
        <w:ind w:left="426"/>
        <w:rPr>
          <w:rFonts w:cstheme="minorHAnsi"/>
        </w:rPr>
      </w:pPr>
    </w:p>
    <w:p w:rsidR="00C87B56" w:rsidRPr="00D35248" w:rsidRDefault="00C87B56" w:rsidP="00C87B56">
      <w:pPr>
        <w:ind w:left="426"/>
        <w:jc w:val="both"/>
        <w:rPr>
          <w:rFonts w:asciiTheme="minorHAnsi" w:hAnsiTheme="minorHAnsi" w:cstheme="minorHAnsi"/>
        </w:rPr>
      </w:pPr>
      <w:r w:rsidRPr="00D35248">
        <w:rPr>
          <w:rFonts w:asciiTheme="minorHAnsi" w:hAnsiTheme="minorHAnsi" w:cstheme="minorHAnsi"/>
          <w:b/>
          <w:u w:val="single"/>
        </w:rPr>
        <w:t>Válasz:</w:t>
      </w:r>
      <w:r w:rsidRPr="00D35248">
        <w:rPr>
          <w:rFonts w:asciiTheme="minorHAnsi" w:hAnsiTheme="minorHAnsi" w:cstheme="minorHAnsi"/>
        </w:rPr>
        <w:t xml:space="preserve"> Igen. </w:t>
      </w:r>
    </w:p>
    <w:p w:rsidR="00C87B56" w:rsidRPr="00C87B56" w:rsidRDefault="00C87B56" w:rsidP="00C87B56">
      <w:pPr>
        <w:ind w:left="426"/>
        <w:rPr>
          <w:rFonts w:asciiTheme="minorHAnsi" w:hAnsiTheme="minorHAnsi" w:cstheme="minorHAnsi"/>
        </w:rPr>
      </w:pPr>
    </w:p>
    <w:p w:rsidR="005503F7" w:rsidRDefault="001C10E8" w:rsidP="00A97764">
      <w:pPr>
        <w:pStyle w:val="ListParagraph"/>
        <w:numPr>
          <w:ilvl w:val="0"/>
          <w:numId w:val="24"/>
        </w:numPr>
        <w:ind w:left="426" w:hanging="426"/>
      </w:pPr>
      <w:r w:rsidRPr="004A5E79">
        <w:rPr>
          <w:rFonts w:cstheme="minorHAnsi"/>
          <w:b/>
          <w:u w:val="single"/>
        </w:rPr>
        <w:t>Kérdés</w:t>
      </w:r>
      <w:r w:rsidRPr="004A5E79">
        <w:rPr>
          <w:rFonts w:cstheme="minorHAnsi"/>
          <w:b/>
        </w:rPr>
        <w:t>:</w:t>
      </w:r>
      <w:r w:rsidR="00794EAB" w:rsidRPr="00C87B56">
        <w:t xml:space="preserve"> </w:t>
      </w:r>
    </w:p>
    <w:p w:rsidR="005503F7" w:rsidRDefault="001C10E8">
      <w:pPr>
        <w:ind w:left="360"/>
      </w:pPr>
      <w:r>
        <w:t>A</w:t>
      </w:r>
      <w:r w:rsidR="00794EAB" w:rsidRPr="00C87B56">
        <w:t>z LE4 és LE5 táblák esetében a kitettségek esedékes összegeinek várható alakulása - lejárati bontásban - az egyes törlesztő részletek hátralévő lejárat szerinti besorolását kell elvégezni (a jelenlegi 4A táblához hasonló metodikával)?</w:t>
      </w:r>
      <w:r w:rsidR="006B0B68" w:rsidRPr="00C87B56">
        <w:t xml:space="preserve"> </w:t>
      </w:r>
    </w:p>
    <w:p w:rsidR="005503F7" w:rsidRDefault="005503F7">
      <w:pPr>
        <w:ind w:left="360"/>
      </w:pPr>
    </w:p>
    <w:p w:rsidR="00C87B56" w:rsidRPr="00D35248" w:rsidRDefault="004A5E79" w:rsidP="00C87B56">
      <w:pPr>
        <w:spacing w:line="276" w:lineRule="auto"/>
        <w:ind w:left="426"/>
        <w:jc w:val="both"/>
        <w:rPr>
          <w:rFonts w:asciiTheme="minorHAnsi" w:hAnsiTheme="minorHAnsi"/>
        </w:rPr>
      </w:pPr>
      <w:r w:rsidRPr="00D35248">
        <w:rPr>
          <w:rFonts w:asciiTheme="minorHAnsi" w:hAnsiTheme="minorHAnsi"/>
          <w:b/>
          <w:u w:val="single"/>
        </w:rPr>
        <w:t xml:space="preserve">Válasz: </w:t>
      </w:r>
      <w:r w:rsidR="00C87B56" w:rsidRPr="00D35248">
        <w:rPr>
          <w:rFonts w:asciiTheme="minorHAnsi" w:hAnsiTheme="minorHAnsi" w:cstheme="minorHAnsi"/>
        </w:rPr>
        <w:t>Igen, a hátralévő lejárat alapján kell elvégezni a besorolást.</w:t>
      </w:r>
    </w:p>
    <w:p w:rsidR="00794EAB" w:rsidRPr="00DF04D1" w:rsidRDefault="00794EAB" w:rsidP="00794EAB">
      <w:pPr>
        <w:spacing w:line="276" w:lineRule="auto"/>
        <w:jc w:val="both"/>
        <w:rPr>
          <w:rFonts w:asciiTheme="minorHAnsi" w:hAnsiTheme="minorHAnsi"/>
        </w:rPr>
      </w:pPr>
    </w:p>
    <w:p w:rsidR="005503F7" w:rsidRDefault="004679DA">
      <w:pPr>
        <w:pStyle w:val="ListParagraph"/>
        <w:numPr>
          <w:ilvl w:val="0"/>
          <w:numId w:val="24"/>
        </w:numPr>
        <w:ind w:left="284"/>
        <w:jc w:val="both"/>
        <w:rPr>
          <w:rFonts w:asciiTheme="majorHAnsi" w:hAnsiTheme="majorHAnsi" w:cstheme="minorHAnsi"/>
          <w:color w:val="0070C0"/>
        </w:rPr>
      </w:pPr>
      <w:r w:rsidRPr="00DF04D1">
        <w:rPr>
          <w:rFonts w:eastAsia="Calibri" w:cs="Times New Roman"/>
          <w:b/>
          <w:u w:val="single"/>
        </w:rPr>
        <w:t>Kérdés:</w:t>
      </w:r>
      <w:r w:rsidRPr="00DF04D1">
        <w:t xml:space="preserve"> </w:t>
      </w:r>
      <w:r w:rsidR="00794EAB" w:rsidRPr="00DF04D1">
        <w:t xml:space="preserve">A jelentésekben a </w:t>
      </w:r>
      <w:r w:rsidR="00794EAB" w:rsidRPr="00BF5D3E">
        <w:rPr>
          <w:b/>
        </w:rPr>
        <w:t>hátralékos hitelek vonatkozásában</w:t>
      </w:r>
      <w:r w:rsidR="00794EAB" w:rsidRPr="00DF04D1">
        <w:t>, legtöbb helyen módosítva lett a 2013</w:t>
      </w:r>
      <w:r w:rsidR="00794EAB" w:rsidRPr="00537A6B">
        <w:t xml:space="preserve">. október végén letölthető verzióban a „default” kifejezés a „performing/non performing” </w:t>
      </w:r>
      <w:r w:rsidR="00794EAB" w:rsidRPr="00537A6B">
        <w:lastRenderedPageBreak/>
        <w:t>kifejezésre. Az LE2-LE3 jelentéseken továbbra is a „default” maradt elvárásként.</w:t>
      </w:r>
      <w:r w:rsidRPr="00537A6B">
        <w:t xml:space="preserve"> </w:t>
      </w:r>
      <w:r w:rsidR="00794EAB" w:rsidRPr="00537A6B">
        <w:t xml:space="preserve">Kérdésünk lenne, hogy a „large exposures” táblák esetében ez véletlen, vagy tudatosan ez marad az elvárás? </w:t>
      </w:r>
    </w:p>
    <w:p w:rsidR="00C87B56" w:rsidRPr="00C43C38" w:rsidRDefault="004679DA" w:rsidP="00DF04D1">
      <w:pPr>
        <w:ind w:left="284"/>
        <w:jc w:val="both"/>
        <w:rPr>
          <w:rFonts w:asciiTheme="minorHAnsi" w:hAnsiTheme="minorHAnsi" w:cstheme="minorHAnsi"/>
        </w:rPr>
      </w:pPr>
      <w:r w:rsidRPr="00C43C38">
        <w:rPr>
          <w:rFonts w:asciiTheme="minorHAnsi" w:hAnsiTheme="minorHAnsi"/>
          <w:b/>
          <w:u w:val="single"/>
        </w:rPr>
        <w:t>Válasz:</w:t>
      </w:r>
      <w:r w:rsidR="00C87B56" w:rsidRPr="00C43C38">
        <w:rPr>
          <w:rFonts w:asciiTheme="minorHAnsi" w:hAnsiTheme="minorHAnsi" w:cstheme="minorHAnsi"/>
        </w:rPr>
        <w:t xml:space="preserve"> Igen, a CRR nagykockázati táblá</w:t>
      </w:r>
      <w:r w:rsidR="00C43C38">
        <w:rPr>
          <w:rFonts w:asciiTheme="minorHAnsi" w:hAnsiTheme="minorHAnsi" w:cstheme="minorHAnsi"/>
        </w:rPr>
        <w:t>iban a CRR 178. cikke szerinti „d</w:t>
      </w:r>
      <w:r w:rsidR="00C87B56" w:rsidRPr="00C43C38">
        <w:rPr>
          <w:rFonts w:asciiTheme="minorHAnsi" w:hAnsiTheme="minorHAnsi" w:cstheme="minorHAnsi"/>
        </w:rPr>
        <w:t>efault</w:t>
      </w:r>
      <w:r w:rsidR="00C43C38">
        <w:rPr>
          <w:rFonts w:asciiTheme="minorHAnsi" w:hAnsiTheme="minorHAnsi" w:cstheme="minorHAnsi"/>
        </w:rPr>
        <w:t>”</w:t>
      </w:r>
      <w:r w:rsidR="00C87B56" w:rsidRPr="00C43C38">
        <w:rPr>
          <w:rFonts w:asciiTheme="minorHAnsi" w:hAnsiTheme="minorHAnsi" w:cstheme="minorHAnsi"/>
        </w:rPr>
        <w:t xml:space="preserve"> fogalom alkalmazandó.  </w:t>
      </w:r>
      <w:r w:rsidR="0091041F" w:rsidRPr="00C43C38">
        <w:rPr>
          <w:rFonts w:asciiTheme="minorHAnsi" w:hAnsiTheme="minorHAnsi" w:cstheme="minorHAnsi"/>
        </w:rPr>
        <w:t>Véleményünk szerint tudatos</w:t>
      </w:r>
      <w:r w:rsidR="00AB76AB" w:rsidRPr="00C43C38">
        <w:rPr>
          <w:rFonts w:asciiTheme="minorHAnsi" w:hAnsiTheme="minorHAnsi" w:cstheme="minorHAnsi"/>
        </w:rPr>
        <w:t>an ez az elvárás.</w:t>
      </w:r>
    </w:p>
    <w:p w:rsidR="0091041F" w:rsidRPr="00C43C38" w:rsidRDefault="0091041F" w:rsidP="00C87B56">
      <w:pPr>
        <w:spacing w:line="276" w:lineRule="auto"/>
        <w:ind w:left="284"/>
        <w:jc w:val="both"/>
        <w:rPr>
          <w:rFonts w:asciiTheme="minorHAnsi" w:hAnsiTheme="minorHAnsi"/>
        </w:rPr>
      </w:pPr>
    </w:p>
    <w:p w:rsidR="00290C7E" w:rsidRDefault="00290C7E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94EAB" w:rsidRPr="00537A6B" w:rsidRDefault="00794EAB" w:rsidP="00784D2D">
      <w:pPr>
        <w:rPr>
          <w:rFonts w:asciiTheme="minorHAnsi" w:hAnsiTheme="minorHAnsi"/>
          <w:b/>
          <w:sz w:val="24"/>
          <w:szCs w:val="24"/>
        </w:rPr>
      </w:pPr>
    </w:p>
    <w:p w:rsidR="00853DB9" w:rsidRPr="00537A6B" w:rsidRDefault="00853DB9" w:rsidP="00A54621">
      <w:pPr>
        <w:pStyle w:val="ListParagraph"/>
        <w:numPr>
          <w:ilvl w:val="0"/>
          <w:numId w:val="20"/>
        </w:numPr>
        <w:ind w:left="709"/>
        <w:rPr>
          <w:b/>
          <w:sz w:val="24"/>
          <w:szCs w:val="24"/>
        </w:rPr>
      </w:pPr>
      <w:r w:rsidRPr="00537A6B">
        <w:rPr>
          <w:b/>
          <w:sz w:val="24"/>
          <w:szCs w:val="24"/>
        </w:rPr>
        <w:t xml:space="preserve">FINREP </w:t>
      </w:r>
    </w:p>
    <w:p w:rsidR="00537A6B" w:rsidRPr="00537A6B" w:rsidRDefault="00537A6B" w:rsidP="00537A6B">
      <w:pPr>
        <w:ind w:left="360"/>
        <w:jc w:val="both"/>
      </w:pPr>
      <w:r>
        <w:t>A SZEKTOR MEGHATÁROZÁSSAL KAPCSOLATOS KÉRDÉSEK</w:t>
      </w:r>
    </w:p>
    <w:p w:rsidR="00794EAB" w:rsidRPr="00537A6B" w:rsidRDefault="00794EAB" w:rsidP="00794EAB">
      <w:pPr>
        <w:rPr>
          <w:rFonts w:asciiTheme="minorHAnsi" w:hAnsiTheme="minorHAnsi"/>
          <w:b/>
          <w:sz w:val="24"/>
          <w:szCs w:val="24"/>
        </w:rPr>
      </w:pPr>
    </w:p>
    <w:p w:rsidR="00794EAB" w:rsidRPr="00537A6B" w:rsidRDefault="00794EAB" w:rsidP="00794EAB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eastAsia="Calibri" w:cs="Times New Roman"/>
          <w:b/>
          <w:u w:val="single"/>
        </w:rPr>
      </w:pPr>
      <w:r w:rsidRPr="00537A6B">
        <w:rPr>
          <w:rFonts w:eastAsia="Calibri" w:cs="Times New Roman"/>
          <w:b/>
          <w:u w:val="single"/>
        </w:rPr>
        <w:t xml:space="preserve">Kérdés: </w:t>
      </w:r>
    </w:p>
    <w:p w:rsidR="00794EAB" w:rsidRPr="00537A6B" w:rsidRDefault="00794EAB" w:rsidP="00794EAB">
      <w:pPr>
        <w:pStyle w:val="ListParagraph"/>
        <w:spacing w:after="0"/>
        <w:ind w:left="426"/>
        <w:jc w:val="both"/>
        <w:rPr>
          <w:rFonts w:eastAsia="Calibri" w:cs="Times New Roman"/>
        </w:rPr>
      </w:pPr>
      <w:r w:rsidRPr="00537A6B">
        <w:rPr>
          <w:rFonts w:eastAsia="Calibri" w:cs="Times New Roman"/>
        </w:rPr>
        <w:t>G05 alszektor: „General governments: central governments, state or regional governments, and local governments, including administrative bodies and non-commercial undertakings, but excluding public companies and private companies held by these administrations that have a commercial activity (which shall be reported under “non-financial corporations”); social security funds; and international organisations, such as the European Community, the International Monetary Fund and the Bank for International Settlements.”</w:t>
      </w:r>
    </w:p>
    <w:p w:rsidR="00794EAB" w:rsidRPr="00537A6B" w:rsidRDefault="00794EAB" w:rsidP="00794EAB">
      <w:pPr>
        <w:ind w:left="426"/>
        <w:jc w:val="both"/>
        <w:rPr>
          <w:rFonts w:asciiTheme="minorHAnsi" w:hAnsiTheme="minorHAnsi"/>
        </w:rPr>
      </w:pPr>
      <w:r w:rsidRPr="00537A6B">
        <w:rPr>
          <w:rFonts w:asciiTheme="minorHAnsi" w:hAnsiTheme="minorHAnsi"/>
        </w:rPr>
        <w:t>Azokat a vállalatokat, amelyeket az MNB szektorlista alapján G szektorba kell besorolni, a FINREP vonatkozásában melyik szektorba sorolandók? (pl. Nemzeti autópálya, Nemzeti Filharmónia, stb.)</w:t>
      </w:r>
      <w:r w:rsidR="006B0B68" w:rsidRPr="006B0B68">
        <w:rPr>
          <w:rFonts w:asciiTheme="minorHAnsi" w:hAnsiTheme="minorHAnsi"/>
        </w:rPr>
        <w:t xml:space="preserve"> </w:t>
      </w:r>
    </w:p>
    <w:p w:rsidR="00794EAB" w:rsidRPr="00537A6B" w:rsidRDefault="00794EAB" w:rsidP="00794EAB">
      <w:pPr>
        <w:ind w:left="708"/>
        <w:jc w:val="both"/>
        <w:rPr>
          <w:rFonts w:asciiTheme="minorHAnsi" w:hAnsiTheme="minorHAnsi"/>
        </w:rPr>
      </w:pPr>
    </w:p>
    <w:p w:rsidR="004B74F3" w:rsidRPr="00DF04D1" w:rsidRDefault="00794EAB" w:rsidP="00794EAB">
      <w:pPr>
        <w:ind w:left="426"/>
        <w:jc w:val="both"/>
        <w:rPr>
          <w:rFonts w:asciiTheme="minorHAnsi" w:hAnsiTheme="minorHAnsi"/>
        </w:rPr>
      </w:pPr>
      <w:r w:rsidRPr="00DF04D1">
        <w:rPr>
          <w:rFonts w:asciiTheme="minorHAnsi" w:hAnsiTheme="minorHAnsi"/>
          <w:b/>
          <w:u w:val="single"/>
        </w:rPr>
        <w:t>Válasz</w:t>
      </w:r>
      <w:r w:rsidRPr="00DF04D1">
        <w:rPr>
          <w:rFonts w:asciiTheme="minorHAnsi" w:hAnsiTheme="minorHAnsi"/>
        </w:rPr>
        <w:t>:</w:t>
      </w:r>
      <w:r w:rsidR="00537A6B" w:rsidRPr="00DF04D1">
        <w:rPr>
          <w:rFonts w:asciiTheme="minorHAnsi" w:hAnsiTheme="minorHAnsi"/>
        </w:rPr>
        <w:t xml:space="preserve"> </w:t>
      </w:r>
    </w:p>
    <w:p w:rsidR="00DD3957" w:rsidRDefault="005F16B8" w:rsidP="00794EAB">
      <w:p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FINREP ügyfélszektorok alapját a</w:t>
      </w:r>
      <w:r w:rsidR="000E668C">
        <w:rPr>
          <w:rFonts w:asciiTheme="minorHAnsi" w:hAnsiTheme="minorHAnsi"/>
        </w:rPr>
        <w:t>z EC</w:t>
      </w:r>
      <w:r w:rsidR="00DD3957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BSI</w:t>
      </w:r>
      <w:r w:rsidR="00DD39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statisztika szektorbesorolása képezi. Az MNB </w:t>
      </w:r>
      <w:r w:rsidR="002528D6">
        <w:rPr>
          <w:rFonts w:asciiTheme="minorHAnsi" w:hAnsiTheme="minorHAnsi"/>
        </w:rPr>
        <w:t xml:space="preserve">felé teljesítendő </w:t>
      </w:r>
      <w:r w:rsidR="00494A8E">
        <w:rPr>
          <w:rFonts w:asciiTheme="minorHAnsi" w:hAnsiTheme="minorHAnsi"/>
        </w:rPr>
        <w:t xml:space="preserve">hazai </w:t>
      </w:r>
      <w:r w:rsidR="002528D6">
        <w:rPr>
          <w:rFonts w:asciiTheme="minorHAnsi" w:hAnsiTheme="minorHAnsi"/>
        </w:rPr>
        <w:t xml:space="preserve">adatszolgáltatások </w:t>
      </w:r>
      <w:r w:rsidR="00494A8E">
        <w:rPr>
          <w:rFonts w:asciiTheme="minorHAnsi" w:hAnsiTheme="minorHAnsi"/>
        </w:rPr>
        <w:t xml:space="preserve">(pl. Mérleg 1AB) </w:t>
      </w:r>
      <w:r>
        <w:rPr>
          <w:rFonts w:asciiTheme="minorHAnsi" w:hAnsiTheme="minorHAnsi"/>
        </w:rPr>
        <w:t xml:space="preserve">szektorbesorolása is a BSI szektorokra vonatkozó előírásait követi. </w:t>
      </w:r>
      <w:r w:rsidR="00DD3957">
        <w:rPr>
          <w:rFonts w:asciiTheme="minorHAnsi" w:hAnsiTheme="minorHAnsi"/>
        </w:rPr>
        <w:t xml:space="preserve">A BSI Regulation elérési útvonala: </w:t>
      </w:r>
      <w:hyperlink r:id="rId9" w:history="1">
        <w:r w:rsidR="002F32B8" w:rsidRPr="004A2A4B">
          <w:rPr>
            <w:rStyle w:val="Hyperlink"/>
            <w:rFonts w:asciiTheme="minorHAnsi" w:hAnsiTheme="minorHAnsi"/>
          </w:rPr>
          <w:t>http://www.ecb.europa.eu/ecb/legal/pdf/l_01520090120en00140062.pdf</w:t>
        </w:r>
      </w:hyperlink>
      <w:r w:rsidR="002F32B8">
        <w:rPr>
          <w:rFonts w:asciiTheme="minorHAnsi" w:hAnsiTheme="minorHAnsi"/>
        </w:rPr>
        <w:t xml:space="preserve">  </w:t>
      </w:r>
    </w:p>
    <w:p w:rsidR="00DD3957" w:rsidRDefault="005F16B8" w:rsidP="00DD3957">
      <w:p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FINREP és BSI adatszolgáltatás szektorai közötti megfeleltetés során segítséget nyújt az ún. „BRIDGING THE REPORTING REQUIREMENTS – METHODOLOGICAL MANUAL” elnevezésű kézikönyv</w:t>
      </w:r>
      <w:r w:rsidR="00306A38">
        <w:rPr>
          <w:rFonts w:asciiTheme="minorHAnsi" w:hAnsiTheme="minorHAnsi"/>
        </w:rPr>
        <w:t xml:space="preserve">, mely megtekinthető a következő elérési útvonalon: </w:t>
      </w:r>
      <w:hyperlink r:id="rId10" w:history="1">
        <w:r w:rsidRPr="00087976">
          <w:rPr>
            <w:rStyle w:val="Hyperlink"/>
            <w:rFonts w:asciiTheme="minorHAnsi" w:hAnsiTheme="minorHAnsi"/>
          </w:rPr>
          <w:t>http://www.ecb.europa.eu/pub/pdf/other/mfibalancesheetinterestratesstatisticsebsguidelines201203en.pdf</w:t>
        </w:r>
      </w:hyperlink>
    </w:p>
    <w:p w:rsidR="00DD3957" w:rsidRPr="00DF04D1" w:rsidRDefault="005F3632" w:rsidP="00DD3957">
      <w:p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Összhangban az ECB BSI statisztika szektorbesorolásával</w:t>
      </w:r>
      <w:r w:rsidR="009278FC">
        <w:rPr>
          <w:rFonts w:asciiTheme="minorHAnsi" w:hAnsiTheme="minorHAnsi"/>
        </w:rPr>
        <w:t xml:space="preserve"> </w:t>
      </w:r>
      <w:r w:rsidR="00DD3957">
        <w:rPr>
          <w:rFonts w:asciiTheme="minorHAnsi" w:hAnsiTheme="minorHAnsi"/>
        </w:rPr>
        <w:t>az MNB szektorlista alapján G szektorba sorolt vállalatokat a FINREP esetében a „General governments” kategóriába kell sorolni.</w:t>
      </w:r>
    </w:p>
    <w:p w:rsidR="00E71841" w:rsidRDefault="00E71841" w:rsidP="00794EAB">
      <w:pPr>
        <w:ind w:left="426"/>
        <w:jc w:val="both"/>
        <w:rPr>
          <w:rFonts w:asciiTheme="minorHAnsi" w:hAnsiTheme="minorHAnsi"/>
        </w:rPr>
      </w:pPr>
    </w:p>
    <w:p w:rsidR="004C73B1" w:rsidRPr="00537A6B" w:rsidRDefault="004C73B1" w:rsidP="00784D2D">
      <w:pPr>
        <w:rPr>
          <w:rFonts w:asciiTheme="minorHAnsi" w:hAnsiTheme="minorHAnsi"/>
          <w:b/>
          <w:sz w:val="24"/>
          <w:szCs w:val="24"/>
        </w:rPr>
      </w:pPr>
    </w:p>
    <w:p w:rsidR="004679DA" w:rsidRPr="00537A6B" w:rsidRDefault="00794EAB" w:rsidP="00537A6B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eastAsia="Calibri" w:cs="Times New Roman"/>
          <w:b/>
          <w:u w:val="single"/>
        </w:rPr>
      </w:pPr>
      <w:r w:rsidRPr="00537A6B">
        <w:rPr>
          <w:rFonts w:eastAsia="Calibri" w:cs="Times New Roman"/>
          <w:b/>
          <w:u w:val="single"/>
        </w:rPr>
        <w:t xml:space="preserve">Kérdés: </w:t>
      </w:r>
    </w:p>
    <w:p w:rsidR="00794EAB" w:rsidRPr="00537A6B" w:rsidRDefault="00794EAB" w:rsidP="004679DA">
      <w:pPr>
        <w:pStyle w:val="ListParagraph"/>
        <w:ind w:left="426"/>
        <w:jc w:val="both"/>
        <w:rPr>
          <w:rFonts w:cstheme="minorHAnsi"/>
        </w:rPr>
      </w:pPr>
      <w:r w:rsidRPr="00537A6B">
        <w:rPr>
          <w:rFonts w:cstheme="minorHAnsi"/>
        </w:rPr>
        <w:t>Kérünk irán</w:t>
      </w:r>
      <w:r w:rsidR="009D24A8">
        <w:rPr>
          <w:rFonts w:cstheme="minorHAnsi"/>
        </w:rPr>
        <w:t>ymutatást, hogy a „households „</w:t>
      </w:r>
      <w:r w:rsidRPr="00537A6B">
        <w:rPr>
          <w:rFonts w:cstheme="minorHAnsi"/>
        </w:rPr>
        <w:t>szektorba a jelenlegi MNB szektorbontással összhangban mely szektorokat kell besorolni. Kérjük a jelenlegi magyar jogszabályokkal összhangban a „quasi corporations” szektorhoz iránymutatást adni, hogy mely jelenlegi szektorokkal feleltethetők meg. Amennyiben az egyéni vállalkozók a Households szektorba sorolandók, a Non-financial corporations - Of which: Small and Medium-sized Enterprises sorban csak a nem-pénzügyi vállalatok közé tartozó KKV-k hiteleit kell kimutatni?</w:t>
      </w:r>
      <w:r w:rsidR="006B0B68" w:rsidRPr="006B0B68">
        <w:rPr>
          <w:rFonts w:eastAsia="Calibri" w:cs="Times New Roman"/>
        </w:rPr>
        <w:t xml:space="preserve"> </w:t>
      </w:r>
    </w:p>
    <w:p w:rsidR="00794EAB" w:rsidRPr="00537A6B" w:rsidRDefault="00794EAB" w:rsidP="00794EAB">
      <w:pPr>
        <w:pStyle w:val="ListParagraph"/>
        <w:ind w:left="426"/>
        <w:jc w:val="both"/>
        <w:rPr>
          <w:rFonts w:cstheme="minorHAnsi"/>
        </w:rPr>
      </w:pPr>
    </w:p>
    <w:p w:rsidR="00794EAB" w:rsidRPr="00DF04D1" w:rsidRDefault="00794EAB" w:rsidP="00794EAB">
      <w:pPr>
        <w:pStyle w:val="ListParagraph"/>
        <w:ind w:left="426"/>
        <w:jc w:val="both"/>
        <w:rPr>
          <w:rFonts w:cstheme="minorHAnsi"/>
        </w:rPr>
      </w:pPr>
      <w:r w:rsidRPr="00DF04D1">
        <w:rPr>
          <w:rFonts w:cstheme="minorHAnsi"/>
          <w:b/>
          <w:u w:val="single"/>
        </w:rPr>
        <w:t>Válasz:</w:t>
      </w:r>
      <w:r w:rsidRPr="00DF04D1">
        <w:rPr>
          <w:rFonts w:cstheme="minorHAnsi"/>
        </w:rPr>
        <w:t xml:space="preserve"> </w:t>
      </w:r>
    </w:p>
    <w:p w:rsidR="00D50EBB" w:rsidRPr="001D0EC3" w:rsidRDefault="00AC6A2D" w:rsidP="00794EAB">
      <w:pPr>
        <w:pStyle w:val="ListParagraph"/>
        <w:ind w:left="426"/>
        <w:jc w:val="both"/>
        <w:rPr>
          <w:rFonts w:cstheme="minorHAnsi"/>
        </w:rPr>
      </w:pPr>
      <w:r w:rsidRPr="001D0EC3">
        <w:rPr>
          <w:rFonts w:cstheme="minorHAnsi"/>
        </w:rPr>
        <w:t>A</w:t>
      </w:r>
      <w:r w:rsidR="00DD3957" w:rsidRPr="001D0EC3">
        <w:rPr>
          <w:rFonts w:cstheme="minorHAnsi"/>
        </w:rPr>
        <w:t xml:space="preserve"> FINREP „Households” </w:t>
      </w:r>
      <w:r w:rsidR="00B60B18" w:rsidRPr="001D0EC3">
        <w:rPr>
          <w:rFonts w:cstheme="minorHAnsi"/>
        </w:rPr>
        <w:t>definíciója</w:t>
      </w:r>
      <w:r w:rsidR="00DD3957" w:rsidRPr="001D0EC3">
        <w:rPr>
          <w:rFonts w:cstheme="minorHAnsi"/>
        </w:rPr>
        <w:t xml:space="preserve">, </w:t>
      </w:r>
      <w:r w:rsidRPr="001D0EC3">
        <w:rPr>
          <w:rFonts w:cstheme="minorHAnsi"/>
        </w:rPr>
        <w:t>valamint</w:t>
      </w:r>
      <w:r w:rsidR="00DD3957" w:rsidRPr="001D0EC3">
        <w:rPr>
          <w:rFonts w:cstheme="minorHAnsi"/>
        </w:rPr>
        <w:t xml:space="preserve"> </w:t>
      </w:r>
      <w:r w:rsidR="00C43C38">
        <w:rPr>
          <w:rFonts w:cstheme="minorHAnsi"/>
        </w:rPr>
        <w:t xml:space="preserve">az ECB BSI Regulation szektor </w:t>
      </w:r>
      <w:r w:rsidR="00794EAB" w:rsidRPr="001D0EC3">
        <w:rPr>
          <w:rFonts w:cstheme="minorHAnsi"/>
        </w:rPr>
        <w:t xml:space="preserve">meghatározásra vonatkozó útmutatása alapján, megítélésünk szerint </w:t>
      </w:r>
      <w:r w:rsidR="00CC67B1" w:rsidRPr="001D0EC3">
        <w:rPr>
          <w:rFonts w:cstheme="minorHAnsi"/>
        </w:rPr>
        <w:t xml:space="preserve">a lakosságon és a háztartásokat segítő non-profit szervezeteken kívül </w:t>
      </w:r>
      <w:r w:rsidR="00D3388E" w:rsidRPr="001D0EC3">
        <w:rPr>
          <w:rFonts w:cstheme="minorHAnsi"/>
        </w:rPr>
        <w:t xml:space="preserve">az egyéni vállalkozók </w:t>
      </w:r>
      <w:r w:rsidR="00CC67B1" w:rsidRPr="001D0EC3">
        <w:rPr>
          <w:rFonts w:cstheme="minorHAnsi"/>
        </w:rPr>
        <w:t xml:space="preserve">is </w:t>
      </w:r>
      <w:r w:rsidR="00D3388E" w:rsidRPr="001D0EC3">
        <w:rPr>
          <w:rFonts w:cstheme="minorHAnsi"/>
        </w:rPr>
        <w:t xml:space="preserve">a háztartások részét képezik. </w:t>
      </w:r>
    </w:p>
    <w:p w:rsidR="00AC6A2D" w:rsidRPr="00DF04D1" w:rsidRDefault="005F3632" w:rsidP="00794EAB">
      <w:pPr>
        <w:pStyle w:val="ListParagraph"/>
        <w:ind w:left="426"/>
        <w:jc w:val="both"/>
        <w:rPr>
          <w:rFonts w:cstheme="minorHAnsi"/>
        </w:rPr>
      </w:pPr>
      <w:r w:rsidRPr="001D0EC3">
        <w:rPr>
          <w:rFonts w:cstheme="minorHAnsi"/>
        </w:rPr>
        <w:t>Ebből</w:t>
      </w:r>
      <w:r w:rsidR="00355A78" w:rsidRPr="001D0EC3">
        <w:rPr>
          <w:rFonts w:cstheme="minorHAnsi"/>
        </w:rPr>
        <w:t>, valamint a kapcsolódó ellenőrzési szabályokból</w:t>
      </w:r>
      <w:r w:rsidRPr="001D0EC3">
        <w:rPr>
          <w:rFonts w:cstheme="minorHAnsi"/>
        </w:rPr>
        <w:t xml:space="preserve"> </w:t>
      </w:r>
      <w:r w:rsidR="00494A8E" w:rsidRPr="001D0EC3">
        <w:rPr>
          <w:rFonts w:cstheme="minorHAnsi"/>
        </w:rPr>
        <w:t xml:space="preserve">valóban </w:t>
      </w:r>
      <w:r w:rsidRPr="001D0EC3">
        <w:rPr>
          <w:rFonts w:cstheme="minorHAnsi"/>
        </w:rPr>
        <w:t>az következ</w:t>
      </w:r>
      <w:r w:rsidR="00A97764">
        <w:rPr>
          <w:rFonts w:cstheme="minorHAnsi"/>
        </w:rPr>
        <w:t>ik</w:t>
      </w:r>
      <w:r w:rsidRPr="001D0EC3">
        <w:rPr>
          <w:rFonts w:cstheme="minorHAnsi"/>
        </w:rPr>
        <w:t>, hogy</w:t>
      </w:r>
      <w:r w:rsidR="00D3388E" w:rsidRPr="001D0EC3">
        <w:rPr>
          <w:rFonts w:cstheme="minorHAnsi"/>
        </w:rPr>
        <w:t xml:space="preserve"> a</w:t>
      </w:r>
      <w:r w:rsidR="00E31E58" w:rsidRPr="001D0EC3">
        <w:rPr>
          <w:rFonts w:cstheme="minorHAnsi"/>
        </w:rPr>
        <w:t xml:space="preserve">z F20.4 tábla </w:t>
      </w:r>
      <w:r w:rsidR="00D3388E" w:rsidRPr="001D0EC3">
        <w:rPr>
          <w:rFonts w:cstheme="minorHAnsi"/>
        </w:rPr>
        <w:t xml:space="preserve">Nem-pénzügyi vállalatok – Ebből: KKV sorban </w:t>
      </w:r>
      <w:r w:rsidR="00355A78" w:rsidRPr="001D0EC3">
        <w:rPr>
          <w:rFonts w:cstheme="minorHAnsi"/>
        </w:rPr>
        <w:t xml:space="preserve">(200. sor) </w:t>
      </w:r>
      <w:r w:rsidR="00D3388E" w:rsidRPr="001D0EC3">
        <w:rPr>
          <w:rFonts w:cstheme="minorHAnsi"/>
        </w:rPr>
        <w:t>csak a nem-pénzügyi vállalatok közé tartozó KKV-k hitelei szerepeltetendők.</w:t>
      </w:r>
      <w:r w:rsidR="00355A78" w:rsidRPr="001D0EC3">
        <w:rPr>
          <w:rFonts w:cstheme="minorHAnsi"/>
        </w:rPr>
        <w:t xml:space="preserve"> </w:t>
      </w:r>
    </w:p>
    <w:p w:rsidR="00794EAB" w:rsidRDefault="00794EAB" w:rsidP="00794EAB">
      <w:pPr>
        <w:pStyle w:val="ListParagraph"/>
        <w:ind w:left="426"/>
        <w:jc w:val="both"/>
        <w:rPr>
          <w:rFonts w:cstheme="minorHAnsi"/>
        </w:rPr>
      </w:pPr>
      <w:r w:rsidRPr="00DF04D1">
        <w:rPr>
          <w:rFonts w:cstheme="minorHAnsi"/>
        </w:rPr>
        <w:lastRenderedPageBreak/>
        <w:t xml:space="preserve">A kvázi vállalatok </w:t>
      </w:r>
      <w:r w:rsidR="00E71841" w:rsidRPr="00DF04D1">
        <w:rPr>
          <w:rFonts w:cstheme="minorHAnsi"/>
        </w:rPr>
        <w:t xml:space="preserve">(quasi-corporations) </w:t>
      </w:r>
      <w:r w:rsidRPr="00DF04D1">
        <w:rPr>
          <w:rFonts w:cstheme="minorHAnsi"/>
        </w:rPr>
        <w:t>definícióját sem a FINREP, sem az ECB BSI Regulation útmutatója</w:t>
      </w:r>
      <w:r w:rsidR="00BA40F0" w:rsidRPr="00DF04D1">
        <w:rPr>
          <w:rFonts w:cstheme="minorHAnsi"/>
        </w:rPr>
        <w:t xml:space="preserve"> nem tartalmazza</w:t>
      </w:r>
      <w:r w:rsidR="00542CE3">
        <w:rPr>
          <w:rFonts w:cstheme="minorHAnsi"/>
        </w:rPr>
        <w:t>, és erre vonatkozó magyar jogszabály sincs</w:t>
      </w:r>
      <w:r w:rsidR="00CD46B6" w:rsidRPr="00DF04D1">
        <w:rPr>
          <w:rFonts w:cstheme="minorHAnsi"/>
        </w:rPr>
        <w:t xml:space="preserve">. </w:t>
      </w:r>
      <w:r w:rsidR="006E4356">
        <w:rPr>
          <w:rFonts w:cstheme="minorHAnsi"/>
        </w:rPr>
        <w:t>Ezt a fogalmat az ESA95 szabvány definiálja, mely szerint</w:t>
      </w:r>
      <w:r w:rsidR="00B60F70">
        <w:rPr>
          <w:rFonts w:cstheme="minorHAnsi"/>
        </w:rPr>
        <w:t>:</w:t>
      </w:r>
    </w:p>
    <w:p w:rsidR="00B60F70" w:rsidRPr="00B60F70" w:rsidRDefault="00B60F70" w:rsidP="001D0EC3">
      <w:pPr>
        <w:pStyle w:val="List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B60F70">
        <w:rPr>
          <w:sz w:val="22"/>
          <w:szCs w:val="22"/>
        </w:rPr>
        <w:t>„</w:t>
      </w:r>
      <w:r w:rsidRPr="00B60F70">
        <w:rPr>
          <w:rFonts w:asciiTheme="minorHAnsi" w:hAnsiTheme="minorHAnsi"/>
          <w:sz w:val="22"/>
          <w:szCs w:val="22"/>
        </w:rPr>
        <w:t>2.24. A „nem-pénzügyi kvázi vállalatok” kifejezés minden olyan önálló jogi személyiséggel nem rendelkező szervezetet jelöl, amely piaci termelő és fő tevékenysége termékek és nem-pénzügyi szolgáltatások előállítása, és amely megfelel a kvázi vállalat definíciós feltételeinek (lásd a 2.13. bekezdés f. pontját).</w:t>
      </w:r>
    </w:p>
    <w:p w:rsidR="00B60F70" w:rsidRDefault="00B60F70" w:rsidP="001D0EC3">
      <w:pPr>
        <w:pStyle w:val="ListContinue"/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B60F70">
        <w:rPr>
          <w:rFonts w:asciiTheme="minorHAnsi" w:hAnsiTheme="minorHAnsi"/>
          <w:sz w:val="22"/>
          <w:szCs w:val="22"/>
        </w:rPr>
        <w:t>2.13. f pont: A kvázi vállalatok ugyanúgy vezetik a számlák teljes sorozatát és ugyanúgy működnek, mint a vállalatok. A tulajdonosaikhoz való tényleges viszonyuk megfelel a vállalatok és a részvényeseik között fennálló viszonynak.”</w:t>
      </w:r>
    </w:p>
    <w:p w:rsidR="001D0EC3" w:rsidRDefault="001D0EC3" w:rsidP="00B60F70">
      <w:pPr>
        <w:pStyle w:val="ListContinue"/>
        <w:spacing w:after="0"/>
        <w:ind w:left="284"/>
        <w:jc w:val="both"/>
        <w:rPr>
          <w:rFonts w:asciiTheme="minorHAnsi" w:hAnsiTheme="minorHAnsi"/>
          <w:sz w:val="22"/>
          <w:szCs w:val="22"/>
        </w:rPr>
      </w:pPr>
    </w:p>
    <w:p w:rsidR="001D0EC3" w:rsidRPr="00B60F70" w:rsidRDefault="00AB76AB" w:rsidP="00AB76AB">
      <w:pPr>
        <w:pStyle w:val="ListContinue"/>
        <w:spacing w:after="0"/>
        <w:ind w:firstLine="1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Összefoglalóan tehát a „kvázi vállalat” fogalom alatt a következőket értjük:  </w:t>
      </w:r>
    </w:p>
    <w:p w:rsidR="00AB76AB" w:rsidRDefault="00AB76AB" w:rsidP="00AB76AB">
      <w:pPr>
        <w:ind w:left="426"/>
        <w:jc w:val="both"/>
      </w:pPr>
      <w:r>
        <w:t xml:space="preserve">A kvázi vállalatok olyan gazdasági szereplők, amely hasonló módon működnek, mint a normál vállalatok, de valamilyen formai dologban eltérnek tőlük. A formai eltérés ellenére normál vállalatként kell kezelni őket. A kvázi vállalat tartozhat a pénzügyi vagy a nem-pénzügyi vállalatok szektorába a főtevékenységétől függően. </w:t>
      </w:r>
    </w:p>
    <w:p w:rsidR="0013382E" w:rsidRDefault="0013382E" w:rsidP="0013382E">
      <w:pPr>
        <w:ind w:left="426"/>
        <w:jc w:val="both"/>
      </w:pPr>
      <w:r>
        <w:t>Magyarországon a nemzeti számlákban a jogi személyiséggel nem rendelkező gazdasági társaságokat</w:t>
      </w:r>
      <w:r w:rsidR="00FD4931">
        <w:t xml:space="preserve"> (bt., kkt.)</w:t>
      </w:r>
      <w:r>
        <w:t xml:space="preserve"> szokták kvázi vállalatként emlegetni. De olyan vállalatként működő gazdasági egységek is ide tartozhatnak, amelyek például nincsenek benne a cégnyilvántartásban. Tipikus kvázi vállalat a társasház, vagy a külföldi vállalat magyarországi fióktelepe.</w:t>
      </w:r>
    </w:p>
    <w:p w:rsidR="00AB76AB" w:rsidRDefault="00AB76AB" w:rsidP="00AB76AB">
      <w:pPr>
        <w:ind w:left="426"/>
        <w:jc w:val="both"/>
      </w:pPr>
    </w:p>
    <w:p w:rsidR="00B60F70" w:rsidRPr="00B60F70" w:rsidRDefault="00B60F70" w:rsidP="00794EAB">
      <w:pPr>
        <w:pStyle w:val="ListParagraph"/>
        <w:ind w:left="426"/>
        <w:jc w:val="both"/>
        <w:rPr>
          <w:rFonts w:cstheme="minorHAnsi"/>
        </w:rPr>
      </w:pPr>
    </w:p>
    <w:p w:rsidR="00847ED7" w:rsidRPr="009C61C1" w:rsidRDefault="00537A6B" w:rsidP="004C73B1">
      <w:pPr>
        <w:jc w:val="both"/>
        <w:rPr>
          <w:rFonts w:asciiTheme="minorHAnsi" w:hAnsiTheme="minorHAnsi"/>
          <w:b/>
        </w:rPr>
      </w:pPr>
      <w:r w:rsidRPr="009C61C1">
        <w:rPr>
          <w:rFonts w:asciiTheme="minorHAnsi" w:hAnsiTheme="minorHAnsi"/>
          <w:b/>
        </w:rPr>
        <w:t>AZ EGYES FINREP TÁBLÁKRA VONATKOZÓ KÉRDÉSEK</w:t>
      </w:r>
    </w:p>
    <w:p w:rsidR="004679DA" w:rsidRPr="00537A6B" w:rsidRDefault="004679DA" w:rsidP="004C73B1">
      <w:pPr>
        <w:jc w:val="both"/>
        <w:rPr>
          <w:rFonts w:asciiTheme="minorHAnsi" w:hAnsiTheme="minorHAnsi"/>
        </w:rPr>
      </w:pPr>
    </w:p>
    <w:p w:rsidR="004679DA" w:rsidRPr="00537A6B" w:rsidRDefault="004679DA" w:rsidP="003C58BD">
      <w:pPr>
        <w:pStyle w:val="ListParagraph"/>
        <w:ind w:left="0"/>
        <w:jc w:val="both"/>
        <w:rPr>
          <w:b/>
        </w:rPr>
      </w:pPr>
      <w:r w:rsidRPr="00537A6B">
        <w:rPr>
          <w:b/>
        </w:rPr>
        <w:t>F5. Breakdown of loans and advances by product</w:t>
      </w:r>
    </w:p>
    <w:p w:rsidR="004679DA" w:rsidRPr="00537A6B" w:rsidRDefault="004679DA" w:rsidP="004679DA">
      <w:pPr>
        <w:pStyle w:val="ListParagraph"/>
        <w:ind w:left="1080"/>
        <w:jc w:val="both"/>
      </w:pPr>
    </w:p>
    <w:p w:rsidR="004679DA" w:rsidRPr="00537A6B" w:rsidRDefault="004679DA" w:rsidP="00290C7E">
      <w:pPr>
        <w:pStyle w:val="ListParagraph"/>
        <w:numPr>
          <w:ilvl w:val="0"/>
          <w:numId w:val="10"/>
        </w:numPr>
        <w:ind w:left="426"/>
        <w:jc w:val="both"/>
      </w:pPr>
      <w:r w:rsidRPr="00537A6B">
        <w:rPr>
          <w:b/>
          <w:u w:val="single"/>
        </w:rPr>
        <w:t xml:space="preserve">Kérdés: </w:t>
      </w:r>
    </w:p>
    <w:p w:rsidR="004C73B1" w:rsidRPr="00537A6B" w:rsidRDefault="00847ED7" w:rsidP="00EE10B0">
      <w:pPr>
        <w:pStyle w:val="ListParagraph"/>
        <w:ind w:left="426"/>
        <w:jc w:val="both"/>
        <w:rPr>
          <w:rFonts w:eastAsia="Times New Roman" w:cs="Arial"/>
          <w:lang w:eastAsia="hu-HU"/>
        </w:rPr>
      </w:pPr>
      <w:r w:rsidRPr="00537A6B">
        <w:t>A</w:t>
      </w:r>
      <w:r w:rsidR="004C73B1" w:rsidRPr="00537A6B">
        <w:t xml:space="preserve"> 090 sorban elvárt információk tekintetében, jól értelmezzük</w:t>
      </w:r>
      <w:r w:rsidRPr="00537A6B">
        <w:t>-e,</w:t>
      </w:r>
      <w:r w:rsidR="004C73B1" w:rsidRPr="00537A6B">
        <w:t xml:space="preserve"> hogy </w:t>
      </w:r>
      <w:r w:rsidR="004C73B1" w:rsidRPr="00537A6B">
        <w:rPr>
          <w:rFonts w:eastAsia="Times New Roman" w:cs="Arial"/>
          <w:lang w:eastAsia="hu-HU"/>
        </w:rPr>
        <w:t xml:space="preserve">minden ingatlan fedezet ide tartozik? </w:t>
      </w:r>
      <w:r w:rsidRPr="00537A6B">
        <w:rPr>
          <w:rFonts w:eastAsia="Times New Roman" w:cs="Arial"/>
          <w:lang w:eastAsia="hu-HU"/>
        </w:rPr>
        <w:t>(</w:t>
      </w:r>
      <w:r w:rsidR="004C73B1" w:rsidRPr="00537A6B">
        <w:rPr>
          <w:rFonts w:eastAsia="Times New Roman" w:cs="Arial"/>
          <w:lang w:eastAsia="hu-HU"/>
        </w:rPr>
        <w:t>telek,</w:t>
      </w:r>
      <w:r w:rsidRPr="00537A6B">
        <w:rPr>
          <w:rFonts w:eastAsia="Times New Roman" w:cs="Arial"/>
          <w:lang w:eastAsia="hu-HU"/>
        </w:rPr>
        <w:t xml:space="preserve"> </w:t>
      </w:r>
      <w:r w:rsidR="004C73B1" w:rsidRPr="00537A6B">
        <w:rPr>
          <w:rFonts w:eastAsia="Times New Roman" w:cs="Arial"/>
          <w:lang w:eastAsia="hu-HU"/>
        </w:rPr>
        <w:t>üdülő is?</w:t>
      </w:r>
      <w:r w:rsidRPr="00537A6B">
        <w:rPr>
          <w:rFonts w:eastAsia="Times New Roman" w:cs="Arial"/>
          <w:lang w:eastAsia="hu-HU"/>
        </w:rPr>
        <w:t>)</w:t>
      </w:r>
    </w:p>
    <w:p w:rsidR="004C73B1" w:rsidRPr="00537A6B" w:rsidRDefault="004C73B1" w:rsidP="00EE10B0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537A6B">
        <w:rPr>
          <w:rFonts w:asciiTheme="minorHAnsi" w:hAnsiTheme="minorHAnsi" w:cstheme="minorHAnsi"/>
        </w:rPr>
        <w:t>h)“Mortgage loans [Loans collateralized by immovable property]” include loans formally secured by immovable property collateral independently of their loan/collateral ratio (commonly referred as “loan-to-value”).</w:t>
      </w:r>
      <w:r w:rsidR="006B0B68" w:rsidRPr="006B0B68">
        <w:rPr>
          <w:rFonts w:asciiTheme="minorHAnsi" w:hAnsiTheme="minorHAnsi"/>
        </w:rPr>
        <w:t xml:space="preserve"> </w:t>
      </w:r>
    </w:p>
    <w:p w:rsidR="00090542" w:rsidRPr="00537A6B" w:rsidRDefault="00090542" w:rsidP="00847ED7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:rsidR="00090542" w:rsidRPr="009C61C1" w:rsidRDefault="00090542" w:rsidP="00D921FC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9C61C1">
        <w:rPr>
          <w:rFonts w:asciiTheme="minorHAnsi" w:hAnsiTheme="minorHAnsi" w:cstheme="minorHAnsi"/>
          <w:b/>
          <w:u w:val="single"/>
        </w:rPr>
        <w:t>Válasz</w:t>
      </w:r>
      <w:r w:rsidRPr="009C61C1">
        <w:rPr>
          <w:rFonts w:asciiTheme="minorHAnsi" w:hAnsiTheme="minorHAnsi" w:cstheme="minorHAnsi"/>
        </w:rPr>
        <w:t xml:space="preserve">: </w:t>
      </w:r>
      <w:r w:rsidR="00833EC2" w:rsidRPr="009C61C1">
        <w:rPr>
          <w:rFonts w:asciiTheme="minorHAnsi" w:hAnsiTheme="minorHAnsi" w:cstheme="minorHAnsi"/>
        </w:rPr>
        <w:t>Á</w:t>
      </w:r>
      <w:r w:rsidR="00BF3E48" w:rsidRPr="009C61C1">
        <w:rPr>
          <w:rFonts w:asciiTheme="minorHAnsi" w:hAnsiTheme="minorHAnsi" w:cstheme="minorHAnsi"/>
        </w:rPr>
        <w:t xml:space="preserve">lláspontunk szerint </w:t>
      </w:r>
      <w:r w:rsidR="001C3DCF" w:rsidRPr="009C61C1">
        <w:rPr>
          <w:rFonts w:asciiTheme="minorHAnsi" w:hAnsiTheme="minorHAnsi" w:cstheme="minorHAnsi"/>
        </w:rPr>
        <w:t>az ingatlan</w:t>
      </w:r>
      <w:r w:rsidR="00BF3E48" w:rsidRPr="009C61C1">
        <w:rPr>
          <w:rFonts w:asciiTheme="minorHAnsi" w:hAnsiTheme="minorHAnsi" w:cstheme="minorHAnsi"/>
        </w:rPr>
        <w:t>nal fedezett kitettségek</w:t>
      </w:r>
      <w:r w:rsidR="001C3DCF" w:rsidRPr="009C61C1">
        <w:rPr>
          <w:rFonts w:asciiTheme="minorHAnsi" w:hAnsiTheme="minorHAnsi" w:cstheme="minorHAnsi"/>
        </w:rPr>
        <w:t xml:space="preserve"> fogalmába </w:t>
      </w:r>
      <w:r w:rsidR="00BF3E48" w:rsidRPr="009C61C1">
        <w:rPr>
          <w:rFonts w:asciiTheme="minorHAnsi" w:hAnsiTheme="minorHAnsi" w:cstheme="minorHAnsi"/>
        </w:rPr>
        <w:t xml:space="preserve">minden ingatlannal (pl. a telek, üdülő) fedezett kitettség </w:t>
      </w:r>
      <w:r w:rsidR="001C3DCF" w:rsidRPr="009C61C1">
        <w:rPr>
          <w:rFonts w:asciiTheme="minorHAnsi" w:hAnsiTheme="minorHAnsi" w:cstheme="minorHAnsi"/>
        </w:rPr>
        <w:t>bele</w:t>
      </w:r>
      <w:r w:rsidRPr="009C61C1">
        <w:rPr>
          <w:rFonts w:asciiTheme="minorHAnsi" w:hAnsiTheme="minorHAnsi" w:cstheme="minorHAnsi"/>
        </w:rPr>
        <w:t>tartozik</w:t>
      </w:r>
      <w:r w:rsidR="00BF3E48" w:rsidRPr="009C61C1">
        <w:rPr>
          <w:rFonts w:asciiTheme="minorHAnsi" w:hAnsiTheme="minorHAnsi" w:cstheme="minorHAnsi"/>
        </w:rPr>
        <w:t>.</w:t>
      </w:r>
      <w:r w:rsidR="00D60298" w:rsidRPr="009C61C1">
        <w:rPr>
          <w:rFonts w:asciiTheme="minorHAnsi" w:hAnsiTheme="minorHAnsi" w:cstheme="minorHAnsi"/>
        </w:rPr>
        <w:t xml:space="preserve"> Ettől eltérő előírást az útmutató nem tartalmaz.</w:t>
      </w:r>
    </w:p>
    <w:p w:rsidR="004C73B1" w:rsidRPr="00537A6B" w:rsidRDefault="004C73B1" w:rsidP="004C73B1">
      <w:pPr>
        <w:jc w:val="both"/>
        <w:rPr>
          <w:rFonts w:asciiTheme="minorHAnsi" w:hAnsiTheme="minorHAnsi"/>
          <w:strike/>
        </w:rPr>
      </w:pPr>
    </w:p>
    <w:p w:rsidR="004C73B1" w:rsidRPr="00537A6B" w:rsidRDefault="004C73B1" w:rsidP="004C73B1">
      <w:pPr>
        <w:rPr>
          <w:rFonts w:asciiTheme="minorHAnsi" w:hAnsiTheme="minorHAnsi" w:cstheme="minorHAnsi"/>
        </w:rPr>
      </w:pPr>
    </w:p>
    <w:p w:rsidR="004679DA" w:rsidRPr="00290C7E" w:rsidRDefault="004679DA" w:rsidP="00290C7E">
      <w:pPr>
        <w:pStyle w:val="ListParagraph"/>
        <w:numPr>
          <w:ilvl w:val="0"/>
          <w:numId w:val="10"/>
        </w:numPr>
        <w:ind w:left="426"/>
        <w:jc w:val="both"/>
        <w:rPr>
          <w:b/>
          <w:u w:val="single"/>
        </w:rPr>
      </w:pPr>
      <w:r w:rsidRPr="00537A6B">
        <w:rPr>
          <w:b/>
          <w:u w:val="single"/>
        </w:rPr>
        <w:t xml:space="preserve">Kérdés: </w:t>
      </w:r>
    </w:p>
    <w:p w:rsidR="004C73B1" w:rsidRPr="00537A6B" w:rsidRDefault="004C73B1" w:rsidP="006E6EE4">
      <w:pPr>
        <w:pStyle w:val="ListParagraph"/>
        <w:ind w:left="426"/>
        <w:rPr>
          <w:rFonts w:cstheme="minorHAnsi"/>
        </w:rPr>
      </w:pPr>
      <w:r w:rsidRPr="00537A6B">
        <w:rPr>
          <w:rFonts w:cstheme="minorHAnsi"/>
        </w:rPr>
        <w:t xml:space="preserve">Ugyancsak ehhez a táblához kapcsolódik, hogy ha egy hitel mögött több fedezet is van jelzálog és egyéb fedezet, akkor </w:t>
      </w:r>
      <w:r w:rsidR="00847ED7" w:rsidRPr="00537A6B">
        <w:rPr>
          <w:rFonts w:cstheme="minorHAnsi"/>
        </w:rPr>
        <w:t xml:space="preserve">a </w:t>
      </w:r>
      <w:r w:rsidRPr="00537A6B">
        <w:rPr>
          <w:rFonts w:cstheme="minorHAnsi"/>
        </w:rPr>
        <w:t>követelést</w:t>
      </w:r>
      <w:r w:rsidR="00847ED7" w:rsidRPr="00537A6B">
        <w:rPr>
          <w:rFonts w:cstheme="minorHAnsi"/>
        </w:rPr>
        <w:t>,</w:t>
      </w:r>
      <w:r w:rsidRPr="00537A6B">
        <w:rPr>
          <w:rFonts w:cstheme="minorHAnsi"/>
        </w:rPr>
        <w:t xml:space="preserve"> amely mögött a fedezetek vannak</w:t>
      </w:r>
      <w:r w:rsidR="00847ED7" w:rsidRPr="00537A6B">
        <w:rPr>
          <w:rFonts w:cstheme="minorHAnsi"/>
        </w:rPr>
        <w:t>,</w:t>
      </w:r>
      <w:r w:rsidRPr="00537A6B">
        <w:rPr>
          <w:rFonts w:cstheme="minorHAnsi"/>
        </w:rPr>
        <w:t xml:space="preserve"> mely kritériumok szerint kell megbontani az alábbi kategóriákba? </w:t>
      </w:r>
    </w:p>
    <w:p w:rsidR="004C73B1" w:rsidRPr="00537A6B" w:rsidRDefault="004C73B1" w:rsidP="004C73B1">
      <w:pPr>
        <w:pStyle w:val="ListParagraph"/>
        <w:numPr>
          <w:ilvl w:val="0"/>
          <w:numId w:val="9"/>
        </w:numPr>
        <w:jc w:val="both"/>
        <w:rPr>
          <w:strike/>
        </w:rPr>
      </w:pPr>
      <w:r w:rsidRPr="00537A6B">
        <w:rPr>
          <w:rFonts w:eastAsia="Times New Roman" w:cs="Arial"/>
          <w:lang w:eastAsia="hu-HU"/>
        </w:rPr>
        <w:t>mortgage loans [Loans collateralized by immovable property</w:t>
      </w:r>
      <w:r w:rsidR="007C0873" w:rsidRPr="00537A6B">
        <w:rPr>
          <w:rFonts w:eastAsia="Times New Roman" w:cs="Arial"/>
          <w:lang w:eastAsia="hu-HU"/>
        </w:rPr>
        <w:t>]</w:t>
      </w:r>
    </w:p>
    <w:p w:rsidR="006B0B68" w:rsidRPr="006B0B68" w:rsidRDefault="004C73B1" w:rsidP="006B0B68">
      <w:pPr>
        <w:pStyle w:val="ListParagraph"/>
        <w:numPr>
          <w:ilvl w:val="0"/>
          <w:numId w:val="9"/>
        </w:numPr>
        <w:jc w:val="both"/>
        <w:rPr>
          <w:strike/>
        </w:rPr>
      </w:pPr>
      <w:r w:rsidRPr="00537A6B">
        <w:rPr>
          <w:rFonts w:eastAsia="Times New Roman" w:cs="Arial"/>
          <w:lang w:eastAsia="hu-HU"/>
        </w:rPr>
        <w:t>other collateralized loans</w:t>
      </w:r>
    </w:p>
    <w:p w:rsidR="006B0B68" w:rsidRPr="006B0B68" w:rsidRDefault="006B0B68" w:rsidP="006B0B68">
      <w:pPr>
        <w:ind w:left="709"/>
        <w:jc w:val="both"/>
        <w:rPr>
          <w:rFonts w:eastAsiaTheme="minorHAnsi" w:cstheme="minorBidi"/>
          <w:strike/>
        </w:rPr>
      </w:pPr>
    </w:p>
    <w:p w:rsidR="00CA488B" w:rsidRDefault="00280A3D" w:rsidP="009E2E1D">
      <w:pPr>
        <w:ind w:left="426"/>
        <w:jc w:val="both"/>
        <w:rPr>
          <w:rFonts w:asciiTheme="minorHAnsi" w:eastAsiaTheme="minorHAnsi" w:hAnsiTheme="minorHAnsi" w:cstheme="minorHAnsi"/>
        </w:rPr>
      </w:pPr>
      <w:r w:rsidRPr="005F3632">
        <w:rPr>
          <w:rFonts w:asciiTheme="minorHAnsi" w:hAnsiTheme="minorHAnsi" w:cstheme="minorHAnsi"/>
          <w:b/>
          <w:u w:val="single"/>
        </w:rPr>
        <w:t>Válasz</w:t>
      </w:r>
      <w:r w:rsidRPr="005F3632">
        <w:rPr>
          <w:rFonts w:asciiTheme="minorHAnsi" w:hAnsiTheme="minorHAnsi" w:cstheme="minorHAnsi"/>
        </w:rPr>
        <w:t>:</w:t>
      </w:r>
      <w:r w:rsidR="00361DD4">
        <w:rPr>
          <w:rFonts w:asciiTheme="minorHAnsi" w:hAnsiTheme="minorHAnsi" w:cstheme="minorHAnsi"/>
        </w:rPr>
        <w:t xml:space="preserve"> Erre vonatkozó konkrét előírást az útmutató nem tartalmaz.</w:t>
      </w:r>
      <w:r w:rsidR="00CA488B" w:rsidRPr="009C61C1">
        <w:rPr>
          <w:rFonts w:asciiTheme="minorHAnsi" w:hAnsiTheme="minorHAnsi" w:cstheme="minorHAnsi"/>
        </w:rPr>
        <w:t xml:space="preserve"> </w:t>
      </w:r>
      <w:r w:rsidR="00361DD4">
        <w:rPr>
          <w:rFonts w:asciiTheme="minorHAnsi" w:hAnsiTheme="minorHAnsi" w:cstheme="minorHAnsi"/>
        </w:rPr>
        <w:t>Jelen értelmezésünk</w:t>
      </w:r>
      <w:r w:rsidR="00CA488B" w:rsidRPr="009C61C1">
        <w:rPr>
          <w:rFonts w:asciiTheme="minorHAnsi" w:eastAsiaTheme="minorHAnsi" w:hAnsiTheme="minorHAnsi" w:cstheme="minorHAnsi"/>
        </w:rPr>
        <w:t xml:space="preserve"> szerint a fedezetek arányában kell megbontani a hitelt</w:t>
      </w:r>
      <w:r w:rsidR="005C4770">
        <w:rPr>
          <w:rFonts w:asciiTheme="minorHAnsi" w:eastAsiaTheme="minorHAnsi" w:hAnsiTheme="minorHAnsi" w:cstheme="minorHAnsi"/>
        </w:rPr>
        <w:t>.</w:t>
      </w:r>
      <w:r w:rsidR="00BB061C">
        <w:rPr>
          <w:rFonts w:asciiTheme="minorHAnsi" w:eastAsiaTheme="minorHAnsi" w:hAnsiTheme="minorHAnsi" w:cstheme="minorHAnsi"/>
        </w:rPr>
        <w:t xml:space="preserve"> </w:t>
      </w:r>
      <w:r w:rsidR="009278FC" w:rsidRPr="009278FC">
        <w:rPr>
          <w:rFonts w:asciiTheme="minorHAnsi" w:eastAsiaTheme="minorHAnsi" w:hAnsiTheme="minorHAnsi" w:cstheme="minorHAnsi"/>
        </w:rPr>
        <w:t>Mivel végleges választ a kérdésre az EBA adhat, a kérdést továbbítjuk az EBA Q&amp;A munkacsoport felé</w:t>
      </w:r>
      <w:r w:rsidR="00C309B7" w:rsidRPr="009278FC">
        <w:rPr>
          <w:rFonts w:asciiTheme="minorHAnsi" w:eastAsiaTheme="minorHAnsi" w:hAnsiTheme="minorHAnsi" w:cstheme="minorHAnsi"/>
        </w:rPr>
        <w:t>.</w:t>
      </w:r>
      <w:r w:rsidR="00C309B7">
        <w:rPr>
          <w:rFonts w:asciiTheme="minorHAnsi" w:eastAsiaTheme="minorHAnsi" w:hAnsiTheme="minorHAnsi" w:cstheme="minorHAnsi"/>
        </w:rPr>
        <w:t xml:space="preserve"> </w:t>
      </w:r>
    </w:p>
    <w:p w:rsidR="00C309B7" w:rsidRDefault="00C309B7" w:rsidP="00CA488B">
      <w:pPr>
        <w:ind w:left="851"/>
        <w:jc w:val="both"/>
        <w:rPr>
          <w:rFonts w:asciiTheme="minorHAnsi" w:eastAsiaTheme="minorHAnsi" w:hAnsiTheme="minorHAnsi" w:cstheme="minorHAnsi"/>
        </w:rPr>
      </w:pPr>
    </w:p>
    <w:p w:rsidR="00290C7E" w:rsidRDefault="00290C7E">
      <w:pPr>
        <w:spacing w:after="20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br w:type="page"/>
      </w:r>
    </w:p>
    <w:p w:rsidR="00663FF6" w:rsidRPr="009C61C1" w:rsidRDefault="00663FF6" w:rsidP="00CA488B">
      <w:pPr>
        <w:ind w:left="851"/>
        <w:jc w:val="both"/>
        <w:rPr>
          <w:rFonts w:asciiTheme="minorHAnsi" w:eastAsiaTheme="minorHAnsi" w:hAnsiTheme="minorHAnsi" w:cstheme="minorHAnsi"/>
        </w:rPr>
      </w:pPr>
    </w:p>
    <w:p w:rsidR="004679DA" w:rsidRPr="00537A6B" w:rsidRDefault="004679DA" w:rsidP="001F74E5">
      <w:pPr>
        <w:pStyle w:val="ListParagraph"/>
        <w:numPr>
          <w:ilvl w:val="0"/>
          <w:numId w:val="10"/>
        </w:numPr>
        <w:ind w:left="567"/>
        <w:jc w:val="both"/>
        <w:rPr>
          <w:b/>
          <w:u w:val="single"/>
        </w:rPr>
      </w:pPr>
      <w:r w:rsidRPr="00537A6B">
        <w:rPr>
          <w:b/>
          <w:u w:val="single"/>
        </w:rPr>
        <w:t xml:space="preserve">Kérdés: </w:t>
      </w:r>
    </w:p>
    <w:p w:rsidR="004C73B1" w:rsidRPr="00537A6B" w:rsidRDefault="004C73B1" w:rsidP="001F74E5">
      <w:pPr>
        <w:pStyle w:val="ListParagraph"/>
        <w:ind w:left="567"/>
        <w:jc w:val="both"/>
        <w:rPr>
          <w:rFonts w:eastAsia="Times New Roman" w:cs="Arial"/>
          <w:b/>
          <w:bCs/>
          <w:lang w:eastAsia="hu-HU"/>
        </w:rPr>
      </w:pPr>
      <w:r w:rsidRPr="00537A6B">
        <w:rPr>
          <w:rFonts w:cstheme="minorHAnsi"/>
        </w:rPr>
        <w:t xml:space="preserve">Előírás alapján a tábla 130. sorában azokat a projekthiteleket (project finance loans) kell </w:t>
      </w:r>
      <w:r w:rsidR="00847ED7" w:rsidRPr="00537A6B">
        <w:rPr>
          <w:rFonts w:cstheme="minorHAnsi"/>
        </w:rPr>
        <w:t xml:space="preserve">csak </w:t>
      </w:r>
      <w:r w:rsidRPr="00537A6B">
        <w:rPr>
          <w:rFonts w:cstheme="minorHAnsi"/>
        </w:rPr>
        <w:t>kiemelni</w:t>
      </w:r>
      <w:r w:rsidR="00847ED7" w:rsidRPr="00537A6B">
        <w:rPr>
          <w:rFonts w:cstheme="minorHAnsi"/>
        </w:rPr>
        <w:t>,</w:t>
      </w:r>
      <w:r w:rsidRPr="00537A6B">
        <w:rPr>
          <w:rFonts w:cstheme="minorHAnsi"/>
        </w:rPr>
        <w:t xml:space="preserve"> amelyek a „Non-financial corporations”szektorba vannak besorolva. Az</w:t>
      </w:r>
      <w:r w:rsidR="004D6A99" w:rsidRPr="00537A6B">
        <w:rPr>
          <w:rFonts w:cstheme="minorHAnsi"/>
        </w:rPr>
        <w:t>ok a projekthitelek amelyek, más</w:t>
      </w:r>
      <w:r w:rsidRPr="00537A6B">
        <w:rPr>
          <w:rFonts w:cstheme="minorHAnsi"/>
        </w:rPr>
        <w:t xml:space="preserve"> ügyfélszektorba vannak besorolva, nem kell ebben a sorban szerepeltetni, tehát </w:t>
      </w:r>
      <w:r w:rsidR="00847ED7" w:rsidRPr="00537A6B">
        <w:rPr>
          <w:rFonts w:cstheme="minorHAnsi"/>
        </w:rPr>
        <w:t xml:space="preserve">így </w:t>
      </w:r>
      <w:r w:rsidRPr="00537A6B">
        <w:rPr>
          <w:rFonts w:cstheme="minorHAnsi"/>
        </w:rPr>
        <w:t>nem biztos</w:t>
      </w:r>
      <w:r w:rsidR="00847ED7" w:rsidRPr="00537A6B">
        <w:rPr>
          <w:rFonts w:cstheme="minorHAnsi"/>
        </w:rPr>
        <w:t>,</w:t>
      </w:r>
      <w:r w:rsidRPr="00537A6B">
        <w:rPr>
          <w:rFonts w:cstheme="minorHAnsi"/>
        </w:rPr>
        <w:t xml:space="preserve"> hogy minden, a bank által nyújtott projekthitelt tartalmazni fog ez a sor.</w:t>
      </w:r>
      <w:r w:rsidR="006B0B68" w:rsidRPr="006B0B68">
        <w:rPr>
          <w:rFonts w:eastAsia="Calibri" w:cs="Times New Roman"/>
        </w:rPr>
        <w:t xml:space="preserve"> </w:t>
      </w:r>
    </w:p>
    <w:p w:rsidR="00090542" w:rsidRPr="00537A6B" w:rsidRDefault="00090542" w:rsidP="001F74E5">
      <w:pPr>
        <w:pStyle w:val="ListParagraph"/>
        <w:ind w:left="567"/>
        <w:rPr>
          <w:rFonts w:eastAsia="Times New Roman" w:cs="Arial"/>
          <w:b/>
          <w:bCs/>
          <w:lang w:eastAsia="hu-HU"/>
        </w:rPr>
      </w:pPr>
    </w:p>
    <w:p w:rsidR="00090542" w:rsidRPr="009C61C1" w:rsidRDefault="00090542" w:rsidP="001F74E5">
      <w:pPr>
        <w:pStyle w:val="ListParagraph"/>
        <w:ind w:left="567"/>
        <w:jc w:val="both"/>
        <w:rPr>
          <w:rFonts w:eastAsia="Times New Roman" w:cs="Arial"/>
          <w:bCs/>
          <w:lang w:eastAsia="hu-HU"/>
        </w:rPr>
      </w:pPr>
      <w:r w:rsidRPr="009C61C1">
        <w:rPr>
          <w:rFonts w:eastAsia="Times New Roman" w:cs="Arial"/>
          <w:b/>
          <w:bCs/>
          <w:u w:val="single"/>
          <w:lang w:eastAsia="hu-HU"/>
        </w:rPr>
        <w:t>Válasz</w:t>
      </w:r>
      <w:r w:rsidRPr="009C61C1">
        <w:rPr>
          <w:rFonts w:eastAsia="Times New Roman" w:cs="Arial"/>
          <w:bCs/>
          <w:lang w:eastAsia="hu-HU"/>
        </w:rPr>
        <w:t>: Az adatszolgáltató értelmezése helyes. Tekintettel arra, hogy az adott sor többi cellája ún. tilos cella, csak a nem pénzügyi vállalati szektorral szembeni projekt hiteleket kell kie</w:t>
      </w:r>
      <w:r w:rsidR="001C3DCF" w:rsidRPr="009C61C1">
        <w:rPr>
          <w:rFonts w:eastAsia="Times New Roman" w:cs="Arial"/>
          <w:bCs/>
          <w:lang w:eastAsia="hu-HU"/>
        </w:rPr>
        <w:t xml:space="preserve">melni és a táblában </w:t>
      </w:r>
      <w:r w:rsidR="00F852D5" w:rsidRPr="009C61C1">
        <w:rPr>
          <w:rFonts w:eastAsia="Times New Roman" w:cs="Arial"/>
          <w:bCs/>
          <w:lang w:eastAsia="hu-HU"/>
        </w:rPr>
        <w:t>jelenteni</w:t>
      </w:r>
      <w:r w:rsidR="001C3DCF" w:rsidRPr="009C61C1">
        <w:rPr>
          <w:rFonts w:eastAsia="Times New Roman" w:cs="Arial"/>
          <w:bCs/>
          <w:lang w:eastAsia="hu-HU"/>
        </w:rPr>
        <w:t>, amely csak egy részét képezi  a bank által nyújtott összes projekthitel állománynak.</w:t>
      </w:r>
    </w:p>
    <w:p w:rsidR="004679DA" w:rsidRPr="009C61C1" w:rsidRDefault="001F74E5" w:rsidP="001F74E5">
      <w:pPr>
        <w:pStyle w:val="ListParagraph"/>
        <w:tabs>
          <w:tab w:val="left" w:pos="1256"/>
        </w:tabs>
        <w:ind w:left="851"/>
        <w:jc w:val="both"/>
        <w:rPr>
          <w:rFonts w:eastAsia="Times New Roman" w:cs="Arial"/>
          <w:bCs/>
          <w:lang w:eastAsia="hu-HU"/>
        </w:rPr>
      </w:pPr>
      <w:r>
        <w:rPr>
          <w:rFonts w:eastAsia="Times New Roman" w:cs="Arial"/>
          <w:bCs/>
          <w:lang w:eastAsia="hu-HU"/>
        </w:rPr>
        <w:tab/>
      </w:r>
    </w:p>
    <w:p w:rsidR="004679DA" w:rsidRPr="00537A6B" w:rsidRDefault="004679DA" w:rsidP="003C58BD">
      <w:pPr>
        <w:pStyle w:val="ListParagraph"/>
        <w:ind w:left="0"/>
        <w:jc w:val="both"/>
        <w:rPr>
          <w:b/>
        </w:rPr>
      </w:pPr>
      <w:r w:rsidRPr="00537A6B">
        <w:rPr>
          <w:b/>
        </w:rPr>
        <w:t>F7. Financial assets subject to impairment that are past due or impaired</w:t>
      </w:r>
    </w:p>
    <w:p w:rsidR="004679DA" w:rsidRPr="00537A6B" w:rsidRDefault="004679DA" w:rsidP="004C73B1">
      <w:pPr>
        <w:jc w:val="both"/>
        <w:rPr>
          <w:rFonts w:asciiTheme="minorHAnsi" w:eastAsiaTheme="minorHAnsi" w:hAnsiTheme="minorHAnsi" w:cstheme="minorHAnsi"/>
        </w:rPr>
      </w:pPr>
    </w:p>
    <w:p w:rsidR="007D08B4" w:rsidRPr="00537A6B" w:rsidRDefault="004679DA" w:rsidP="00290C7E">
      <w:pPr>
        <w:pStyle w:val="ListParagraph"/>
        <w:numPr>
          <w:ilvl w:val="0"/>
          <w:numId w:val="25"/>
        </w:numPr>
        <w:ind w:left="709"/>
        <w:jc w:val="both"/>
      </w:pPr>
      <w:r w:rsidRPr="00537A6B">
        <w:rPr>
          <w:b/>
          <w:u w:val="single"/>
        </w:rPr>
        <w:t xml:space="preserve">Kérdés: </w:t>
      </w:r>
      <w:r w:rsidRPr="00537A6B">
        <w:rPr>
          <w:rFonts w:cstheme="minorHAnsi"/>
        </w:rPr>
        <w:t>A</w:t>
      </w:r>
      <w:r w:rsidR="004C73B1" w:rsidRPr="00537A6B">
        <w:rPr>
          <w:rFonts w:cstheme="minorHAnsi"/>
        </w:rPr>
        <w:t xml:space="preserve"> késedelemtől eltelt napok számítása során csak a hátralékos tőkét, vagy az esedékes, de meg nem fizetett kamatokat is figyelembe kell venni (ahogy pl. a jelenlegi 8NAC esetében történik)?</w:t>
      </w:r>
      <w:r w:rsidR="0061450E" w:rsidRPr="00537A6B">
        <w:rPr>
          <w:rFonts w:cstheme="minorHAnsi"/>
        </w:rPr>
        <w:t xml:space="preserve"> </w:t>
      </w:r>
    </w:p>
    <w:p w:rsidR="004679DA" w:rsidRPr="00537A6B" w:rsidRDefault="004679DA" w:rsidP="004679DA">
      <w:pPr>
        <w:pStyle w:val="ListParagraph"/>
        <w:ind w:left="1080"/>
        <w:jc w:val="both"/>
      </w:pPr>
    </w:p>
    <w:p w:rsidR="004C73B1" w:rsidRPr="009C61C1" w:rsidRDefault="007E7235" w:rsidP="007D08B4">
      <w:pPr>
        <w:pStyle w:val="ListParagraph"/>
        <w:rPr>
          <w:rFonts w:cstheme="minorHAnsi"/>
        </w:rPr>
      </w:pPr>
      <w:r w:rsidRPr="009C61C1">
        <w:rPr>
          <w:rFonts w:cstheme="minorHAnsi"/>
          <w:b/>
          <w:u w:val="single"/>
        </w:rPr>
        <w:t>Válasz</w:t>
      </w:r>
      <w:r w:rsidRPr="009C61C1">
        <w:rPr>
          <w:rFonts w:cstheme="minorHAnsi"/>
        </w:rPr>
        <w:t>: A</w:t>
      </w:r>
      <w:r w:rsidR="00D61122" w:rsidRPr="009C61C1">
        <w:rPr>
          <w:rFonts w:cstheme="minorHAnsi"/>
        </w:rPr>
        <w:t xml:space="preserve"> kitöltési előírások 2. rész 48. pontja</w:t>
      </w:r>
      <w:r w:rsidRPr="009C61C1">
        <w:rPr>
          <w:rFonts w:cstheme="minorHAnsi"/>
        </w:rPr>
        <w:t xml:space="preserve"> így fogalmaz: „Assets qualify as past due when a counterparty has failed to make a payment when contractually due.” Ez alapján ért</w:t>
      </w:r>
      <w:r w:rsidR="00273422" w:rsidRPr="009C61C1">
        <w:rPr>
          <w:rFonts w:cstheme="minorHAnsi"/>
        </w:rPr>
        <w:t>elmezésünk szerint a késedelmesség megállapításánál a tőke mellett a</w:t>
      </w:r>
      <w:r w:rsidR="0061450E" w:rsidRPr="009C61C1">
        <w:rPr>
          <w:rFonts w:cstheme="minorHAnsi"/>
        </w:rPr>
        <w:t xml:space="preserve"> kamatokat is figyelembe kell venni.</w:t>
      </w:r>
    </w:p>
    <w:p w:rsidR="004679DA" w:rsidRPr="009C61C1" w:rsidRDefault="004679DA" w:rsidP="007D08B4">
      <w:pPr>
        <w:pStyle w:val="ListParagraph"/>
        <w:rPr>
          <w:rFonts w:cstheme="minorHAnsi"/>
        </w:rPr>
      </w:pPr>
    </w:p>
    <w:p w:rsidR="007D08B4" w:rsidRPr="00CE175E" w:rsidRDefault="004C73B1" w:rsidP="00CE175E">
      <w:pPr>
        <w:pStyle w:val="ListParagraph"/>
        <w:numPr>
          <w:ilvl w:val="0"/>
          <w:numId w:val="25"/>
        </w:numPr>
        <w:ind w:left="709"/>
        <w:jc w:val="both"/>
        <w:rPr>
          <w:b/>
        </w:rPr>
      </w:pPr>
      <w:r w:rsidRPr="00CE175E">
        <w:rPr>
          <w:b/>
        </w:rPr>
        <w:t xml:space="preserve"> </w:t>
      </w:r>
      <w:r w:rsidR="004679DA" w:rsidRPr="00CE175E">
        <w:rPr>
          <w:b/>
          <w:u w:val="single"/>
        </w:rPr>
        <w:t>Kérdés:</w:t>
      </w:r>
      <w:r w:rsidR="004679DA" w:rsidRPr="00CE175E">
        <w:rPr>
          <w:b/>
        </w:rPr>
        <w:t xml:space="preserve"> </w:t>
      </w:r>
      <w:r w:rsidRPr="00CE175E">
        <w:t>a késedelmes követelés esetében a hitel (szerződés) teljes (mérlegen belüli) összegét késedelmesnek kell tekinteni (lásd 8NAC), vagy csak a ténylegesen meg nem fizetett követelésrészt?</w:t>
      </w:r>
      <w:r w:rsidR="0061450E" w:rsidRPr="00CE175E">
        <w:rPr>
          <w:b/>
        </w:rPr>
        <w:t xml:space="preserve"> </w:t>
      </w:r>
    </w:p>
    <w:p w:rsidR="003F3E3E" w:rsidRPr="00537A6B" w:rsidRDefault="003F3E3E" w:rsidP="003F3E3E">
      <w:pPr>
        <w:pStyle w:val="ListParagraph"/>
        <w:ind w:left="1080"/>
        <w:rPr>
          <w:rFonts w:cstheme="minorHAnsi"/>
        </w:rPr>
      </w:pPr>
    </w:p>
    <w:p w:rsidR="004679DA" w:rsidRDefault="0061450E" w:rsidP="007D08B4">
      <w:pPr>
        <w:pStyle w:val="ListParagraph"/>
        <w:rPr>
          <w:rFonts w:cstheme="minorHAnsi"/>
        </w:rPr>
      </w:pPr>
      <w:r w:rsidRPr="009C61C1">
        <w:rPr>
          <w:rFonts w:cstheme="minorHAnsi"/>
          <w:b/>
          <w:u w:val="single"/>
        </w:rPr>
        <w:t>Válasz</w:t>
      </w:r>
      <w:r w:rsidRPr="009C61C1">
        <w:rPr>
          <w:rFonts w:cstheme="minorHAnsi"/>
        </w:rPr>
        <w:t xml:space="preserve">: </w:t>
      </w:r>
      <w:r w:rsidR="004A7ACB" w:rsidRPr="009C61C1">
        <w:rPr>
          <w:rFonts w:cstheme="minorHAnsi"/>
        </w:rPr>
        <w:t xml:space="preserve">Hasonlóan a 8NAC táblához, </w:t>
      </w:r>
      <w:r w:rsidRPr="009C61C1">
        <w:rPr>
          <w:rFonts w:cstheme="minorHAnsi"/>
        </w:rPr>
        <w:t xml:space="preserve">a </w:t>
      </w:r>
      <w:r w:rsidR="002D0FB3" w:rsidRPr="009C61C1">
        <w:rPr>
          <w:rFonts w:cstheme="minorHAnsi"/>
        </w:rPr>
        <w:t xml:space="preserve">teljes összeget a </w:t>
      </w:r>
      <w:r w:rsidRPr="009C61C1">
        <w:rPr>
          <w:rFonts w:cstheme="minorHAnsi"/>
        </w:rPr>
        <w:t>legrégebbi lejárt követelésnek megfelelő oszlopban</w:t>
      </w:r>
      <w:r w:rsidR="00D60298" w:rsidRPr="009C61C1">
        <w:rPr>
          <w:rFonts w:cstheme="minorHAnsi"/>
        </w:rPr>
        <w:t xml:space="preserve"> kell</w:t>
      </w:r>
      <w:r w:rsidRPr="009C61C1">
        <w:rPr>
          <w:rFonts w:cstheme="minorHAnsi"/>
        </w:rPr>
        <w:t xml:space="preserve"> szerepeltetni.</w:t>
      </w:r>
      <w:r w:rsidR="00D61122" w:rsidRPr="009C61C1">
        <w:rPr>
          <w:rFonts w:cstheme="minorHAnsi"/>
        </w:rPr>
        <w:t xml:space="preserve"> </w:t>
      </w:r>
      <w:r w:rsidR="004A7ACB" w:rsidRPr="009C61C1">
        <w:rPr>
          <w:rFonts w:cstheme="minorHAnsi"/>
        </w:rPr>
        <w:t>(</w:t>
      </w:r>
      <w:r w:rsidR="00DB0E55">
        <w:rPr>
          <w:rFonts w:cstheme="minorHAnsi"/>
        </w:rPr>
        <w:t xml:space="preserve">Ezzel a kérdéssel kapcsolatos </w:t>
      </w:r>
      <w:r w:rsidR="00DD3957">
        <w:rPr>
          <w:rFonts w:cstheme="minorHAnsi"/>
        </w:rPr>
        <w:t xml:space="preserve">a </w:t>
      </w:r>
      <w:r w:rsidR="00D61122" w:rsidRPr="009C61C1">
        <w:rPr>
          <w:rFonts w:cstheme="minorHAnsi"/>
        </w:rPr>
        <w:t>Q&amp;A 2013_194</w:t>
      </w:r>
      <w:r w:rsidR="00DD3957">
        <w:rPr>
          <w:rFonts w:cstheme="minorHAnsi"/>
        </w:rPr>
        <w:t xml:space="preserve"> számú kérdés</w:t>
      </w:r>
      <w:r w:rsidR="00F86D41">
        <w:rPr>
          <w:rFonts w:cstheme="minorHAnsi"/>
        </w:rPr>
        <w:t xml:space="preserve">, amelynek publikálása az EBA honlapon később várható. </w:t>
      </w:r>
      <w:r w:rsidR="004A7ACB" w:rsidRPr="009C61C1">
        <w:rPr>
          <w:rFonts w:cstheme="minorHAnsi"/>
        </w:rPr>
        <w:t xml:space="preserve">) </w:t>
      </w:r>
    </w:p>
    <w:p w:rsidR="00C43C38" w:rsidRPr="006E4356" w:rsidRDefault="00C43C38" w:rsidP="007D08B4">
      <w:pPr>
        <w:pStyle w:val="ListParagraph"/>
        <w:rPr>
          <w:rFonts w:cstheme="minorHAnsi"/>
        </w:rPr>
      </w:pPr>
    </w:p>
    <w:p w:rsidR="004679DA" w:rsidRPr="00537A6B" w:rsidRDefault="004679DA" w:rsidP="003C58BD">
      <w:pPr>
        <w:pStyle w:val="ListParagraph"/>
        <w:ind w:left="0"/>
        <w:jc w:val="both"/>
        <w:rPr>
          <w:b/>
        </w:rPr>
      </w:pPr>
      <w:r w:rsidRPr="00537A6B">
        <w:rPr>
          <w:b/>
        </w:rPr>
        <w:t>F13.1. Breakdown of loans and advances of collateral and guarantees</w:t>
      </w:r>
    </w:p>
    <w:p w:rsidR="004C73B1" w:rsidRPr="00537A6B" w:rsidRDefault="004C73B1" w:rsidP="00784D2D">
      <w:pPr>
        <w:rPr>
          <w:rFonts w:asciiTheme="minorHAnsi" w:hAnsiTheme="minorHAnsi"/>
          <w:b/>
          <w:sz w:val="24"/>
          <w:szCs w:val="24"/>
        </w:rPr>
      </w:pPr>
    </w:p>
    <w:p w:rsidR="004C73B1" w:rsidRPr="00537A6B" w:rsidRDefault="004679DA" w:rsidP="004C73B1">
      <w:pPr>
        <w:pStyle w:val="ListParagraph"/>
        <w:numPr>
          <w:ilvl w:val="0"/>
          <w:numId w:val="26"/>
        </w:numPr>
        <w:ind w:left="426"/>
        <w:jc w:val="both"/>
        <w:rPr>
          <w:rFonts w:cstheme="minorHAnsi"/>
        </w:rPr>
      </w:pPr>
      <w:r w:rsidRPr="00537A6B">
        <w:rPr>
          <w:b/>
          <w:u w:val="single"/>
        </w:rPr>
        <w:t>Kérdés:</w:t>
      </w:r>
      <w:r w:rsidRPr="00537A6B">
        <w:t xml:space="preserve"> A 13.1 </w:t>
      </w:r>
      <w:r w:rsidR="004C73B1" w:rsidRPr="00537A6B">
        <w:t>tábla</w:t>
      </w:r>
      <w:r w:rsidR="004C73B1" w:rsidRPr="00537A6B">
        <w:rPr>
          <w:b/>
        </w:rPr>
        <w:t xml:space="preserve"> </w:t>
      </w:r>
      <w:r w:rsidR="004C73B1" w:rsidRPr="00537A6B">
        <w:rPr>
          <w:rFonts w:cstheme="minorHAnsi"/>
        </w:rPr>
        <w:t>kitöltésre vonatkozó előírás szerint amennyiben egy hitel mögött több fedezet is van, a fedezetet a minősége szerinti rangsor alapján kell figyelembe venni.</w:t>
      </w:r>
      <w:r w:rsidRPr="00537A6B">
        <w:rPr>
          <w:rFonts w:cstheme="minorHAnsi"/>
        </w:rPr>
        <w:t xml:space="preserve"> </w:t>
      </w:r>
      <w:r w:rsidR="004C73B1" w:rsidRPr="00537A6B">
        <w:rPr>
          <w:rFonts w:cstheme="minorHAnsi"/>
        </w:rPr>
        <w:t xml:space="preserve">Kérdésünk lenne, hogy mely előírás tartalmazza a fedezet típusok minőség szerinti rangsorolását? </w:t>
      </w:r>
    </w:p>
    <w:p w:rsidR="004C73B1" w:rsidRPr="00537A6B" w:rsidRDefault="004C73B1" w:rsidP="004679DA">
      <w:pPr>
        <w:ind w:left="426"/>
        <w:jc w:val="both"/>
        <w:rPr>
          <w:rFonts w:asciiTheme="minorHAnsi" w:eastAsiaTheme="minorHAnsi" w:hAnsiTheme="minorHAnsi" w:cstheme="minorHAnsi"/>
        </w:rPr>
      </w:pPr>
      <w:r w:rsidRPr="00537A6B">
        <w:rPr>
          <w:rFonts w:asciiTheme="minorHAnsi" w:eastAsiaTheme="minorHAnsi" w:hAnsiTheme="minorHAnsi" w:cstheme="minorHAnsi"/>
        </w:rPr>
        <w:t>Az Annex V. „82.For loans and advances that have simultaneously more than one type of collateral or guarantee, the amount of the “Maximum collateral/guarantee that can be considered” shall be allocated according to its quality starting from the one with the best quality.”</w:t>
      </w:r>
    </w:p>
    <w:p w:rsidR="00D60298" w:rsidRPr="00537A6B" w:rsidRDefault="00D60298" w:rsidP="004679DA">
      <w:pPr>
        <w:ind w:left="426"/>
        <w:jc w:val="both"/>
        <w:rPr>
          <w:rFonts w:asciiTheme="minorHAnsi" w:eastAsiaTheme="minorHAnsi" w:hAnsiTheme="minorHAnsi" w:cstheme="minorHAnsi"/>
        </w:rPr>
      </w:pPr>
    </w:p>
    <w:p w:rsidR="00D60298" w:rsidRPr="00537A6B" w:rsidRDefault="00D60298" w:rsidP="004679DA">
      <w:pPr>
        <w:ind w:left="426"/>
        <w:jc w:val="both"/>
        <w:rPr>
          <w:rFonts w:asciiTheme="minorHAnsi" w:eastAsiaTheme="minorHAnsi" w:hAnsiTheme="minorHAnsi" w:cstheme="minorHAnsi"/>
        </w:rPr>
      </w:pPr>
      <w:r w:rsidRPr="00537A6B">
        <w:rPr>
          <w:rFonts w:asciiTheme="minorHAnsi" w:eastAsiaTheme="minorHAnsi" w:hAnsiTheme="minorHAnsi" w:cstheme="minorHAnsi"/>
        </w:rPr>
        <w:lastRenderedPageBreak/>
        <w:t xml:space="preserve">Az ingatlanfedezetekre vonatkozó jogszabályi előírást a CRR 208. cikk tartalmazza. </w:t>
      </w:r>
    </w:p>
    <w:p w:rsidR="004C73B1" w:rsidRPr="00537A6B" w:rsidRDefault="004C73B1" w:rsidP="004C73B1">
      <w:pPr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:rsidR="00D60298" w:rsidRPr="005D27ED" w:rsidRDefault="00D60298" w:rsidP="00BA40F0">
      <w:pPr>
        <w:ind w:left="426"/>
        <w:jc w:val="both"/>
        <w:rPr>
          <w:rFonts w:asciiTheme="minorHAnsi" w:eastAsiaTheme="minorHAnsi" w:hAnsiTheme="minorHAnsi" w:cstheme="minorHAnsi"/>
        </w:rPr>
      </w:pPr>
      <w:r w:rsidRPr="005D27ED">
        <w:rPr>
          <w:rFonts w:asciiTheme="minorHAnsi" w:eastAsiaTheme="minorHAnsi" w:hAnsiTheme="minorHAnsi" w:cstheme="minorHAnsi"/>
          <w:b/>
          <w:u w:val="single"/>
        </w:rPr>
        <w:t>Válasz</w:t>
      </w:r>
      <w:r w:rsidRPr="005D27ED">
        <w:rPr>
          <w:rFonts w:asciiTheme="minorHAnsi" w:eastAsiaTheme="minorHAnsi" w:hAnsiTheme="minorHAnsi" w:cstheme="minorHAnsi"/>
          <w:b/>
        </w:rPr>
        <w:t>:</w:t>
      </w:r>
      <w:r w:rsidR="00BA40F0" w:rsidRPr="005D27ED">
        <w:rPr>
          <w:rFonts w:asciiTheme="minorHAnsi" w:eastAsiaTheme="minorHAnsi" w:hAnsiTheme="minorHAnsi" w:cstheme="minorHAnsi"/>
          <w:b/>
        </w:rPr>
        <w:t xml:space="preserve"> </w:t>
      </w:r>
      <w:r w:rsidR="00992001" w:rsidRPr="00992001">
        <w:rPr>
          <w:rFonts w:asciiTheme="minorHAnsi" w:eastAsiaTheme="minorHAnsi" w:hAnsiTheme="minorHAnsi" w:cstheme="minorHAnsi"/>
        </w:rPr>
        <w:t>A kitöltési útmutató nem tartalmaz erre vonatkozó konkrét előírást.</w:t>
      </w:r>
      <w:r w:rsidR="00992001">
        <w:rPr>
          <w:rFonts w:asciiTheme="minorHAnsi" w:eastAsiaTheme="minorHAnsi" w:hAnsiTheme="minorHAnsi" w:cstheme="minorHAnsi"/>
          <w:b/>
        </w:rPr>
        <w:t xml:space="preserve"> </w:t>
      </w:r>
      <w:r w:rsidR="00992001" w:rsidRPr="00992001">
        <w:rPr>
          <w:rFonts w:asciiTheme="minorHAnsi" w:eastAsiaTheme="minorHAnsi" w:hAnsiTheme="minorHAnsi" w:cstheme="minorHAnsi"/>
        </w:rPr>
        <w:t>Véleményünk szerint</w:t>
      </w:r>
      <w:r w:rsidR="00992001">
        <w:rPr>
          <w:rFonts w:asciiTheme="minorHAnsi" w:eastAsiaTheme="minorHAnsi" w:hAnsiTheme="minorHAnsi" w:cstheme="minorHAnsi"/>
          <w:b/>
        </w:rPr>
        <w:t xml:space="preserve"> </w:t>
      </w:r>
      <w:r w:rsidR="00992001">
        <w:rPr>
          <w:rFonts w:asciiTheme="minorHAnsi" w:eastAsiaTheme="minorHAnsi" w:hAnsiTheme="minorHAnsi" w:cstheme="minorHAnsi"/>
        </w:rPr>
        <w:t>a</w:t>
      </w:r>
      <w:r w:rsidRPr="005D27ED">
        <w:rPr>
          <w:rFonts w:asciiTheme="minorHAnsi" w:eastAsiaTheme="minorHAnsi" w:hAnsiTheme="minorHAnsi" w:cstheme="minorHAnsi"/>
        </w:rPr>
        <w:t xml:space="preserve"> fedezetek értékelésére vonatkozóan a CRR 209. cikk ad iránymutatást, valamint a hitelintézetnek a saját fedezetértékelési szabályzatát kell mérvadónak tekinteni. </w:t>
      </w:r>
    </w:p>
    <w:p w:rsidR="00D60298" w:rsidRPr="005D27ED" w:rsidRDefault="00D60298" w:rsidP="00BA40F0">
      <w:pPr>
        <w:ind w:left="426"/>
        <w:jc w:val="both"/>
        <w:rPr>
          <w:rFonts w:asciiTheme="minorHAnsi" w:eastAsiaTheme="minorHAnsi" w:hAnsiTheme="minorHAnsi" w:cstheme="minorHAnsi"/>
        </w:rPr>
      </w:pPr>
      <w:r w:rsidRPr="005D27ED">
        <w:rPr>
          <w:rFonts w:asciiTheme="minorHAnsi" w:eastAsiaTheme="minorHAnsi" w:hAnsiTheme="minorHAnsi" w:cstheme="minorHAnsi"/>
        </w:rPr>
        <w:t xml:space="preserve">Fentiek alapján a fedezeteket a biztosíték </w:t>
      </w:r>
      <w:r w:rsidR="00C43C38">
        <w:rPr>
          <w:rFonts w:asciiTheme="minorHAnsi" w:eastAsiaTheme="minorHAnsi" w:hAnsiTheme="minorHAnsi" w:cstheme="minorHAnsi"/>
        </w:rPr>
        <w:t>jogi érvényesíthetősége alapján</w:t>
      </w:r>
      <w:r w:rsidRPr="005D27ED">
        <w:rPr>
          <w:rFonts w:asciiTheme="minorHAnsi" w:eastAsiaTheme="minorHAnsi" w:hAnsiTheme="minorHAnsi" w:cstheme="minorHAnsi"/>
        </w:rPr>
        <w:t xml:space="preserve"> (milyen könnyen tehető pénzzé)</w:t>
      </w:r>
      <w:r w:rsidR="00C43C38">
        <w:rPr>
          <w:rFonts w:asciiTheme="minorHAnsi" w:eastAsiaTheme="minorHAnsi" w:hAnsiTheme="minorHAnsi" w:cstheme="minorHAnsi"/>
        </w:rPr>
        <w:t>,</w:t>
      </w:r>
      <w:r w:rsidRPr="005D27ED">
        <w:rPr>
          <w:rFonts w:asciiTheme="minorHAnsi" w:eastAsiaTheme="minorHAnsi" w:hAnsiTheme="minorHAnsi" w:cstheme="minorHAnsi"/>
        </w:rPr>
        <w:t xml:space="preserve"> valamint a biztosítéki érték volatilitása alapján is rangsorba lehet rendezni. </w:t>
      </w:r>
    </w:p>
    <w:p w:rsidR="00D60298" w:rsidRPr="005D27ED" w:rsidRDefault="00D60298" w:rsidP="00BA40F0">
      <w:pPr>
        <w:ind w:left="426"/>
        <w:jc w:val="both"/>
        <w:rPr>
          <w:rFonts w:asciiTheme="minorHAnsi" w:eastAsiaTheme="minorHAnsi" w:hAnsiTheme="minorHAnsi" w:cstheme="minorHAnsi"/>
        </w:rPr>
      </w:pPr>
      <w:r w:rsidRPr="005D27ED">
        <w:rPr>
          <w:rFonts w:asciiTheme="minorHAnsi" w:eastAsiaTheme="minorHAnsi" w:hAnsiTheme="minorHAnsi" w:cstheme="minorHAnsi"/>
        </w:rPr>
        <w:t xml:space="preserve">A 209. cikkben foglaltak írják elő, hogy mely biztosítékok  minősülnek elismert biztosítékoknak: például egyértelműnek kell lenni a jogi mechanizmusoknak, vagy a biztosítéki jogot érvényesítőnek joga kell legyen az értékesítésből származó bevételre. </w:t>
      </w:r>
    </w:p>
    <w:p w:rsidR="004C73B1" w:rsidRPr="005D27ED" w:rsidRDefault="00D60298" w:rsidP="00BA40F0">
      <w:pPr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5D27ED">
        <w:rPr>
          <w:rFonts w:asciiTheme="minorHAnsi" w:eastAsiaTheme="minorHAnsi" w:hAnsiTheme="minorHAnsi" w:cstheme="minorHAnsi"/>
        </w:rPr>
        <w:t>Amennyiben a CRR és a saját fedezetértékelési szabályzat nem ad kellő iránymutatást a biztosítékok minőség szerinti rangsorba sorolására, a Bank kérheti az EBA Q&amp;A munkacsoport állásfoglalását.</w:t>
      </w:r>
    </w:p>
    <w:p w:rsidR="004C73B1" w:rsidRPr="005D27ED" w:rsidRDefault="004C73B1" w:rsidP="004C73B1">
      <w:pPr>
        <w:jc w:val="both"/>
        <w:rPr>
          <w:rFonts w:asciiTheme="minorHAnsi" w:hAnsiTheme="minorHAnsi"/>
          <w:b/>
          <w:sz w:val="24"/>
          <w:szCs w:val="24"/>
        </w:rPr>
      </w:pPr>
    </w:p>
    <w:p w:rsidR="004C73B1" w:rsidRPr="00537A6B" w:rsidRDefault="004C73B1" w:rsidP="004C73B1">
      <w:pPr>
        <w:jc w:val="both"/>
        <w:rPr>
          <w:rFonts w:asciiTheme="minorHAnsi" w:eastAsiaTheme="minorHAnsi" w:hAnsiTheme="minorHAnsi" w:cstheme="minorHAnsi"/>
        </w:rPr>
      </w:pPr>
    </w:p>
    <w:p w:rsidR="004C73B1" w:rsidRPr="00537A6B" w:rsidRDefault="004679DA" w:rsidP="00BA40F0">
      <w:pPr>
        <w:pStyle w:val="ListParagraph"/>
        <w:numPr>
          <w:ilvl w:val="0"/>
          <w:numId w:val="26"/>
        </w:numPr>
        <w:ind w:left="426"/>
        <w:jc w:val="both"/>
        <w:rPr>
          <w:rFonts w:cstheme="minorHAnsi"/>
        </w:rPr>
      </w:pPr>
      <w:r w:rsidRPr="00537A6B">
        <w:rPr>
          <w:b/>
          <w:u w:val="single"/>
        </w:rPr>
        <w:t>Kérdés:</w:t>
      </w:r>
      <w:r w:rsidRPr="00537A6B">
        <w:t xml:space="preserve"> A 13.1 </w:t>
      </w:r>
      <w:r w:rsidR="004C73B1" w:rsidRPr="00537A6B">
        <w:t>táblában</w:t>
      </w:r>
      <w:r w:rsidR="004C73B1" w:rsidRPr="00537A6B">
        <w:rPr>
          <w:rFonts w:cstheme="minorHAnsi"/>
        </w:rPr>
        <w:t xml:space="preserve"> a mortgage loans-t a kapott fedez</w:t>
      </w:r>
      <w:r w:rsidR="003C7927">
        <w:rPr>
          <w:rFonts w:cstheme="minorHAnsi"/>
        </w:rPr>
        <w:t>e</w:t>
      </w:r>
      <w:r w:rsidR="004C73B1" w:rsidRPr="00537A6B">
        <w:rPr>
          <w:rFonts w:cstheme="minorHAnsi"/>
        </w:rPr>
        <w:t>tek</w:t>
      </w:r>
      <w:r w:rsidR="00522FA7" w:rsidRPr="00537A6B">
        <w:rPr>
          <w:rFonts w:cstheme="minorHAnsi"/>
        </w:rPr>
        <w:t xml:space="preserve"> </w:t>
      </w:r>
      <w:r w:rsidR="004C73B1" w:rsidRPr="00537A6B">
        <w:rPr>
          <w:rFonts w:cstheme="minorHAnsi"/>
        </w:rPr>
        <w:t>szerint meg kell bontani residential és commercial típusra. A jelenlegi (MSZSZ) felügyeleti 8PBF adatszolgáltatásban az ingatlan-jelzálogot eddig három kategóriára került megbontásra.</w:t>
      </w:r>
      <w:r w:rsidR="00847ED7" w:rsidRPr="00537A6B">
        <w:rPr>
          <w:rFonts w:cstheme="minorHAnsi"/>
        </w:rPr>
        <w:t xml:space="preserve"> </w:t>
      </w:r>
      <w:r w:rsidR="004C73B1" w:rsidRPr="00537A6B">
        <w:rPr>
          <w:rFonts w:cstheme="minorHAnsi"/>
        </w:rPr>
        <w:t>(Lakóingatlan/Kereskedelmi ingatlan/Egyéb ingatlan). Mivel a 13.1 jelentésben a jelzáloghitel fedezetek meg vannak bontva lakó-,</w:t>
      </w:r>
      <w:r w:rsidR="00847ED7" w:rsidRPr="00537A6B">
        <w:rPr>
          <w:rFonts w:cstheme="minorHAnsi"/>
        </w:rPr>
        <w:t xml:space="preserve"> </w:t>
      </w:r>
      <w:r w:rsidR="004C73B1" w:rsidRPr="00537A6B">
        <w:rPr>
          <w:rFonts w:cstheme="minorHAnsi"/>
        </w:rPr>
        <w:t>ill. kereskedelmi ingatlanokra, kérdésként merül fel</w:t>
      </w:r>
      <w:r w:rsidR="00847ED7" w:rsidRPr="00537A6B">
        <w:rPr>
          <w:rFonts w:cstheme="minorHAnsi"/>
        </w:rPr>
        <w:t>,</w:t>
      </w:r>
      <w:r w:rsidR="004C73B1" w:rsidRPr="00537A6B">
        <w:rPr>
          <w:rFonts w:cstheme="minorHAnsi"/>
        </w:rPr>
        <w:t xml:space="preserve"> hogy az egyé</w:t>
      </w:r>
      <w:r w:rsidR="00847ED7" w:rsidRPr="00537A6B">
        <w:rPr>
          <w:rFonts w:cstheme="minorHAnsi"/>
        </w:rPr>
        <w:t>b ingatlan fedezeteket mely kate</w:t>
      </w:r>
      <w:r w:rsidR="004C73B1" w:rsidRPr="00537A6B">
        <w:rPr>
          <w:rFonts w:cstheme="minorHAnsi"/>
        </w:rPr>
        <w:t>góriába kell sorolni.</w:t>
      </w:r>
      <w:r w:rsidR="00847ED7" w:rsidRPr="00537A6B">
        <w:rPr>
          <w:rFonts w:cstheme="minorHAnsi"/>
        </w:rPr>
        <w:t xml:space="preserve"> </w:t>
      </w:r>
      <w:r w:rsidR="004C73B1" w:rsidRPr="00537A6B">
        <w:rPr>
          <w:rFonts w:cstheme="minorHAnsi"/>
        </w:rPr>
        <w:t xml:space="preserve">(lakó vagy kereskedelmi ingatlanfedezetet, vagy az egyéb „collaterals rest” kategóriába) </w:t>
      </w:r>
    </w:p>
    <w:p w:rsidR="00D7126E" w:rsidRPr="0079458F" w:rsidRDefault="007C0873" w:rsidP="00D7126E">
      <w:pPr>
        <w:pStyle w:val="CM11"/>
        <w:spacing w:before="200" w:after="200"/>
        <w:ind w:left="426"/>
        <w:rPr>
          <w:rFonts w:asciiTheme="minorHAnsi" w:hAnsiTheme="minorHAnsi" w:cstheme="minorHAnsi"/>
          <w:sz w:val="22"/>
          <w:szCs w:val="22"/>
        </w:rPr>
      </w:pPr>
      <w:r w:rsidRPr="0079458F">
        <w:rPr>
          <w:rFonts w:asciiTheme="minorHAnsi" w:hAnsiTheme="minorHAnsi" w:cstheme="minorHAnsi"/>
          <w:b/>
          <w:sz w:val="22"/>
          <w:szCs w:val="22"/>
          <w:u w:val="single"/>
        </w:rPr>
        <w:t>Válasz:</w:t>
      </w:r>
      <w:r w:rsidRPr="0079458F">
        <w:rPr>
          <w:rFonts w:asciiTheme="minorHAnsi" w:hAnsiTheme="minorHAnsi" w:cstheme="minorHAnsi"/>
          <w:sz w:val="22"/>
          <w:szCs w:val="22"/>
        </w:rPr>
        <w:t xml:space="preserve"> </w:t>
      </w:r>
      <w:r w:rsidR="000B70D2" w:rsidRPr="0079458F">
        <w:rPr>
          <w:rFonts w:asciiTheme="minorHAnsi" w:hAnsiTheme="minorHAnsi" w:cstheme="minorHAnsi"/>
          <w:sz w:val="22"/>
          <w:szCs w:val="22"/>
        </w:rPr>
        <w:t xml:space="preserve">A kitöltési útmutató </w:t>
      </w:r>
      <w:r w:rsidR="00EB0A73" w:rsidRPr="0079458F">
        <w:rPr>
          <w:rFonts w:asciiTheme="minorHAnsi" w:hAnsiTheme="minorHAnsi" w:cstheme="minorHAnsi"/>
          <w:sz w:val="22"/>
          <w:szCs w:val="22"/>
        </w:rPr>
        <w:t>2. rész 81. pont a) bekezdés</w:t>
      </w:r>
      <w:r w:rsidR="0014664E" w:rsidRPr="0079458F">
        <w:rPr>
          <w:rFonts w:asciiTheme="minorHAnsi" w:hAnsiTheme="minorHAnsi" w:cstheme="minorHAnsi"/>
          <w:sz w:val="22"/>
          <w:szCs w:val="22"/>
        </w:rPr>
        <w:t xml:space="preserve">e ebben az </w:t>
      </w:r>
      <w:r w:rsidR="00D7126E" w:rsidRPr="0079458F">
        <w:rPr>
          <w:rFonts w:asciiTheme="minorHAnsi" w:hAnsiTheme="minorHAnsi" w:cstheme="minorHAnsi"/>
          <w:sz w:val="22"/>
          <w:szCs w:val="22"/>
        </w:rPr>
        <w:t>esetben a CRR-re utal. A CRR</w:t>
      </w:r>
      <w:r w:rsidR="0014664E" w:rsidRPr="0079458F">
        <w:rPr>
          <w:rFonts w:asciiTheme="minorHAnsi" w:hAnsiTheme="minorHAnsi" w:cstheme="minorHAnsi"/>
          <w:sz w:val="22"/>
          <w:szCs w:val="22"/>
        </w:rPr>
        <w:t xml:space="preserve"> csak a lakóingatlan</w:t>
      </w:r>
      <w:r w:rsidR="00E71841" w:rsidRPr="0079458F">
        <w:rPr>
          <w:rFonts w:asciiTheme="minorHAnsi" w:hAnsiTheme="minorHAnsi" w:cstheme="minorHAnsi"/>
          <w:sz w:val="22"/>
          <w:szCs w:val="22"/>
        </w:rPr>
        <w:t xml:space="preserve"> fogalmát</w:t>
      </w:r>
      <w:r w:rsidR="00D7126E" w:rsidRPr="0079458F">
        <w:rPr>
          <w:rFonts w:asciiTheme="minorHAnsi" w:hAnsiTheme="minorHAnsi" w:cstheme="minorHAnsi"/>
          <w:sz w:val="22"/>
          <w:szCs w:val="22"/>
        </w:rPr>
        <w:t xml:space="preserve"> definiálja</w:t>
      </w:r>
      <w:r w:rsidR="0014664E" w:rsidRPr="0079458F">
        <w:rPr>
          <w:rFonts w:asciiTheme="minorHAnsi" w:hAnsiTheme="minorHAnsi" w:cstheme="minorHAnsi"/>
          <w:sz w:val="22"/>
          <w:szCs w:val="22"/>
        </w:rPr>
        <w:t>.</w:t>
      </w:r>
      <w:r w:rsidR="00D7126E" w:rsidRPr="0079458F">
        <w:rPr>
          <w:rFonts w:asciiTheme="minorHAnsi" w:hAnsiTheme="minorHAnsi" w:cstheme="minorHAnsi"/>
          <w:sz w:val="22"/>
          <w:szCs w:val="22"/>
        </w:rPr>
        <w:t xml:space="preserve"> (CRR 4. cikk 75. pont)</w:t>
      </w:r>
    </w:p>
    <w:p w:rsidR="007C0873" w:rsidRPr="0079458F" w:rsidRDefault="00D7126E" w:rsidP="009524C3">
      <w:pPr>
        <w:pStyle w:val="CM11"/>
        <w:spacing w:before="200" w:after="20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9458F">
        <w:rPr>
          <w:rFonts w:asciiTheme="minorHAnsi" w:hAnsiTheme="minorHAnsi" w:cstheme="minorHAnsi"/>
          <w:sz w:val="22"/>
          <w:szCs w:val="22"/>
        </w:rPr>
        <w:t>L</w:t>
      </w:r>
      <w:r w:rsidR="00EB0A73" w:rsidRPr="0079458F">
        <w:rPr>
          <w:rFonts w:asciiTheme="minorHAnsi" w:hAnsiTheme="minorHAnsi" w:cstheme="minorHAnsi"/>
          <w:sz w:val="22"/>
          <w:szCs w:val="22"/>
        </w:rPr>
        <w:t>akóingatlan</w:t>
      </w:r>
      <w:r w:rsidRPr="0079458F">
        <w:rPr>
          <w:rFonts w:asciiTheme="minorHAnsi" w:hAnsiTheme="minorHAnsi" w:cstheme="minorHAnsi"/>
          <w:sz w:val="22"/>
          <w:szCs w:val="22"/>
        </w:rPr>
        <w:t>:</w:t>
      </w:r>
      <w:r w:rsidR="007C0873" w:rsidRPr="0079458F">
        <w:rPr>
          <w:rFonts w:asciiTheme="minorHAnsi" w:hAnsiTheme="minorHAnsi" w:cstheme="minorHAnsi"/>
          <w:sz w:val="22"/>
          <w:szCs w:val="22"/>
        </w:rPr>
        <w:t xml:space="preserve"> </w:t>
      </w:r>
      <w:r w:rsidR="00EB0A73" w:rsidRPr="0079458F">
        <w:rPr>
          <w:rFonts w:asciiTheme="minorHAnsi" w:hAnsiTheme="minorHAnsi" w:cstheme="minorHAnsi"/>
          <w:sz w:val="22"/>
          <w:szCs w:val="22"/>
        </w:rPr>
        <w:t>„</w:t>
      </w:r>
      <w:r w:rsidR="007C0873" w:rsidRPr="0079458F">
        <w:rPr>
          <w:rFonts w:asciiTheme="minorHAnsi" w:hAnsiTheme="minorHAnsi" w:cstheme="minorHAnsi"/>
          <w:sz w:val="22"/>
          <w:szCs w:val="22"/>
        </w:rPr>
        <w:t>a tulajdonos vagy a bérlő által lakott lakáscélú ingatlan, ideértve a svéd lakásszövetkezetek lakásaiban való lakhatáshoz való jogot;</w:t>
      </w:r>
      <w:r w:rsidR="00EB0A73" w:rsidRPr="0079458F">
        <w:rPr>
          <w:rFonts w:asciiTheme="minorHAnsi" w:hAnsiTheme="minorHAnsi" w:cstheme="minorHAnsi"/>
          <w:sz w:val="22"/>
          <w:szCs w:val="22"/>
        </w:rPr>
        <w:t>”</w:t>
      </w:r>
    </w:p>
    <w:p w:rsidR="00EB0A73" w:rsidRPr="0079458F" w:rsidRDefault="00EB0A73" w:rsidP="00BA40F0">
      <w:pPr>
        <w:ind w:left="426"/>
        <w:rPr>
          <w:rFonts w:asciiTheme="minorHAnsi" w:eastAsiaTheme="minorHAnsi" w:hAnsiTheme="minorHAnsi" w:cstheme="minorHAnsi"/>
        </w:rPr>
      </w:pPr>
      <w:r w:rsidRPr="0079458F">
        <w:rPr>
          <w:rFonts w:asciiTheme="minorHAnsi" w:eastAsiaTheme="minorHAnsi" w:hAnsiTheme="minorHAnsi" w:cstheme="minorHAnsi"/>
        </w:rPr>
        <w:t>A kereskedelmi ingatlan fogalmát a CRR konkrétan nem definiálja. Értelmezésünk szerint</w:t>
      </w:r>
      <w:r w:rsidR="00D7126E" w:rsidRPr="0079458F">
        <w:rPr>
          <w:rFonts w:asciiTheme="minorHAnsi" w:eastAsiaTheme="minorHAnsi" w:hAnsiTheme="minorHAnsi" w:cstheme="minorHAnsi"/>
        </w:rPr>
        <w:t xml:space="preserve"> és a jelenleg hatályos Validációs Kézikönyv értelmében</w:t>
      </w:r>
      <w:r w:rsidRPr="0079458F">
        <w:rPr>
          <w:rFonts w:asciiTheme="minorHAnsi" w:eastAsiaTheme="minorHAnsi" w:hAnsiTheme="minorHAnsi" w:cstheme="minorHAnsi"/>
        </w:rPr>
        <w:t xml:space="preserve"> keresk</w:t>
      </w:r>
      <w:r w:rsidR="00675C59" w:rsidRPr="0079458F">
        <w:rPr>
          <w:rFonts w:asciiTheme="minorHAnsi" w:eastAsiaTheme="minorHAnsi" w:hAnsiTheme="minorHAnsi" w:cstheme="minorHAnsi"/>
        </w:rPr>
        <w:t>edelmi ingatlan</w:t>
      </w:r>
      <w:r w:rsidR="00F86D41">
        <w:rPr>
          <w:rFonts w:asciiTheme="minorHAnsi" w:eastAsiaTheme="minorHAnsi" w:hAnsiTheme="minorHAnsi" w:cstheme="minorHAnsi"/>
        </w:rPr>
        <w:t>nak tekinthető</w:t>
      </w:r>
      <w:r w:rsidR="00675C59" w:rsidRPr="0079458F">
        <w:rPr>
          <w:rFonts w:asciiTheme="minorHAnsi" w:eastAsiaTheme="minorHAnsi" w:hAnsiTheme="minorHAnsi" w:cstheme="minorHAnsi"/>
        </w:rPr>
        <w:t xml:space="preserve"> minden olyan ingatlan, amely nem lakóingatlan.</w:t>
      </w:r>
      <w:r w:rsidR="00A16B46" w:rsidRPr="0079458F">
        <w:rPr>
          <w:rFonts w:asciiTheme="minorHAnsi" w:eastAsiaTheme="minorHAnsi" w:hAnsiTheme="minorHAnsi" w:cstheme="minorHAnsi"/>
        </w:rPr>
        <w:t xml:space="preserve"> Ezért </w:t>
      </w:r>
      <w:r w:rsidR="00D7126E" w:rsidRPr="0079458F">
        <w:rPr>
          <w:rFonts w:asciiTheme="minorHAnsi" w:eastAsiaTheme="minorHAnsi" w:hAnsiTheme="minorHAnsi" w:cstheme="minorHAnsi"/>
        </w:rPr>
        <w:t xml:space="preserve">jelen álláspontunk szerint </w:t>
      </w:r>
      <w:r w:rsidR="00A16B46" w:rsidRPr="0079458F">
        <w:rPr>
          <w:rFonts w:asciiTheme="minorHAnsi" w:eastAsiaTheme="minorHAnsi" w:hAnsiTheme="minorHAnsi" w:cstheme="minorHAnsi"/>
        </w:rPr>
        <w:t xml:space="preserve">a 8PBF tábla szerinti </w:t>
      </w:r>
      <w:r w:rsidR="00D7126E" w:rsidRPr="0079458F">
        <w:rPr>
          <w:rFonts w:asciiTheme="minorHAnsi" w:eastAsiaTheme="minorHAnsi" w:hAnsiTheme="minorHAnsi" w:cstheme="minorHAnsi"/>
        </w:rPr>
        <w:t>„</w:t>
      </w:r>
      <w:r w:rsidR="00A16B46" w:rsidRPr="0079458F">
        <w:rPr>
          <w:rFonts w:asciiTheme="minorHAnsi" w:eastAsiaTheme="minorHAnsi" w:hAnsiTheme="minorHAnsi" w:cstheme="minorHAnsi"/>
        </w:rPr>
        <w:t>egyéb ingatlanfedezeteket</w:t>
      </w:r>
      <w:r w:rsidR="00D7126E" w:rsidRPr="0079458F">
        <w:rPr>
          <w:rFonts w:asciiTheme="minorHAnsi" w:eastAsiaTheme="minorHAnsi" w:hAnsiTheme="minorHAnsi" w:cstheme="minorHAnsi"/>
        </w:rPr>
        <w:t>”</w:t>
      </w:r>
      <w:r w:rsidR="00A16B46" w:rsidRPr="0079458F">
        <w:rPr>
          <w:rFonts w:asciiTheme="minorHAnsi" w:eastAsiaTheme="minorHAnsi" w:hAnsiTheme="minorHAnsi" w:cstheme="minorHAnsi"/>
        </w:rPr>
        <w:t xml:space="preserve"> </w:t>
      </w:r>
      <w:r w:rsidR="00E71841" w:rsidRPr="0079458F">
        <w:rPr>
          <w:rFonts w:asciiTheme="minorHAnsi" w:eastAsiaTheme="minorHAnsi" w:hAnsiTheme="minorHAnsi" w:cstheme="minorHAnsi"/>
        </w:rPr>
        <w:t xml:space="preserve">(pl. üdülő, nem üzleti célú garázs, telek, stb.) </w:t>
      </w:r>
      <w:r w:rsidR="00A16B46" w:rsidRPr="0079458F">
        <w:rPr>
          <w:rFonts w:asciiTheme="minorHAnsi" w:eastAsiaTheme="minorHAnsi" w:hAnsiTheme="minorHAnsi" w:cstheme="minorHAnsi"/>
        </w:rPr>
        <w:t xml:space="preserve">a kereskedelmi </w:t>
      </w:r>
      <w:r w:rsidR="00E71841" w:rsidRPr="0079458F">
        <w:rPr>
          <w:rFonts w:asciiTheme="minorHAnsi" w:eastAsiaTheme="minorHAnsi" w:hAnsiTheme="minorHAnsi" w:cstheme="minorHAnsi"/>
        </w:rPr>
        <w:t xml:space="preserve">ingatlan </w:t>
      </w:r>
      <w:r w:rsidR="00A16B46" w:rsidRPr="0079458F">
        <w:rPr>
          <w:rFonts w:asciiTheme="minorHAnsi" w:eastAsiaTheme="minorHAnsi" w:hAnsiTheme="minorHAnsi" w:cstheme="minorHAnsi"/>
        </w:rPr>
        <w:t>kategóriába kell sorolni.</w:t>
      </w:r>
    </w:p>
    <w:p w:rsidR="00D7126E" w:rsidRDefault="00D7126E" w:rsidP="003C58BD">
      <w:pPr>
        <w:pStyle w:val="ListParagraph"/>
        <w:ind w:left="0"/>
        <w:jc w:val="both"/>
        <w:rPr>
          <w:b/>
        </w:rPr>
      </w:pPr>
    </w:p>
    <w:p w:rsidR="004679DA" w:rsidRDefault="004679DA" w:rsidP="003C58BD">
      <w:pPr>
        <w:pStyle w:val="ListParagraph"/>
        <w:ind w:left="0"/>
        <w:jc w:val="both"/>
        <w:rPr>
          <w:b/>
        </w:rPr>
      </w:pPr>
      <w:r w:rsidRPr="00537A6B">
        <w:rPr>
          <w:b/>
        </w:rPr>
        <w:t>F13.2. Collateral obtained by taking possession during the period (held at the reporting date)</w:t>
      </w:r>
    </w:p>
    <w:p w:rsidR="006B0B68" w:rsidRPr="00537A6B" w:rsidRDefault="006B0B68" w:rsidP="004679DA">
      <w:pPr>
        <w:pStyle w:val="ListParagraph"/>
        <w:ind w:left="426"/>
        <w:jc w:val="both"/>
        <w:rPr>
          <w:b/>
        </w:rPr>
      </w:pPr>
    </w:p>
    <w:p w:rsidR="004C73B1" w:rsidRPr="00290C7E" w:rsidRDefault="004679DA" w:rsidP="00290C7E">
      <w:pPr>
        <w:ind w:left="360"/>
        <w:jc w:val="both"/>
        <w:rPr>
          <w:rFonts w:cstheme="minorHAnsi"/>
        </w:rPr>
      </w:pPr>
      <w:r w:rsidRPr="00290C7E">
        <w:rPr>
          <w:b/>
          <w:sz w:val="24"/>
          <w:szCs w:val="24"/>
          <w:u w:val="single"/>
        </w:rPr>
        <w:t>Kérdés:</w:t>
      </w:r>
      <w:r w:rsidRPr="00290C7E">
        <w:rPr>
          <w:b/>
          <w:sz w:val="24"/>
          <w:szCs w:val="24"/>
        </w:rPr>
        <w:t xml:space="preserve"> </w:t>
      </w:r>
      <w:r w:rsidRPr="00537A6B">
        <w:t xml:space="preserve">A 13.2 </w:t>
      </w:r>
      <w:r w:rsidR="004C73B1" w:rsidRPr="00537A6B">
        <w:t>táblában</w:t>
      </w:r>
      <w:r w:rsidR="004C73B1" w:rsidRPr="00290C7E">
        <w:rPr>
          <w:rFonts w:cstheme="minorHAnsi"/>
        </w:rPr>
        <w:t xml:space="preserve"> az időszak során megszerzett biztosítékokat kell kimutatni az alábbi bontásban:</w:t>
      </w:r>
    </w:p>
    <w:p w:rsidR="004C73B1" w:rsidRPr="00537A6B" w:rsidRDefault="004C73B1" w:rsidP="004C73B1">
      <w:pPr>
        <w:jc w:val="both"/>
        <w:rPr>
          <w:rFonts w:asciiTheme="minorHAnsi" w:eastAsiaTheme="minorHAnsi" w:hAnsiTheme="minorHAnsi" w:cstheme="minorHAnsi"/>
        </w:rPr>
      </w:pPr>
    </w:p>
    <w:tbl>
      <w:tblPr>
        <w:tblStyle w:val="TableGrid"/>
        <w:tblW w:w="8052" w:type="dxa"/>
        <w:tblInd w:w="708" w:type="dxa"/>
        <w:tblLook w:val="04A0"/>
      </w:tblPr>
      <w:tblGrid>
        <w:gridCol w:w="3860"/>
        <w:gridCol w:w="4192"/>
      </w:tblGrid>
      <w:tr w:rsidR="004C73B1" w:rsidRPr="00537A6B" w:rsidTr="00847ED7">
        <w:trPr>
          <w:trHeight w:val="41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847ED7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37A6B">
              <w:rPr>
                <w:rFonts w:asciiTheme="minorHAnsi" w:eastAsiaTheme="minorHAnsi" w:hAnsiTheme="minorHAnsi" w:cstheme="minorHAnsi"/>
              </w:rPr>
              <w:t>Értékesítési célból tartott befektetett eszközök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4B5FD9">
            <w:pPr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</w:tr>
      <w:tr w:rsidR="004C73B1" w:rsidRPr="00537A6B" w:rsidTr="00847ED7">
        <w:trPr>
          <w:trHeight w:val="20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4B5FD9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37A6B">
              <w:rPr>
                <w:rFonts w:asciiTheme="minorHAnsi" w:eastAsiaTheme="minorHAnsi" w:hAnsiTheme="minorHAnsi" w:cstheme="minorHAnsi"/>
              </w:rPr>
              <w:t>Ingatlanok, gépek és berendezések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4B5FD9">
            <w:pPr>
              <w:jc w:val="both"/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</w:tr>
      <w:tr w:rsidR="004C73B1" w:rsidRPr="00537A6B" w:rsidTr="00847ED7">
        <w:trPr>
          <w:trHeight w:val="2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4B5FD9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37A6B">
              <w:rPr>
                <w:rFonts w:asciiTheme="minorHAnsi" w:eastAsiaTheme="minorHAnsi" w:hAnsiTheme="minorHAnsi" w:cstheme="minorHAnsi"/>
              </w:rPr>
              <w:t>Befektetési célú ingatlanok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1" w:rsidRPr="00537A6B" w:rsidRDefault="004C73B1" w:rsidP="004B5FD9">
            <w:pPr>
              <w:jc w:val="both"/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</w:tr>
      <w:tr w:rsidR="004C73B1" w:rsidRPr="00537A6B" w:rsidTr="00847ED7">
        <w:trPr>
          <w:trHeight w:val="21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4B5FD9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37A6B">
              <w:rPr>
                <w:rFonts w:asciiTheme="minorHAnsi" w:eastAsiaTheme="minorHAnsi" w:hAnsiTheme="minorHAnsi" w:cstheme="minorHAnsi"/>
              </w:rPr>
              <w:t>Tőke és követelésinstrumentumok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4B5FD9">
            <w:pPr>
              <w:jc w:val="both"/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</w:tr>
      <w:tr w:rsidR="004C73B1" w:rsidRPr="00537A6B" w:rsidTr="00847ED7">
        <w:trPr>
          <w:trHeight w:val="23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3B1" w:rsidRPr="00537A6B" w:rsidRDefault="004C73B1" w:rsidP="004B5FD9">
            <w:pPr>
              <w:jc w:val="both"/>
              <w:rPr>
                <w:rFonts w:asciiTheme="minorHAnsi" w:eastAsiaTheme="minorHAnsi" w:hAnsiTheme="minorHAnsi" w:cstheme="minorHAnsi"/>
              </w:rPr>
            </w:pPr>
            <w:r w:rsidRPr="00537A6B">
              <w:rPr>
                <w:rFonts w:asciiTheme="minorHAnsi" w:eastAsiaTheme="minorHAnsi" w:hAnsiTheme="minorHAnsi" w:cstheme="minorHAnsi"/>
              </w:rPr>
              <w:t>Egyebek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B1" w:rsidRPr="00537A6B" w:rsidRDefault="004C73B1" w:rsidP="004B5FD9">
            <w:pPr>
              <w:jc w:val="both"/>
              <w:rPr>
                <w:rFonts w:asciiTheme="minorHAnsi" w:hAnsiTheme="minorHAnsi"/>
                <w:strike/>
                <w:sz w:val="24"/>
                <w:szCs w:val="24"/>
              </w:rPr>
            </w:pPr>
          </w:p>
        </w:tc>
      </w:tr>
    </w:tbl>
    <w:p w:rsidR="004C73B1" w:rsidRPr="00537A6B" w:rsidRDefault="004C73B1" w:rsidP="004C73B1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4C73B1" w:rsidRPr="00537A6B" w:rsidRDefault="004C73B1" w:rsidP="00BA40F0">
      <w:pPr>
        <w:ind w:left="426"/>
        <w:jc w:val="both"/>
        <w:rPr>
          <w:rFonts w:asciiTheme="minorHAnsi" w:eastAsiaTheme="minorHAnsi" w:hAnsiTheme="minorHAnsi" w:cstheme="minorHAnsi"/>
        </w:rPr>
      </w:pPr>
      <w:r w:rsidRPr="00537A6B">
        <w:rPr>
          <w:rFonts w:asciiTheme="minorHAnsi" w:eastAsiaTheme="minorHAnsi" w:hAnsiTheme="minorHAnsi" w:cstheme="minorHAnsi"/>
        </w:rPr>
        <w:lastRenderedPageBreak/>
        <w:t>Jól értelmezzük</w:t>
      </w:r>
      <w:r w:rsidR="00847ED7" w:rsidRPr="00537A6B">
        <w:rPr>
          <w:rFonts w:asciiTheme="minorHAnsi" w:eastAsiaTheme="minorHAnsi" w:hAnsiTheme="minorHAnsi" w:cstheme="minorHAnsi"/>
        </w:rPr>
        <w:t>-e</w:t>
      </w:r>
      <w:r w:rsidRPr="00537A6B">
        <w:rPr>
          <w:rFonts w:asciiTheme="minorHAnsi" w:eastAsiaTheme="minorHAnsi" w:hAnsiTheme="minorHAnsi" w:cstheme="minorHAnsi"/>
        </w:rPr>
        <w:t>, hogy a követelés fejében átvett és a saját könyvekben kimutatott különböző eszköztípusokat kell besorolni az adott kategóriákba? Kérünk bővebb tájékoztatást.</w:t>
      </w:r>
      <w:r w:rsidR="006B0B68" w:rsidRPr="006B0B68">
        <w:rPr>
          <w:rFonts w:asciiTheme="minorHAnsi" w:hAnsiTheme="minorHAnsi"/>
        </w:rPr>
        <w:t xml:space="preserve"> </w:t>
      </w:r>
    </w:p>
    <w:p w:rsidR="0061450E" w:rsidRPr="00537A6B" w:rsidRDefault="0061450E" w:rsidP="004C73B1">
      <w:pPr>
        <w:jc w:val="both"/>
        <w:rPr>
          <w:rFonts w:asciiTheme="minorHAnsi" w:eastAsiaTheme="minorHAnsi" w:hAnsiTheme="minorHAnsi" w:cstheme="minorHAnsi"/>
        </w:rPr>
      </w:pPr>
    </w:p>
    <w:p w:rsidR="00CF54AE" w:rsidRDefault="0061450E" w:rsidP="00C43C38">
      <w:pPr>
        <w:ind w:left="426"/>
        <w:jc w:val="both"/>
        <w:rPr>
          <w:rFonts w:asciiTheme="minorHAnsi" w:eastAsiaTheme="minorHAnsi" w:hAnsiTheme="minorHAnsi" w:cstheme="minorHAnsi"/>
        </w:rPr>
      </w:pPr>
      <w:r w:rsidRPr="0079458F">
        <w:rPr>
          <w:rFonts w:asciiTheme="minorHAnsi" w:eastAsiaTheme="minorHAnsi" w:hAnsiTheme="minorHAnsi" w:cstheme="minorHAnsi"/>
          <w:b/>
          <w:u w:val="single"/>
        </w:rPr>
        <w:t>Válasz:</w:t>
      </w:r>
      <w:r w:rsidRPr="0079458F">
        <w:rPr>
          <w:rFonts w:asciiTheme="minorHAnsi" w:eastAsiaTheme="minorHAnsi" w:hAnsiTheme="minorHAnsi" w:cstheme="minorHAnsi"/>
        </w:rPr>
        <w:t xml:space="preserve"> </w:t>
      </w:r>
      <w:r w:rsidR="004B5FD9" w:rsidRPr="0079458F">
        <w:rPr>
          <w:rFonts w:asciiTheme="minorHAnsi" w:eastAsiaTheme="minorHAnsi" w:hAnsiTheme="minorHAnsi" w:cstheme="minorHAnsi"/>
        </w:rPr>
        <w:t>Helyesen</w:t>
      </w:r>
      <w:r w:rsidRPr="0079458F">
        <w:rPr>
          <w:rFonts w:asciiTheme="minorHAnsi" w:eastAsiaTheme="minorHAnsi" w:hAnsiTheme="minorHAnsi" w:cstheme="minorHAnsi"/>
        </w:rPr>
        <w:t xml:space="preserve"> értelmezik</w:t>
      </w:r>
      <w:r w:rsidR="004B5FD9" w:rsidRPr="0079458F">
        <w:rPr>
          <w:rFonts w:asciiTheme="minorHAnsi" w:eastAsiaTheme="minorHAnsi" w:hAnsiTheme="minorHAnsi" w:cstheme="minorHAnsi"/>
        </w:rPr>
        <w:t xml:space="preserve"> a kérdést</w:t>
      </w:r>
      <w:r w:rsidRPr="0079458F">
        <w:rPr>
          <w:rFonts w:asciiTheme="minorHAnsi" w:eastAsiaTheme="minorHAnsi" w:hAnsiTheme="minorHAnsi" w:cstheme="minorHAnsi"/>
        </w:rPr>
        <w:t xml:space="preserve">. A </w:t>
      </w:r>
      <w:r w:rsidR="001D0E74" w:rsidRPr="0079458F">
        <w:rPr>
          <w:rFonts w:asciiTheme="minorHAnsi" w:eastAsiaTheme="minorHAnsi" w:hAnsiTheme="minorHAnsi" w:cstheme="minorHAnsi"/>
        </w:rPr>
        <w:t>beszámolási (</w:t>
      </w:r>
      <w:r w:rsidRPr="0079458F">
        <w:rPr>
          <w:rFonts w:asciiTheme="minorHAnsi" w:eastAsiaTheme="minorHAnsi" w:hAnsiTheme="minorHAnsi" w:cstheme="minorHAnsi"/>
        </w:rPr>
        <w:t>január 1. és a vonatkozási időpont közötti</w:t>
      </w:r>
      <w:r w:rsidR="001D0E74" w:rsidRPr="0079458F">
        <w:rPr>
          <w:rFonts w:asciiTheme="minorHAnsi" w:eastAsiaTheme="minorHAnsi" w:hAnsiTheme="minorHAnsi" w:cstheme="minorHAnsi"/>
        </w:rPr>
        <w:t>)</w:t>
      </w:r>
      <w:r w:rsidRPr="0079458F">
        <w:rPr>
          <w:rFonts w:asciiTheme="minorHAnsi" w:eastAsiaTheme="minorHAnsi" w:hAnsiTheme="minorHAnsi" w:cstheme="minorHAnsi"/>
        </w:rPr>
        <w:t xml:space="preserve"> időszak</w:t>
      </w:r>
      <w:r w:rsidR="001D0E74" w:rsidRPr="0079458F">
        <w:rPr>
          <w:rFonts w:asciiTheme="minorHAnsi" w:eastAsiaTheme="minorHAnsi" w:hAnsiTheme="minorHAnsi" w:cstheme="minorHAnsi"/>
        </w:rPr>
        <w:t xml:space="preserve"> során</w:t>
      </w:r>
      <w:r w:rsidRPr="0079458F">
        <w:rPr>
          <w:rFonts w:asciiTheme="minorHAnsi" w:eastAsiaTheme="minorHAnsi" w:hAnsiTheme="minorHAnsi" w:cstheme="minorHAnsi"/>
        </w:rPr>
        <w:t xml:space="preserve"> megszerzett</w:t>
      </w:r>
      <w:r w:rsidR="00816E15" w:rsidRPr="0079458F">
        <w:rPr>
          <w:rFonts w:asciiTheme="minorHAnsi" w:eastAsiaTheme="minorHAnsi" w:hAnsiTheme="minorHAnsi" w:cstheme="minorHAnsi"/>
        </w:rPr>
        <w:t xml:space="preserve"> (követelés fejében átvett) korábbi fedezetek közül a vonatkozási időpontban még fennál</w:t>
      </w:r>
      <w:r w:rsidR="00A16B46" w:rsidRPr="0079458F">
        <w:rPr>
          <w:rFonts w:asciiTheme="minorHAnsi" w:eastAsiaTheme="minorHAnsi" w:hAnsiTheme="minorHAnsi" w:cstheme="minorHAnsi"/>
        </w:rPr>
        <w:t>ló tételek könyv szerinti értékét kell jelenteni</w:t>
      </w:r>
      <w:r w:rsidR="00816E15" w:rsidRPr="0079458F">
        <w:rPr>
          <w:rFonts w:asciiTheme="minorHAnsi" w:eastAsiaTheme="minorHAnsi" w:hAnsiTheme="minorHAnsi" w:cstheme="minorHAnsi"/>
        </w:rPr>
        <w:t>, melyeket</w:t>
      </w:r>
      <w:r w:rsidRPr="0079458F">
        <w:rPr>
          <w:rFonts w:asciiTheme="minorHAnsi" w:eastAsiaTheme="minorHAnsi" w:hAnsiTheme="minorHAnsi" w:cstheme="minorHAnsi"/>
        </w:rPr>
        <w:t xml:space="preserve"> az adatszolgáltató </w:t>
      </w:r>
      <w:r w:rsidR="00816E15" w:rsidRPr="0079458F">
        <w:rPr>
          <w:rFonts w:asciiTheme="minorHAnsi" w:eastAsiaTheme="minorHAnsi" w:hAnsiTheme="minorHAnsi" w:cstheme="minorHAnsi"/>
        </w:rPr>
        <w:t xml:space="preserve">a </w:t>
      </w:r>
      <w:r w:rsidR="004B5FD9" w:rsidRPr="0079458F">
        <w:rPr>
          <w:rFonts w:asciiTheme="minorHAnsi" w:eastAsiaTheme="minorHAnsi" w:hAnsiTheme="minorHAnsi" w:cstheme="minorHAnsi"/>
        </w:rPr>
        <w:t>mérlegében</w:t>
      </w:r>
      <w:r w:rsidRPr="0079458F">
        <w:rPr>
          <w:rFonts w:asciiTheme="minorHAnsi" w:eastAsiaTheme="minorHAnsi" w:hAnsiTheme="minorHAnsi" w:cstheme="minorHAnsi"/>
        </w:rPr>
        <w:t xml:space="preserve"> </w:t>
      </w:r>
      <w:r w:rsidR="004B5FD9" w:rsidRPr="0079458F">
        <w:rPr>
          <w:rFonts w:asciiTheme="minorHAnsi" w:eastAsiaTheme="minorHAnsi" w:hAnsiTheme="minorHAnsi" w:cstheme="minorHAnsi"/>
        </w:rPr>
        <w:t>kimutatott</w:t>
      </w:r>
      <w:r w:rsidR="00816E15" w:rsidRPr="0079458F">
        <w:rPr>
          <w:rFonts w:asciiTheme="minorHAnsi" w:eastAsiaTheme="minorHAnsi" w:hAnsiTheme="minorHAnsi" w:cstheme="minorHAnsi"/>
        </w:rPr>
        <w:t>.</w:t>
      </w:r>
      <w:r w:rsidRPr="0079458F">
        <w:rPr>
          <w:rFonts w:asciiTheme="minorHAnsi" w:eastAsiaTheme="minorHAnsi" w:hAnsiTheme="minorHAnsi" w:cstheme="minorHAnsi"/>
        </w:rPr>
        <w:t xml:space="preserve"> </w:t>
      </w:r>
    </w:p>
    <w:p w:rsidR="0060292A" w:rsidRDefault="0060292A" w:rsidP="004C73B1">
      <w:pPr>
        <w:jc w:val="both"/>
        <w:rPr>
          <w:rFonts w:asciiTheme="minorHAnsi" w:eastAsiaTheme="minorHAnsi" w:hAnsiTheme="minorHAnsi" w:cstheme="minorHAnsi"/>
        </w:rPr>
      </w:pPr>
    </w:p>
    <w:p w:rsidR="00663FF6" w:rsidRPr="0079458F" w:rsidRDefault="00663FF6" w:rsidP="004C73B1">
      <w:pPr>
        <w:jc w:val="both"/>
        <w:rPr>
          <w:rFonts w:asciiTheme="minorHAnsi" w:eastAsiaTheme="minorHAnsi" w:hAnsiTheme="minorHAnsi" w:cstheme="minorHAnsi"/>
        </w:rPr>
      </w:pPr>
    </w:p>
    <w:p w:rsidR="004679DA" w:rsidRDefault="004679DA" w:rsidP="004679DA">
      <w:pPr>
        <w:pStyle w:val="ListParagraph"/>
        <w:ind w:left="0"/>
        <w:jc w:val="both"/>
        <w:rPr>
          <w:b/>
        </w:rPr>
      </w:pPr>
      <w:r w:rsidRPr="00537A6B">
        <w:rPr>
          <w:b/>
        </w:rPr>
        <w:t>F13.3. Collateral obtained by taking possession (tangible assets) accumulated</w:t>
      </w:r>
    </w:p>
    <w:p w:rsidR="00663FF6" w:rsidRPr="00537A6B" w:rsidRDefault="00663FF6" w:rsidP="004679DA">
      <w:pPr>
        <w:pStyle w:val="ListParagraph"/>
        <w:ind w:left="0"/>
        <w:jc w:val="both"/>
        <w:rPr>
          <w:b/>
        </w:rPr>
      </w:pPr>
    </w:p>
    <w:p w:rsidR="004C73B1" w:rsidRDefault="004679DA" w:rsidP="00290C7E">
      <w:pPr>
        <w:ind w:left="284"/>
        <w:jc w:val="both"/>
      </w:pPr>
      <w:r w:rsidRPr="00290C7E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Kérdés:</w:t>
      </w:r>
      <w:r w:rsidRPr="00290C7E">
        <w:rPr>
          <w:b/>
          <w:u w:val="single"/>
        </w:rPr>
        <w:t xml:space="preserve"> </w:t>
      </w:r>
      <w:r w:rsidRPr="00537A6B">
        <w:t xml:space="preserve">A 13.3 </w:t>
      </w:r>
      <w:r w:rsidR="004C73B1" w:rsidRPr="00537A6B">
        <w:t xml:space="preserve">tábla </w:t>
      </w:r>
      <w:r w:rsidR="008A445D" w:rsidRPr="00537A6B">
        <w:t>esetében kérünk szakmai támogatást/iránymutatást az elvárt tartalomra vonatkozóan.</w:t>
      </w:r>
      <w:r w:rsidR="006B0B68" w:rsidRPr="00290C7E">
        <w:t xml:space="preserve"> </w:t>
      </w:r>
    </w:p>
    <w:p w:rsidR="00290C7E" w:rsidRPr="00290C7E" w:rsidRDefault="00290C7E" w:rsidP="00290C7E">
      <w:pPr>
        <w:ind w:left="284"/>
        <w:jc w:val="both"/>
        <w:rPr>
          <w:rFonts w:cstheme="minorHAnsi"/>
        </w:rPr>
      </w:pPr>
    </w:p>
    <w:p w:rsidR="00175B14" w:rsidRPr="0079458F" w:rsidRDefault="00D12F12" w:rsidP="003F3E3E">
      <w:pPr>
        <w:ind w:left="284"/>
        <w:jc w:val="both"/>
        <w:rPr>
          <w:rFonts w:asciiTheme="minorHAnsi" w:eastAsiaTheme="minorHAnsi" w:hAnsiTheme="minorHAnsi" w:cstheme="minorHAnsi"/>
        </w:rPr>
      </w:pPr>
      <w:r w:rsidRPr="0079458F">
        <w:rPr>
          <w:rFonts w:asciiTheme="minorHAnsi" w:eastAsiaTheme="minorHAnsi" w:hAnsiTheme="minorHAnsi" w:cstheme="minorHAnsi"/>
          <w:b/>
          <w:u w:val="single"/>
        </w:rPr>
        <w:t>Válasz</w:t>
      </w:r>
      <w:r w:rsidRPr="0079458F">
        <w:rPr>
          <w:rFonts w:asciiTheme="minorHAnsi" w:eastAsiaTheme="minorHAnsi" w:hAnsiTheme="minorHAnsi" w:cstheme="minorHAnsi"/>
        </w:rPr>
        <w:t xml:space="preserve">: </w:t>
      </w:r>
      <w:r w:rsidR="00C43C38">
        <w:rPr>
          <w:rFonts w:asciiTheme="minorHAnsi" w:eastAsiaTheme="minorHAnsi" w:hAnsiTheme="minorHAnsi" w:cstheme="minorHAnsi"/>
        </w:rPr>
        <w:t>Ebben</w:t>
      </w:r>
      <w:r w:rsidRPr="0079458F">
        <w:rPr>
          <w:rFonts w:asciiTheme="minorHAnsi" w:eastAsiaTheme="minorHAnsi" w:hAnsiTheme="minorHAnsi" w:cstheme="minorHAnsi"/>
        </w:rPr>
        <w:t xml:space="preserve"> a táblában</w:t>
      </w:r>
      <w:r w:rsidR="00547B9A" w:rsidRPr="0079458F">
        <w:rPr>
          <w:rFonts w:asciiTheme="minorHAnsi" w:eastAsiaTheme="minorHAnsi" w:hAnsiTheme="minorHAnsi" w:cstheme="minorHAnsi"/>
        </w:rPr>
        <w:t xml:space="preserve"> azoknak a</w:t>
      </w:r>
      <w:r w:rsidR="000A105C" w:rsidRPr="0079458F">
        <w:rPr>
          <w:rFonts w:asciiTheme="minorHAnsi" w:eastAsiaTheme="minorHAnsi" w:hAnsiTheme="minorHAnsi" w:cstheme="minorHAnsi"/>
        </w:rPr>
        <w:t xml:space="preserve"> tárgyi eszközök</w:t>
      </w:r>
      <w:r w:rsidR="00547B9A" w:rsidRPr="0079458F">
        <w:rPr>
          <w:rFonts w:asciiTheme="minorHAnsi" w:eastAsiaTheme="minorHAnsi" w:hAnsiTheme="minorHAnsi" w:cstheme="minorHAnsi"/>
        </w:rPr>
        <w:t>nek a</w:t>
      </w:r>
      <w:r w:rsidR="000A105C" w:rsidRPr="0079458F">
        <w:rPr>
          <w:rFonts w:asciiTheme="minorHAnsi" w:eastAsiaTheme="minorHAnsi" w:hAnsiTheme="minorHAnsi" w:cstheme="minorHAnsi"/>
        </w:rPr>
        <w:t xml:space="preserve"> vonatkozási időpontban fennálló könyv szerinti értékét kell szerepeltetni, amelyek</w:t>
      </w:r>
      <w:r w:rsidR="00547B9A" w:rsidRPr="0079458F">
        <w:rPr>
          <w:rFonts w:asciiTheme="minorHAnsi" w:eastAsiaTheme="minorHAnsi" w:hAnsiTheme="minorHAnsi" w:cstheme="minorHAnsi"/>
        </w:rPr>
        <w:t xml:space="preserve"> korábban fedezetként szolgáltak</w:t>
      </w:r>
      <w:r w:rsidR="000A105C" w:rsidRPr="0079458F">
        <w:rPr>
          <w:rFonts w:asciiTheme="minorHAnsi" w:eastAsiaTheme="minorHAnsi" w:hAnsiTheme="minorHAnsi" w:cstheme="minorHAnsi"/>
        </w:rPr>
        <w:t xml:space="preserve"> az adatszolgáltató kitettségeire és azokat a</w:t>
      </w:r>
      <w:r w:rsidRPr="0079458F">
        <w:rPr>
          <w:rFonts w:asciiTheme="minorHAnsi" w:eastAsiaTheme="minorHAnsi" w:hAnsiTheme="minorHAnsi" w:cstheme="minorHAnsi"/>
        </w:rPr>
        <w:t xml:space="preserve">z adatszolgáltató </w:t>
      </w:r>
      <w:r w:rsidR="00547B9A" w:rsidRPr="0079458F">
        <w:rPr>
          <w:rFonts w:asciiTheme="minorHAnsi" w:eastAsiaTheme="minorHAnsi" w:hAnsiTheme="minorHAnsi" w:cstheme="minorHAnsi"/>
        </w:rPr>
        <w:t>megszerezte</w:t>
      </w:r>
      <w:r w:rsidR="000A105C" w:rsidRPr="0079458F">
        <w:rPr>
          <w:rFonts w:asciiTheme="minorHAnsi" w:eastAsiaTheme="minorHAnsi" w:hAnsiTheme="minorHAnsi" w:cstheme="minorHAnsi"/>
        </w:rPr>
        <w:t>, birtokba vett</w:t>
      </w:r>
      <w:r w:rsidR="00547B9A" w:rsidRPr="0079458F">
        <w:rPr>
          <w:rFonts w:asciiTheme="minorHAnsi" w:eastAsiaTheme="minorHAnsi" w:hAnsiTheme="minorHAnsi" w:cstheme="minorHAnsi"/>
        </w:rPr>
        <w:t>e</w:t>
      </w:r>
      <w:r w:rsidRPr="0079458F">
        <w:rPr>
          <w:rFonts w:asciiTheme="minorHAnsi" w:eastAsiaTheme="minorHAnsi" w:hAnsiTheme="minorHAnsi" w:cstheme="minorHAnsi"/>
        </w:rPr>
        <w:t xml:space="preserve"> </w:t>
      </w:r>
      <w:r w:rsidR="00F55081" w:rsidRPr="0079458F">
        <w:rPr>
          <w:rFonts w:asciiTheme="minorHAnsi" w:eastAsiaTheme="minorHAnsi" w:hAnsiTheme="minorHAnsi" w:cstheme="minorHAnsi"/>
        </w:rPr>
        <w:t>(</w:t>
      </w:r>
      <w:r w:rsidRPr="0079458F">
        <w:rPr>
          <w:rFonts w:asciiTheme="minorHAnsi" w:eastAsiaTheme="minorHAnsi" w:hAnsiTheme="minorHAnsi" w:cstheme="minorHAnsi"/>
        </w:rPr>
        <w:t>követelés fejében átvett</w:t>
      </w:r>
      <w:r w:rsidR="00547B9A" w:rsidRPr="0079458F">
        <w:rPr>
          <w:rFonts w:asciiTheme="minorHAnsi" w:eastAsiaTheme="minorHAnsi" w:hAnsiTheme="minorHAnsi" w:cstheme="minorHAnsi"/>
        </w:rPr>
        <w:t>e</w:t>
      </w:r>
      <w:r w:rsidR="00F55081" w:rsidRPr="0079458F">
        <w:rPr>
          <w:rFonts w:asciiTheme="minorHAnsi" w:eastAsiaTheme="minorHAnsi" w:hAnsiTheme="minorHAnsi" w:cstheme="minorHAnsi"/>
        </w:rPr>
        <w:t>)</w:t>
      </w:r>
      <w:r w:rsidR="00547B9A" w:rsidRPr="0079458F">
        <w:rPr>
          <w:rFonts w:asciiTheme="minorHAnsi" w:eastAsiaTheme="minorHAnsi" w:hAnsiTheme="minorHAnsi" w:cstheme="minorHAnsi"/>
        </w:rPr>
        <w:t>, kivéve azokat, amelyeket a megszerzést követően a mérlegben</w:t>
      </w:r>
      <w:r w:rsidR="000A105C" w:rsidRPr="0079458F">
        <w:rPr>
          <w:rFonts w:asciiTheme="minorHAnsi" w:eastAsiaTheme="minorHAnsi" w:hAnsiTheme="minorHAnsi" w:cstheme="minorHAnsi"/>
        </w:rPr>
        <w:t xml:space="preserve"> </w:t>
      </w:r>
      <w:r w:rsidRPr="0079458F">
        <w:rPr>
          <w:rFonts w:asciiTheme="minorHAnsi" w:eastAsiaTheme="minorHAnsi" w:hAnsiTheme="minorHAnsi" w:cstheme="minorHAnsi"/>
        </w:rPr>
        <w:t xml:space="preserve">az </w:t>
      </w:r>
      <w:r w:rsidR="00547B9A" w:rsidRPr="0079458F">
        <w:rPr>
          <w:rFonts w:asciiTheme="minorHAnsi" w:eastAsiaTheme="minorHAnsi" w:hAnsiTheme="minorHAnsi" w:cstheme="minorHAnsi"/>
        </w:rPr>
        <w:t>„</w:t>
      </w:r>
      <w:r w:rsidRPr="0079458F">
        <w:rPr>
          <w:rFonts w:asciiTheme="minorHAnsi" w:eastAsiaTheme="minorHAnsi" w:hAnsiTheme="minorHAnsi" w:cstheme="minorHAnsi"/>
          <w:i/>
        </w:rPr>
        <w:t>ingatlanok, gépek és berendezések</w:t>
      </w:r>
      <w:r w:rsidR="00547B9A" w:rsidRPr="0079458F">
        <w:rPr>
          <w:rFonts w:asciiTheme="minorHAnsi" w:eastAsiaTheme="minorHAnsi" w:hAnsiTheme="minorHAnsi" w:cstheme="minorHAnsi"/>
        </w:rPr>
        <w:t>”</w:t>
      </w:r>
      <w:r w:rsidRPr="0079458F">
        <w:rPr>
          <w:rFonts w:asciiTheme="minorHAnsi" w:eastAsiaTheme="minorHAnsi" w:hAnsiTheme="minorHAnsi" w:cstheme="minorHAnsi"/>
        </w:rPr>
        <w:t xml:space="preserve"> </w:t>
      </w:r>
      <w:r w:rsidR="00547B9A" w:rsidRPr="0079458F">
        <w:rPr>
          <w:rFonts w:asciiTheme="minorHAnsi" w:eastAsiaTheme="minorHAnsi" w:hAnsiTheme="minorHAnsi" w:cstheme="minorHAnsi"/>
        </w:rPr>
        <w:t>közé sorolt</w:t>
      </w:r>
      <w:r w:rsidR="00992001">
        <w:rPr>
          <w:rFonts w:asciiTheme="minorHAnsi" w:eastAsiaTheme="minorHAnsi" w:hAnsiTheme="minorHAnsi" w:cstheme="minorHAnsi"/>
        </w:rPr>
        <w:t>.</w:t>
      </w:r>
    </w:p>
    <w:p w:rsidR="0060292A" w:rsidRDefault="0060292A" w:rsidP="003F3E3E">
      <w:pPr>
        <w:ind w:left="284"/>
        <w:jc w:val="both"/>
        <w:rPr>
          <w:rFonts w:asciiTheme="minorHAnsi" w:eastAsiaTheme="minorHAnsi" w:hAnsiTheme="minorHAnsi" w:cstheme="minorHAnsi"/>
        </w:rPr>
      </w:pPr>
    </w:p>
    <w:p w:rsidR="00663FF6" w:rsidRPr="0079458F" w:rsidRDefault="00663FF6" w:rsidP="003F3E3E">
      <w:pPr>
        <w:ind w:left="284"/>
        <w:jc w:val="both"/>
        <w:rPr>
          <w:rFonts w:asciiTheme="minorHAnsi" w:eastAsiaTheme="minorHAnsi" w:hAnsiTheme="minorHAnsi" w:cstheme="minorHAnsi"/>
        </w:rPr>
      </w:pPr>
    </w:p>
    <w:p w:rsidR="004679DA" w:rsidRPr="00537A6B" w:rsidRDefault="004679DA" w:rsidP="004679DA">
      <w:pPr>
        <w:pStyle w:val="ListParagraph"/>
        <w:ind w:left="0"/>
        <w:jc w:val="both"/>
        <w:rPr>
          <w:b/>
        </w:rPr>
      </w:pPr>
      <w:r w:rsidRPr="00537A6B">
        <w:rPr>
          <w:b/>
        </w:rPr>
        <w:t>F20.1. Geographical breakdown of assets by location of the activities</w:t>
      </w:r>
    </w:p>
    <w:p w:rsidR="006276C0" w:rsidRPr="00C43C38" w:rsidRDefault="004679DA" w:rsidP="003F3E3E">
      <w:pPr>
        <w:ind w:left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37A6B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 xml:space="preserve">Kérdés: </w:t>
      </w:r>
      <w:r w:rsidRPr="00537A6B">
        <w:rPr>
          <w:rFonts w:asciiTheme="minorHAnsi" w:eastAsiaTheme="minorHAnsi" w:hAnsiTheme="minorHAnsi" w:cstheme="minorBidi"/>
        </w:rPr>
        <w:t xml:space="preserve">A 20.1 </w:t>
      </w:r>
      <w:r w:rsidR="00C2260F" w:rsidRPr="00537A6B">
        <w:rPr>
          <w:rFonts w:asciiTheme="minorHAnsi" w:eastAsiaTheme="minorHAnsi" w:hAnsiTheme="minorHAnsi" w:cstheme="minorBidi"/>
        </w:rPr>
        <w:t>tábla</w:t>
      </w:r>
      <w:r w:rsidR="00C2260F" w:rsidRPr="00537A6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2260F" w:rsidRPr="00537A6B">
        <w:rPr>
          <w:rFonts w:asciiTheme="minorHAnsi" w:eastAsiaTheme="minorHAnsi" w:hAnsiTheme="minorHAnsi" w:cstheme="minorHAnsi"/>
        </w:rPr>
        <w:t xml:space="preserve">vonatkozásában konkrétabb </w:t>
      </w:r>
      <w:r w:rsidR="008A445D" w:rsidRPr="00537A6B">
        <w:rPr>
          <w:rFonts w:asciiTheme="minorHAnsi" w:eastAsiaTheme="minorHAnsi" w:hAnsiTheme="minorHAnsi" w:cstheme="minorHAnsi"/>
        </w:rPr>
        <w:t xml:space="preserve">iránymutatást </w:t>
      </w:r>
      <w:r w:rsidR="00C2260F" w:rsidRPr="00537A6B">
        <w:rPr>
          <w:rFonts w:asciiTheme="minorHAnsi" w:eastAsiaTheme="minorHAnsi" w:hAnsiTheme="minorHAnsi" w:cstheme="minorHAnsi"/>
        </w:rPr>
        <w:t>kérünk a táblában hivatkozott</w:t>
      </w:r>
      <w:r w:rsidR="006276C0" w:rsidRPr="00537A6B">
        <w:rPr>
          <w:rFonts w:asciiTheme="minorHAnsi" w:eastAsiaTheme="minorHAnsi" w:hAnsiTheme="minorHAnsi" w:cstheme="minorHAnsi"/>
        </w:rPr>
        <w:t xml:space="preserve"> útmutatóban (ITS) szereplő</w:t>
      </w:r>
      <w:r w:rsidR="00D12F12" w:rsidRPr="00537A6B">
        <w:rPr>
          <w:rFonts w:asciiTheme="minorHAnsi" w:eastAsiaTheme="minorHAnsi" w:hAnsiTheme="minorHAnsi" w:cstheme="minorHAnsi"/>
        </w:rPr>
        <w:t xml:space="preserve"> </w:t>
      </w:r>
      <w:r w:rsidR="006276C0" w:rsidRPr="00537A6B">
        <w:rPr>
          <w:rFonts w:asciiTheme="minorHAnsi" w:eastAsiaTheme="minorHAnsi" w:hAnsiTheme="minorHAnsi" w:cstheme="minorHAnsi"/>
        </w:rPr>
        <w:t>„Domestic activity” fogalomra vonatkozóan. Konkrét útmutatást kérünk</w:t>
      </w:r>
      <w:r w:rsidR="00847ED7" w:rsidRPr="00537A6B">
        <w:rPr>
          <w:rFonts w:asciiTheme="minorHAnsi" w:eastAsiaTheme="minorHAnsi" w:hAnsiTheme="minorHAnsi" w:cstheme="minorHAnsi"/>
        </w:rPr>
        <w:t xml:space="preserve"> arra</w:t>
      </w:r>
      <w:r w:rsidR="006276C0" w:rsidRPr="00537A6B">
        <w:rPr>
          <w:rFonts w:asciiTheme="minorHAnsi" w:eastAsiaTheme="minorHAnsi" w:hAnsiTheme="minorHAnsi" w:cstheme="minorHAnsi"/>
        </w:rPr>
        <w:t xml:space="preserve">, hogy mely esetben kell összevont szinten a partnereket „domestic” kategóriába </w:t>
      </w:r>
      <w:r w:rsidR="006276C0" w:rsidRPr="00C43C38">
        <w:rPr>
          <w:rFonts w:asciiTheme="minorHAnsi" w:eastAsiaTheme="minorHAnsi" w:hAnsiTheme="minorHAnsi" w:cstheme="minorHAnsi"/>
        </w:rPr>
        <w:t>sorolni</w:t>
      </w:r>
      <w:r w:rsidR="006276C0" w:rsidRPr="00C43C38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311ADC" w:rsidRPr="0079458F" w:rsidRDefault="00311ADC" w:rsidP="003F3E3E">
      <w:pPr>
        <w:ind w:left="284"/>
        <w:rPr>
          <w:rFonts w:asciiTheme="minorHAnsi" w:eastAsiaTheme="minorHAnsi" w:hAnsiTheme="minorHAnsi" w:cstheme="minorBidi"/>
          <w:sz w:val="24"/>
          <w:szCs w:val="24"/>
        </w:rPr>
      </w:pPr>
    </w:p>
    <w:p w:rsidR="00311ADC" w:rsidRPr="00537A6B" w:rsidRDefault="00311ADC" w:rsidP="003F3E3E">
      <w:pPr>
        <w:ind w:left="284"/>
        <w:jc w:val="both"/>
        <w:rPr>
          <w:rFonts w:asciiTheme="minorHAnsi" w:eastAsiaTheme="minorHAnsi" w:hAnsiTheme="minorHAnsi" w:cstheme="minorHAnsi"/>
        </w:rPr>
      </w:pPr>
      <w:r w:rsidRPr="00537A6B">
        <w:rPr>
          <w:rFonts w:asciiTheme="minorHAnsi" w:eastAsiaTheme="minorHAnsi" w:hAnsiTheme="minorHAnsi" w:cstheme="minorHAnsi"/>
        </w:rPr>
        <w:t xml:space="preserve">Az Annex V. fogalma: „“Location” means the jurisdiction of incorporation of the legal entity which has recognized the corresponding asset or liability; for branches, it means the jurisdiction of its residence. For these purposes, “Domestic” shall include the activities recognised in Member State where the institution is located.” </w:t>
      </w:r>
    </w:p>
    <w:p w:rsidR="00311ADC" w:rsidRPr="00537A6B" w:rsidRDefault="00311ADC" w:rsidP="003F3E3E">
      <w:pPr>
        <w:ind w:left="284"/>
        <w:jc w:val="both"/>
        <w:rPr>
          <w:rFonts w:asciiTheme="minorHAnsi" w:hAnsiTheme="minorHAnsi"/>
          <w:b/>
          <w:sz w:val="24"/>
          <w:szCs w:val="24"/>
          <w:highlight w:val="yellow"/>
        </w:rPr>
      </w:pPr>
    </w:p>
    <w:p w:rsidR="00F17F90" w:rsidRPr="0079458F" w:rsidRDefault="00D80D9F" w:rsidP="003F3E3E">
      <w:pPr>
        <w:ind w:left="284"/>
        <w:jc w:val="both"/>
        <w:rPr>
          <w:rFonts w:asciiTheme="minorHAnsi" w:eastAsiaTheme="minorHAnsi" w:hAnsiTheme="minorHAnsi" w:cstheme="minorHAnsi"/>
        </w:rPr>
      </w:pPr>
      <w:r w:rsidRPr="0079458F">
        <w:rPr>
          <w:rFonts w:asciiTheme="minorHAnsi" w:eastAsiaTheme="minorHAnsi" w:hAnsiTheme="minorHAnsi" w:cstheme="minorHAnsi"/>
          <w:b/>
          <w:u w:val="single"/>
        </w:rPr>
        <w:t>Válasz:</w:t>
      </w:r>
      <w:r w:rsidRPr="0079458F">
        <w:rPr>
          <w:rFonts w:asciiTheme="minorHAnsi" w:eastAsiaTheme="minorHAnsi" w:hAnsiTheme="minorHAnsi" w:cstheme="minorHAnsi"/>
        </w:rPr>
        <w:t xml:space="preserve"> </w:t>
      </w:r>
      <w:r w:rsidR="00FB3BAA" w:rsidRPr="0079458F">
        <w:rPr>
          <w:rFonts w:asciiTheme="minorHAnsi" w:eastAsiaTheme="minorHAnsi" w:hAnsiTheme="minorHAnsi" w:cstheme="minorHAnsi"/>
        </w:rPr>
        <w:t xml:space="preserve">Ezekben a táblákban az eszközöket, kötelezettségeket és eredménykimutatás tételeket nem a partner országa szerint kell megbontani hazai és külföldi tevékenységekre (ahogy </w:t>
      </w:r>
      <w:r w:rsidR="0052264A" w:rsidRPr="0079458F">
        <w:rPr>
          <w:rFonts w:asciiTheme="minorHAnsi" w:eastAsiaTheme="minorHAnsi" w:hAnsiTheme="minorHAnsi" w:cstheme="minorHAnsi"/>
        </w:rPr>
        <w:t xml:space="preserve">azt kell </w:t>
      </w:r>
      <w:r w:rsidR="00FB3BAA" w:rsidRPr="0079458F">
        <w:rPr>
          <w:rFonts w:asciiTheme="minorHAnsi" w:eastAsiaTheme="minorHAnsi" w:hAnsiTheme="minorHAnsi" w:cstheme="minorHAnsi"/>
        </w:rPr>
        <w:t xml:space="preserve">a 20.4-20.7 táblákban), hanem </w:t>
      </w:r>
      <w:r w:rsidR="0052264A" w:rsidRPr="0079458F">
        <w:rPr>
          <w:rFonts w:asciiTheme="minorHAnsi" w:eastAsiaTheme="minorHAnsi" w:hAnsiTheme="minorHAnsi" w:cstheme="minorHAnsi"/>
        </w:rPr>
        <w:t>az alapján, hogy az eszközt/kötelezettséget/eredménytételt az adatszolgáltató csoportján belül</w:t>
      </w:r>
      <w:r w:rsidR="00797D2C" w:rsidRPr="0079458F">
        <w:rPr>
          <w:rFonts w:asciiTheme="minorHAnsi" w:eastAsiaTheme="minorHAnsi" w:hAnsiTheme="minorHAnsi" w:cstheme="minorHAnsi"/>
        </w:rPr>
        <w:t>i</w:t>
      </w:r>
      <w:r w:rsidR="0052264A" w:rsidRPr="0079458F">
        <w:rPr>
          <w:rFonts w:asciiTheme="minorHAnsi" w:eastAsiaTheme="minorHAnsi" w:hAnsiTheme="minorHAnsi" w:cstheme="minorHAnsi"/>
        </w:rPr>
        <w:t xml:space="preserve"> melyik intézmény jelenítette </w:t>
      </w:r>
      <w:r w:rsidR="00A16B46" w:rsidRPr="0079458F">
        <w:rPr>
          <w:rFonts w:asciiTheme="minorHAnsi" w:eastAsiaTheme="minorHAnsi" w:hAnsiTheme="minorHAnsi" w:cstheme="minorHAnsi"/>
        </w:rPr>
        <w:t>meg a könyveiben.</w:t>
      </w:r>
    </w:p>
    <w:p w:rsidR="00806C64" w:rsidRDefault="00F17F90" w:rsidP="003F3E3E">
      <w:pPr>
        <w:ind w:left="284"/>
        <w:jc w:val="both"/>
        <w:rPr>
          <w:rFonts w:asciiTheme="minorHAnsi" w:eastAsiaTheme="minorHAnsi" w:hAnsiTheme="minorHAnsi" w:cstheme="minorHAnsi"/>
        </w:rPr>
      </w:pPr>
      <w:r w:rsidRPr="0079458F">
        <w:rPr>
          <w:rFonts w:asciiTheme="minorHAnsi" w:eastAsiaTheme="minorHAnsi" w:hAnsiTheme="minorHAnsi" w:cstheme="minorHAnsi"/>
        </w:rPr>
        <w:t xml:space="preserve">pl. </w:t>
      </w:r>
      <w:r w:rsidR="00A16B46" w:rsidRPr="0079458F">
        <w:rPr>
          <w:rFonts w:asciiTheme="minorHAnsi" w:eastAsiaTheme="minorHAnsi" w:hAnsiTheme="minorHAnsi" w:cstheme="minorHAnsi"/>
        </w:rPr>
        <w:t xml:space="preserve">Csoport: </w:t>
      </w:r>
      <w:r w:rsidRPr="0079458F">
        <w:rPr>
          <w:rFonts w:asciiTheme="minorHAnsi" w:eastAsiaTheme="minorHAnsi" w:hAnsiTheme="minorHAnsi" w:cstheme="minorHAnsi"/>
        </w:rPr>
        <w:t>magyar</w:t>
      </w:r>
      <w:r w:rsidR="0052264A" w:rsidRPr="0079458F">
        <w:rPr>
          <w:rFonts w:asciiTheme="minorHAnsi" w:eastAsiaTheme="minorHAnsi" w:hAnsiTheme="minorHAnsi" w:cstheme="minorHAnsi"/>
        </w:rPr>
        <w:t xml:space="preserve"> </w:t>
      </w:r>
      <w:r w:rsidR="00256DD9" w:rsidRPr="0079458F">
        <w:rPr>
          <w:rFonts w:asciiTheme="minorHAnsi" w:eastAsiaTheme="minorHAnsi" w:hAnsiTheme="minorHAnsi" w:cstheme="minorHAnsi"/>
        </w:rPr>
        <w:t>anyavállalat két leányvállalattal (1 Magyarországon, 1 Szlovákiában) és egy külföldi fiókteleppel (Romániában).</w:t>
      </w:r>
      <w:r w:rsidRPr="0079458F">
        <w:rPr>
          <w:rFonts w:asciiTheme="minorHAnsi" w:eastAsiaTheme="minorHAnsi" w:hAnsiTheme="minorHAnsi" w:cstheme="minorHAnsi"/>
        </w:rPr>
        <w:t xml:space="preserve"> </w:t>
      </w:r>
      <w:r w:rsidR="00256DD9" w:rsidRPr="0079458F">
        <w:rPr>
          <w:rFonts w:asciiTheme="minorHAnsi" w:eastAsiaTheme="minorHAnsi" w:hAnsiTheme="minorHAnsi" w:cstheme="minorHAnsi"/>
        </w:rPr>
        <w:t>Ekkor a szlovák leányvállalat és a román fióktelep eszközei és kötelezettségei jelentik a külföldi tevékenységet, a magyar anyavállalat és leányvállalat eszközei és kötelezettségei pedig a hazai tevékenységet</w:t>
      </w:r>
      <w:r w:rsidR="0052264A" w:rsidRPr="0079458F">
        <w:rPr>
          <w:rFonts w:asciiTheme="minorHAnsi" w:eastAsiaTheme="minorHAnsi" w:hAnsiTheme="minorHAnsi" w:cstheme="minorHAnsi"/>
        </w:rPr>
        <w:t>.</w:t>
      </w:r>
      <w:r w:rsidRPr="0079458F">
        <w:rPr>
          <w:rFonts w:asciiTheme="minorHAnsi" w:eastAsiaTheme="minorHAnsi" w:hAnsiTheme="minorHAnsi" w:cstheme="minorHAnsi"/>
        </w:rPr>
        <w:t xml:space="preserve"> (</w:t>
      </w:r>
      <w:r w:rsidR="00992001">
        <w:rPr>
          <w:rFonts w:asciiTheme="minorHAnsi" w:eastAsiaTheme="minorHAnsi" w:hAnsiTheme="minorHAnsi" w:cstheme="minorHAnsi"/>
        </w:rPr>
        <w:t>Ezzel a kérdéssel kapcsolatos a</w:t>
      </w:r>
      <w:r w:rsidR="00C43C38">
        <w:rPr>
          <w:rFonts w:asciiTheme="minorHAnsi" w:eastAsiaTheme="minorHAnsi" w:hAnsiTheme="minorHAnsi" w:cstheme="minorHAnsi"/>
        </w:rPr>
        <w:t xml:space="preserve"> </w:t>
      </w:r>
      <w:r w:rsidRPr="0079458F">
        <w:rPr>
          <w:rFonts w:asciiTheme="minorHAnsi" w:eastAsiaTheme="minorHAnsi" w:hAnsiTheme="minorHAnsi" w:cstheme="minorHAnsi"/>
        </w:rPr>
        <w:t xml:space="preserve">2013_330 </w:t>
      </w:r>
      <w:r w:rsidR="00AC6A2D">
        <w:rPr>
          <w:rFonts w:asciiTheme="minorHAnsi" w:eastAsiaTheme="minorHAnsi" w:hAnsiTheme="minorHAnsi" w:cstheme="minorHAnsi"/>
        </w:rPr>
        <w:t>számú Q&amp;A,</w:t>
      </w:r>
      <w:r w:rsidR="00F86D41">
        <w:rPr>
          <w:rFonts w:asciiTheme="minorHAnsi" w:eastAsiaTheme="minorHAnsi" w:hAnsiTheme="minorHAnsi" w:cstheme="minorHAnsi"/>
        </w:rPr>
        <w:t xml:space="preserve"> </w:t>
      </w:r>
      <w:r w:rsidR="00F86D41">
        <w:rPr>
          <w:rFonts w:cstheme="minorHAnsi"/>
        </w:rPr>
        <w:t>amelynek publikálása az EBA honlapon később várható</w:t>
      </w:r>
      <w:r w:rsidR="00AC6A2D">
        <w:rPr>
          <w:rFonts w:cstheme="minorHAnsi"/>
        </w:rPr>
        <w:t>.</w:t>
      </w:r>
      <w:r w:rsidRPr="0079458F">
        <w:rPr>
          <w:rFonts w:asciiTheme="minorHAnsi" w:eastAsiaTheme="minorHAnsi" w:hAnsiTheme="minorHAnsi" w:cstheme="minorHAnsi"/>
        </w:rPr>
        <w:t>)</w:t>
      </w:r>
    </w:p>
    <w:p w:rsidR="006E4356" w:rsidRDefault="006E4356" w:rsidP="003F3E3E">
      <w:pPr>
        <w:ind w:left="284"/>
        <w:jc w:val="both"/>
        <w:rPr>
          <w:rFonts w:asciiTheme="minorHAnsi" w:eastAsiaTheme="minorHAnsi" w:hAnsiTheme="minorHAnsi" w:cstheme="minorHAnsi"/>
        </w:rPr>
      </w:pPr>
    </w:p>
    <w:p w:rsidR="00663FF6" w:rsidRPr="0079458F" w:rsidRDefault="00663FF6" w:rsidP="003F3E3E">
      <w:pPr>
        <w:ind w:left="284"/>
        <w:jc w:val="both"/>
        <w:rPr>
          <w:rFonts w:asciiTheme="minorHAnsi" w:eastAsiaTheme="minorHAnsi" w:hAnsiTheme="minorHAnsi" w:cstheme="minorHAnsi"/>
        </w:rPr>
      </w:pPr>
    </w:p>
    <w:p w:rsidR="004679DA" w:rsidRPr="00537A6B" w:rsidRDefault="004679DA" w:rsidP="004679DA">
      <w:pPr>
        <w:pStyle w:val="ListParagraph"/>
        <w:ind w:left="0"/>
        <w:jc w:val="both"/>
        <w:rPr>
          <w:b/>
        </w:rPr>
      </w:pPr>
      <w:r w:rsidRPr="00537A6B">
        <w:rPr>
          <w:b/>
        </w:rPr>
        <w:t xml:space="preserve">F20.4. – </w:t>
      </w:r>
      <w:r w:rsidR="00537A6B" w:rsidRPr="00537A6B">
        <w:rPr>
          <w:b/>
        </w:rPr>
        <w:t>F</w:t>
      </w:r>
      <w:r w:rsidRPr="00537A6B">
        <w:rPr>
          <w:b/>
        </w:rPr>
        <w:t>20.7 Geographical breakdown of assets</w:t>
      </w:r>
      <w:r w:rsidR="00537A6B" w:rsidRPr="00537A6B">
        <w:rPr>
          <w:b/>
        </w:rPr>
        <w:t>/off-balance sheet exposures/liabilities/loans and advances to non-financial corporations</w:t>
      </w:r>
      <w:r w:rsidRPr="00537A6B">
        <w:rPr>
          <w:b/>
        </w:rPr>
        <w:t xml:space="preserve"> by</w:t>
      </w:r>
      <w:r w:rsidR="00537A6B" w:rsidRPr="00537A6B">
        <w:rPr>
          <w:b/>
        </w:rPr>
        <w:t xml:space="preserve"> NACE codes</w:t>
      </w:r>
      <w:r w:rsidRPr="00537A6B">
        <w:rPr>
          <w:b/>
        </w:rPr>
        <w:t xml:space="preserve"> </w:t>
      </w:r>
      <w:r w:rsidR="00537A6B" w:rsidRPr="00537A6B">
        <w:rPr>
          <w:b/>
        </w:rPr>
        <w:t>by residence of the counterparty</w:t>
      </w:r>
    </w:p>
    <w:p w:rsidR="00612619" w:rsidRDefault="00537A6B" w:rsidP="003F3E3E">
      <w:pPr>
        <w:ind w:left="284"/>
        <w:jc w:val="both"/>
        <w:rPr>
          <w:rFonts w:asciiTheme="minorHAnsi" w:hAnsiTheme="minorHAnsi"/>
        </w:rPr>
      </w:pPr>
      <w:r w:rsidRPr="00537A6B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lastRenderedPageBreak/>
        <w:t xml:space="preserve">Kérdés: </w:t>
      </w:r>
      <w:r w:rsidRPr="00537A6B">
        <w:rPr>
          <w:rFonts w:asciiTheme="minorHAnsi" w:eastAsiaTheme="minorHAnsi" w:hAnsiTheme="minorHAnsi" w:cstheme="minorBidi"/>
        </w:rPr>
        <w:t xml:space="preserve">A 20.4 – 20.7 </w:t>
      </w:r>
      <w:r w:rsidR="00806C64" w:rsidRPr="00537A6B">
        <w:rPr>
          <w:rFonts w:asciiTheme="minorHAnsi" w:eastAsiaTheme="minorHAnsi" w:hAnsiTheme="minorHAnsi" w:cstheme="minorBidi"/>
        </w:rPr>
        <w:t>táblák</w:t>
      </w:r>
      <w:r w:rsidR="00806C64" w:rsidRPr="00537A6B">
        <w:rPr>
          <w:rFonts w:asciiTheme="minorHAnsi" w:eastAsiaTheme="minorHAnsi" w:hAnsiTheme="minorHAnsi" w:cstheme="minorHAnsi"/>
        </w:rPr>
        <w:t xml:space="preserve"> esetében</w:t>
      </w:r>
      <w:r w:rsidR="008A445D" w:rsidRPr="00537A6B">
        <w:rPr>
          <w:rFonts w:asciiTheme="minorHAnsi" w:eastAsiaTheme="minorHAnsi" w:hAnsiTheme="minorHAnsi" w:cstheme="minorHAnsi"/>
        </w:rPr>
        <w:t xml:space="preserve"> kérünk plusz információt, </w:t>
      </w:r>
      <w:r w:rsidR="00E62DA5" w:rsidRPr="00537A6B">
        <w:rPr>
          <w:rFonts w:asciiTheme="minorHAnsi" w:eastAsiaTheme="minorHAnsi" w:hAnsiTheme="minorHAnsi" w:cstheme="minorHAnsi"/>
        </w:rPr>
        <w:t xml:space="preserve">hogy mely országokra vonatkozóan </w:t>
      </w:r>
      <w:r w:rsidR="0034693D" w:rsidRPr="00537A6B">
        <w:rPr>
          <w:rFonts w:asciiTheme="minorHAnsi" w:eastAsiaTheme="minorHAnsi" w:hAnsiTheme="minorHAnsi" w:cstheme="minorHAnsi"/>
        </w:rPr>
        <w:t>(„Country of residence of the counterparty”)</w:t>
      </w:r>
      <w:r w:rsidR="00AF6234" w:rsidRPr="00537A6B">
        <w:rPr>
          <w:rFonts w:asciiTheme="minorHAnsi" w:eastAsiaTheme="minorHAnsi" w:hAnsiTheme="minorHAnsi" w:cstheme="minorHAnsi"/>
        </w:rPr>
        <w:t xml:space="preserve"> </w:t>
      </w:r>
      <w:r w:rsidR="00E62DA5" w:rsidRPr="00537A6B">
        <w:rPr>
          <w:rFonts w:asciiTheme="minorHAnsi" w:eastAsiaTheme="minorHAnsi" w:hAnsiTheme="minorHAnsi" w:cstheme="minorHAnsi"/>
        </w:rPr>
        <w:t>kell a jelentéseket előállítani</w:t>
      </w:r>
      <w:r w:rsidR="00AF6234" w:rsidRPr="00537A6B">
        <w:rPr>
          <w:rFonts w:asciiTheme="minorHAnsi" w:eastAsiaTheme="minorHAnsi" w:hAnsiTheme="minorHAnsi" w:cstheme="minorHAnsi"/>
        </w:rPr>
        <w:t>.</w:t>
      </w:r>
      <w:r w:rsidR="006B0B68" w:rsidRPr="006B0B68">
        <w:rPr>
          <w:rFonts w:asciiTheme="minorHAnsi" w:hAnsiTheme="minorHAnsi"/>
        </w:rPr>
        <w:t xml:space="preserve"> </w:t>
      </w:r>
    </w:p>
    <w:p w:rsidR="0079458F" w:rsidRPr="00537A6B" w:rsidRDefault="0079458F" w:rsidP="003F3E3E">
      <w:pPr>
        <w:ind w:left="284"/>
        <w:jc w:val="both"/>
        <w:rPr>
          <w:rFonts w:asciiTheme="minorHAnsi" w:eastAsiaTheme="minorHAnsi" w:hAnsiTheme="minorHAnsi" w:cstheme="minorHAnsi"/>
        </w:rPr>
      </w:pPr>
    </w:p>
    <w:p w:rsidR="00612619" w:rsidRPr="008F5E5F" w:rsidRDefault="00835C7D" w:rsidP="003F3E3E">
      <w:pPr>
        <w:ind w:left="284"/>
        <w:jc w:val="both"/>
        <w:rPr>
          <w:rFonts w:asciiTheme="minorHAnsi" w:eastAsiaTheme="minorHAnsi" w:hAnsiTheme="minorHAnsi" w:cstheme="minorHAnsi"/>
        </w:rPr>
      </w:pPr>
      <w:r w:rsidRPr="008F5E5F">
        <w:rPr>
          <w:rFonts w:asciiTheme="minorHAnsi" w:eastAsiaTheme="minorHAnsi" w:hAnsiTheme="minorHAnsi" w:cstheme="minorHAnsi"/>
          <w:b/>
          <w:u w:val="single"/>
        </w:rPr>
        <w:t>Válasz</w:t>
      </w:r>
      <w:r w:rsidRPr="008F5E5F">
        <w:rPr>
          <w:rFonts w:asciiTheme="minorHAnsi" w:eastAsiaTheme="minorHAnsi" w:hAnsiTheme="minorHAnsi" w:cstheme="minorHAnsi"/>
        </w:rPr>
        <w:t xml:space="preserve">: Ha az adatszolgáltató átlépi a küszöbértéket (10%) és megfelel az ITS főszövegében definiált belépési feltételeknek, akkor </w:t>
      </w:r>
      <w:r w:rsidR="00605396" w:rsidRPr="008F5E5F">
        <w:rPr>
          <w:rFonts w:asciiTheme="minorHAnsi" w:eastAsiaTheme="minorHAnsi" w:hAnsiTheme="minorHAnsi" w:cstheme="minorHAnsi"/>
        </w:rPr>
        <w:t xml:space="preserve">a 20.4- 20. 7 táblákat tölteni kell. Ebben az esetben </w:t>
      </w:r>
      <w:r w:rsidRPr="008F5E5F">
        <w:rPr>
          <w:rFonts w:asciiTheme="minorHAnsi" w:eastAsiaTheme="minorHAnsi" w:hAnsiTheme="minorHAnsi" w:cstheme="minorHAnsi"/>
        </w:rPr>
        <w:t xml:space="preserve">minden </w:t>
      </w:r>
      <w:r w:rsidR="0029172A" w:rsidRPr="008F5E5F">
        <w:rPr>
          <w:rFonts w:asciiTheme="minorHAnsi" w:eastAsiaTheme="minorHAnsi" w:hAnsiTheme="minorHAnsi" w:cstheme="minorHAnsi"/>
        </w:rPr>
        <w:t>olyan</w:t>
      </w:r>
      <w:r w:rsidRPr="008F5E5F">
        <w:rPr>
          <w:rFonts w:asciiTheme="minorHAnsi" w:eastAsiaTheme="minorHAnsi" w:hAnsiTheme="minorHAnsi" w:cstheme="minorHAnsi"/>
        </w:rPr>
        <w:t xml:space="preserve"> országra vonatkozóan ki kel</w:t>
      </w:r>
      <w:r w:rsidR="0029172A" w:rsidRPr="008F5E5F">
        <w:rPr>
          <w:rFonts w:asciiTheme="minorHAnsi" w:eastAsiaTheme="minorHAnsi" w:hAnsiTheme="minorHAnsi" w:cstheme="minorHAnsi"/>
        </w:rPr>
        <w:t>l tölteniük a táblát</w:t>
      </w:r>
      <w:r w:rsidR="00F17F90" w:rsidRPr="008F5E5F">
        <w:rPr>
          <w:rFonts w:asciiTheme="minorHAnsi" w:eastAsiaTheme="minorHAnsi" w:hAnsiTheme="minorHAnsi" w:cstheme="minorHAnsi"/>
        </w:rPr>
        <w:t xml:space="preserve">, amely országgal szemben </w:t>
      </w:r>
      <w:r w:rsidR="00605396" w:rsidRPr="008F5E5F">
        <w:rPr>
          <w:rFonts w:asciiTheme="minorHAnsi" w:eastAsiaTheme="minorHAnsi" w:hAnsiTheme="minorHAnsi" w:cstheme="minorHAnsi"/>
        </w:rPr>
        <w:t xml:space="preserve">az adatszolgáltatónak </w:t>
      </w:r>
      <w:r w:rsidR="00F17F90" w:rsidRPr="008F5E5F">
        <w:rPr>
          <w:rFonts w:asciiTheme="minorHAnsi" w:eastAsiaTheme="minorHAnsi" w:hAnsiTheme="minorHAnsi" w:cstheme="minorHAnsi"/>
        </w:rPr>
        <w:t>kite</w:t>
      </w:r>
      <w:r w:rsidR="00971AEE" w:rsidRPr="008F5E5F">
        <w:rPr>
          <w:rFonts w:asciiTheme="minorHAnsi" w:eastAsiaTheme="minorHAnsi" w:hAnsiTheme="minorHAnsi" w:cstheme="minorHAnsi"/>
        </w:rPr>
        <w:t xml:space="preserve">ttsége áll fenn (küszöbérték nélkül), köztük természetesen </w:t>
      </w:r>
      <w:r w:rsidR="009C0317" w:rsidRPr="008F5E5F">
        <w:rPr>
          <w:rFonts w:asciiTheme="minorHAnsi" w:eastAsiaTheme="minorHAnsi" w:hAnsiTheme="minorHAnsi" w:cstheme="minorHAnsi"/>
        </w:rPr>
        <w:t>Ma</w:t>
      </w:r>
      <w:r w:rsidR="00971AEE" w:rsidRPr="008F5E5F">
        <w:rPr>
          <w:rFonts w:asciiTheme="minorHAnsi" w:eastAsiaTheme="minorHAnsi" w:hAnsiTheme="minorHAnsi" w:cstheme="minorHAnsi"/>
        </w:rPr>
        <w:t>gyarországra is.</w:t>
      </w:r>
    </w:p>
    <w:p w:rsidR="007C55F8" w:rsidRPr="008F5E5F" w:rsidRDefault="007C55F8" w:rsidP="003F3E3E">
      <w:pPr>
        <w:ind w:left="284"/>
        <w:jc w:val="both"/>
        <w:rPr>
          <w:rFonts w:asciiTheme="minorHAnsi" w:eastAsiaTheme="minorHAnsi" w:hAnsiTheme="minorHAnsi" w:cstheme="minorHAnsi"/>
        </w:rPr>
      </w:pPr>
    </w:p>
    <w:p w:rsidR="00DE3646" w:rsidRPr="008F5E5F" w:rsidRDefault="00AC6A2D" w:rsidP="003F3E3E">
      <w:pPr>
        <w:ind w:left="284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 kitöltési útmutató ide vonatkozó része: </w:t>
      </w:r>
      <w:r w:rsidR="00DE3646" w:rsidRPr="008F5E5F">
        <w:rPr>
          <w:rFonts w:asciiTheme="minorHAnsi" w:eastAsiaTheme="minorHAnsi" w:hAnsiTheme="minorHAnsi" w:cstheme="minorHAnsi"/>
        </w:rPr>
        <w:t>„The breakdown provided shall include exposures or liabilities with residents in each foreign country in which the institution has exposures.”</w:t>
      </w:r>
    </w:p>
    <w:p w:rsidR="00311ADC" w:rsidRPr="00537A6B" w:rsidRDefault="00311ADC" w:rsidP="00311ADC">
      <w:pPr>
        <w:jc w:val="both"/>
        <w:rPr>
          <w:rFonts w:asciiTheme="minorHAnsi" w:hAnsiTheme="minorHAnsi"/>
          <w:sz w:val="24"/>
          <w:szCs w:val="24"/>
        </w:rPr>
      </w:pPr>
    </w:p>
    <w:p w:rsidR="00311ADC" w:rsidRPr="00537A6B" w:rsidRDefault="00311ADC" w:rsidP="00311ADC">
      <w:pPr>
        <w:jc w:val="both"/>
        <w:rPr>
          <w:rFonts w:asciiTheme="minorHAnsi" w:hAnsiTheme="minorHAnsi"/>
          <w:sz w:val="24"/>
          <w:szCs w:val="24"/>
        </w:rPr>
      </w:pPr>
    </w:p>
    <w:p w:rsidR="004011B8" w:rsidRPr="003C58BD" w:rsidRDefault="00537A6B" w:rsidP="003C58BD">
      <w:pPr>
        <w:pStyle w:val="ListParagraph"/>
        <w:ind w:left="0"/>
        <w:jc w:val="both"/>
        <w:rPr>
          <w:b/>
        </w:rPr>
      </w:pPr>
      <w:r w:rsidRPr="00537A6B">
        <w:rPr>
          <w:b/>
        </w:rPr>
        <w:t>F18. Performing and non-performing exposures</w:t>
      </w:r>
    </w:p>
    <w:p w:rsidR="006C38DC" w:rsidRPr="00537A6B" w:rsidRDefault="00537A6B" w:rsidP="00537A6B">
      <w:pPr>
        <w:jc w:val="both"/>
        <w:rPr>
          <w:rFonts w:asciiTheme="minorHAnsi" w:hAnsiTheme="minorHAnsi"/>
          <w:sz w:val="24"/>
          <w:szCs w:val="24"/>
        </w:rPr>
      </w:pPr>
      <w:r w:rsidRPr="00537A6B">
        <w:rPr>
          <w:rFonts w:asciiTheme="minorHAnsi" w:hAnsiTheme="minorHAnsi"/>
          <w:b/>
        </w:rPr>
        <w:t>Kérdés:</w:t>
      </w:r>
      <w:r w:rsidRPr="00537A6B">
        <w:rPr>
          <w:rFonts w:asciiTheme="minorHAnsi" w:hAnsiTheme="minorHAnsi"/>
        </w:rPr>
        <w:t xml:space="preserve"> </w:t>
      </w:r>
      <w:r w:rsidR="00407E72" w:rsidRPr="00537A6B">
        <w:rPr>
          <w:rFonts w:asciiTheme="minorHAnsi" w:hAnsiTheme="minorHAnsi"/>
        </w:rPr>
        <w:t>K</w:t>
      </w:r>
      <w:r w:rsidR="00FB067C" w:rsidRPr="00537A6B">
        <w:rPr>
          <w:rFonts w:asciiTheme="minorHAnsi" w:hAnsiTheme="minorHAnsi"/>
        </w:rPr>
        <w:t>érünk támogató információt</w:t>
      </w:r>
      <w:r w:rsidR="00CE4604" w:rsidRPr="00537A6B">
        <w:rPr>
          <w:rFonts w:asciiTheme="minorHAnsi" w:hAnsiTheme="minorHAnsi"/>
        </w:rPr>
        <w:t>, hogy mi a különbség a default és non-performing kategóriák között.</w:t>
      </w:r>
      <w:r w:rsidR="006B0B68" w:rsidRPr="006B0B68">
        <w:rPr>
          <w:rFonts w:asciiTheme="minorHAnsi" w:hAnsiTheme="minorHAnsi"/>
        </w:rPr>
        <w:t xml:space="preserve"> </w:t>
      </w:r>
    </w:p>
    <w:p w:rsidR="00AD5FA8" w:rsidRPr="00537A6B" w:rsidRDefault="00AD5FA8" w:rsidP="00AD5FA8">
      <w:pPr>
        <w:pStyle w:val="ListParagraph"/>
        <w:jc w:val="both"/>
        <w:rPr>
          <w:sz w:val="24"/>
          <w:szCs w:val="24"/>
        </w:rPr>
      </w:pPr>
    </w:p>
    <w:p w:rsidR="003C58BD" w:rsidRPr="008F5E5F" w:rsidRDefault="00537A6B" w:rsidP="003C58BD">
      <w:pPr>
        <w:pStyle w:val="ListParagraph"/>
        <w:ind w:left="0"/>
        <w:jc w:val="both"/>
        <w:rPr>
          <w:rFonts w:cs="EUAlbertina"/>
          <w:b/>
        </w:rPr>
      </w:pPr>
      <w:r w:rsidRPr="008F5E5F">
        <w:rPr>
          <w:rFonts w:cs="EUAlbertina"/>
          <w:b/>
        </w:rPr>
        <w:t xml:space="preserve">Válasz: </w:t>
      </w:r>
    </w:p>
    <w:p w:rsidR="006E1BA9" w:rsidRPr="008F5E5F" w:rsidRDefault="00F851BF" w:rsidP="003C58BD">
      <w:pPr>
        <w:pStyle w:val="ListParagraph"/>
        <w:ind w:left="0"/>
        <w:jc w:val="both"/>
        <w:rPr>
          <w:rFonts w:cs="EUAlbertina"/>
          <w:b/>
        </w:rPr>
      </w:pPr>
      <w:r w:rsidRPr="008F5E5F">
        <w:rPr>
          <w:rFonts w:cs="EUAlbertina"/>
          <w:b/>
        </w:rPr>
        <w:t>Default fogalom (</w:t>
      </w:r>
      <w:r w:rsidR="006E1BA9" w:rsidRPr="008F5E5F">
        <w:rPr>
          <w:rFonts w:cs="EUAlbertina"/>
          <w:b/>
        </w:rPr>
        <w:t>CRR 178. cikk</w:t>
      </w:r>
      <w:r w:rsidRPr="008F5E5F">
        <w:rPr>
          <w:rFonts w:cs="EUAlbertina"/>
          <w:b/>
        </w:rPr>
        <w:t>)</w:t>
      </w:r>
      <w:r w:rsidR="006E1BA9" w:rsidRPr="008F5E5F">
        <w:rPr>
          <w:rFonts w:cs="EUAlbertina"/>
          <w:b/>
        </w:rPr>
        <w:t xml:space="preserve"> </w:t>
      </w:r>
    </w:p>
    <w:p w:rsidR="006E1BA9" w:rsidRPr="008F5E5F" w:rsidRDefault="006E1BA9" w:rsidP="003F3E3E">
      <w:pPr>
        <w:autoSpaceDE w:val="0"/>
        <w:autoSpaceDN w:val="0"/>
        <w:adjustRightInd w:val="0"/>
        <w:spacing w:before="60" w:after="60"/>
        <w:ind w:left="284"/>
        <w:rPr>
          <w:rFonts w:asciiTheme="minorHAnsi" w:eastAsiaTheme="minorHAnsi" w:hAnsiTheme="minorHAnsi" w:cs="EUAlbertina"/>
        </w:rPr>
      </w:pPr>
      <w:r w:rsidRPr="008F5E5F">
        <w:rPr>
          <w:rFonts w:asciiTheme="minorHAnsi" w:eastAsiaTheme="minorHAnsi" w:hAnsiTheme="minorHAnsi" w:cs="EUAlbertina"/>
        </w:rPr>
        <w:t xml:space="preserve">(1) Egy adott ügyfél nemteljesítését akkor kell megtörténtnek tekinteni, ha a következők közül valamelyik vagy mindkettő bekövetkezik: </w:t>
      </w:r>
    </w:p>
    <w:p w:rsidR="006E1BA9" w:rsidRPr="008F5E5F" w:rsidRDefault="006E1BA9" w:rsidP="003F3E3E">
      <w:pPr>
        <w:autoSpaceDE w:val="0"/>
        <w:autoSpaceDN w:val="0"/>
        <w:adjustRightInd w:val="0"/>
        <w:spacing w:before="60" w:after="60"/>
        <w:ind w:left="284"/>
        <w:rPr>
          <w:rFonts w:asciiTheme="minorHAnsi" w:eastAsiaTheme="minorHAnsi" w:hAnsiTheme="minorHAnsi" w:cs="EUAlbertina"/>
        </w:rPr>
      </w:pPr>
      <w:r w:rsidRPr="008F5E5F">
        <w:rPr>
          <w:rFonts w:asciiTheme="minorHAnsi" w:eastAsiaTheme="minorHAnsi" w:hAnsiTheme="minorHAnsi" w:cs="EUAlbertina"/>
        </w:rPr>
        <w:t xml:space="preserve">a) </w:t>
      </w:r>
      <w:r w:rsidR="002166B1" w:rsidRPr="008F5E5F">
        <w:rPr>
          <w:rFonts w:asciiTheme="minorHAnsi" w:eastAsiaTheme="minorHAnsi" w:hAnsiTheme="minorHAnsi" w:cs="EUAlbertina"/>
        </w:rPr>
        <w:t>ha</w:t>
      </w:r>
      <w:r w:rsidRPr="008F5E5F">
        <w:rPr>
          <w:rFonts w:asciiTheme="minorHAnsi" w:eastAsiaTheme="minorHAnsi" w:hAnsiTheme="minorHAnsi" w:cs="EUAlbertina"/>
        </w:rPr>
        <w:t xml:space="preserve"> az ügyfél valószínűsíthetően nem fogja teljes egészében teljesíteni hitelkötelezettségeit, hacsak az intézmény nem folyamodik visszkeresethez a biztosíték lehívása érdekében; </w:t>
      </w:r>
    </w:p>
    <w:p w:rsidR="006E1BA9" w:rsidRPr="008F5E5F" w:rsidRDefault="002166B1" w:rsidP="003F3E3E">
      <w:pPr>
        <w:autoSpaceDE w:val="0"/>
        <w:autoSpaceDN w:val="0"/>
        <w:adjustRightInd w:val="0"/>
        <w:spacing w:before="60" w:after="60"/>
        <w:ind w:left="284"/>
        <w:rPr>
          <w:rFonts w:asciiTheme="minorHAnsi" w:eastAsiaTheme="minorHAnsi" w:hAnsiTheme="minorHAnsi" w:cs="EUAlbertina"/>
        </w:rPr>
      </w:pPr>
      <w:r w:rsidRPr="008F5E5F">
        <w:rPr>
          <w:rFonts w:asciiTheme="minorHAnsi" w:eastAsiaTheme="minorHAnsi" w:hAnsiTheme="minorHAnsi" w:cs="EUAlbertina"/>
        </w:rPr>
        <w:t xml:space="preserve">b) az ügyfél </w:t>
      </w:r>
      <w:r w:rsidR="006E1BA9" w:rsidRPr="008F5E5F">
        <w:rPr>
          <w:rFonts w:asciiTheme="minorHAnsi" w:eastAsiaTheme="minorHAnsi" w:hAnsiTheme="minorHAnsi" w:cs="EUAlbertina"/>
        </w:rPr>
        <w:t>90 napon túl</w:t>
      </w:r>
      <w:r w:rsidRPr="008F5E5F">
        <w:rPr>
          <w:rFonts w:asciiTheme="minorHAnsi" w:eastAsiaTheme="minorHAnsi" w:hAnsiTheme="minorHAnsi" w:cs="EUAlbertina"/>
        </w:rPr>
        <w:t>i késedelembe esik</w:t>
      </w:r>
      <w:r w:rsidR="006E1BA9" w:rsidRPr="008F5E5F">
        <w:rPr>
          <w:rFonts w:asciiTheme="minorHAnsi" w:eastAsiaTheme="minorHAnsi" w:hAnsiTheme="minorHAnsi" w:cs="EUAlbertina"/>
        </w:rPr>
        <w:t xml:space="preserve">. Az illetékes hatóságok a lakossággal szembeni kitettségi osztályba tartozó, lakóingatlannal vagy kkv kereskedelmi célú ingatlanával biztosított kitettségek esetében, valamint a közszektorbeli intézményekkel szembeni kitettségek esetében a 90 napos időtartamot 180 nappal helyettesíthetik. A 180 napos időtartam a 127. cikk esetében nem alkalmazandó. </w:t>
      </w:r>
    </w:p>
    <w:p w:rsidR="00E668D9" w:rsidRPr="008F5E5F" w:rsidRDefault="00E668D9" w:rsidP="003F3E3E">
      <w:pPr>
        <w:ind w:left="284"/>
        <w:jc w:val="both"/>
        <w:rPr>
          <w:rFonts w:asciiTheme="minorHAnsi" w:eastAsiaTheme="minorHAnsi" w:hAnsiTheme="minorHAnsi" w:cs="EUAlbertina"/>
          <w:b/>
        </w:rPr>
      </w:pPr>
    </w:p>
    <w:p w:rsidR="00953564" w:rsidRPr="008F5E5F" w:rsidRDefault="00953564" w:rsidP="00663FF6">
      <w:pPr>
        <w:pStyle w:val="ListParagraph"/>
        <w:ind w:left="0"/>
        <w:jc w:val="both"/>
        <w:rPr>
          <w:rFonts w:cs="EUAlbertina"/>
          <w:b/>
        </w:rPr>
      </w:pPr>
      <w:r w:rsidRPr="008F5E5F">
        <w:rPr>
          <w:rFonts w:cs="EUAlbertina"/>
          <w:b/>
        </w:rPr>
        <w:t>Non-performing</w:t>
      </w:r>
      <w:r w:rsidR="00F851BF" w:rsidRPr="008F5E5F">
        <w:rPr>
          <w:rFonts w:cs="EUAlbertina"/>
          <w:b/>
        </w:rPr>
        <w:t xml:space="preserve"> (adatszolgáltatási</w:t>
      </w:r>
      <w:r w:rsidRPr="008F5E5F">
        <w:rPr>
          <w:rFonts w:cs="EUAlbertina"/>
          <w:b/>
        </w:rPr>
        <w:t xml:space="preserve"> ITS</w:t>
      </w:r>
      <w:r w:rsidR="00F851BF" w:rsidRPr="008F5E5F">
        <w:rPr>
          <w:rFonts w:cs="EUAlbertina"/>
          <w:b/>
        </w:rPr>
        <w:t>)</w:t>
      </w:r>
    </w:p>
    <w:p w:rsidR="00953564" w:rsidRPr="008F5E5F" w:rsidRDefault="00953564" w:rsidP="003F3E3E">
      <w:pPr>
        <w:ind w:left="284"/>
        <w:jc w:val="both"/>
        <w:rPr>
          <w:rFonts w:asciiTheme="minorHAnsi" w:eastAsiaTheme="minorHAnsi" w:hAnsiTheme="minorHAnsi" w:cs="EUAlbertina"/>
        </w:rPr>
      </w:pPr>
      <w:r w:rsidRPr="008F5E5F">
        <w:rPr>
          <w:rFonts w:asciiTheme="minorHAnsi" w:eastAsiaTheme="minorHAnsi" w:hAnsiTheme="minorHAnsi" w:cs="EUAlbertina"/>
        </w:rPr>
        <w:t xml:space="preserve">Az Európai Unió szintjén konszolidált szinten egységesen alkalmazásra kerülő nemteljesítő kitettség fogalom tágabb körű, mint a korábban használatos 90 napon túl lejárt hitelek fogalom. Egyrészt a CRR által meghatározott default definícióra, másrészt pedig az IFRS-ek által meghatározott </w:t>
      </w:r>
      <w:r w:rsidR="00AC6A2D">
        <w:rPr>
          <w:rFonts w:asciiTheme="minorHAnsi" w:eastAsiaTheme="minorHAnsi" w:hAnsiTheme="minorHAnsi" w:cs="EUAlbertina"/>
        </w:rPr>
        <w:t>értékvesztés</w:t>
      </w:r>
      <w:r w:rsidR="00AC6A2D" w:rsidRPr="008F5E5F">
        <w:rPr>
          <w:rFonts w:asciiTheme="minorHAnsi" w:eastAsiaTheme="minorHAnsi" w:hAnsiTheme="minorHAnsi" w:cs="EUAlbertina"/>
        </w:rPr>
        <w:t xml:space="preserve"> </w:t>
      </w:r>
      <w:r w:rsidRPr="008F5E5F">
        <w:rPr>
          <w:rFonts w:asciiTheme="minorHAnsi" w:eastAsiaTheme="minorHAnsi" w:hAnsiTheme="minorHAnsi" w:cs="EUAlbertina"/>
        </w:rPr>
        <w:t>fogalomrendszerre épül, de tovább bővíti azokat.</w:t>
      </w:r>
    </w:p>
    <w:p w:rsidR="00953564" w:rsidRPr="008F5E5F" w:rsidRDefault="00953564" w:rsidP="003F3E3E">
      <w:pPr>
        <w:ind w:left="284"/>
        <w:jc w:val="both"/>
        <w:rPr>
          <w:rFonts w:asciiTheme="minorHAnsi" w:eastAsiaTheme="minorHAnsi" w:hAnsiTheme="minorHAnsi" w:cs="EUAlbertina"/>
        </w:rPr>
      </w:pPr>
    </w:p>
    <w:p w:rsidR="00953564" w:rsidRPr="008F5E5F" w:rsidRDefault="00953564" w:rsidP="003C58BD">
      <w:pPr>
        <w:ind w:left="284"/>
        <w:jc w:val="both"/>
        <w:rPr>
          <w:rFonts w:asciiTheme="minorHAnsi" w:eastAsiaTheme="minorHAnsi" w:hAnsiTheme="minorHAnsi" w:cs="EUAlbertina"/>
        </w:rPr>
      </w:pPr>
      <w:r w:rsidRPr="008F5E5F">
        <w:rPr>
          <w:rFonts w:asciiTheme="minorHAnsi" w:eastAsiaTheme="minorHAnsi" w:hAnsiTheme="minorHAnsi" w:cs="EUAlbertina"/>
        </w:rPr>
        <w:t>Ennek megfelelően minden kitettséget nemteljesítőnek kell tekinteni, ha</w:t>
      </w:r>
    </w:p>
    <w:p w:rsidR="00953564" w:rsidRPr="008F5E5F" w:rsidRDefault="00953564" w:rsidP="003C58BD">
      <w:pPr>
        <w:pStyle w:val="ListParagraph"/>
        <w:numPr>
          <w:ilvl w:val="1"/>
          <w:numId w:val="15"/>
        </w:numPr>
        <w:spacing w:after="0" w:line="240" w:lineRule="auto"/>
        <w:ind w:left="284"/>
        <w:jc w:val="both"/>
        <w:rPr>
          <w:rFonts w:cs="EUAlbertina"/>
        </w:rPr>
      </w:pPr>
      <w:r w:rsidRPr="008F5E5F">
        <w:rPr>
          <w:rFonts w:cs="EUAlbertina"/>
        </w:rPr>
        <w:t>több mint 90 napja késedelmes, vagy</w:t>
      </w:r>
    </w:p>
    <w:p w:rsidR="00953564" w:rsidRPr="008F5E5F" w:rsidRDefault="00953564" w:rsidP="003C58BD">
      <w:pPr>
        <w:pStyle w:val="ListParagraph"/>
        <w:numPr>
          <w:ilvl w:val="1"/>
          <w:numId w:val="15"/>
        </w:numPr>
        <w:spacing w:after="0" w:line="240" w:lineRule="auto"/>
        <w:ind w:left="284"/>
        <w:jc w:val="both"/>
        <w:rPr>
          <w:rFonts w:cs="EUAlbertina"/>
        </w:rPr>
      </w:pPr>
      <w:r w:rsidRPr="008F5E5F">
        <w:rPr>
          <w:rFonts w:cs="EUAlbertina"/>
        </w:rPr>
        <w:t xml:space="preserve"> az adós valószínűsíthetően nem lesz képes visszafizetni teljes hitelkötelezettségét a fedezet realizálása nélkül</w:t>
      </w:r>
      <w:r w:rsidR="00A97764">
        <w:rPr>
          <w:rFonts w:cs="EUAlbertina"/>
        </w:rPr>
        <w:t>.</w:t>
      </w:r>
      <w:r w:rsidRPr="008F5E5F">
        <w:rPr>
          <w:rFonts w:cs="EUAlbertina"/>
        </w:rPr>
        <w:t xml:space="preserve"> </w:t>
      </w:r>
    </w:p>
    <w:p w:rsidR="00953564" w:rsidRPr="008F5E5F" w:rsidRDefault="00992001" w:rsidP="00992001">
      <w:pPr>
        <w:pStyle w:val="ListParagraph"/>
        <w:spacing w:after="0" w:line="240" w:lineRule="auto"/>
        <w:ind w:left="284"/>
        <w:jc w:val="both"/>
        <w:rPr>
          <w:rFonts w:cs="EUAlbertina"/>
        </w:rPr>
      </w:pPr>
      <w:r>
        <w:rPr>
          <w:rFonts w:cs="EUAlbertina"/>
        </w:rPr>
        <w:t>Ezeken túl a</w:t>
      </w:r>
      <w:r w:rsidR="00953564" w:rsidRPr="008F5E5F">
        <w:rPr>
          <w:rFonts w:cs="EUAlbertina"/>
        </w:rPr>
        <w:t xml:space="preserve"> CRR 178. cikke szerint</w:t>
      </w:r>
      <w:r>
        <w:rPr>
          <w:rFonts w:cs="EUAlbertina"/>
        </w:rPr>
        <w:t>i</w:t>
      </w:r>
      <w:r w:rsidR="00953564" w:rsidRPr="008F5E5F">
        <w:rPr>
          <w:rFonts w:cs="EUAlbertina"/>
        </w:rPr>
        <w:t xml:space="preserve"> default-os kitettség</w:t>
      </w:r>
      <w:r>
        <w:rPr>
          <w:rFonts w:cs="EUAlbertina"/>
        </w:rPr>
        <w:t>eket</w:t>
      </w:r>
      <w:r w:rsidR="00953564" w:rsidRPr="008F5E5F">
        <w:rPr>
          <w:rFonts w:cs="EUAlbertina"/>
        </w:rPr>
        <w:t xml:space="preserve">, </w:t>
      </w:r>
      <w:r>
        <w:rPr>
          <w:rFonts w:cs="EUAlbertina"/>
        </w:rPr>
        <w:t>valamint</w:t>
      </w:r>
      <w:r w:rsidR="00953564" w:rsidRPr="008F5E5F">
        <w:rPr>
          <w:rFonts w:cs="EUAlbertina"/>
        </w:rPr>
        <w:t xml:space="preserve"> az alkalmazandó számviteli szabályozás alapján értékvesztett kitettség</w:t>
      </w:r>
      <w:r>
        <w:rPr>
          <w:rFonts w:cs="EUAlbertina"/>
        </w:rPr>
        <w:t>eket</w:t>
      </w:r>
      <w:r w:rsidR="00953564" w:rsidRPr="008F5E5F">
        <w:rPr>
          <w:rFonts w:cs="EUAlbertina"/>
        </w:rPr>
        <w:t xml:space="preserve"> (kivéve, amelyek után IBNR típusú értékvesztést számoltak el) </w:t>
      </w:r>
      <w:r>
        <w:rPr>
          <w:rFonts w:cs="EUAlbertina"/>
        </w:rPr>
        <w:t>mindig nemteljesítő kitettségnek kell tekinteni.</w:t>
      </w:r>
    </w:p>
    <w:p w:rsidR="003C58BD" w:rsidRPr="008F5E5F" w:rsidRDefault="003C58BD" w:rsidP="003C58BD">
      <w:pPr>
        <w:pStyle w:val="ListParagraph"/>
        <w:spacing w:after="0" w:line="240" w:lineRule="auto"/>
        <w:ind w:left="284"/>
        <w:jc w:val="both"/>
        <w:rPr>
          <w:rFonts w:cs="EUAlbertina"/>
        </w:rPr>
      </w:pPr>
    </w:p>
    <w:p w:rsidR="00953564" w:rsidRPr="008F5E5F" w:rsidRDefault="00953564" w:rsidP="003F3E3E">
      <w:pPr>
        <w:ind w:left="284"/>
        <w:jc w:val="both"/>
        <w:rPr>
          <w:rFonts w:asciiTheme="minorHAnsi" w:eastAsiaTheme="minorHAnsi" w:hAnsiTheme="minorHAnsi" w:cs="EUAlbertina"/>
        </w:rPr>
      </w:pPr>
      <w:r w:rsidRPr="008F5E5F">
        <w:rPr>
          <w:rFonts w:asciiTheme="minorHAnsi" w:eastAsiaTheme="minorHAnsi" w:hAnsiTheme="minorHAnsi" w:cs="EUAlbertina"/>
        </w:rPr>
        <w:t xml:space="preserve">Pulling effect: Azonos adóssal szembeni minden követelést (mérlegen belüli és kívüli) nemteljesítőnek kell minősíteni, ha a 90 napon túli hátralékban lévő követelés eléri az adóssal szembeni összes követelés 20 %-át. </w:t>
      </w:r>
    </w:p>
    <w:p w:rsidR="00953564" w:rsidRPr="008F5E5F" w:rsidRDefault="00953564" w:rsidP="003F3E3E">
      <w:pPr>
        <w:ind w:left="284"/>
        <w:jc w:val="both"/>
        <w:rPr>
          <w:rFonts w:asciiTheme="minorHAnsi" w:eastAsiaTheme="minorHAnsi" w:hAnsiTheme="minorHAnsi" w:cs="EUAlbertina"/>
        </w:rPr>
      </w:pPr>
    </w:p>
    <w:p w:rsidR="00953564" w:rsidRPr="008F5E5F" w:rsidRDefault="00953564" w:rsidP="00A97764">
      <w:pPr>
        <w:ind w:left="284"/>
        <w:rPr>
          <w:rFonts w:asciiTheme="minorHAnsi" w:eastAsiaTheme="minorHAnsi" w:hAnsiTheme="minorHAnsi" w:cs="EUAlbertina"/>
        </w:rPr>
      </w:pPr>
      <w:r w:rsidRPr="008F5E5F">
        <w:rPr>
          <w:rFonts w:asciiTheme="minorHAnsi" w:eastAsiaTheme="minorHAnsi" w:hAnsiTheme="minorHAnsi" w:cs="EUAlbertina"/>
        </w:rPr>
        <w:t>A „Nemteljesítő kitettségek” fogalom a következőkre terjed ki:</w:t>
      </w:r>
      <w:r w:rsidR="00A97764" w:rsidRPr="008F5E5F" w:rsidDel="00A97764">
        <w:rPr>
          <w:rFonts w:asciiTheme="minorHAnsi" w:eastAsiaTheme="minorHAnsi" w:hAnsiTheme="minorHAnsi" w:cs="EUAlbertina"/>
        </w:rPr>
        <w:t xml:space="preserve"> </w:t>
      </w:r>
      <w:r w:rsidRPr="008F5E5F">
        <w:rPr>
          <w:rFonts w:asciiTheme="minorHAnsi" w:eastAsiaTheme="minorHAnsi" w:hAnsiTheme="minorHAnsi" w:cs="EUAlbertina"/>
        </w:rPr>
        <w:t>hitelek és hitelviszonyt megtestesítő értékpapírokra és mérlegen kívüli tételekre</w:t>
      </w:r>
      <w:r w:rsidR="00F851BF" w:rsidRPr="008F5E5F">
        <w:rPr>
          <w:rFonts w:asciiTheme="minorHAnsi" w:eastAsiaTheme="minorHAnsi" w:hAnsiTheme="minorHAnsi" w:cs="EUAlbertina"/>
        </w:rPr>
        <w:t xml:space="preserve"> (adott hitelkeretek, adott pénzügyi garanciák, és egyéb kötelezettségvállalásokat)</w:t>
      </w:r>
      <w:r w:rsidRPr="008F5E5F">
        <w:rPr>
          <w:rFonts w:asciiTheme="minorHAnsi" w:eastAsiaTheme="minorHAnsi" w:hAnsiTheme="minorHAnsi" w:cs="EUAlbertina"/>
        </w:rPr>
        <w:t>, kivéve</w:t>
      </w:r>
      <w:r w:rsidR="00F851BF" w:rsidRPr="008F5E5F">
        <w:rPr>
          <w:rFonts w:asciiTheme="minorHAnsi" w:eastAsiaTheme="minorHAnsi" w:hAnsiTheme="minorHAnsi" w:cs="EUAlbertina"/>
        </w:rPr>
        <w:t xml:space="preserve"> a kereskedési könyvi tételeket</w:t>
      </w:r>
      <w:r w:rsidR="00A97764">
        <w:rPr>
          <w:rFonts w:asciiTheme="minorHAnsi" w:eastAsiaTheme="minorHAnsi" w:hAnsiTheme="minorHAnsi" w:cs="EUAlbertina"/>
        </w:rPr>
        <w:t>.</w:t>
      </w:r>
    </w:p>
    <w:sectPr w:rsidR="00953564" w:rsidRPr="008F5E5F" w:rsidSect="0052398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65" w:rsidRDefault="00140965" w:rsidP="00175B14">
      <w:r>
        <w:separator/>
      </w:r>
    </w:p>
  </w:endnote>
  <w:endnote w:type="continuationSeparator" w:id="0">
    <w:p w:rsidR="00140965" w:rsidRDefault="00140965" w:rsidP="0017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9273"/>
      <w:docPartObj>
        <w:docPartGallery w:val="Page Numbers (Bottom of Page)"/>
        <w:docPartUnique/>
      </w:docPartObj>
    </w:sdtPr>
    <w:sdtContent>
      <w:p w:rsidR="00140965" w:rsidRDefault="00A534A2">
        <w:pPr>
          <w:pStyle w:val="Footer"/>
          <w:jc w:val="center"/>
        </w:pPr>
        <w:fldSimple w:instr=" PAGE   \* MERGEFORMAT ">
          <w:r w:rsidR="00033DF2">
            <w:rPr>
              <w:noProof/>
            </w:rPr>
            <w:t>1</w:t>
          </w:r>
        </w:fldSimple>
      </w:p>
    </w:sdtContent>
  </w:sdt>
  <w:p w:rsidR="00140965" w:rsidRDefault="00140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65" w:rsidRDefault="00140965" w:rsidP="00175B14">
      <w:r>
        <w:separator/>
      </w:r>
    </w:p>
  </w:footnote>
  <w:footnote w:type="continuationSeparator" w:id="0">
    <w:p w:rsidR="00140965" w:rsidRDefault="00140965" w:rsidP="00175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CC5"/>
    <w:multiLevelType w:val="hybridMultilevel"/>
    <w:tmpl w:val="7B0298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12D2"/>
    <w:multiLevelType w:val="hybridMultilevel"/>
    <w:tmpl w:val="10E47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571"/>
    <w:multiLevelType w:val="hybridMultilevel"/>
    <w:tmpl w:val="5F5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4E1B"/>
    <w:multiLevelType w:val="hybridMultilevel"/>
    <w:tmpl w:val="D284CA0E"/>
    <w:lvl w:ilvl="0" w:tplc="F9D2A342">
      <w:start w:val="1"/>
      <w:numFmt w:val="decimal"/>
      <w:lvlText w:val="%1."/>
      <w:lvlJc w:val="left"/>
      <w:pPr>
        <w:ind w:left="778" w:hanging="360"/>
      </w:pPr>
      <w:rPr>
        <w:rFonts w:hint="default"/>
        <w:b w:val="0"/>
        <w:strike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1E7D5267"/>
    <w:multiLevelType w:val="hybridMultilevel"/>
    <w:tmpl w:val="98D229FE"/>
    <w:lvl w:ilvl="0" w:tplc="4FBAE6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81BFD"/>
    <w:multiLevelType w:val="hybridMultilevel"/>
    <w:tmpl w:val="D7D46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14DF"/>
    <w:multiLevelType w:val="hybridMultilevel"/>
    <w:tmpl w:val="FC9CA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24351B"/>
    <w:multiLevelType w:val="hybridMultilevel"/>
    <w:tmpl w:val="3BD48A36"/>
    <w:lvl w:ilvl="0" w:tplc="281C3D04">
      <w:start w:val="1"/>
      <w:numFmt w:val="decimal"/>
      <w:lvlText w:val="%1."/>
      <w:lvlJc w:val="left"/>
      <w:pPr>
        <w:ind w:left="1498" w:hanging="360"/>
      </w:pPr>
      <w:rPr>
        <w:rFonts w:hint="default"/>
        <w:strike w:val="0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2218" w:hanging="360"/>
      </w:pPr>
    </w:lvl>
    <w:lvl w:ilvl="2" w:tplc="040E001B">
      <w:start w:val="1"/>
      <w:numFmt w:val="lowerRoman"/>
      <w:lvlText w:val="%3."/>
      <w:lvlJc w:val="right"/>
      <w:pPr>
        <w:ind w:left="2938" w:hanging="180"/>
      </w:pPr>
    </w:lvl>
    <w:lvl w:ilvl="3" w:tplc="040E000F" w:tentative="1">
      <w:start w:val="1"/>
      <w:numFmt w:val="decimal"/>
      <w:lvlText w:val="%4."/>
      <w:lvlJc w:val="left"/>
      <w:pPr>
        <w:ind w:left="3658" w:hanging="360"/>
      </w:pPr>
    </w:lvl>
    <w:lvl w:ilvl="4" w:tplc="040E0019" w:tentative="1">
      <w:start w:val="1"/>
      <w:numFmt w:val="lowerLetter"/>
      <w:lvlText w:val="%5."/>
      <w:lvlJc w:val="left"/>
      <w:pPr>
        <w:ind w:left="4378" w:hanging="360"/>
      </w:pPr>
    </w:lvl>
    <w:lvl w:ilvl="5" w:tplc="040E001B" w:tentative="1">
      <w:start w:val="1"/>
      <w:numFmt w:val="lowerRoman"/>
      <w:lvlText w:val="%6."/>
      <w:lvlJc w:val="right"/>
      <w:pPr>
        <w:ind w:left="5098" w:hanging="180"/>
      </w:pPr>
    </w:lvl>
    <w:lvl w:ilvl="6" w:tplc="040E000F" w:tentative="1">
      <w:start w:val="1"/>
      <w:numFmt w:val="decimal"/>
      <w:lvlText w:val="%7."/>
      <w:lvlJc w:val="left"/>
      <w:pPr>
        <w:ind w:left="5818" w:hanging="360"/>
      </w:pPr>
    </w:lvl>
    <w:lvl w:ilvl="7" w:tplc="040E0019" w:tentative="1">
      <w:start w:val="1"/>
      <w:numFmt w:val="lowerLetter"/>
      <w:lvlText w:val="%8."/>
      <w:lvlJc w:val="left"/>
      <w:pPr>
        <w:ind w:left="6538" w:hanging="360"/>
      </w:pPr>
    </w:lvl>
    <w:lvl w:ilvl="8" w:tplc="040E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>
    <w:nsid w:val="2EA536F9"/>
    <w:multiLevelType w:val="hybridMultilevel"/>
    <w:tmpl w:val="7FB0EEA8"/>
    <w:lvl w:ilvl="0" w:tplc="38AC7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2"/>
        <w:szCs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05D20"/>
    <w:multiLevelType w:val="hybridMultilevel"/>
    <w:tmpl w:val="BD7A936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43730F"/>
    <w:multiLevelType w:val="hybridMultilevel"/>
    <w:tmpl w:val="E6D057C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35669"/>
    <w:multiLevelType w:val="hybridMultilevel"/>
    <w:tmpl w:val="07F8039C"/>
    <w:lvl w:ilvl="0" w:tplc="70D29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F6CAC"/>
    <w:multiLevelType w:val="hybridMultilevel"/>
    <w:tmpl w:val="50A2D9CC"/>
    <w:lvl w:ilvl="0" w:tplc="70D29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B07309"/>
    <w:multiLevelType w:val="hybridMultilevel"/>
    <w:tmpl w:val="F50A4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C03D6"/>
    <w:multiLevelType w:val="hybridMultilevel"/>
    <w:tmpl w:val="9FB806DA"/>
    <w:lvl w:ilvl="0" w:tplc="3F201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4631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E4E2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624E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6665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D2C7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DEAC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069C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92AEA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87605"/>
    <w:multiLevelType w:val="hybridMultilevel"/>
    <w:tmpl w:val="C7FEF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44FB4"/>
    <w:multiLevelType w:val="hybridMultilevel"/>
    <w:tmpl w:val="C158F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E25A8"/>
    <w:multiLevelType w:val="hybridMultilevel"/>
    <w:tmpl w:val="9D5C6F9A"/>
    <w:lvl w:ilvl="0" w:tplc="E164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E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A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6E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F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AA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E0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5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7236B5"/>
    <w:multiLevelType w:val="hybridMultilevel"/>
    <w:tmpl w:val="07F8039C"/>
    <w:lvl w:ilvl="0" w:tplc="70D29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31B10"/>
    <w:multiLevelType w:val="hybridMultilevel"/>
    <w:tmpl w:val="DDAA5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117AD"/>
    <w:multiLevelType w:val="hybridMultilevel"/>
    <w:tmpl w:val="F3F6C21A"/>
    <w:lvl w:ilvl="0" w:tplc="281C3D04">
      <w:start w:val="1"/>
      <w:numFmt w:val="decimal"/>
      <w:lvlText w:val="%1."/>
      <w:lvlJc w:val="left"/>
      <w:pPr>
        <w:ind w:left="1498" w:hanging="360"/>
      </w:pPr>
      <w:rPr>
        <w:rFonts w:hint="default"/>
        <w:strike w:val="0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2218" w:hanging="360"/>
      </w:pPr>
    </w:lvl>
    <w:lvl w:ilvl="2" w:tplc="040E001B" w:tentative="1">
      <w:start w:val="1"/>
      <w:numFmt w:val="lowerRoman"/>
      <w:lvlText w:val="%3."/>
      <w:lvlJc w:val="right"/>
      <w:pPr>
        <w:ind w:left="2938" w:hanging="180"/>
      </w:pPr>
    </w:lvl>
    <w:lvl w:ilvl="3" w:tplc="040E000F" w:tentative="1">
      <w:start w:val="1"/>
      <w:numFmt w:val="decimal"/>
      <w:lvlText w:val="%4."/>
      <w:lvlJc w:val="left"/>
      <w:pPr>
        <w:ind w:left="3658" w:hanging="360"/>
      </w:pPr>
    </w:lvl>
    <w:lvl w:ilvl="4" w:tplc="040E0019" w:tentative="1">
      <w:start w:val="1"/>
      <w:numFmt w:val="lowerLetter"/>
      <w:lvlText w:val="%5."/>
      <w:lvlJc w:val="left"/>
      <w:pPr>
        <w:ind w:left="4378" w:hanging="360"/>
      </w:pPr>
    </w:lvl>
    <w:lvl w:ilvl="5" w:tplc="040E001B" w:tentative="1">
      <w:start w:val="1"/>
      <w:numFmt w:val="lowerRoman"/>
      <w:lvlText w:val="%6."/>
      <w:lvlJc w:val="right"/>
      <w:pPr>
        <w:ind w:left="5098" w:hanging="180"/>
      </w:pPr>
    </w:lvl>
    <w:lvl w:ilvl="6" w:tplc="040E000F" w:tentative="1">
      <w:start w:val="1"/>
      <w:numFmt w:val="decimal"/>
      <w:lvlText w:val="%7."/>
      <w:lvlJc w:val="left"/>
      <w:pPr>
        <w:ind w:left="5818" w:hanging="360"/>
      </w:pPr>
    </w:lvl>
    <w:lvl w:ilvl="7" w:tplc="040E0019" w:tentative="1">
      <w:start w:val="1"/>
      <w:numFmt w:val="lowerLetter"/>
      <w:lvlText w:val="%8."/>
      <w:lvlJc w:val="left"/>
      <w:pPr>
        <w:ind w:left="6538" w:hanging="360"/>
      </w:pPr>
    </w:lvl>
    <w:lvl w:ilvl="8" w:tplc="040E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1">
    <w:nsid w:val="51C70DA2"/>
    <w:multiLevelType w:val="hybridMultilevel"/>
    <w:tmpl w:val="7F2C49A4"/>
    <w:lvl w:ilvl="0" w:tplc="7D66372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F2CBF"/>
    <w:multiLevelType w:val="hybridMultilevel"/>
    <w:tmpl w:val="55A056A0"/>
    <w:lvl w:ilvl="0" w:tplc="88FC9A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F17007"/>
    <w:multiLevelType w:val="hybridMultilevel"/>
    <w:tmpl w:val="64663B76"/>
    <w:lvl w:ilvl="0" w:tplc="2BD013B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E71E6"/>
    <w:multiLevelType w:val="hybridMultilevel"/>
    <w:tmpl w:val="C93A7534"/>
    <w:lvl w:ilvl="0" w:tplc="35B603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646A71"/>
    <w:multiLevelType w:val="hybridMultilevel"/>
    <w:tmpl w:val="C52486B2"/>
    <w:lvl w:ilvl="0" w:tplc="C54EE4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93786"/>
    <w:multiLevelType w:val="hybridMultilevel"/>
    <w:tmpl w:val="DE749CB8"/>
    <w:lvl w:ilvl="0" w:tplc="C7524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D5C43"/>
    <w:multiLevelType w:val="hybridMultilevel"/>
    <w:tmpl w:val="D3502A08"/>
    <w:lvl w:ilvl="0" w:tplc="F6D267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557D7"/>
    <w:multiLevelType w:val="hybridMultilevel"/>
    <w:tmpl w:val="E3E2DC36"/>
    <w:lvl w:ilvl="0" w:tplc="6C265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0D660B"/>
    <w:multiLevelType w:val="hybridMultilevel"/>
    <w:tmpl w:val="01208E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C5232"/>
    <w:multiLevelType w:val="hybridMultilevel"/>
    <w:tmpl w:val="16681824"/>
    <w:lvl w:ilvl="0" w:tplc="B238C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82219"/>
    <w:multiLevelType w:val="hybridMultilevel"/>
    <w:tmpl w:val="9F481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</w:num>
  <w:num w:numId="5">
    <w:abstractNumId w:val="10"/>
  </w:num>
  <w:num w:numId="6">
    <w:abstractNumId w:val="5"/>
  </w:num>
  <w:num w:numId="7">
    <w:abstractNumId w:val="29"/>
  </w:num>
  <w:num w:numId="8">
    <w:abstractNumId w:val="1"/>
  </w:num>
  <w:num w:numId="9">
    <w:abstractNumId w:val="7"/>
  </w:num>
  <w:num w:numId="10">
    <w:abstractNumId w:val="3"/>
  </w:num>
  <w:num w:numId="11">
    <w:abstractNumId w:val="20"/>
  </w:num>
  <w:num w:numId="12">
    <w:abstractNumId w:val="22"/>
  </w:num>
  <w:num w:numId="13">
    <w:abstractNumId w:val="13"/>
  </w:num>
  <w:num w:numId="14">
    <w:abstractNumId w:val="19"/>
  </w:num>
  <w:num w:numId="15">
    <w:abstractNumId w:val="14"/>
  </w:num>
  <w:num w:numId="16">
    <w:abstractNumId w:val="17"/>
  </w:num>
  <w:num w:numId="17">
    <w:abstractNumId w:val="28"/>
  </w:num>
  <w:num w:numId="18">
    <w:abstractNumId w:val="15"/>
  </w:num>
  <w:num w:numId="19">
    <w:abstractNumId w:val="11"/>
  </w:num>
  <w:num w:numId="20">
    <w:abstractNumId w:val="30"/>
  </w:num>
  <w:num w:numId="21">
    <w:abstractNumId w:val="2"/>
  </w:num>
  <w:num w:numId="22">
    <w:abstractNumId w:val="4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21"/>
  </w:num>
  <w:num w:numId="28">
    <w:abstractNumId w:val="27"/>
  </w:num>
  <w:num w:numId="29">
    <w:abstractNumId w:val="8"/>
  </w:num>
  <w:num w:numId="30">
    <w:abstractNumId w:val="25"/>
  </w:num>
  <w:num w:numId="31">
    <w:abstractNumId w:val="24"/>
  </w:num>
  <w:num w:numId="32">
    <w:abstractNumId w:val="9"/>
  </w:num>
  <w:num w:numId="33">
    <w:abstractNumId w:val="16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2D"/>
    <w:rsid w:val="00004B83"/>
    <w:rsid w:val="00033DF2"/>
    <w:rsid w:val="0003588A"/>
    <w:rsid w:val="000642DD"/>
    <w:rsid w:val="000805AB"/>
    <w:rsid w:val="00083B24"/>
    <w:rsid w:val="00090542"/>
    <w:rsid w:val="0009539F"/>
    <w:rsid w:val="000A105C"/>
    <w:rsid w:val="000A1854"/>
    <w:rsid w:val="000A5841"/>
    <w:rsid w:val="000B1D5E"/>
    <w:rsid w:val="000B70D2"/>
    <w:rsid w:val="000C15E2"/>
    <w:rsid w:val="000C3643"/>
    <w:rsid w:val="000C38DE"/>
    <w:rsid w:val="000E668C"/>
    <w:rsid w:val="000F16B4"/>
    <w:rsid w:val="000F78A7"/>
    <w:rsid w:val="00115467"/>
    <w:rsid w:val="00120483"/>
    <w:rsid w:val="00120939"/>
    <w:rsid w:val="00120F08"/>
    <w:rsid w:val="00124029"/>
    <w:rsid w:val="0013382E"/>
    <w:rsid w:val="00133D0C"/>
    <w:rsid w:val="0013605A"/>
    <w:rsid w:val="00136E32"/>
    <w:rsid w:val="00140965"/>
    <w:rsid w:val="0014664E"/>
    <w:rsid w:val="00153016"/>
    <w:rsid w:val="00170DF2"/>
    <w:rsid w:val="00175B14"/>
    <w:rsid w:val="00185398"/>
    <w:rsid w:val="001A53A8"/>
    <w:rsid w:val="001A5BD1"/>
    <w:rsid w:val="001A7E21"/>
    <w:rsid w:val="001C10E8"/>
    <w:rsid w:val="001C3DCF"/>
    <w:rsid w:val="001C557A"/>
    <w:rsid w:val="001C55DD"/>
    <w:rsid w:val="001D0E74"/>
    <w:rsid w:val="001D0EC3"/>
    <w:rsid w:val="001F6DF1"/>
    <w:rsid w:val="001F6E00"/>
    <w:rsid w:val="001F74E5"/>
    <w:rsid w:val="002166B1"/>
    <w:rsid w:val="00232E15"/>
    <w:rsid w:val="002335DC"/>
    <w:rsid w:val="00245FB2"/>
    <w:rsid w:val="002528D6"/>
    <w:rsid w:val="00256DD9"/>
    <w:rsid w:val="00263622"/>
    <w:rsid w:val="00273422"/>
    <w:rsid w:val="00280A3D"/>
    <w:rsid w:val="00283401"/>
    <w:rsid w:val="00290C7E"/>
    <w:rsid w:val="0029172A"/>
    <w:rsid w:val="002B24AB"/>
    <w:rsid w:val="002B2B3A"/>
    <w:rsid w:val="002B323B"/>
    <w:rsid w:val="002C1009"/>
    <w:rsid w:val="002D0FB3"/>
    <w:rsid w:val="002D4BCD"/>
    <w:rsid w:val="002F32B8"/>
    <w:rsid w:val="002F7040"/>
    <w:rsid w:val="00306A38"/>
    <w:rsid w:val="00311ADC"/>
    <w:rsid w:val="0032795E"/>
    <w:rsid w:val="00334BEF"/>
    <w:rsid w:val="0034693D"/>
    <w:rsid w:val="00355A78"/>
    <w:rsid w:val="00361DD4"/>
    <w:rsid w:val="0036646A"/>
    <w:rsid w:val="00390E34"/>
    <w:rsid w:val="00391EE5"/>
    <w:rsid w:val="0039530E"/>
    <w:rsid w:val="003A0BA4"/>
    <w:rsid w:val="003B3547"/>
    <w:rsid w:val="003B554F"/>
    <w:rsid w:val="003B569B"/>
    <w:rsid w:val="003B5D97"/>
    <w:rsid w:val="003C3109"/>
    <w:rsid w:val="003C58BD"/>
    <w:rsid w:val="003C7927"/>
    <w:rsid w:val="003E283C"/>
    <w:rsid w:val="003E4268"/>
    <w:rsid w:val="003F27E0"/>
    <w:rsid w:val="003F3E3E"/>
    <w:rsid w:val="004011B8"/>
    <w:rsid w:val="00407E72"/>
    <w:rsid w:val="00414CC4"/>
    <w:rsid w:val="00422263"/>
    <w:rsid w:val="00423FB1"/>
    <w:rsid w:val="00460C5A"/>
    <w:rsid w:val="00466541"/>
    <w:rsid w:val="004679DA"/>
    <w:rsid w:val="004831BA"/>
    <w:rsid w:val="004842A3"/>
    <w:rsid w:val="004920EB"/>
    <w:rsid w:val="00494A8E"/>
    <w:rsid w:val="004A249C"/>
    <w:rsid w:val="004A3278"/>
    <w:rsid w:val="004A5E79"/>
    <w:rsid w:val="004A6A80"/>
    <w:rsid w:val="004A7ACB"/>
    <w:rsid w:val="004B5FD9"/>
    <w:rsid w:val="004B680F"/>
    <w:rsid w:val="004B6CA2"/>
    <w:rsid w:val="004B74F3"/>
    <w:rsid w:val="004C33CA"/>
    <w:rsid w:val="004C435D"/>
    <w:rsid w:val="004C73B1"/>
    <w:rsid w:val="004D6A99"/>
    <w:rsid w:val="004E19D7"/>
    <w:rsid w:val="00505B40"/>
    <w:rsid w:val="00511B76"/>
    <w:rsid w:val="00512694"/>
    <w:rsid w:val="0052264A"/>
    <w:rsid w:val="00522FA7"/>
    <w:rsid w:val="00523983"/>
    <w:rsid w:val="00537A6B"/>
    <w:rsid w:val="005408A5"/>
    <w:rsid w:val="00542CE3"/>
    <w:rsid w:val="00543AC6"/>
    <w:rsid w:val="00547B9A"/>
    <w:rsid w:val="005503F7"/>
    <w:rsid w:val="0055570D"/>
    <w:rsid w:val="0056535E"/>
    <w:rsid w:val="005A58D9"/>
    <w:rsid w:val="005B3AAE"/>
    <w:rsid w:val="005C32C0"/>
    <w:rsid w:val="005C4770"/>
    <w:rsid w:val="005D27ED"/>
    <w:rsid w:val="005D7BA2"/>
    <w:rsid w:val="005E48FE"/>
    <w:rsid w:val="005F16B8"/>
    <w:rsid w:val="005F2DDE"/>
    <w:rsid w:val="005F3632"/>
    <w:rsid w:val="0060292A"/>
    <w:rsid w:val="00605396"/>
    <w:rsid w:val="00605B76"/>
    <w:rsid w:val="00612619"/>
    <w:rsid w:val="006127A8"/>
    <w:rsid w:val="0061450E"/>
    <w:rsid w:val="0062221A"/>
    <w:rsid w:val="006276C0"/>
    <w:rsid w:val="00627C71"/>
    <w:rsid w:val="00630CCB"/>
    <w:rsid w:val="00663FF6"/>
    <w:rsid w:val="00675C59"/>
    <w:rsid w:val="006913EB"/>
    <w:rsid w:val="006A0925"/>
    <w:rsid w:val="006B0B68"/>
    <w:rsid w:val="006B6BBD"/>
    <w:rsid w:val="006C2F08"/>
    <w:rsid w:val="006C38DC"/>
    <w:rsid w:val="006E060C"/>
    <w:rsid w:val="006E09D9"/>
    <w:rsid w:val="006E1BA9"/>
    <w:rsid w:val="006E4356"/>
    <w:rsid w:val="006E5509"/>
    <w:rsid w:val="006E6079"/>
    <w:rsid w:val="006E6EE4"/>
    <w:rsid w:val="006F3C5A"/>
    <w:rsid w:val="007139DD"/>
    <w:rsid w:val="00732B8D"/>
    <w:rsid w:val="007476F7"/>
    <w:rsid w:val="007725B9"/>
    <w:rsid w:val="00784D2D"/>
    <w:rsid w:val="0079458F"/>
    <w:rsid w:val="00794EAB"/>
    <w:rsid w:val="00797D2C"/>
    <w:rsid w:val="007A1A6F"/>
    <w:rsid w:val="007A6D30"/>
    <w:rsid w:val="007B1E31"/>
    <w:rsid w:val="007B71B7"/>
    <w:rsid w:val="007C0873"/>
    <w:rsid w:val="007C310E"/>
    <w:rsid w:val="007C4FEB"/>
    <w:rsid w:val="007C55F8"/>
    <w:rsid w:val="007D08B4"/>
    <w:rsid w:val="007E1E2C"/>
    <w:rsid w:val="007E7235"/>
    <w:rsid w:val="00806C64"/>
    <w:rsid w:val="00812974"/>
    <w:rsid w:val="00812E72"/>
    <w:rsid w:val="00814809"/>
    <w:rsid w:val="00816E15"/>
    <w:rsid w:val="00822187"/>
    <w:rsid w:val="00832AB8"/>
    <w:rsid w:val="00832BCC"/>
    <w:rsid w:val="00833EC2"/>
    <w:rsid w:val="00835C7D"/>
    <w:rsid w:val="00847ED7"/>
    <w:rsid w:val="00853DB9"/>
    <w:rsid w:val="00854388"/>
    <w:rsid w:val="00856AF9"/>
    <w:rsid w:val="00857310"/>
    <w:rsid w:val="00864867"/>
    <w:rsid w:val="00867D66"/>
    <w:rsid w:val="00875D64"/>
    <w:rsid w:val="00890E65"/>
    <w:rsid w:val="00894071"/>
    <w:rsid w:val="008972DC"/>
    <w:rsid w:val="008A4226"/>
    <w:rsid w:val="008A445D"/>
    <w:rsid w:val="008B2421"/>
    <w:rsid w:val="008C37A5"/>
    <w:rsid w:val="008D0C36"/>
    <w:rsid w:val="008F5E5F"/>
    <w:rsid w:val="0090213A"/>
    <w:rsid w:val="0091041F"/>
    <w:rsid w:val="00915755"/>
    <w:rsid w:val="00922320"/>
    <w:rsid w:val="009278FC"/>
    <w:rsid w:val="00930715"/>
    <w:rsid w:val="009337D5"/>
    <w:rsid w:val="00943FE7"/>
    <w:rsid w:val="009450FB"/>
    <w:rsid w:val="009524C3"/>
    <w:rsid w:val="00953564"/>
    <w:rsid w:val="00971AEE"/>
    <w:rsid w:val="00976965"/>
    <w:rsid w:val="00981656"/>
    <w:rsid w:val="00992001"/>
    <w:rsid w:val="00997DFC"/>
    <w:rsid w:val="009A577E"/>
    <w:rsid w:val="009C0317"/>
    <w:rsid w:val="009C2800"/>
    <w:rsid w:val="009C61C1"/>
    <w:rsid w:val="009D24A8"/>
    <w:rsid w:val="009D2C93"/>
    <w:rsid w:val="009D56DF"/>
    <w:rsid w:val="009D6C53"/>
    <w:rsid w:val="009E2E1D"/>
    <w:rsid w:val="009E50E0"/>
    <w:rsid w:val="009E55DD"/>
    <w:rsid w:val="00A11861"/>
    <w:rsid w:val="00A14F41"/>
    <w:rsid w:val="00A16B46"/>
    <w:rsid w:val="00A534A2"/>
    <w:rsid w:val="00A54621"/>
    <w:rsid w:val="00A6114C"/>
    <w:rsid w:val="00A92BA3"/>
    <w:rsid w:val="00A97764"/>
    <w:rsid w:val="00AA551E"/>
    <w:rsid w:val="00AA7588"/>
    <w:rsid w:val="00AB6566"/>
    <w:rsid w:val="00AB7158"/>
    <w:rsid w:val="00AB76AB"/>
    <w:rsid w:val="00AC6A2D"/>
    <w:rsid w:val="00AD5FA8"/>
    <w:rsid w:val="00AF6234"/>
    <w:rsid w:val="00B175CD"/>
    <w:rsid w:val="00B24AC1"/>
    <w:rsid w:val="00B32209"/>
    <w:rsid w:val="00B60B18"/>
    <w:rsid w:val="00B60F70"/>
    <w:rsid w:val="00B7153D"/>
    <w:rsid w:val="00B727AF"/>
    <w:rsid w:val="00B80AB5"/>
    <w:rsid w:val="00B832E8"/>
    <w:rsid w:val="00B900A8"/>
    <w:rsid w:val="00BA40F0"/>
    <w:rsid w:val="00BB061C"/>
    <w:rsid w:val="00BB09B2"/>
    <w:rsid w:val="00BB563B"/>
    <w:rsid w:val="00BB789A"/>
    <w:rsid w:val="00BC2990"/>
    <w:rsid w:val="00BE2771"/>
    <w:rsid w:val="00BE3671"/>
    <w:rsid w:val="00BE3D63"/>
    <w:rsid w:val="00BF0C4A"/>
    <w:rsid w:val="00BF3E48"/>
    <w:rsid w:val="00BF5D3E"/>
    <w:rsid w:val="00C04725"/>
    <w:rsid w:val="00C10460"/>
    <w:rsid w:val="00C14053"/>
    <w:rsid w:val="00C2260F"/>
    <w:rsid w:val="00C22A4A"/>
    <w:rsid w:val="00C23A94"/>
    <w:rsid w:val="00C309B7"/>
    <w:rsid w:val="00C358EC"/>
    <w:rsid w:val="00C43C38"/>
    <w:rsid w:val="00C51206"/>
    <w:rsid w:val="00C53469"/>
    <w:rsid w:val="00C60CCA"/>
    <w:rsid w:val="00C677C2"/>
    <w:rsid w:val="00C70D1C"/>
    <w:rsid w:val="00C802B3"/>
    <w:rsid w:val="00C828E4"/>
    <w:rsid w:val="00C87B56"/>
    <w:rsid w:val="00C9106C"/>
    <w:rsid w:val="00C91395"/>
    <w:rsid w:val="00CA2282"/>
    <w:rsid w:val="00CA488B"/>
    <w:rsid w:val="00CC67B1"/>
    <w:rsid w:val="00CD159E"/>
    <w:rsid w:val="00CD46B6"/>
    <w:rsid w:val="00CE175E"/>
    <w:rsid w:val="00CE4604"/>
    <w:rsid w:val="00CF1D09"/>
    <w:rsid w:val="00CF54AE"/>
    <w:rsid w:val="00CF58E0"/>
    <w:rsid w:val="00CF76F4"/>
    <w:rsid w:val="00D12304"/>
    <w:rsid w:val="00D12F12"/>
    <w:rsid w:val="00D3388E"/>
    <w:rsid w:val="00D35248"/>
    <w:rsid w:val="00D35FCC"/>
    <w:rsid w:val="00D50EBB"/>
    <w:rsid w:val="00D57B6D"/>
    <w:rsid w:val="00D60298"/>
    <w:rsid w:val="00D609FA"/>
    <w:rsid w:val="00D61122"/>
    <w:rsid w:val="00D63AC1"/>
    <w:rsid w:val="00D7126E"/>
    <w:rsid w:val="00D76C49"/>
    <w:rsid w:val="00D80D9F"/>
    <w:rsid w:val="00D8164C"/>
    <w:rsid w:val="00D842A1"/>
    <w:rsid w:val="00D87DE2"/>
    <w:rsid w:val="00D921FC"/>
    <w:rsid w:val="00DB0E55"/>
    <w:rsid w:val="00DB7D57"/>
    <w:rsid w:val="00DD3957"/>
    <w:rsid w:val="00DD5F8E"/>
    <w:rsid w:val="00DE3646"/>
    <w:rsid w:val="00DE726E"/>
    <w:rsid w:val="00DF04D1"/>
    <w:rsid w:val="00DF40C6"/>
    <w:rsid w:val="00DF6259"/>
    <w:rsid w:val="00E24FD4"/>
    <w:rsid w:val="00E31E58"/>
    <w:rsid w:val="00E42E4E"/>
    <w:rsid w:val="00E57C24"/>
    <w:rsid w:val="00E62DA5"/>
    <w:rsid w:val="00E668D9"/>
    <w:rsid w:val="00E71841"/>
    <w:rsid w:val="00E74107"/>
    <w:rsid w:val="00E7744E"/>
    <w:rsid w:val="00EB0A73"/>
    <w:rsid w:val="00EB2B44"/>
    <w:rsid w:val="00ED76AC"/>
    <w:rsid w:val="00EE10B0"/>
    <w:rsid w:val="00EF1C05"/>
    <w:rsid w:val="00EF6B00"/>
    <w:rsid w:val="00EF7A29"/>
    <w:rsid w:val="00F17F90"/>
    <w:rsid w:val="00F31E28"/>
    <w:rsid w:val="00F36BBB"/>
    <w:rsid w:val="00F40142"/>
    <w:rsid w:val="00F54054"/>
    <w:rsid w:val="00F55081"/>
    <w:rsid w:val="00F673E4"/>
    <w:rsid w:val="00F7308E"/>
    <w:rsid w:val="00F851BF"/>
    <w:rsid w:val="00F852D5"/>
    <w:rsid w:val="00F86D41"/>
    <w:rsid w:val="00F905C6"/>
    <w:rsid w:val="00F97EC5"/>
    <w:rsid w:val="00FA3651"/>
    <w:rsid w:val="00FA5135"/>
    <w:rsid w:val="00FB0317"/>
    <w:rsid w:val="00FB067C"/>
    <w:rsid w:val="00FB1B23"/>
    <w:rsid w:val="00FB2C7D"/>
    <w:rsid w:val="00FB3BAA"/>
    <w:rsid w:val="00FC13C8"/>
    <w:rsid w:val="00FD4931"/>
    <w:rsid w:val="00FF21ED"/>
    <w:rsid w:val="00FF352B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1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1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+3"/>
    <w:basedOn w:val="Normal"/>
    <w:next w:val="Normal"/>
    <w:uiPriority w:val="99"/>
    <w:rsid w:val="00EF1C0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3">
    <w:name w:val="CM3+3"/>
    <w:basedOn w:val="Normal"/>
    <w:next w:val="Normal"/>
    <w:uiPriority w:val="99"/>
    <w:rsid w:val="00EF1C0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43">
    <w:name w:val="CM4+3"/>
    <w:basedOn w:val="Normal"/>
    <w:next w:val="Normal"/>
    <w:uiPriority w:val="99"/>
    <w:rsid w:val="00EF1C0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Default">
    <w:name w:val="Default"/>
    <w:rsid w:val="00EF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9A577E"/>
    <w:rPr>
      <w:rFonts w:ascii="EUAlbertina" w:hAnsi="EUAlbertina" w:cstheme="minorBidi"/>
      <w:color w:val="auto"/>
    </w:rPr>
  </w:style>
  <w:style w:type="paragraph" w:customStyle="1" w:styleId="CM31">
    <w:name w:val="CM3+1"/>
    <w:basedOn w:val="Default"/>
    <w:next w:val="Default"/>
    <w:uiPriority w:val="99"/>
    <w:rsid w:val="009A577E"/>
    <w:rPr>
      <w:rFonts w:ascii="EUAlbertina" w:hAnsi="EUAlbertina" w:cstheme="minorBid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76F7"/>
  </w:style>
  <w:style w:type="character" w:styleId="Hyperlink">
    <w:name w:val="Hyperlink"/>
    <w:basedOn w:val="DefaultParagraphFont"/>
    <w:uiPriority w:val="99"/>
    <w:unhideWhenUsed/>
    <w:rsid w:val="00E24FD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746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46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3F3E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E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E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E3E"/>
    <w:rPr>
      <w:rFonts w:ascii="Calibri" w:eastAsia="Calibri" w:hAnsi="Calibri" w:cs="Times New Roman"/>
    </w:rPr>
  </w:style>
  <w:style w:type="paragraph" w:styleId="List">
    <w:name w:val="List"/>
    <w:basedOn w:val="Normal"/>
    <w:uiPriority w:val="99"/>
    <w:unhideWhenUsed/>
    <w:rsid w:val="00B60F70"/>
    <w:pPr>
      <w:ind w:left="283" w:hanging="283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ListContinue">
    <w:name w:val="List Continue"/>
    <w:basedOn w:val="Normal"/>
    <w:uiPriority w:val="99"/>
    <w:semiHidden/>
    <w:unhideWhenUsed/>
    <w:rsid w:val="00B60F70"/>
    <w:pPr>
      <w:spacing w:after="120"/>
      <w:ind w:left="283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A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D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D3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D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1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Rcsostblzat">
    <w:name w:val="Table Grid"/>
    <w:basedOn w:val="Normltblzat"/>
    <w:uiPriority w:val="59"/>
    <w:rsid w:val="0031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+3"/>
    <w:basedOn w:val="Norml"/>
    <w:next w:val="Norml"/>
    <w:uiPriority w:val="99"/>
    <w:rsid w:val="00EF1C0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3">
    <w:name w:val="CM3+3"/>
    <w:basedOn w:val="Norml"/>
    <w:next w:val="Norml"/>
    <w:uiPriority w:val="99"/>
    <w:rsid w:val="00EF1C0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43">
    <w:name w:val="CM4+3"/>
    <w:basedOn w:val="Norml"/>
    <w:next w:val="Norml"/>
    <w:uiPriority w:val="99"/>
    <w:rsid w:val="00EF1C0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Default">
    <w:name w:val="Default"/>
    <w:rsid w:val="00EF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35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5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1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20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org/publ/bcbs23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cb.europa.eu/pub/pdf/other/mfibalancesheetinterestratesstatisticsebsguidelines201203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b.europa.eu/ecb/legal/pdf/l_01520090120en00140062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DB09-CBC0-47D4-BF39-417B1197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3434</Words>
  <Characters>23702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OTP Bank Nyrt.</Company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 Ágnes</dc:creator>
  <cp:lastModifiedBy>adorjana</cp:lastModifiedBy>
  <cp:revision>2</cp:revision>
  <cp:lastPrinted>2013-12-05T07:29:00Z</cp:lastPrinted>
  <dcterms:created xsi:type="dcterms:W3CDTF">2013-12-19T14:31:00Z</dcterms:created>
  <dcterms:modified xsi:type="dcterms:W3CDTF">2013-12-19T14:31:00Z</dcterms:modified>
</cp:coreProperties>
</file>