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DFB9D" w14:textId="16C5B465" w:rsidR="002C2560" w:rsidRDefault="002C2560" w:rsidP="00415294">
      <w:pPr>
        <w:jc w:val="center"/>
        <w:rPr>
          <w:b/>
          <w:sz w:val="24"/>
          <w:szCs w:val="20"/>
        </w:rPr>
      </w:pPr>
      <w:bookmarkStart w:id="0" w:name="_GoBack"/>
      <w:bookmarkEnd w:id="0"/>
      <w:r>
        <w:rPr>
          <w:b/>
          <w:sz w:val="24"/>
          <w:szCs w:val="20"/>
        </w:rPr>
        <w:t xml:space="preserve">III. sz. melléklet </w:t>
      </w:r>
      <w:proofErr w:type="gramStart"/>
      <w:r>
        <w:rPr>
          <w:b/>
          <w:sz w:val="24"/>
          <w:szCs w:val="20"/>
        </w:rPr>
        <w:t>-  LCR</w:t>
      </w:r>
      <w:proofErr w:type="gramEnd"/>
      <w:r>
        <w:rPr>
          <w:b/>
          <w:sz w:val="24"/>
          <w:szCs w:val="20"/>
        </w:rPr>
        <w:t xml:space="preserve"> DA </w:t>
      </w:r>
      <w:r w:rsidRPr="002C2560">
        <w:rPr>
          <w:b/>
          <w:sz w:val="24"/>
          <w:szCs w:val="20"/>
        </w:rPr>
        <w:t>rendkí</w:t>
      </w:r>
      <w:r>
        <w:rPr>
          <w:b/>
          <w:sz w:val="24"/>
          <w:szCs w:val="20"/>
        </w:rPr>
        <w:t xml:space="preserve">vüli adatszolgáltatás kitöltési </w:t>
      </w:r>
      <w:r w:rsidRPr="002C2560">
        <w:rPr>
          <w:b/>
          <w:sz w:val="24"/>
          <w:szCs w:val="20"/>
        </w:rPr>
        <w:t>útmutató</w:t>
      </w:r>
    </w:p>
    <w:p w14:paraId="39A6367F" w14:textId="77777777" w:rsidR="002C2560" w:rsidRDefault="002C2560" w:rsidP="002C2560">
      <w:pPr>
        <w:jc w:val="right"/>
        <w:rPr>
          <w:b/>
          <w:sz w:val="24"/>
          <w:szCs w:val="20"/>
        </w:rPr>
      </w:pPr>
      <w:bookmarkStart w:id="1" w:name="HUMANSOFTiktatoszam"/>
      <w:bookmarkEnd w:id="1"/>
    </w:p>
    <w:p w14:paraId="38857BA1" w14:textId="77777777" w:rsidR="002C2560" w:rsidRDefault="002C2560" w:rsidP="002C2560">
      <w:pPr>
        <w:jc w:val="right"/>
        <w:rPr>
          <w:b/>
          <w:sz w:val="24"/>
          <w:szCs w:val="20"/>
        </w:rPr>
      </w:pPr>
      <w:bookmarkStart w:id="2" w:name="HUMANSOFTdatumHUN"/>
      <w:bookmarkEnd w:id="2"/>
    </w:p>
    <w:p w14:paraId="391A5BCD" w14:textId="77777777" w:rsidR="002C2560" w:rsidRDefault="002C2560" w:rsidP="00415294">
      <w:pPr>
        <w:jc w:val="center"/>
        <w:rPr>
          <w:b/>
          <w:sz w:val="24"/>
          <w:szCs w:val="20"/>
        </w:rPr>
      </w:pPr>
    </w:p>
    <w:p w14:paraId="645713B7" w14:textId="77777777" w:rsidR="00415294" w:rsidRDefault="00415294" w:rsidP="00415294">
      <w:pPr>
        <w:jc w:val="center"/>
        <w:rPr>
          <w:b/>
          <w:sz w:val="24"/>
          <w:szCs w:val="20"/>
        </w:rPr>
      </w:pPr>
      <w:r w:rsidRPr="00DD47B6">
        <w:rPr>
          <w:b/>
          <w:sz w:val="24"/>
          <w:szCs w:val="20"/>
        </w:rPr>
        <w:t>XXV. MELLÉKLET</w:t>
      </w:r>
    </w:p>
    <w:p w14:paraId="47C1A678" w14:textId="77777777" w:rsidR="008504AF" w:rsidRDefault="008504AF" w:rsidP="00415294">
      <w:pPr>
        <w:jc w:val="center"/>
        <w:rPr>
          <w:b/>
          <w:sz w:val="24"/>
          <w:szCs w:val="20"/>
        </w:rPr>
      </w:pPr>
    </w:p>
    <w:p w14:paraId="10555183" w14:textId="7CCD2B6C" w:rsidR="008504AF" w:rsidRPr="008504AF" w:rsidRDefault="008504AF" w:rsidP="008504AF">
      <w:pPr>
        <w:rPr>
          <w:i/>
          <w:sz w:val="24"/>
          <w:szCs w:val="20"/>
        </w:rPr>
      </w:pPr>
      <w:r w:rsidRPr="008504AF">
        <w:rPr>
          <w:i/>
          <w:sz w:val="24"/>
          <w:szCs w:val="20"/>
        </w:rPr>
        <w:t>A Magyar Nemzeti Bank az intézmények informatikai leterheltségét figyelembe véve a kockázati megítélés szempontjából kiegészítő adatokat az ideiglenes határozattal elrendelt adatszolgált</w:t>
      </w:r>
      <w:r w:rsidRPr="008504AF">
        <w:rPr>
          <w:i/>
          <w:sz w:val="24"/>
          <w:szCs w:val="20"/>
        </w:rPr>
        <w:t>a</w:t>
      </w:r>
      <w:r w:rsidRPr="008504AF">
        <w:rPr>
          <w:i/>
          <w:sz w:val="24"/>
          <w:szCs w:val="20"/>
        </w:rPr>
        <w:t>tás keretében nem kéri be. Azokat a Bizottsági adatszolgáltatási rendelet alapján kell majd szo</w:t>
      </w:r>
      <w:r w:rsidRPr="008504AF">
        <w:rPr>
          <w:i/>
          <w:sz w:val="24"/>
          <w:szCs w:val="20"/>
        </w:rPr>
        <w:t>l</w:t>
      </w:r>
      <w:r w:rsidRPr="008504AF">
        <w:rPr>
          <w:i/>
          <w:sz w:val="24"/>
          <w:szCs w:val="20"/>
        </w:rPr>
        <w:t>gáltatni, azonban az erre való felkészülés érdekében a jelen kitöltési útmutató ezen értékek me</w:t>
      </w:r>
      <w:r w:rsidRPr="008504AF">
        <w:rPr>
          <w:i/>
          <w:sz w:val="24"/>
          <w:szCs w:val="20"/>
        </w:rPr>
        <w:t>g</w:t>
      </w:r>
      <w:r w:rsidRPr="008504AF">
        <w:rPr>
          <w:i/>
          <w:sz w:val="24"/>
          <w:szCs w:val="20"/>
        </w:rPr>
        <w:t xml:space="preserve">határozásának módját is tartalmazza. </w:t>
      </w:r>
      <w:r w:rsidRPr="005D1032">
        <w:rPr>
          <w:b/>
          <w:i/>
          <w:sz w:val="24"/>
          <w:szCs w:val="20"/>
        </w:rPr>
        <w:t>A határozattal elrendelt szolgáltatandó adatok körének meghatározásakor a táblakép a mérvadó.</w:t>
      </w:r>
    </w:p>
    <w:p w14:paraId="6B1C3065" w14:textId="77777777" w:rsidR="008504AF" w:rsidRPr="00DD47B6" w:rsidRDefault="008504AF" w:rsidP="00415294">
      <w:pPr>
        <w:jc w:val="center"/>
        <w:rPr>
          <w:b/>
          <w:sz w:val="24"/>
          <w:szCs w:val="20"/>
        </w:rPr>
      </w:pPr>
    </w:p>
    <w:p w14:paraId="7B9C30B0" w14:textId="77777777" w:rsidR="00415294" w:rsidRPr="00DD47B6" w:rsidRDefault="00DD47B6" w:rsidP="00DD47B6">
      <w:pPr>
        <w:spacing w:before="120" w:after="120" w:line="240" w:lineRule="auto"/>
        <w:jc w:val="center"/>
        <w:rPr>
          <w:rFonts w:eastAsia="PMingLiU" w:cs="Times New Roman"/>
          <w:b/>
          <w:sz w:val="24"/>
          <w:szCs w:val="20"/>
          <w:lang w:eastAsia="de-DE"/>
        </w:rPr>
      </w:pPr>
      <w:r w:rsidRPr="00DD47B6">
        <w:rPr>
          <w:rFonts w:eastAsia="PMingLiU" w:cs="Times New Roman"/>
          <w:b/>
          <w:sz w:val="24"/>
          <w:szCs w:val="20"/>
          <w:lang w:eastAsia="de-DE"/>
        </w:rPr>
        <w:t>1. RÉSZ: L</w:t>
      </w:r>
      <w:r w:rsidR="00415294" w:rsidRPr="00DD47B6">
        <w:rPr>
          <w:rFonts w:eastAsia="PMingLiU" w:cs="Times New Roman"/>
          <w:b/>
          <w:sz w:val="24"/>
          <w:szCs w:val="20"/>
          <w:lang w:eastAsia="de-DE"/>
        </w:rPr>
        <w:t>IKVID ESZKÖZÖK</w:t>
      </w:r>
    </w:p>
    <w:p w14:paraId="3204CEA4" w14:textId="77777777" w:rsidR="0068191C" w:rsidRPr="002B614E" w:rsidRDefault="0068191C" w:rsidP="0068191C">
      <w:pPr>
        <w:pStyle w:val="Cmsor1"/>
        <w:rPr>
          <w:color w:val="auto"/>
        </w:rPr>
      </w:pPr>
      <w:r w:rsidRPr="002B614E">
        <w:rPr>
          <w:color w:val="auto"/>
        </w:rPr>
        <w:t>Likvid eszközök</w:t>
      </w:r>
    </w:p>
    <w:p w14:paraId="7D784968" w14:textId="77777777" w:rsidR="0068191C" w:rsidRPr="002B614E" w:rsidRDefault="0068191C" w:rsidP="001F18A4">
      <w:pPr>
        <w:pStyle w:val="Cmsor2"/>
        <w:rPr>
          <w:color w:val="auto"/>
        </w:rPr>
      </w:pPr>
      <w:r w:rsidRPr="002B614E">
        <w:rPr>
          <w:color w:val="auto"/>
        </w:rPr>
        <w:t>Általános rendelkezés</w:t>
      </w:r>
      <w:r w:rsidR="00DD47B6">
        <w:rPr>
          <w:color w:val="auto"/>
        </w:rPr>
        <w:t>ek</w:t>
      </w:r>
    </w:p>
    <w:p w14:paraId="0AA52733" w14:textId="34C3A6A9" w:rsidR="0068191C" w:rsidRPr="002B614E" w:rsidRDefault="009B3769" w:rsidP="00356041">
      <w:pPr>
        <w:pStyle w:val="Listaszerbekezds"/>
        <w:numPr>
          <w:ilvl w:val="0"/>
          <w:numId w:val="9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>Ez egy összegző tábla</w:t>
      </w:r>
      <w:r w:rsidR="00A94022" w:rsidRPr="002B614E">
        <w:rPr>
          <w:rFonts w:asciiTheme="majorHAnsi" w:hAnsiTheme="majorHAnsi" w:cs="Arial"/>
          <w:szCs w:val="20"/>
        </w:rPr>
        <w:t>, amely a likvid</w:t>
      </w:r>
      <w:r w:rsidRPr="002B614E">
        <w:rPr>
          <w:rFonts w:asciiTheme="majorHAnsi" w:hAnsiTheme="majorHAnsi" w:cs="Arial"/>
          <w:szCs w:val="20"/>
        </w:rPr>
        <w:t xml:space="preserve"> </w:t>
      </w:r>
      <w:r w:rsidR="00981DA6" w:rsidRPr="002B614E">
        <w:rPr>
          <w:rFonts w:asciiTheme="majorHAnsi" w:hAnsiTheme="majorHAnsi" w:cs="Arial"/>
          <w:szCs w:val="20"/>
        </w:rPr>
        <w:t>eszközöket</w:t>
      </w:r>
      <w:r w:rsidRPr="002B614E">
        <w:rPr>
          <w:rFonts w:asciiTheme="majorHAnsi" w:hAnsiTheme="majorHAnsi" w:cs="Arial"/>
          <w:szCs w:val="20"/>
        </w:rPr>
        <w:t xml:space="preserve"> tartalmazza, a Bizottság (EU)</w:t>
      </w:r>
      <w:r w:rsidR="00981DA6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2015/61 felhatalmazáson al</w:t>
      </w:r>
      <w:r w:rsidRPr="002B614E">
        <w:rPr>
          <w:rFonts w:asciiTheme="majorHAnsi" w:hAnsiTheme="majorHAnsi" w:cs="Arial"/>
          <w:szCs w:val="20"/>
        </w:rPr>
        <w:t>a</w:t>
      </w:r>
      <w:r w:rsidRPr="002B614E">
        <w:rPr>
          <w:rFonts w:asciiTheme="majorHAnsi" w:hAnsiTheme="majorHAnsi" w:cs="Arial"/>
          <w:szCs w:val="20"/>
        </w:rPr>
        <w:t xml:space="preserve">puló rendeletében meghatározott likviditás fedezeti követelmény jelentése céljából. </w:t>
      </w:r>
      <w:r w:rsidR="003C0D0F" w:rsidRPr="002B614E">
        <w:rPr>
          <w:rFonts w:asciiTheme="majorHAnsi" w:hAnsiTheme="majorHAnsi" w:cs="Arial"/>
          <w:szCs w:val="20"/>
        </w:rPr>
        <w:t>Szürkével vannak jelö</w:t>
      </w:r>
      <w:r w:rsidR="003C0D0F" w:rsidRPr="002B614E">
        <w:rPr>
          <w:rFonts w:asciiTheme="majorHAnsi" w:hAnsiTheme="majorHAnsi" w:cs="Arial"/>
          <w:szCs w:val="20"/>
        </w:rPr>
        <w:t>l</w:t>
      </w:r>
      <w:r w:rsidR="003C0D0F" w:rsidRPr="002B614E">
        <w:rPr>
          <w:rFonts w:asciiTheme="majorHAnsi" w:hAnsiTheme="majorHAnsi" w:cs="Arial"/>
          <w:szCs w:val="20"/>
        </w:rPr>
        <w:t>ve a</w:t>
      </w:r>
      <w:r w:rsidRPr="002B614E">
        <w:rPr>
          <w:rFonts w:asciiTheme="majorHAnsi" w:hAnsiTheme="majorHAnsi" w:cs="Arial"/>
          <w:szCs w:val="20"/>
        </w:rPr>
        <w:t>zok a tételek, ame</w:t>
      </w:r>
      <w:r w:rsidR="003C0D0F" w:rsidRPr="002B614E">
        <w:rPr>
          <w:rFonts w:asciiTheme="majorHAnsi" w:hAnsiTheme="majorHAnsi" w:cs="Arial"/>
          <w:szCs w:val="20"/>
        </w:rPr>
        <w:t>lyeket nem kell a hitelintézeteknek kitölteniük.</w:t>
      </w:r>
    </w:p>
    <w:p w14:paraId="7CDD9223" w14:textId="77777777" w:rsidR="0068191C" w:rsidRPr="002B614E" w:rsidRDefault="00110303" w:rsidP="00356041">
      <w:pPr>
        <w:pStyle w:val="Listaszerbekezds"/>
        <w:numPr>
          <w:ilvl w:val="0"/>
          <w:numId w:val="9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>Az itt jelentett eszközöknek teljesíteniük kell a Bizottság (EU) 2015/61 felhatalmazáson alapuló rendelet</w:t>
      </w:r>
      <w:r w:rsidRPr="002B614E">
        <w:rPr>
          <w:rFonts w:asciiTheme="majorHAnsi" w:hAnsiTheme="majorHAnsi" w:cs="Arial"/>
          <w:szCs w:val="20"/>
        </w:rPr>
        <w:t>é</w:t>
      </w:r>
      <w:r w:rsidRPr="002B614E">
        <w:rPr>
          <w:rFonts w:asciiTheme="majorHAnsi" w:hAnsiTheme="majorHAnsi" w:cs="Arial"/>
          <w:szCs w:val="20"/>
        </w:rPr>
        <w:t>ben, a II. címben meghatározott követelményeket.</w:t>
      </w:r>
    </w:p>
    <w:p w14:paraId="5B3C34E9" w14:textId="77777777" w:rsidR="00110303" w:rsidRPr="002B614E" w:rsidRDefault="00A94022" w:rsidP="00356041">
      <w:pPr>
        <w:pStyle w:val="Listaszerbekezds"/>
        <w:numPr>
          <w:ilvl w:val="0"/>
          <w:numId w:val="9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>A 2. paragrafus</w:t>
      </w:r>
      <w:r w:rsidR="00AD0439" w:rsidRPr="002B614E">
        <w:rPr>
          <w:rFonts w:asciiTheme="majorHAnsi" w:hAnsiTheme="majorHAnsi" w:cs="Arial"/>
          <w:szCs w:val="20"/>
        </w:rPr>
        <w:t>tól eltérően</w:t>
      </w:r>
      <w:r w:rsidRPr="002B614E">
        <w:rPr>
          <w:rFonts w:asciiTheme="majorHAnsi" w:hAnsiTheme="majorHAnsi" w:cs="Arial"/>
          <w:szCs w:val="20"/>
        </w:rPr>
        <w:t>, a hitelintézeteknek nem kell alkalmazniuk a Bizottság (EU) 2015/61 felhatalm</w:t>
      </w:r>
      <w:r w:rsidRPr="002B614E">
        <w:rPr>
          <w:rFonts w:asciiTheme="majorHAnsi" w:hAnsiTheme="majorHAnsi" w:cs="Arial"/>
          <w:szCs w:val="20"/>
        </w:rPr>
        <w:t>a</w:t>
      </w:r>
      <w:r w:rsidRPr="002B614E">
        <w:rPr>
          <w:rFonts w:asciiTheme="majorHAnsi" w:hAnsiTheme="majorHAnsi" w:cs="Arial"/>
          <w:szCs w:val="20"/>
        </w:rPr>
        <w:t>záson alapuló rendeleté</w:t>
      </w:r>
      <w:r w:rsidR="009713C6" w:rsidRPr="002B614E">
        <w:rPr>
          <w:rFonts w:asciiTheme="majorHAnsi" w:hAnsiTheme="majorHAnsi" w:cs="Arial"/>
          <w:szCs w:val="20"/>
        </w:rPr>
        <w:t>nek</w:t>
      </w:r>
      <w:r w:rsidRPr="002B614E">
        <w:rPr>
          <w:rFonts w:asciiTheme="majorHAnsi" w:hAnsiTheme="majorHAnsi" w:cs="Arial"/>
          <w:szCs w:val="20"/>
        </w:rPr>
        <w:t xml:space="preserve"> 8</w:t>
      </w:r>
      <w:r w:rsidR="009713C6" w:rsidRPr="002B614E">
        <w:rPr>
          <w:rFonts w:asciiTheme="majorHAnsi" w:hAnsiTheme="majorHAnsi" w:cs="Arial"/>
          <w:szCs w:val="20"/>
        </w:rPr>
        <w:t>. cikke</w:t>
      </w:r>
      <w:r w:rsidR="003B3372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(6)</w:t>
      </w:r>
      <w:r w:rsidR="009713C6" w:rsidRPr="002B614E">
        <w:rPr>
          <w:rFonts w:asciiTheme="majorHAnsi" w:hAnsiTheme="majorHAnsi" w:cs="Arial"/>
          <w:szCs w:val="20"/>
        </w:rPr>
        <w:t xml:space="preserve"> bekezdésében</w:t>
      </w:r>
      <w:r w:rsidRPr="002B614E">
        <w:rPr>
          <w:rFonts w:asciiTheme="majorHAnsi" w:hAnsiTheme="majorHAnsi" w:cs="Arial"/>
          <w:szCs w:val="20"/>
        </w:rPr>
        <w:t>, 10</w:t>
      </w:r>
      <w:r w:rsidR="009713C6" w:rsidRPr="002B614E">
        <w:rPr>
          <w:rFonts w:asciiTheme="majorHAnsi" w:hAnsiTheme="majorHAnsi" w:cs="Arial"/>
          <w:szCs w:val="20"/>
        </w:rPr>
        <w:t>. cikke</w:t>
      </w:r>
      <w:r w:rsidR="003B3372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(1)</w:t>
      </w:r>
      <w:r w:rsidR="009713C6" w:rsidRPr="002B614E">
        <w:rPr>
          <w:rFonts w:asciiTheme="majorHAnsi" w:hAnsiTheme="majorHAnsi" w:cs="Arial"/>
          <w:szCs w:val="20"/>
        </w:rPr>
        <w:t xml:space="preserve"> bekezdésének</w:t>
      </w:r>
      <w:r w:rsidR="003B3372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(d) és a 12</w:t>
      </w:r>
      <w:r w:rsidR="009713C6" w:rsidRPr="002B614E">
        <w:rPr>
          <w:rFonts w:asciiTheme="majorHAnsi" w:hAnsiTheme="majorHAnsi" w:cs="Arial"/>
          <w:szCs w:val="20"/>
        </w:rPr>
        <w:t>. cikke</w:t>
      </w:r>
      <w:r w:rsidR="003B3372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(1)</w:t>
      </w:r>
      <w:r w:rsidR="009713C6" w:rsidRPr="002B614E">
        <w:rPr>
          <w:rFonts w:asciiTheme="majorHAnsi" w:hAnsiTheme="majorHAnsi" w:cs="Arial"/>
          <w:szCs w:val="20"/>
        </w:rPr>
        <w:t xml:space="preserve"> b</w:t>
      </w:r>
      <w:r w:rsidR="009713C6" w:rsidRPr="002B614E">
        <w:rPr>
          <w:rFonts w:asciiTheme="majorHAnsi" w:hAnsiTheme="majorHAnsi" w:cs="Arial"/>
          <w:szCs w:val="20"/>
        </w:rPr>
        <w:t>e</w:t>
      </w:r>
      <w:r w:rsidR="009713C6" w:rsidRPr="002B614E">
        <w:rPr>
          <w:rFonts w:asciiTheme="majorHAnsi" w:hAnsiTheme="majorHAnsi" w:cs="Arial"/>
          <w:szCs w:val="20"/>
        </w:rPr>
        <w:t>kezdésének</w:t>
      </w:r>
      <w:r w:rsidR="003B3372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 xml:space="preserve">(c) </w:t>
      </w:r>
      <w:r w:rsidR="009713C6" w:rsidRPr="002B614E">
        <w:rPr>
          <w:rFonts w:asciiTheme="majorHAnsi" w:hAnsiTheme="majorHAnsi" w:cs="Arial"/>
          <w:szCs w:val="20"/>
        </w:rPr>
        <w:t xml:space="preserve">pontjában </w:t>
      </w:r>
      <w:r w:rsidRPr="002B614E">
        <w:rPr>
          <w:rFonts w:asciiTheme="majorHAnsi" w:hAnsiTheme="majorHAnsi" w:cs="Arial"/>
          <w:szCs w:val="20"/>
        </w:rPr>
        <w:t xml:space="preserve">definiált devizánkénti korlátot, </w:t>
      </w:r>
      <w:r w:rsidR="00AD0439" w:rsidRPr="002B614E">
        <w:rPr>
          <w:rFonts w:asciiTheme="majorHAnsi" w:hAnsiTheme="majorHAnsi" w:cs="Arial"/>
          <w:szCs w:val="20"/>
        </w:rPr>
        <w:t>a</w:t>
      </w:r>
      <w:r w:rsidR="00E80577">
        <w:rPr>
          <w:rFonts w:asciiTheme="majorHAnsi" w:hAnsiTheme="majorHAnsi" w:cs="Arial"/>
          <w:szCs w:val="20"/>
        </w:rPr>
        <w:t>z</w:t>
      </w:r>
      <w:r w:rsidR="00AD0439" w:rsidRPr="002B614E">
        <w:rPr>
          <w:rFonts w:asciiTheme="majorHAnsi" w:hAnsiTheme="majorHAnsi" w:cs="Arial"/>
          <w:szCs w:val="20"/>
        </w:rPr>
        <w:t xml:space="preserve"> 575/2013/EU rendelet 415</w:t>
      </w:r>
      <w:r w:rsidR="009713C6" w:rsidRPr="002B614E">
        <w:rPr>
          <w:rFonts w:asciiTheme="majorHAnsi" w:hAnsiTheme="majorHAnsi" w:cs="Arial"/>
          <w:szCs w:val="20"/>
        </w:rPr>
        <w:t>. cikkének</w:t>
      </w:r>
      <w:r w:rsidR="00AD0439" w:rsidRPr="002B614E">
        <w:rPr>
          <w:rFonts w:asciiTheme="majorHAnsi" w:hAnsiTheme="majorHAnsi" w:cs="Arial"/>
          <w:szCs w:val="20"/>
        </w:rPr>
        <w:t xml:space="preserve"> (2)</w:t>
      </w:r>
      <w:r w:rsidRPr="002B614E">
        <w:rPr>
          <w:rFonts w:asciiTheme="majorHAnsi" w:hAnsiTheme="majorHAnsi" w:cs="Arial"/>
          <w:szCs w:val="20"/>
        </w:rPr>
        <w:t xml:space="preserve"> </w:t>
      </w:r>
      <w:r w:rsidR="009713C6" w:rsidRPr="002B614E">
        <w:rPr>
          <w:rFonts w:asciiTheme="majorHAnsi" w:hAnsiTheme="majorHAnsi" w:cs="Arial"/>
          <w:szCs w:val="20"/>
        </w:rPr>
        <w:t>beke</w:t>
      </w:r>
      <w:r w:rsidR="009713C6" w:rsidRPr="002B614E">
        <w:rPr>
          <w:rFonts w:asciiTheme="majorHAnsi" w:hAnsiTheme="majorHAnsi" w:cs="Arial"/>
          <w:szCs w:val="20"/>
        </w:rPr>
        <w:t>z</w:t>
      </w:r>
      <w:r w:rsidR="009713C6" w:rsidRPr="002B614E">
        <w:rPr>
          <w:rFonts w:asciiTheme="majorHAnsi" w:hAnsiTheme="majorHAnsi" w:cs="Arial"/>
          <w:szCs w:val="20"/>
        </w:rPr>
        <w:t xml:space="preserve">désében </w:t>
      </w:r>
      <w:r w:rsidR="00AD0439" w:rsidRPr="002B614E">
        <w:rPr>
          <w:rFonts w:asciiTheme="majorHAnsi" w:hAnsiTheme="majorHAnsi" w:cs="Arial"/>
          <w:szCs w:val="20"/>
        </w:rPr>
        <w:t>leírt pénznemenkénti jelentés esetében. A hitelintézeteknek alkalmazniuk kell a jogszabályi korl</w:t>
      </w:r>
      <w:r w:rsidR="00AD0439" w:rsidRPr="002B614E">
        <w:rPr>
          <w:rFonts w:asciiTheme="majorHAnsi" w:hAnsiTheme="majorHAnsi" w:cs="Arial"/>
          <w:szCs w:val="20"/>
        </w:rPr>
        <w:t>á</w:t>
      </w:r>
      <w:r w:rsidR="00AD0439" w:rsidRPr="002B614E">
        <w:rPr>
          <w:rFonts w:asciiTheme="majorHAnsi" w:hAnsiTheme="majorHAnsi" w:cs="Arial"/>
          <w:szCs w:val="20"/>
        </w:rPr>
        <w:t>tozásokat.</w:t>
      </w:r>
    </w:p>
    <w:p w14:paraId="2FC6B393" w14:textId="77777777" w:rsidR="00A852E6" w:rsidRPr="002B614E" w:rsidRDefault="00EA01AC" w:rsidP="00356041">
      <w:pPr>
        <w:pStyle w:val="Listaszerbekezds"/>
        <w:numPr>
          <w:ilvl w:val="0"/>
          <w:numId w:val="9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 xml:space="preserve">A hitelintézeteknek jelenteniük kell az adattáblát </w:t>
      </w:r>
      <w:r w:rsidR="00D370FF" w:rsidRPr="002B614E">
        <w:rPr>
          <w:rFonts w:asciiTheme="majorHAnsi" w:hAnsiTheme="majorHAnsi" w:cs="Arial"/>
          <w:szCs w:val="20"/>
        </w:rPr>
        <w:t xml:space="preserve">a megfelelő devizákban is a </w:t>
      </w:r>
      <w:r w:rsidR="001A2067" w:rsidRPr="002B614E">
        <w:rPr>
          <w:rFonts w:asciiTheme="majorHAnsi" w:hAnsiTheme="majorHAnsi" w:cs="Arial"/>
          <w:szCs w:val="20"/>
        </w:rPr>
        <w:t>Bizottság (EU) 2015/61 felh</w:t>
      </w:r>
      <w:r w:rsidR="001A2067" w:rsidRPr="002B614E">
        <w:rPr>
          <w:rFonts w:asciiTheme="majorHAnsi" w:hAnsiTheme="majorHAnsi" w:cs="Arial"/>
          <w:szCs w:val="20"/>
        </w:rPr>
        <w:t>a</w:t>
      </w:r>
      <w:r w:rsidR="001A2067" w:rsidRPr="002B614E">
        <w:rPr>
          <w:rFonts w:asciiTheme="majorHAnsi" w:hAnsiTheme="majorHAnsi" w:cs="Arial"/>
          <w:szCs w:val="20"/>
        </w:rPr>
        <w:t>talmazáson alapuló rendeleté</w:t>
      </w:r>
      <w:r w:rsidR="00A852E6" w:rsidRPr="002B614E">
        <w:rPr>
          <w:rFonts w:asciiTheme="majorHAnsi" w:hAnsiTheme="majorHAnsi" w:cs="Arial"/>
          <w:szCs w:val="20"/>
        </w:rPr>
        <w:t>nek, 4</w:t>
      </w:r>
      <w:r w:rsidR="009713C6" w:rsidRPr="002B614E">
        <w:rPr>
          <w:rFonts w:asciiTheme="majorHAnsi" w:hAnsiTheme="majorHAnsi" w:cs="Arial"/>
          <w:szCs w:val="20"/>
        </w:rPr>
        <w:t>. cikke</w:t>
      </w:r>
      <w:r w:rsidR="003B3372" w:rsidRPr="002B614E">
        <w:rPr>
          <w:rFonts w:asciiTheme="majorHAnsi" w:hAnsiTheme="majorHAnsi" w:cs="Arial"/>
          <w:szCs w:val="20"/>
        </w:rPr>
        <w:t xml:space="preserve"> </w:t>
      </w:r>
      <w:r w:rsidR="00A852E6" w:rsidRPr="002B614E">
        <w:rPr>
          <w:rFonts w:asciiTheme="majorHAnsi" w:hAnsiTheme="majorHAnsi" w:cs="Arial"/>
          <w:szCs w:val="20"/>
        </w:rPr>
        <w:t xml:space="preserve">(5) </w:t>
      </w:r>
      <w:r w:rsidR="009713C6" w:rsidRPr="002B614E">
        <w:rPr>
          <w:rFonts w:asciiTheme="majorHAnsi" w:hAnsiTheme="majorHAnsi" w:cs="Arial"/>
          <w:szCs w:val="20"/>
        </w:rPr>
        <w:t xml:space="preserve">bekezdésének </w:t>
      </w:r>
      <w:r w:rsidR="00A852E6" w:rsidRPr="002B614E">
        <w:rPr>
          <w:rFonts w:asciiTheme="majorHAnsi" w:hAnsiTheme="majorHAnsi" w:cs="Arial"/>
          <w:szCs w:val="20"/>
        </w:rPr>
        <w:t>megfelelően.</w:t>
      </w:r>
    </w:p>
    <w:p w14:paraId="74E3DB93" w14:textId="5DB8A351" w:rsidR="00BD63A5" w:rsidRPr="002B614E" w:rsidRDefault="00AD0439" w:rsidP="00356041">
      <w:pPr>
        <w:pStyle w:val="Listaszerbekezds"/>
        <w:numPr>
          <w:ilvl w:val="0"/>
          <w:numId w:val="9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>A</w:t>
      </w:r>
      <w:r w:rsidR="00A852E6" w:rsidRPr="002B614E">
        <w:rPr>
          <w:rFonts w:asciiTheme="majorHAnsi" w:hAnsiTheme="majorHAnsi" w:cs="Arial"/>
          <w:szCs w:val="20"/>
        </w:rPr>
        <w:t xml:space="preserve"> Bizottság (EU) 2015/61 felhatalmazáson alapuló rendeletének 9. </w:t>
      </w:r>
      <w:r w:rsidRPr="002B614E">
        <w:rPr>
          <w:rFonts w:asciiTheme="majorHAnsi" w:hAnsiTheme="majorHAnsi" w:cs="Arial"/>
          <w:szCs w:val="20"/>
        </w:rPr>
        <w:t>cikkének megfelelően</w:t>
      </w:r>
      <w:r w:rsidR="00661798" w:rsidRPr="002B614E">
        <w:rPr>
          <w:rFonts w:asciiTheme="majorHAnsi" w:hAnsiTheme="majorHAnsi" w:cs="Arial"/>
          <w:szCs w:val="20"/>
        </w:rPr>
        <w:t xml:space="preserve">, ahol szükséges a </w:t>
      </w:r>
      <w:r w:rsidRPr="002B614E">
        <w:rPr>
          <w:rFonts w:asciiTheme="majorHAnsi" w:hAnsiTheme="majorHAnsi" w:cs="Arial"/>
          <w:szCs w:val="20"/>
        </w:rPr>
        <w:t xml:space="preserve">likvid eszköz </w:t>
      </w:r>
      <w:r w:rsidR="00661798" w:rsidRPr="002B614E">
        <w:rPr>
          <w:rFonts w:asciiTheme="majorHAnsi" w:hAnsiTheme="majorHAnsi" w:cs="Arial"/>
          <w:szCs w:val="20"/>
        </w:rPr>
        <w:t>össze</w:t>
      </w:r>
      <w:r w:rsidRPr="002B614E">
        <w:rPr>
          <w:rFonts w:asciiTheme="majorHAnsi" w:hAnsiTheme="majorHAnsi" w:cs="Arial"/>
          <w:szCs w:val="20"/>
        </w:rPr>
        <w:t>gé</w:t>
      </w:r>
      <w:r w:rsidR="00661798" w:rsidRPr="002B614E">
        <w:rPr>
          <w:rFonts w:asciiTheme="majorHAnsi" w:hAnsiTheme="majorHAnsi" w:cs="Arial"/>
          <w:szCs w:val="20"/>
        </w:rPr>
        <w:t>t/piaci érté</w:t>
      </w:r>
      <w:r w:rsidRPr="002B614E">
        <w:rPr>
          <w:rFonts w:asciiTheme="majorHAnsi" w:hAnsiTheme="majorHAnsi" w:cs="Arial"/>
          <w:szCs w:val="20"/>
        </w:rPr>
        <w:t>két</w:t>
      </w:r>
      <w:r w:rsidR="00661798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a 8</w:t>
      </w:r>
      <w:r w:rsidR="0063391A">
        <w:rPr>
          <w:rFonts w:asciiTheme="majorHAnsi" w:hAnsiTheme="majorHAnsi" w:cs="Arial"/>
          <w:szCs w:val="20"/>
        </w:rPr>
        <w:t>. cikk</w:t>
      </w:r>
      <w:r w:rsidRPr="002B614E">
        <w:rPr>
          <w:rFonts w:asciiTheme="majorHAnsi" w:hAnsiTheme="majorHAnsi" w:cs="Arial"/>
          <w:szCs w:val="20"/>
        </w:rPr>
        <w:t xml:space="preserve"> (5) </w:t>
      </w:r>
      <w:r w:rsidR="0063391A">
        <w:rPr>
          <w:rFonts w:asciiTheme="majorHAnsi" w:hAnsiTheme="majorHAnsi" w:cs="Arial"/>
          <w:szCs w:val="20"/>
        </w:rPr>
        <w:t>bekezdésében</w:t>
      </w:r>
      <w:r w:rsidR="0063391A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 xml:space="preserve">definiált fedezeti pozíció idő előtti lezárásából adódó nettó likviditási kiáramlást és beáramlást </w:t>
      </w:r>
      <w:r w:rsidR="00BA20B5" w:rsidRPr="002B614E">
        <w:rPr>
          <w:rFonts w:asciiTheme="majorHAnsi" w:hAnsiTheme="majorHAnsi" w:cs="Arial"/>
          <w:szCs w:val="20"/>
        </w:rPr>
        <w:t xml:space="preserve">figyelembe </w:t>
      </w:r>
      <w:r w:rsidRPr="002B614E">
        <w:rPr>
          <w:rFonts w:asciiTheme="majorHAnsi" w:hAnsiTheme="majorHAnsi" w:cs="Arial"/>
          <w:szCs w:val="20"/>
        </w:rPr>
        <w:t>véve kell meghatározni,</w:t>
      </w:r>
      <w:r w:rsidR="00BD63A5" w:rsidRPr="002B614E">
        <w:rPr>
          <w:rFonts w:asciiTheme="majorHAnsi" w:hAnsiTheme="majorHAnsi" w:cs="Arial"/>
          <w:szCs w:val="20"/>
        </w:rPr>
        <w:t xml:space="preserve"> a második fejezetben meghatározott </w:t>
      </w:r>
      <w:r w:rsidRPr="002B614E">
        <w:rPr>
          <w:rFonts w:asciiTheme="majorHAnsi" w:hAnsiTheme="majorHAnsi" w:cs="Arial"/>
          <w:szCs w:val="20"/>
        </w:rPr>
        <w:t>haircut-ot</w:t>
      </w:r>
      <w:r w:rsidR="00BD63A5" w:rsidRPr="002B614E">
        <w:rPr>
          <w:rFonts w:asciiTheme="majorHAnsi" w:hAnsiTheme="majorHAnsi" w:cs="Arial"/>
          <w:szCs w:val="20"/>
        </w:rPr>
        <w:t xml:space="preserve"> is figyelembe véve. </w:t>
      </w:r>
    </w:p>
    <w:p w14:paraId="646B9A0D" w14:textId="0F5E4B0C" w:rsidR="00AD0439" w:rsidRPr="002B614E" w:rsidRDefault="00AD0439" w:rsidP="00356041">
      <w:pPr>
        <w:pStyle w:val="Listaszerbekezds"/>
        <w:numPr>
          <w:ilvl w:val="0"/>
          <w:numId w:val="9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lastRenderedPageBreak/>
        <w:t xml:space="preserve">A </w:t>
      </w:r>
      <w:r w:rsidR="00364D04" w:rsidRPr="002B614E">
        <w:rPr>
          <w:rFonts w:asciiTheme="majorHAnsi" w:hAnsiTheme="majorHAnsi" w:cs="Arial"/>
          <w:szCs w:val="20"/>
        </w:rPr>
        <w:t>Bizottság (EU) 2015/61 felhatalmazáson alapuló rendeletében</w:t>
      </w:r>
      <w:r w:rsidR="00341A2A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kizárólag arányokat és haircut</w:t>
      </w:r>
      <w:r w:rsidR="00F231A3" w:rsidRPr="002B614E">
        <w:rPr>
          <w:rFonts w:asciiTheme="majorHAnsi" w:hAnsiTheme="majorHAnsi" w:cs="Arial"/>
          <w:szCs w:val="20"/>
        </w:rPr>
        <w:t>ok</w:t>
      </w:r>
      <w:r w:rsidRPr="002B614E">
        <w:rPr>
          <w:rFonts w:asciiTheme="majorHAnsi" w:hAnsiTheme="majorHAnsi" w:cs="Arial"/>
          <w:szCs w:val="20"/>
        </w:rPr>
        <w:t>-</w:t>
      </w:r>
      <w:r w:rsidR="00F231A3" w:rsidRPr="002B614E">
        <w:rPr>
          <w:rFonts w:asciiTheme="majorHAnsi" w:hAnsiTheme="majorHAnsi" w:cs="Arial"/>
          <w:szCs w:val="20"/>
        </w:rPr>
        <w:t>a</w:t>
      </w:r>
      <w:r w:rsidRPr="002B614E">
        <w:rPr>
          <w:rFonts w:asciiTheme="majorHAnsi" w:hAnsiTheme="majorHAnsi" w:cs="Arial"/>
          <w:szCs w:val="20"/>
        </w:rPr>
        <w:t>t említ. Ezekben az utasításokban a „súlyozott” szó általános kifejezésként használatos, a megfelelő haircut-ok, ar</w:t>
      </w:r>
      <w:r w:rsidRPr="002B614E">
        <w:rPr>
          <w:rFonts w:asciiTheme="majorHAnsi" w:hAnsiTheme="majorHAnsi" w:cs="Arial"/>
          <w:szCs w:val="20"/>
        </w:rPr>
        <w:t>á</w:t>
      </w:r>
      <w:r w:rsidRPr="002B614E">
        <w:rPr>
          <w:rFonts w:asciiTheme="majorHAnsi" w:hAnsiTheme="majorHAnsi" w:cs="Arial"/>
          <w:szCs w:val="20"/>
        </w:rPr>
        <w:t xml:space="preserve">nyok és minden egyéb további releváns utasítás (pl. fedezett hitelezési és finanszírozási ügyletek esetében) alkalmazása után kapott összegek jelzésére. </w:t>
      </w:r>
      <w:r w:rsidR="00380232" w:rsidRPr="002B614E">
        <w:rPr>
          <w:rFonts w:asciiTheme="majorHAnsi" w:hAnsiTheme="majorHAnsi" w:cs="Arial"/>
          <w:szCs w:val="20"/>
        </w:rPr>
        <w:t>A „súly” ebben a k</w:t>
      </w:r>
      <w:r w:rsidR="00F14B7A" w:rsidRPr="002B614E">
        <w:rPr>
          <w:rFonts w:asciiTheme="majorHAnsi" w:hAnsiTheme="majorHAnsi" w:cs="Arial"/>
          <w:szCs w:val="20"/>
        </w:rPr>
        <w:t>ontextusban</w:t>
      </w:r>
      <w:r w:rsidR="00380232" w:rsidRPr="002B614E">
        <w:rPr>
          <w:rFonts w:asciiTheme="majorHAnsi" w:hAnsiTheme="majorHAnsi" w:cs="Arial"/>
          <w:szCs w:val="20"/>
        </w:rPr>
        <w:t xml:space="preserve"> egy 0 és 1 közötti számot jelöl, am</w:t>
      </w:r>
      <w:r w:rsidR="00D93858" w:rsidRPr="002B614E">
        <w:rPr>
          <w:rFonts w:asciiTheme="majorHAnsi" w:hAnsiTheme="majorHAnsi" w:cs="Arial"/>
          <w:szCs w:val="20"/>
        </w:rPr>
        <w:t>elyet</w:t>
      </w:r>
      <w:r w:rsidR="00380232" w:rsidRPr="002B614E">
        <w:rPr>
          <w:rFonts w:asciiTheme="majorHAnsi" w:hAnsiTheme="majorHAnsi" w:cs="Arial"/>
          <w:szCs w:val="20"/>
        </w:rPr>
        <w:t xml:space="preserve"> megszorozva az összeggel</w:t>
      </w:r>
      <w:r w:rsidR="00D93858" w:rsidRPr="002B614E">
        <w:rPr>
          <w:rFonts w:asciiTheme="majorHAnsi" w:hAnsiTheme="majorHAnsi" w:cs="Arial"/>
          <w:szCs w:val="20"/>
        </w:rPr>
        <w:t>,</w:t>
      </w:r>
      <w:r w:rsidR="00380232" w:rsidRPr="002B614E">
        <w:rPr>
          <w:rFonts w:asciiTheme="majorHAnsi" w:hAnsiTheme="majorHAnsi" w:cs="Arial"/>
          <w:szCs w:val="20"/>
        </w:rPr>
        <w:t xml:space="preserve"> a súlyozott összeg</w:t>
      </w:r>
      <w:r w:rsidR="00341A2A" w:rsidRPr="002B614E">
        <w:rPr>
          <w:rFonts w:asciiTheme="majorHAnsi" w:hAnsiTheme="majorHAnsi" w:cs="Arial"/>
          <w:szCs w:val="20"/>
        </w:rPr>
        <w:t>et</w:t>
      </w:r>
      <w:r w:rsidR="00380232" w:rsidRPr="002B614E">
        <w:rPr>
          <w:rFonts w:asciiTheme="majorHAnsi" w:hAnsiTheme="majorHAnsi" w:cs="Arial"/>
          <w:szCs w:val="20"/>
        </w:rPr>
        <w:t>, vagy a</w:t>
      </w:r>
      <w:r w:rsidR="000D0643" w:rsidRPr="002B614E">
        <w:rPr>
          <w:rFonts w:asciiTheme="majorHAnsi" w:hAnsiTheme="majorHAnsi" w:cs="Arial"/>
          <w:szCs w:val="20"/>
        </w:rPr>
        <w:t xml:space="preserve"> </w:t>
      </w:r>
      <w:r w:rsidR="00380232" w:rsidRPr="002B614E">
        <w:rPr>
          <w:rFonts w:asciiTheme="majorHAnsi" w:hAnsiTheme="majorHAnsi" w:cs="Arial"/>
          <w:szCs w:val="20"/>
        </w:rPr>
        <w:t>Bizottsági felhatalmazáson alapuló 2015/61/EU rendelet 9. cikkében leírt érték</w:t>
      </w:r>
      <w:r w:rsidR="00341A2A" w:rsidRPr="002B614E">
        <w:rPr>
          <w:rFonts w:asciiTheme="majorHAnsi" w:hAnsiTheme="majorHAnsi" w:cs="Arial"/>
          <w:szCs w:val="20"/>
        </w:rPr>
        <w:t>et adja</w:t>
      </w:r>
      <w:r w:rsidR="00380232" w:rsidRPr="002B614E">
        <w:rPr>
          <w:rFonts w:asciiTheme="majorHAnsi" w:hAnsiTheme="majorHAnsi" w:cs="Arial"/>
          <w:szCs w:val="20"/>
        </w:rPr>
        <w:t>.</w:t>
      </w:r>
    </w:p>
    <w:p w14:paraId="0F01C41C" w14:textId="77777777" w:rsidR="00380232" w:rsidRPr="002B614E" w:rsidRDefault="00380232" w:rsidP="00356041">
      <w:pPr>
        <w:pStyle w:val="Listaszerbekezds"/>
        <w:numPr>
          <w:ilvl w:val="0"/>
          <w:numId w:val="9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>A hitelintézetek nem jelenthetik kétszer az eszközeiket az 1.1.1, 1.1.2, 1.2.1 és 1.2.2 részeken belül és k</w:t>
      </w:r>
      <w:r w:rsidRPr="002B614E">
        <w:rPr>
          <w:rFonts w:asciiTheme="majorHAnsi" w:hAnsiTheme="majorHAnsi" w:cs="Arial"/>
          <w:szCs w:val="20"/>
        </w:rPr>
        <w:t>ö</w:t>
      </w:r>
      <w:r w:rsidRPr="002B614E">
        <w:rPr>
          <w:rFonts w:asciiTheme="majorHAnsi" w:hAnsiTheme="majorHAnsi" w:cs="Arial"/>
          <w:szCs w:val="20"/>
        </w:rPr>
        <w:t>zött.</w:t>
      </w:r>
    </w:p>
    <w:p w14:paraId="51CD226A" w14:textId="77777777" w:rsidR="00380232" w:rsidRPr="002B614E" w:rsidRDefault="00380232" w:rsidP="00356041">
      <w:pPr>
        <w:pStyle w:val="Listaszerbekezds"/>
        <w:numPr>
          <w:ilvl w:val="0"/>
          <w:numId w:val="9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>Bizonyos táblák további tájékoztató adatokat tartalmaznak. Bár nem feltétlenül szükségesek a ráta kiszám</w:t>
      </w:r>
      <w:r w:rsidRPr="002B614E">
        <w:rPr>
          <w:rFonts w:asciiTheme="majorHAnsi" w:hAnsiTheme="majorHAnsi" w:cs="Arial"/>
          <w:szCs w:val="20"/>
        </w:rPr>
        <w:t>í</w:t>
      </w:r>
      <w:r w:rsidRPr="002B614E">
        <w:rPr>
          <w:rFonts w:asciiTheme="majorHAnsi" w:hAnsiTheme="majorHAnsi" w:cs="Arial"/>
          <w:szCs w:val="20"/>
        </w:rPr>
        <w:t xml:space="preserve">tásához, kitöltésük kötelező. Ezek a tételek </w:t>
      </w:r>
      <w:r w:rsidR="00F00AE9" w:rsidRPr="002B614E">
        <w:rPr>
          <w:rFonts w:asciiTheme="majorHAnsi" w:hAnsiTheme="majorHAnsi" w:cs="Arial"/>
          <w:szCs w:val="20"/>
        </w:rPr>
        <w:t>szükséges</w:t>
      </w:r>
      <w:r w:rsidR="00341A2A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információval szolgálnak az illetékes hatóságoknak a hitelintézetek likviditási követelményeknek való megfelelésének értékeléséhez. Egyes esetekben a táblázat fő szakaszaiban szereplő tételek részletesebb bontását tartalmazzák, más esetekben pedig a hitelintézetek által elérhető egyéb likviditási forrásokat tükrözik.</w:t>
      </w:r>
    </w:p>
    <w:p w14:paraId="45AE17D8" w14:textId="77777777" w:rsidR="00380232" w:rsidRPr="002B614E" w:rsidRDefault="00380232" w:rsidP="00380232">
      <w:pPr>
        <w:pStyle w:val="Cmsor2"/>
        <w:rPr>
          <w:color w:val="auto"/>
        </w:rPr>
      </w:pPr>
      <w:r w:rsidRPr="002B614E">
        <w:rPr>
          <w:color w:val="auto"/>
        </w:rPr>
        <w:t>Speciális rendelkezés</w:t>
      </w:r>
      <w:r w:rsidR="00341A2A" w:rsidRPr="002B614E">
        <w:rPr>
          <w:color w:val="auto"/>
        </w:rPr>
        <w:t>ek</w:t>
      </w:r>
    </w:p>
    <w:p w14:paraId="42D5A36B" w14:textId="77777777" w:rsidR="00380232" w:rsidRPr="002B614E" w:rsidRDefault="00380232" w:rsidP="00380232">
      <w:pPr>
        <w:pStyle w:val="Cmsor3"/>
        <w:rPr>
          <w:color w:val="auto"/>
        </w:rPr>
      </w:pPr>
      <w:r w:rsidRPr="002B614E">
        <w:rPr>
          <w:color w:val="auto"/>
        </w:rPr>
        <w:t xml:space="preserve">Speciális rendelkezések a </w:t>
      </w:r>
      <w:r w:rsidR="00B36AAF" w:rsidRPr="002B614E">
        <w:rPr>
          <w:color w:val="auto"/>
        </w:rPr>
        <w:t xml:space="preserve">kollektív </w:t>
      </w:r>
      <w:r w:rsidRPr="002B614E">
        <w:rPr>
          <w:color w:val="auto"/>
        </w:rPr>
        <w:t xml:space="preserve">befektetési </w:t>
      </w:r>
      <w:r w:rsidR="00B36AAF" w:rsidRPr="002B614E">
        <w:rPr>
          <w:color w:val="auto"/>
        </w:rPr>
        <w:t>formákra (KBF)</w:t>
      </w:r>
      <w:r w:rsidR="00775BF2" w:rsidRPr="002B614E">
        <w:rPr>
          <w:color w:val="auto"/>
        </w:rPr>
        <w:t xml:space="preserve"> </w:t>
      </w:r>
      <w:r w:rsidRPr="002B614E">
        <w:rPr>
          <w:color w:val="auto"/>
        </w:rPr>
        <w:t>vonatkozóan</w:t>
      </w:r>
    </w:p>
    <w:p w14:paraId="18EB1392" w14:textId="75D3316F" w:rsidR="000D0643" w:rsidRPr="002B614E" w:rsidRDefault="000D0643" w:rsidP="00356041">
      <w:pPr>
        <w:pStyle w:val="Listaszerbekezds"/>
        <w:numPr>
          <w:ilvl w:val="0"/>
          <w:numId w:val="9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proofErr w:type="gramStart"/>
      <w:r w:rsidRPr="002B614E">
        <w:rPr>
          <w:rFonts w:asciiTheme="majorHAnsi" w:hAnsiTheme="majorHAnsi" w:cs="Arial"/>
          <w:szCs w:val="20"/>
        </w:rPr>
        <w:t xml:space="preserve">A 1.1.1.10, 1.1.1.11, 1.2.1.6, 1.1.2.2, 1.2.2.10, 1.2.2.11, 1.2.2.12, 1.2.2.13 tételekre vonatkozóan a </w:t>
      </w:r>
      <w:r w:rsidR="00CF2C56" w:rsidRPr="002B614E">
        <w:rPr>
          <w:rFonts w:asciiTheme="majorHAnsi" w:hAnsiTheme="majorHAnsi" w:cs="Arial"/>
          <w:szCs w:val="20"/>
        </w:rPr>
        <w:t>Bizottság (EU) 2015/61 felhatalmazáson alapuló rendelet</w:t>
      </w:r>
      <w:r w:rsidR="00283B87">
        <w:rPr>
          <w:rFonts w:asciiTheme="majorHAnsi" w:hAnsiTheme="majorHAnsi" w:cs="Arial"/>
          <w:szCs w:val="20"/>
        </w:rPr>
        <w:t>ének</w:t>
      </w:r>
      <w:r w:rsidRPr="002B614E">
        <w:rPr>
          <w:rFonts w:asciiTheme="majorHAnsi" w:hAnsiTheme="majorHAnsi" w:cs="Arial"/>
          <w:szCs w:val="20"/>
        </w:rPr>
        <w:t xml:space="preserve"> 15</w:t>
      </w:r>
      <w:r w:rsidR="00341A2A" w:rsidRPr="002B614E">
        <w:rPr>
          <w:rFonts w:asciiTheme="majorHAnsi" w:hAnsiTheme="majorHAnsi" w:cs="Arial"/>
          <w:szCs w:val="20"/>
        </w:rPr>
        <w:t>. cikk</w:t>
      </w:r>
      <w:r w:rsidR="00866757" w:rsidRPr="002B614E">
        <w:rPr>
          <w:rFonts w:asciiTheme="majorHAnsi" w:hAnsiTheme="majorHAnsi" w:cs="Arial"/>
          <w:szCs w:val="20"/>
        </w:rPr>
        <w:t>e</w:t>
      </w:r>
      <w:r w:rsidRPr="002B614E">
        <w:rPr>
          <w:rFonts w:asciiTheme="majorHAnsi" w:hAnsiTheme="majorHAnsi" w:cs="Arial"/>
          <w:szCs w:val="20"/>
        </w:rPr>
        <w:t xml:space="preserve"> (4)</w:t>
      </w:r>
      <w:r w:rsidR="00866757" w:rsidRPr="002B614E">
        <w:rPr>
          <w:rFonts w:asciiTheme="majorHAnsi" w:hAnsiTheme="majorHAnsi" w:cs="Arial"/>
          <w:szCs w:val="20"/>
        </w:rPr>
        <w:t xml:space="preserve"> bekezdésében leírt</w:t>
      </w:r>
      <w:r w:rsidRPr="002B614E">
        <w:rPr>
          <w:rFonts w:asciiTheme="majorHAnsi" w:hAnsiTheme="majorHAnsi" w:cs="Arial"/>
          <w:szCs w:val="20"/>
        </w:rPr>
        <w:t xml:space="preserve"> elveknek megfelelően a hitelintézeteknek a befektetési alap piaci értékének a mögöttes likvid eszközeinek megfelelő arányos r</w:t>
      </w:r>
      <w:r w:rsidRPr="002B614E">
        <w:rPr>
          <w:rFonts w:asciiTheme="majorHAnsi" w:hAnsiTheme="majorHAnsi" w:cs="Arial"/>
          <w:szCs w:val="20"/>
        </w:rPr>
        <w:t>é</w:t>
      </w:r>
      <w:r w:rsidRPr="002B614E">
        <w:rPr>
          <w:rFonts w:asciiTheme="majorHAnsi" w:hAnsiTheme="majorHAnsi" w:cs="Arial"/>
          <w:szCs w:val="20"/>
        </w:rPr>
        <w:t xml:space="preserve">szét </w:t>
      </w:r>
      <w:r w:rsidR="00866757" w:rsidRPr="002B614E">
        <w:rPr>
          <w:rFonts w:asciiTheme="majorHAnsi" w:hAnsiTheme="majorHAnsi" w:cs="Arial"/>
          <w:szCs w:val="20"/>
        </w:rPr>
        <w:t xml:space="preserve">kell </w:t>
      </w:r>
      <w:r w:rsidRPr="002B614E">
        <w:rPr>
          <w:rFonts w:asciiTheme="majorHAnsi" w:hAnsiTheme="majorHAnsi" w:cs="Arial"/>
          <w:szCs w:val="20"/>
        </w:rPr>
        <w:t>jelent</w:t>
      </w:r>
      <w:r w:rsidR="00775BF2" w:rsidRPr="002B614E">
        <w:rPr>
          <w:rFonts w:asciiTheme="majorHAnsi" w:hAnsiTheme="majorHAnsi" w:cs="Arial"/>
          <w:szCs w:val="20"/>
        </w:rPr>
        <w:t>eni</w:t>
      </w:r>
      <w:r w:rsidR="00866757" w:rsidRPr="002B614E">
        <w:rPr>
          <w:rFonts w:asciiTheme="majorHAnsi" w:hAnsiTheme="majorHAnsi" w:cs="Arial"/>
          <w:szCs w:val="20"/>
        </w:rPr>
        <w:t>ük</w:t>
      </w:r>
      <w:r w:rsidRPr="002B614E">
        <w:rPr>
          <w:rFonts w:asciiTheme="majorHAnsi" w:hAnsiTheme="majorHAnsi" w:cs="Arial"/>
          <w:szCs w:val="20"/>
        </w:rPr>
        <w:t>.</w:t>
      </w:r>
      <w:proofErr w:type="gramEnd"/>
    </w:p>
    <w:p w14:paraId="0D5A7766" w14:textId="77777777" w:rsidR="000D0643" w:rsidRPr="002B614E" w:rsidRDefault="000D0643" w:rsidP="000D0643">
      <w:pPr>
        <w:pStyle w:val="Cmsor3"/>
        <w:rPr>
          <w:color w:val="auto"/>
        </w:rPr>
      </w:pPr>
      <w:r w:rsidRPr="002B614E">
        <w:rPr>
          <w:color w:val="auto"/>
        </w:rPr>
        <w:t>Speciális rendelkezések az átmeneti rendelkezésekre vonatkozóan</w:t>
      </w:r>
    </w:p>
    <w:p w14:paraId="62A32FBC" w14:textId="6A849E91" w:rsidR="000D0643" w:rsidRPr="002B614E" w:rsidRDefault="000D0643" w:rsidP="00356041">
      <w:pPr>
        <w:pStyle w:val="Listaszerbekezds"/>
        <w:numPr>
          <w:ilvl w:val="0"/>
          <w:numId w:val="9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>A hitelintézetek</w:t>
      </w:r>
      <w:r w:rsidR="0063391A">
        <w:rPr>
          <w:rFonts w:asciiTheme="majorHAnsi" w:hAnsiTheme="majorHAnsi" w:cs="Arial"/>
          <w:szCs w:val="20"/>
        </w:rPr>
        <w:t>nek</w:t>
      </w:r>
      <w:r w:rsidRPr="002B614E">
        <w:rPr>
          <w:rFonts w:asciiTheme="majorHAnsi" w:hAnsiTheme="majorHAnsi" w:cs="Arial"/>
          <w:szCs w:val="20"/>
        </w:rPr>
        <w:t xml:space="preserve"> a </w:t>
      </w:r>
      <w:r w:rsidR="00D70197" w:rsidRPr="002B614E">
        <w:rPr>
          <w:rFonts w:asciiTheme="majorHAnsi" w:hAnsiTheme="majorHAnsi" w:cs="Arial"/>
          <w:szCs w:val="20"/>
        </w:rPr>
        <w:t>Bizottság (EU) 2015/61 felhatalmazáson alapuló rendelet</w:t>
      </w:r>
      <w:r w:rsidR="00866757" w:rsidRPr="002B614E">
        <w:rPr>
          <w:rFonts w:asciiTheme="majorHAnsi" w:hAnsiTheme="majorHAnsi" w:cs="Arial"/>
          <w:szCs w:val="20"/>
        </w:rPr>
        <w:t xml:space="preserve">ének </w:t>
      </w:r>
      <w:r w:rsidRPr="002B614E">
        <w:rPr>
          <w:rFonts w:asciiTheme="majorHAnsi" w:hAnsiTheme="majorHAnsi" w:cs="Arial"/>
          <w:szCs w:val="20"/>
        </w:rPr>
        <w:t>35</w:t>
      </w:r>
      <w:proofErr w:type="gramStart"/>
      <w:r w:rsidR="00DD47B6">
        <w:rPr>
          <w:rFonts w:asciiTheme="majorHAnsi" w:hAnsiTheme="majorHAnsi" w:cs="Arial"/>
          <w:szCs w:val="20"/>
        </w:rPr>
        <w:t>.</w:t>
      </w:r>
      <w:r w:rsidR="002E7118" w:rsidRPr="002B614E">
        <w:rPr>
          <w:rFonts w:asciiTheme="majorHAnsi" w:hAnsiTheme="majorHAnsi" w:cs="Arial"/>
          <w:szCs w:val="20"/>
        </w:rPr>
        <w:t>,</w:t>
      </w:r>
      <w:proofErr w:type="gramEnd"/>
      <w:r w:rsidR="002E7118" w:rsidRPr="002B614E">
        <w:rPr>
          <w:rFonts w:asciiTheme="majorHAnsi" w:hAnsiTheme="majorHAnsi" w:cs="Arial"/>
          <w:szCs w:val="20"/>
        </w:rPr>
        <w:t xml:space="preserve"> 36</w:t>
      </w:r>
      <w:r w:rsidR="00DD47B6">
        <w:rPr>
          <w:rFonts w:asciiTheme="majorHAnsi" w:hAnsiTheme="majorHAnsi" w:cs="Arial"/>
          <w:szCs w:val="20"/>
        </w:rPr>
        <w:t>.</w:t>
      </w:r>
      <w:r w:rsidR="002E7118" w:rsidRPr="002B614E">
        <w:rPr>
          <w:rFonts w:asciiTheme="majorHAnsi" w:hAnsiTheme="majorHAnsi" w:cs="Arial"/>
          <w:szCs w:val="20"/>
        </w:rPr>
        <w:t xml:space="preserve"> és 37</w:t>
      </w:r>
      <w:r w:rsidR="00DD47B6">
        <w:rPr>
          <w:rFonts w:asciiTheme="majorHAnsi" w:hAnsiTheme="majorHAnsi" w:cs="Arial"/>
          <w:szCs w:val="20"/>
        </w:rPr>
        <w:t>.</w:t>
      </w:r>
      <w:r w:rsidRPr="002B614E">
        <w:rPr>
          <w:rFonts w:asciiTheme="majorHAnsi" w:hAnsiTheme="majorHAnsi" w:cs="Arial"/>
          <w:szCs w:val="20"/>
        </w:rPr>
        <w:t xml:space="preserve"> cikkében leírt tételeket a megfelelő sorokban</w:t>
      </w:r>
      <w:r w:rsidR="00866757" w:rsidRPr="002B614E">
        <w:rPr>
          <w:rFonts w:asciiTheme="majorHAnsi" w:hAnsiTheme="majorHAnsi" w:cs="Arial"/>
          <w:szCs w:val="20"/>
        </w:rPr>
        <w:t xml:space="preserve"> kell</w:t>
      </w:r>
      <w:r w:rsidRPr="002B614E">
        <w:rPr>
          <w:rFonts w:asciiTheme="majorHAnsi" w:hAnsiTheme="majorHAnsi" w:cs="Arial"/>
          <w:szCs w:val="20"/>
        </w:rPr>
        <w:t xml:space="preserve"> jelent</w:t>
      </w:r>
      <w:r w:rsidR="00866757" w:rsidRPr="002B614E">
        <w:rPr>
          <w:rFonts w:asciiTheme="majorHAnsi" w:hAnsiTheme="majorHAnsi" w:cs="Arial"/>
          <w:szCs w:val="20"/>
        </w:rPr>
        <w:t>eniük</w:t>
      </w:r>
      <w:r w:rsidRPr="002B614E">
        <w:rPr>
          <w:rFonts w:asciiTheme="majorHAnsi" w:hAnsiTheme="majorHAnsi" w:cs="Arial"/>
          <w:szCs w:val="20"/>
        </w:rPr>
        <w:t>.</w:t>
      </w:r>
      <w:r w:rsidR="00F35F77" w:rsidRPr="002B614E">
        <w:rPr>
          <w:rFonts w:asciiTheme="majorHAnsi" w:hAnsiTheme="majorHAnsi" w:cs="Arial"/>
          <w:szCs w:val="20"/>
        </w:rPr>
        <w:t xml:space="preserve"> A</w:t>
      </w:r>
      <w:r w:rsidR="007832EF" w:rsidRPr="002B614E">
        <w:rPr>
          <w:rFonts w:asciiTheme="majorHAnsi" w:hAnsiTheme="majorHAnsi" w:cs="Arial"/>
          <w:szCs w:val="20"/>
        </w:rPr>
        <w:t xml:space="preserve">z </w:t>
      </w:r>
      <w:proofErr w:type="gramStart"/>
      <w:r w:rsidR="007832EF" w:rsidRPr="002B614E">
        <w:rPr>
          <w:rFonts w:asciiTheme="majorHAnsi" w:hAnsiTheme="majorHAnsi" w:cs="Arial"/>
          <w:szCs w:val="20"/>
        </w:rPr>
        <w:t>ezen</w:t>
      </w:r>
      <w:proofErr w:type="gramEnd"/>
      <w:r w:rsidR="007832EF" w:rsidRPr="002B614E">
        <w:rPr>
          <w:rFonts w:asciiTheme="majorHAnsi" w:hAnsiTheme="majorHAnsi" w:cs="Arial"/>
          <w:szCs w:val="20"/>
        </w:rPr>
        <w:t xml:space="preserve"> cikk alapján jelentett eszközök teljes összegét a tájékoztatás céljából a „tájékoztató adatok” részben is jelenteni kell.</w:t>
      </w:r>
      <w:r w:rsidR="00F35F77" w:rsidRPr="002B614E">
        <w:rPr>
          <w:rFonts w:asciiTheme="majorHAnsi" w:hAnsiTheme="majorHAnsi" w:cs="Arial"/>
          <w:szCs w:val="20"/>
        </w:rPr>
        <w:t xml:space="preserve"> </w:t>
      </w:r>
    </w:p>
    <w:p w14:paraId="296B3B88" w14:textId="77777777" w:rsidR="000D0643" w:rsidRPr="002B614E" w:rsidRDefault="000D0643" w:rsidP="000D0643">
      <w:pPr>
        <w:pStyle w:val="Cmsor3"/>
        <w:rPr>
          <w:color w:val="auto"/>
        </w:rPr>
      </w:pPr>
      <w:r w:rsidRPr="002B614E">
        <w:rPr>
          <w:color w:val="auto"/>
        </w:rPr>
        <w:t>Speciális</w:t>
      </w:r>
      <w:r w:rsidR="008E5518" w:rsidRPr="002B614E">
        <w:rPr>
          <w:color w:val="auto"/>
        </w:rPr>
        <w:t xml:space="preserve"> jelentési követelmények </w:t>
      </w:r>
      <w:r w:rsidRPr="002B614E">
        <w:rPr>
          <w:color w:val="auto"/>
        </w:rPr>
        <w:t>a központi intézményekre vonatkozóan</w:t>
      </w:r>
    </w:p>
    <w:p w14:paraId="11D78A07" w14:textId="7CC41662" w:rsidR="000D0643" w:rsidRPr="002B614E" w:rsidRDefault="000D0643" w:rsidP="00356041">
      <w:pPr>
        <w:pStyle w:val="Listaszerbekezds"/>
        <w:numPr>
          <w:ilvl w:val="0"/>
          <w:numId w:val="9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>A központi intézmények</w:t>
      </w:r>
      <w:r w:rsidR="00866757" w:rsidRPr="002B614E">
        <w:rPr>
          <w:rFonts w:asciiTheme="majorHAnsi" w:hAnsiTheme="majorHAnsi" w:cs="Arial"/>
          <w:szCs w:val="20"/>
        </w:rPr>
        <w:t>nek</w:t>
      </w:r>
      <w:r w:rsidRPr="002B614E">
        <w:rPr>
          <w:rFonts w:asciiTheme="majorHAnsi" w:hAnsiTheme="majorHAnsi" w:cs="Arial"/>
          <w:szCs w:val="20"/>
        </w:rPr>
        <w:t xml:space="preserve"> a</w:t>
      </w:r>
      <w:r w:rsidR="003770A9" w:rsidRPr="002B614E">
        <w:rPr>
          <w:rFonts w:asciiTheme="majorHAnsi" w:hAnsiTheme="majorHAnsi" w:cs="Arial"/>
          <w:szCs w:val="20"/>
        </w:rPr>
        <w:t xml:space="preserve"> náluk</w:t>
      </w:r>
      <w:r w:rsidRPr="002B614E">
        <w:rPr>
          <w:rFonts w:asciiTheme="majorHAnsi" w:hAnsiTheme="majorHAnsi" w:cs="Arial"/>
          <w:szCs w:val="20"/>
        </w:rPr>
        <w:t xml:space="preserve"> betételhelyező intézmények által </w:t>
      </w:r>
      <w:r w:rsidR="003770A9" w:rsidRPr="002B614E">
        <w:rPr>
          <w:rFonts w:asciiTheme="majorHAnsi" w:hAnsiTheme="majorHAnsi" w:cs="Arial"/>
          <w:szCs w:val="20"/>
        </w:rPr>
        <w:t xml:space="preserve">elhelyezett </w:t>
      </w:r>
      <w:r w:rsidRPr="002B614E">
        <w:rPr>
          <w:rFonts w:asciiTheme="majorHAnsi" w:hAnsiTheme="majorHAnsi" w:cs="Arial"/>
          <w:szCs w:val="20"/>
        </w:rPr>
        <w:t>likvid eszköznek tekintett betétek fedezeteként tartott likvid eszközök jelentésekor</w:t>
      </w:r>
      <w:r w:rsidR="003770A9" w:rsidRPr="002B614E">
        <w:rPr>
          <w:rFonts w:asciiTheme="majorHAnsi" w:hAnsiTheme="majorHAnsi" w:cs="Arial"/>
          <w:szCs w:val="20"/>
        </w:rPr>
        <w:t xml:space="preserve"> biztosít</w:t>
      </w:r>
      <w:r w:rsidR="00866757" w:rsidRPr="002B614E">
        <w:rPr>
          <w:rFonts w:asciiTheme="majorHAnsi" w:hAnsiTheme="majorHAnsi" w:cs="Arial"/>
          <w:szCs w:val="20"/>
        </w:rPr>
        <w:t>aniuk kell</w:t>
      </w:r>
      <w:r w:rsidR="003770A9" w:rsidRPr="002B614E">
        <w:rPr>
          <w:rFonts w:asciiTheme="majorHAnsi" w:hAnsiTheme="majorHAnsi" w:cs="Arial"/>
          <w:szCs w:val="20"/>
        </w:rPr>
        <w:t>, hogy a likvid eszköz haircut a</w:t>
      </w:r>
      <w:r w:rsidR="003770A9" w:rsidRPr="002B614E">
        <w:rPr>
          <w:rFonts w:asciiTheme="majorHAnsi" w:hAnsiTheme="majorHAnsi" w:cs="Arial"/>
          <w:szCs w:val="20"/>
        </w:rPr>
        <w:t>l</w:t>
      </w:r>
      <w:r w:rsidR="003770A9" w:rsidRPr="002B614E">
        <w:rPr>
          <w:rFonts w:asciiTheme="majorHAnsi" w:hAnsiTheme="majorHAnsi" w:cs="Arial"/>
          <w:szCs w:val="20"/>
        </w:rPr>
        <w:t>kalmazása utáni értéke ne haladja meg a vonatkozó betétekből származó kiáramlást (</w:t>
      </w:r>
      <w:r w:rsidR="00866757" w:rsidRPr="002B614E">
        <w:rPr>
          <w:rFonts w:asciiTheme="majorHAnsi" w:hAnsiTheme="majorHAnsi" w:cs="Arial"/>
          <w:szCs w:val="20"/>
        </w:rPr>
        <w:t xml:space="preserve">a </w:t>
      </w:r>
      <w:r w:rsidR="004A44C1" w:rsidRPr="002B614E">
        <w:rPr>
          <w:rFonts w:asciiTheme="majorHAnsi" w:hAnsiTheme="majorHAnsi" w:cs="Arial"/>
          <w:szCs w:val="20"/>
        </w:rPr>
        <w:t>Bizottság (EU) 2015/61 felhatalmazáson alapuló rendelet</w:t>
      </w:r>
      <w:r w:rsidR="00866757" w:rsidRPr="002B614E">
        <w:rPr>
          <w:rFonts w:asciiTheme="majorHAnsi" w:hAnsiTheme="majorHAnsi" w:cs="Arial"/>
          <w:szCs w:val="20"/>
        </w:rPr>
        <w:t>ének</w:t>
      </w:r>
      <w:r w:rsidR="003770A9" w:rsidRPr="002B614E">
        <w:rPr>
          <w:rFonts w:asciiTheme="majorHAnsi" w:hAnsiTheme="majorHAnsi" w:cs="Arial"/>
          <w:szCs w:val="20"/>
        </w:rPr>
        <w:t xml:space="preserve"> 27</w:t>
      </w:r>
      <w:r w:rsidR="00866757" w:rsidRPr="002B614E">
        <w:rPr>
          <w:rFonts w:asciiTheme="majorHAnsi" w:hAnsiTheme="majorHAnsi" w:cs="Arial"/>
          <w:szCs w:val="20"/>
        </w:rPr>
        <w:t>. cikkének</w:t>
      </w:r>
      <w:r w:rsidR="003770A9" w:rsidRPr="002B614E">
        <w:rPr>
          <w:rFonts w:asciiTheme="majorHAnsi" w:hAnsiTheme="majorHAnsi" w:cs="Arial"/>
          <w:szCs w:val="20"/>
        </w:rPr>
        <w:t xml:space="preserve"> (3) </w:t>
      </w:r>
      <w:r w:rsidR="00866757" w:rsidRPr="002B614E">
        <w:rPr>
          <w:rFonts w:asciiTheme="majorHAnsi" w:hAnsiTheme="majorHAnsi" w:cs="Arial"/>
          <w:szCs w:val="20"/>
        </w:rPr>
        <w:t>bekezdése</w:t>
      </w:r>
      <w:r w:rsidR="003770A9" w:rsidRPr="002B614E">
        <w:rPr>
          <w:rFonts w:asciiTheme="majorHAnsi" w:hAnsiTheme="majorHAnsi" w:cs="Arial"/>
          <w:szCs w:val="20"/>
        </w:rPr>
        <w:t>).</w:t>
      </w:r>
    </w:p>
    <w:p w14:paraId="14D6FC2C" w14:textId="77777777" w:rsidR="000D0643" w:rsidRPr="002B614E" w:rsidRDefault="000D0643" w:rsidP="000D0643">
      <w:pPr>
        <w:pStyle w:val="Cmsor3"/>
        <w:rPr>
          <w:color w:val="auto"/>
        </w:rPr>
      </w:pPr>
      <w:r w:rsidRPr="002B614E">
        <w:rPr>
          <w:color w:val="auto"/>
        </w:rPr>
        <w:t xml:space="preserve">Speciális </w:t>
      </w:r>
      <w:r w:rsidR="006175AC" w:rsidRPr="002B614E">
        <w:rPr>
          <w:color w:val="auto"/>
        </w:rPr>
        <w:t xml:space="preserve">követelmények </w:t>
      </w:r>
      <w:r w:rsidR="003770A9" w:rsidRPr="002B614E">
        <w:rPr>
          <w:color w:val="auto"/>
        </w:rPr>
        <w:t>az elszámolásokra és a jövőben induló tranzakciókra</w:t>
      </w:r>
      <w:r w:rsidRPr="002B614E">
        <w:rPr>
          <w:color w:val="auto"/>
        </w:rPr>
        <w:t xml:space="preserve"> vonatkozóan</w:t>
      </w:r>
    </w:p>
    <w:p w14:paraId="1694DE5B" w14:textId="19E64372" w:rsidR="0082499C" w:rsidRPr="002B614E" w:rsidRDefault="003770A9" w:rsidP="00356041">
      <w:pPr>
        <w:pStyle w:val="Listaszerbekezds"/>
        <w:numPr>
          <w:ilvl w:val="0"/>
          <w:numId w:val="9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B614E">
        <w:rPr>
          <w:rFonts w:asciiTheme="majorHAnsi" w:hAnsiTheme="majorHAnsi" w:cs="Arial"/>
          <w:szCs w:val="20"/>
        </w:rPr>
        <w:t xml:space="preserve">A jelentés vonatkozási időpontjában a </w:t>
      </w:r>
      <w:r w:rsidR="000B5155" w:rsidRPr="002B614E">
        <w:rPr>
          <w:rFonts w:asciiTheme="majorHAnsi" w:hAnsiTheme="majorHAnsi" w:cs="Arial"/>
          <w:szCs w:val="20"/>
        </w:rPr>
        <w:t>Bizottság (EU) 2015/61 felhatalmazáson alapuló rendelet</w:t>
      </w:r>
      <w:r w:rsidR="00866757" w:rsidRPr="002B614E">
        <w:rPr>
          <w:rFonts w:asciiTheme="majorHAnsi" w:hAnsiTheme="majorHAnsi" w:cs="Arial"/>
          <w:szCs w:val="20"/>
        </w:rPr>
        <w:t>ének</w:t>
      </w:r>
      <w:r w:rsidRPr="002B614E">
        <w:rPr>
          <w:rFonts w:asciiTheme="majorHAnsi" w:hAnsiTheme="majorHAnsi" w:cs="Arial"/>
          <w:szCs w:val="20"/>
        </w:rPr>
        <w:t xml:space="preserve"> 7</w:t>
      </w:r>
      <w:proofErr w:type="gramStart"/>
      <w:r w:rsidR="00866757" w:rsidRPr="002B614E">
        <w:rPr>
          <w:rFonts w:asciiTheme="majorHAnsi" w:hAnsiTheme="majorHAnsi" w:cs="Arial"/>
          <w:szCs w:val="20"/>
        </w:rPr>
        <w:t>.</w:t>
      </w:r>
      <w:r w:rsidR="00117AD0" w:rsidRPr="002B614E">
        <w:rPr>
          <w:rFonts w:asciiTheme="majorHAnsi" w:hAnsiTheme="majorHAnsi" w:cs="Arial"/>
          <w:szCs w:val="20"/>
        </w:rPr>
        <w:t>,</w:t>
      </w:r>
      <w:proofErr w:type="gramEnd"/>
      <w:r w:rsidR="00117AD0" w:rsidRPr="002B614E">
        <w:rPr>
          <w:rFonts w:asciiTheme="majorHAnsi" w:hAnsiTheme="majorHAnsi" w:cs="Arial"/>
          <w:szCs w:val="20"/>
        </w:rPr>
        <w:t xml:space="preserve"> 8</w:t>
      </w:r>
      <w:r w:rsidR="00866757" w:rsidRPr="002B614E">
        <w:rPr>
          <w:rFonts w:asciiTheme="majorHAnsi" w:hAnsiTheme="majorHAnsi" w:cs="Arial"/>
          <w:szCs w:val="20"/>
        </w:rPr>
        <w:t>.</w:t>
      </w:r>
      <w:r w:rsidR="00117AD0" w:rsidRPr="002B614E">
        <w:rPr>
          <w:rFonts w:asciiTheme="majorHAnsi" w:hAnsiTheme="majorHAnsi" w:cs="Arial"/>
          <w:szCs w:val="20"/>
        </w:rPr>
        <w:t xml:space="preserve"> és</w:t>
      </w:r>
      <w:r w:rsidR="00775BF2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>9</w:t>
      </w:r>
      <w:r w:rsidR="00866757" w:rsidRPr="002B614E">
        <w:rPr>
          <w:rFonts w:asciiTheme="majorHAnsi" w:hAnsiTheme="majorHAnsi" w:cs="Arial"/>
          <w:szCs w:val="20"/>
        </w:rPr>
        <w:t>.</w:t>
      </w:r>
      <w:r w:rsidRPr="002B614E">
        <w:rPr>
          <w:rFonts w:asciiTheme="majorHAnsi" w:hAnsiTheme="majorHAnsi" w:cs="Arial"/>
          <w:szCs w:val="20"/>
        </w:rPr>
        <w:t xml:space="preserve"> cikkének megfelelő eszközök, melyek a hitelintézet birtokában vannak</w:t>
      </w:r>
      <w:r w:rsidR="00866757" w:rsidRPr="002B614E">
        <w:rPr>
          <w:rFonts w:asciiTheme="majorHAnsi" w:hAnsiTheme="majorHAnsi" w:cs="Arial"/>
          <w:szCs w:val="20"/>
        </w:rPr>
        <w:t>,</w:t>
      </w:r>
      <w:r w:rsidRPr="002B614E">
        <w:rPr>
          <w:rFonts w:asciiTheme="majorHAnsi" w:hAnsiTheme="majorHAnsi" w:cs="Arial"/>
          <w:szCs w:val="20"/>
        </w:rPr>
        <w:t xml:space="preserve"> a </w:t>
      </w:r>
      <w:r w:rsidR="00F73E32">
        <w:rPr>
          <w:rFonts w:asciiTheme="majorHAnsi" w:hAnsiTheme="majorHAnsi" w:cs="Arial"/>
          <w:szCs w:val="20"/>
        </w:rPr>
        <w:t>C 72.00</w:t>
      </w:r>
      <w:r w:rsidRPr="002B614E">
        <w:rPr>
          <w:rFonts w:asciiTheme="majorHAnsi" w:hAnsiTheme="majorHAnsi" w:cs="Arial"/>
          <w:szCs w:val="20"/>
        </w:rPr>
        <w:t>-es tábl</w:t>
      </w:r>
      <w:r w:rsidR="00866757" w:rsidRPr="002B614E">
        <w:rPr>
          <w:rFonts w:asciiTheme="majorHAnsi" w:hAnsiTheme="majorHAnsi" w:cs="Arial"/>
          <w:szCs w:val="20"/>
        </w:rPr>
        <w:t>a megfelelő s</w:t>
      </w:r>
      <w:r w:rsidR="00866757" w:rsidRPr="002B614E">
        <w:rPr>
          <w:rFonts w:asciiTheme="majorHAnsi" w:hAnsiTheme="majorHAnsi" w:cs="Arial"/>
          <w:szCs w:val="20"/>
        </w:rPr>
        <w:t>o</w:t>
      </w:r>
      <w:r w:rsidR="00866757" w:rsidRPr="002B614E">
        <w:rPr>
          <w:rFonts w:asciiTheme="majorHAnsi" w:hAnsiTheme="majorHAnsi" w:cs="Arial"/>
          <w:szCs w:val="20"/>
        </w:rPr>
        <w:t>rában jelentendőek</w:t>
      </w:r>
      <w:r w:rsidRPr="002B614E">
        <w:rPr>
          <w:rFonts w:asciiTheme="majorHAnsi" w:hAnsiTheme="majorHAnsi" w:cs="Arial"/>
          <w:szCs w:val="20"/>
        </w:rPr>
        <w:t>, még akkor is</w:t>
      </w:r>
      <w:r w:rsidR="00866757" w:rsidRPr="002B614E">
        <w:rPr>
          <w:rFonts w:asciiTheme="majorHAnsi" w:hAnsiTheme="majorHAnsi" w:cs="Arial"/>
          <w:szCs w:val="20"/>
        </w:rPr>
        <w:t>,</w:t>
      </w:r>
      <w:r w:rsidRPr="002B614E">
        <w:rPr>
          <w:rFonts w:asciiTheme="majorHAnsi" w:hAnsiTheme="majorHAnsi" w:cs="Arial"/>
          <w:szCs w:val="20"/>
        </w:rPr>
        <w:t xml:space="preserve"> ha azokat eladták, vagy fedezetként felhasználták jövőben induló tra</w:t>
      </w:r>
      <w:r w:rsidRPr="002B614E">
        <w:rPr>
          <w:rFonts w:asciiTheme="majorHAnsi" w:hAnsiTheme="majorHAnsi" w:cs="Arial"/>
          <w:szCs w:val="20"/>
        </w:rPr>
        <w:t>n</w:t>
      </w:r>
      <w:r w:rsidRPr="002B614E">
        <w:rPr>
          <w:rFonts w:asciiTheme="majorHAnsi" w:hAnsiTheme="majorHAnsi" w:cs="Arial"/>
          <w:szCs w:val="20"/>
        </w:rPr>
        <w:t>zakció</w:t>
      </w:r>
      <w:r w:rsidR="0063391A">
        <w:rPr>
          <w:rFonts w:asciiTheme="majorHAnsi" w:hAnsiTheme="majorHAnsi" w:cs="Arial"/>
          <w:szCs w:val="20"/>
        </w:rPr>
        <w:t>k</w:t>
      </w:r>
      <w:r w:rsidRPr="002B614E">
        <w:rPr>
          <w:rFonts w:asciiTheme="majorHAnsi" w:hAnsiTheme="majorHAnsi" w:cs="Arial"/>
          <w:szCs w:val="20"/>
        </w:rPr>
        <w:t xml:space="preserve">hoz. </w:t>
      </w:r>
      <w:r w:rsidR="0063391A">
        <w:rPr>
          <w:rFonts w:asciiTheme="majorHAnsi" w:hAnsiTheme="majorHAnsi" w:cs="Arial"/>
          <w:szCs w:val="20"/>
        </w:rPr>
        <w:t>Következésképp</w:t>
      </w:r>
      <w:r w:rsidRPr="002B614E">
        <w:rPr>
          <w:rFonts w:asciiTheme="majorHAnsi" w:hAnsiTheme="majorHAnsi" w:cs="Arial"/>
          <w:szCs w:val="20"/>
        </w:rPr>
        <w:t xml:space="preserve"> nem </w:t>
      </w:r>
      <w:r w:rsidR="006441B9" w:rsidRPr="002B614E">
        <w:rPr>
          <w:rFonts w:asciiTheme="majorHAnsi" w:hAnsiTheme="majorHAnsi" w:cs="Arial"/>
          <w:szCs w:val="20"/>
        </w:rPr>
        <w:t>lehet</w:t>
      </w:r>
      <w:r w:rsidR="00866757" w:rsidRPr="002B614E">
        <w:rPr>
          <w:rFonts w:asciiTheme="majorHAnsi" w:hAnsiTheme="majorHAnsi" w:cs="Arial"/>
          <w:szCs w:val="20"/>
        </w:rPr>
        <w:t xml:space="preserve"> </w:t>
      </w:r>
      <w:r w:rsidRPr="002B614E">
        <w:rPr>
          <w:rFonts w:asciiTheme="majorHAnsi" w:hAnsiTheme="majorHAnsi" w:cs="Arial"/>
          <w:szCs w:val="20"/>
        </w:rPr>
        <w:t xml:space="preserve">likvid eszközként kimutatni a </w:t>
      </w:r>
      <w:r w:rsidR="00F73E32">
        <w:rPr>
          <w:rFonts w:asciiTheme="majorHAnsi" w:hAnsiTheme="majorHAnsi" w:cs="Arial"/>
          <w:szCs w:val="20"/>
        </w:rPr>
        <w:t>C 72.00</w:t>
      </w:r>
      <w:r w:rsidRPr="002B614E">
        <w:rPr>
          <w:rFonts w:asciiTheme="majorHAnsi" w:hAnsiTheme="majorHAnsi" w:cs="Arial"/>
          <w:szCs w:val="20"/>
        </w:rPr>
        <w:t>-es táblában</w:t>
      </w:r>
      <w:r w:rsidR="007F3EF7" w:rsidRPr="002B614E">
        <w:rPr>
          <w:rFonts w:asciiTheme="majorHAnsi" w:hAnsiTheme="majorHAnsi" w:cs="Arial"/>
          <w:szCs w:val="20"/>
        </w:rPr>
        <w:t xml:space="preserve"> a jövőben induló tranzakciókból származó eszközöket, azaz a megvásárolt, de le nem szállított és a határidősen megvásárolt likvid eszközöket.</w:t>
      </w:r>
    </w:p>
    <w:p w14:paraId="68230FA4" w14:textId="77777777" w:rsidR="0082499C" w:rsidRPr="00161729" w:rsidRDefault="0082499C" w:rsidP="00775BF2">
      <w:pPr>
        <w:spacing w:before="320" w:afterLines="100" w:after="240"/>
        <w:rPr>
          <w:rFonts w:asciiTheme="majorHAnsi" w:hAnsiTheme="majorHAnsi" w:cs="Arial"/>
          <w:b/>
          <w:sz w:val="22"/>
        </w:rPr>
      </w:pPr>
      <w:r w:rsidRPr="00161729">
        <w:rPr>
          <w:rFonts w:asciiTheme="majorHAnsi" w:hAnsiTheme="majorHAnsi" w:cs="Arial"/>
          <w:b/>
          <w:sz w:val="22"/>
        </w:rPr>
        <w:t>Likviditási altábla</w:t>
      </w:r>
    </w:p>
    <w:p w14:paraId="241BE477" w14:textId="31B61E8B" w:rsidR="0082499C" w:rsidRPr="00161729" w:rsidRDefault="0082499C" w:rsidP="005D57EA">
      <w:pPr>
        <w:spacing w:before="320" w:afterLines="100" w:after="240"/>
        <w:rPr>
          <w:rFonts w:asciiTheme="majorHAnsi" w:hAnsiTheme="majorHAnsi" w:cs="Arial"/>
          <w:b/>
          <w:sz w:val="22"/>
        </w:rPr>
      </w:pPr>
      <w:r w:rsidRPr="00161729">
        <w:rPr>
          <w:rFonts w:asciiTheme="majorHAnsi" w:hAnsiTheme="majorHAnsi" w:cs="Arial"/>
          <w:b/>
          <w:sz w:val="22"/>
        </w:rPr>
        <w:t xml:space="preserve">Az egyes oszlopokhoz tartozó </w:t>
      </w:r>
      <w:r w:rsidR="00A35C90">
        <w:rPr>
          <w:rFonts w:asciiTheme="majorHAnsi" w:hAnsiTheme="majorHAnsi" w:cs="Arial"/>
          <w:b/>
          <w:sz w:val="22"/>
        </w:rPr>
        <w:t>iránymutatások</w:t>
      </w:r>
    </w:p>
    <w:tbl>
      <w:tblPr>
        <w:tblStyle w:val="Style2"/>
        <w:tblW w:w="9741" w:type="dxa"/>
        <w:tblLook w:val="04A0" w:firstRow="1" w:lastRow="0" w:firstColumn="1" w:lastColumn="0" w:noHBand="0" w:noVBand="1"/>
      </w:tblPr>
      <w:tblGrid>
        <w:gridCol w:w="1101"/>
        <w:gridCol w:w="8640"/>
      </w:tblGrid>
      <w:tr w:rsidR="00DD47B6" w:rsidRPr="002B614E" w14:paraId="005620A5" w14:textId="77777777" w:rsidTr="00C66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738F" w14:textId="77777777" w:rsidR="007F3EF7" w:rsidRPr="00B9143C" w:rsidRDefault="007F3EF7" w:rsidP="00C666B0">
            <w:pPr>
              <w:pStyle w:val="InstructionsText"/>
              <w:rPr>
                <w:rStyle w:val="InstructionsTabelleText"/>
                <w:rFonts w:ascii="Calibri" w:hAnsi="Calibri"/>
                <w:bCs/>
                <w:color w:val="auto"/>
              </w:rPr>
            </w:pPr>
            <w:r w:rsidRPr="00B9143C">
              <w:rPr>
                <w:rStyle w:val="InstructionsTabelleText"/>
                <w:rFonts w:ascii="Calibri" w:hAnsi="Calibri"/>
                <w:bCs/>
                <w:color w:val="auto"/>
              </w:rPr>
              <w:lastRenderedPageBreak/>
              <w:t>Oszlop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15FC" w14:textId="518778DB" w:rsidR="007F3EF7" w:rsidRPr="00DD47B6" w:rsidRDefault="007F3EF7" w:rsidP="00C666B0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ind w:left="175" w:right="168"/>
              <w:contextualSpacing w:val="0"/>
              <w:jc w:val="left"/>
              <w:rPr>
                <w:rFonts w:asciiTheme="majorHAnsi" w:hAnsiTheme="majorHAnsi" w:cs="Arial"/>
                <w:b w:val="0"/>
                <w:color w:val="auto"/>
                <w:szCs w:val="20"/>
                <w:u w:val="single"/>
              </w:rPr>
            </w:pPr>
            <w:r w:rsidRPr="00DD47B6">
              <w:rPr>
                <w:rFonts w:asciiTheme="majorHAnsi" w:hAnsiTheme="majorHAnsi" w:cs="Arial"/>
                <w:color w:val="auto"/>
                <w:szCs w:val="20"/>
                <w:u w:val="single"/>
              </w:rPr>
              <w:t>Jogi hivatkozások és i</w:t>
            </w:r>
            <w:r w:rsidR="00BD189F">
              <w:rPr>
                <w:rFonts w:asciiTheme="majorHAnsi" w:hAnsiTheme="majorHAnsi" w:cs="Arial"/>
                <w:color w:val="auto"/>
                <w:szCs w:val="20"/>
                <w:u w:val="single"/>
              </w:rPr>
              <w:t>ránymutatások</w:t>
            </w:r>
          </w:p>
        </w:tc>
      </w:tr>
      <w:tr w:rsidR="00161729" w:rsidRPr="002B614E" w14:paraId="109721ED" w14:textId="77777777" w:rsidTr="00C666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32F00FC" w14:textId="77777777" w:rsidR="007F3EF7" w:rsidRPr="002B614E" w:rsidRDefault="007F3EF7" w:rsidP="00775BF2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D456903" w14:textId="77777777" w:rsidR="007F3EF7" w:rsidRPr="002B614E" w:rsidRDefault="00484AB9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Összeg</w:t>
            </w:r>
            <w:r w:rsidR="007F3EF7" w:rsidRPr="002B614E">
              <w:rPr>
                <w:rFonts w:asciiTheme="majorHAnsi" w:hAnsiTheme="majorHAnsi" w:cs="Arial"/>
                <w:b/>
                <w:szCs w:val="20"/>
                <w:u w:val="single"/>
              </w:rPr>
              <w:t>/Piaci érték</w:t>
            </w:r>
          </w:p>
          <w:p w14:paraId="2ADA7969" w14:textId="77777777" w:rsidR="007F3EF7" w:rsidRPr="002B614E" w:rsidRDefault="007F3EF7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 010-es oszlopba</w:t>
            </w:r>
            <w:r w:rsidR="008F7570" w:rsidRPr="002B614E">
              <w:rPr>
                <w:rFonts w:asciiTheme="majorHAnsi" w:hAnsiTheme="majorHAnsi" w:cs="Arial"/>
                <w:szCs w:val="20"/>
              </w:rPr>
              <w:t>n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a Bizottság (EU) 2015/61 felhatalmazáson alapuló rendeletében, a II. címben meghatározott likvid eszközök piaci értéket vagy a mennyiséget –</w:t>
            </w:r>
            <w:r w:rsidR="008F7570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ahol szükséges</w:t>
            </w:r>
            <w:r w:rsidR="008F7570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– kell jelenteniük.</w:t>
            </w:r>
          </w:p>
          <w:p w14:paraId="1A708930" w14:textId="4A5F893E" w:rsidR="007F3EF7" w:rsidRPr="002B614E" w:rsidRDefault="00234FC2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Az összeg</w:t>
            </w:r>
            <w:r w:rsidR="007F3EF7" w:rsidRPr="002B614E">
              <w:rPr>
                <w:rFonts w:asciiTheme="majorHAnsi" w:hAnsiTheme="majorHAnsi" w:cs="Arial"/>
                <w:szCs w:val="20"/>
              </w:rPr>
              <w:t>/piaci érték</w:t>
            </w:r>
            <w:r w:rsidR="008F7570" w:rsidRPr="002B614E">
              <w:rPr>
                <w:rFonts w:asciiTheme="majorHAnsi" w:hAnsiTheme="majorHAnsi" w:cs="Arial"/>
                <w:szCs w:val="20"/>
              </w:rPr>
              <w:t>,</w:t>
            </w:r>
            <w:r w:rsidR="007F3EF7" w:rsidRPr="002B614E">
              <w:rPr>
                <w:rFonts w:asciiTheme="majorHAnsi" w:hAnsiTheme="majorHAnsi" w:cs="Arial"/>
                <w:szCs w:val="20"/>
              </w:rPr>
              <w:t xml:space="preserve"> amelyet a 010-es oszlopba</w:t>
            </w:r>
            <w:r w:rsidR="008F7570" w:rsidRPr="002B614E">
              <w:rPr>
                <w:rFonts w:asciiTheme="majorHAnsi" w:hAnsiTheme="majorHAnsi" w:cs="Arial"/>
                <w:szCs w:val="20"/>
              </w:rPr>
              <w:t>n</w:t>
            </w:r>
            <w:r w:rsidR="007F3EF7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="006B3ABF">
              <w:rPr>
                <w:rFonts w:asciiTheme="majorHAnsi" w:hAnsiTheme="majorHAnsi" w:cs="Arial"/>
                <w:szCs w:val="20"/>
              </w:rPr>
              <w:t>való jelentése során</w:t>
            </w:r>
            <w:r w:rsidR="007F3EF7" w:rsidRPr="002B614E">
              <w:rPr>
                <w:rFonts w:asciiTheme="majorHAnsi" w:hAnsiTheme="majorHAnsi" w:cs="Arial"/>
                <w:szCs w:val="20"/>
              </w:rPr>
              <w:t>:</w:t>
            </w:r>
          </w:p>
          <w:p w14:paraId="6A4BBA52" w14:textId="77777777" w:rsidR="007F3EF7" w:rsidRPr="002B614E" w:rsidRDefault="007F3EF7" w:rsidP="00C666B0">
            <w:pPr>
              <w:pStyle w:val="Listaszerbekezds"/>
              <w:numPr>
                <w:ilvl w:val="0"/>
                <w:numId w:val="11"/>
              </w:numPr>
              <w:spacing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felhatalmazáson alapuló rendelet 8</w:t>
            </w:r>
            <w:r w:rsidR="008F7570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(5) </w:t>
            </w:r>
            <w:r w:rsidR="008F7570" w:rsidRPr="002B614E">
              <w:rPr>
                <w:rFonts w:asciiTheme="majorHAnsi" w:hAnsiTheme="majorHAnsi" w:cs="Arial"/>
                <w:szCs w:val="20"/>
              </w:rPr>
              <w:t xml:space="preserve">bekezdésében </w:t>
            </w:r>
            <w:r w:rsidRPr="002B614E">
              <w:rPr>
                <w:rFonts w:asciiTheme="majorHAnsi" w:hAnsiTheme="majorHAnsi" w:cs="Arial"/>
                <w:szCs w:val="20"/>
              </w:rPr>
              <w:t>definiált, fedezeti pozíció idő előtti lezárásából adódó nettó kiáramlásokat és a nettó beáramlásokat is figyelembe kell venni;</w:t>
            </w:r>
          </w:p>
          <w:p w14:paraId="7637CB5B" w14:textId="77777777" w:rsidR="007F3EF7" w:rsidRPr="002B614E" w:rsidRDefault="007F3EF7" w:rsidP="00C666B0">
            <w:pPr>
              <w:pStyle w:val="Listaszerbekezds"/>
              <w:numPr>
                <w:ilvl w:val="0"/>
                <w:numId w:val="11"/>
              </w:numPr>
              <w:spacing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felhatalmazáson alapuló rendelet II. címében meghatározott </w:t>
            </w:r>
            <w:r w:rsidR="00234FC2" w:rsidRPr="002B614E">
              <w:rPr>
                <w:rFonts w:asciiTheme="majorHAnsi" w:hAnsiTheme="majorHAnsi" w:cs="Arial"/>
                <w:szCs w:val="20"/>
              </w:rPr>
              <w:t>haircutot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nem </w:t>
            </w:r>
            <w:r w:rsidR="00234FC2" w:rsidRPr="002B614E">
              <w:rPr>
                <w:rFonts w:asciiTheme="majorHAnsi" w:hAnsiTheme="majorHAnsi" w:cs="Arial"/>
                <w:szCs w:val="20"/>
              </w:rPr>
              <w:t>kell alkalmazni</w:t>
            </w:r>
            <w:r w:rsidRPr="002B614E">
              <w:rPr>
                <w:rFonts w:asciiTheme="majorHAnsi" w:hAnsiTheme="majorHAnsi" w:cs="Arial"/>
                <w:szCs w:val="20"/>
              </w:rPr>
              <w:t>;</w:t>
            </w:r>
          </w:p>
          <w:p w14:paraId="55814DA8" w14:textId="77777777" w:rsidR="00132C61" w:rsidRPr="002B614E" w:rsidRDefault="006B3ABF" w:rsidP="00C666B0">
            <w:pPr>
              <w:pStyle w:val="Listaszerbekezds"/>
              <w:numPr>
                <w:ilvl w:val="0"/>
                <w:numId w:val="11"/>
              </w:numPr>
              <w:spacing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annak </w:t>
            </w:r>
            <w:r w:rsidR="00132C61" w:rsidRPr="002B614E">
              <w:rPr>
                <w:rFonts w:asciiTheme="majorHAnsi" w:hAnsiTheme="majorHAnsi" w:cs="Arial"/>
                <w:szCs w:val="20"/>
              </w:rPr>
              <w:t>tartalmaznia kell az ugyanennek a rendeletnek a 16. cikkének (1) bekezdésének (a) pontj</w:t>
            </w:r>
            <w:r w:rsidR="00132C61" w:rsidRPr="002B614E">
              <w:rPr>
                <w:rFonts w:asciiTheme="majorHAnsi" w:hAnsiTheme="majorHAnsi" w:cs="Arial"/>
                <w:szCs w:val="20"/>
              </w:rPr>
              <w:t>á</w:t>
            </w:r>
            <w:r w:rsidR="00132C61" w:rsidRPr="002B614E">
              <w:rPr>
                <w:rFonts w:asciiTheme="majorHAnsi" w:hAnsiTheme="majorHAnsi" w:cs="Arial"/>
                <w:szCs w:val="20"/>
              </w:rPr>
              <w:t>ban leírt betétek arány</w:t>
            </w:r>
            <w:r w:rsidR="00775BF2" w:rsidRPr="002B614E">
              <w:rPr>
                <w:rFonts w:asciiTheme="majorHAnsi" w:hAnsiTheme="majorHAnsi" w:cs="Arial"/>
                <w:szCs w:val="20"/>
              </w:rPr>
              <w:t>os részét</w:t>
            </w:r>
            <w:r w:rsidR="00132C61" w:rsidRPr="002B614E">
              <w:rPr>
                <w:rFonts w:asciiTheme="majorHAnsi" w:hAnsiTheme="majorHAnsi" w:cs="Arial"/>
                <w:szCs w:val="20"/>
              </w:rPr>
              <w:t xml:space="preserve">, a fedezetként szolgáló eszközöknek megfelelő soron. </w:t>
            </w:r>
          </w:p>
          <w:p w14:paraId="5C8CF993" w14:textId="77777777" w:rsidR="007F3EF7" w:rsidRPr="002B614E" w:rsidRDefault="00BB28DE" w:rsidP="00C666B0">
            <w:pPr>
              <w:pStyle w:val="Listaszerbekezds"/>
              <w:numPr>
                <w:ilvl w:val="0"/>
                <w:numId w:val="11"/>
              </w:numPr>
              <w:spacing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16. cikkben definiált a központi hitelintézetnek </w:t>
            </w:r>
            <w:r w:rsidR="007F3EF7" w:rsidRPr="002B614E">
              <w:rPr>
                <w:rFonts w:asciiTheme="majorHAnsi" w:hAnsiTheme="majorHAnsi" w:cs="Arial"/>
                <w:szCs w:val="20"/>
              </w:rPr>
              <w:t>csökkenteni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="007F3EF7" w:rsidRPr="002B614E">
              <w:rPr>
                <w:rFonts w:asciiTheme="majorHAnsi" w:hAnsiTheme="majorHAnsi" w:cs="Arial"/>
                <w:szCs w:val="20"/>
              </w:rPr>
              <w:t xml:space="preserve"> kell, ahol releváns, a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fogadott</w:t>
            </w:r>
            <w:r w:rsidR="007F3EF7" w:rsidRPr="002B614E">
              <w:rPr>
                <w:rFonts w:asciiTheme="majorHAnsi" w:hAnsiTheme="majorHAnsi" w:cs="Arial"/>
                <w:szCs w:val="20"/>
              </w:rPr>
              <w:t xml:space="preserve"> beté</w:t>
            </w:r>
            <w:r w:rsidRPr="002B614E">
              <w:rPr>
                <w:rFonts w:asciiTheme="majorHAnsi" w:hAnsiTheme="majorHAnsi" w:cs="Arial"/>
                <w:szCs w:val="20"/>
              </w:rPr>
              <w:t>tek összegével</w:t>
            </w:r>
            <w:r w:rsidR="007F3EF7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="00132C61" w:rsidRPr="002B614E">
              <w:rPr>
                <w:rFonts w:asciiTheme="majorHAnsi" w:hAnsiTheme="majorHAnsi" w:cs="Arial"/>
                <w:szCs w:val="20"/>
              </w:rPr>
              <w:t>ugyanezen</w:t>
            </w:r>
            <w:r w:rsidR="007F3EF7" w:rsidRPr="002B614E">
              <w:rPr>
                <w:rFonts w:asciiTheme="majorHAnsi" w:hAnsiTheme="majorHAnsi" w:cs="Arial"/>
                <w:szCs w:val="20"/>
              </w:rPr>
              <w:t xml:space="preserve"> szabályozás 27</w:t>
            </w:r>
            <w:r w:rsidR="00132C61" w:rsidRPr="002B614E">
              <w:rPr>
                <w:rFonts w:asciiTheme="majorHAnsi" w:hAnsiTheme="majorHAnsi" w:cs="Arial"/>
                <w:szCs w:val="20"/>
              </w:rPr>
              <w:t xml:space="preserve">. cikkének </w:t>
            </w:r>
            <w:r w:rsidR="007F3EF7" w:rsidRPr="002B614E">
              <w:rPr>
                <w:rFonts w:asciiTheme="majorHAnsi" w:hAnsiTheme="majorHAnsi" w:cs="Arial"/>
                <w:szCs w:val="20"/>
              </w:rPr>
              <w:t>(3)</w:t>
            </w:r>
            <w:r w:rsidR="00132C61" w:rsidRPr="002B614E">
              <w:rPr>
                <w:rFonts w:asciiTheme="majorHAnsi" w:hAnsiTheme="majorHAnsi" w:cs="Arial"/>
                <w:szCs w:val="20"/>
              </w:rPr>
              <w:t xml:space="preserve"> bekezdése</w:t>
            </w:r>
            <w:r w:rsidR="00775BF2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alapján</w:t>
            </w:r>
            <w:r w:rsidR="007F3EF7" w:rsidRPr="002B614E">
              <w:rPr>
                <w:rFonts w:asciiTheme="majorHAnsi" w:hAnsiTheme="majorHAnsi" w:cs="Arial"/>
                <w:szCs w:val="20"/>
              </w:rPr>
              <w:t>;</w:t>
            </w:r>
          </w:p>
          <w:p w14:paraId="274F6A8C" w14:textId="77777777" w:rsidR="00BB28DE" w:rsidRPr="002B614E" w:rsidRDefault="00BB28DE" w:rsidP="00C666B0">
            <w:pPr>
              <w:spacing w:after="0"/>
              <w:ind w:left="175" w:right="168"/>
              <w:rPr>
                <w:rFonts w:asciiTheme="majorHAnsi" w:hAnsiTheme="majorHAnsi" w:cs="Arial"/>
                <w:szCs w:val="20"/>
              </w:rPr>
            </w:pPr>
          </w:p>
          <w:p w14:paraId="2CB75726" w14:textId="3AD67736" w:rsidR="007F3EF7" w:rsidRPr="002B614E" w:rsidRDefault="007F3EF7" w:rsidP="00C666B0">
            <w:pPr>
              <w:spacing w:after="0"/>
              <w:ind w:left="175" w:right="168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</w:t>
            </w:r>
            <w:r w:rsidR="00132C61" w:rsidRPr="002B614E">
              <w:rPr>
                <w:rFonts w:asciiTheme="majorHAnsi" w:hAnsiTheme="majorHAnsi" w:cs="Arial"/>
                <w:szCs w:val="20"/>
              </w:rPr>
              <w:t>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8</w:t>
            </w:r>
            <w:r w:rsidR="00132C61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(5) </w:t>
            </w:r>
            <w:r w:rsidR="00132C61" w:rsidRPr="002B614E">
              <w:rPr>
                <w:rFonts w:asciiTheme="majorHAnsi" w:hAnsiTheme="majorHAnsi" w:cs="Arial"/>
                <w:szCs w:val="20"/>
              </w:rPr>
              <w:t xml:space="preserve">bekezdése </w:t>
            </w:r>
            <w:r w:rsidR="00AA2E51" w:rsidRPr="002B614E">
              <w:rPr>
                <w:rFonts w:asciiTheme="majorHAnsi" w:hAnsiTheme="majorHAnsi" w:cs="Arial"/>
                <w:szCs w:val="20"/>
              </w:rPr>
              <w:t>alapján a h</w:t>
            </w:r>
            <w:r w:rsidR="00AA2E51" w:rsidRPr="002B614E">
              <w:rPr>
                <w:rFonts w:asciiTheme="majorHAnsi" w:hAnsiTheme="majorHAnsi" w:cs="Arial"/>
                <w:szCs w:val="20"/>
              </w:rPr>
              <w:t>i</w:t>
            </w:r>
            <w:r w:rsidR="00AA2E51" w:rsidRPr="002B614E">
              <w:rPr>
                <w:rFonts w:asciiTheme="majorHAnsi" w:hAnsiTheme="majorHAnsi" w:cs="Arial"/>
                <w:szCs w:val="20"/>
              </w:rPr>
              <w:t>telintézet</w:t>
            </w:r>
            <w:r w:rsidR="00CA6419" w:rsidRPr="002B614E">
              <w:rPr>
                <w:rFonts w:asciiTheme="majorHAnsi" w:hAnsiTheme="majorHAnsi" w:cs="Arial"/>
                <w:szCs w:val="20"/>
              </w:rPr>
              <w:t>eknek</w:t>
            </w:r>
            <w:r w:rsidR="00AA2E51" w:rsidRPr="002B614E">
              <w:rPr>
                <w:rFonts w:asciiTheme="majorHAnsi" w:hAnsiTheme="majorHAnsi" w:cs="Arial"/>
                <w:szCs w:val="20"/>
              </w:rPr>
              <w:t xml:space="preserve"> a fedezeti ügylet </w:t>
            </w:r>
            <w:r w:rsidR="00A21EA4" w:rsidRPr="002B614E">
              <w:rPr>
                <w:rFonts w:asciiTheme="majorHAnsi" w:hAnsiTheme="majorHAnsi" w:cs="Arial"/>
                <w:szCs w:val="20"/>
              </w:rPr>
              <w:t>a jelentés</w:t>
            </w:r>
            <w:r w:rsidR="00F95841" w:rsidRPr="002B614E">
              <w:rPr>
                <w:rFonts w:asciiTheme="majorHAnsi" w:hAnsiTheme="majorHAnsi" w:cs="Arial"/>
                <w:szCs w:val="20"/>
              </w:rPr>
              <w:t xml:space="preserve"> vonatkozási </w:t>
            </w:r>
            <w:r w:rsidR="00132C61" w:rsidRPr="002B614E">
              <w:rPr>
                <w:rFonts w:asciiTheme="majorHAnsi" w:hAnsiTheme="majorHAnsi" w:cs="Arial"/>
                <w:szCs w:val="20"/>
              </w:rPr>
              <w:t>időpontjabeli</w:t>
            </w:r>
            <w:r w:rsidR="00A21EA4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="00AA2E51" w:rsidRPr="002B614E">
              <w:rPr>
                <w:rFonts w:asciiTheme="majorHAnsi" w:hAnsiTheme="majorHAnsi" w:cs="Arial"/>
                <w:szCs w:val="20"/>
              </w:rPr>
              <w:t xml:space="preserve">lezárásából adódó akár ki-, akár beáramlást figyelembe </w:t>
            </w:r>
            <w:r w:rsidR="00EB57AE" w:rsidRPr="002B614E">
              <w:rPr>
                <w:rFonts w:asciiTheme="majorHAnsi" w:hAnsiTheme="majorHAnsi" w:cs="Arial"/>
                <w:szCs w:val="20"/>
              </w:rPr>
              <w:t>kell venniük</w:t>
            </w:r>
            <w:r w:rsidR="00AA2E51" w:rsidRPr="002B614E">
              <w:rPr>
                <w:rFonts w:asciiTheme="majorHAnsi" w:hAnsiTheme="majorHAnsi" w:cs="Arial"/>
                <w:szCs w:val="20"/>
              </w:rPr>
              <w:t xml:space="preserve">. Ekkor nem </w:t>
            </w:r>
            <w:r w:rsidR="00EB57AE" w:rsidRPr="002B614E">
              <w:rPr>
                <w:rFonts w:asciiTheme="majorHAnsi" w:hAnsiTheme="majorHAnsi" w:cs="Arial"/>
                <w:szCs w:val="20"/>
              </w:rPr>
              <w:t xml:space="preserve">szükséges </w:t>
            </w:r>
            <w:r w:rsidR="00AA2E51" w:rsidRPr="002B614E">
              <w:rPr>
                <w:rFonts w:asciiTheme="majorHAnsi" w:hAnsiTheme="majorHAnsi" w:cs="Arial"/>
                <w:szCs w:val="20"/>
              </w:rPr>
              <w:t>figyelembe venni az eszköz lehets</w:t>
            </w:r>
            <w:r w:rsidR="00AA2E51" w:rsidRPr="002B614E">
              <w:rPr>
                <w:rFonts w:asciiTheme="majorHAnsi" w:hAnsiTheme="majorHAnsi" w:cs="Arial"/>
                <w:szCs w:val="20"/>
              </w:rPr>
              <w:t>é</w:t>
            </w:r>
            <w:r w:rsidR="00AA2E51" w:rsidRPr="002B614E">
              <w:rPr>
                <w:rFonts w:asciiTheme="majorHAnsi" w:hAnsiTheme="majorHAnsi" w:cs="Arial"/>
                <w:szCs w:val="20"/>
              </w:rPr>
              <w:t>ges jövőbeli értékváltozását.</w:t>
            </w:r>
          </w:p>
        </w:tc>
      </w:tr>
      <w:tr w:rsidR="00161729" w:rsidRPr="002B614E" w14:paraId="79D23E28" w14:textId="77777777" w:rsidTr="00C666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0FD41C4" w14:textId="77777777" w:rsidR="007F3EF7" w:rsidRPr="002B614E" w:rsidRDefault="007F3EF7" w:rsidP="000E7705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ED0A650" w14:textId="77777777" w:rsidR="007F3EF7" w:rsidRPr="002B614E" w:rsidRDefault="00484AB9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Standard súly</w:t>
            </w:r>
          </w:p>
          <w:p w14:paraId="0589280D" w14:textId="50A82C4E" w:rsidR="00AA2E51" w:rsidRPr="002B614E" w:rsidRDefault="00AA2E51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020-as oszlop a Bizottság (EU) 2015/61 felh</w:t>
            </w:r>
            <w:r w:rsidR="00DE3501" w:rsidRPr="002B614E">
              <w:rPr>
                <w:rFonts w:asciiTheme="majorHAnsi" w:hAnsiTheme="majorHAnsi" w:cs="Arial"/>
                <w:szCs w:val="20"/>
              </w:rPr>
              <w:t xml:space="preserve">atalmazáson alapuló rendeletének </w:t>
            </w:r>
            <w:r w:rsidR="00C46366" w:rsidRPr="002B614E">
              <w:rPr>
                <w:rFonts w:asciiTheme="majorHAnsi" w:hAnsiTheme="majorHAnsi" w:cs="Arial"/>
                <w:szCs w:val="20"/>
              </w:rPr>
              <w:t>II.</w:t>
            </w:r>
            <w:r w:rsidR="00DE3501" w:rsidRPr="002B614E">
              <w:rPr>
                <w:rFonts w:asciiTheme="majorHAnsi" w:hAnsiTheme="majorHAnsi" w:cs="Arial"/>
                <w:szCs w:val="20"/>
              </w:rPr>
              <w:t xml:space="preserve"> címében leírt megfelelő haircut alkalmazása után fennálló összegre vonatkozik. A súly</w:t>
            </w:r>
            <w:r w:rsidR="00685E03" w:rsidRPr="002B614E">
              <w:rPr>
                <w:rFonts w:asciiTheme="majorHAnsi" w:hAnsiTheme="majorHAnsi" w:cs="Arial"/>
                <w:szCs w:val="20"/>
              </w:rPr>
              <w:t>ok</w:t>
            </w:r>
            <w:r w:rsidR="00DE3501" w:rsidRPr="002B614E">
              <w:rPr>
                <w:rFonts w:asciiTheme="majorHAnsi" w:hAnsiTheme="majorHAnsi" w:cs="Arial"/>
                <w:szCs w:val="20"/>
              </w:rPr>
              <w:t xml:space="preserve"> a</w:t>
            </w:r>
            <w:r w:rsidR="00D473F3" w:rsidRPr="002B614E">
              <w:rPr>
                <w:rFonts w:asciiTheme="majorHAnsi" w:hAnsiTheme="majorHAnsi" w:cs="Arial"/>
                <w:szCs w:val="20"/>
              </w:rPr>
              <w:t xml:space="preserve"> likvid eszköz</w:t>
            </w:r>
            <w:r w:rsidR="00EB57AE" w:rsidRPr="002B614E">
              <w:rPr>
                <w:rFonts w:asciiTheme="majorHAnsi" w:hAnsiTheme="majorHAnsi" w:cs="Arial"/>
                <w:szCs w:val="20"/>
              </w:rPr>
              <w:t>ök</w:t>
            </w:r>
            <w:r w:rsidR="00D473F3" w:rsidRPr="002B614E">
              <w:rPr>
                <w:rFonts w:asciiTheme="majorHAnsi" w:hAnsiTheme="majorHAnsi" w:cs="Arial"/>
                <w:szCs w:val="20"/>
              </w:rPr>
              <w:t xml:space="preserve"> ért</w:t>
            </w:r>
            <w:r w:rsidR="00D473F3" w:rsidRPr="002B614E">
              <w:rPr>
                <w:rFonts w:asciiTheme="majorHAnsi" w:hAnsiTheme="majorHAnsi" w:cs="Arial"/>
                <w:szCs w:val="20"/>
              </w:rPr>
              <w:t>é</w:t>
            </w:r>
            <w:r w:rsidR="00D473F3" w:rsidRPr="002B614E">
              <w:rPr>
                <w:rFonts w:asciiTheme="majorHAnsi" w:hAnsiTheme="majorHAnsi" w:cs="Arial"/>
                <w:szCs w:val="20"/>
              </w:rPr>
              <w:t xml:space="preserve">kében </w:t>
            </w:r>
            <w:r w:rsidR="00EB57AE" w:rsidRPr="002B614E">
              <w:rPr>
                <w:rFonts w:asciiTheme="majorHAnsi" w:hAnsiTheme="majorHAnsi" w:cs="Arial"/>
                <w:szCs w:val="20"/>
              </w:rPr>
              <w:t>bekövetkező</w:t>
            </w:r>
            <w:r w:rsidR="00D473F3" w:rsidRPr="002B614E">
              <w:rPr>
                <w:rFonts w:asciiTheme="majorHAnsi" w:hAnsiTheme="majorHAnsi" w:cs="Arial"/>
                <w:szCs w:val="20"/>
              </w:rPr>
              <w:t xml:space="preserve"> csökkenést hivatott</w:t>
            </w:r>
            <w:r w:rsidR="00EB57AE" w:rsidRPr="002B614E">
              <w:rPr>
                <w:rFonts w:asciiTheme="majorHAnsi" w:hAnsiTheme="majorHAnsi" w:cs="Arial"/>
                <w:szCs w:val="20"/>
              </w:rPr>
              <w:t>ak</w:t>
            </w:r>
            <w:r w:rsidR="00D473F3" w:rsidRPr="002B614E">
              <w:rPr>
                <w:rFonts w:asciiTheme="majorHAnsi" w:hAnsiTheme="majorHAnsi" w:cs="Arial"/>
                <w:szCs w:val="20"/>
              </w:rPr>
              <w:t xml:space="preserve"> tükrözni, a</w:t>
            </w:r>
            <w:r w:rsidR="00DE3501" w:rsidRPr="002B614E">
              <w:rPr>
                <w:rFonts w:asciiTheme="majorHAnsi" w:hAnsiTheme="majorHAnsi" w:cs="Arial"/>
                <w:szCs w:val="20"/>
              </w:rPr>
              <w:t xml:space="preserve"> haircut</w:t>
            </w:r>
            <w:r w:rsidR="00D473F3" w:rsidRPr="002B614E">
              <w:rPr>
                <w:rFonts w:asciiTheme="majorHAnsi" w:hAnsiTheme="majorHAnsi" w:cs="Arial"/>
                <w:szCs w:val="20"/>
              </w:rPr>
              <w:t xml:space="preserve"> alkalmazása után</w:t>
            </w:r>
            <w:r w:rsidR="00DE3501" w:rsidRPr="002B614E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161729" w:rsidRPr="002B614E" w14:paraId="3F7C26D2" w14:textId="77777777" w:rsidTr="00C666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A770A8" w14:textId="77777777" w:rsidR="007F3EF7" w:rsidRPr="002B614E" w:rsidRDefault="007F3EF7" w:rsidP="000E7705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F9994B4" w14:textId="77777777" w:rsidR="007F3EF7" w:rsidRPr="002B614E" w:rsidRDefault="00484AB9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Alkalmazandó súly</w:t>
            </w:r>
          </w:p>
          <w:p w14:paraId="21EA95A9" w14:textId="55461E5D" w:rsidR="00DE3501" w:rsidRPr="002B614E" w:rsidRDefault="00DE3501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 a 030-as oszlopban a</w:t>
            </w:r>
            <w:r w:rsidR="002710D3" w:rsidRPr="002B614E">
              <w:rPr>
                <w:rFonts w:asciiTheme="majorHAnsi" w:hAnsiTheme="majorHAnsi" w:cs="Arial"/>
                <w:szCs w:val="20"/>
              </w:rPr>
              <w:t xml:space="preserve"> likvid eszközökre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alkalmazandó súlyt tűntetik fel a Bizottság (EU) 2015/61 felhatalmazáson alapuló rendeletének </w:t>
            </w:r>
            <w:r w:rsidR="0067403C" w:rsidRPr="002B614E">
              <w:rPr>
                <w:rFonts w:asciiTheme="majorHAnsi" w:hAnsiTheme="majorHAnsi" w:cs="Arial"/>
                <w:szCs w:val="20"/>
              </w:rPr>
              <w:t xml:space="preserve">II. </w:t>
            </w:r>
            <w:r w:rsidRPr="002B614E">
              <w:rPr>
                <w:rFonts w:asciiTheme="majorHAnsi" w:hAnsiTheme="majorHAnsi" w:cs="Arial"/>
                <w:szCs w:val="20"/>
              </w:rPr>
              <w:t>címében foglaltaknak megfelelően. Az a</w:t>
            </w:r>
            <w:r w:rsidRPr="002B614E">
              <w:rPr>
                <w:rFonts w:asciiTheme="majorHAnsi" w:hAnsiTheme="majorHAnsi" w:cs="Arial"/>
                <w:szCs w:val="20"/>
              </w:rPr>
              <w:t>l</w:t>
            </w:r>
            <w:r w:rsidRPr="002B614E">
              <w:rPr>
                <w:rFonts w:asciiTheme="majorHAnsi" w:hAnsiTheme="majorHAnsi" w:cs="Arial"/>
                <w:szCs w:val="20"/>
              </w:rPr>
              <w:t>kalmazandó súlyt</w:t>
            </w:r>
            <w:r w:rsidR="004D4EB2" w:rsidRPr="002B614E">
              <w:rPr>
                <w:rFonts w:asciiTheme="majorHAnsi" w:hAnsiTheme="majorHAnsi" w:cs="Arial"/>
                <w:szCs w:val="20"/>
              </w:rPr>
              <w:t>,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súlyozott átlagként kell kiszámolni és </w:t>
            </w:r>
            <w:r w:rsidR="00AC3230" w:rsidRPr="002B614E">
              <w:rPr>
                <w:rFonts w:asciiTheme="majorHAnsi" w:hAnsiTheme="majorHAnsi" w:cs="Arial"/>
                <w:szCs w:val="20"/>
              </w:rPr>
              <w:t>tizedes rendszerben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kell feltűntetni</w:t>
            </w:r>
            <w:r w:rsidR="00AC3230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(pl: 1,</w:t>
            </w:r>
            <w:proofErr w:type="gramStart"/>
            <w:r w:rsidRPr="002B614E">
              <w:rPr>
                <w:rFonts w:asciiTheme="majorHAnsi" w:hAnsiTheme="majorHAnsi" w:cs="Arial"/>
                <w:szCs w:val="20"/>
              </w:rPr>
              <w:t>00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ha az alkalmazandó súly 100% vagy 0,5</w:t>
            </w:r>
            <w:r w:rsidR="004D4EB2" w:rsidRPr="002B614E">
              <w:rPr>
                <w:rFonts w:asciiTheme="majorHAnsi" w:hAnsiTheme="majorHAnsi" w:cs="Arial"/>
                <w:szCs w:val="20"/>
              </w:rPr>
              <w:t>0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ha az alkalmazandó súly 50%). Az alkalmazandó s</w:t>
            </w:r>
            <w:r w:rsidRPr="002B614E">
              <w:rPr>
                <w:rFonts w:asciiTheme="majorHAnsi" w:hAnsiTheme="majorHAnsi" w:cs="Arial"/>
                <w:szCs w:val="20"/>
              </w:rPr>
              <w:t>ú</w:t>
            </w:r>
            <w:r w:rsidRPr="002B614E">
              <w:rPr>
                <w:rFonts w:asciiTheme="majorHAnsi" w:hAnsiTheme="majorHAnsi" w:cs="Arial"/>
                <w:szCs w:val="20"/>
              </w:rPr>
              <w:t>ly</w:t>
            </w:r>
            <w:r w:rsidR="008172B0" w:rsidRPr="002B614E">
              <w:rPr>
                <w:rFonts w:asciiTheme="majorHAnsi" w:hAnsiTheme="majorHAnsi" w:cs="Arial"/>
                <w:szCs w:val="20"/>
              </w:rPr>
              <w:t>ok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="008172B0" w:rsidRPr="002B614E">
              <w:rPr>
                <w:rFonts w:asciiTheme="majorHAnsi" w:hAnsiTheme="majorHAnsi" w:cs="Arial"/>
                <w:szCs w:val="20"/>
              </w:rPr>
              <w:t xml:space="preserve">többek között, de nem kizárólag </w:t>
            </w:r>
            <w:r w:rsidRPr="002B614E">
              <w:rPr>
                <w:rFonts w:asciiTheme="majorHAnsi" w:hAnsiTheme="majorHAnsi" w:cs="Arial"/>
                <w:szCs w:val="20"/>
              </w:rPr>
              <w:t>változhat</w:t>
            </w:r>
            <w:r w:rsidR="008172B0" w:rsidRPr="002B614E">
              <w:rPr>
                <w:rFonts w:asciiTheme="majorHAnsi" w:hAnsiTheme="majorHAnsi" w:cs="Arial"/>
                <w:szCs w:val="20"/>
              </w:rPr>
              <w:t>nak</w:t>
            </w:r>
            <w:r w:rsidR="00283B87">
              <w:rPr>
                <w:rFonts w:asciiTheme="majorHAnsi" w:hAnsiTheme="majorHAnsi" w:cs="Arial"/>
                <w:szCs w:val="20"/>
              </w:rPr>
              <w:t xml:space="preserve"> intézmény-specifikusan és</w:t>
            </w:r>
            <w:r w:rsidR="00405776" w:rsidRPr="002B614E">
              <w:rPr>
                <w:rFonts w:asciiTheme="majorHAnsi" w:hAnsiTheme="majorHAnsi" w:cs="Arial"/>
                <w:szCs w:val="20"/>
              </w:rPr>
              <w:t xml:space="preserve"> nemzeti diszkréciók hatására. A 030-as oszlopban lévő érték nem haladhatja meg a 020-as oszlopban lévőt.</w:t>
            </w:r>
          </w:p>
        </w:tc>
      </w:tr>
      <w:tr w:rsidR="00161729" w:rsidRPr="002B614E" w14:paraId="5F4FCD97" w14:textId="77777777" w:rsidTr="00C666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EA297F" w14:textId="77777777" w:rsidR="007F3EF7" w:rsidRPr="002B614E" w:rsidRDefault="007F3EF7" w:rsidP="00F13A62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jc w:val="left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46B37E" w14:textId="77777777" w:rsidR="007F3EF7" w:rsidRPr="002B614E" w:rsidRDefault="00484AB9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jc w:val="left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A 9. cikk szerinti érték</w:t>
            </w:r>
          </w:p>
          <w:p w14:paraId="3560D81E" w14:textId="77777777" w:rsidR="00405776" w:rsidRPr="002B614E" w:rsidRDefault="00405776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hitelintézetek a 040-as oszlopban likvid eszközök értékét tűntetik fel a Bizottság (EU) 2015/61 felhatalmazáson alapuló rendeletének (9) bekezdésében </w:t>
            </w:r>
            <w:r w:rsidR="004E2CD3" w:rsidRPr="002B614E">
              <w:rPr>
                <w:rFonts w:asciiTheme="majorHAnsi" w:hAnsiTheme="majorHAnsi" w:cs="Arial"/>
                <w:szCs w:val="20"/>
              </w:rPr>
              <w:t xml:space="preserve">definiáltaknak </w:t>
            </w:r>
            <w:r w:rsidRPr="002B614E">
              <w:rPr>
                <w:rFonts w:asciiTheme="majorHAnsi" w:hAnsiTheme="majorHAnsi" w:cs="Arial"/>
                <w:szCs w:val="20"/>
              </w:rPr>
              <w:t>megfelelően. Ez az ö</w:t>
            </w:r>
            <w:r w:rsidRPr="002B614E">
              <w:rPr>
                <w:rFonts w:asciiTheme="majorHAnsi" w:hAnsiTheme="majorHAnsi" w:cs="Arial"/>
                <w:szCs w:val="20"/>
              </w:rPr>
              <w:t>s</w:t>
            </w:r>
            <w:r w:rsidRPr="002B614E">
              <w:rPr>
                <w:rFonts w:asciiTheme="majorHAnsi" w:hAnsiTheme="majorHAnsi" w:cs="Arial"/>
                <w:szCs w:val="20"/>
              </w:rPr>
              <w:t>szeg/piaci érték módosítva a fedezeti ügyletek idő előtti lezárásából adódó pénzáramlásokkal, sz</w:t>
            </w:r>
            <w:r w:rsidRPr="002B614E">
              <w:rPr>
                <w:rFonts w:asciiTheme="majorHAnsi" w:hAnsiTheme="majorHAnsi" w:cs="Arial"/>
                <w:szCs w:val="20"/>
              </w:rPr>
              <w:t>o</w:t>
            </w:r>
            <w:r w:rsidRPr="002B614E">
              <w:rPr>
                <w:rFonts w:asciiTheme="majorHAnsi" w:hAnsiTheme="majorHAnsi" w:cs="Arial"/>
                <w:szCs w:val="20"/>
              </w:rPr>
              <w:t>rozva az alkalmazandó súllyal.</w:t>
            </w:r>
          </w:p>
        </w:tc>
      </w:tr>
    </w:tbl>
    <w:p w14:paraId="6B11CEC6" w14:textId="6A7001F4" w:rsidR="007F3EF7" w:rsidRPr="005D57EA" w:rsidRDefault="009463D3" w:rsidP="000961EF">
      <w:pPr>
        <w:spacing w:before="300" w:after="300"/>
        <w:rPr>
          <w:rFonts w:asciiTheme="majorHAnsi" w:hAnsiTheme="majorHAnsi" w:cs="Arial"/>
          <w:b/>
          <w:sz w:val="22"/>
        </w:rPr>
      </w:pPr>
      <w:r w:rsidRPr="005D57EA">
        <w:rPr>
          <w:rFonts w:asciiTheme="majorHAnsi" w:hAnsiTheme="majorHAnsi" w:cs="Arial"/>
          <w:b/>
          <w:sz w:val="22"/>
        </w:rPr>
        <w:t xml:space="preserve">Iránymutatások </w:t>
      </w:r>
      <w:r w:rsidR="00D34BF9" w:rsidRPr="005D57EA">
        <w:rPr>
          <w:rFonts w:asciiTheme="majorHAnsi" w:hAnsiTheme="majorHAnsi" w:cs="Arial"/>
          <w:b/>
          <w:sz w:val="22"/>
        </w:rPr>
        <w:t>az egyes sorokra vonatkozóan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1101"/>
        <w:gridCol w:w="8639"/>
      </w:tblGrid>
      <w:tr w:rsidR="008677A1" w:rsidRPr="002B614E" w14:paraId="31045416" w14:textId="77777777" w:rsidTr="00F54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66E81" w14:textId="77777777" w:rsidR="005B6233" w:rsidRPr="002B614E" w:rsidRDefault="00405776" w:rsidP="000E7705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jc w:val="left"/>
              <w:rPr>
                <w:rFonts w:asciiTheme="majorHAnsi" w:hAnsiTheme="majorHAnsi" w:cs="Arial"/>
                <w:b w:val="0"/>
                <w:color w:val="auto"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color w:val="auto"/>
                <w:szCs w:val="20"/>
                <w:u w:val="single"/>
              </w:rPr>
              <w:t>Sor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A05FC" w14:textId="6607E17A" w:rsidR="005B6233" w:rsidRPr="002B614E" w:rsidRDefault="00C807E9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320" w:afterLines="100" w:after="240"/>
              <w:ind w:left="175" w:right="168"/>
              <w:contextualSpacing w:val="0"/>
              <w:jc w:val="left"/>
              <w:rPr>
                <w:rFonts w:asciiTheme="majorHAnsi" w:hAnsiTheme="majorHAnsi" w:cs="Arial"/>
                <w:b w:val="0"/>
                <w:color w:val="auto"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color w:val="auto"/>
                <w:szCs w:val="20"/>
                <w:u w:val="single"/>
              </w:rPr>
              <w:t xml:space="preserve">Jogi hivatkozások és </w:t>
            </w:r>
            <w:r w:rsidR="00BD189F">
              <w:rPr>
                <w:rFonts w:asciiTheme="majorHAnsi" w:hAnsiTheme="majorHAnsi" w:cs="Arial"/>
                <w:color w:val="auto"/>
                <w:szCs w:val="20"/>
                <w:u w:val="single"/>
              </w:rPr>
              <w:t>iránymutatások</w:t>
            </w:r>
          </w:p>
        </w:tc>
      </w:tr>
      <w:tr w:rsidR="008677A1" w:rsidRPr="002B614E" w14:paraId="0AEDC9B4" w14:textId="77777777" w:rsidTr="00F549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1AAB09" w14:textId="77777777" w:rsidR="005B6233" w:rsidRPr="002B614E" w:rsidRDefault="00405776" w:rsidP="00860DC5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jc w:val="left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201FFC" w14:textId="77777777" w:rsidR="00860DC5" w:rsidRPr="002B614E" w:rsidRDefault="00F5106B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 Összes </w:t>
            </w:r>
            <w:r w:rsidR="00717AC6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nem kiigazított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likvid eszköz</w:t>
            </w:r>
          </w:p>
          <w:p w14:paraId="5B77C45D" w14:textId="4FF99CD3" w:rsidR="00F5106B" w:rsidRPr="002B614E" w:rsidRDefault="00F5106B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</w:t>
            </w:r>
            <w:r w:rsidR="00EB57AE" w:rsidRPr="002B614E">
              <w:rPr>
                <w:rFonts w:asciiTheme="majorHAnsi" w:hAnsiTheme="majorHAnsi" w:cs="Arial"/>
                <w:szCs w:val="20"/>
              </w:rPr>
              <w:t xml:space="preserve">II. </w:t>
            </w:r>
            <w:r w:rsidRPr="002B614E">
              <w:rPr>
                <w:rFonts w:asciiTheme="majorHAnsi" w:hAnsiTheme="majorHAnsi" w:cs="Arial"/>
                <w:szCs w:val="20"/>
              </w:rPr>
              <w:t>címe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1CB4F802" w14:textId="77777777" w:rsidR="00F5106B" w:rsidRPr="002B614E" w:rsidRDefault="00F5106B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A hitelintézetek a likvid eszközeiknek a teljes összegét/piaci értékét jelentik a 010-es oszlopban.</w:t>
            </w:r>
          </w:p>
          <w:p w14:paraId="659B1E7F" w14:textId="77777777" w:rsidR="00F5106B" w:rsidRPr="002B614E" w:rsidRDefault="00F5106B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 a likvid eszközeiknek a 9. cikk szerint értékét jelentik a 040-es oszlopban.</w:t>
            </w:r>
          </w:p>
        </w:tc>
      </w:tr>
      <w:tr w:rsidR="008677A1" w:rsidRPr="002B614E" w14:paraId="68DC9459" w14:textId="77777777" w:rsidTr="00F549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F5FB084" w14:textId="77777777" w:rsidR="007F3EF7" w:rsidRPr="002B614E" w:rsidRDefault="00F5106B" w:rsidP="00860DC5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jc w:val="left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020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03A5A5" w14:textId="77777777" w:rsidR="007F3EF7" w:rsidRPr="002B614E" w:rsidRDefault="00F5106B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1.1 Összes </w:t>
            </w:r>
            <w:r w:rsidR="00A72124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nem kiigazított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 szintű likvid eszköz</w:t>
            </w:r>
          </w:p>
          <w:p w14:paraId="27F6A826" w14:textId="77777777" w:rsidR="00F5106B" w:rsidRPr="002B614E" w:rsidRDefault="00F5106B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10</w:t>
            </w:r>
            <w:proofErr w:type="gramStart"/>
            <w:r w:rsidR="00EB57AE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15</w:t>
            </w:r>
            <w:r w:rsidR="00EB57AE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16</w:t>
            </w:r>
            <w:r w:rsidR="00EB57AE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és 19</w:t>
            </w:r>
            <w:r w:rsidR="00EB57AE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cikke.</w:t>
            </w:r>
          </w:p>
          <w:p w14:paraId="3C9D815D" w14:textId="77777777" w:rsidR="00F5106B" w:rsidRPr="002B614E" w:rsidRDefault="00F5106B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Az ebben a részben jelentett eszközök kifejezetten 1. szintű eszközként azonosítottak vagy </w:t>
            </w:r>
            <w:r w:rsidR="00B10D6E" w:rsidRPr="002B614E">
              <w:rPr>
                <w:rFonts w:asciiTheme="majorHAnsi" w:hAnsiTheme="majorHAnsi" w:cs="Arial"/>
                <w:szCs w:val="20"/>
              </w:rPr>
              <w:t xml:space="preserve">hasonló </w:t>
            </w:r>
            <w:r w:rsidR="00EB57AE" w:rsidRPr="002B614E">
              <w:rPr>
                <w:rFonts w:asciiTheme="majorHAnsi" w:hAnsiTheme="majorHAnsi" w:cs="Arial"/>
                <w:szCs w:val="20"/>
              </w:rPr>
              <w:t xml:space="preserve">elbánás alá esnek </w:t>
            </w:r>
            <w:r w:rsidR="00F13A62"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útmutatása ala</w:t>
            </w:r>
            <w:r w:rsidR="00F13A62" w:rsidRPr="002B614E">
              <w:rPr>
                <w:rFonts w:asciiTheme="majorHAnsi" w:hAnsiTheme="majorHAnsi" w:cs="Arial"/>
                <w:szCs w:val="20"/>
              </w:rPr>
              <w:t>p</w:t>
            </w:r>
            <w:r w:rsidR="00F13A62" w:rsidRPr="002B614E">
              <w:rPr>
                <w:rFonts w:asciiTheme="majorHAnsi" w:hAnsiTheme="majorHAnsi" w:cs="Arial"/>
                <w:szCs w:val="20"/>
              </w:rPr>
              <w:t>ján.</w:t>
            </w:r>
          </w:p>
          <w:p w14:paraId="0178922C" w14:textId="77777777" w:rsidR="00F13A62" w:rsidRPr="002B614E" w:rsidRDefault="00F13A6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 az 1. szintű likvid eszközeiknek a teljes összegét/piaci értékét jelentik a 010-es os</w:t>
            </w:r>
            <w:r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>lopban.</w:t>
            </w:r>
          </w:p>
          <w:p w14:paraId="098C5D1B" w14:textId="77777777" w:rsidR="00F13A62" w:rsidRPr="002B614E" w:rsidRDefault="00F13A6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 az 1. szintű likvid eszközeiknek a 9. cikk szerint értékét jelentik a 040-es oszlopban.</w:t>
            </w:r>
          </w:p>
        </w:tc>
      </w:tr>
      <w:tr w:rsidR="008677A1" w:rsidRPr="002B614E" w14:paraId="00E24C62" w14:textId="77777777" w:rsidTr="00F549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3400DE" w14:textId="77777777" w:rsidR="007F3EF7" w:rsidRPr="002B614E" w:rsidRDefault="00F13A62" w:rsidP="00860DC5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jc w:val="left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31247C5" w14:textId="1C23E011" w:rsidR="007F3EF7" w:rsidRPr="002B614E" w:rsidRDefault="00F13A62" w:rsidP="00C666B0">
            <w:pPr>
              <w:tabs>
                <w:tab w:val="left" w:pos="8259"/>
              </w:tabs>
              <w:spacing w:before="120" w:after="0"/>
              <w:ind w:left="175" w:right="168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 Összes</w:t>
            </w:r>
            <w:r w:rsidR="00EB57AE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9634E5" w:rsidRPr="002B614E">
              <w:rPr>
                <w:rFonts w:asciiTheme="majorHAnsi" w:hAnsiTheme="majorHAnsi" w:cs="Arial"/>
                <w:b/>
                <w:szCs w:val="20"/>
                <w:u w:val="single"/>
              </w:rPr>
              <w:t>nem kiigazított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1. szintű eszköz a rendkívül magas minőségű fedezett kötvények k</w:t>
            </w:r>
            <w:r w:rsidR="00C25B8D" w:rsidRPr="002B614E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C25B8D" w:rsidRPr="002B614E">
              <w:rPr>
                <w:rFonts w:asciiTheme="majorHAnsi" w:hAnsiTheme="majorHAnsi" w:cs="Arial"/>
                <w:b/>
                <w:szCs w:val="20"/>
                <w:u w:val="single"/>
              </w:rPr>
              <w:t>vételével</w:t>
            </w:r>
          </w:p>
          <w:p w14:paraId="1F584BD3" w14:textId="77777777" w:rsidR="00F13A62" w:rsidRPr="002B614E" w:rsidRDefault="00F13A6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proofErr w:type="gramStart"/>
            <w:r w:rsidR="00EB57AE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15</w:t>
            </w:r>
            <w:r w:rsidR="00EB57AE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16</w:t>
            </w:r>
            <w:r w:rsidR="00EB57AE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és 19</w:t>
            </w:r>
            <w:r w:rsidR="00EB57AE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cikke.</w:t>
            </w:r>
          </w:p>
          <w:p w14:paraId="1961AFDA" w14:textId="77777777" w:rsidR="00F13A62" w:rsidRPr="002B614E" w:rsidRDefault="00F13A6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Az ebben a részben jelentett eszközök kifejezetten 1. szintű eszközként azonosítottak, vagy </w:t>
            </w:r>
            <w:r w:rsidR="000559C4" w:rsidRPr="002B614E">
              <w:rPr>
                <w:rFonts w:asciiTheme="majorHAnsi" w:hAnsiTheme="majorHAnsi" w:cs="Arial"/>
                <w:szCs w:val="20"/>
              </w:rPr>
              <w:t xml:space="preserve">hasonló </w:t>
            </w:r>
            <w:r w:rsidR="008B2F06" w:rsidRPr="002B614E">
              <w:rPr>
                <w:rFonts w:asciiTheme="majorHAnsi" w:hAnsiTheme="majorHAnsi" w:cs="Arial"/>
                <w:szCs w:val="20"/>
              </w:rPr>
              <w:t xml:space="preserve">elbánás alá esnek </w:t>
            </w: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útmutatása ala</w:t>
            </w:r>
            <w:r w:rsidRPr="002B614E">
              <w:rPr>
                <w:rFonts w:asciiTheme="majorHAnsi" w:hAnsiTheme="majorHAnsi" w:cs="Arial"/>
                <w:szCs w:val="20"/>
              </w:rPr>
              <w:t>p</w:t>
            </w:r>
            <w:r w:rsidRPr="002B614E">
              <w:rPr>
                <w:rFonts w:asciiTheme="majorHAnsi" w:hAnsiTheme="majorHAnsi" w:cs="Arial"/>
                <w:szCs w:val="20"/>
              </w:rPr>
              <w:t>ján. Ebben a részben nem kell jelenteni azokat az eszközöket és mögöttes eszközöket</w:t>
            </w:r>
            <w:r w:rsidR="005F2AE9" w:rsidRPr="002B614E">
              <w:rPr>
                <w:rFonts w:asciiTheme="majorHAnsi" w:hAnsiTheme="majorHAnsi" w:cs="Arial"/>
                <w:szCs w:val="20"/>
              </w:rPr>
              <w:t>,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amelyek rendkívül magas minőségű fedezett kötvénynek minősülnek ugyanezen szabályozás 10</w:t>
            </w:r>
            <w:r w:rsidR="008B2F06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8B2F06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(f) </w:t>
            </w:r>
            <w:r w:rsidR="008B2F06" w:rsidRPr="002B614E">
              <w:rPr>
                <w:rFonts w:asciiTheme="majorHAnsi" w:hAnsiTheme="majorHAnsi" w:cs="Arial"/>
                <w:szCs w:val="20"/>
              </w:rPr>
              <w:t xml:space="preserve">pontja </w:t>
            </w:r>
            <w:r w:rsidRPr="002B614E">
              <w:rPr>
                <w:rFonts w:asciiTheme="majorHAnsi" w:hAnsiTheme="majorHAnsi" w:cs="Arial"/>
                <w:szCs w:val="20"/>
              </w:rPr>
              <w:t>alapján.</w:t>
            </w:r>
          </w:p>
          <w:p w14:paraId="53A3FBA3" w14:textId="77777777" w:rsidR="0071149A" w:rsidRPr="002B614E" w:rsidRDefault="0071149A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 az 1. szintű likvid eszközeiknek, kivéve a rendkívül magas minőségű fedezett kö</w:t>
            </w:r>
            <w:r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>vények a teljes összegét/piaci értékét jelentik a 010-es oszlopban, a Bizottság (EU) 2015/61 felh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talmazáson alapuló rendeletének 17. cikkében leírt feltételek alkalmazása előtt.</w:t>
            </w:r>
          </w:p>
          <w:p w14:paraId="54F973F4" w14:textId="77777777" w:rsidR="00F13A62" w:rsidRPr="002B614E" w:rsidRDefault="0071149A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</w:pPr>
            <w:r w:rsidRPr="002B614E">
              <w:rPr>
                <w:rFonts w:asciiTheme="majorHAnsi" w:hAnsiTheme="majorHAnsi" w:cs="Arial"/>
                <w:szCs w:val="20"/>
              </w:rPr>
              <w:t>A hitelintézetek az 1. szintű likvid eszközeiknek, kivéve a rendkívül magas minőségű fedezett kö</w:t>
            </w:r>
            <w:r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>vények a 9. cikk szerinti értékét jelentik a 040-es oszlopban, a Bizottság (EU) 2015/61 felhatalmaz</w:t>
            </w:r>
            <w:r w:rsidRPr="002B614E">
              <w:rPr>
                <w:rFonts w:asciiTheme="majorHAnsi" w:hAnsiTheme="majorHAnsi" w:cs="Arial"/>
                <w:szCs w:val="20"/>
              </w:rPr>
              <w:t>á</w:t>
            </w:r>
            <w:r w:rsidRPr="002B614E">
              <w:rPr>
                <w:rFonts w:asciiTheme="majorHAnsi" w:hAnsiTheme="majorHAnsi" w:cs="Arial"/>
                <w:szCs w:val="20"/>
              </w:rPr>
              <w:t>son alapuló rendeletének 17. cikkében leírt feltételek alkalmazása előtt.</w:t>
            </w:r>
          </w:p>
        </w:tc>
      </w:tr>
      <w:tr w:rsidR="008677A1" w:rsidRPr="002B614E" w14:paraId="4E52F992" w14:textId="77777777" w:rsidTr="00F549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98FEEE" w14:textId="77777777" w:rsidR="007F3EF7" w:rsidRPr="002B614E" w:rsidRDefault="0071149A" w:rsidP="00860DC5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jc w:val="left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040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78B432" w14:textId="77777777" w:rsidR="007F3EF7" w:rsidRPr="002B614E" w:rsidRDefault="0071149A" w:rsidP="00C666B0">
            <w:pPr>
              <w:tabs>
                <w:tab w:val="left" w:pos="8259"/>
              </w:tabs>
              <w:spacing w:before="120" w:after="0"/>
              <w:ind w:left="175" w:right="168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1.1.1.1 Érme és bankjegy</w:t>
            </w:r>
          </w:p>
          <w:p w14:paraId="3DA5CF4C" w14:textId="77777777" w:rsidR="0071149A" w:rsidRPr="002B614E" w:rsidRDefault="0071149A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>A Bizottság (EU) 2015/61 felhatalmazáson alapuló rendeletének 10</w:t>
            </w:r>
            <w:r w:rsidR="008B2F06" w:rsidRPr="000961EF">
              <w:rPr>
                <w:rFonts w:asciiTheme="majorHAnsi" w:hAnsiTheme="majorHAnsi" w:cs="Arial"/>
                <w:szCs w:val="20"/>
              </w:rPr>
              <w:t>. cikkének</w:t>
            </w:r>
            <w:r w:rsidRPr="000961EF">
              <w:rPr>
                <w:rFonts w:asciiTheme="majorHAnsi" w:hAnsiTheme="majorHAnsi" w:cs="Arial"/>
                <w:szCs w:val="20"/>
              </w:rPr>
              <w:t xml:space="preserve"> (1)</w:t>
            </w:r>
            <w:r w:rsidR="008B2F06" w:rsidRPr="000961EF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0961EF">
              <w:rPr>
                <w:rFonts w:asciiTheme="majorHAnsi" w:hAnsiTheme="majorHAnsi" w:cs="Arial"/>
                <w:szCs w:val="20"/>
              </w:rPr>
              <w:t xml:space="preserve"> (a) </w:t>
            </w:r>
            <w:r w:rsidR="008B2F06" w:rsidRPr="000961EF">
              <w:rPr>
                <w:rFonts w:asciiTheme="majorHAnsi" w:hAnsiTheme="majorHAnsi" w:cs="Arial"/>
                <w:szCs w:val="20"/>
              </w:rPr>
              <w:t>pontja</w:t>
            </w:r>
            <w:r w:rsidRPr="002B614E">
              <w:rPr>
                <w:rFonts w:asciiTheme="majorHAnsi" w:hAnsiTheme="majorHAnsi" w:cs="Arial"/>
                <w:szCs w:val="20"/>
              </w:rPr>
              <w:t>.</w:t>
            </w:r>
          </w:p>
          <w:p w14:paraId="1D0E72B3" w14:textId="5761FE7A" w:rsidR="0071149A" w:rsidRPr="002B614E" w:rsidRDefault="0071149A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</w:pPr>
            <w:r w:rsidRPr="000961EF">
              <w:rPr>
                <w:rFonts w:asciiTheme="majorHAnsi" w:hAnsiTheme="majorHAnsi" w:cs="Arial"/>
                <w:szCs w:val="20"/>
              </w:rPr>
              <w:t>A készpénz teljes összege, beleértve az érméket és bankjegye</w:t>
            </w:r>
            <w:r w:rsidR="00E539CC" w:rsidRPr="000961EF">
              <w:rPr>
                <w:rFonts w:asciiTheme="majorHAnsi" w:hAnsiTheme="majorHAnsi" w:cs="Arial"/>
                <w:szCs w:val="20"/>
              </w:rPr>
              <w:t>ke</w:t>
            </w:r>
            <w:r w:rsidRPr="000961EF">
              <w:rPr>
                <w:rFonts w:asciiTheme="majorHAnsi" w:hAnsiTheme="majorHAnsi" w:cs="Arial"/>
                <w:szCs w:val="20"/>
              </w:rPr>
              <w:t>t.</w:t>
            </w:r>
          </w:p>
        </w:tc>
      </w:tr>
      <w:tr w:rsidR="008677A1" w:rsidRPr="002B614E" w14:paraId="2129279C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6E3" w14:textId="77777777" w:rsidR="007F3EF7" w:rsidRPr="002B614E" w:rsidRDefault="0071149A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050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BEE" w14:textId="656C8382" w:rsidR="007F3EF7" w:rsidRPr="002B614E" w:rsidRDefault="0071149A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1.1.1.2 Lehívható központi banki </w:t>
            </w:r>
            <w:r w:rsidR="00090E4A">
              <w:rPr>
                <w:rFonts w:asciiTheme="majorHAnsi" w:hAnsiTheme="majorHAnsi" w:cs="Arial"/>
                <w:b/>
                <w:szCs w:val="20"/>
                <w:u w:val="single"/>
              </w:rPr>
              <w:t>tartalékok</w:t>
            </w:r>
          </w:p>
          <w:p w14:paraId="7F159EA7" w14:textId="77777777" w:rsidR="0071149A" w:rsidRPr="002B614E" w:rsidRDefault="0071149A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8B2F06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8B2F06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(b)</w:t>
            </w:r>
            <w:r w:rsidR="008B2F06" w:rsidRPr="002B614E">
              <w:rPr>
                <w:rFonts w:asciiTheme="majorHAnsi" w:hAnsiTheme="majorHAnsi" w:cs="Arial"/>
                <w:szCs w:val="20"/>
              </w:rPr>
              <w:t xml:space="preserve"> pontjának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(iii) </w:t>
            </w:r>
            <w:r w:rsidR="008B2F06" w:rsidRPr="002B614E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pontja.</w:t>
            </w:r>
          </w:p>
          <w:p w14:paraId="7B745AA9" w14:textId="0EFDEF5E" w:rsidR="0071149A" w:rsidRPr="002B614E" w:rsidRDefault="00CA2C7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Az E</w:t>
            </w:r>
            <w:r w:rsidR="00BF7F23" w:rsidRPr="002B614E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>B-n</w:t>
            </w:r>
            <w:r w:rsidR="00BF7F23" w:rsidRPr="002B614E">
              <w:rPr>
                <w:rFonts w:asciiTheme="majorHAnsi" w:hAnsiTheme="majorHAnsi" w:cs="Arial"/>
                <w:szCs w:val="20"/>
              </w:rPr>
              <w:t>á</w:t>
            </w:r>
            <w:r w:rsidRPr="002B614E">
              <w:rPr>
                <w:rFonts w:asciiTheme="majorHAnsi" w:hAnsiTheme="majorHAnsi" w:cs="Arial"/>
                <w:szCs w:val="20"/>
              </w:rPr>
              <w:t>l, más tagállam központi bankjánál, vagy elismert hitelminősítő intézet által a</w:t>
            </w:r>
            <w:r w:rsidR="008B2F06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575/2013/EU rendelet</w:t>
            </w:r>
            <w:r w:rsidR="00335F46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114</w:t>
            </w:r>
            <w:r w:rsidR="008B2F06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 bekezdés</w:t>
            </w:r>
            <w:r w:rsidR="00E539CC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nek megfelelően</w:t>
            </w:r>
            <w:r w:rsidR="003A70B6" w:rsidRPr="002B614E">
              <w:rPr>
                <w:rFonts w:asciiTheme="majorHAnsi" w:hAnsiTheme="majorHAnsi" w:cs="Arial"/>
                <w:szCs w:val="20"/>
              </w:rPr>
              <w:t xml:space="preserve"> legalább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1. hitelminőségű osztál</w:t>
            </w:r>
            <w:r w:rsidRPr="002B614E">
              <w:rPr>
                <w:rFonts w:asciiTheme="majorHAnsi" w:hAnsiTheme="majorHAnsi" w:cs="Arial"/>
                <w:szCs w:val="20"/>
              </w:rPr>
              <w:t>y</w:t>
            </w:r>
            <w:r w:rsidRPr="002B614E">
              <w:rPr>
                <w:rFonts w:asciiTheme="majorHAnsi" w:hAnsiTheme="majorHAnsi" w:cs="Arial"/>
                <w:szCs w:val="20"/>
              </w:rPr>
              <w:t>ba sorolt harmadik ország központi bankjánál elhelyezett betét, amely stressz esetén bármikor hozzáférhető.</w:t>
            </w:r>
          </w:p>
          <w:p w14:paraId="39C6F81C" w14:textId="176FD951" w:rsidR="00CA2C7D" w:rsidRPr="002B614E" w:rsidRDefault="00CA2C7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visszavonhatónak minősíthető összeget az illetékes hatóság és a központi bank által kötött egyezmény határozza meg, a Bizottság (EU) 2015/61 felhatalmazáson alapuló rendeletének 10</w:t>
            </w:r>
            <w:r w:rsidR="008B2F06" w:rsidRPr="002B614E">
              <w:rPr>
                <w:rFonts w:asciiTheme="majorHAnsi" w:hAnsiTheme="majorHAnsi" w:cs="Arial"/>
                <w:szCs w:val="20"/>
              </w:rPr>
              <w:t>. ci</w:t>
            </w:r>
            <w:r w:rsidR="008B2F06" w:rsidRPr="002B614E">
              <w:rPr>
                <w:rFonts w:asciiTheme="majorHAnsi" w:hAnsiTheme="majorHAnsi" w:cs="Arial"/>
                <w:szCs w:val="20"/>
              </w:rPr>
              <w:t>k</w:t>
            </w:r>
            <w:r w:rsidR="008B2F06" w:rsidRPr="002B614E">
              <w:rPr>
                <w:rFonts w:asciiTheme="majorHAnsi" w:hAnsiTheme="majorHAnsi" w:cs="Arial"/>
                <w:szCs w:val="20"/>
              </w:rPr>
              <w:t>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53538F">
              <w:rPr>
                <w:rFonts w:asciiTheme="majorHAnsi" w:hAnsiTheme="majorHAnsi" w:cs="Arial"/>
                <w:szCs w:val="20"/>
              </w:rPr>
              <w:t xml:space="preserve"> bekezdés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(b)</w:t>
            </w:r>
            <w:r w:rsidR="0053538F">
              <w:rPr>
                <w:rFonts w:asciiTheme="majorHAnsi" w:hAnsiTheme="majorHAnsi" w:cs="Arial"/>
                <w:szCs w:val="20"/>
              </w:rPr>
              <w:t xml:space="preserve"> pontjának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(iii) </w:t>
            </w:r>
            <w:r w:rsidR="0053538F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 alapján.</w:t>
            </w:r>
          </w:p>
        </w:tc>
      </w:tr>
      <w:tr w:rsidR="008677A1" w:rsidRPr="002B614E" w14:paraId="171B0B4B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28E" w14:textId="77777777" w:rsidR="00CA2C7D" w:rsidRPr="002B614E" w:rsidRDefault="00CA2C7D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060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4FB" w14:textId="77777777" w:rsidR="00CA2C7D" w:rsidRPr="002B614E" w:rsidRDefault="00CA2C7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1.1.1.3 Központi bankkal szembeni követeléseket megtestesítő eszközök</w:t>
            </w:r>
          </w:p>
          <w:p w14:paraId="10E55165" w14:textId="2902C412" w:rsidR="00CA2C7D" w:rsidRPr="002B614E" w:rsidRDefault="00335F4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8B2F06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8B2F06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(b)</w:t>
            </w:r>
            <w:r w:rsidR="008B2F06" w:rsidRPr="002B614E">
              <w:rPr>
                <w:rFonts w:asciiTheme="majorHAnsi" w:hAnsiTheme="majorHAnsi" w:cs="Arial"/>
                <w:szCs w:val="20"/>
              </w:rPr>
              <w:t xml:space="preserve"> pontjának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(i) és (ii) </w:t>
            </w:r>
            <w:r w:rsidR="008B2F06" w:rsidRPr="002B614E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48704BDC" w14:textId="77777777" w:rsidR="00335F46" w:rsidRPr="002B614E" w:rsidRDefault="00335F4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Az E</w:t>
            </w:r>
            <w:r w:rsidR="002F2154" w:rsidRPr="002B614E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>B-v</w:t>
            </w:r>
            <w:r w:rsidR="002F2154"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l, vagy más tagállam központi bankjával, vagy elismert hitelminősítő intézet által a</w:t>
            </w:r>
            <w:r w:rsidR="008B2F06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575/2013/EU rendelet 114</w:t>
            </w:r>
            <w:r w:rsidR="008B2F06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 bekezdés</w:t>
            </w:r>
            <w:r w:rsidR="008B2F06"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nek megfelelően 1. hitelminőségű osztályba sorolt harmadik ország központi bankjával szembeni eszköz</w:t>
            </w:r>
            <w:r w:rsidR="00CC2567" w:rsidRPr="002B614E">
              <w:rPr>
                <w:rFonts w:asciiTheme="majorHAnsi" w:hAnsiTheme="majorHAnsi" w:cs="Arial"/>
                <w:szCs w:val="20"/>
              </w:rPr>
              <w:t>, vagy általuk garantált követelés</w:t>
            </w:r>
            <w:r w:rsidRPr="002B614E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8677A1" w:rsidRPr="002B614E" w14:paraId="4E5C6B04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3F5" w14:textId="77777777" w:rsidR="00CA2C7D" w:rsidRPr="002B614E" w:rsidRDefault="00335F46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070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AF6" w14:textId="77777777" w:rsidR="00CA2C7D" w:rsidRPr="002B614E" w:rsidRDefault="00335F4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1.1.1.4 Központi kormányzattal szembeni követeléseket megtestesítő eszközök</w:t>
            </w:r>
          </w:p>
          <w:p w14:paraId="72C3089B" w14:textId="6A28BF1A" w:rsidR="00CC2567" w:rsidRPr="002B614E" w:rsidRDefault="00CC2567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907987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907987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(c)</w:t>
            </w:r>
            <w:r w:rsidR="00907987" w:rsidRPr="002B614E">
              <w:rPr>
                <w:rFonts w:asciiTheme="majorHAnsi" w:hAnsiTheme="majorHAnsi" w:cs="Arial"/>
                <w:szCs w:val="20"/>
              </w:rPr>
              <w:t xml:space="preserve"> pontjának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(i) és (ii) </w:t>
            </w:r>
            <w:r w:rsidR="00907987" w:rsidRPr="002B614E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3F2E08F6" w14:textId="3ED49428" w:rsidR="00335F46" w:rsidRPr="002B614E" w:rsidRDefault="00CC2567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Tagállam központi kormányzatával, vagy elismert hitelminősítő intézet által a</w:t>
            </w:r>
            <w:r w:rsidR="00907987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575/2013/EU rend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let 114</w:t>
            </w:r>
            <w:r w:rsidR="00907987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 bekezdés</w:t>
            </w:r>
            <w:r w:rsidR="00DD1B6D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nek megfelelően</w:t>
            </w:r>
            <w:r w:rsidR="00615B7C" w:rsidRPr="002B614E">
              <w:rPr>
                <w:rFonts w:asciiTheme="majorHAnsi" w:hAnsiTheme="majorHAnsi" w:cs="Arial"/>
                <w:szCs w:val="20"/>
              </w:rPr>
              <w:t xml:space="preserve"> legalább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1. hitelminőségű osztályba sorolt harmadik ország központi kormányzatával szembeni eszköz, vagy általuk garantált követelés.</w:t>
            </w:r>
          </w:p>
          <w:p w14:paraId="641A995C" w14:textId="70B0E8DA" w:rsidR="00CC2567" w:rsidRPr="002B614E" w:rsidRDefault="001524D8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Itt kell jelenteni a hitelintézet</w:t>
            </w:r>
            <w:r w:rsidR="00DD1B6D">
              <w:rPr>
                <w:rFonts w:asciiTheme="majorHAnsi" w:hAnsiTheme="majorHAnsi" w:cs="Arial"/>
                <w:szCs w:val="20"/>
              </w:rPr>
              <w:t>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által kibocsátott eszközöket, melyekre tagállam központi kormán</w:t>
            </w:r>
            <w:r w:rsidRPr="002B614E">
              <w:rPr>
                <w:rFonts w:asciiTheme="majorHAnsi" w:hAnsiTheme="majorHAnsi" w:cs="Arial"/>
                <w:szCs w:val="20"/>
              </w:rPr>
              <w:t>y</w:t>
            </w:r>
            <w:r w:rsidRPr="002B614E">
              <w:rPr>
                <w:rFonts w:asciiTheme="majorHAnsi" w:hAnsiTheme="majorHAnsi" w:cs="Arial"/>
                <w:szCs w:val="20"/>
              </w:rPr>
              <w:t>zatának garanciája vonatkozik, és a Bizottság (EU) 2015/61 felhatalmazáson alapuló rendeletének 35</w:t>
            </w:r>
            <w:r w:rsidR="00462084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</w:t>
            </w:r>
            <w:r w:rsidR="00907987" w:rsidRPr="002B614E">
              <w:rPr>
                <w:rFonts w:asciiTheme="majorHAnsi" w:hAnsiTheme="majorHAnsi" w:cs="Arial"/>
                <w:szCs w:val="20"/>
              </w:rPr>
              <w:t>e szerinti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átmeneti rendelkezés vonatkozik rá.</w:t>
            </w:r>
          </w:p>
          <w:p w14:paraId="6B7A5003" w14:textId="77777777" w:rsidR="001524D8" w:rsidRPr="002B614E" w:rsidRDefault="001524D8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Itt kell jelenteni a Bizottság (EU) 2015/61 felhatalmazáson alapuló rendeletének 36</w:t>
            </w:r>
            <w:r w:rsidR="00DD1B6D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cikkében eml</w:t>
            </w:r>
            <w:r w:rsidRPr="002B614E">
              <w:rPr>
                <w:rFonts w:asciiTheme="majorHAnsi" w:hAnsiTheme="majorHAnsi" w:cs="Arial"/>
                <w:szCs w:val="20"/>
              </w:rPr>
              <w:t>í</w:t>
            </w:r>
            <w:r w:rsidRPr="002B614E">
              <w:rPr>
                <w:rFonts w:asciiTheme="majorHAnsi" w:hAnsiTheme="majorHAnsi" w:cs="Arial"/>
                <w:szCs w:val="20"/>
              </w:rPr>
              <w:t>tett tagállami támogatásban részesülő, értékvesztett eszközöket kezelő intézmények által kibocs</w:t>
            </w:r>
            <w:r w:rsidRPr="002B614E">
              <w:rPr>
                <w:rFonts w:asciiTheme="majorHAnsi" w:hAnsiTheme="majorHAnsi" w:cs="Arial"/>
                <w:szCs w:val="20"/>
              </w:rPr>
              <w:t>á</w:t>
            </w:r>
            <w:r w:rsidRPr="002B614E">
              <w:rPr>
                <w:rFonts w:asciiTheme="majorHAnsi" w:hAnsiTheme="majorHAnsi" w:cs="Arial"/>
                <w:szCs w:val="20"/>
              </w:rPr>
              <w:t>tott eszközöket.</w:t>
            </w:r>
          </w:p>
        </w:tc>
      </w:tr>
      <w:tr w:rsidR="008677A1" w:rsidRPr="002B614E" w14:paraId="77C8FCA0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FE5" w14:textId="77777777" w:rsidR="00CA2C7D" w:rsidRPr="002B614E" w:rsidRDefault="001524D8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080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D0F" w14:textId="77777777" w:rsidR="00CA2C7D" w:rsidRPr="002B614E" w:rsidRDefault="001524D8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1.1.1.5 Regionális kormányzattal és helyi hatóságokkal szembeni követelést megtestesítő eszk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ö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zök</w:t>
            </w:r>
          </w:p>
          <w:p w14:paraId="21104C43" w14:textId="14F2179F" w:rsidR="00DF5792" w:rsidRPr="002B614E" w:rsidRDefault="00DF579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907987" w:rsidRPr="002B614E">
              <w:rPr>
                <w:rFonts w:asciiTheme="majorHAnsi" w:hAnsiTheme="majorHAnsi" w:cs="Arial"/>
                <w:szCs w:val="20"/>
              </w:rPr>
              <w:t>. cikkének</w:t>
            </w:r>
            <w:r w:rsidR="00C4529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(1)</w:t>
            </w:r>
            <w:r w:rsidR="00907987" w:rsidRPr="002B614E">
              <w:rPr>
                <w:rFonts w:asciiTheme="majorHAnsi" w:hAnsiTheme="majorHAnsi" w:cs="Arial"/>
                <w:szCs w:val="20"/>
              </w:rPr>
              <w:t xml:space="preserve"> bekezdése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(c) </w:t>
            </w:r>
            <w:r w:rsidR="00907987" w:rsidRPr="002B614E">
              <w:rPr>
                <w:rFonts w:asciiTheme="majorHAnsi" w:hAnsiTheme="majorHAnsi" w:cs="Arial"/>
                <w:szCs w:val="20"/>
              </w:rPr>
              <w:t xml:space="preserve">pontjának és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(iii) és (iv) </w:t>
            </w:r>
            <w:r w:rsidR="00907987" w:rsidRPr="002B614E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094A6895" w14:textId="77777777" w:rsidR="00DF5792" w:rsidRPr="002B614E" w:rsidRDefault="00DF579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Tagállami regionális kormányzattal, vagy helyi hatósággal szembeni követelés, vagy általuk gara</w:t>
            </w:r>
            <w:r w:rsidRPr="002B614E">
              <w:rPr>
                <w:rFonts w:asciiTheme="majorHAnsi" w:hAnsiTheme="majorHAnsi" w:cs="Arial"/>
                <w:szCs w:val="20"/>
              </w:rPr>
              <w:t>n</w:t>
            </w:r>
            <w:r w:rsidRPr="002B614E">
              <w:rPr>
                <w:rFonts w:asciiTheme="majorHAnsi" w:hAnsiTheme="majorHAnsi" w:cs="Arial"/>
                <w:szCs w:val="20"/>
              </w:rPr>
              <w:t>tált eszköz, feltéve, hogy a</w:t>
            </w:r>
            <w:r w:rsidR="00CD53BE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575/2013/EU rendelet 115</w:t>
            </w:r>
            <w:r w:rsidR="00907987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 bekezdésének megfelelően a k</w:t>
            </w:r>
            <w:r w:rsidRPr="002B614E">
              <w:rPr>
                <w:rFonts w:asciiTheme="majorHAnsi" w:hAnsiTheme="majorHAnsi" w:cs="Arial"/>
                <w:szCs w:val="20"/>
              </w:rPr>
              <w:t>i</w:t>
            </w:r>
            <w:r w:rsidRPr="002B614E">
              <w:rPr>
                <w:rFonts w:asciiTheme="majorHAnsi" w:hAnsiTheme="majorHAnsi" w:cs="Arial"/>
                <w:szCs w:val="20"/>
              </w:rPr>
              <w:t>tettségeket központi kormányzati vagy központi banki kitettségként kezelik.</w:t>
            </w:r>
          </w:p>
          <w:p w14:paraId="069ABF20" w14:textId="77777777" w:rsidR="00DF5792" w:rsidRPr="002B614E" w:rsidRDefault="00DF579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Elismert hitelminősítő által a</w:t>
            </w:r>
            <w:r w:rsidR="00907987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575/2013/EU rendelet 114</w:t>
            </w:r>
            <w:r w:rsidR="00907987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 bekezdésnek megfelelően </w:t>
            </w:r>
            <w:r w:rsidR="00CD53BE" w:rsidRPr="002B614E">
              <w:rPr>
                <w:rFonts w:asciiTheme="majorHAnsi" w:hAnsiTheme="majorHAnsi" w:cs="Arial"/>
                <w:szCs w:val="20"/>
              </w:rPr>
              <w:t>leg</w:t>
            </w:r>
            <w:r w:rsidR="00CD53BE" w:rsidRPr="002B614E">
              <w:rPr>
                <w:rFonts w:asciiTheme="majorHAnsi" w:hAnsiTheme="majorHAnsi" w:cs="Arial"/>
                <w:szCs w:val="20"/>
              </w:rPr>
              <w:t>a</w:t>
            </w:r>
            <w:r w:rsidR="00CD53BE" w:rsidRPr="002B614E">
              <w:rPr>
                <w:rFonts w:asciiTheme="majorHAnsi" w:hAnsiTheme="majorHAnsi" w:cs="Arial"/>
                <w:szCs w:val="20"/>
              </w:rPr>
              <w:t xml:space="preserve">lább </w:t>
            </w:r>
            <w:r w:rsidRPr="002B614E">
              <w:rPr>
                <w:rFonts w:asciiTheme="majorHAnsi" w:hAnsiTheme="majorHAnsi" w:cs="Arial"/>
                <w:szCs w:val="20"/>
              </w:rPr>
              <w:t>1. hitelminőségű osztályba sorolt harmadik ország regionális kormányzatával, vagy helyi hat</w:t>
            </w:r>
            <w:r w:rsidRPr="002B614E">
              <w:rPr>
                <w:rFonts w:asciiTheme="majorHAnsi" w:hAnsiTheme="majorHAnsi" w:cs="Arial"/>
                <w:szCs w:val="20"/>
              </w:rPr>
              <w:t>ó</w:t>
            </w:r>
            <w:r w:rsidRPr="002B614E">
              <w:rPr>
                <w:rFonts w:asciiTheme="majorHAnsi" w:hAnsiTheme="majorHAnsi" w:cs="Arial"/>
                <w:szCs w:val="20"/>
              </w:rPr>
              <w:t>ságával szembeni követelés, vagy általuk garantált eszköz, feltéve, hogy a</w:t>
            </w:r>
            <w:r w:rsidR="00342CE5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575/2013/EU rendelet 115</w:t>
            </w:r>
            <w:r w:rsidR="00907987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 bekezdésének megfelelően a kitettségeket központi kormányzati vagy központi banki kitettségként kezelik.</w:t>
            </w:r>
          </w:p>
          <w:p w14:paraId="79A2DB6E" w14:textId="50DD6A26" w:rsidR="00DF5792" w:rsidRPr="002B614E" w:rsidRDefault="00DF579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Itt kell jelenteni a</w:t>
            </w:r>
            <w:r w:rsidR="00DD1B6D">
              <w:rPr>
                <w:rFonts w:asciiTheme="majorHAnsi" w:hAnsiTheme="majorHAnsi" w:cs="Arial"/>
                <w:szCs w:val="20"/>
              </w:rPr>
              <w:t>zokat a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hitelintézet</w:t>
            </w:r>
            <w:r w:rsidR="00907987" w:rsidRPr="002B614E">
              <w:rPr>
                <w:rFonts w:asciiTheme="majorHAnsi" w:hAnsiTheme="majorHAnsi" w:cs="Arial"/>
                <w:szCs w:val="20"/>
              </w:rPr>
              <w:t>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által kibocsátott eszközöket, melyekre tagállam regionális kormányzatának, vagy helyi hatóságának garanciája vonatkozik, és a Bizottság (EU) 2015/61 felh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talmazáson alapuló rendeletének 35</w:t>
            </w:r>
            <w:r w:rsidR="009B06DB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</w:t>
            </w:r>
            <w:r w:rsidR="00907987" w:rsidRPr="002B614E">
              <w:rPr>
                <w:rFonts w:asciiTheme="majorHAnsi" w:hAnsiTheme="majorHAnsi" w:cs="Arial"/>
                <w:szCs w:val="20"/>
              </w:rPr>
              <w:t>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átmeneti rendelkezése vonatkozik.</w:t>
            </w:r>
          </w:p>
        </w:tc>
      </w:tr>
      <w:tr w:rsidR="008677A1" w:rsidRPr="002B614E" w14:paraId="6F1ADD32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517" w14:textId="77777777" w:rsidR="00CA2C7D" w:rsidRPr="002B614E" w:rsidRDefault="00DF5792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090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401" w14:textId="77777777" w:rsidR="00CA2C7D" w:rsidRPr="002B614E" w:rsidRDefault="00DF579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1.1.1.6 Közszektorbeli intézményekkel szembeni követelést megtestesítő eszközök</w:t>
            </w:r>
          </w:p>
          <w:p w14:paraId="57E5C5EB" w14:textId="3820DF18" w:rsidR="00B447BC" w:rsidRPr="002B614E" w:rsidRDefault="00B447B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907987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907987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(c)</w:t>
            </w:r>
            <w:r w:rsidR="00907987" w:rsidRPr="002B614E">
              <w:rPr>
                <w:rFonts w:asciiTheme="majorHAnsi" w:hAnsiTheme="majorHAnsi" w:cs="Arial"/>
                <w:szCs w:val="20"/>
              </w:rPr>
              <w:t xml:space="preserve"> pontjának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(v) </w:t>
            </w:r>
            <w:r w:rsidR="00907987" w:rsidRPr="002B614E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24E6B65E" w14:textId="77777777" w:rsidR="00B447BC" w:rsidRPr="002B614E" w:rsidRDefault="00B447B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Tagállami, vagy harmadik országbeli közszektorbeli intézménnyel szembeni követelés, vagy általuk garantált eszköz, feltéve, hogy a</w:t>
            </w:r>
            <w:r w:rsidR="001D3D70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575/2013/EU rendelet 116</w:t>
            </w:r>
            <w:r w:rsidR="00907987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</w:t>
            </w:r>
            <w:r w:rsidR="00DB314D" w:rsidRPr="002B614E">
              <w:rPr>
                <w:rFonts w:asciiTheme="majorHAnsi" w:hAnsiTheme="majorHAnsi" w:cs="Arial"/>
                <w:szCs w:val="20"/>
              </w:rPr>
              <w:t>e (4) és (5)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megf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lelően a kitettségeket központi kormányzati, központi banki, regionális kormányzati vagy helyi h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tósági kitettségként kezelik.</w:t>
            </w:r>
          </w:p>
          <w:p w14:paraId="41EF0080" w14:textId="77777777" w:rsidR="00B447BC" w:rsidRPr="002B614E" w:rsidRDefault="00B447B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fent említett harmadik országoknak elismert hitelminősítő által a</w:t>
            </w:r>
            <w:r w:rsidR="001B1545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575/2013/EU rendelet 114</w:t>
            </w:r>
            <w:r w:rsidR="00DB314D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 bekezdésnek megfelelően</w:t>
            </w:r>
            <w:r w:rsidR="007B629A" w:rsidRPr="002B614E">
              <w:rPr>
                <w:rFonts w:asciiTheme="majorHAnsi" w:hAnsiTheme="majorHAnsi" w:cs="Arial"/>
                <w:szCs w:val="20"/>
              </w:rPr>
              <w:t xml:space="preserve"> legalább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1. hitelminőségű osztályba soroltnak kell lennie.</w:t>
            </w:r>
          </w:p>
          <w:p w14:paraId="08F30BDD" w14:textId="77777777" w:rsidR="00DF5792" w:rsidRPr="002B614E" w:rsidRDefault="00B447B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fent említett harmadik országbeli </w:t>
            </w:r>
            <w:r w:rsidR="00255C2B" w:rsidRPr="002B614E">
              <w:rPr>
                <w:rFonts w:asciiTheme="majorHAnsi" w:hAnsiTheme="majorHAnsi" w:cs="Arial"/>
                <w:szCs w:val="20"/>
              </w:rPr>
              <w:t xml:space="preserve">bármely </w:t>
            </w:r>
            <w:r w:rsidRPr="002B614E">
              <w:rPr>
                <w:rFonts w:asciiTheme="majorHAnsi" w:hAnsiTheme="majorHAnsi" w:cs="Arial"/>
                <w:szCs w:val="20"/>
              </w:rPr>
              <w:t>regionális kormányzat vagy helyi hatóság kitettségét központi kormányzati, vagy központi banki kitettségként kell kezelni az 575/2013/EU rendelet 1</w:t>
            </w:r>
            <w:r w:rsidR="00C118DF" w:rsidRPr="002B614E">
              <w:rPr>
                <w:rFonts w:asciiTheme="majorHAnsi" w:hAnsiTheme="majorHAnsi" w:cs="Arial"/>
                <w:szCs w:val="20"/>
              </w:rPr>
              <w:t>1</w:t>
            </w:r>
            <w:r w:rsidRPr="002B614E">
              <w:rPr>
                <w:rFonts w:asciiTheme="majorHAnsi" w:hAnsiTheme="majorHAnsi" w:cs="Arial"/>
                <w:szCs w:val="20"/>
              </w:rPr>
              <w:t>5</w:t>
            </w:r>
            <w:r w:rsidR="00DB314D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(4) bekezdésének megfelelően.</w:t>
            </w:r>
          </w:p>
        </w:tc>
      </w:tr>
      <w:tr w:rsidR="008677A1" w:rsidRPr="002B614E" w14:paraId="69662F05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50A" w14:textId="77777777" w:rsidR="00CA2C7D" w:rsidRPr="002B614E" w:rsidRDefault="00B447BC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100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6D4" w14:textId="77777777" w:rsidR="00CA2C7D" w:rsidRPr="002B614E" w:rsidRDefault="00B447B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1.1.1.7 </w:t>
            </w:r>
            <w:r w:rsidR="00E67521" w:rsidRPr="002B614E">
              <w:rPr>
                <w:rFonts w:asciiTheme="majorHAnsi" w:hAnsiTheme="majorHAnsi" w:cs="Arial"/>
                <w:b/>
                <w:szCs w:val="20"/>
                <w:u w:val="single"/>
              </w:rPr>
              <w:t>Elfogadható belföldi és külföldi devizában denominált, központi kormányzattal és kö</w:t>
            </w:r>
            <w:r w:rsidR="00E67521" w:rsidRPr="002B614E">
              <w:rPr>
                <w:rFonts w:asciiTheme="majorHAnsi" w:hAnsiTheme="majorHAnsi" w:cs="Arial"/>
                <w:b/>
                <w:szCs w:val="20"/>
                <w:u w:val="single"/>
              </w:rPr>
              <w:t>z</w:t>
            </w:r>
            <w:r w:rsidR="00E67521" w:rsidRPr="002B614E">
              <w:rPr>
                <w:rFonts w:asciiTheme="majorHAnsi" w:hAnsiTheme="majorHAnsi" w:cs="Arial"/>
                <w:b/>
                <w:szCs w:val="20"/>
                <w:u w:val="single"/>
              </w:rPr>
              <w:t>ponti bankkal szembeni követelést megtestesítő eszközök</w:t>
            </w:r>
          </w:p>
          <w:p w14:paraId="4D00A924" w14:textId="601B68AB" w:rsidR="00E67521" w:rsidRPr="002B614E" w:rsidRDefault="00E6752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DB314D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DB314D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(d) 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32A119C3" w14:textId="77777777" w:rsidR="00E67521" w:rsidRPr="002B614E" w:rsidRDefault="00BB64B2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Külső hitelminősítő intézet által 1. hitelminőségi besorolásba tartozónak nem minősített harmadik ország közpon</w:t>
            </w:r>
            <w:r w:rsidR="0022500E"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i kormányzatával vagy központi bankjával szembeni követelést megtestesítő vagy az általa garantált eszközök, feltéve, hogy a hitelintézet az eszközöket 1. szintűnek ismeri el, abból a célból, hogy fedezze az </w:t>
            </w:r>
            <w:r w:rsidR="0022500E"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bban a devizanemben felmerülő likviditás kiáramlásokat. </w:t>
            </w:r>
            <w:r w:rsidRPr="002B614E">
              <w:rPr>
                <w:rFonts w:asciiTheme="majorHAnsi" w:hAnsiTheme="majorHAnsi" w:cs="Arial"/>
                <w:szCs w:val="20"/>
              </w:rPr>
              <w:br/>
              <w:t>Külső hitelminősítő intézet által 1. hitelminőségi besorolásba tartozónak nem minősített harmadik ország központi kormányzatával vagy központi bankjával szembeni követelést megtestesítő vagy az általa garantált eszközök, feltéve, hogy a hitelintézet az eszközöket</w:t>
            </w:r>
            <w:r w:rsidR="0022500E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1. szintűnek ismeri el, addig az összegig, amely fedezi </w:t>
            </w:r>
            <w:r w:rsidR="00644EE7" w:rsidRPr="002B614E">
              <w:rPr>
                <w:rFonts w:asciiTheme="majorHAnsi" w:hAnsiTheme="majorHAnsi" w:cs="Arial"/>
                <w:szCs w:val="20"/>
              </w:rPr>
              <w:t>az adott devizában, annak a joghatóságnak a területén felmerült nettó likv</w:t>
            </w:r>
            <w:r w:rsidR="00644EE7" w:rsidRPr="002B614E">
              <w:rPr>
                <w:rFonts w:asciiTheme="majorHAnsi" w:hAnsiTheme="majorHAnsi" w:cs="Arial"/>
                <w:szCs w:val="20"/>
              </w:rPr>
              <w:t>i</w:t>
            </w:r>
            <w:r w:rsidR="00644EE7" w:rsidRPr="002B614E">
              <w:rPr>
                <w:rFonts w:asciiTheme="majorHAnsi" w:hAnsiTheme="majorHAnsi" w:cs="Arial"/>
                <w:szCs w:val="20"/>
              </w:rPr>
              <w:t xml:space="preserve">ditás kiáramlást, ahol a likviditási kockázatot vállalják. </w:t>
            </w:r>
          </w:p>
        </w:tc>
      </w:tr>
      <w:tr w:rsidR="008677A1" w:rsidRPr="002B614E" w14:paraId="76905324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336" w14:textId="77777777" w:rsidR="00CA2C7D" w:rsidRPr="002B614E" w:rsidRDefault="004B2797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110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3C7" w14:textId="77777777" w:rsidR="00CA2C7D" w:rsidRPr="002B614E" w:rsidRDefault="004B2797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1.1.1.8 Hitelintézet (tagállam kormányzata által védett, kedvezményes hitelezésben részt vevő) által kibocsátott eszközök</w:t>
            </w:r>
          </w:p>
          <w:p w14:paraId="53CCA5DE" w14:textId="168B56DE" w:rsidR="004B2797" w:rsidRPr="002B614E" w:rsidRDefault="004B2797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E9088B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E9088B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(e)</w:t>
            </w:r>
            <w:r w:rsidR="00E9088B" w:rsidRPr="002B614E">
              <w:rPr>
                <w:rFonts w:asciiTheme="majorHAnsi" w:hAnsiTheme="majorHAnsi" w:cs="Arial"/>
                <w:szCs w:val="20"/>
              </w:rPr>
              <w:t xml:space="preserve"> pontjának</w:t>
            </w:r>
            <w:r w:rsidR="00395615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(i) és (ii) </w:t>
            </w:r>
            <w:r w:rsidR="00E9088B" w:rsidRPr="002B614E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6D0427E9" w14:textId="77777777" w:rsidR="004B2797" w:rsidRPr="002B614E" w:rsidRDefault="004B2797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Olyan hitelintézetek által kibocsátott eszközök, melyek</w:t>
            </w:r>
            <w:r w:rsidR="00DE7878" w:rsidRPr="002B614E">
              <w:rPr>
                <w:rFonts w:asciiTheme="majorHAnsi" w:hAnsiTheme="majorHAnsi" w:cs="Arial"/>
                <w:szCs w:val="20"/>
              </w:rPr>
              <w:t>et tagállami központi kormány, központi bank, regionális kormányzat vagy helyi hatóság jegyezett be, vagy alapított, és mely</w:t>
            </w:r>
            <w:r w:rsidR="00E9088B" w:rsidRPr="002B614E">
              <w:rPr>
                <w:rFonts w:asciiTheme="majorHAnsi" w:hAnsiTheme="majorHAnsi" w:cs="Arial"/>
                <w:szCs w:val="20"/>
              </w:rPr>
              <w:t>ek esetén a kormányzatnak</w:t>
            </w:r>
            <w:r w:rsidR="00DE7878" w:rsidRPr="002B614E">
              <w:rPr>
                <w:rFonts w:asciiTheme="majorHAnsi" w:hAnsiTheme="majorHAnsi" w:cs="Arial"/>
                <w:szCs w:val="20"/>
              </w:rPr>
              <w:t xml:space="preserve"> jogszabályi kötelezettsége, hogy megvédje a hitelintézet gazdasági alapját és fen</w:t>
            </w:r>
            <w:r w:rsidR="00DE7878" w:rsidRPr="002B614E">
              <w:rPr>
                <w:rFonts w:asciiTheme="majorHAnsi" w:hAnsiTheme="majorHAnsi" w:cs="Arial"/>
                <w:szCs w:val="20"/>
              </w:rPr>
              <w:t>n</w:t>
            </w:r>
            <w:r w:rsidR="00DE7878" w:rsidRPr="002B614E">
              <w:rPr>
                <w:rFonts w:asciiTheme="majorHAnsi" w:hAnsiTheme="majorHAnsi" w:cs="Arial"/>
                <w:szCs w:val="20"/>
              </w:rPr>
              <w:t>tartsa pénzügyi működőképességét.</w:t>
            </w:r>
          </w:p>
          <w:p w14:paraId="537C15EC" w14:textId="0358D618" w:rsidR="00DE7878" w:rsidRPr="002B614E" w:rsidRDefault="00DE7878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E9088B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E9088B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(e)</w:t>
            </w:r>
            <w:r w:rsidR="00395615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="0053538F">
              <w:rPr>
                <w:rFonts w:asciiTheme="majorHAnsi" w:hAnsiTheme="majorHAnsi" w:cs="Arial"/>
                <w:szCs w:val="20"/>
              </w:rPr>
              <w:t xml:space="preserve">pontjának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(ii) </w:t>
            </w:r>
            <w:r w:rsidR="0053538F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pontjában meghatározott kedvezményes hitelezésben részt vevő intézmény által kibocsátott eszközök.</w:t>
            </w:r>
          </w:p>
          <w:p w14:paraId="5A61D760" w14:textId="77777777" w:rsidR="00DE7878" w:rsidRPr="002B614E" w:rsidRDefault="00DE7878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fent említett regionális kormányzatok és helyi hatóságok kitettségeit a </w:t>
            </w:r>
            <w:r w:rsidR="00B11A7D" w:rsidRPr="002B614E">
              <w:rPr>
                <w:rFonts w:asciiTheme="majorHAnsi" w:hAnsiTheme="majorHAnsi" w:cs="Arial"/>
                <w:szCs w:val="20"/>
              </w:rPr>
              <w:t xml:space="preserve">tagállam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központi </w:t>
            </w:r>
            <w:r w:rsidR="00B11A7D" w:rsidRPr="002B614E">
              <w:rPr>
                <w:rFonts w:asciiTheme="majorHAnsi" w:hAnsiTheme="majorHAnsi" w:cs="Arial"/>
                <w:szCs w:val="20"/>
              </w:rPr>
              <w:t>ko</w:t>
            </w:r>
            <w:r w:rsidR="00B11A7D" w:rsidRPr="002B614E">
              <w:rPr>
                <w:rFonts w:asciiTheme="majorHAnsi" w:hAnsiTheme="majorHAnsi" w:cs="Arial"/>
                <w:szCs w:val="20"/>
              </w:rPr>
              <w:t>r</w:t>
            </w:r>
            <w:r w:rsidR="00B11A7D" w:rsidRPr="002B614E">
              <w:rPr>
                <w:rFonts w:asciiTheme="majorHAnsi" w:hAnsiTheme="majorHAnsi" w:cs="Arial"/>
                <w:szCs w:val="20"/>
              </w:rPr>
              <w:t xml:space="preserve">mányzati </w:t>
            </w:r>
            <w:r w:rsidRPr="002B614E">
              <w:rPr>
                <w:rFonts w:asciiTheme="majorHAnsi" w:hAnsiTheme="majorHAnsi" w:cs="Arial"/>
                <w:szCs w:val="20"/>
              </w:rPr>
              <w:t>kitettségként kell kezelni</w:t>
            </w:r>
            <w:r w:rsidR="0059009D" w:rsidRPr="002B614E">
              <w:rPr>
                <w:rFonts w:asciiTheme="majorHAnsi" w:hAnsiTheme="majorHAnsi" w:cs="Arial"/>
                <w:szCs w:val="20"/>
              </w:rPr>
              <w:t xml:space="preserve"> az 575/2013/EU rendelet 115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cikke</w:t>
            </w:r>
            <w:r w:rsidR="003538F4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="0059009D" w:rsidRPr="002B614E">
              <w:rPr>
                <w:rFonts w:asciiTheme="majorHAnsi" w:hAnsiTheme="majorHAnsi" w:cs="Arial"/>
                <w:szCs w:val="20"/>
              </w:rPr>
              <w:t>(2) bekezdésének megfel</w:t>
            </w:r>
            <w:r w:rsidR="0059009D" w:rsidRPr="002B614E">
              <w:rPr>
                <w:rFonts w:asciiTheme="majorHAnsi" w:hAnsiTheme="majorHAnsi" w:cs="Arial"/>
                <w:szCs w:val="20"/>
              </w:rPr>
              <w:t>e</w:t>
            </w:r>
            <w:r w:rsidR="0059009D" w:rsidRPr="002B614E">
              <w:rPr>
                <w:rFonts w:asciiTheme="majorHAnsi" w:hAnsiTheme="majorHAnsi" w:cs="Arial"/>
                <w:szCs w:val="20"/>
              </w:rPr>
              <w:t>lően</w:t>
            </w:r>
            <w:r w:rsidRPr="002B614E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8677A1" w:rsidRPr="002B614E" w14:paraId="79B7EC55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10B" w14:textId="77777777" w:rsidR="00CA2C7D" w:rsidRPr="002B614E" w:rsidRDefault="0059009D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120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B4D" w14:textId="77777777" w:rsidR="00CA2C7D" w:rsidRPr="002B614E" w:rsidRDefault="0059009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1.1.1.9 Multilateriális fejlesztési bankokkal és nemzetközi szervezetekkel szembeni követeléseket megtestesítő eszközök</w:t>
            </w:r>
          </w:p>
          <w:p w14:paraId="022EADAE" w14:textId="7A9047F4" w:rsidR="0059009D" w:rsidRPr="002B614E" w:rsidRDefault="0059009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E9088B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E9088B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(g) 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53C9A47B" w14:textId="77777777" w:rsidR="0059009D" w:rsidRPr="002B614E" w:rsidRDefault="0059009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Az 575/2013/EU rendelet 117</w:t>
            </w:r>
            <w:r w:rsidR="00E9088B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</w:t>
            </w:r>
            <w:r w:rsidR="00E9088B" w:rsidRPr="002B614E">
              <w:rPr>
                <w:rFonts w:asciiTheme="majorHAnsi" w:hAnsiTheme="majorHAnsi" w:cs="Arial"/>
                <w:szCs w:val="20"/>
              </w:rPr>
              <w:t xml:space="preserve"> bekezdésé</w:t>
            </w:r>
            <w:r w:rsidR="00667A42" w:rsidRPr="002B614E">
              <w:rPr>
                <w:rFonts w:asciiTheme="majorHAnsi" w:hAnsiTheme="majorHAnsi" w:cs="Arial"/>
                <w:szCs w:val="20"/>
              </w:rPr>
              <w:t>ben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és 118</w:t>
            </w:r>
            <w:r w:rsidR="00E9088B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cikkében</w:t>
            </w:r>
            <w:r w:rsidR="00717EBF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leírt multilaterális fe</w:t>
            </w:r>
            <w:r w:rsidRPr="002B614E">
              <w:rPr>
                <w:rFonts w:asciiTheme="majorHAnsi" w:hAnsiTheme="majorHAnsi" w:cs="Arial"/>
                <w:szCs w:val="20"/>
              </w:rPr>
              <w:t>j</w:t>
            </w:r>
            <w:r w:rsidRPr="002B614E">
              <w:rPr>
                <w:rFonts w:asciiTheme="majorHAnsi" w:hAnsiTheme="majorHAnsi" w:cs="Arial"/>
                <w:szCs w:val="20"/>
              </w:rPr>
              <w:t>lesztési bankok és nemzetközi szervezetekkel szembeni, vagy általuk garantált követelések.</w:t>
            </w:r>
          </w:p>
        </w:tc>
      </w:tr>
      <w:tr w:rsidR="008677A1" w:rsidRPr="002B614E" w14:paraId="1AC4F09A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E12" w14:textId="77777777" w:rsidR="00CA2C7D" w:rsidRPr="002B614E" w:rsidRDefault="00717EBF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130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F50" w14:textId="2396C22C" w:rsidR="00CA2C7D" w:rsidRPr="002B614E" w:rsidRDefault="00717EBF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1.1.1.10 Minősített 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 xml:space="preserve">kollektív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befektetési 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>formák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>(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KBF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03316C" w:rsidRPr="002B614E">
              <w:rPr>
                <w:rFonts w:asciiTheme="majorHAnsi" w:hAnsiTheme="majorHAnsi" w:cs="Arial"/>
                <w:b/>
                <w:szCs w:val="20"/>
                <w:u w:val="single"/>
              </w:rPr>
              <w:t>részvénye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/befektetési </w:t>
            </w:r>
            <w:r w:rsidR="0003316C" w:rsidRPr="002B614E">
              <w:rPr>
                <w:rFonts w:asciiTheme="majorHAnsi" w:hAnsiTheme="majorHAnsi" w:cs="Arial"/>
                <w:b/>
                <w:szCs w:val="20"/>
                <w:u w:val="single"/>
              </w:rPr>
              <w:t>jegye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: a mögöttes eszköz</w:t>
            </w:r>
            <w:r w:rsidR="001F6917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pénzérmék/bankjegyek és/vagy központi bankkal szembeni kitettségek</w:t>
            </w:r>
          </w:p>
          <w:p w14:paraId="5BD6516F" w14:textId="1299DA7D" w:rsidR="00717EBF" w:rsidRPr="002B614E" w:rsidRDefault="00717EBF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15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(a) 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47FEF334" w14:textId="77777777" w:rsidR="00717EBF" w:rsidRPr="002B614E" w:rsidRDefault="00717EBF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Részvények és befektetési jegyek, melyek mögöttes eszközei érmék, bankjegyek és E</w:t>
            </w:r>
            <w:r w:rsidR="004911A7" w:rsidRPr="002B614E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>B-v</w:t>
            </w:r>
            <w:r w:rsidR="004911A7"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l, tagá</w:t>
            </w:r>
            <w:r w:rsidRPr="002B614E">
              <w:rPr>
                <w:rFonts w:asciiTheme="majorHAnsi" w:hAnsiTheme="majorHAnsi" w:cs="Arial"/>
                <w:szCs w:val="20"/>
              </w:rPr>
              <w:t>l</w:t>
            </w:r>
            <w:r w:rsidRPr="002B614E">
              <w:rPr>
                <w:rFonts w:asciiTheme="majorHAnsi" w:hAnsiTheme="majorHAnsi" w:cs="Arial"/>
                <w:szCs w:val="20"/>
              </w:rPr>
              <w:t>lam, vagy harmadik ország központi bankjával szembeni kitettségek, feltéve, hogy a harmadik o</w:t>
            </w:r>
            <w:r w:rsidRPr="002B614E">
              <w:rPr>
                <w:rFonts w:asciiTheme="majorHAnsi" w:hAnsiTheme="majorHAnsi" w:cs="Arial"/>
                <w:szCs w:val="20"/>
              </w:rPr>
              <w:t>r</w:t>
            </w:r>
            <w:r w:rsidRPr="002B614E">
              <w:rPr>
                <w:rFonts w:asciiTheme="majorHAnsi" w:hAnsiTheme="majorHAnsi" w:cs="Arial"/>
                <w:szCs w:val="20"/>
              </w:rPr>
              <w:t>szág központi bankja, vagy központi kormányzata elismert hitelminősítő által 1. hitelminőségűnek minősített az 575/2013/EU rendelet 114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 bekezdése szerint.</w:t>
            </w:r>
          </w:p>
        </w:tc>
      </w:tr>
      <w:tr w:rsidR="008677A1" w:rsidRPr="002B614E" w14:paraId="58D8820B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E34" w14:textId="77777777" w:rsidR="00CA2C7D" w:rsidRPr="002B614E" w:rsidRDefault="00717EBF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140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497" w14:textId="6E2168CC" w:rsidR="00717EBF" w:rsidRPr="002B614E" w:rsidRDefault="00717EBF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1.1.1.11 Minősített </w:t>
            </w:r>
            <w:r w:rsidR="001608B4">
              <w:rPr>
                <w:rFonts w:asciiTheme="majorHAnsi" w:hAnsiTheme="majorHAnsi" w:cs="Arial"/>
                <w:b/>
                <w:szCs w:val="20"/>
                <w:u w:val="single"/>
              </w:rPr>
              <w:t xml:space="preserve">kollektív befektetési formák </w:t>
            </w:r>
            <w:r w:rsidR="001F6917">
              <w:rPr>
                <w:rFonts w:asciiTheme="majorHAnsi" w:hAnsiTheme="majorHAnsi" w:cs="Arial"/>
                <w:b/>
                <w:szCs w:val="20"/>
                <w:u w:val="single"/>
              </w:rPr>
              <w:t>(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KBF</w:t>
            </w:r>
            <w:r w:rsidR="001F6917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03316C" w:rsidRPr="002B614E">
              <w:rPr>
                <w:rFonts w:asciiTheme="majorHAnsi" w:hAnsiTheme="majorHAnsi" w:cs="Arial"/>
                <w:b/>
                <w:szCs w:val="20"/>
                <w:u w:val="single"/>
              </w:rPr>
              <w:t>részvénye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/befektetési </w:t>
            </w:r>
            <w:r w:rsidR="0003316C" w:rsidRPr="002B614E">
              <w:rPr>
                <w:rFonts w:asciiTheme="majorHAnsi" w:hAnsiTheme="majorHAnsi" w:cs="Arial"/>
                <w:b/>
                <w:szCs w:val="20"/>
                <w:u w:val="single"/>
              </w:rPr>
              <w:t>jegye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: a mögöttes eszköz</w:t>
            </w:r>
            <w:r w:rsidR="006C588C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1. szintű eszköz</w:t>
            </w:r>
            <w:r w:rsidR="001F6917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a rendkívül magas minőségű fedezett kötvényeken kívül</w:t>
            </w:r>
          </w:p>
          <w:p w14:paraId="19B14B6F" w14:textId="610B41CD" w:rsidR="00717EBF" w:rsidRPr="002B614E" w:rsidRDefault="00717EBF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15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(b) </w:t>
            </w:r>
            <w:r w:rsidRPr="002B614E">
              <w:rPr>
                <w:rFonts w:asciiTheme="majorHAnsi" w:hAnsiTheme="majorHAnsi" w:cs="Arial"/>
                <w:szCs w:val="20"/>
              </w:rPr>
              <w:lastRenderedPageBreak/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41A7AE5A" w14:textId="77777777" w:rsidR="00CA2C7D" w:rsidRPr="002B614E" w:rsidRDefault="00717EBF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Részvények és befektetési jegyek, melyek mögöttes eszközei 1. szintű eszközök kivéve érmék, bankjegyek és E</w:t>
            </w:r>
            <w:r w:rsidR="00A849E0" w:rsidRPr="002B614E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>B-v</w:t>
            </w:r>
            <w:r w:rsidR="00260DF9"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l</w:t>
            </w:r>
            <w:r w:rsidR="00260DF9" w:rsidRPr="002B614E">
              <w:rPr>
                <w:rFonts w:asciiTheme="majorHAnsi" w:hAnsiTheme="majorHAnsi" w:cs="Arial"/>
                <w:szCs w:val="20"/>
              </w:rPr>
              <w:t>,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tagállam, vagy harmadik ország központi bankjával szembeni kitettségek és a Bizottság (EU) 2015/61 felhatalmazáson alapuló rendeletének 10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(f) pontjának megfelelő rendkívül magas minőségű fedezett kötvények.</w:t>
            </w:r>
          </w:p>
        </w:tc>
      </w:tr>
      <w:tr w:rsidR="008677A1" w:rsidRPr="002B614E" w14:paraId="5B3C14EF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78D" w14:textId="77777777" w:rsidR="001E618D" w:rsidRPr="002B614E" w:rsidRDefault="001E618D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150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0C0" w14:textId="77777777" w:rsidR="001E618D" w:rsidRPr="002B614E" w:rsidRDefault="001E618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1.1.1.12 Alternatív likviditási megközelítések: központi banki hitelkeret</w:t>
            </w:r>
          </w:p>
          <w:p w14:paraId="336225E4" w14:textId="07E8524F" w:rsidR="001E618D" w:rsidRPr="002B614E" w:rsidRDefault="001E618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19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(b) 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575461E3" w14:textId="49B41A5F" w:rsidR="001E618D" w:rsidRPr="002B614E" w:rsidRDefault="001E618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Az E</w:t>
            </w:r>
            <w:r w:rsidR="003C161A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>B, vagy tagállam központi bankja által nyújtott a Bizottság (EU) 2015/61 felhatalmazáson al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puló rendeletének 1</w:t>
            </w:r>
            <w:r w:rsidR="006E4059" w:rsidRPr="002B614E">
              <w:rPr>
                <w:rFonts w:asciiTheme="majorHAnsi" w:hAnsiTheme="majorHAnsi" w:cs="Arial"/>
                <w:szCs w:val="20"/>
              </w:rPr>
              <w:t>9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(b)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 pontjának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(i) – (iii) </w:t>
            </w:r>
            <w:r w:rsidR="00667A42" w:rsidRPr="002B614E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</w:t>
            </w:r>
            <w:r w:rsidR="00743DB7" w:rsidRPr="002B614E">
              <w:rPr>
                <w:rFonts w:asciiTheme="majorHAnsi" w:hAnsiTheme="majorHAnsi" w:cs="Arial"/>
                <w:szCs w:val="20"/>
              </w:rPr>
              <w:t>iban lévő követelm</w:t>
            </w:r>
            <w:r w:rsidR="00743DB7" w:rsidRPr="002B614E">
              <w:rPr>
                <w:rFonts w:asciiTheme="majorHAnsi" w:hAnsiTheme="majorHAnsi" w:cs="Arial"/>
                <w:szCs w:val="20"/>
              </w:rPr>
              <w:t>é</w:t>
            </w:r>
            <w:r w:rsidR="00743DB7" w:rsidRPr="002B614E">
              <w:rPr>
                <w:rFonts w:asciiTheme="majorHAnsi" w:hAnsiTheme="majorHAnsi" w:cs="Arial"/>
                <w:szCs w:val="20"/>
              </w:rPr>
              <w:t>nyeknek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megfelelő hitelkeret </w:t>
            </w:r>
            <w:r w:rsidR="00554BD5">
              <w:rPr>
                <w:rFonts w:asciiTheme="majorHAnsi" w:hAnsiTheme="majorHAnsi" w:cs="Arial"/>
                <w:szCs w:val="20"/>
              </w:rPr>
              <w:t>le nem hívott rézse</w:t>
            </w:r>
            <w:r w:rsidRPr="002B614E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8677A1" w:rsidRPr="002B614E" w14:paraId="4D6DDD8E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C01" w14:textId="77777777" w:rsidR="001E618D" w:rsidRPr="002B614E" w:rsidRDefault="001E618D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160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A69" w14:textId="23B0DB93" w:rsidR="001E618D" w:rsidRPr="002B614E" w:rsidRDefault="001E618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1.1.1.13 Központi intézmények: 1. szintű eszközök a rendkívül magas minőségű fedezett kötv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é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nyeken kívül, amelyek a </w:t>
            </w:r>
            <w:r w:rsidR="00CB47BF" w:rsidRPr="002B614E">
              <w:rPr>
                <w:rFonts w:asciiTheme="majorHAnsi" w:hAnsiTheme="majorHAnsi" w:cs="Arial"/>
                <w:b/>
                <w:szCs w:val="20"/>
                <w:u w:val="single"/>
              </w:rPr>
              <w:t>betét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et</w:t>
            </w:r>
            <w:r w:rsidR="00F7450E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CB47BF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elhelyező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hitelintézet számára likvid eszköz</w:t>
            </w:r>
            <w:r w:rsidR="001F6917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nek minősülnek</w:t>
            </w:r>
          </w:p>
          <w:p w14:paraId="24A212E4" w14:textId="29550068" w:rsidR="001E618D" w:rsidRPr="002B614E" w:rsidRDefault="001E618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27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(3) </w:t>
            </w:r>
            <w:r w:rsidR="00667A42" w:rsidRPr="002B614E">
              <w:rPr>
                <w:rFonts w:asciiTheme="majorHAnsi" w:hAnsiTheme="majorHAnsi" w:cs="Arial"/>
                <w:szCs w:val="20"/>
              </w:rPr>
              <w:t>bekezdése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78BB7902" w14:textId="3558D92D" w:rsidR="001E618D" w:rsidRPr="002B614E" w:rsidRDefault="001E618D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27</w:t>
            </w:r>
            <w:r w:rsidR="00667A42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(3) 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bekezdése </w:t>
            </w:r>
            <w:r w:rsidRPr="002B614E">
              <w:rPr>
                <w:rFonts w:asciiTheme="majorHAnsi" w:hAnsiTheme="majorHAnsi" w:cs="Arial"/>
                <w:szCs w:val="20"/>
              </w:rPr>
              <w:t>érte</w:t>
            </w:r>
            <w:r w:rsidRPr="002B614E">
              <w:rPr>
                <w:rFonts w:asciiTheme="majorHAnsi" w:hAnsiTheme="majorHAnsi" w:cs="Arial"/>
                <w:szCs w:val="20"/>
              </w:rPr>
              <w:t>l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mében azonosítani 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szükséges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azokat a likvid eszközöket, melyek olyan </w:t>
            </w:r>
            <w:r w:rsidR="00667A42" w:rsidRPr="002B614E">
              <w:rPr>
                <w:rFonts w:asciiTheme="majorHAnsi" w:hAnsiTheme="majorHAnsi" w:cs="Arial"/>
                <w:szCs w:val="20"/>
              </w:rPr>
              <w:t>központi intézménynél elh</w:t>
            </w:r>
            <w:r w:rsidR="00667A42" w:rsidRPr="002B614E">
              <w:rPr>
                <w:rFonts w:asciiTheme="majorHAnsi" w:hAnsiTheme="majorHAnsi" w:cs="Arial"/>
                <w:szCs w:val="20"/>
              </w:rPr>
              <w:t>e</w:t>
            </w:r>
            <w:r w:rsidR="00667A42" w:rsidRPr="002B614E">
              <w:rPr>
                <w:rFonts w:asciiTheme="majorHAnsi" w:hAnsiTheme="majorHAnsi" w:cs="Arial"/>
                <w:szCs w:val="20"/>
              </w:rPr>
              <w:t xml:space="preserve">lyezett </w:t>
            </w:r>
            <w:r w:rsidRPr="002B614E">
              <w:rPr>
                <w:rFonts w:asciiTheme="majorHAnsi" w:hAnsiTheme="majorHAnsi" w:cs="Arial"/>
                <w:szCs w:val="20"/>
              </w:rPr>
              <w:t>hitelintézeti betét</w:t>
            </w:r>
            <w:r w:rsidR="00667A42" w:rsidRPr="002B614E">
              <w:rPr>
                <w:rFonts w:asciiTheme="majorHAnsi" w:hAnsiTheme="majorHAnsi" w:cs="Arial"/>
                <w:szCs w:val="20"/>
              </w:rPr>
              <w:t>ek</w:t>
            </w:r>
            <w:r w:rsidRPr="002B614E">
              <w:rPr>
                <w:rFonts w:asciiTheme="majorHAnsi" w:hAnsiTheme="majorHAnsi" w:cs="Arial"/>
                <w:szCs w:val="20"/>
              </w:rPr>
              <w:t>hez tartoznak, melye</w:t>
            </w:r>
            <w:r w:rsidR="00554BD5">
              <w:rPr>
                <w:rFonts w:asciiTheme="majorHAnsi" w:hAnsiTheme="majorHAnsi" w:cs="Arial"/>
                <w:szCs w:val="20"/>
              </w:rPr>
              <w:t>ket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a betételhelyező likvid eszköznek tekint. Ezeket a likvid eszközöket csak hozzátartozó betét kiáramlásának fedezé</w:t>
            </w:r>
            <w:r w:rsidR="001B285C" w:rsidRPr="002B614E">
              <w:rPr>
                <w:rFonts w:asciiTheme="majorHAnsi" w:hAnsiTheme="majorHAnsi" w:cs="Arial"/>
                <w:szCs w:val="20"/>
              </w:rPr>
              <w:t>sére lehet figyelembe venni, és figyelmen kívül kell hagyni a központi hitelintézet egyedi szintű likviditási pufferének 17</w:t>
            </w:r>
            <w:r w:rsidR="00667A42" w:rsidRPr="002B614E">
              <w:rPr>
                <w:rFonts w:asciiTheme="majorHAnsi" w:hAnsiTheme="majorHAnsi" w:cs="Arial"/>
                <w:szCs w:val="20"/>
              </w:rPr>
              <w:t>.</w:t>
            </w:r>
            <w:r w:rsidR="001B285C" w:rsidRPr="002B614E">
              <w:rPr>
                <w:rFonts w:asciiTheme="majorHAnsi" w:hAnsiTheme="majorHAnsi" w:cs="Arial"/>
                <w:szCs w:val="20"/>
              </w:rPr>
              <w:t xml:space="preserve"> cikk sz</w:t>
            </w:r>
            <w:r w:rsidR="001B285C" w:rsidRPr="002B614E">
              <w:rPr>
                <w:rFonts w:asciiTheme="majorHAnsi" w:hAnsiTheme="majorHAnsi" w:cs="Arial"/>
                <w:szCs w:val="20"/>
              </w:rPr>
              <w:t>e</w:t>
            </w:r>
            <w:r w:rsidR="001B285C" w:rsidRPr="002B614E">
              <w:rPr>
                <w:rFonts w:asciiTheme="majorHAnsi" w:hAnsiTheme="majorHAnsi" w:cs="Arial"/>
                <w:szCs w:val="20"/>
              </w:rPr>
              <w:t>rinti számításakor.</w:t>
            </w:r>
          </w:p>
          <w:p w14:paraId="4B1E4D2B" w14:textId="77777777" w:rsidR="001B285C" w:rsidRPr="002B614E" w:rsidRDefault="001B285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központi hitelintézetnek a jelentéskor biztosítania kell, hogy a haircut alkalmazása utáni összeg ne haladja meg a vonatkozó betétek kiáramlását.</w:t>
            </w:r>
          </w:p>
          <w:p w14:paraId="648345CF" w14:textId="4F7B9964" w:rsidR="001B285C" w:rsidRPr="002B614E" w:rsidRDefault="001B285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Ezeket a</w:t>
            </w:r>
            <w:r w:rsidR="008D11A6" w:rsidRPr="002B614E">
              <w:rPr>
                <w:rFonts w:asciiTheme="majorHAnsi" w:hAnsiTheme="majorHAnsi" w:cs="Arial"/>
                <w:szCs w:val="20"/>
              </w:rPr>
              <w:t xml:space="preserve">z </w:t>
            </w:r>
            <w:r w:rsidRPr="002B614E">
              <w:rPr>
                <w:rFonts w:asciiTheme="majorHAnsi" w:hAnsiTheme="majorHAnsi" w:cs="Arial"/>
                <w:szCs w:val="20"/>
              </w:rPr>
              <w:t>eszközöket a XXIV</w:t>
            </w:r>
            <w:r w:rsidR="008A3FDA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mellékletben szereplő </w:t>
            </w:r>
            <w:r w:rsidR="00F73E32">
              <w:rPr>
                <w:rFonts w:asciiTheme="majorHAnsi" w:hAnsiTheme="majorHAnsi" w:cs="Arial"/>
                <w:szCs w:val="20"/>
              </w:rPr>
              <w:t>C 72.00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tábla megfelelő részében jelenteni kell, ezen a soron csak a releváns összeget kell feltűntetni.</w:t>
            </w:r>
          </w:p>
          <w:p w14:paraId="1B19F237" w14:textId="77777777" w:rsidR="001B285C" w:rsidRPr="002B614E" w:rsidRDefault="001B285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Ebben a sorban az 1. szintű eszközöket kell feltűntetni a rendkívül magas minőségű fedezett kötv</w:t>
            </w:r>
            <w:r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nyek kivételével.</w:t>
            </w:r>
          </w:p>
        </w:tc>
      </w:tr>
      <w:tr w:rsidR="008677A1" w:rsidRPr="002B614E" w14:paraId="02EF5DB5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58F" w14:textId="5ABB24C2" w:rsidR="001E618D" w:rsidRPr="002B614E" w:rsidRDefault="001B285C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170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1AD" w14:textId="77777777" w:rsidR="001E618D" w:rsidRPr="002B614E" w:rsidRDefault="001B285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1.1.1.14 Alternatív likviditási megközelítések: az 1. szintű eszközként nyilvántartott 2A. szintű eszközök</w:t>
            </w:r>
          </w:p>
          <w:p w14:paraId="668DB290" w14:textId="61A19914" w:rsidR="001B285C" w:rsidRPr="002B614E" w:rsidRDefault="001B285C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19</w:t>
            </w:r>
            <w:r w:rsidR="00FC6A4A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(c)</w:t>
            </w:r>
            <w:r w:rsidR="00D752A0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65081A8C" w14:textId="69E410B1" w:rsidR="001B285C" w:rsidRPr="002B614E" w:rsidRDefault="0087307F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Ahol hiány van 1. szintű eszközökből, a hitelintézetek</w:t>
            </w:r>
            <w:r w:rsidR="00510ACD" w:rsidRPr="002B614E">
              <w:rPr>
                <w:rFonts w:asciiTheme="majorHAnsi" w:hAnsiTheme="majorHAnsi" w:cs="Arial"/>
                <w:szCs w:val="20"/>
              </w:rPr>
              <w:t>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jelent</w:t>
            </w:r>
            <w:r w:rsidR="00510ACD" w:rsidRPr="002B614E">
              <w:rPr>
                <w:rFonts w:asciiTheme="majorHAnsi" w:hAnsiTheme="majorHAnsi" w:cs="Arial"/>
                <w:szCs w:val="20"/>
              </w:rPr>
              <w:t>eniük kell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a 2A</w:t>
            </w:r>
            <w:r w:rsidR="00803C60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eszközeik</w:t>
            </w:r>
            <w:r w:rsidR="00510ACD" w:rsidRPr="002B614E">
              <w:rPr>
                <w:rFonts w:asciiTheme="majorHAnsi" w:hAnsiTheme="majorHAnsi" w:cs="Arial"/>
                <w:szCs w:val="20"/>
              </w:rPr>
              <w:t xml:space="preserve"> összegét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, </w:t>
            </w:r>
            <w:r w:rsidR="00510ACD"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melyet 1. szintűnek ismernek</w:t>
            </w:r>
            <w:r w:rsidR="00510ACD" w:rsidRPr="002B614E">
              <w:rPr>
                <w:rFonts w:asciiTheme="majorHAnsi" w:hAnsiTheme="majorHAnsi" w:cs="Arial"/>
                <w:szCs w:val="20"/>
              </w:rPr>
              <w:t xml:space="preserve"> el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és nem jelentenek 2A</w:t>
            </w:r>
            <w:r w:rsidR="001B1E9D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eszközként a Bizottság (EU) 2015/61 felh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talmazáson alapuló rendeletének 19</w:t>
            </w:r>
            <w:r w:rsidR="00FC6A4A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(c) pontja alapján. Ezeket az es</w:t>
            </w:r>
            <w:r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>közöket nem jelenthetik a 2A</w:t>
            </w:r>
            <w:r w:rsidR="007E7DCB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szintű eszközök között.</w:t>
            </w:r>
          </w:p>
        </w:tc>
      </w:tr>
      <w:tr w:rsidR="008677A1" w:rsidRPr="002B614E" w14:paraId="57D746A7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AFF" w14:textId="77777777" w:rsidR="001E618D" w:rsidRPr="002B614E" w:rsidRDefault="0087307F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180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2DA" w14:textId="13A73449" w:rsidR="001E618D" w:rsidRPr="002B614E" w:rsidRDefault="0087307F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1.1.2 </w:t>
            </w:r>
            <w:r w:rsidR="005F6281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Összes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nem kiigazított 1. szint</w:t>
            </w:r>
            <w:r w:rsidR="00C97EA5" w:rsidRPr="002B614E">
              <w:rPr>
                <w:rFonts w:asciiTheme="majorHAnsi" w:hAnsiTheme="majorHAnsi" w:cs="Arial"/>
                <w:b/>
                <w:szCs w:val="20"/>
                <w:u w:val="single"/>
              </w:rPr>
              <w:t>ű rendkívül magas minőségű fedezett kötvény</w:t>
            </w:r>
          </w:p>
          <w:p w14:paraId="7222BA59" w14:textId="6D6133A9" w:rsidR="00C97EA5" w:rsidRPr="002B614E" w:rsidRDefault="00C97EA5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proofErr w:type="gramStart"/>
            <w:r w:rsidR="00FC6A4A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15</w:t>
            </w:r>
            <w:r w:rsidR="00FC6A4A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és 16</w:t>
            </w:r>
            <w:r w:rsidR="00FC6A4A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3953CA6A" w14:textId="77777777" w:rsidR="00C97EA5" w:rsidRPr="002B614E" w:rsidRDefault="00C97EA5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Ebben a</w:t>
            </w:r>
            <w:r w:rsidR="007E7DCB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="007E7DCB" w:rsidRPr="002B614E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részben azokat az eszközöket kell jelenteni, melyeket kifejezetten 1. szintű eszközként </w:t>
            </w:r>
            <w:r w:rsidR="00FC6A4A" w:rsidRPr="002B614E">
              <w:rPr>
                <w:rFonts w:asciiTheme="majorHAnsi" w:hAnsiTheme="majorHAnsi" w:cs="Arial"/>
                <w:szCs w:val="20"/>
              </w:rPr>
              <w:t>azonosítottak</w:t>
            </w:r>
            <w:r w:rsidRPr="002B614E">
              <w:rPr>
                <w:rFonts w:asciiTheme="majorHAnsi" w:hAnsiTheme="majorHAnsi" w:cs="Arial"/>
                <w:szCs w:val="20"/>
              </w:rPr>
              <w:t>, vagy kezeltek a Bizottság (EU) 2015/61 felhatalmazáson alapuló rendelete alapján</w:t>
            </w:r>
            <w:r w:rsidR="00FC6A4A" w:rsidRPr="002B614E">
              <w:rPr>
                <w:rFonts w:asciiTheme="majorHAnsi" w:hAnsiTheme="majorHAnsi" w:cs="Arial"/>
                <w:szCs w:val="20"/>
              </w:rPr>
              <w:t>,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és amelyek maguk</w:t>
            </w:r>
            <w:r w:rsidR="00FC6A4A" w:rsidRPr="002B614E">
              <w:rPr>
                <w:rFonts w:asciiTheme="majorHAnsi" w:hAnsiTheme="majorHAnsi" w:cs="Arial"/>
                <w:szCs w:val="20"/>
              </w:rPr>
              <w:t>ban</w:t>
            </w:r>
            <w:r w:rsidRPr="002B614E">
              <w:rPr>
                <w:rFonts w:asciiTheme="majorHAnsi" w:hAnsiTheme="majorHAnsi" w:cs="Arial"/>
                <w:szCs w:val="20"/>
              </w:rPr>
              <w:t>, vagy a mögöttes eszközük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 révén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rendkívül magas minőségű fedezett kö</w:t>
            </w:r>
            <w:r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>vénynek minősül</w:t>
            </w:r>
            <w:r w:rsidR="00FC6A4A" w:rsidRPr="002B614E">
              <w:rPr>
                <w:rFonts w:asciiTheme="majorHAnsi" w:hAnsiTheme="majorHAnsi" w:cs="Arial"/>
                <w:szCs w:val="20"/>
              </w:rPr>
              <w:t>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ugyanazon rendelet 10</w:t>
            </w:r>
            <w:r w:rsidR="00FC6A4A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(f) 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pontja </w:t>
            </w:r>
            <w:r w:rsidRPr="002B614E">
              <w:rPr>
                <w:rFonts w:asciiTheme="majorHAnsi" w:hAnsiTheme="majorHAnsi" w:cs="Arial"/>
                <w:szCs w:val="20"/>
              </w:rPr>
              <w:t>alapján.</w:t>
            </w:r>
          </w:p>
          <w:p w14:paraId="5E891581" w14:textId="77777777" w:rsidR="00C97EA5" w:rsidRPr="002B614E" w:rsidRDefault="00C97EA5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a 010-es oszlopban az 1. szintű rendkívül magas minőségű fedezett kötvények teljes piaci értékét kell jelenteniük, függetlenül a Bizottság (EU) 2015/61 felhatalmazáson alapuló rendeletének 17</w:t>
            </w:r>
            <w:r w:rsidR="00FC6A4A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cikkében leírt korlátozásoktól.</w:t>
            </w:r>
          </w:p>
          <w:p w14:paraId="4C0ADD44" w14:textId="77777777" w:rsidR="00C97EA5" w:rsidRPr="002B614E" w:rsidRDefault="00C97EA5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A hitelintézeteknek a 040-es oszlopban az 1. szintű rendkívül magas minőségű fedezett kötvények teljes súlyozott értékét kell jelenteniük, függetlenül a Bizottság (EU) 2015/61 felhatalmazáson al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puló rendeletének 17</w:t>
            </w:r>
            <w:r w:rsidR="00FC6A4A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cikkében leírt korlátozásoktól.</w:t>
            </w:r>
          </w:p>
        </w:tc>
      </w:tr>
      <w:tr w:rsidR="008677A1" w:rsidRPr="002B614E" w14:paraId="2E19D6AC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369" w14:textId="77777777" w:rsidR="00CA2C7D" w:rsidRPr="002B614E" w:rsidRDefault="00C97EA5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190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ED1" w14:textId="77777777" w:rsidR="00CA2C7D" w:rsidRPr="002B614E" w:rsidRDefault="00C97EA5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1.1.2.1 Rendkívül magas minőségű fedezett kötvények</w:t>
            </w:r>
          </w:p>
          <w:p w14:paraId="6EF19283" w14:textId="4507C0AC" w:rsidR="00C97EA5" w:rsidRPr="002B614E" w:rsidRDefault="00C97EA5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</w:t>
            </w:r>
            <w:r w:rsidR="008B7B66" w:rsidRPr="002B614E">
              <w:rPr>
                <w:rFonts w:asciiTheme="majorHAnsi" w:hAnsiTheme="majorHAnsi" w:cs="Arial"/>
                <w:szCs w:val="20"/>
              </w:rPr>
              <w:t>0</w:t>
            </w:r>
            <w:r w:rsidR="00FC6A4A" w:rsidRPr="002B614E">
              <w:rPr>
                <w:rFonts w:asciiTheme="majorHAnsi" w:hAnsiTheme="majorHAnsi" w:cs="Arial"/>
                <w:szCs w:val="20"/>
              </w:rPr>
              <w:t>. cikkének</w:t>
            </w:r>
            <w:r w:rsidR="008B7B66"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="008B7B66" w:rsidRPr="002B614E">
              <w:rPr>
                <w:rFonts w:asciiTheme="majorHAnsi" w:hAnsiTheme="majorHAnsi" w:cs="Arial"/>
                <w:szCs w:val="20"/>
              </w:rPr>
              <w:t xml:space="preserve"> (f) </w:t>
            </w:r>
            <w:r w:rsidR="00FC6A4A" w:rsidRPr="002B614E">
              <w:rPr>
                <w:rFonts w:asciiTheme="majorHAnsi" w:hAnsiTheme="majorHAnsi" w:cs="Arial"/>
                <w:szCs w:val="20"/>
              </w:rPr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448E9C95" w14:textId="77777777" w:rsidR="00C97EA5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10</w:t>
            </w:r>
            <w:r w:rsidR="00FC6A4A" w:rsidRPr="002B614E">
              <w:rPr>
                <w:rFonts w:asciiTheme="majorHAnsi" w:hAnsiTheme="majorHAnsi" w:cs="Arial"/>
                <w:szCs w:val="20"/>
              </w:rPr>
              <w:t>. cikke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(f) 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pontjának </w:t>
            </w:r>
            <w:r w:rsidRPr="002B614E">
              <w:rPr>
                <w:rFonts w:asciiTheme="majorHAnsi" w:hAnsiTheme="majorHAnsi" w:cs="Arial"/>
                <w:szCs w:val="20"/>
              </w:rPr>
              <w:t>megfelelő rendkívül magas minőségű fedezett kötvény formájában fennálló eszközök</w:t>
            </w:r>
            <w:r w:rsidR="00FC6A4A" w:rsidRPr="002B614E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8677A1" w:rsidRPr="002B614E" w14:paraId="34595FB7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675" w14:textId="77777777" w:rsidR="007F3EF7" w:rsidRPr="002B614E" w:rsidRDefault="008B7B66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568" w14:textId="30119B66" w:rsidR="007F3EF7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1.1.2.2 </w:t>
            </w:r>
            <w:r w:rsidR="00D30E37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Minősített </w:t>
            </w:r>
            <w:r w:rsidR="00D30E37">
              <w:rPr>
                <w:rFonts w:asciiTheme="majorHAnsi" w:hAnsiTheme="majorHAnsi" w:cs="Arial"/>
                <w:b/>
                <w:szCs w:val="20"/>
                <w:u w:val="single"/>
              </w:rPr>
              <w:t xml:space="preserve">kollektív </w:t>
            </w:r>
            <w:r w:rsidR="00D30E37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befektetési </w:t>
            </w:r>
            <w:r w:rsidR="00D30E37">
              <w:rPr>
                <w:rFonts w:asciiTheme="majorHAnsi" w:hAnsiTheme="majorHAnsi" w:cs="Arial"/>
                <w:b/>
                <w:szCs w:val="20"/>
                <w:u w:val="single"/>
              </w:rPr>
              <w:t>formák</w:t>
            </w:r>
            <w:r w:rsidR="00D30E37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D30E37">
              <w:rPr>
                <w:rFonts w:asciiTheme="majorHAnsi" w:hAnsiTheme="majorHAnsi" w:cs="Arial"/>
                <w:b/>
                <w:szCs w:val="20"/>
                <w:u w:val="single"/>
              </w:rPr>
              <w:t>(</w:t>
            </w:r>
            <w:r w:rsidR="00D30E37" w:rsidRPr="002B614E">
              <w:rPr>
                <w:rFonts w:asciiTheme="majorHAnsi" w:hAnsiTheme="majorHAnsi" w:cs="Arial"/>
                <w:b/>
                <w:szCs w:val="20"/>
                <w:u w:val="single"/>
              </w:rPr>
              <w:t>KBF</w:t>
            </w:r>
            <w:r w:rsidR="00D30E37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  <w:r w:rsidR="00D30E37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részvénye</w:t>
            </w:r>
            <w:r w:rsidR="00D30E37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D30E37" w:rsidRPr="002B614E">
              <w:rPr>
                <w:rFonts w:asciiTheme="majorHAnsi" w:hAnsiTheme="majorHAnsi" w:cs="Arial"/>
                <w:b/>
                <w:szCs w:val="20"/>
                <w:u w:val="single"/>
              </w:rPr>
              <w:t>/befektetési jegye</w:t>
            </w:r>
            <w:r w:rsidR="00D30E37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: a mögöttes eszköz</w:t>
            </w:r>
            <w:r w:rsidR="003D4C6C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rendkívül magas minőségű fedezett kötvény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>ek</w:t>
            </w:r>
          </w:p>
          <w:p w14:paraId="25427486" w14:textId="23921A64" w:rsidR="008B7B66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15</w:t>
            </w:r>
            <w:r w:rsidR="00FC6A4A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(2)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(c) </w:t>
            </w:r>
            <w:r w:rsidR="00FC6A4A" w:rsidRPr="002B614E">
              <w:rPr>
                <w:rFonts w:asciiTheme="majorHAnsi" w:hAnsiTheme="majorHAnsi" w:cs="Arial"/>
                <w:szCs w:val="20"/>
              </w:rPr>
              <w:t>pontja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017D05EF" w14:textId="77777777" w:rsidR="008B7B66" w:rsidRPr="002B614E" w:rsidRDefault="006602D5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KBF-ben meglévő r</w:t>
            </w:r>
            <w:r w:rsidR="008B7B66" w:rsidRPr="002B614E">
              <w:rPr>
                <w:rFonts w:asciiTheme="majorHAnsi" w:hAnsiTheme="majorHAnsi" w:cs="Arial"/>
                <w:szCs w:val="20"/>
              </w:rPr>
              <w:t>észvények és befektetési jegyek, melyek mögöttes eszközei a Bizottság (EU) 2015/61 felhatalmazáson alapuló rendeletének 10</w:t>
            </w:r>
            <w:r w:rsidR="00FC6A4A" w:rsidRPr="002B614E">
              <w:rPr>
                <w:rFonts w:asciiTheme="majorHAnsi" w:hAnsiTheme="majorHAnsi" w:cs="Arial"/>
                <w:szCs w:val="20"/>
              </w:rPr>
              <w:t>. cikke</w:t>
            </w:r>
            <w:r w:rsidR="008B7B66" w:rsidRPr="002B614E">
              <w:rPr>
                <w:rFonts w:asciiTheme="majorHAnsi" w:hAnsiTheme="majorHAnsi" w:cs="Arial"/>
                <w:szCs w:val="20"/>
              </w:rPr>
              <w:t xml:space="preserve"> (1)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 bekezdésének</w:t>
            </w:r>
            <w:r w:rsidR="008B7B66" w:rsidRPr="002B614E">
              <w:rPr>
                <w:rFonts w:asciiTheme="majorHAnsi" w:hAnsiTheme="majorHAnsi" w:cs="Arial"/>
                <w:szCs w:val="20"/>
              </w:rPr>
              <w:t xml:space="preserve"> (f) </w:t>
            </w:r>
            <w:r w:rsidR="00FC6A4A" w:rsidRPr="002B614E">
              <w:rPr>
                <w:rFonts w:asciiTheme="majorHAnsi" w:hAnsiTheme="majorHAnsi" w:cs="Arial"/>
                <w:szCs w:val="20"/>
              </w:rPr>
              <w:t xml:space="preserve">pontjának </w:t>
            </w:r>
            <w:r w:rsidR="008B7B66" w:rsidRPr="002B614E">
              <w:rPr>
                <w:rFonts w:asciiTheme="majorHAnsi" w:hAnsiTheme="majorHAnsi" w:cs="Arial"/>
                <w:szCs w:val="20"/>
              </w:rPr>
              <w:t>megfelelő rendkívül magas minőségű fedezett kötvények.</w:t>
            </w:r>
          </w:p>
        </w:tc>
      </w:tr>
      <w:tr w:rsidR="008677A1" w:rsidRPr="002B614E" w14:paraId="608C80E9" w14:textId="77777777" w:rsidTr="00860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AAB" w14:textId="77777777" w:rsidR="008B7B66" w:rsidRPr="002B614E" w:rsidRDefault="008B7B66" w:rsidP="005B6233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E9A2" w14:textId="21795758" w:rsidR="008B7B66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1.1.2.3 Központi intézmények: 1. szintű rendkívül magas minőségű fedezett kötvények, amelyek a </w:t>
            </w:r>
            <w:r w:rsidR="00986743" w:rsidRPr="002B614E">
              <w:rPr>
                <w:rFonts w:asciiTheme="majorHAnsi" w:hAnsiTheme="majorHAnsi" w:cs="Arial"/>
                <w:b/>
                <w:szCs w:val="20"/>
                <w:u w:val="single"/>
              </w:rPr>
              <w:t>betét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et</w:t>
            </w:r>
            <w:r w:rsidR="00DF7E6B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986743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elhelyező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hitelintézet számára likvid eszköz</w:t>
            </w:r>
            <w:r w:rsidR="003D4C6C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nek minősülnek</w:t>
            </w:r>
          </w:p>
          <w:p w14:paraId="5D2FD679" w14:textId="456F5BB8" w:rsidR="008B7B66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27</w:t>
            </w:r>
            <w:r w:rsidR="00FC6A4A" w:rsidRPr="002B614E">
              <w:rPr>
                <w:rFonts w:asciiTheme="majorHAnsi" w:hAnsiTheme="majorHAnsi" w:cs="Arial"/>
                <w:szCs w:val="20"/>
              </w:rPr>
              <w:t>. cikkének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(3) bekezdése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0F43CC02" w14:textId="3DE8AF81" w:rsidR="008B7B66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>Bizottság (EU) 2015/61 felhatalmazáson alapuló rendeletének 27</w:t>
            </w:r>
            <w:r w:rsidR="00734528">
              <w:rPr>
                <w:rFonts w:asciiTheme="majorHAnsi" w:hAnsiTheme="majorHAnsi" w:cs="Arial"/>
                <w:szCs w:val="20"/>
              </w:rPr>
              <w:t xml:space="preserve">. </w:t>
            </w:r>
            <w:r w:rsidR="009C3A29">
              <w:rPr>
                <w:rFonts w:asciiTheme="majorHAnsi" w:hAnsiTheme="majorHAnsi" w:cs="Arial"/>
                <w:szCs w:val="20"/>
              </w:rPr>
              <w:t>cikk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(3) </w:t>
            </w:r>
            <w:r w:rsidR="009C3A29">
              <w:rPr>
                <w:rFonts w:asciiTheme="majorHAnsi" w:hAnsiTheme="majorHAnsi" w:cs="Arial"/>
                <w:szCs w:val="20"/>
              </w:rPr>
              <w:t>bekezdése</w:t>
            </w:r>
            <w:r w:rsidR="002A3024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értelmében szükséges azonosítani azokat a likvid eszközöket, melyek olyan hitelintézeti betét</w:t>
            </w:r>
            <w:r w:rsidR="00FC6A4A" w:rsidRPr="002B614E">
              <w:rPr>
                <w:rFonts w:asciiTheme="majorHAnsi" w:hAnsiTheme="majorHAnsi" w:cs="Arial"/>
                <w:szCs w:val="20"/>
              </w:rPr>
              <w:t>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hez tartoznak, </w:t>
            </w:r>
            <w:r w:rsidR="00734528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melye</w:t>
            </w:r>
            <w:r w:rsidR="00734528">
              <w:rPr>
                <w:rFonts w:asciiTheme="majorHAnsi" w:hAnsiTheme="majorHAnsi" w:cs="Arial"/>
                <w:szCs w:val="20"/>
              </w:rPr>
              <w:t>ke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t a betételhelyező likvid eszköznek tekint. Ezeket a likvid eszközöket csak </w:t>
            </w:r>
            <w:r w:rsidR="00734528">
              <w:rPr>
                <w:rFonts w:asciiTheme="majorHAnsi" w:hAnsiTheme="majorHAnsi" w:cs="Arial"/>
                <w:szCs w:val="20"/>
              </w:rPr>
              <w:t xml:space="preserve">a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hozzátartozó betét kiáramlásának fedezésére lehet figyelembe venni, </w:t>
            </w:r>
            <w:r w:rsidR="00E2388E" w:rsidRPr="002B614E">
              <w:rPr>
                <w:rFonts w:asciiTheme="majorHAnsi" w:hAnsiTheme="majorHAnsi" w:cs="Arial"/>
                <w:szCs w:val="20"/>
              </w:rPr>
              <w:t xml:space="preserve">és figyelmen kívül kell hagyni őket a 17. cikk szerinti fennmaradó likviditási puffer összetételének a központi intézményre vonatkozó egyedi szinten történő számítása során. </w:t>
            </w:r>
          </w:p>
          <w:p w14:paraId="36F6195B" w14:textId="22A1C407" w:rsidR="008B7B66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központi hitelintézet</w:t>
            </w:r>
            <w:r w:rsidR="00E2388E" w:rsidRPr="002B614E">
              <w:rPr>
                <w:rFonts w:asciiTheme="majorHAnsi" w:hAnsiTheme="majorHAnsi" w:cs="Arial"/>
                <w:szCs w:val="20"/>
              </w:rPr>
              <w:t>ek</w:t>
            </w:r>
            <w:r w:rsidRPr="002B614E">
              <w:rPr>
                <w:rFonts w:asciiTheme="majorHAnsi" w:hAnsiTheme="majorHAnsi" w:cs="Arial"/>
                <w:szCs w:val="20"/>
              </w:rPr>
              <w:t>nek a jelentéskor biztosítani</w:t>
            </w:r>
            <w:r w:rsidR="00E2388E" w:rsidRPr="002B614E">
              <w:rPr>
                <w:rFonts w:asciiTheme="majorHAnsi" w:hAnsiTheme="majorHAnsi" w:cs="Arial"/>
                <w:szCs w:val="20"/>
              </w:rPr>
              <w:t>uk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kell, hogy </w:t>
            </w:r>
            <w:r w:rsidR="00EB6B8C" w:rsidRPr="002B614E">
              <w:rPr>
                <w:rFonts w:asciiTheme="majorHAnsi" w:hAnsiTheme="majorHAnsi" w:cs="Arial"/>
                <w:szCs w:val="20"/>
              </w:rPr>
              <w:t xml:space="preserve">ezeknek a likvid eszközöknek </w:t>
            </w:r>
            <w:r w:rsidRPr="002B614E">
              <w:rPr>
                <w:rFonts w:asciiTheme="majorHAnsi" w:hAnsiTheme="majorHAnsi" w:cs="Arial"/>
                <w:szCs w:val="20"/>
              </w:rPr>
              <w:t>haircut alkalmazása utáni összeg</w:t>
            </w:r>
            <w:r w:rsidR="00E2388E"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ne haladja meg a vonatkozó betétek kiáramlását.</w:t>
            </w:r>
          </w:p>
          <w:p w14:paraId="1A378D7B" w14:textId="60445A66" w:rsidR="008B7B66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Ezeket a</w:t>
            </w:r>
            <w:r w:rsidR="00573CEF"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eszközöket a XXIV</w:t>
            </w:r>
            <w:r w:rsidR="00573CEF" w:rsidRPr="002B614E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mellékletben szereplő </w:t>
            </w:r>
            <w:r w:rsidR="00F73E32">
              <w:rPr>
                <w:rFonts w:asciiTheme="majorHAnsi" w:hAnsiTheme="majorHAnsi" w:cs="Arial"/>
                <w:szCs w:val="20"/>
              </w:rPr>
              <w:t>C 72.00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tábla megfelelő részében jelenteni kell, ezen a soron csak a releváns összeget kell feltűntetni.</w:t>
            </w:r>
          </w:p>
          <w:p w14:paraId="603B5DDB" w14:textId="394CF317" w:rsidR="008B7B66" w:rsidRPr="002B614E" w:rsidRDefault="008B7B66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Ebben a sorban az 1. szintű rendkívül magas minőségű fedezett kötvényeket kell feltűntetni.</w:t>
            </w:r>
          </w:p>
        </w:tc>
      </w:tr>
      <w:tr w:rsidR="008677A1" w:rsidRPr="002B614E" w14:paraId="61CAEAB2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A4922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b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220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452B4" w14:textId="60E18DC9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12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="00774F4E">
              <w:rPr>
                <w:rFonts w:asciiTheme="majorHAnsi" w:hAnsiTheme="majorHAnsi" w:cs="Arial"/>
                <w:b/>
                <w:szCs w:val="20"/>
                <w:u w:val="single"/>
              </w:rPr>
              <w:t>Összes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nem kiigazított 2. szintű eszköz</w:t>
            </w:r>
          </w:p>
          <w:p w14:paraId="52B58374" w14:textId="6A797856" w:rsidR="00CE5C31" w:rsidRPr="000961EF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11</w:t>
            </w:r>
            <w:proofErr w:type="gramStart"/>
            <w:r w:rsidR="00CB6721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12</w:t>
            </w:r>
            <w:r w:rsidR="00CB6721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13</w:t>
            </w:r>
            <w:r w:rsidR="00CB6721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14</w:t>
            </w:r>
            <w:r w:rsidR="00CB6721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15</w:t>
            </w:r>
            <w:r w:rsidR="00CB6721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16</w:t>
            </w:r>
            <w:r w:rsidR="00CB6721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és a 19</w:t>
            </w:r>
            <w:r w:rsidR="00CB6721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cikke.</w:t>
            </w:r>
          </w:p>
          <w:p w14:paraId="22E844D0" w14:textId="4748491B" w:rsidR="00CE5C31" w:rsidRPr="000961EF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Ebben a részben jelentett eszközök kifejezetten vagy 2A. szintű vagy 2B. szintű eszközként lettek azonosítva</w:t>
            </w:r>
            <w:r w:rsidR="00171B47">
              <w:rPr>
                <w:rFonts w:asciiTheme="majorHAnsi" w:hAnsiTheme="majorHAnsi" w:cs="Arial"/>
                <w:szCs w:val="20"/>
              </w:rPr>
              <w:t xml:space="preserve"> vagy</w:t>
            </w:r>
            <w:r w:rsidR="00171B47" w:rsidRPr="002B614E">
              <w:rPr>
                <w:rFonts w:asciiTheme="majorHAnsi" w:hAnsiTheme="majorHAnsi" w:cs="Arial"/>
                <w:szCs w:val="20"/>
              </w:rPr>
              <w:t xml:space="preserve"> hasonló elbánás alá esnek</w:t>
            </w:r>
            <w:r w:rsidR="00734528">
              <w:rPr>
                <w:rFonts w:asciiTheme="majorHAnsi" w:hAnsiTheme="majorHAnsi" w:cs="Arial"/>
                <w:szCs w:val="20"/>
              </w:rPr>
              <w:t>,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a Bizottság (EU) 2015/61 felhatalmazáson alapuló re</w:t>
            </w:r>
            <w:r w:rsidRPr="002B614E">
              <w:rPr>
                <w:rFonts w:asciiTheme="majorHAnsi" w:hAnsiTheme="majorHAnsi" w:cs="Arial"/>
                <w:szCs w:val="20"/>
              </w:rPr>
              <w:t>n</w:t>
            </w:r>
            <w:r w:rsidRPr="002B614E">
              <w:rPr>
                <w:rFonts w:asciiTheme="majorHAnsi" w:hAnsiTheme="majorHAnsi" w:cs="Arial"/>
                <w:szCs w:val="20"/>
              </w:rPr>
              <w:t>delete alapján</w:t>
            </w:r>
            <w:r w:rsidR="00171B47">
              <w:rPr>
                <w:rFonts w:asciiTheme="majorHAnsi" w:hAnsiTheme="majorHAnsi" w:cs="Arial"/>
                <w:szCs w:val="20"/>
              </w:rPr>
              <w:t xml:space="preserve">. </w:t>
            </w:r>
          </w:p>
          <w:p w14:paraId="1D9B01EF" w14:textId="77777777" w:rsidR="00CE5C31" w:rsidRPr="000961EF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hitelintézeteknek a 2. szintű likvid eszközök teljes összegét/piaci értékét a 010-es oszlopban kell jelenteniük. </w:t>
            </w:r>
          </w:p>
          <w:p w14:paraId="1F141DE0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a 9. cikk alapján a 2. szintű likvid eszközök teljes értékét a 040-es oszlopban kell jelenteniük.</w:t>
            </w:r>
          </w:p>
        </w:tc>
      </w:tr>
      <w:tr w:rsidR="008677A1" w:rsidRPr="002B614E" w14:paraId="7DE0829D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414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EF2" w14:textId="2E7963F4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1.2.1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="00774F4E">
              <w:rPr>
                <w:rFonts w:asciiTheme="majorHAnsi" w:hAnsiTheme="majorHAnsi" w:cs="Arial"/>
                <w:b/>
                <w:szCs w:val="20"/>
                <w:u w:val="single"/>
              </w:rPr>
              <w:t>Összes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nem kiigazított 2A. szintű eszköz</w:t>
            </w:r>
          </w:p>
          <w:p w14:paraId="08682EED" w14:textId="01FC5FAF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11</w:t>
            </w:r>
            <w:proofErr w:type="gramStart"/>
            <w:r w:rsidR="00F50995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15</w:t>
            </w:r>
            <w:r w:rsidR="00F50995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és 19. cikke.</w:t>
            </w:r>
          </w:p>
          <w:p w14:paraId="7B3F3ECD" w14:textId="23D6A88F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Ebben az alfejezetben jelentett eszközök kifejezetten 2A. szintű eszközként lettek azonosítva vagy </w:t>
            </w:r>
            <w:r w:rsidRPr="002B614E">
              <w:rPr>
                <w:rFonts w:asciiTheme="majorHAnsi" w:hAnsiTheme="majorHAnsi" w:cs="Arial"/>
                <w:szCs w:val="20"/>
              </w:rPr>
              <w:lastRenderedPageBreak/>
              <w:t xml:space="preserve">hasonló elbánás alá esnek a Bizottság (EU) 2015/61 felhatalmazáson alapuló </w:t>
            </w:r>
            <w:r w:rsidR="00545158" w:rsidRPr="002B614E">
              <w:rPr>
                <w:rFonts w:asciiTheme="majorHAnsi" w:hAnsiTheme="majorHAnsi" w:cs="Arial"/>
                <w:szCs w:val="20"/>
              </w:rPr>
              <w:t>rendelet</w:t>
            </w:r>
            <w:r w:rsidR="00545158">
              <w:rPr>
                <w:rFonts w:asciiTheme="majorHAnsi" w:hAnsiTheme="majorHAnsi" w:cs="Arial"/>
                <w:szCs w:val="20"/>
              </w:rPr>
              <w:t>e</w:t>
            </w:r>
            <w:r w:rsidR="00545158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alapján.</w:t>
            </w:r>
          </w:p>
          <w:p w14:paraId="2EAC65AF" w14:textId="7D0D3E8D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a 040-es oszlopba kell jelenteniük a 2. szintű likvid eszközök teljes piaci érték</w:t>
            </w:r>
            <w:r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nek összegét, a Bizottság (EU) 2015/61 felhatalmazáson alapuló rendeletének 17. cikkében foglalt kiigazítás nélkül. </w:t>
            </w:r>
          </w:p>
          <w:p w14:paraId="0BCACB28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a 040-es oszlopba kell jelenteniük a 2A. szintű eszközök teljes súlyozott érték</w:t>
            </w:r>
            <w:r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nek összegét, függetlenül a Bizottság (EU) 2015/61 felhatalmazáson alapuló rendeletének 17. ci</w:t>
            </w:r>
            <w:r w:rsidRPr="002B614E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>kében leírt korlátozásoktól.</w:t>
            </w:r>
          </w:p>
        </w:tc>
      </w:tr>
      <w:tr w:rsidR="008677A1" w:rsidRPr="002B614E" w14:paraId="2346ED1C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D02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240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5D2" w14:textId="3FA331A0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1.2.1.1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Regionális kormányzat/helyi hatóságok vagy közszektorbeli intézmények eszközei (tagá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l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lam, 20%-os kockázati súly)</w:t>
            </w:r>
          </w:p>
          <w:p w14:paraId="678F8028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11. cikkének (1) bekezdésének (a) pontja. </w:t>
            </w:r>
          </w:p>
          <w:p w14:paraId="03A9C714" w14:textId="1DC7B8BD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Regionális kormányzatokkal, helyi hatóságokkal vagy közszektorbeli intézményekkel szembeni k</w:t>
            </w:r>
            <w:r w:rsidRPr="002B614E">
              <w:rPr>
                <w:rFonts w:asciiTheme="majorHAnsi" w:hAnsiTheme="majorHAnsi" w:cs="Arial"/>
                <w:szCs w:val="20"/>
              </w:rPr>
              <w:t>ö</w:t>
            </w:r>
            <w:r w:rsidRPr="002B614E">
              <w:rPr>
                <w:rFonts w:asciiTheme="majorHAnsi" w:hAnsiTheme="majorHAnsi" w:cs="Arial"/>
                <w:szCs w:val="20"/>
              </w:rPr>
              <w:t>veteléseket megtestesítő vagy az általuk garantált eszközök, abban a Tagállamban, ahol a velük szembeni kitettségek 20 %-os kockázati súlyozást kapnak.</w:t>
            </w:r>
          </w:p>
        </w:tc>
      </w:tr>
      <w:tr w:rsidR="008677A1" w:rsidRPr="002B614E" w14:paraId="4EEFDDB7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067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250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953" w14:textId="2D1D5129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1.2.1.2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Központi bank vagy központi/regionális kormányzat</w:t>
            </w:r>
            <w:r w:rsidR="00774F4E">
              <w:rPr>
                <w:rFonts w:asciiTheme="majorHAnsi" w:hAnsiTheme="majorHAnsi" w:cs="Arial"/>
                <w:b/>
                <w:szCs w:val="20"/>
                <w:u w:val="single"/>
              </w:rPr>
              <w:t>,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helyi hatóságok</w:t>
            </w:r>
            <w:r w:rsidR="00774F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vagy közszektorbeli intézmény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eszközei (harmadik ország, 20%-os kockázati súly)</w:t>
            </w:r>
          </w:p>
          <w:p w14:paraId="2C391360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11. cikkének (1) bekezdésének (b) pontja. </w:t>
            </w:r>
          </w:p>
          <w:p w14:paraId="0328CA91" w14:textId="58BF5015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>H</w:t>
            </w:r>
            <w:r w:rsidRPr="002B614E">
              <w:rPr>
                <w:rFonts w:asciiTheme="majorHAnsi" w:hAnsiTheme="majorHAnsi" w:cs="Arial"/>
                <w:szCs w:val="20"/>
              </w:rPr>
              <w:t>armadik ország központi kormányzatával vagy központi bankjával vagy regionális kormányzatával, helyi hatóságával vagy közszektorbeli intézményével szembeni követeléseket megtestesítő vagy á</w:t>
            </w:r>
            <w:r w:rsidRPr="002B614E">
              <w:rPr>
                <w:rFonts w:asciiTheme="majorHAnsi" w:hAnsiTheme="majorHAnsi" w:cs="Arial"/>
                <w:szCs w:val="20"/>
              </w:rPr>
              <w:t>l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taluk garantált eszközök, ha a velük szembeni kitettségek 20 %-os kockázati súlyozást kapnak. </w:t>
            </w:r>
          </w:p>
        </w:tc>
      </w:tr>
      <w:tr w:rsidR="008677A1" w:rsidRPr="002B614E" w14:paraId="6B320E29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26F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260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BB5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1.2.1.3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Magas minőségű fedezett kötvények (2. hitelminőségi besorolás)</w:t>
            </w:r>
          </w:p>
          <w:p w14:paraId="7806F15B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11. cikkének (1) bekezdésének (c) pontja. </w:t>
            </w:r>
          </w:p>
          <w:p w14:paraId="148FC981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Magas minőségű fedezett kötvények formájában fennálló kitettségek, amelyek teljesítik a Bizottság (EU) 2015/61 felhatalmazáson alapuló rendeletének 11. cikke (1) bekezdésének (c) pontjában fo</w:t>
            </w:r>
            <w:r w:rsidRPr="002B614E">
              <w:rPr>
                <w:rFonts w:asciiTheme="majorHAnsi" w:hAnsiTheme="majorHAnsi" w:cs="Arial"/>
                <w:szCs w:val="20"/>
              </w:rPr>
              <w:t>g</w:t>
            </w:r>
            <w:r w:rsidRPr="002B614E">
              <w:rPr>
                <w:rFonts w:asciiTheme="majorHAnsi" w:hAnsiTheme="majorHAnsi" w:cs="Arial"/>
                <w:szCs w:val="20"/>
              </w:rPr>
              <w:t>laltakat, feltéve hogy valamely kijelölt külső hitelminősítő intézet az 575/2013/EU rendelet 129. cikke (4) bekezdésével összhangban legalább 2. hitelminőségi besorolásba tartozónak minősítette.</w:t>
            </w:r>
          </w:p>
        </w:tc>
      </w:tr>
      <w:tr w:rsidR="008677A1" w:rsidRPr="002B614E" w14:paraId="64916F16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2DA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270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E0E" w14:textId="3E702CB1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1.2.1.4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Magas minőségű fedezet kötvény</w:t>
            </w:r>
            <w:r w:rsidR="00774F4E">
              <w:rPr>
                <w:rFonts w:asciiTheme="majorHAnsi" w:hAnsiTheme="majorHAnsi" w:cs="Arial"/>
                <w:b/>
                <w:szCs w:val="20"/>
                <w:u w:val="single"/>
              </w:rPr>
              <w:t>ek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(harmadik ország, 1. hitelminőségi besorolás)</w:t>
            </w:r>
          </w:p>
          <w:p w14:paraId="3F92C87A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11. cikkének (1) bekezdésének (d) pontja. </w:t>
            </w:r>
          </w:p>
          <w:p w14:paraId="1297CC9D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Harmadik ország hitelintézete által kibocsátott magas minőségű fedezett kötvények formájában fennálló kitettségek, amelyek teljesítik a Bizottság (EU) 2015/61 felhatalmazáson alapuló rendel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tének 11. cikke (1) bekezdésének (d) pontjában foglaltakat, feltéve hogy valamely kijelölt külső h</w:t>
            </w:r>
            <w:r w:rsidRPr="002B614E">
              <w:rPr>
                <w:rFonts w:asciiTheme="majorHAnsi" w:hAnsiTheme="majorHAnsi" w:cs="Arial"/>
                <w:szCs w:val="20"/>
              </w:rPr>
              <w:t>i</w:t>
            </w:r>
            <w:r w:rsidRPr="002B614E">
              <w:rPr>
                <w:rFonts w:asciiTheme="majorHAnsi" w:hAnsiTheme="majorHAnsi" w:cs="Arial"/>
                <w:szCs w:val="20"/>
              </w:rPr>
              <w:t>telminősítő intézet az 575/2013/EU rendelet 129. cikke (4) bekezdésével összhangban legalább 1. hitelminőségi besorolásba tartozónak minősítette.</w:t>
            </w:r>
          </w:p>
        </w:tc>
      </w:tr>
      <w:tr w:rsidR="008677A1" w:rsidRPr="002B614E" w14:paraId="1CF41DB4" w14:textId="77777777" w:rsidTr="00750A2D">
        <w:trPr>
          <w:trHeight w:val="9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6D8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280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CDD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1.2.1.5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Vállalati adósságpapírok (1. hitelminőségi besorolás)</w:t>
            </w:r>
          </w:p>
          <w:p w14:paraId="045A06AC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11. cikkének (1) bekezdésének (e) pontja. </w:t>
            </w:r>
          </w:p>
          <w:p w14:paraId="0680F999" w14:textId="43E34A89" w:rsidR="00CE5C31" w:rsidRPr="002B614E" w:rsidRDefault="00CE5C31" w:rsidP="00283B87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Vállalati adósságpapírok, amelyek a Bizottság (EU) 2015/61 felhatalmazáson alapuló rendeletének 11. cikke (1) bekez</w:t>
            </w:r>
            <w:r w:rsidR="00283B87">
              <w:rPr>
                <w:rFonts w:asciiTheme="majorHAnsi" w:hAnsiTheme="majorHAnsi" w:cs="Arial"/>
                <w:szCs w:val="20"/>
              </w:rPr>
              <w:t>dése (e) pontjának megfelelnek.</w:t>
            </w:r>
          </w:p>
        </w:tc>
      </w:tr>
      <w:tr w:rsidR="008677A1" w:rsidRPr="002B614E" w14:paraId="45A4EF77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1EE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290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27F" w14:textId="6E0AF325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1.2.1.6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Minősített kollektív befektetési formák (KBF) részvényei/befektetési jegyei: mögöttes li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vid eszköz</w:t>
            </w:r>
            <w:r w:rsidR="003D4C6C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2A. szintű</w:t>
            </w:r>
            <w:r w:rsidR="0003316C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eszközök</w:t>
            </w:r>
          </w:p>
          <w:p w14:paraId="4AF25693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15. cikkének (2) bekezdésének (d) </w:t>
            </w:r>
            <w:r w:rsidRPr="002B614E">
              <w:rPr>
                <w:rFonts w:asciiTheme="majorHAnsi" w:hAnsiTheme="majorHAnsi" w:cs="Arial"/>
                <w:szCs w:val="20"/>
              </w:rPr>
              <w:lastRenderedPageBreak/>
              <w:t xml:space="preserve">pontja. </w:t>
            </w:r>
          </w:p>
          <w:p w14:paraId="11780D5A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KBF részvényei vagy befektetési jegyei, amelyek mögöttes likvid eszközei 2A. szintű likvid eszkö</w:t>
            </w:r>
            <w:r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nek minősülnek a Bizottság (EU) 2015/61 felhatalmazáson alapuló rendeletének 11. cikke alapján. </w:t>
            </w:r>
          </w:p>
        </w:tc>
      </w:tr>
      <w:tr w:rsidR="008677A1" w:rsidRPr="002B614E" w14:paraId="606EE43F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3CA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300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B3C" w14:textId="56E814EE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1.2.1.7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Központi hitelintézet: 2A. szintű eszköz</w:t>
            </w:r>
            <w:r w:rsidR="00271F9B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, amely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ek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a betétet elhelyező </w:t>
            </w:r>
            <w:r w:rsidR="00271F9B">
              <w:rPr>
                <w:rFonts w:asciiTheme="majorHAnsi" w:hAnsiTheme="majorHAnsi" w:cs="Arial"/>
                <w:b/>
                <w:szCs w:val="20"/>
                <w:u w:val="single"/>
              </w:rPr>
              <w:t>hitelintézet</w:t>
            </w:r>
            <w:r w:rsidR="00271F9B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sz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á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mára likvid eszköz</w:t>
            </w:r>
            <w:r w:rsidR="00BC2F64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nek </w:t>
            </w:r>
            <w:r w:rsidR="00271F9B">
              <w:rPr>
                <w:rFonts w:asciiTheme="majorHAnsi" w:hAnsiTheme="majorHAnsi" w:cs="Arial"/>
                <w:b/>
                <w:szCs w:val="20"/>
                <w:u w:val="single"/>
              </w:rPr>
              <w:t>minősülnek</w:t>
            </w:r>
          </w:p>
          <w:p w14:paraId="5CDE7A7E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27. cikkének (3) bekezdése. </w:t>
            </w:r>
          </w:p>
          <w:p w14:paraId="5BBA16E1" w14:textId="1C3C24CF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27. cikk (3) bekezdésével öss</w:t>
            </w:r>
            <w:r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>hangban, szükséges azonosítani azon likvid eszközöket, amelyek hitelintézet által a központi inté</w:t>
            </w:r>
            <w:r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>ményben elhelyezett betétek és likvid eszköznek minősülnek a betétet elhelyező szempontjából. E likvid eszközök nem vehetők számításba az e bekezdés első mondatában említett kiáramlástól elt</w:t>
            </w:r>
            <w:r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rő kiáramlások fedezésére, és figyelmen kívül kell hagyni őket a 17. cikk szerinti fennmaradó likvid</w:t>
            </w:r>
            <w:r w:rsidRPr="002B614E">
              <w:rPr>
                <w:rFonts w:asciiTheme="majorHAnsi" w:hAnsiTheme="majorHAnsi" w:cs="Arial"/>
                <w:szCs w:val="20"/>
              </w:rPr>
              <w:t>i</w:t>
            </w:r>
            <w:r w:rsidRPr="002B614E">
              <w:rPr>
                <w:rFonts w:asciiTheme="majorHAnsi" w:hAnsiTheme="majorHAnsi" w:cs="Arial"/>
                <w:szCs w:val="20"/>
              </w:rPr>
              <w:t>tási puffer összetételének a központi intézményre vonatkozóan egyedi szinten történő számítása során.</w:t>
            </w:r>
          </w:p>
          <w:p w14:paraId="37909F8F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központi hitelintézeteknek, ezen eszközök jelentésekor, meg kell bizonyosodniuk arról, hogy a j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lentett likvid eszközök értékcsökkentés utáni összege nem haladja meg az említett betétek kiára</w:t>
            </w:r>
            <w:r w:rsidRPr="002B614E">
              <w:rPr>
                <w:rFonts w:asciiTheme="majorHAnsi" w:hAnsiTheme="majorHAnsi" w:cs="Arial"/>
                <w:szCs w:val="20"/>
              </w:rPr>
              <w:t>m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lását. </w:t>
            </w:r>
          </w:p>
          <w:p w14:paraId="10196719" w14:textId="3C397E5D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Ezeket az eszközöket a XXIV. Mellékletben lévő </w:t>
            </w:r>
            <w:r w:rsidR="00F73E32">
              <w:rPr>
                <w:rFonts w:asciiTheme="majorHAnsi" w:hAnsiTheme="majorHAnsi" w:cs="Arial"/>
                <w:szCs w:val="20"/>
              </w:rPr>
              <w:t>C 72.00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tábla „alkalmazandó” részében kell jelent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ni és a releváns mennyiséget itt kell feltüntetni. </w:t>
            </w:r>
          </w:p>
          <w:p w14:paraId="2057B95D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Ez a sor 2A. szintű eszközökre vonatkozik. </w:t>
            </w:r>
          </w:p>
        </w:tc>
      </w:tr>
      <w:tr w:rsidR="008677A1" w:rsidRPr="002B614E" w14:paraId="66268174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F52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310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EFB" w14:textId="33C4EBBA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="00271F9B">
              <w:rPr>
                <w:rFonts w:asciiTheme="majorHAnsi" w:hAnsiTheme="majorHAnsi" w:cs="Arial"/>
                <w:b/>
                <w:szCs w:val="20"/>
                <w:u w:val="single"/>
              </w:rPr>
              <w:t>Összes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nem kiigazított 2B. szintű eszköz</w:t>
            </w:r>
          </w:p>
          <w:p w14:paraId="4436ED5A" w14:textId="11FD324D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</w:t>
            </w:r>
            <w:proofErr w:type="gramStart"/>
            <w:r w:rsidR="00424AAA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13</w:t>
            </w:r>
            <w:r w:rsidR="00424AAA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14</w:t>
            </w:r>
            <w:r w:rsidR="00424AAA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15</w:t>
            </w:r>
            <w:r w:rsidR="00424AAA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>, 16</w:t>
            </w:r>
            <w:r w:rsidR="00424AAA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és 19</w:t>
            </w:r>
            <w:r w:rsidR="00424AAA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cikke.</w:t>
            </w:r>
          </w:p>
          <w:p w14:paraId="4B3F3010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Ebben az alfejezetben jelentett eszközök kifejezetten 2B. szintű eszközként lettek azonosítva vagy hasonló elbánás alá esnek a Bizottság (EU) 2015/61 felhatalmazáson alapuló rendelete alapján.</w:t>
            </w:r>
          </w:p>
          <w:p w14:paraId="3E10AB99" w14:textId="77777777" w:rsidR="00CE5C31" w:rsidRPr="000961EF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>A hitelintézeteknek a 040-es oszlopban kell jelenteniük a 2B. szintű likvid eszközök teljes piaci ért</w:t>
            </w:r>
            <w:r w:rsidRPr="000961EF">
              <w:rPr>
                <w:rFonts w:asciiTheme="majorHAnsi" w:hAnsiTheme="majorHAnsi" w:cs="Arial"/>
                <w:szCs w:val="20"/>
              </w:rPr>
              <w:t>é</w:t>
            </w:r>
            <w:r w:rsidRPr="000961EF">
              <w:rPr>
                <w:rFonts w:asciiTheme="majorHAnsi" w:hAnsiTheme="majorHAnsi" w:cs="Arial"/>
                <w:szCs w:val="20"/>
              </w:rPr>
              <w:t>kének az összegét, függetlenül a Bizottság (EU) 2015/61 felhatalmazáson alapuló rendeletének 17. cikkében leírt korlátozásoktól.</w:t>
            </w:r>
          </w:p>
          <w:p w14:paraId="2093EE37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0961EF">
              <w:rPr>
                <w:rFonts w:asciiTheme="majorHAnsi" w:hAnsiTheme="majorHAnsi" w:cs="Arial"/>
                <w:szCs w:val="20"/>
              </w:rPr>
              <w:t>A hitelintézeteknek a 040-es oszlopban kell jelenteniük a 2B. szintű likvid eszközök súlyozott teljes összegét, függetlenül a Bizottság (EU) 2015/61 felhatalmazáson alapuló rendeletének 17. cikkében leírt korlátozásoktól.</w:t>
            </w:r>
          </w:p>
        </w:tc>
      </w:tr>
      <w:tr w:rsidR="008677A1" w:rsidRPr="002B614E" w14:paraId="3C1508DA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84C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320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0CC" w14:textId="2E05ED25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1.2.2.1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Eszközfedezetű értékpapírok (</w:t>
            </w:r>
            <w:r w:rsidR="00B63825">
              <w:rPr>
                <w:rFonts w:asciiTheme="majorHAnsi" w:hAnsiTheme="majorHAnsi" w:cs="Arial"/>
                <w:b/>
                <w:szCs w:val="20"/>
                <w:u w:val="single"/>
              </w:rPr>
              <w:t>lakóingatlan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, 1. hitelminőségi besorolás)</w:t>
            </w:r>
          </w:p>
          <w:p w14:paraId="0FA05F40" w14:textId="26C59E54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12. cikk (1) bekezdésének (a) és 13. cikk (2) bekezdésének (g)</w:t>
            </w:r>
            <w:r w:rsidR="00CF3FB3">
              <w:rPr>
                <w:rFonts w:asciiTheme="majorHAnsi" w:hAnsiTheme="majorHAnsi" w:cs="Arial"/>
                <w:szCs w:val="20"/>
              </w:rPr>
              <w:t xml:space="preserve"> pont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(i) és (ii) </w:t>
            </w:r>
            <w:r w:rsidR="00CF3FB3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pontja.</w:t>
            </w:r>
          </w:p>
          <w:p w14:paraId="4C0658DB" w14:textId="1796009E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Eszközfedezetű értékpapírok formájában fennálló kitettségek, amelyek teljesítik a Bizottság (EU) 2015/61 felhatalmazáson alapuló rendeletének 13. cikkében rögzített követelményeket, feltéve hogy a mögöttes kitettség lakóingatlan hitel fedezetű, amely első kategóriájú jelzáloggal vagy telj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sen garantált lakóingatlan hitellel van biztosítva, ugyanezen rendelet 13</w:t>
            </w:r>
            <w:r w:rsidR="004E13AD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 (2) bekezdésének (g) </w:t>
            </w:r>
            <w:r w:rsidR="00CF3FB3">
              <w:rPr>
                <w:rFonts w:asciiTheme="majorHAnsi" w:hAnsiTheme="majorHAnsi" w:cs="Arial"/>
                <w:szCs w:val="20"/>
              </w:rPr>
              <w:t xml:space="preserve">pont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(i) és (ii) </w:t>
            </w:r>
            <w:r w:rsidR="00CF3FB3">
              <w:rPr>
                <w:rFonts w:asciiTheme="majorHAnsi" w:hAnsiTheme="majorHAnsi" w:cs="Arial"/>
                <w:szCs w:val="20"/>
              </w:rPr>
              <w:t>al</w:t>
            </w:r>
            <w:r w:rsidR="00283B87">
              <w:rPr>
                <w:rFonts w:asciiTheme="majorHAnsi" w:hAnsiTheme="majorHAnsi" w:cs="Arial"/>
                <w:szCs w:val="20"/>
              </w:rPr>
              <w:t>pontjával összhangban.</w:t>
            </w:r>
          </w:p>
          <w:p w14:paraId="4AC32952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Itt kell jelenteni azokat az eszközöket, amelyekre a Bizottság (EU) 2015/61 felhatalmazáson alapuló rendeletének 37. cikkében részletezett átmeneti rendelkezések vonatkoznak. </w:t>
            </w:r>
          </w:p>
        </w:tc>
      </w:tr>
      <w:tr w:rsidR="008677A1" w:rsidRPr="002B614E" w14:paraId="59C6F06E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9C7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330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DF4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1.2.2.2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Eszközfedezetű értékpapírok (gépjármű, 1. hitelminőségi besorolás)</w:t>
            </w:r>
          </w:p>
          <w:p w14:paraId="23EC1F5B" w14:textId="71F55C2B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12. cikke (1) bekezdésének (a) és 13. cikke (2) bekezdésének (g)</w:t>
            </w:r>
            <w:r w:rsidR="00CF3FB3">
              <w:rPr>
                <w:rFonts w:asciiTheme="majorHAnsi" w:hAnsiTheme="majorHAnsi" w:cs="Arial"/>
                <w:szCs w:val="20"/>
              </w:rPr>
              <w:t xml:space="preserve"> pont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(iv)</w:t>
            </w:r>
            <w:r w:rsidR="0045133E">
              <w:rPr>
                <w:rFonts w:asciiTheme="majorHAnsi" w:hAnsiTheme="majorHAnsi" w:cs="Arial"/>
                <w:szCs w:val="20"/>
              </w:rPr>
              <w:t xml:space="preserve"> </w:t>
            </w:r>
            <w:r w:rsidR="00CF3FB3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pontja.</w:t>
            </w:r>
          </w:p>
          <w:p w14:paraId="06CBF6C7" w14:textId="021A129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Eszközfedezetű kötvények formájában fennálló kitettségek, amelyek teljesítik a Bizottság (EU) </w:t>
            </w:r>
            <w:r w:rsidRPr="002B614E">
              <w:rPr>
                <w:rFonts w:asciiTheme="majorHAnsi" w:hAnsiTheme="majorHAnsi" w:cs="Arial"/>
                <w:szCs w:val="20"/>
              </w:rPr>
              <w:lastRenderedPageBreak/>
              <w:t>2015/61 felhatalmazáson alapuló rendeletének 13. cikkében rögzített követelményeket, feltéve hogy a mögöttes kitettség gépjármű hitel vagy lízing, ugyanezen rendelet 13. cikke (2) bekezdés</w:t>
            </w:r>
            <w:r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nek (g)</w:t>
            </w:r>
            <w:r w:rsidR="0053538F">
              <w:rPr>
                <w:rFonts w:asciiTheme="majorHAnsi" w:hAnsiTheme="majorHAnsi" w:cs="Arial"/>
                <w:szCs w:val="20"/>
              </w:rPr>
              <w:t xml:space="preserve"> pont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(iv) pontjával összhangban.</w:t>
            </w:r>
          </w:p>
        </w:tc>
      </w:tr>
      <w:tr w:rsidR="008677A1" w:rsidRPr="002B614E" w14:paraId="1B5B3097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862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340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BB12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1.2.2.3.</w:t>
            </w:r>
            <w:r w:rsidRPr="002B614E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Magas minőségű fedezett kötvények (35%-os kockázati súly)</w:t>
            </w:r>
          </w:p>
          <w:p w14:paraId="1DC188B8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12. cikke (1) bekezdésének (e) pontja.</w:t>
            </w:r>
          </w:p>
          <w:p w14:paraId="2A29A993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Hitelintézetek által kibocsátott fedezett kötvények formájában fennálló kitettségek, amelyek telj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sítik a Bizottság (EU) 2015/61 felhatalmazáson alapuló rendeletének 12. cikke (1) bekezdésének (e) pontjában rögzített követelményeket, feltéve hogy a mögöttes eszközök, kizárólag olyan kitetts</w:t>
            </w:r>
            <w:r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gek, amelyek 35%-os vagy alacsonyabb kockázati súlyt kapnak az 575/2013/EU rendelet, 125</w:t>
            </w:r>
            <w:r w:rsidR="009667BC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 alapján. </w:t>
            </w:r>
          </w:p>
        </w:tc>
      </w:tr>
      <w:tr w:rsidR="008677A1" w:rsidRPr="002B614E" w14:paraId="749857A9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F93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350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F27" w14:textId="3A29FB50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1.2.2.4 Eszközfedezetű értékpapírok (</w:t>
            </w:r>
            <w:r w:rsidR="00CF3FB3">
              <w:rPr>
                <w:rFonts w:asciiTheme="majorHAnsi" w:hAnsiTheme="majorHAnsi" w:cs="Arial"/>
                <w:b/>
                <w:szCs w:val="20"/>
                <w:u w:val="single"/>
              </w:rPr>
              <w:t>vállalati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vagy </w:t>
            </w:r>
            <w:r w:rsidR="006C588C">
              <w:rPr>
                <w:rFonts w:asciiTheme="majorHAnsi" w:hAnsiTheme="majorHAnsi" w:cs="Arial"/>
                <w:b/>
                <w:szCs w:val="20"/>
                <w:u w:val="single"/>
              </w:rPr>
              <w:t>háztartási hitel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, tag</w:t>
            </w:r>
            <w:r w:rsidR="00184F6B" w:rsidRPr="002B614E">
              <w:rPr>
                <w:rFonts w:asciiTheme="majorHAnsi" w:hAnsiTheme="majorHAnsi" w:cs="Arial"/>
                <w:b/>
                <w:szCs w:val="20"/>
                <w:u w:val="single"/>
              </w:rPr>
              <w:t>állam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, 1. hitelminőségi b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e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sorolás)</w:t>
            </w:r>
          </w:p>
          <w:p w14:paraId="41C98036" w14:textId="1599A494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Bizottság (EU) 2015/61 felhatalmazáson alapuló rendeletének 12. cikke (1) bekezdésének (a) és 13. cikke (2) bekezdésének (g) </w:t>
            </w:r>
            <w:r w:rsidR="00CF3FB3">
              <w:rPr>
                <w:rFonts w:asciiTheme="majorHAnsi" w:hAnsiTheme="majorHAnsi" w:cs="Arial"/>
                <w:szCs w:val="20"/>
              </w:rPr>
              <w:t xml:space="preserve">pont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(iii) és (v) </w:t>
            </w:r>
            <w:r w:rsidR="00CF3FB3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pontja.</w:t>
            </w:r>
          </w:p>
          <w:p w14:paraId="7923FC70" w14:textId="33971BE2" w:rsidR="00CE5C31" w:rsidRPr="002B614E" w:rsidRDefault="00CE5C31" w:rsidP="00283B87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Eszközfedezetű értékpapírok formájában fennálló kitettségek, amelyek teljesítik a Bizottság (EU) 2015/61 felhatalmazáson alapuló rendeletének 13. cikkében rögzített követelményeket, feltéve hogy a mögöttes kitettség olyan eszköz, amely ugyanezen rendelet 13. cikke (2) bekezdésének (g) </w:t>
            </w:r>
            <w:r w:rsidR="00CF3FB3">
              <w:rPr>
                <w:rFonts w:asciiTheme="majorHAnsi" w:hAnsiTheme="majorHAnsi" w:cs="Arial"/>
                <w:szCs w:val="20"/>
              </w:rPr>
              <w:t xml:space="preserve">pont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(iii) és (v) </w:t>
            </w:r>
            <w:r w:rsidR="00CF3FB3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pontjában szerepel. Megjegyezzük, hogy a 13. cikk (2) bekezdésének (g)</w:t>
            </w:r>
            <w:r w:rsidR="00CF3FB3">
              <w:rPr>
                <w:rFonts w:asciiTheme="majorHAnsi" w:hAnsiTheme="majorHAnsi" w:cs="Arial"/>
                <w:szCs w:val="20"/>
              </w:rPr>
              <w:t xml:space="preserve"> pont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(iii) </w:t>
            </w:r>
            <w:r w:rsidR="00CF3FB3">
              <w:rPr>
                <w:rFonts w:asciiTheme="majorHAnsi" w:hAnsiTheme="majorHAnsi" w:cs="Arial"/>
                <w:szCs w:val="20"/>
              </w:rPr>
              <w:t>al</w:t>
            </w:r>
            <w:r w:rsidRPr="002B614E">
              <w:rPr>
                <w:rFonts w:asciiTheme="majorHAnsi" w:hAnsiTheme="majorHAnsi" w:cs="Arial"/>
                <w:szCs w:val="20"/>
              </w:rPr>
              <w:t>pontja szerint, hogy az értékpapírosítás kezdő időpontjában a fedezeti alapban szereplő hitelek felvevőinek legalább 80%-a kis- és középvállalkozás</w:t>
            </w:r>
            <w:r w:rsidR="009667BC">
              <w:rPr>
                <w:rFonts w:asciiTheme="majorHAnsi" w:hAnsiTheme="majorHAnsi" w:cs="Arial"/>
                <w:szCs w:val="20"/>
              </w:rPr>
              <w:t xml:space="preserve"> </w:t>
            </w:r>
            <w:proofErr w:type="gramStart"/>
            <w:r w:rsidR="009667BC">
              <w:rPr>
                <w:rFonts w:asciiTheme="majorHAnsi" w:hAnsiTheme="majorHAnsi" w:cs="Arial"/>
                <w:szCs w:val="20"/>
              </w:rPr>
              <w:t>kell</w:t>
            </w:r>
            <w:proofErr w:type="gramEnd"/>
            <w:r w:rsidR="009667BC">
              <w:rPr>
                <w:rFonts w:asciiTheme="majorHAnsi" w:hAnsiTheme="majorHAnsi" w:cs="Arial"/>
                <w:szCs w:val="20"/>
              </w:rPr>
              <w:t xml:space="preserve"> </w:t>
            </w:r>
            <w:r w:rsidR="00283B87">
              <w:rPr>
                <w:rFonts w:asciiTheme="majorHAnsi" w:hAnsiTheme="majorHAnsi" w:cs="Arial"/>
                <w:szCs w:val="20"/>
              </w:rPr>
              <w:t>legyen.</w:t>
            </w:r>
          </w:p>
        </w:tc>
      </w:tr>
      <w:tr w:rsidR="008677A1" w:rsidRPr="002B614E" w14:paraId="6EC12F98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DBB8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360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D5EC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1.2.2.5 Vállalati adósságpapírok (2./3. hitelminőségi besorolás)</w:t>
            </w:r>
          </w:p>
          <w:p w14:paraId="416F7B6D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12. cikkének (1) bekezdésének (b) pontja.</w:t>
            </w:r>
          </w:p>
          <w:p w14:paraId="3DC5F7D3" w14:textId="2025B753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Vállalati adósságpapírok, amelyek a Bizottság (EU) 2015/61 felhatalmazáson alapuló rendeletének 12. cikke (1) bekezd</w:t>
            </w:r>
            <w:r w:rsidR="00283B87">
              <w:rPr>
                <w:rFonts w:asciiTheme="majorHAnsi" w:hAnsiTheme="majorHAnsi" w:cs="Arial"/>
                <w:szCs w:val="20"/>
              </w:rPr>
              <w:t>ése (b) pontjának megfelelnek.</w:t>
            </w:r>
          </w:p>
        </w:tc>
      </w:tr>
      <w:tr w:rsidR="008677A1" w:rsidRPr="002B614E" w14:paraId="4EEDC92E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12D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370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E7D" w14:textId="3FD1CC5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1.2.2.6 Vállalati adósságpapírok – nem kamatozó eszközök (a hitelintézet </w:t>
            </w:r>
            <w:r w:rsidR="00464E61">
              <w:rPr>
                <w:rFonts w:asciiTheme="majorHAnsi" w:hAnsiTheme="majorHAnsi" w:cs="Arial"/>
                <w:b/>
                <w:szCs w:val="20"/>
                <w:u w:val="single"/>
              </w:rPr>
              <w:t xml:space="preserve">által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vallási okból </w:t>
            </w:r>
            <w:r w:rsidR="00DF1896" w:rsidRPr="002B614E">
              <w:rPr>
                <w:rFonts w:asciiTheme="majorHAnsi" w:hAnsiTheme="majorHAnsi" w:cs="Arial"/>
                <w:b/>
                <w:szCs w:val="20"/>
                <w:u w:val="single"/>
              </w:rPr>
              <w:t>ta</w:t>
            </w:r>
            <w:r w:rsidR="00DF1896" w:rsidRPr="002B614E">
              <w:rPr>
                <w:rFonts w:asciiTheme="majorHAnsi" w:hAnsiTheme="majorHAnsi" w:cs="Arial"/>
                <w:b/>
                <w:szCs w:val="20"/>
                <w:u w:val="single"/>
              </w:rPr>
              <w:t>r</w:t>
            </w:r>
            <w:r w:rsidR="00DF1896" w:rsidRPr="002B614E">
              <w:rPr>
                <w:rFonts w:asciiTheme="majorHAnsi" w:hAnsiTheme="majorHAnsi" w:cs="Arial"/>
                <w:b/>
                <w:szCs w:val="20"/>
                <w:u w:val="single"/>
              </w:rPr>
              <w:t>t</w:t>
            </w:r>
            <w:r w:rsidR="00DF1896">
              <w:rPr>
                <w:rFonts w:asciiTheme="majorHAnsi" w:hAnsiTheme="majorHAnsi" w:cs="Arial"/>
                <w:b/>
                <w:szCs w:val="20"/>
                <w:u w:val="single"/>
              </w:rPr>
              <w:t>ott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) (1./2./3. hitelminőségi besorolás)</w:t>
            </w:r>
          </w:p>
          <w:p w14:paraId="1D876285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12. cikkének (3) bekezdése.</w:t>
            </w:r>
          </w:p>
          <w:p w14:paraId="10E79185" w14:textId="6992E221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Azon hitelintézetek esetében, amelyek alapító okiratukkal összhangban vallási </w:t>
            </w:r>
            <w:r w:rsidR="00296D28">
              <w:rPr>
                <w:rFonts w:asciiTheme="majorHAnsi" w:hAnsiTheme="majorHAnsi" w:cs="Arial"/>
                <w:szCs w:val="20"/>
              </w:rPr>
              <w:t>előírás miatt</w:t>
            </w:r>
            <w:r w:rsidR="0054758C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>nem tarthatnak kamatozó eszközt, az illetékes hatóság engedélyezheti a 12. cikk (1) bekezdése (b) pon</w:t>
            </w:r>
            <w:r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jának (ii) és (iii) alpontjától való eltérést, feltéve, hogy bizonyítható az e követelményeket teljesítő nem kamatozó eszközök </w:t>
            </w:r>
            <w:proofErr w:type="gramStart"/>
            <w:r w:rsidRPr="002B614E">
              <w:rPr>
                <w:rFonts w:asciiTheme="majorHAnsi" w:hAnsiTheme="majorHAnsi" w:cs="Arial"/>
                <w:szCs w:val="20"/>
              </w:rPr>
              <w:t>elégtelen rendelkezésre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állása, és</w:t>
            </w:r>
            <w:r w:rsidR="009667BC">
              <w:rPr>
                <w:rFonts w:asciiTheme="majorHAnsi" w:hAnsiTheme="majorHAnsi" w:cs="Arial"/>
                <w:szCs w:val="20"/>
              </w:rPr>
              <w:t xml:space="preserve"> hogy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az érintett nem kamatozó eszk</w:t>
            </w:r>
            <w:r w:rsidRPr="002B614E">
              <w:rPr>
                <w:rFonts w:asciiTheme="majorHAnsi" w:hAnsiTheme="majorHAnsi" w:cs="Arial"/>
                <w:szCs w:val="20"/>
              </w:rPr>
              <w:t>ö</w:t>
            </w:r>
            <w:r w:rsidRPr="002B614E">
              <w:rPr>
                <w:rFonts w:asciiTheme="majorHAnsi" w:hAnsiTheme="majorHAnsi" w:cs="Arial"/>
                <w:szCs w:val="20"/>
              </w:rPr>
              <w:t>zök megfelelően likvidek a magánpiacokon.</w:t>
            </w:r>
          </w:p>
          <w:p w14:paraId="3C7E28BE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fent említett hitelintézeteknek jelentenie kell a vállalati adósságpapírokat, amelyek nem kamat</w:t>
            </w:r>
            <w:r w:rsidRPr="002B614E">
              <w:rPr>
                <w:rFonts w:asciiTheme="majorHAnsi" w:hAnsiTheme="majorHAnsi" w:cs="Arial"/>
                <w:szCs w:val="20"/>
              </w:rPr>
              <w:t>o</w:t>
            </w:r>
            <w:r w:rsidRPr="002B614E">
              <w:rPr>
                <w:rFonts w:asciiTheme="majorHAnsi" w:hAnsiTheme="majorHAnsi" w:cs="Arial"/>
                <w:szCs w:val="20"/>
              </w:rPr>
              <w:t>zó eszközök, a fentebb említettek alapján, abban az esetben, ha teljesítik a 12. cikk (1) bekezdés</w:t>
            </w:r>
            <w:r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nek (i) pontját és a nemzeti hatóságtól felmentést kaptak.</w:t>
            </w:r>
          </w:p>
        </w:tc>
      </w:tr>
      <w:tr w:rsidR="008677A1" w:rsidRPr="002B614E" w14:paraId="267D0920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07B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380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F32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1.2.2.7 Részvények (jelentős tőzsdeindex)</w:t>
            </w:r>
          </w:p>
          <w:p w14:paraId="699C3A10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12. cikkének (1) bekezdésének (c) pontja.</w:t>
            </w:r>
          </w:p>
          <w:p w14:paraId="3D3A31AF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Részvények, amelyek a Bizottság (EU) 2015/61 felhatalmazáson alapuló rendeletének 12. cikkének (1) bekezdése szerinti (c) pontjának megfelelnek és a hitelintézet székhely szerinti tagállamának devizanemében denomináltak. </w:t>
            </w:r>
          </w:p>
          <w:p w14:paraId="5B09EAAE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azon részvényeket is, amelyek a Bizottság (EU) 2015/61 felh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lastRenderedPageBreak/>
              <w:t>talmazáson alapuló rendeletének 12. cikke (1) bekezdésének (c) pontjának megfelelnek, és eltérő devizában vannak denominálva, feltéve, hogy 2B. szintű eszköznek minősülnek és kizárólag addig az összegig számíthatóak be, ameddig fedezik a likviditási kiáramlásokat abban a devizában vagy annak a joghatóságnak a területén, ahol a likviditási kockázat felmerült.</w:t>
            </w:r>
          </w:p>
        </w:tc>
      </w:tr>
      <w:tr w:rsidR="008677A1" w:rsidRPr="002B614E" w14:paraId="4E372644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64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390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908" w14:textId="6E92808E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1.2.2.8 Nem kamatozó eszközök (hitelintézet</w:t>
            </w:r>
            <w:r w:rsidR="009873C3">
              <w:rPr>
                <w:rFonts w:asciiTheme="majorHAnsi" w:hAnsiTheme="majorHAnsi" w:cs="Arial"/>
                <w:b/>
                <w:szCs w:val="20"/>
                <w:u w:val="single"/>
              </w:rPr>
              <w:t>ek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6C588C">
              <w:rPr>
                <w:rFonts w:asciiTheme="majorHAnsi" w:hAnsiTheme="majorHAnsi" w:cs="Arial"/>
                <w:b/>
                <w:szCs w:val="20"/>
                <w:u w:val="single"/>
              </w:rPr>
              <w:t>által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vallási okokból tart</w:t>
            </w:r>
            <w:r w:rsidR="006C588C">
              <w:rPr>
                <w:rFonts w:asciiTheme="majorHAnsi" w:hAnsiTheme="majorHAnsi" w:cs="Arial"/>
                <w:b/>
                <w:szCs w:val="20"/>
                <w:u w:val="single"/>
              </w:rPr>
              <w:t>ott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) (3.-5. hitelminőségi besorolás)</w:t>
            </w:r>
          </w:p>
          <w:p w14:paraId="50D4156B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12. cikkének (1) bekezdésének (f) pontja.</w:t>
            </w:r>
          </w:p>
          <w:p w14:paraId="716BC37A" w14:textId="35A58416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proofErr w:type="gramStart"/>
            <w:r w:rsidRPr="002B614E">
              <w:rPr>
                <w:rFonts w:asciiTheme="majorHAnsi" w:hAnsiTheme="majorHAnsi" w:cs="Arial"/>
                <w:szCs w:val="20"/>
              </w:rPr>
              <w:t xml:space="preserve">Azon hitelintézetek esetében, amelyek alapító okiratukkal összhangban vallási </w:t>
            </w:r>
            <w:r w:rsidR="00B847A2">
              <w:rPr>
                <w:rFonts w:asciiTheme="majorHAnsi" w:hAnsiTheme="majorHAnsi" w:cs="Arial"/>
                <w:szCs w:val="20"/>
              </w:rPr>
              <w:t xml:space="preserve">előírások miatt </w:t>
            </w:r>
            <w:r w:rsidRPr="002B614E">
              <w:rPr>
                <w:rFonts w:asciiTheme="majorHAnsi" w:hAnsiTheme="majorHAnsi" w:cs="Arial"/>
                <w:szCs w:val="20"/>
              </w:rPr>
              <w:t>nem tarthatnak kamatozó eszközt, a központi bankokkal, harmadik ország központi kormányzatával vagy központi bankjával vagy harmadik országbeli regionális kormányzattal, helyi hatósággal vagy közszektorbeli intézménnyel szembeni követeléseket megtestesítő vagy általuk garantált nem k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matozó eszközök, feltéve, hogy az említett eszközöket valamely kijelölt külső hitelminősítő intézet az 575/2013/EU rendelet 114. cikkével összhangban legalább 5. hitelminőségi besorolásba tartoz</w:t>
            </w:r>
            <w:r w:rsidRPr="002B614E">
              <w:rPr>
                <w:rFonts w:asciiTheme="majorHAnsi" w:hAnsiTheme="majorHAnsi" w:cs="Arial"/>
                <w:szCs w:val="20"/>
              </w:rPr>
              <w:t>ó</w:t>
            </w:r>
            <w:r w:rsidRPr="002B614E">
              <w:rPr>
                <w:rFonts w:asciiTheme="majorHAnsi" w:hAnsiTheme="majorHAnsi" w:cs="Arial"/>
                <w:szCs w:val="20"/>
              </w:rPr>
              <w:t>nak vagy rövid távú hitelminősítés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esetében ennek megfelelő hitelminőségi besorolásúnak minős</w:t>
            </w:r>
            <w:r w:rsidRPr="002B614E">
              <w:rPr>
                <w:rFonts w:asciiTheme="majorHAnsi" w:hAnsiTheme="majorHAnsi" w:cs="Arial"/>
                <w:szCs w:val="20"/>
              </w:rPr>
              <w:t>í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tette. </w:t>
            </w:r>
          </w:p>
        </w:tc>
      </w:tr>
      <w:tr w:rsidR="008677A1" w:rsidRPr="002B614E" w14:paraId="4F21CD23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DCA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51D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1.2.2.9 Korlátozott felhasználású, folyósítási kötelezettséget tartalmazó központi banki likviditási keret</w:t>
            </w:r>
          </w:p>
          <w:p w14:paraId="486E255B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12. cikkének (1) bekezdésének (d) pontja.</w:t>
            </w:r>
          </w:p>
          <w:p w14:paraId="2F32E902" w14:textId="58E31CB1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</w:t>
            </w:r>
            <w:r w:rsidR="009667BC">
              <w:rPr>
                <w:rFonts w:asciiTheme="majorHAnsi" w:hAnsiTheme="majorHAnsi" w:cs="Arial"/>
                <w:szCs w:val="20"/>
              </w:rPr>
              <w:t>ének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14. cikkének szerinti, központi bank által nyújtott, korlátozott felhasználású folyósítási kötelezettséget tartalmazó likviditási ker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tek le nem hívott összege.</w:t>
            </w:r>
          </w:p>
        </w:tc>
      </w:tr>
      <w:tr w:rsidR="008677A1" w:rsidRPr="002B614E" w14:paraId="428E7CA6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8A1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E6D" w14:textId="479C8F03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1.2.2.10 </w:t>
            </w:r>
            <w:r w:rsidR="008E27D0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Minősített </w:t>
            </w:r>
            <w:r w:rsidR="008E27D0">
              <w:rPr>
                <w:rFonts w:asciiTheme="majorHAnsi" w:hAnsiTheme="majorHAnsi" w:cs="Arial"/>
                <w:b/>
                <w:szCs w:val="20"/>
                <w:u w:val="single"/>
              </w:rPr>
              <w:t xml:space="preserve">kollektív </w:t>
            </w:r>
            <w:r w:rsidR="008E27D0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befektetési </w:t>
            </w:r>
            <w:r w:rsidR="008E27D0">
              <w:rPr>
                <w:rFonts w:asciiTheme="majorHAnsi" w:hAnsiTheme="majorHAnsi" w:cs="Arial"/>
                <w:b/>
                <w:szCs w:val="20"/>
                <w:u w:val="single"/>
              </w:rPr>
              <w:t>formák</w:t>
            </w:r>
            <w:r w:rsidR="008E27D0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8E27D0">
              <w:rPr>
                <w:rFonts w:asciiTheme="majorHAnsi" w:hAnsiTheme="majorHAnsi" w:cs="Arial"/>
                <w:b/>
                <w:szCs w:val="20"/>
                <w:u w:val="single"/>
              </w:rPr>
              <w:t>(</w:t>
            </w:r>
            <w:r w:rsidR="008E27D0" w:rsidRPr="002B614E">
              <w:rPr>
                <w:rFonts w:asciiTheme="majorHAnsi" w:hAnsiTheme="majorHAnsi" w:cs="Arial"/>
                <w:b/>
                <w:szCs w:val="20"/>
                <w:u w:val="single"/>
              </w:rPr>
              <w:t>KBF</w:t>
            </w:r>
            <w:r w:rsidR="008E27D0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  <w:r w:rsidR="008E27D0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részvénye</w:t>
            </w:r>
            <w:r w:rsidR="008E27D0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8E27D0" w:rsidRPr="002B614E">
              <w:rPr>
                <w:rFonts w:asciiTheme="majorHAnsi" w:hAnsiTheme="majorHAnsi" w:cs="Arial"/>
                <w:b/>
                <w:szCs w:val="20"/>
                <w:u w:val="single"/>
              </w:rPr>
              <w:t>/befektetési jegye</w:t>
            </w:r>
            <w:r w:rsidR="008E27D0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8E27D0" w:rsidRPr="002B614E">
              <w:rPr>
                <w:rFonts w:asciiTheme="majorHAnsi" w:hAnsiTheme="majorHAnsi" w:cs="Arial"/>
                <w:b/>
                <w:szCs w:val="20"/>
                <w:u w:val="single"/>
              </w:rPr>
              <w:t>: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a mögöttes eszköz</w:t>
            </w:r>
            <w:r w:rsidR="00BC2F64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eszközfedezetű értékpapírok (lakóingatlan vagy gépjármű, 1. hitelminőségi besorolás)</w:t>
            </w:r>
          </w:p>
          <w:p w14:paraId="22A511B1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15. cikkének (2) bekezdésének (e) pontja.</w:t>
            </w:r>
          </w:p>
          <w:p w14:paraId="0F156348" w14:textId="3D47E35A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KBF részvények vagy befektetési jegyek, melyek mögöttes eszközei a Bizottság (EU) 2015/61 felh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talmazáson alapuló rendeletének 13. cikke (2) bekezdésének (g)</w:t>
            </w:r>
            <w:r w:rsidR="0053538F">
              <w:rPr>
                <w:rFonts w:asciiTheme="majorHAnsi" w:hAnsiTheme="majorHAnsi" w:cs="Arial"/>
                <w:szCs w:val="20"/>
              </w:rPr>
              <w:t xml:space="preserve"> pont</w:t>
            </w:r>
            <w:r w:rsidRPr="002B614E">
              <w:rPr>
                <w:rFonts w:asciiTheme="majorHAnsi" w:hAnsiTheme="majorHAnsi" w:cs="Arial"/>
                <w:szCs w:val="20"/>
              </w:rPr>
              <w:t>, (i), (ii) és (iv) pontjai alapján minősülnek 2B. szintű eszköznek.</w:t>
            </w:r>
          </w:p>
        </w:tc>
      </w:tr>
      <w:tr w:rsidR="008677A1" w:rsidRPr="002B614E" w14:paraId="0C565C99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EAF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420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C60" w14:textId="5C2741A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1.2.2.11 </w:t>
            </w:r>
            <w:r w:rsidR="003763B5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Minősített </w:t>
            </w:r>
            <w:r w:rsidR="003763B5">
              <w:rPr>
                <w:rFonts w:asciiTheme="majorHAnsi" w:hAnsiTheme="majorHAnsi" w:cs="Arial"/>
                <w:b/>
                <w:szCs w:val="20"/>
                <w:u w:val="single"/>
              </w:rPr>
              <w:t xml:space="preserve">kollektív </w:t>
            </w:r>
            <w:r w:rsidR="003763B5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befektetési </w:t>
            </w:r>
            <w:r w:rsidR="003763B5">
              <w:rPr>
                <w:rFonts w:asciiTheme="majorHAnsi" w:hAnsiTheme="majorHAnsi" w:cs="Arial"/>
                <w:b/>
                <w:szCs w:val="20"/>
                <w:u w:val="single"/>
              </w:rPr>
              <w:t>formák</w:t>
            </w:r>
            <w:r w:rsidR="003763B5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3763B5">
              <w:rPr>
                <w:rFonts w:asciiTheme="majorHAnsi" w:hAnsiTheme="majorHAnsi" w:cs="Arial"/>
                <w:b/>
                <w:szCs w:val="20"/>
                <w:u w:val="single"/>
              </w:rPr>
              <w:t>(</w:t>
            </w:r>
            <w:r w:rsidR="003763B5" w:rsidRPr="002B614E">
              <w:rPr>
                <w:rFonts w:asciiTheme="majorHAnsi" w:hAnsiTheme="majorHAnsi" w:cs="Arial"/>
                <w:b/>
                <w:szCs w:val="20"/>
                <w:u w:val="single"/>
              </w:rPr>
              <w:t>KBF</w:t>
            </w:r>
            <w:r w:rsidR="003763B5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  <w:r w:rsidR="003763B5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részvénye</w:t>
            </w:r>
            <w:r w:rsidR="003763B5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3763B5" w:rsidRPr="002B614E">
              <w:rPr>
                <w:rFonts w:asciiTheme="majorHAnsi" w:hAnsiTheme="majorHAnsi" w:cs="Arial"/>
                <w:b/>
                <w:szCs w:val="20"/>
                <w:u w:val="single"/>
              </w:rPr>
              <w:t>/befektetési jegye</w:t>
            </w:r>
            <w:r w:rsidR="003763B5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3763B5" w:rsidRPr="002B614E">
              <w:rPr>
                <w:rFonts w:asciiTheme="majorHAnsi" w:hAnsiTheme="majorHAnsi" w:cs="Arial"/>
                <w:b/>
                <w:szCs w:val="20"/>
                <w:u w:val="single"/>
              </w:rPr>
              <w:t>:</w:t>
            </w:r>
            <w:r w:rsidR="003763B5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a mögöttes eszköz</w:t>
            </w:r>
            <w:r w:rsidR="00BC2F64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magas minőségű fedezett kötvény</w:t>
            </w:r>
            <w:r w:rsidR="00DF1896">
              <w:rPr>
                <w:rFonts w:asciiTheme="majorHAnsi" w:hAnsiTheme="majorHAnsi" w:cs="Arial"/>
                <w:b/>
                <w:szCs w:val="20"/>
                <w:u w:val="single"/>
              </w:rPr>
              <w:t>ek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(35%-os kockázati súly)</w:t>
            </w:r>
          </w:p>
          <w:p w14:paraId="087F9877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15. cikkének (2) bekezdésének (f) pontja.</w:t>
            </w:r>
          </w:p>
          <w:p w14:paraId="43BEDDF8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KBF részvények vagy befektetési jegyek, melyek mögöttes eszközei a Bizottság (EU) 2015/61 felh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talmazáson alapuló rendeletének 12. cikke (1) bekezdésének (e) pontja alapján minősülnek 2B. szintű eszköznek.</w:t>
            </w:r>
          </w:p>
        </w:tc>
      </w:tr>
      <w:tr w:rsidR="008677A1" w:rsidRPr="002B614E" w14:paraId="66DE9BDD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377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AAC" w14:textId="3B95C2A5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1.2.2.12 </w:t>
            </w:r>
            <w:r w:rsidR="00FF7CD6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Minősített </w:t>
            </w:r>
            <w:r w:rsidR="00FF7CD6">
              <w:rPr>
                <w:rFonts w:asciiTheme="majorHAnsi" w:hAnsiTheme="majorHAnsi" w:cs="Arial"/>
                <w:b/>
                <w:szCs w:val="20"/>
                <w:u w:val="single"/>
              </w:rPr>
              <w:t xml:space="preserve">kollektív </w:t>
            </w:r>
            <w:r w:rsidR="00FF7CD6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befektetési </w:t>
            </w:r>
            <w:r w:rsidR="00FF7CD6">
              <w:rPr>
                <w:rFonts w:asciiTheme="majorHAnsi" w:hAnsiTheme="majorHAnsi" w:cs="Arial"/>
                <w:b/>
                <w:szCs w:val="20"/>
                <w:u w:val="single"/>
              </w:rPr>
              <w:t>formák</w:t>
            </w:r>
            <w:r w:rsidR="00FF7CD6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FF7CD6">
              <w:rPr>
                <w:rFonts w:asciiTheme="majorHAnsi" w:hAnsiTheme="majorHAnsi" w:cs="Arial"/>
                <w:b/>
                <w:szCs w:val="20"/>
                <w:u w:val="single"/>
              </w:rPr>
              <w:t>(</w:t>
            </w:r>
            <w:r w:rsidR="00FF7CD6" w:rsidRPr="002B614E">
              <w:rPr>
                <w:rFonts w:asciiTheme="majorHAnsi" w:hAnsiTheme="majorHAnsi" w:cs="Arial"/>
                <w:b/>
                <w:szCs w:val="20"/>
                <w:u w:val="single"/>
              </w:rPr>
              <w:t>KBF</w:t>
            </w:r>
            <w:r w:rsidR="00FF7CD6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  <w:r w:rsidR="00FF7CD6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részvénye</w:t>
            </w:r>
            <w:r w:rsidR="00FF7CD6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FF7CD6" w:rsidRPr="002B614E">
              <w:rPr>
                <w:rFonts w:asciiTheme="majorHAnsi" w:hAnsiTheme="majorHAnsi" w:cs="Arial"/>
                <w:b/>
                <w:szCs w:val="20"/>
                <w:u w:val="single"/>
              </w:rPr>
              <w:t>/befektetési jegye</w:t>
            </w:r>
            <w:r w:rsidR="00FF7CD6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FF7CD6" w:rsidRPr="002B614E">
              <w:rPr>
                <w:rFonts w:asciiTheme="majorHAnsi" w:hAnsiTheme="majorHAnsi" w:cs="Arial"/>
                <w:b/>
                <w:szCs w:val="20"/>
                <w:u w:val="single"/>
              </w:rPr>
              <w:t>: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a mögöttes eszköz</w:t>
            </w:r>
            <w:r w:rsidR="00BC2F64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eszközfedezetű értékpapírok (vállalati vagy </w:t>
            </w:r>
            <w:r w:rsidR="003859CE">
              <w:rPr>
                <w:rFonts w:asciiTheme="majorHAnsi" w:hAnsiTheme="majorHAnsi" w:cs="Arial"/>
                <w:b/>
                <w:szCs w:val="20"/>
                <w:u w:val="single"/>
              </w:rPr>
              <w:t>háztartási hitel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, tagállam, 1. hitelminőségi besorolás)</w:t>
            </w:r>
          </w:p>
          <w:p w14:paraId="4E41EEA5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15. cikkének (2) bekezdésének (g) pontja.</w:t>
            </w:r>
          </w:p>
          <w:p w14:paraId="3EAF51B6" w14:textId="292DC68E" w:rsidR="00CE5C31" w:rsidRPr="002B614E" w:rsidRDefault="00CE5C31" w:rsidP="00283B87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KBF részvények vagy befektetési jegyek, melyek mögöttes eszközei a Bizottság (EU) 2015/61 felh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>talmazáson alapuló rendeletének 13. cikke (2) bekezdése (g) pontjának (iii) és (v) alpontjai alapján minősülnek 2B. szintű eszköznek. Megjegyezzük, hogy a 13. cikk (2) bekezdése (g) pontjának (iii) a</w:t>
            </w:r>
            <w:r w:rsidRPr="002B614E">
              <w:rPr>
                <w:rFonts w:asciiTheme="majorHAnsi" w:hAnsiTheme="majorHAnsi" w:cs="Arial"/>
                <w:szCs w:val="20"/>
              </w:rPr>
              <w:t>l</w:t>
            </w:r>
            <w:r w:rsidRPr="002B614E">
              <w:rPr>
                <w:rFonts w:asciiTheme="majorHAnsi" w:hAnsiTheme="majorHAnsi" w:cs="Arial"/>
                <w:szCs w:val="20"/>
              </w:rPr>
              <w:lastRenderedPageBreak/>
              <w:t>pontja szerint az értékpapírosítás kezdő időpontjában a fedezeti alapban szereplő hitelek felvevő</w:t>
            </w:r>
            <w:r w:rsidRPr="002B614E">
              <w:rPr>
                <w:rFonts w:asciiTheme="majorHAnsi" w:hAnsiTheme="majorHAnsi" w:cs="Arial"/>
                <w:szCs w:val="20"/>
              </w:rPr>
              <w:t>i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nek legalább 80%-a kis- és középvállalkozás </w:t>
            </w:r>
            <w:proofErr w:type="gramStart"/>
            <w:r w:rsidR="009B18A0">
              <w:rPr>
                <w:rFonts w:asciiTheme="majorHAnsi" w:hAnsiTheme="majorHAnsi" w:cs="Arial"/>
                <w:szCs w:val="20"/>
              </w:rPr>
              <w:t>kell</w:t>
            </w:r>
            <w:proofErr w:type="gramEnd"/>
            <w:r w:rsidR="009B18A0">
              <w:rPr>
                <w:rFonts w:asciiTheme="majorHAnsi" w:hAnsiTheme="majorHAnsi" w:cs="Arial"/>
                <w:szCs w:val="20"/>
              </w:rPr>
              <w:t xml:space="preserve"> </w:t>
            </w:r>
            <w:r w:rsidR="00283B87">
              <w:rPr>
                <w:rFonts w:asciiTheme="majorHAnsi" w:hAnsiTheme="majorHAnsi" w:cs="Arial"/>
                <w:szCs w:val="20"/>
              </w:rPr>
              <w:t>legyen.</w:t>
            </w:r>
          </w:p>
        </w:tc>
      </w:tr>
      <w:tr w:rsidR="008677A1" w:rsidRPr="002B614E" w14:paraId="2E803AE9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AF2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440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A7B" w14:textId="6BBDF839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1.2.2.13 </w:t>
            </w:r>
            <w:r w:rsidR="005F3F82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Minősített </w:t>
            </w:r>
            <w:r w:rsidR="005F3F82">
              <w:rPr>
                <w:rFonts w:asciiTheme="majorHAnsi" w:hAnsiTheme="majorHAnsi" w:cs="Arial"/>
                <w:b/>
                <w:szCs w:val="20"/>
                <w:u w:val="single"/>
              </w:rPr>
              <w:t xml:space="preserve">kollektív </w:t>
            </w:r>
            <w:r w:rsidR="005F3F82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befektetési </w:t>
            </w:r>
            <w:r w:rsidR="005F3F82">
              <w:rPr>
                <w:rFonts w:asciiTheme="majorHAnsi" w:hAnsiTheme="majorHAnsi" w:cs="Arial"/>
                <w:b/>
                <w:szCs w:val="20"/>
                <w:u w:val="single"/>
              </w:rPr>
              <w:t>formák</w:t>
            </w:r>
            <w:r w:rsidR="005F3F82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5F3F82">
              <w:rPr>
                <w:rFonts w:asciiTheme="majorHAnsi" w:hAnsiTheme="majorHAnsi" w:cs="Arial"/>
                <w:b/>
                <w:szCs w:val="20"/>
                <w:u w:val="single"/>
              </w:rPr>
              <w:t>(</w:t>
            </w:r>
            <w:r w:rsidR="005F3F82" w:rsidRPr="002B614E">
              <w:rPr>
                <w:rFonts w:asciiTheme="majorHAnsi" w:hAnsiTheme="majorHAnsi" w:cs="Arial"/>
                <w:b/>
                <w:szCs w:val="20"/>
                <w:u w:val="single"/>
              </w:rPr>
              <w:t>KBF</w:t>
            </w:r>
            <w:r w:rsidR="005F3F82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  <w:r w:rsidR="005F3F82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részvénye</w:t>
            </w:r>
            <w:r w:rsidR="005F3F82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5F3F82" w:rsidRPr="002B614E">
              <w:rPr>
                <w:rFonts w:asciiTheme="majorHAnsi" w:hAnsiTheme="majorHAnsi" w:cs="Arial"/>
                <w:b/>
                <w:szCs w:val="20"/>
                <w:u w:val="single"/>
              </w:rPr>
              <w:t>/befektetési jegye</w:t>
            </w:r>
            <w:r w:rsidR="005F3F82">
              <w:rPr>
                <w:rFonts w:asciiTheme="majorHAnsi" w:hAnsiTheme="majorHAnsi" w:cs="Arial"/>
                <w:b/>
                <w:szCs w:val="20"/>
                <w:u w:val="single"/>
              </w:rPr>
              <w:t>i</w:t>
            </w:r>
            <w:r w:rsidR="005F3F82" w:rsidRPr="002B614E">
              <w:rPr>
                <w:rFonts w:asciiTheme="majorHAnsi" w:hAnsiTheme="majorHAnsi" w:cs="Arial"/>
                <w:b/>
                <w:szCs w:val="20"/>
                <w:u w:val="single"/>
              </w:rPr>
              <w:t>: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mögöttes eszköz</w:t>
            </w:r>
            <w:r w:rsidR="00BC2F64">
              <w:rPr>
                <w:rFonts w:asciiTheme="majorHAnsi" w:hAnsiTheme="majorHAnsi" w:cs="Arial"/>
                <w:b/>
                <w:szCs w:val="20"/>
                <w:u w:val="single"/>
              </w:rPr>
              <w:t>ök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vállalati adósságpapírok (2./3. hitelminőségi besorolás), részvények (jelentős tőzsdei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n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dex) vagy nem kamatozó eszközök (hitelintézet</w:t>
            </w:r>
            <w:r w:rsidR="009873C3">
              <w:rPr>
                <w:rFonts w:asciiTheme="majorHAnsi" w:hAnsiTheme="majorHAnsi" w:cs="Arial"/>
                <w:b/>
                <w:szCs w:val="20"/>
                <w:u w:val="single"/>
              </w:rPr>
              <w:t>ek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DF1896">
              <w:rPr>
                <w:rFonts w:asciiTheme="majorHAnsi" w:hAnsiTheme="majorHAnsi" w:cs="Arial"/>
                <w:b/>
                <w:szCs w:val="20"/>
                <w:u w:val="single"/>
              </w:rPr>
              <w:t>által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vallási okokból </w:t>
            </w:r>
            <w:r w:rsidR="00DF1896" w:rsidRPr="002B614E">
              <w:rPr>
                <w:rFonts w:asciiTheme="majorHAnsi" w:hAnsiTheme="majorHAnsi" w:cs="Arial"/>
                <w:b/>
                <w:szCs w:val="20"/>
                <w:u w:val="single"/>
              </w:rPr>
              <w:t>tart</w:t>
            </w:r>
            <w:r w:rsidR="00DF1896">
              <w:rPr>
                <w:rFonts w:asciiTheme="majorHAnsi" w:hAnsiTheme="majorHAnsi" w:cs="Arial"/>
                <w:b/>
                <w:szCs w:val="20"/>
                <w:u w:val="single"/>
              </w:rPr>
              <w:t>ott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  <w:r w:rsidR="00554894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(3-5. hitelminőségi besorolás)</w:t>
            </w:r>
          </w:p>
          <w:p w14:paraId="70E6BCBC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15. cikkének (2) bekezdésének (h) pontja.</w:t>
            </w:r>
          </w:p>
          <w:p w14:paraId="53EC6234" w14:textId="1DA723B8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KBF részvények vagy befektetési jegyek, melyek mögöttes eszközei vállalati adósságpapírok, m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lyek megfelelnek a Bizottság (EU) 2015/61 felhatalmazáson alapuló rendeletének 12. cikke (1) b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>kezdésének (b) pontjának</w:t>
            </w:r>
            <w:proofErr w:type="gramStart"/>
            <w:r w:rsidRPr="002B614E">
              <w:rPr>
                <w:rFonts w:asciiTheme="majorHAnsi" w:hAnsiTheme="majorHAnsi" w:cs="Arial"/>
                <w:szCs w:val="20"/>
              </w:rPr>
              <w:t>,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részvények melyek megfelelnek ugyanezen rendelet 12. cikke (1) beke</w:t>
            </w:r>
            <w:r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t>désének (c) pontjának vagy nem kamatozó eszközök melyek megfelelnek ugyanezen rendelet 12. cikke (1) bekezdésének (</w:t>
            </w:r>
            <w:r w:rsidR="00283B87">
              <w:rPr>
                <w:rFonts w:asciiTheme="majorHAnsi" w:hAnsiTheme="majorHAnsi" w:cs="Arial"/>
                <w:szCs w:val="20"/>
              </w:rPr>
              <w:t>f) pontjának.</w:t>
            </w:r>
          </w:p>
        </w:tc>
      </w:tr>
      <w:tr w:rsidR="008677A1" w:rsidRPr="002B614E" w14:paraId="6FA56697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434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450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447" w14:textId="53733461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1.2.2.14 A szövetkezeti hálózat tagja által a központi intézmény</w:t>
            </w:r>
            <w:r w:rsidR="00C0048A" w:rsidRPr="002B614E">
              <w:rPr>
                <w:rFonts w:asciiTheme="majorHAnsi" w:hAnsiTheme="majorHAnsi" w:cs="Arial"/>
                <w:b/>
                <w:szCs w:val="20"/>
                <w:u w:val="single"/>
              </w:rPr>
              <w:t>nél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elhelyezett betét</w:t>
            </w:r>
            <w:r w:rsidR="00DF1896">
              <w:rPr>
                <w:rFonts w:asciiTheme="majorHAnsi" w:hAnsiTheme="majorHAnsi" w:cs="Arial"/>
                <w:b/>
                <w:szCs w:val="20"/>
                <w:u w:val="single"/>
              </w:rPr>
              <w:t>ek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(nem 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ö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telezett befektetés) </w:t>
            </w:r>
          </w:p>
          <w:p w14:paraId="3F9D92E9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16. cikkének (1) bekezdésének (b) pontja.</w:t>
            </w:r>
          </w:p>
          <w:p w14:paraId="49E21EE6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Minimum betét, amit a hitelintézet a központi intézményben tart fent, feltéve hogy az 575/2013/EU rendelet 113. cikkének (7) bekezdésében említett típusú intézményvédelmi ren</w:t>
            </w:r>
            <w:r w:rsidRPr="002B614E">
              <w:rPr>
                <w:rFonts w:asciiTheme="majorHAnsi" w:hAnsiTheme="majorHAnsi" w:cs="Arial"/>
                <w:szCs w:val="20"/>
              </w:rPr>
              <w:t>d</w:t>
            </w:r>
            <w:r w:rsidRPr="002B614E">
              <w:rPr>
                <w:rFonts w:asciiTheme="majorHAnsi" w:hAnsiTheme="majorHAnsi" w:cs="Arial"/>
                <w:szCs w:val="20"/>
              </w:rPr>
              <w:t>szerhez, az említett rendelet 10. cikkében meghatározott mentességre jogosult hálózathoz vagy v</w:t>
            </w:r>
            <w:r w:rsidRPr="002B614E">
              <w:rPr>
                <w:rFonts w:asciiTheme="majorHAnsi" w:hAnsiTheme="majorHAnsi" w:cs="Arial"/>
                <w:szCs w:val="20"/>
              </w:rPr>
              <w:t>a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lamely tagállam szövetkezeti hálózatához tartozik, irányadó jogszabály vagy szerződés értelmében. </w:t>
            </w:r>
          </w:p>
          <w:p w14:paraId="58A2911A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meg kell győződniük arról, hogy a központi intézmény nem áll jogi vagy szerz</w:t>
            </w:r>
            <w:r w:rsidRPr="002B614E">
              <w:rPr>
                <w:rFonts w:asciiTheme="majorHAnsi" w:hAnsiTheme="majorHAnsi" w:cs="Arial"/>
                <w:szCs w:val="20"/>
              </w:rPr>
              <w:t>ő</w:t>
            </w:r>
            <w:r w:rsidRPr="002B614E">
              <w:rPr>
                <w:rFonts w:asciiTheme="majorHAnsi" w:hAnsiTheme="majorHAnsi" w:cs="Arial"/>
                <w:szCs w:val="20"/>
              </w:rPr>
              <w:t>déses kötelezettség alatt arra vonatkozóan, hogy a betétből meghatározott szintű vagy kategóriájú likvid eszközt tartson vagy befektessen.</w:t>
            </w:r>
          </w:p>
        </w:tc>
      </w:tr>
      <w:tr w:rsidR="008677A1" w:rsidRPr="002B614E" w14:paraId="37FCF348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F06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460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FE0" w14:textId="71E89FE9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1.2.2.15 Likviditásfinanszírozás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központi intézménnyel rendelkező</w:t>
            </w:r>
            <w:r w:rsidR="00BC2F64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hálózat tagja 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részére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(nem 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n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e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vesített fedezet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)</w:t>
            </w:r>
          </w:p>
          <w:p w14:paraId="30F86DEC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16. cikkének (2) bekezdése.</w:t>
            </w:r>
          </w:p>
          <w:p w14:paraId="4F778A2E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korlátozott likviditásfinanszírozás le nem hívott része, amely megfelel a Bizottság (EU) 2015/61 felhatalmazáson alapuló rendeletének 16. cikke (2) bekezdésének.</w:t>
            </w:r>
          </w:p>
        </w:tc>
      </w:tr>
      <w:tr w:rsidR="008677A1" w:rsidRPr="002B614E" w14:paraId="0896116F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28F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470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D3E" w14:textId="6223BEAD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1.2.2.16 Központi 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intézmények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: 2B. szintű eszközök, amelyek a betét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 xml:space="preserve">et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elhelyező hitelintézet 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számára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likvid eszközöknek </w:t>
            </w:r>
            <w:r w:rsidR="007D48A3">
              <w:rPr>
                <w:rFonts w:asciiTheme="majorHAnsi" w:hAnsiTheme="majorHAnsi" w:cs="Arial"/>
                <w:b/>
                <w:szCs w:val="20"/>
                <w:u w:val="single"/>
              </w:rPr>
              <w:t>minősülnek</w:t>
            </w:r>
          </w:p>
          <w:p w14:paraId="6649191E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27. cikkének (3) bekezdése.</w:t>
            </w:r>
          </w:p>
          <w:p w14:paraId="765C03E9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27. cikkének (3) bekezdésével összhangban, szükséges azonosítani azokat a likvid eszközöket, melyeket egy hitelintézet betétként helyezett el a központi intézménynél, és amelyek likvid eszköznek minősülnek a betételhelyező i</w:t>
            </w:r>
            <w:r w:rsidRPr="002B614E">
              <w:rPr>
                <w:rFonts w:asciiTheme="majorHAnsi" w:hAnsiTheme="majorHAnsi" w:cs="Arial"/>
                <w:szCs w:val="20"/>
              </w:rPr>
              <w:t>n</w:t>
            </w:r>
            <w:r w:rsidRPr="002B614E">
              <w:rPr>
                <w:rFonts w:asciiTheme="majorHAnsi" w:hAnsiTheme="majorHAnsi" w:cs="Arial"/>
                <w:szCs w:val="20"/>
              </w:rPr>
              <w:t>tézmény szempontjából. Ezek a likvid eszközök nem vehetőek figyelembe az említett betétektől e</w:t>
            </w:r>
            <w:r w:rsidRPr="002B614E">
              <w:rPr>
                <w:rFonts w:asciiTheme="majorHAnsi" w:hAnsiTheme="majorHAnsi" w:cs="Arial"/>
                <w:szCs w:val="20"/>
              </w:rPr>
              <w:t>l</w:t>
            </w:r>
            <w:r w:rsidRPr="002B614E">
              <w:rPr>
                <w:rFonts w:asciiTheme="majorHAnsi" w:hAnsiTheme="majorHAnsi" w:cs="Arial"/>
                <w:szCs w:val="20"/>
              </w:rPr>
              <w:t>térő kiáramlások fedezésére és figyelmen kívül kell hagyni őket a 17. cikk szerinti fennmaradó likv</w:t>
            </w:r>
            <w:r w:rsidRPr="002B614E">
              <w:rPr>
                <w:rFonts w:asciiTheme="majorHAnsi" w:hAnsiTheme="majorHAnsi" w:cs="Arial"/>
                <w:szCs w:val="20"/>
              </w:rPr>
              <w:t>i</w:t>
            </w:r>
            <w:r w:rsidRPr="002B614E">
              <w:rPr>
                <w:rFonts w:asciiTheme="majorHAnsi" w:hAnsiTheme="majorHAnsi" w:cs="Arial"/>
                <w:szCs w:val="20"/>
              </w:rPr>
              <w:t>ditási puffer összetételének a központi intézményre vonatkozóan egyedi szinten történő számítása során.</w:t>
            </w:r>
          </w:p>
          <w:p w14:paraId="2DB62265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központi intézményeknek, amikor jelentik ezeket az eszközöket, meg kell bizonyosodniuk arról, hogy a jelentett likvid eszközök összege értékcsökkenés után nem haladja meg az </w:t>
            </w:r>
            <w:proofErr w:type="gramStart"/>
            <w:r w:rsidRPr="002B614E">
              <w:rPr>
                <w:rFonts w:asciiTheme="majorHAnsi" w:hAnsiTheme="majorHAnsi" w:cs="Arial"/>
                <w:szCs w:val="20"/>
              </w:rPr>
              <w:t>ezen</w:t>
            </w:r>
            <w:proofErr w:type="gramEnd"/>
            <w:r w:rsidRPr="002B614E">
              <w:rPr>
                <w:rFonts w:asciiTheme="majorHAnsi" w:hAnsiTheme="majorHAnsi" w:cs="Arial"/>
                <w:szCs w:val="20"/>
              </w:rPr>
              <w:t xml:space="preserve"> betétekből eredő kiáramlást.</w:t>
            </w:r>
          </w:p>
          <w:p w14:paraId="5521CD54" w14:textId="1056DA54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Ezeket az eszközöket a XXIV. mellékletben lévő </w:t>
            </w:r>
            <w:r w:rsidR="00F73E32">
              <w:rPr>
                <w:rFonts w:asciiTheme="majorHAnsi" w:hAnsiTheme="majorHAnsi" w:cs="Arial"/>
                <w:szCs w:val="20"/>
              </w:rPr>
              <w:t>C 72.00</w:t>
            </w:r>
            <w:r w:rsidRPr="002B614E">
              <w:rPr>
                <w:rFonts w:asciiTheme="majorHAnsi" w:hAnsiTheme="majorHAnsi" w:cs="Arial"/>
                <w:szCs w:val="20"/>
              </w:rPr>
              <w:t>-as tábla, alkalmazandó részébe kell jelent</w:t>
            </w:r>
            <w:r w:rsidRPr="002B614E">
              <w:rPr>
                <w:rFonts w:asciiTheme="majorHAnsi" w:hAnsiTheme="majorHAnsi" w:cs="Arial"/>
                <w:szCs w:val="20"/>
              </w:rPr>
              <w:t>e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ni és a releváns mennyiséget itt kell feltüntetni. </w:t>
            </w:r>
          </w:p>
          <w:p w14:paraId="78204222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Az ezen a soron jelentett eszközök 2B. szintűnek minősülnek.</w:t>
            </w:r>
          </w:p>
        </w:tc>
      </w:tr>
      <w:tr w:rsidR="008677A1" w:rsidRPr="002B614E" w14:paraId="072DC003" w14:textId="77777777" w:rsidTr="00750A2D"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278534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lastRenderedPageBreak/>
              <w:t>TÁJÉKOZTATÓ ADATOK</w:t>
            </w:r>
          </w:p>
        </w:tc>
      </w:tr>
      <w:tr w:rsidR="008677A1" w:rsidRPr="002B614E" w14:paraId="56D75C96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556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480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34B" w14:textId="044B9B91" w:rsidR="000961EF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2 Alternatív likviditási megközelítések: További 1./2A./2B. szintű eszközök</w:t>
            </w:r>
            <w:r w:rsidR="00BC2F64">
              <w:rPr>
                <w:rFonts w:asciiTheme="majorHAnsi" w:hAnsiTheme="majorHAnsi" w:cs="Arial"/>
                <w:b/>
                <w:szCs w:val="20"/>
                <w:u w:val="single"/>
              </w:rPr>
              <w:t>,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="007D48A3" w:rsidRPr="007D48A3">
              <w:rPr>
                <w:rFonts w:asciiTheme="majorHAnsi" w:hAnsiTheme="majorHAnsi" w:cs="Arial"/>
                <w:b/>
                <w:szCs w:val="20"/>
                <w:u w:val="single"/>
              </w:rPr>
              <w:t>amelyek az alternatív likviditási megközelítés okán nem alkalmazott devizanem-megfeleltetés miatt kerültek feltünt</w:t>
            </w:r>
            <w:r w:rsidR="007D48A3" w:rsidRPr="007D48A3">
              <w:rPr>
                <w:rFonts w:asciiTheme="majorHAnsi" w:hAnsiTheme="majorHAnsi" w:cs="Arial"/>
                <w:b/>
                <w:szCs w:val="20"/>
                <w:u w:val="single"/>
              </w:rPr>
              <w:t>e</w:t>
            </w:r>
            <w:r w:rsidR="007D48A3" w:rsidRPr="007D48A3">
              <w:rPr>
                <w:rFonts w:asciiTheme="majorHAnsi" w:hAnsiTheme="majorHAnsi" w:cs="Arial"/>
                <w:b/>
                <w:szCs w:val="20"/>
                <w:u w:val="single"/>
              </w:rPr>
              <w:t>tésre</w:t>
            </w:r>
          </w:p>
          <w:p w14:paraId="74990A0E" w14:textId="3673637D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19. cikkének (1) bekezdésének (a) pontja.</w:t>
            </w:r>
          </w:p>
          <w:p w14:paraId="279A3C33" w14:textId="07E8376B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Amennyiben a hitelintézet egy adott devizanemben nem rendelkezik elegendő likvid eszközzel az LCR teljesítéséhez, a hitelintézet a Bizottság (EU) 2015/61 felhatalmazáson alapuló rendeletének 8. cikk (6) bekezdésében foglalt operatív követelményeket figyelem kívül hagyhatja és a likvid eszköz hiányt devizában fedezheti.</w:t>
            </w:r>
          </w:p>
          <w:p w14:paraId="328C9906" w14:textId="72A2AECD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pótlólagos eszközöket a XXIV. melléklet, C72.00 táblájában normál módon kell jelenteni az alka</w:t>
            </w:r>
            <w:r w:rsidRPr="002B614E">
              <w:rPr>
                <w:rFonts w:asciiTheme="majorHAnsi" w:hAnsiTheme="majorHAnsi" w:cs="Arial"/>
                <w:szCs w:val="20"/>
              </w:rPr>
              <w:t>l</w:t>
            </w:r>
            <w:r w:rsidRPr="002B614E">
              <w:rPr>
                <w:rFonts w:asciiTheme="majorHAnsi" w:hAnsiTheme="majorHAnsi" w:cs="Arial"/>
                <w:szCs w:val="20"/>
              </w:rPr>
              <w:t>mazandó részben és itt kell jelenteni a devizális inkonzisztencia felmentésén alapuló alternatív li</w:t>
            </w:r>
            <w:r w:rsidRPr="002B614E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viditási megközelítéssel érintett teljes összeget. </w:t>
            </w:r>
          </w:p>
        </w:tc>
      </w:tr>
      <w:tr w:rsidR="008677A1" w:rsidRPr="002B614E" w14:paraId="52B73555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56E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490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5C3" w14:textId="5449D770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3 Betét</w:t>
            </w:r>
            <w:r w:rsidR="00BC2F64">
              <w:rPr>
                <w:rFonts w:asciiTheme="majorHAnsi" w:hAnsiTheme="majorHAnsi" w:cs="Arial"/>
                <w:b/>
                <w:szCs w:val="20"/>
                <w:u w:val="single"/>
              </w:rPr>
              <w:t>ek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>,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melye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 xml:space="preserve">t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a hálózat tagja helyezett el a központi intézménynél (kötelezett befektetés 1. szintű likvid eszközbe, a </w:t>
            </w:r>
            <w:r w:rsidR="001D6FE8">
              <w:rPr>
                <w:rFonts w:asciiTheme="majorHAnsi" w:hAnsiTheme="majorHAnsi" w:cs="Arial"/>
                <w:b/>
                <w:szCs w:val="20"/>
                <w:u w:val="single"/>
              </w:rPr>
              <w:t>rendkívül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magas minőségű fedezett kötvények kivételével)</w:t>
            </w:r>
          </w:p>
          <w:p w14:paraId="5F08712D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16. cikkének (1) bekezdésének (a) pontja.</w:t>
            </w:r>
          </w:p>
          <w:p w14:paraId="03E3BC30" w14:textId="65FF0F3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hitelintézeteknek jelenteniük kell az 1. szintű likvid eszközök teljes összegét, kivéve a </w:t>
            </w:r>
            <w:r w:rsidR="001D6FE8">
              <w:rPr>
                <w:rFonts w:asciiTheme="majorHAnsi" w:hAnsiTheme="majorHAnsi" w:cs="Arial"/>
                <w:szCs w:val="20"/>
              </w:rPr>
              <w:t>rendkívül</w:t>
            </w:r>
            <w:r w:rsidR="001D6FE8" w:rsidRPr="002B614E">
              <w:rPr>
                <w:rFonts w:asciiTheme="majorHAnsi" w:hAnsiTheme="majorHAnsi" w:cs="Arial"/>
                <w:szCs w:val="20"/>
              </w:rPr>
              <w:t xml:space="preserve"> 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magas minőségű fedezett kötvényeket, amelyek a korábbiakban lettek jelentve a Bizottság (EU) 2015/61 felhatalmazáson alapuló rendeletének 16. cikke (1) bekezdésének (a) pontja alapján. </w:t>
            </w:r>
          </w:p>
        </w:tc>
      </w:tr>
      <w:tr w:rsidR="008677A1" w:rsidRPr="002B614E" w14:paraId="58887465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B0C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500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E27" w14:textId="2FDAB61C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4 Betétek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>,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melyeket a hálózat tagja helyezett el a központi intézménynél (kötelezett befektetés 1. szintű </w:t>
            </w:r>
            <w:r w:rsidR="00E2251C">
              <w:rPr>
                <w:rFonts w:asciiTheme="majorHAnsi" w:hAnsiTheme="majorHAnsi" w:cs="Arial"/>
                <w:b/>
                <w:szCs w:val="20"/>
                <w:u w:val="single"/>
              </w:rPr>
              <w:t>rendkívül</w:t>
            </w:r>
            <w:r w:rsidR="00E2251C"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magas</w:t>
            </w:r>
            <w:r w:rsidR="00E2251C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minőségű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fedezett kötvénybe)</w:t>
            </w:r>
          </w:p>
          <w:p w14:paraId="1D6C7C23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16. cikkének (1) bekezdésének (a) pontja.</w:t>
            </w:r>
          </w:p>
          <w:p w14:paraId="517D8C9E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az 1. szintű rendkívül magas minőségű fedezett kötvényeket, amelyeket a fentiekben jelentettek a Bizottság (EU) 2015/61 felhatalmazáson alapuló rendeletének 16. cikke (1) bekezdésének (a) pontja alapján.</w:t>
            </w:r>
          </w:p>
        </w:tc>
      </w:tr>
      <w:tr w:rsidR="008677A1" w:rsidRPr="002B614E" w14:paraId="66072CA5" w14:textId="77777777" w:rsidTr="00096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F38" w14:textId="77E3C303" w:rsidR="00CE5C31" w:rsidRPr="00C666B0" w:rsidRDefault="000961EF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>
              <w:br w:type="page"/>
            </w:r>
            <w:r w:rsidR="00CE5C31" w:rsidRPr="00C666B0">
              <w:rPr>
                <w:rFonts w:asciiTheme="majorHAnsi" w:hAnsiTheme="majorHAnsi" w:cs="Arial"/>
                <w:szCs w:val="20"/>
              </w:rPr>
              <w:t>510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068" w14:textId="74892284" w:rsidR="000961EF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0961EF">
              <w:rPr>
                <w:rFonts w:asciiTheme="majorHAnsi" w:hAnsiTheme="majorHAnsi" w:cs="Arial"/>
                <w:b/>
                <w:szCs w:val="20"/>
                <w:u w:val="single"/>
              </w:rPr>
              <w:t>5 Betétek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>,</w:t>
            </w:r>
            <w:r w:rsidRPr="000961EF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melyeket a hálózat tagja helyezett el a központi intézménynél (kötelez</w:t>
            </w:r>
            <w:r w:rsidR="00E2251C" w:rsidRPr="000961EF">
              <w:rPr>
                <w:rFonts w:asciiTheme="majorHAnsi" w:hAnsiTheme="majorHAnsi" w:cs="Arial"/>
                <w:b/>
                <w:szCs w:val="20"/>
                <w:u w:val="single"/>
              </w:rPr>
              <w:t>ett befeketés</w:t>
            </w:r>
            <w:r w:rsidRPr="000961EF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2A. szintű eszközbe)</w:t>
            </w:r>
          </w:p>
          <w:p w14:paraId="38E9923A" w14:textId="1393CB21" w:rsidR="00CE5C31" w:rsidRPr="00C666B0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C666B0">
              <w:rPr>
                <w:rFonts w:asciiTheme="majorHAnsi" w:hAnsiTheme="majorHAnsi" w:cs="Arial"/>
                <w:szCs w:val="20"/>
              </w:rPr>
              <w:t>A Bizottság (EU) 2015/61 felhatalmazáson alapuló rendeletének 16. cikkének (1) bekezdésének (a) pontja.</w:t>
            </w:r>
          </w:p>
          <w:p w14:paraId="30707A0E" w14:textId="77777777" w:rsidR="00CE5C31" w:rsidRPr="000961EF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C666B0">
              <w:rPr>
                <w:rFonts w:asciiTheme="majorHAnsi" w:hAnsiTheme="majorHAnsi" w:cs="Arial"/>
                <w:szCs w:val="20"/>
              </w:rPr>
              <w:t>A hitelintézeteknek jelenteniük kell az 2A. szintű eszközök teljes összegét, amelyeket a fentiekben jelentettek a Bizottság (EU) 2015/61 felhatalmazáson alapuló rendeletének 16. cikke (1) bekezd</w:t>
            </w:r>
            <w:r w:rsidRPr="00C666B0">
              <w:rPr>
                <w:rFonts w:asciiTheme="majorHAnsi" w:hAnsiTheme="majorHAnsi" w:cs="Arial"/>
                <w:szCs w:val="20"/>
              </w:rPr>
              <w:t>é</w:t>
            </w:r>
            <w:r w:rsidRPr="00C666B0">
              <w:rPr>
                <w:rFonts w:asciiTheme="majorHAnsi" w:hAnsiTheme="majorHAnsi" w:cs="Arial"/>
                <w:szCs w:val="20"/>
              </w:rPr>
              <w:t>sének (a) pontja alapján.</w:t>
            </w:r>
          </w:p>
        </w:tc>
      </w:tr>
      <w:tr w:rsidR="008677A1" w:rsidRPr="002B614E" w14:paraId="6F672158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3AC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520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F61" w14:textId="4BFE13B2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6 Betétek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>,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melyeket a hálózat tagja helyezett el a központi intézménynél (kötelez</w:t>
            </w:r>
            <w:r w:rsidR="00E2251C">
              <w:rPr>
                <w:rFonts w:asciiTheme="majorHAnsi" w:hAnsiTheme="majorHAnsi" w:cs="Arial"/>
                <w:b/>
                <w:szCs w:val="20"/>
                <w:u w:val="single"/>
              </w:rPr>
              <w:t>ett befektetés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2B. szintű eszközbe)</w:t>
            </w:r>
          </w:p>
          <w:p w14:paraId="40EC3A88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16. cikkének (1) bekezdésének (a) pontja.</w:t>
            </w:r>
          </w:p>
          <w:p w14:paraId="0D5E22BB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az 2B. szintű eszközök teljes összegét, amelyeket a fentiekben jelentettek a Bizottság (EU) 2015/61 felhatalmazáson alapuló rendeletének 16. cikke (1) bekezd</w:t>
            </w:r>
            <w:r w:rsidRPr="002B614E">
              <w:rPr>
                <w:rFonts w:asciiTheme="majorHAnsi" w:hAnsiTheme="majorHAnsi" w:cs="Arial"/>
                <w:szCs w:val="20"/>
              </w:rPr>
              <w:t>é</w:t>
            </w:r>
            <w:r w:rsidRPr="002B614E">
              <w:rPr>
                <w:rFonts w:asciiTheme="majorHAnsi" w:hAnsiTheme="majorHAnsi" w:cs="Arial"/>
                <w:szCs w:val="20"/>
              </w:rPr>
              <w:t>sének (a) pontja alapján.</w:t>
            </w:r>
          </w:p>
        </w:tc>
      </w:tr>
      <w:tr w:rsidR="008677A1" w:rsidRPr="002B614E" w14:paraId="7B49DA3A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CC3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530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EFB" w14:textId="40571162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7 </w:t>
            </w:r>
            <w:r w:rsidR="00E2251C" w:rsidRPr="00E2251C">
              <w:rPr>
                <w:rFonts w:asciiTheme="majorHAnsi" w:hAnsiTheme="majorHAnsi" w:cs="Arial"/>
                <w:b/>
                <w:szCs w:val="20"/>
                <w:u w:val="single"/>
              </w:rPr>
              <w:t>Az eszközökre alkalmazott módosítások a fedezeti pozíció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>k</w:t>
            </w:r>
            <w:r w:rsidR="00E2251C" w:rsidRPr="00E2251C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idő előtti lezárásából adódó nettó likviditás-kiáramlás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>ok</w:t>
            </w:r>
            <w:r w:rsidR="00E2251C" w:rsidRPr="00E2251C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miatt</w:t>
            </w:r>
          </w:p>
          <w:p w14:paraId="5B57EA5D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A Bizottság (EU) 2015/61 felhatalmazáson alapuló rendeletének 8. cikkének (5) bekezdésének (b) pontja.</w:t>
            </w:r>
          </w:p>
          <w:p w14:paraId="26B4A5D0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 likvid eszközeikben alkalmazott kiigazítás teljes összegét, amelyet az 1./2A./2B. eszközeikben jelentettek a fedezeti pozíciók idő előtti lezárásából adódó ne</w:t>
            </w:r>
            <w:r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>tó készpénz kiáramlás miatt, a Bizottság (EU) 2015/61 felhatalmazáson alapuló rendeletének 8. ci</w:t>
            </w:r>
            <w:r w:rsidRPr="002B614E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ke (5) bekezdésének (b) pontjával összhangban. </w:t>
            </w:r>
          </w:p>
        </w:tc>
      </w:tr>
      <w:tr w:rsidR="008677A1" w:rsidRPr="002B614E" w14:paraId="1F488E3B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FB7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540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7DC" w14:textId="67880057" w:rsidR="00CE5C31" w:rsidRPr="002B614E" w:rsidRDefault="00CE5C31" w:rsidP="00C666B0">
            <w:pPr>
              <w:tabs>
                <w:tab w:val="left" w:pos="8259"/>
              </w:tabs>
              <w:spacing w:after="0"/>
              <w:ind w:left="175" w:right="168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8 </w:t>
            </w:r>
            <w:r w:rsidR="00E2251C" w:rsidRPr="00E2251C">
              <w:rPr>
                <w:rFonts w:asciiTheme="majorHAnsi" w:hAnsiTheme="majorHAnsi" w:cs="Arial"/>
                <w:b/>
                <w:szCs w:val="20"/>
                <w:u w:val="single"/>
              </w:rPr>
              <w:t>Az eszközökre alkalmazott módosítások a fedezeti pozíció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>k</w:t>
            </w:r>
            <w:r w:rsidR="00E2251C" w:rsidRPr="00E2251C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idő előtti lezárásából adódó nettó likviditás-</w:t>
            </w:r>
            <w:r w:rsidR="00E2251C">
              <w:rPr>
                <w:rFonts w:asciiTheme="majorHAnsi" w:hAnsiTheme="majorHAnsi" w:cs="Arial"/>
                <w:b/>
                <w:szCs w:val="20"/>
                <w:u w:val="single"/>
              </w:rPr>
              <w:t>be</w:t>
            </w:r>
            <w:r w:rsidR="00E2251C" w:rsidRPr="00E2251C">
              <w:rPr>
                <w:rFonts w:asciiTheme="majorHAnsi" w:hAnsiTheme="majorHAnsi" w:cs="Arial"/>
                <w:b/>
                <w:szCs w:val="20"/>
                <w:u w:val="single"/>
              </w:rPr>
              <w:t>áramlás</w:t>
            </w:r>
            <w:r w:rsidR="0053538F">
              <w:rPr>
                <w:rFonts w:asciiTheme="majorHAnsi" w:hAnsiTheme="majorHAnsi" w:cs="Arial"/>
                <w:b/>
                <w:szCs w:val="20"/>
                <w:u w:val="single"/>
              </w:rPr>
              <w:t>ok</w:t>
            </w:r>
            <w:r w:rsidR="00E2251C" w:rsidRPr="00E2251C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miatt</w:t>
            </w:r>
          </w:p>
          <w:p w14:paraId="19EEB760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8. cikkének (5) bekezdésének (b) pontja.</w:t>
            </w:r>
          </w:p>
          <w:p w14:paraId="1C98718A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 likvid eszközeikben alkalmazott kiigazítás teljes összegét, amelyet az 1./2A./2B. eszközeikben jelentettek a fedezeti pozíciók idő előtti lezárásából adódó ne</w:t>
            </w:r>
            <w:r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>tó készpénz beáramlás miatt, a Bizottság (EU) 2015/61 felhatalmazáson alapuló rendeletének 8. cikke (5) bekezdésének (b) pontjával összhangban.</w:t>
            </w:r>
          </w:p>
        </w:tc>
      </w:tr>
      <w:tr w:rsidR="008677A1" w:rsidRPr="002B614E" w14:paraId="3F08369B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1C5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550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F38" w14:textId="688D77B2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9 A tagország támogatásában részesülő garantált banki eszközök, amelyek</w:t>
            </w:r>
            <w:r w:rsidR="00224BF4">
              <w:rPr>
                <w:rFonts w:asciiTheme="majorHAnsi" w:hAnsiTheme="majorHAnsi" w:cs="Arial"/>
                <w:b/>
                <w:szCs w:val="20"/>
                <w:u w:val="single"/>
              </w:rPr>
              <w:t>hez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a szerzett jogok társulnak</w:t>
            </w:r>
          </w:p>
          <w:p w14:paraId="73617A36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35</w:t>
            </w:r>
            <w:r w:rsidR="00CB1D00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cikke.</w:t>
            </w:r>
          </w:p>
          <w:p w14:paraId="273F3605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hitelintézetnek jelenteniük kell a teljes összegét azoknak az eszköznek, amelyet egy olyan hiteli</w:t>
            </w:r>
            <w:r w:rsidRPr="002B614E">
              <w:rPr>
                <w:rFonts w:asciiTheme="majorHAnsi" w:hAnsiTheme="majorHAnsi" w:cs="Arial"/>
                <w:szCs w:val="20"/>
              </w:rPr>
              <w:t>n</w:t>
            </w:r>
            <w:r w:rsidRPr="002B614E">
              <w:rPr>
                <w:rFonts w:asciiTheme="majorHAnsi" w:hAnsiTheme="majorHAnsi" w:cs="Arial"/>
                <w:szCs w:val="20"/>
              </w:rPr>
              <w:t>tézet bocsátott ki, amely valamely tagállam központi kormányzatának garanciáját élvezi a Bizottság (EU) 2015/61 felhatalmazáson alapuló rendeletének 35</w:t>
            </w:r>
            <w:r w:rsidR="00CB1D00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cikkével összhangban. </w:t>
            </w:r>
          </w:p>
        </w:tc>
      </w:tr>
      <w:tr w:rsidR="008677A1" w:rsidRPr="002B614E" w14:paraId="0FFE757E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B84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560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D50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10 A tagország támogatásában részesülő, értékvesztett eszközöket kezelő intézményekre vona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t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kozó átmeneti intézkedések</w:t>
            </w:r>
          </w:p>
          <w:p w14:paraId="0E1D2F0C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36</w:t>
            </w:r>
            <w:r w:rsidR="00CB1D00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cikke.</w:t>
            </w:r>
          </w:p>
          <w:p w14:paraId="476F32D8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 teljes összegét azoknak az eszközöknek, amelyekre a Bizot</w:t>
            </w:r>
            <w:r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>ság (EU) 2015/61 felhatalmazáson alapuló rendeletének 36</w:t>
            </w:r>
            <w:r w:rsidR="00CB1D00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 vonatkozik, és amelyeket a fe</w:t>
            </w:r>
            <w:r w:rsidRPr="002B614E">
              <w:rPr>
                <w:rFonts w:asciiTheme="majorHAnsi" w:hAnsiTheme="majorHAnsi" w:cs="Arial"/>
                <w:szCs w:val="20"/>
              </w:rPr>
              <w:t>n</w:t>
            </w:r>
            <w:r w:rsidRPr="002B614E">
              <w:rPr>
                <w:rFonts w:asciiTheme="majorHAnsi" w:hAnsiTheme="majorHAnsi" w:cs="Arial"/>
                <w:szCs w:val="20"/>
              </w:rPr>
              <w:t>tebbiekben már jelentettek.</w:t>
            </w:r>
          </w:p>
        </w:tc>
      </w:tr>
      <w:tr w:rsidR="008677A1" w:rsidRPr="002B614E" w14:paraId="0755F982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144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570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3E9" w14:textId="69A86740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11 Értékpapírosított eszközök, amelyek mögöttes kitettségei lakóingatlannal fedezett </w:t>
            </w:r>
            <w:r w:rsidR="00CB1D00" w:rsidRPr="002B614E">
              <w:rPr>
                <w:rFonts w:asciiTheme="majorHAnsi" w:hAnsiTheme="majorHAnsi" w:cs="Arial"/>
                <w:b/>
                <w:szCs w:val="20"/>
                <w:u w:val="single"/>
              </w:rPr>
              <w:t>hitelek,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és amelyekre átmeneti rendelkezések vonatkoznak</w:t>
            </w:r>
          </w:p>
          <w:p w14:paraId="6A60130D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37</w:t>
            </w:r>
            <w:r w:rsidR="00CB1D00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cikke.</w:t>
            </w:r>
          </w:p>
          <w:p w14:paraId="4303E431" w14:textId="7C8DE5E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 teljes összegét azoknak az eszközöknek, amelyekre a Bizot</w:t>
            </w:r>
            <w:r w:rsidRPr="002B614E">
              <w:rPr>
                <w:rFonts w:asciiTheme="majorHAnsi" w:hAnsiTheme="majorHAnsi" w:cs="Arial"/>
                <w:szCs w:val="20"/>
              </w:rPr>
              <w:t>t</w:t>
            </w:r>
            <w:r w:rsidRPr="002B614E">
              <w:rPr>
                <w:rFonts w:asciiTheme="majorHAnsi" w:hAnsiTheme="majorHAnsi" w:cs="Arial"/>
                <w:szCs w:val="20"/>
              </w:rPr>
              <w:t>ság (EU) 2015/61 felhatalmazáson alapuló rendeletének 3</w:t>
            </w:r>
            <w:r w:rsidR="00CB1D00">
              <w:rPr>
                <w:rFonts w:asciiTheme="majorHAnsi" w:hAnsiTheme="majorHAnsi" w:cs="Arial"/>
                <w:szCs w:val="20"/>
              </w:rPr>
              <w:t>7.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cikke vonatkozik, és amelyeket a fe</w:t>
            </w:r>
            <w:r w:rsidRPr="002B614E">
              <w:rPr>
                <w:rFonts w:asciiTheme="majorHAnsi" w:hAnsiTheme="majorHAnsi" w:cs="Arial"/>
                <w:szCs w:val="20"/>
              </w:rPr>
              <w:t>n</w:t>
            </w:r>
            <w:r w:rsidRPr="002B614E">
              <w:rPr>
                <w:rFonts w:asciiTheme="majorHAnsi" w:hAnsiTheme="majorHAnsi" w:cs="Arial"/>
                <w:szCs w:val="20"/>
              </w:rPr>
              <w:t>tebbiekben már jelentettek.</w:t>
            </w:r>
          </w:p>
        </w:tc>
      </w:tr>
      <w:tr w:rsidR="008677A1" w:rsidRPr="002B614E" w14:paraId="55837884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235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580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4A6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12 1./2A./2B. szintű eszközök, amelyek devizális okok miatt kerültek kizárásra</w:t>
            </w:r>
          </w:p>
          <w:p w14:paraId="2D95B364" w14:textId="2B163B96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8. cikkének (6) bekezdése, 10</w:t>
            </w:r>
            <w:r w:rsidR="00CB1D00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</w:t>
            </w:r>
            <w:r w:rsidRPr="002B614E">
              <w:rPr>
                <w:rFonts w:asciiTheme="majorHAnsi" w:hAnsiTheme="majorHAnsi" w:cs="Arial"/>
                <w:szCs w:val="20"/>
              </w:rPr>
              <w:t>k</w:t>
            </w:r>
            <w:r w:rsidRPr="002B614E">
              <w:rPr>
                <w:rFonts w:asciiTheme="majorHAnsi" w:hAnsiTheme="majorHAnsi" w:cs="Arial"/>
                <w:szCs w:val="20"/>
              </w:rPr>
              <w:t>kének (1) bekezdésének (d) és 12</w:t>
            </w:r>
            <w:r w:rsidR="003A53F8">
              <w:rPr>
                <w:rFonts w:asciiTheme="majorHAnsi" w:hAnsiTheme="majorHAnsi" w:cs="Arial"/>
                <w:szCs w:val="20"/>
              </w:rPr>
              <w:t>.</w:t>
            </w:r>
            <w:r w:rsidRPr="002B614E">
              <w:rPr>
                <w:rFonts w:asciiTheme="majorHAnsi" w:hAnsiTheme="majorHAnsi" w:cs="Arial"/>
                <w:szCs w:val="20"/>
              </w:rPr>
              <w:t xml:space="preserve"> cikkének (1) bekezdésének (c) pontja.</w:t>
            </w:r>
          </w:p>
          <w:p w14:paraId="6FC78D45" w14:textId="0ACF1F6C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Az intézetnek jelentenie kell azon eszközök arányát, amelyek teljesítik a rendelet 8. cikkének (6) bekezdésében, 10. cikke (1) bekezdésének (d) pontjában, és 12. cikke (1) bekezdésének (c) pontj</w:t>
            </w:r>
            <w:r w:rsidRPr="002B614E">
              <w:rPr>
                <w:rFonts w:asciiTheme="majorHAnsi" w:hAnsiTheme="majorHAnsi" w:cs="Arial"/>
                <w:szCs w:val="20"/>
              </w:rPr>
              <w:t>á</w:t>
            </w:r>
            <w:r w:rsidRPr="002B614E">
              <w:rPr>
                <w:rFonts w:asciiTheme="majorHAnsi" w:hAnsiTheme="majorHAnsi" w:cs="Arial"/>
                <w:szCs w:val="20"/>
              </w:rPr>
              <w:t>ban foglaltakat, amelyeket a hitelintézet az előbbi rende</w:t>
            </w:r>
            <w:r w:rsidR="00283B87">
              <w:rPr>
                <w:rFonts w:asciiTheme="majorHAnsi" w:hAnsiTheme="majorHAnsi" w:cs="Arial"/>
                <w:szCs w:val="20"/>
              </w:rPr>
              <w:t>lkezések alapján nem ismer el.</w:t>
            </w:r>
          </w:p>
        </w:tc>
      </w:tr>
      <w:tr w:rsidR="008677A1" w:rsidRPr="002B614E" w14:paraId="34572D71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1BC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590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4B7" w14:textId="72E485AE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13 1./2A./2B. szintű eszközök, amelyek devizálison </w:t>
            </w:r>
            <w:r w:rsidR="00E2251C">
              <w:rPr>
                <w:rFonts w:asciiTheme="majorHAnsi" w:hAnsiTheme="majorHAnsi" w:cs="Arial"/>
                <w:b/>
                <w:szCs w:val="20"/>
                <w:u w:val="single"/>
              </w:rPr>
              <w:t>kívüli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 operacionális okok miatt kerültek kiz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á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rásra</w:t>
            </w:r>
          </w:p>
          <w:p w14:paraId="4DBE2A0F" w14:textId="74CCCF31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Bizottság (EU) 2015/61 felhatalmazáson alapuló rendeletének 8. cikke</w:t>
            </w:r>
            <w:r w:rsidR="003C29A2">
              <w:rPr>
                <w:rFonts w:asciiTheme="majorHAnsi" w:hAnsiTheme="majorHAnsi" w:cs="Arial"/>
                <w:szCs w:val="20"/>
              </w:rPr>
              <w:t>.</w:t>
            </w:r>
          </w:p>
          <w:p w14:paraId="720B3E05" w14:textId="43E96A7C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 Bizottság (EU) 2015/61 felhatalmazáson alapuló rendeletének 7. cikkében foglaltakat teljesítő, de ugyanazon rendelet 8. cikkében leírtaknak nem megfelelő es</w:t>
            </w:r>
            <w:r w:rsidRPr="002B614E">
              <w:rPr>
                <w:rFonts w:asciiTheme="majorHAnsi" w:hAnsiTheme="majorHAnsi" w:cs="Arial"/>
                <w:szCs w:val="20"/>
              </w:rPr>
              <w:t>z</w:t>
            </w:r>
            <w:r w:rsidRPr="002B614E">
              <w:rPr>
                <w:rFonts w:asciiTheme="majorHAnsi" w:hAnsiTheme="majorHAnsi" w:cs="Arial"/>
                <w:szCs w:val="20"/>
              </w:rPr>
              <w:lastRenderedPageBreak/>
              <w:t>közöket, feltéve, hogy az 580. sorban devizális okokból jelentésükre nem került sor.</w:t>
            </w:r>
          </w:p>
        </w:tc>
      </w:tr>
      <w:tr w:rsidR="008677A1" w:rsidRPr="002B614E" w14:paraId="099491B2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9FC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lastRenderedPageBreak/>
              <w:t>600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B88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14 1. szintű nem kamatozó eszközök (hitelintézet által vallási okokból tartott)</w:t>
            </w:r>
          </w:p>
          <w:p w14:paraId="3918DAF4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 xml:space="preserve">A hitelintézeteknek jelenteniük </w:t>
            </w:r>
            <w:r w:rsidR="00497072" w:rsidRPr="002B614E">
              <w:rPr>
                <w:rFonts w:asciiTheme="majorHAnsi" w:hAnsiTheme="majorHAnsi" w:cs="Arial"/>
                <w:szCs w:val="20"/>
              </w:rPr>
              <w:t xml:space="preserve">kell az 1. szintű nem kamatozó </w:t>
            </w:r>
            <w:r w:rsidRPr="002B614E">
              <w:rPr>
                <w:rFonts w:asciiTheme="majorHAnsi" w:hAnsiTheme="majorHAnsi" w:cs="Arial"/>
                <w:szCs w:val="20"/>
              </w:rPr>
              <w:t>(hitelintézetek által vallási okokból tartott) eszközök teljes összegét.</w:t>
            </w:r>
          </w:p>
        </w:tc>
      </w:tr>
      <w:tr w:rsidR="008677A1" w:rsidRPr="002B614E" w14:paraId="3BEF845A" w14:textId="77777777" w:rsidTr="00750A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EFB" w14:textId="77777777" w:rsidR="00CE5C31" w:rsidRPr="002B614E" w:rsidRDefault="00CE5C31" w:rsidP="00750A2D">
            <w:pPr>
              <w:pStyle w:val="Listaszerbekezds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="Arial"/>
                <w:szCs w:val="20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610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832" w14:textId="5894273E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 xml:space="preserve">15 2A. </w:t>
            </w:r>
            <w:r w:rsidR="006F3D98">
              <w:rPr>
                <w:rFonts w:asciiTheme="majorHAnsi" w:hAnsiTheme="majorHAnsi" w:cs="Arial"/>
                <w:b/>
                <w:szCs w:val="20"/>
                <w:u w:val="single"/>
              </w:rPr>
              <w:t>s</w:t>
            </w:r>
            <w:r w:rsidRPr="002B614E">
              <w:rPr>
                <w:rFonts w:asciiTheme="majorHAnsi" w:hAnsiTheme="majorHAnsi" w:cs="Arial"/>
                <w:b/>
                <w:szCs w:val="20"/>
                <w:u w:val="single"/>
              </w:rPr>
              <w:t>zintű nem kamatozó eszközök (hitelintézet által vallási okokból tartott)</w:t>
            </w:r>
          </w:p>
          <w:p w14:paraId="580466FB" w14:textId="77777777" w:rsidR="00CE5C31" w:rsidRPr="002B614E" w:rsidRDefault="00CE5C31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175" w:right="168"/>
              <w:contextualSpacing w:val="0"/>
              <w:rPr>
                <w:rFonts w:asciiTheme="majorHAnsi" w:hAnsiTheme="majorHAnsi" w:cs="Arial"/>
                <w:b/>
                <w:szCs w:val="20"/>
                <w:u w:val="single"/>
              </w:rPr>
            </w:pPr>
            <w:r w:rsidRPr="002B614E">
              <w:rPr>
                <w:rFonts w:asciiTheme="majorHAnsi" w:hAnsiTheme="majorHAnsi" w:cs="Arial"/>
                <w:szCs w:val="20"/>
              </w:rPr>
              <w:t>A hitelintézeteknek jelenteniük kell a 2A. szintű nem kamatozó (hitelintézetek által vallási okokból tartott) eszközöket.</w:t>
            </w:r>
          </w:p>
        </w:tc>
      </w:tr>
    </w:tbl>
    <w:p w14:paraId="6EB54104" w14:textId="77777777" w:rsidR="00CE5C31" w:rsidRPr="002B614E" w:rsidRDefault="00CE5C31" w:rsidP="00CE5C31">
      <w:pPr>
        <w:pStyle w:val="Listaszerbekezds"/>
        <w:numPr>
          <w:ilvl w:val="0"/>
          <w:numId w:val="0"/>
        </w:numPr>
        <w:spacing w:after="0"/>
        <w:contextualSpacing w:val="0"/>
        <w:rPr>
          <w:rFonts w:asciiTheme="majorHAnsi" w:hAnsiTheme="majorHAnsi" w:cs="Arial"/>
          <w:szCs w:val="20"/>
        </w:rPr>
      </w:pPr>
    </w:p>
    <w:p w14:paraId="3A8C2BDE" w14:textId="77777777" w:rsidR="00BE06B5" w:rsidRDefault="00BE06B5">
      <w:pPr>
        <w:spacing w:after="0" w:line="240" w:lineRule="auto"/>
        <w:jc w:val="lef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br w:type="page"/>
      </w:r>
    </w:p>
    <w:p w14:paraId="2E7BAF67" w14:textId="77777777" w:rsidR="00BE06B5" w:rsidRPr="004162C2" w:rsidRDefault="00BE06B5" w:rsidP="00BE06B5">
      <w:pPr>
        <w:spacing w:before="120" w:after="120" w:line="240" w:lineRule="auto"/>
        <w:jc w:val="center"/>
        <w:rPr>
          <w:rFonts w:eastAsia="PMingLiU" w:cs="Times New Roman"/>
          <w:b/>
          <w:sz w:val="24"/>
          <w:szCs w:val="20"/>
          <w:lang w:eastAsia="de-DE"/>
        </w:rPr>
      </w:pPr>
      <w:r w:rsidRPr="004162C2">
        <w:rPr>
          <w:rFonts w:eastAsia="PMingLiU" w:cs="Times New Roman"/>
          <w:b/>
          <w:sz w:val="24"/>
          <w:szCs w:val="20"/>
          <w:lang w:eastAsia="de-DE"/>
        </w:rPr>
        <w:lastRenderedPageBreak/>
        <w:t>2. RÉSZ</w:t>
      </w:r>
      <w:r>
        <w:rPr>
          <w:rFonts w:eastAsia="PMingLiU" w:cs="Times New Roman"/>
          <w:b/>
          <w:sz w:val="24"/>
          <w:szCs w:val="20"/>
          <w:lang w:eastAsia="de-DE"/>
        </w:rPr>
        <w:t xml:space="preserve">: </w:t>
      </w:r>
      <w:r w:rsidRPr="004162C2">
        <w:rPr>
          <w:rFonts w:eastAsia="PMingLiU" w:cs="Times New Roman"/>
          <w:b/>
          <w:sz w:val="24"/>
          <w:szCs w:val="20"/>
          <w:lang w:eastAsia="de-DE"/>
        </w:rPr>
        <w:t>KIÁRAMLÁSOK</w:t>
      </w:r>
    </w:p>
    <w:p w14:paraId="5A04CE65" w14:textId="77777777" w:rsidR="00BE06B5" w:rsidRPr="004162C2" w:rsidRDefault="00BE06B5" w:rsidP="00356041">
      <w:pPr>
        <w:pStyle w:val="Cmsor1"/>
        <w:numPr>
          <w:ilvl w:val="0"/>
          <w:numId w:val="10"/>
        </w:numPr>
        <w:ind w:left="227" w:hanging="227"/>
        <w:rPr>
          <w:color w:val="auto"/>
        </w:rPr>
      </w:pPr>
      <w:r w:rsidRPr="004162C2">
        <w:rPr>
          <w:color w:val="auto"/>
        </w:rPr>
        <w:t>Kiáramlások</w:t>
      </w:r>
    </w:p>
    <w:p w14:paraId="056ED994" w14:textId="77777777" w:rsidR="00BE06B5" w:rsidRPr="005D57EA" w:rsidRDefault="00BE06B5" w:rsidP="00101DCF">
      <w:pPr>
        <w:pStyle w:val="Cmsor2"/>
        <w:numPr>
          <w:ilvl w:val="1"/>
          <w:numId w:val="30"/>
        </w:numPr>
        <w:rPr>
          <w:color w:val="auto"/>
        </w:rPr>
      </w:pPr>
      <w:r w:rsidRPr="005D57EA">
        <w:rPr>
          <w:color w:val="auto"/>
        </w:rPr>
        <w:t>Általános rendelkezések</w:t>
      </w:r>
    </w:p>
    <w:p w14:paraId="089DB0ED" w14:textId="77777777" w:rsidR="00BE06B5" w:rsidRPr="005D57E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9B3769">
        <w:rPr>
          <w:rFonts w:asciiTheme="majorHAnsi" w:hAnsiTheme="majorHAnsi" w:cs="Arial"/>
          <w:szCs w:val="20"/>
        </w:rPr>
        <w:t>Ez egy összegző tábla</w:t>
      </w:r>
      <w:r>
        <w:rPr>
          <w:rFonts w:asciiTheme="majorHAnsi" w:hAnsiTheme="majorHAnsi" w:cs="Arial"/>
          <w:szCs w:val="20"/>
        </w:rPr>
        <w:t xml:space="preserve">, amely a következő 30 napra vonatkozó likviditáskiáramlásokat </w:t>
      </w:r>
      <w:r w:rsidRPr="009B3769">
        <w:rPr>
          <w:rFonts w:asciiTheme="majorHAnsi" w:hAnsiTheme="majorHAnsi" w:cs="Arial"/>
          <w:szCs w:val="20"/>
        </w:rPr>
        <w:t>tartalmazza, a Bizot</w:t>
      </w:r>
      <w:r w:rsidRPr="009B3769">
        <w:rPr>
          <w:rFonts w:asciiTheme="majorHAnsi" w:hAnsiTheme="majorHAnsi" w:cs="Arial"/>
          <w:szCs w:val="20"/>
        </w:rPr>
        <w:t>t</w:t>
      </w:r>
      <w:r w:rsidRPr="009B3769">
        <w:rPr>
          <w:rFonts w:asciiTheme="majorHAnsi" w:hAnsiTheme="majorHAnsi" w:cs="Arial"/>
          <w:szCs w:val="20"/>
        </w:rPr>
        <w:t>ság (EU)</w:t>
      </w:r>
      <w:r>
        <w:rPr>
          <w:rFonts w:asciiTheme="majorHAnsi" w:hAnsiTheme="majorHAnsi" w:cs="Arial"/>
          <w:szCs w:val="20"/>
        </w:rPr>
        <w:t xml:space="preserve"> 2015/61</w:t>
      </w:r>
      <w:r w:rsidRPr="009B3769">
        <w:rPr>
          <w:rFonts w:asciiTheme="majorHAnsi" w:hAnsiTheme="majorHAnsi" w:cs="Arial"/>
          <w:szCs w:val="20"/>
        </w:rPr>
        <w:t xml:space="preserve"> felhatalmazáson alapuló rendeletében meghatározott likviditás fedezeti követelmény j</w:t>
      </w:r>
      <w:r w:rsidRPr="009B3769">
        <w:rPr>
          <w:rFonts w:asciiTheme="majorHAnsi" w:hAnsiTheme="majorHAnsi" w:cs="Arial"/>
          <w:szCs w:val="20"/>
        </w:rPr>
        <w:t>e</w:t>
      </w:r>
      <w:r w:rsidRPr="009B3769">
        <w:rPr>
          <w:rFonts w:asciiTheme="majorHAnsi" w:hAnsiTheme="majorHAnsi" w:cs="Arial"/>
          <w:szCs w:val="20"/>
        </w:rPr>
        <w:t xml:space="preserve">lentése céljából. </w:t>
      </w:r>
      <w:r>
        <w:rPr>
          <w:rFonts w:asciiTheme="majorHAnsi" w:hAnsiTheme="majorHAnsi" w:cs="Arial"/>
          <w:szCs w:val="20"/>
        </w:rPr>
        <w:t>Szürkével vannak jelölve a</w:t>
      </w:r>
      <w:r w:rsidRPr="009B3769">
        <w:rPr>
          <w:rFonts w:asciiTheme="majorHAnsi" w:hAnsiTheme="majorHAnsi" w:cs="Arial"/>
          <w:szCs w:val="20"/>
        </w:rPr>
        <w:t>zok a tételek, ame</w:t>
      </w:r>
      <w:r>
        <w:rPr>
          <w:rFonts w:asciiTheme="majorHAnsi" w:hAnsiTheme="majorHAnsi" w:cs="Arial"/>
          <w:szCs w:val="20"/>
        </w:rPr>
        <w:t>lyeket nem kell a hitelintézeteknek kitölteniük.</w:t>
      </w:r>
    </w:p>
    <w:p w14:paraId="24992361" w14:textId="4EB5930B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A hitelintézeteknek a táblát </w:t>
      </w:r>
      <w:r w:rsidRPr="009B3769">
        <w:rPr>
          <w:rFonts w:asciiTheme="majorHAnsi" w:hAnsiTheme="majorHAnsi" w:cs="Arial"/>
          <w:szCs w:val="20"/>
        </w:rPr>
        <w:t>a Bizottság (EU)</w:t>
      </w:r>
      <w:r>
        <w:rPr>
          <w:rFonts w:asciiTheme="majorHAnsi" w:hAnsiTheme="majorHAnsi" w:cs="Arial"/>
          <w:szCs w:val="20"/>
        </w:rPr>
        <w:t xml:space="preserve"> 2015/61</w:t>
      </w:r>
      <w:r w:rsidRPr="009B3769">
        <w:rPr>
          <w:rFonts w:asciiTheme="majorHAnsi" w:hAnsiTheme="majorHAnsi" w:cs="Arial"/>
          <w:szCs w:val="20"/>
        </w:rPr>
        <w:t xml:space="preserve"> felhatalmazáson alapuló rendeleté</w:t>
      </w:r>
      <w:r>
        <w:rPr>
          <w:rFonts w:asciiTheme="majorHAnsi" w:hAnsiTheme="majorHAnsi" w:cs="Arial"/>
          <w:szCs w:val="20"/>
        </w:rPr>
        <w:t xml:space="preserve">nek </w:t>
      </w:r>
      <w:r w:rsidRPr="0022649A">
        <w:rPr>
          <w:rFonts w:asciiTheme="majorHAnsi" w:hAnsiTheme="majorHAnsi" w:cs="Arial"/>
          <w:szCs w:val="20"/>
        </w:rPr>
        <w:t>4</w:t>
      </w:r>
      <w:r w:rsidR="00B8583E">
        <w:rPr>
          <w:rFonts w:asciiTheme="majorHAnsi" w:hAnsiTheme="majorHAnsi" w:cs="Arial"/>
          <w:szCs w:val="20"/>
        </w:rPr>
        <w:t>.</w:t>
      </w:r>
      <w:r w:rsidRPr="0022649A">
        <w:rPr>
          <w:rFonts w:asciiTheme="majorHAnsi" w:hAnsiTheme="majorHAnsi" w:cs="Arial"/>
          <w:szCs w:val="20"/>
        </w:rPr>
        <w:t xml:space="preserve"> cikkének (5) bekezdése szerint</w:t>
      </w:r>
      <w:r>
        <w:rPr>
          <w:rFonts w:asciiTheme="majorHAnsi" w:hAnsiTheme="majorHAnsi" w:cs="Arial"/>
          <w:szCs w:val="20"/>
        </w:rPr>
        <w:t>i</w:t>
      </w:r>
      <w:r w:rsidRPr="0022649A">
        <w:rPr>
          <w:rFonts w:asciiTheme="majorHAnsi" w:hAnsiTheme="majorHAnsi" w:cs="Arial"/>
          <w:szCs w:val="20"/>
        </w:rPr>
        <w:t xml:space="preserve"> pénznemekben kell jelenteniük.</w:t>
      </w:r>
    </w:p>
    <w:p w14:paraId="21EF0B52" w14:textId="77777777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Bizonyos</w:t>
      </w:r>
      <w:r w:rsidRPr="0022649A">
        <w:rPr>
          <w:rFonts w:asciiTheme="majorHAnsi" w:hAnsiTheme="majorHAnsi" w:cs="Arial"/>
          <w:szCs w:val="20"/>
        </w:rPr>
        <w:t xml:space="preserve"> táblák további tájékoztató adatokat tartalmaznak. Bár nem feltétlenül szükségesek a ráta kiszám</w:t>
      </w:r>
      <w:r w:rsidRPr="0022649A">
        <w:rPr>
          <w:rFonts w:asciiTheme="majorHAnsi" w:hAnsiTheme="majorHAnsi" w:cs="Arial"/>
          <w:szCs w:val="20"/>
        </w:rPr>
        <w:t>í</w:t>
      </w:r>
      <w:r w:rsidRPr="0022649A">
        <w:rPr>
          <w:rFonts w:asciiTheme="majorHAnsi" w:hAnsiTheme="majorHAnsi" w:cs="Arial"/>
          <w:szCs w:val="20"/>
        </w:rPr>
        <w:t xml:space="preserve">tásához, </w:t>
      </w:r>
      <w:r>
        <w:rPr>
          <w:rFonts w:asciiTheme="majorHAnsi" w:hAnsiTheme="majorHAnsi" w:cs="Arial"/>
          <w:szCs w:val="20"/>
        </w:rPr>
        <w:t>kitöltésük</w:t>
      </w:r>
      <w:r w:rsidRPr="0022649A">
        <w:rPr>
          <w:rFonts w:asciiTheme="majorHAnsi" w:hAnsiTheme="majorHAnsi" w:cs="Arial"/>
          <w:szCs w:val="20"/>
        </w:rPr>
        <w:t xml:space="preserve"> kötelező. Ezek a tételek </w:t>
      </w:r>
      <w:r>
        <w:rPr>
          <w:rFonts w:asciiTheme="majorHAnsi" w:hAnsiTheme="majorHAnsi" w:cs="Arial"/>
          <w:szCs w:val="20"/>
        </w:rPr>
        <w:t>szükséges</w:t>
      </w:r>
      <w:r w:rsidRPr="0022649A">
        <w:rPr>
          <w:rFonts w:asciiTheme="majorHAnsi" w:hAnsiTheme="majorHAnsi" w:cs="Arial"/>
          <w:szCs w:val="20"/>
        </w:rPr>
        <w:t xml:space="preserve"> információval szolgálnak az illetékes hatóságoknak a hitelintézetek </w:t>
      </w:r>
      <w:r>
        <w:rPr>
          <w:rFonts w:asciiTheme="majorHAnsi" w:hAnsiTheme="majorHAnsi" w:cs="Arial"/>
          <w:szCs w:val="20"/>
        </w:rPr>
        <w:t xml:space="preserve">likviditási </w:t>
      </w:r>
      <w:r w:rsidRPr="0022649A">
        <w:rPr>
          <w:rFonts w:asciiTheme="majorHAnsi" w:hAnsiTheme="majorHAnsi" w:cs="Arial"/>
          <w:szCs w:val="20"/>
        </w:rPr>
        <w:t>követelményeknek való megfelelésé</w:t>
      </w:r>
      <w:r>
        <w:rPr>
          <w:rFonts w:asciiTheme="majorHAnsi" w:hAnsiTheme="majorHAnsi" w:cs="Arial"/>
          <w:szCs w:val="20"/>
        </w:rPr>
        <w:t>nek értékeléséhez</w:t>
      </w:r>
      <w:r w:rsidRPr="0022649A">
        <w:rPr>
          <w:rFonts w:asciiTheme="majorHAnsi" w:hAnsiTheme="majorHAnsi" w:cs="Arial"/>
          <w:szCs w:val="20"/>
        </w:rPr>
        <w:t xml:space="preserve">. Egyes esetekben a táblázat fő szakaszaiban </w:t>
      </w:r>
      <w:r>
        <w:rPr>
          <w:rFonts w:asciiTheme="majorHAnsi" w:hAnsiTheme="majorHAnsi" w:cs="Arial"/>
          <w:szCs w:val="20"/>
        </w:rPr>
        <w:t>szereplő</w:t>
      </w:r>
      <w:r w:rsidRPr="0022649A">
        <w:rPr>
          <w:rFonts w:asciiTheme="majorHAnsi" w:hAnsiTheme="majorHAnsi" w:cs="Arial"/>
          <w:szCs w:val="20"/>
        </w:rPr>
        <w:t xml:space="preserve"> tételek részletesebb bontás</w:t>
      </w:r>
      <w:r>
        <w:rPr>
          <w:rFonts w:asciiTheme="majorHAnsi" w:hAnsiTheme="majorHAnsi" w:cs="Arial"/>
          <w:szCs w:val="20"/>
        </w:rPr>
        <w:t>át tartalmazzák</w:t>
      </w:r>
      <w:r w:rsidRPr="0022649A">
        <w:rPr>
          <w:rFonts w:asciiTheme="majorHAnsi" w:hAnsiTheme="majorHAnsi" w:cs="Arial"/>
          <w:szCs w:val="20"/>
        </w:rPr>
        <w:t>, más esetekben pedig a hitelintézetek által elérhető egyéb likviditási forrásokat tükrözik.</w:t>
      </w:r>
    </w:p>
    <w:p w14:paraId="6A91FC6A" w14:textId="77777777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A Bizottság </w:t>
      </w:r>
      <w:r>
        <w:rPr>
          <w:rFonts w:asciiTheme="majorHAnsi" w:hAnsiTheme="majorHAnsi" w:cs="Arial"/>
          <w:szCs w:val="20"/>
        </w:rPr>
        <w:t xml:space="preserve">(EU) </w:t>
      </w:r>
      <w:r w:rsidRPr="0022649A">
        <w:rPr>
          <w:rFonts w:asciiTheme="majorHAnsi" w:hAnsiTheme="majorHAnsi" w:cs="Arial"/>
          <w:szCs w:val="20"/>
        </w:rPr>
        <w:t>2015/61 felhatalmazáson alapuló rendeletének 22</w:t>
      </w:r>
      <w:r>
        <w:rPr>
          <w:rFonts w:asciiTheme="majorHAnsi" w:hAnsiTheme="majorHAnsi" w:cs="Arial"/>
          <w:szCs w:val="20"/>
        </w:rPr>
        <w:t>. cikkének</w:t>
      </w:r>
      <w:r w:rsidRPr="0022649A">
        <w:rPr>
          <w:rFonts w:asciiTheme="majorHAnsi" w:hAnsiTheme="majorHAnsi" w:cs="Arial"/>
          <w:szCs w:val="20"/>
        </w:rPr>
        <w:t xml:space="preserve"> (1) </w:t>
      </w:r>
      <w:r>
        <w:rPr>
          <w:rFonts w:asciiTheme="majorHAnsi" w:hAnsiTheme="majorHAnsi" w:cs="Arial"/>
          <w:szCs w:val="20"/>
        </w:rPr>
        <w:t>bekezdése</w:t>
      </w:r>
      <w:r w:rsidRPr="0022649A">
        <w:rPr>
          <w:rFonts w:asciiTheme="majorHAnsi" w:hAnsiTheme="majorHAnsi" w:cs="Arial"/>
          <w:szCs w:val="20"/>
        </w:rPr>
        <w:t xml:space="preserve"> szerint a likvid</w:t>
      </w:r>
      <w:r w:rsidRPr="0022649A">
        <w:rPr>
          <w:rFonts w:asciiTheme="majorHAnsi" w:hAnsiTheme="majorHAnsi" w:cs="Arial"/>
          <w:szCs w:val="20"/>
        </w:rPr>
        <w:t>i</w:t>
      </w:r>
      <w:r w:rsidRPr="0022649A">
        <w:rPr>
          <w:rFonts w:asciiTheme="majorHAnsi" w:hAnsiTheme="majorHAnsi" w:cs="Arial"/>
          <w:szCs w:val="20"/>
        </w:rPr>
        <w:t>tás kiáramlások:</w:t>
      </w:r>
    </w:p>
    <w:p w14:paraId="7D8D4E1D" w14:textId="77777777" w:rsidR="00BE06B5" w:rsidRPr="0022649A" w:rsidRDefault="00BE06B5" w:rsidP="005D57EA">
      <w:pPr>
        <w:pStyle w:val="Listaszerbekezds"/>
        <w:numPr>
          <w:ilvl w:val="3"/>
          <w:numId w:val="10"/>
        </w:numPr>
        <w:spacing w:before="320" w:afterLines="200" w:after="480"/>
        <w:ind w:left="1985"/>
        <w:contextualSpacing w:val="0"/>
        <w:rPr>
          <w:rFonts w:asciiTheme="majorHAnsi" w:hAnsiTheme="majorHAnsi" w:cs="Arial"/>
          <w:szCs w:val="20"/>
          <w:u w:val="single"/>
        </w:rPr>
      </w:pPr>
      <w:r w:rsidRPr="0022649A">
        <w:rPr>
          <w:rFonts w:asciiTheme="majorHAnsi" w:hAnsiTheme="majorHAnsi" w:cs="Arial"/>
          <w:szCs w:val="20"/>
        </w:rPr>
        <w:t xml:space="preserve">tartalmazzák a Bizottság </w:t>
      </w:r>
      <w:r>
        <w:rPr>
          <w:rFonts w:asciiTheme="majorHAnsi" w:hAnsiTheme="majorHAnsi" w:cs="Arial"/>
          <w:szCs w:val="20"/>
        </w:rPr>
        <w:t xml:space="preserve">(EU) </w:t>
      </w:r>
      <w:r w:rsidRPr="0022649A">
        <w:rPr>
          <w:rFonts w:asciiTheme="majorHAnsi" w:hAnsiTheme="majorHAnsi" w:cs="Arial"/>
          <w:szCs w:val="20"/>
        </w:rPr>
        <w:t>2015/61</w:t>
      </w:r>
      <w:r>
        <w:rPr>
          <w:rFonts w:asciiTheme="majorHAnsi" w:hAnsiTheme="majorHAnsi" w:cs="Arial"/>
          <w:szCs w:val="20"/>
        </w:rPr>
        <w:t xml:space="preserve"> </w:t>
      </w:r>
      <w:r w:rsidRPr="0022649A">
        <w:rPr>
          <w:rFonts w:asciiTheme="majorHAnsi" w:hAnsiTheme="majorHAnsi" w:cs="Arial"/>
          <w:szCs w:val="20"/>
        </w:rPr>
        <w:t>felhatalmazáson alapuló rendeletének 22</w:t>
      </w:r>
      <w:r>
        <w:rPr>
          <w:rFonts w:asciiTheme="majorHAnsi" w:hAnsiTheme="majorHAnsi" w:cs="Arial"/>
          <w:szCs w:val="20"/>
        </w:rPr>
        <w:t>. cikkének</w:t>
      </w:r>
      <w:r w:rsidRPr="0022649A">
        <w:rPr>
          <w:rFonts w:asciiTheme="majorHAnsi" w:hAnsiTheme="majorHAnsi" w:cs="Arial"/>
          <w:szCs w:val="20"/>
        </w:rPr>
        <w:t xml:space="preserve"> (2) </w:t>
      </w:r>
      <w:r>
        <w:rPr>
          <w:rFonts w:asciiTheme="majorHAnsi" w:hAnsiTheme="majorHAnsi" w:cs="Arial"/>
          <w:szCs w:val="20"/>
        </w:rPr>
        <w:t>bekezdése</w:t>
      </w:r>
      <w:r w:rsidRPr="0022649A">
        <w:rPr>
          <w:rFonts w:asciiTheme="majorHAnsi" w:hAnsiTheme="majorHAnsi" w:cs="Arial"/>
          <w:szCs w:val="20"/>
        </w:rPr>
        <w:t xml:space="preserve"> szerinti kategóriákat</w:t>
      </w:r>
    </w:p>
    <w:p w14:paraId="30FAA60C" w14:textId="77777777" w:rsidR="00BE06B5" w:rsidRPr="0022649A" w:rsidRDefault="00BE06B5" w:rsidP="005D57EA">
      <w:pPr>
        <w:pStyle w:val="Listaszerbekezds"/>
        <w:numPr>
          <w:ilvl w:val="3"/>
          <w:numId w:val="10"/>
        </w:numPr>
        <w:spacing w:before="320" w:afterLines="200" w:after="480"/>
        <w:ind w:left="1985"/>
        <w:contextualSpacing w:val="0"/>
        <w:rPr>
          <w:rFonts w:asciiTheme="majorHAnsi" w:hAnsiTheme="majorHAnsi" w:cs="Arial"/>
          <w:szCs w:val="20"/>
          <w:u w:val="single"/>
        </w:rPr>
      </w:pPr>
      <w:r w:rsidRPr="0022649A">
        <w:rPr>
          <w:rFonts w:asciiTheme="majorHAnsi" w:hAnsiTheme="majorHAnsi" w:cs="Arial"/>
          <w:szCs w:val="20"/>
        </w:rPr>
        <w:t>a különböző kategóriájú kötelezettségek és mérlegen kívüli kötelezettségvállalások fennálló egyenlegének és kiáramlásuk</w:t>
      </w:r>
      <w:r>
        <w:rPr>
          <w:rFonts w:asciiTheme="majorHAnsi" w:hAnsiTheme="majorHAnsi" w:cs="Arial"/>
          <w:szCs w:val="20"/>
        </w:rPr>
        <w:t>,</w:t>
      </w:r>
      <w:r w:rsidRPr="0022649A">
        <w:rPr>
          <w:rFonts w:asciiTheme="majorHAnsi" w:hAnsiTheme="majorHAnsi" w:cs="Arial"/>
          <w:szCs w:val="20"/>
        </w:rPr>
        <w:t xml:space="preserve"> vagy lehívásuk várható arányának szorzata</w:t>
      </w:r>
      <w:r>
        <w:rPr>
          <w:rFonts w:asciiTheme="majorHAnsi" w:hAnsiTheme="majorHAnsi" w:cs="Arial"/>
          <w:szCs w:val="20"/>
        </w:rPr>
        <w:t>,</w:t>
      </w:r>
      <w:r w:rsidRPr="0022649A">
        <w:rPr>
          <w:rFonts w:asciiTheme="majorHAnsi" w:hAnsiTheme="majorHAnsi" w:cs="Arial"/>
          <w:szCs w:val="20"/>
        </w:rPr>
        <w:t xml:space="preserve"> a</w:t>
      </w:r>
      <w:r>
        <w:rPr>
          <w:rFonts w:asciiTheme="majorHAnsi" w:hAnsiTheme="majorHAnsi" w:cs="Arial"/>
          <w:szCs w:val="20"/>
        </w:rPr>
        <w:t>melyek</w:t>
      </w:r>
      <w:r w:rsidRPr="0022649A">
        <w:rPr>
          <w:rFonts w:asciiTheme="majorHAnsi" w:hAnsiTheme="majorHAnsi" w:cs="Arial"/>
          <w:szCs w:val="20"/>
        </w:rPr>
        <w:t xml:space="preserve"> Bizottság </w:t>
      </w:r>
      <w:r>
        <w:rPr>
          <w:rFonts w:asciiTheme="majorHAnsi" w:hAnsiTheme="majorHAnsi" w:cs="Arial"/>
          <w:szCs w:val="20"/>
        </w:rPr>
        <w:t xml:space="preserve">(EU) </w:t>
      </w:r>
      <w:r w:rsidRPr="0022649A">
        <w:rPr>
          <w:rFonts w:asciiTheme="majorHAnsi" w:hAnsiTheme="majorHAnsi" w:cs="Arial"/>
          <w:szCs w:val="20"/>
        </w:rPr>
        <w:t>2015/61</w:t>
      </w:r>
      <w:r>
        <w:rPr>
          <w:rFonts w:asciiTheme="majorHAnsi" w:hAnsiTheme="majorHAnsi" w:cs="Arial"/>
          <w:szCs w:val="20"/>
        </w:rPr>
        <w:t xml:space="preserve"> </w:t>
      </w:r>
      <w:r w:rsidRPr="0022649A">
        <w:rPr>
          <w:rFonts w:asciiTheme="majorHAnsi" w:hAnsiTheme="majorHAnsi" w:cs="Arial"/>
          <w:szCs w:val="20"/>
        </w:rPr>
        <w:t>fe</w:t>
      </w:r>
      <w:r>
        <w:rPr>
          <w:rFonts w:asciiTheme="majorHAnsi" w:hAnsiTheme="majorHAnsi" w:cs="Arial"/>
          <w:szCs w:val="20"/>
        </w:rPr>
        <w:t>lhatalmazásán alapuló</w:t>
      </w:r>
      <w:r w:rsidRPr="0022649A">
        <w:rPr>
          <w:rFonts w:asciiTheme="majorHAnsi" w:hAnsiTheme="majorHAnsi" w:cs="Arial"/>
          <w:szCs w:val="20"/>
        </w:rPr>
        <w:t xml:space="preserve"> rendeletében meghatározottak szerint</w:t>
      </w:r>
      <w:r>
        <w:rPr>
          <w:rFonts w:asciiTheme="majorHAnsi" w:hAnsiTheme="majorHAnsi" w:cs="Arial"/>
          <w:szCs w:val="20"/>
        </w:rPr>
        <w:t xml:space="preserve"> számítandóak</w:t>
      </w:r>
      <w:r w:rsidRPr="0022649A">
        <w:rPr>
          <w:rFonts w:asciiTheme="majorHAnsi" w:hAnsiTheme="majorHAnsi" w:cs="Arial"/>
          <w:szCs w:val="20"/>
        </w:rPr>
        <w:t>.</w:t>
      </w:r>
    </w:p>
    <w:p w14:paraId="1AC0E969" w14:textId="77777777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A </w:t>
      </w:r>
      <w:r w:rsidRPr="009B3769">
        <w:rPr>
          <w:rFonts w:asciiTheme="majorHAnsi" w:hAnsiTheme="majorHAnsi" w:cs="Arial"/>
          <w:szCs w:val="20"/>
        </w:rPr>
        <w:t>Bizottság (EU)</w:t>
      </w:r>
      <w:r>
        <w:rPr>
          <w:rFonts w:asciiTheme="majorHAnsi" w:hAnsiTheme="majorHAnsi" w:cs="Arial"/>
          <w:szCs w:val="20"/>
        </w:rPr>
        <w:t xml:space="preserve"> 2015/61</w:t>
      </w:r>
      <w:r w:rsidRPr="009B3769">
        <w:rPr>
          <w:rFonts w:asciiTheme="majorHAnsi" w:hAnsiTheme="majorHAnsi" w:cs="Arial"/>
          <w:szCs w:val="20"/>
        </w:rPr>
        <w:t xml:space="preserve"> felhatalmazáson alapuló rendeletében</w:t>
      </w:r>
      <w:r w:rsidRPr="0022649A">
        <w:rPr>
          <w:rFonts w:asciiTheme="majorHAnsi" w:hAnsiTheme="majorHAnsi" w:cs="Arial"/>
          <w:szCs w:val="20"/>
        </w:rPr>
        <w:t xml:space="preserve"> kizárólag arányokat és haircut-ot említ és a „súly” kifejezés csak ezekre utal. Ezekben az utasításokban a „súlyozott” szó általános kifejezésként haszn</w:t>
      </w:r>
      <w:r w:rsidRPr="0022649A">
        <w:rPr>
          <w:rFonts w:asciiTheme="majorHAnsi" w:hAnsiTheme="majorHAnsi" w:cs="Arial"/>
          <w:szCs w:val="20"/>
        </w:rPr>
        <w:t>á</w:t>
      </w:r>
      <w:r w:rsidRPr="0022649A">
        <w:rPr>
          <w:rFonts w:asciiTheme="majorHAnsi" w:hAnsiTheme="majorHAnsi" w:cs="Arial"/>
          <w:szCs w:val="20"/>
        </w:rPr>
        <w:t xml:space="preserve">latos, a megfelelő haircut-ok, arányok és minden egyéb további releváns utasítás (pl. fedezett hitelezési és finanszírozási ügyletek esetében) alkalmazása után kapott összegek jelzésére. </w:t>
      </w:r>
    </w:p>
    <w:p w14:paraId="75C72CD2" w14:textId="77777777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>A csoporton vagy intézményvédelmi rendszeren belüli kiáramlásokat (kivéve a csoport vagy intézményv</w:t>
      </w:r>
      <w:r w:rsidRPr="0022649A">
        <w:rPr>
          <w:rFonts w:asciiTheme="majorHAnsi" w:hAnsiTheme="majorHAnsi" w:cs="Arial"/>
          <w:szCs w:val="20"/>
        </w:rPr>
        <w:t>é</w:t>
      </w:r>
      <w:r w:rsidRPr="0022649A">
        <w:rPr>
          <w:rFonts w:asciiTheme="majorHAnsi" w:hAnsiTheme="majorHAnsi" w:cs="Arial"/>
          <w:szCs w:val="20"/>
        </w:rPr>
        <w:t>delmi rendszer tagjai által nyújtott le nem hívott hitel- vagy likviditási keretből származó kiáramlásokat, ahol az illetékes hatóság egy intézményvédelmi- vagy egy szövetkezeti rendszer keretén belül fenntartott ke</w:t>
      </w:r>
      <w:r w:rsidRPr="0022649A">
        <w:rPr>
          <w:rFonts w:asciiTheme="majorHAnsi" w:hAnsiTheme="majorHAnsi" w:cs="Arial"/>
          <w:szCs w:val="20"/>
        </w:rPr>
        <w:t>d</w:t>
      </w:r>
      <w:r w:rsidRPr="0022649A">
        <w:rPr>
          <w:rFonts w:asciiTheme="majorHAnsi" w:hAnsiTheme="majorHAnsi" w:cs="Arial"/>
          <w:szCs w:val="20"/>
        </w:rPr>
        <w:t>vezményes kiáramlási arányok és operatív betétek kiáramlásainak alkalmazását engedélyezte) a megfelelő kategóriákban kell jelenteni. Ezen kiáramlásokat külön tájékoztató adatokként is szükséges jelenteni.</w:t>
      </w:r>
    </w:p>
    <w:p w14:paraId="750F5FA9" w14:textId="24025B66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>A likviditás kiáramlásokat kizárólag egyszer kell jelenteni a táblában kivéve, ha</w:t>
      </w:r>
      <w:r w:rsidR="00BA6C48">
        <w:rPr>
          <w:rFonts w:asciiTheme="majorHAnsi" w:hAnsiTheme="majorHAnsi" w:cs="Arial"/>
          <w:szCs w:val="20"/>
        </w:rPr>
        <w:t xml:space="preserve"> </w:t>
      </w:r>
      <w:r w:rsidRPr="009B3769">
        <w:rPr>
          <w:rFonts w:asciiTheme="majorHAnsi" w:hAnsiTheme="majorHAnsi" w:cs="Arial"/>
          <w:szCs w:val="20"/>
        </w:rPr>
        <w:t>a Bizottság (EU)</w:t>
      </w:r>
      <w:r>
        <w:rPr>
          <w:rFonts w:asciiTheme="majorHAnsi" w:hAnsiTheme="majorHAnsi" w:cs="Arial"/>
          <w:szCs w:val="20"/>
        </w:rPr>
        <w:t xml:space="preserve"> 2015/61</w:t>
      </w:r>
      <w:r w:rsidRPr="009B3769">
        <w:rPr>
          <w:rFonts w:asciiTheme="majorHAnsi" w:hAnsiTheme="majorHAnsi" w:cs="Arial"/>
          <w:szCs w:val="20"/>
        </w:rPr>
        <w:t xml:space="preserve"> fe</w:t>
      </w:r>
      <w:r w:rsidRPr="009B3769">
        <w:rPr>
          <w:rFonts w:asciiTheme="majorHAnsi" w:hAnsiTheme="majorHAnsi" w:cs="Arial"/>
          <w:szCs w:val="20"/>
        </w:rPr>
        <w:t>l</w:t>
      </w:r>
      <w:r w:rsidRPr="009B3769">
        <w:rPr>
          <w:rFonts w:asciiTheme="majorHAnsi" w:hAnsiTheme="majorHAnsi" w:cs="Arial"/>
          <w:szCs w:val="20"/>
        </w:rPr>
        <w:t>hatalmazáson alapuló rendele</w:t>
      </w:r>
      <w:r>
        <w:rPr>
          <w:rFonts w:asciiTheme="majorHAnsi" w:hAnsiTheme="majorHAnsi" w:cs="Arial"/>
          <w:szCs w:val="20"/>
        </w:rPr>
        <w:t xml:space="preserve">tének </w:t>
      </w:r>
      <w:r w:rsidRPr="0022649A">
        <w:rPr>
          <w:rFonts w:asciiTheme="majorHAnsi" w:hAnsiTheme="majorHAnsi" w:cs="Arial"/>
          <w:szCs w:val="20"/>
        </w:rPr>
        <w:t xml:space="preserve">30. cikke szerinti további kiáramlások alkalmazandóak, vagy ahol a </w:t>
      </w:r>
      <w:proofErr w:type="gramStart"/>
      <w:r w:rsidRPr="0022649A">
        <w:rPr>
          <w:rFonts w:asciiTheme="majorHAnsi" w:hAnsiTheme="majorHAnsi" w:cs="Arial"/>
          <w:szCs w:val="20"/>
        </w:rPr>
        <w:t>tétel tájékoztató</w:t>
      </w:r>
      <w:proofErr w:type="gramEnd"/>
      <w:r w:rsidRPr="0022649A">
        <w:rPr>
          <w:rFonts w:asciiTheme="majorHAnsi" w:hAnsiTheme="majorHAnsi" w:cs="Arial"/>
          <w:szCs w:val="20"/>
        </w:rPr>
        <w:t xml:space="preserve"> adat is egyben. A tájékoztató adatok jelentése nincs hatással a likviditás kiáramlások számítás</w:t>
      </w:r>
      <w:r w:rsidRPr="0022649A">
        <w:rPr>
          <w:rFonts w:asciiTheme="majorHAnsi" w:hAnsiTheme="majorHAnsi" w:cs="Arial"/>
          <w:szCs w:val="20"/>
        </w:rPr>
        <w:t>á</w:t>
      </w:r>
      <w:r w:rsidRPr="0022649A">
        <w:rPr>
          <w:rFonts w:asciiTheme="majorHAnsi" w:hAnsiTheme="majorHAnsi" w:cs="Arial"/>
          <w:szCs w:val="20"/>
        </w:rPr>
        <w:t>ra.</w:t>
      </w:r>
    </w:p>
    <w:p w14:paraId="69D5BB78" w14:textId="77777777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>Jelentős pénznemek jelentésekor az alábbiak mindig alkalmazandóak:</w:t>
      </w:r>
    </w:p>
    <w:p w14:paraId="4785EC25" w14:textId="77777777" w:rsidR="00BE06B5" w:rsidRPr="0022649A" w:rsidRDefault="00BE06B5" w:rsidP="00D32842">
      <w:pPr>
        <w:pStyle w:val="Listaszerbekezds"/>
        <w:numPr>
          <w:ilvl w:val="4"/>
          <w:numId w:val="12"/>
        </w:numPr>
        <w:spacing w:before="320" w:afterLines="100" w:after="240"/>
        <w:ind w:left="1134" w:hanging="426"/>
        <w:contextualSpacing w:val="0"/>
        <w:rPr>
          <w:rFonts w:asciiTheme="majorHAnsi" w:hAnsiTheme="majorHAnsi" w:cs="Arial"/>
          <w:szCs w:val="20"/>
          <w:u w:val="single"/>
        </w:rPr>
      </w:pPr>
      <w:r w:rsidRPr="0022649A">
        <w:rPr>
          <w:rFonts w:asciiTheme="majorHAnsi" w:hAnsiTheme="majorHAnsi" w:cs="Arial"/>
          <w:szCs w:val="20"/>
        </w:rPr>
        <w:lastRenderedPageBreak/>
        <w:t>kizárólag abban a pénznemben denominált tételek és áramlások jelentése szükséges;</w:t>
      </w:r>
    </w:p>
    <w:p w14:paraId="77C12373" w14:textId="77777777" w:rsidR="00BE06B5" w:rsidRPr="0022649A" w:rsidRDefault="00BE06B5" w:rsidP="00D32842">
      <w:pPr>
        <w:pStyle w:val="Listaszerbekezds"/>
        <w:numPr>
          <w:ilvl w:val="4"/>
          <w:numId w:val="12"/>
        </w:numPr>
        <w:spacing w:before="320" w:afterLines="100" w:after="240"/>
        <w:ind w:left="1134" w:hanging="426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egy tranzakció két lába közötti devizanem-eltérés esetén kizárólag </w:t>
      </w:r>
      <w:r>
        <w:rPr>
          <w:rFonts w:asciiTheme="majorHAnsi" w:hAnsiTheme="majorHAnsi" w:cs="Arial"/>
          <w:szCs w:val="20"/>
        </w:rPr>
        <w:t>abban</w:t>
      </w:r>
      <w:r w:rsidRPr="0022649A">
        <w:rPr>
          <w:rFonts w:asciiTheme="majorHAnsi" w:hAnsiTheme="majorHAnsi" w:cs="Arial"/>
          <w:szCs w:val="20"/>
        </w:rPr>
        <w:t xml:space="preserve"> a pénznem</w:t>
      </w:r>
      <w:r>
        <w:rPr>
          <w:rFonts w:asciiTheme="majorHAnsi" w:hAnsiTheme="majorHAnsi" w:cs="Arial"/>
          <w:szCs w:val="20"/>
        </w:rPr>
        <w:t>ben fennálló láb</w:t>
      </w:r>
      <w:r w:rsidRPr="0022649A">
        <w:rPr>
          <w:rFonts w:asciiTheme="majorHAnsi" w:hAnsiTheme="majorHAnsi" w:cs="Arial"/>
          <w:szCs w:val="20"/>
        </w:rPr>
        <w:t xml:space="preserve"> jelentése szükséges;</w:t>
      </w:r>
    </w:p>
    <w:p w14:paraId="4779F514" w14:textId="77777777" w:rsidR="00BE06B5" w:rsidRPr="0022649A" w:rsidRDefault="00BE06B5" w:rsidP="00D32842">
      <w:pPr>
        <w:pStyle w:val="Listaszerbekezds"/>
        <w:numPr>
          <w:ilvl w:val="4"/>
          <w:numId w:val="12"/>
        </w:numPr>
        <w:spacing w:before="320" w:afterLines="100" w:after="240"/>
        <w:ind w:left="1134" w:hanging="426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ahol a </w:t>
      </w:r>
      <w:r w:rsidRPr="009B3769">
        <w:rPr>
          <w:rFonts w:asciiTheme="majorHAnsi" w:hAnsiTheme="majorHAnsi" w:cs="Arial"/>
          <w:szCs w:val="20"/>
        </w:rPr>
        <w:t>Bizottság (EU)</w:t>
      </w:r>
      <w:r>
        <w:rPr>
          <w:rFonts w:asciiTheme="majorHAnsi" w:hAnsiTheme="majorHAnsi" w:cs="Arial"/>
          <w:szCs w:val="20"/>
        </w:rPr>
        <w:t xml:space="preserve"> 2015/61</w:t>
      </w:r>
      <w:r w:rsidRPr="009B3769">
        <w:rPr>
          <w:rFonts w:asciiTheme="majorHAnsi" w:hAnsiTheme="majorHAnsi" w:cs="Arial"/>
          <w:szCs w:val="20"/>
        </w:rPr>
        <w:t xml:space="preserve"> felhatalmazáson alapuló rendeletében </w:t>
      </w:r>
      <w:r w:rsidRPr="0022649A">
        <w:rPr>
          <w:rFonts w:asciiTheme="majorHAnsi" w:hAnsiTheme="majorHAnsi" w:cs="Arial"/>
          <w:szCs w:val="20"/>
        </w:rPr>
        <w:t>nettósítást engedélyez, az kizár</w:t>
      </w:r>
      <w:r w:rsidRPr="0022649A">
        <w:rPr>
          <w:rFonts w:asciiTheme="majorHAnsi" w:hAnsiTheme="majorHAnsi" w:cs="Arial"/>
          <w:szCs w:val="20"/>
        </w:rPr>
        <w:t>ó</w:t>
      </w:r>
      <w:r w:rsidRPr="0022649A">
        <w:rPr>
          <w:rFonts w:asciiTheme="majorHAnsi" w:hAnsiTheme="majorHAnsi" w:cs="Arial"/>
          <w:szCs w:val="20"/>
        </w:rPr>
        <w:t xml:space="preserve">lag az </w:t>
      </w:r>
      <w:r>
        <w:rPr>
          <w:rFonts w:asciiTheme="majorHAnsi" w:hAnsiTheme="majorHAnsi" w:cs="Arial"/>
          <w:szCs w:val="20"/>
        </w:rPr>
        <w:t>abban</w:t>
      </w:r>
      <w:r w:rsidRPr="0022649A">
        <w:rPr>
          <w:rFonts w:asciiTheme="majorHAnsi" w:hAnsiTheme="majorHAnsi" w:cs="Arial"/>
          <w:szCs w:val="20"/>
        </w:rPr>
        <w:t xml:space="preserve"> a pénznem</w:t>
      </w:r>
      <w:r>
        <w:rPr>
          <w:rFonts w:asciiTheme="majorHAnsi" w:hAnsiTheme="majorHAnsi" w:cs="Arial"/>
          <w:szCs w:val="20"/>
        </w:rPr>
        <w:t>ben</w:t>
      </w:r>
      <w:r w:rsidRPr="0022649A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fennálló</w:t>
      </w:r>
      <w:r w:rsidRPr="0022649A">
        <w:rPr>
          <w:rFonts w:asciiTheme="majorHAnsi" w:hAnsiTheme="majorHAnsi" w:cs="Arial"/>
          <w:szCs w:val="20"/>
        </w:rPr>
        <w:t xml:space="preserve"> áramlás</w:t>
      </w:r>
      <w:r>
        <w:rPr>
          <w:rFonts w:asciiTheme="majorHAnsi" w:hAnsiTheme="majorHAnsi" w:cs="Arial"/>
          <w:szCs w:val="20"/>
        </w:rPr>
        <w:t>ok között</w:t>
      </w:r>
      <w:r w:rsidRPr="0022649A">
        <w:rPr>
          <w:rFonts w:asciiTheme="majorHAnsi" w:hAnsiTheme="majorHAnsi" w:cs="Arial"/>
          <w:szCs w:val="20"/>
        </w:rPr>
        <w:t xml:space="preserve"> alkalmazható;</w:t>
      </w:r>
    </w:p>
    <w:p w14:paraId="2CBBD550" w14:textId="77777777" w:rsidR="00BE06B5" w:rsidRPr="0022649A" w:rsidRDefault="00BE06B5" w:rsidP="00D32842">
      <w:pPr>
        <w:pStyle w:val="Listaszerbekezds"/>
        <w:numPr>
          <w:ilvl w:val="4"/>
          <w:numId w:val="12"/>
        </w:numPr>
        <w:spacing w:before="320" w:afterLines="100" w:after="240"/>
        <w:ind w:left="1134" w:hanging="426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>amennyiben egy kiáramlás több devizanemes opcionalitással rendelkezik, a hitelintézetnek egy érték</w:t>
      </w:r>
      <w:r w:rsidRPr="0022649A">
        <w:rPr>
          <w:rFonts w:asciiTheme="majorHAnsi" w:hAnsiTheme="majorHAnsi" w:cs="Arial"/>
          <w:szCs w:val="20"/>
        </w:rPr>
        <w:t>e</w:t>
      </w:r>
      <w:r w:rsidRPr="0022649A">
        <w:rPr>
          <w:rFonts w:asciiTheme="majorHAnsi" w:hAnsiTheme="majorHAnsi" w:cs="Arial"/>
          <w:szCs w:val="20"/>
        </w:rPr>
        <w:t>lést kell készítenie arról, hogy a kiáramlás várhatóan milyen pénznemben fog bekövetkezni és a tételt kizárólag abban a jelentős pénznemben kell jelentenie.</w:t>
      </w:r>
    </w:p>
    <w:p w14:paraId="3CF317C2" w14:textId="09792EE6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A standard súlyok a </w:t>
      </w:r>
      <w:r>
        <w:rPr>
          <w:rFonts w:asciiTheme="majorHAnsi" w:hAnsiTheme="majorHAnsi" w:cs="Arial"/>
          <w:szCs w:val="20"/>
        </w:rPr>
        <w:t>XXIV. M</w:t>
      </w:r>
      <w:r w:rsidRPr="0022649A">
        <w:rPr>
          <w:rFonts w:asciiTheme="majorHAnsi" w:hAnsiTheme="majorHAnsi" w:cs="Arial"/>
          <w:szCs w:val="20"/>
        </w:rPr>
        <w:t>elléklet C</w:t>
      </w:r>
      <w:r w:rsidR="00F73E32">
        <w:rPr>
          <w:rFonts w:asciiTheme="majorHAnsi" w:hAnsiTheme="majorHAnsi" w:cs="Arial"/>
          <w:szCs w:val="20"/>
        </w:rPr>
        <w:t xml:space="preserve"> 73</w:t>
      </w:r>
      <w:r w:rsidRPr="0022649A">
        <w:rPr>
          <w:rFonts w:asciiTheme="majorHAnsi" w:hAnsiTheme="majorHAnsi" w:cs="Arial"/>
          <w:szCs w:val="20"/>
        </w:rPr>
        <w:t>.00 táblázatának 040 oszlopában alapértelmezetten a</w:t>
      </w:r>
      <w:r w:rsidRPr="009B3769">
        <w:rPr>
          <w:rFonts w:asciiTheme="majorHAnsi" w:hAnsiTheme="majorHAnsi" w:cs="Arial"/>
          <w:szCs w:val="20"/>
        </w:rPr>
        <w:t xml:space="preserve"> Bizottság (EU)</w:t>
      </w:r>
      <w:r>
        <w:rPr>
          <w:rFonts w:asciiTheme="majorHAnsi" w:hAnsiTheme="majorHAnsi" w:cs="Arial"/>
          <w:szCs w:val="20"/>
        </w:rPr>
        <w:t xml:space="preserve"> 2015/61</w:t>
      </w:r>
      <w:r w:rsidRPr="009B3769">
        <w:rPr>
          <w:rFonts w:asciiTheme="majorHAnsi" w:hAnsiTheme="majorHAnsi" w:cs="Arial"/>
          <w:szCs w:val="20"/>
        </w:rPr>
        <w:t xml:space="preserve"> felhatalmazáson alapuló rendeletében </w:t>
      </w:r>
      <w:r w:rsidRPr="0022649A">
        <w:rPr>
          <w:rFonts w:asciiTheme="majorHAnsi" w:hAnsiTheme="majorHAnsi" w:cs="Arial"/>
          <w:szCs w:val="20"/>
        </w:rPr>
        <w:t>meghatározottak</w:t>
      </w:r>
      <w:r>
        <w:rPr>
          <w:rFonts w:asciiTheme="majorHAnsi" w:hAnsiTheme="majorHAnsi" w:cs="Arial"/>
          <w:szCs w:val="20"/>
        </w:rPr>
        <w:t>,</w:t>
      </w:r>
      <w:r w:rsidRPr="0022649A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 xml:space="preserve">és </w:t>
      </w:r>
      <w:r w:rsidRPr="0022649A">
        <w:rPr>
          <w:rFonts w:asciiTheme="majorHAnsi" w:hAnsiTheme="majorHAnsi" w:cs="Arial"/>
          <w:szCs w:val="20"/>
        </w:rPr>
        <w:t xml:space="preserve">itt </w:t>
      </w:r>
      <w:r>
        <w:rPr>
          <w:rFonts w:asciiTheme="majorHAnsi" w:hAnsiTheme="majorHAnsi" w:cs="Arial"/>
          <w:szCs w:val="20"/>
        </w:rPr>
        <w:t xml:space="preserve">csak </w:t>
      </w:r>
      <w:r w:rsidRPr="0022649A">
        <w:rPr>
          <w:rFonts w:asciiTheme="majorHAnsi" w:hAnsiTheme="majorHAnsi" w:cs="Arial"/>
          <w:szCs w:val="20"/>
        </w:rPr>
        <w:t>tájékoztat</w:t>
      </w:r>
      <w:r>
        <w:rPr>
          <w:rFonts w:asciiTheme="majorHAnsi" w:hAnsiTheme="majorHAnsi" w:cs="Arial"/>
          <w:szCs w:val="20"/>
        </w:rPr>
        <w:t>ó jelleggel szerepe</w:t>
      </w:r>
      <w:r>
        <w:rPr>
          <w:rFonts w:asciiTheme="majorHAnsi" w:hAnsiTheme="majorHAnsi" w:cs="Arial"/>
          <w:szCs w:val="20"/>
        </w:rPr>
        <w:t>l</w:t>
      </w:r>
      <w:r>
        <w:rPr>
          <w:rFonts w:asciiTheme="majorHAnsi" w:hAnsiTheme="majorHAnsi" w:cs="Arial"/>
          <w:szCs w:val="20"/>
        </w:rPr>
        <w:t>nek</w:t>
      </w:r>
      <w:r w:rsidRPr="0022649A">
        <w:rPr>
          <w:rFonts w:asciiTheme="majorHAnsi" w:hAnsiTheme="majorHAnsi" w:cs="Arial"/>
          <w:szCs w:val="20"/>
        </w:rPr>
        <w:t>.</w:t>
      </w:r>
    </w:p>
    <w:p w14:paraId="54E34212" w14:textId="0908F50A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>A táblázat</w:t>
      </w:r>
      <w:r w:rsidRPr="009B3769">
        <w:rPr>
          <w:rFonts w:asciiTheme="majorHAnsi" w:hAnsiTheme="majorHAnsi" w:cs="Arial"/>
          <w:szCs w:val="20"/>
        </w:rPr>
        <w:t xml:space="preserve">a </w:t>
      </w:r>
      <w:r w:rsidR="00CD4589">
        <w:rPr>
          <w:rFonts w:asciiTheme="majorHAnsi" w:hAnsiTheme="majorHAnsi" w:cs="Arial"/>
          <w:szCs w:val="20"/>
        </w:rPr>
        <w:t>a</w:t>
      </w:r>
      <w:r w:rsidRPr="009B3769">
        <w:rPr>
          <w:rFonts w:asciiTheme="majorHAnsi" w:hAnsiTheme="majorHAnsi" w:cs="Arial"/>
          <w:szCs w:val="20"/>
        </w:rPr>
        <w:t xml:space="preserve"> Bizottság (EU)</w:t>
      </w:r>
      <w:r>
        <w:rPr>
          <w:rFonts w:asciiTheme="majorHAnsi" w:hAnsiTheme="majorHAnsi" w:cs="Arial"/>
          <w:szCs w:val="20"/>
        </w:rPr>
        <w:t xml:space="preserve"> 2015/61</w:t>
      </w:r>
      <w:r w:rsidRPr="009B3769">
        <w:rPr>
          <w:rFonts w:asciiTheme="majorHAnsi" w:hAnsiTheme="majorHAnsi" w:cs="Arial"/>
          <w:szCs w:val="20"/>
        </w:rPr>
        <w:t xml:space="preserve"> felhatalmazáson alapuló rendeletében </w:t>
      </w:r>
      <w:r w:rsidRPr="0022649A">
        <w:rPr>
          <w:rFonts w:asciiTheme="majorHAnsi" w:hAnsiTheme="majorHAnsi" w:cs="Arial"/>
          <w:szCs w:val="20"/>
        </w:rPr>
        <w:t>„fedezett kölcsönügyletek és tőkepiac-vezérelt tranzakciók”-nak nevezett fedezett likviditáskiáramlásokról tartalmaz információt az LCR rendeletben meghatározott módon való számításához.</w:t>
      </w:r>
    </w:p>
    <w:p w14:paraId="2D6A8927" w14:textId="37AD3F0D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Egy különálló táblázat, a „XXIV. Melléklet C 75.00 Biztosítéki csereügyletek” áll rendelkezésre a biztosítéki csereügyletek számára. Azokat a </w:t>
      </w:r>
      <w:r>
        <w:rPr>
          <w:rFonts w:asciiTheme="majorHAnsi" w:hAnsiTheme="majorHAnsi" w:cs="Arial"/>
          <w:szCs w:val="20"/>
        </w:rPr>
        <w:t>biztosítéki</w:t>
      </w:r>
      <w:r w:rsidRPr="0022649A">
        <w:rPr>
          <w:rFonts w:asciiTheme="majorHAnsi" w:hAnsiTheme="majorHAnsi" w:cs="Arial"/>
          <w:szCs w:val="20"/>
        </w:rPr>
        <w:t xml:space="preserve"> csereügyleteket, amelyek fedezet-fedezet tranzakciók</w:t>
      </w:r>
      <w:r>
        <w:rPr>
          <w:rFonts w:asciiTheme="majorHAnsi" w:hAnsiTheme="majorHAnsi" w:cs="Arial"/>
          <w:szCs w:val="20"/>
        </w:rPr>
        <w:t>,</w:t>
      </w:r>
      <w:r w:rsidRPr="0022649A">
        <w:rPr>
          <w:rFonts w:asciiTheme="majorHAnsi" w:hAnsiTheme="majorHAnsi" w:cs="Arial"/>
          <w:szCs w:val="20"/>
        </w:rPr>
        <w:t xml:space="preserve"> nem kell jelenteni a „XXIV. Melléklet C 73.00” táblázatban, </w:t>
      </w:r>
      <w:r>
        <w:rPr>
          <w:rFonts w:asciiTheme="majorHAnsi" w:hAnsiTheme="majorHAnsi" w:cs="Arial"/>
          <w:szCs w:val="20"/>
        </w:rPr>
        <w:t>ami</w:t>
      </w:r>
      <w:r w:rsidRPr="0022649A">
        <w:rPr>
          <w:rFonts w:asciiTheme="majorHAnsi" w:hAnsiTheme="majorHAnsi" w:cs="Arial"/>
          <w:szCs w:val="20"/>
        </w:rPr>
        <w:t xml:space="preserve"> kizárólag</w:t>
      </w:r>
      <w:r>
        <w:rPr>
          <w:rFonts w:asciiTheme="majorHAnsi" w:hAnsiTheme="majorHAnsi" w:cs="Arial"/>
          <w:szCs w:val="20"/>
        </w:rPr>
        <w:t xml:space="preserve"> a</w:t>
      </w:r>
      <w:r w:rsidRPr="0022649A">
        <w:rPr>
          <w:rFonts w:asciiTheme="majorHAnsi" w:hAnsiTheme="majorHAnsi" w:cs="Arial"/>
          <w:szCs w:val="20"/>
        </w:rPr>
        <w:t xml:space="preserve"> készpénz és fedezet közötti tranzakciókat </w:t>
      </w:r>
      <w:r>
        <w:rPr>
          <w:rFonts w:asciiTheme="majorHAnsi" w:hAnsiTheme="majorHAnsi" w:cs="Arial"/>
          <w:szCs w:val="20"/>
        </w:rPr>
        <w:t>tartalmazza</w:t>
      </w:r>
      <w:r w:rsidRPr="0022649A">
        <w:rPr>
          <w:rFonts w:asciiTheme="majorHAnsi" w:hAnsiTheme="majorHAnsi" w:cs="Arial"/>
          <w:szCs w:val="20"/>
        </w:rPr>
        <w:t xml:space="preserve">. </w:t>
      </w:r>
    </w:p>
    <w:p w14:paraId="6B1C641F" w14:textId="77777777" w:rsidR="00BE06B5" w:rsidRPr="005D57EA" w:rsidRDefault="00BE06B5" w:rsidP="005D57EA">
      <w:pPr>
        <w:pStyle w:val="Cmsor2"/>
        <w:rPr>
          <w:color w:val="auto"/>
        </w:rPr>
      </w:pPr>
      <w:r w:rsidRPr="005D57EA">
        <w:rPr>
          <w:color w:val="auto"/>
        </w:rPr>
        <w:t>Speciális megjegyzések az elszámolásokra és a jövőben induló tranzakciókra</w:t>
      </w:r>
    </w:p>
    <w:p w14:paraId="25953FC6" w14:textId="77777777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A hitelintézetek jelenteni kötelesek azokat a </w:t>
      </w:r>
      <w:r>
        <w:rPr>
          <w:rFonts w:asciiTheme="majorHAnsi" w:hAnsiTheme="majorHAnsi" w:cs="Arial"/>
          <w:szCs w:val="20"/>
        </w:rPr>
        <w:t>jövőben induló</w:t>
      </w:r>
      <w:r w:rsidRPr="0022649A">
        <w:rPr>
          <w:rFonts w:asciiTheme="majorHAnsi" w:hAnsiTheme="majorHAnsi" w:cs="Arial"/>
          <w:szCs w:val="20"/>
        </w:rPr>
        <w:t xml:space="preserve"> repo, fordított repo és biztosítéki ügyletekből eredő kiáramlásokat, amelyek 30 napon belül indulnak és lejáratuk a 30 napos horizonton túl van, ahol a kezdeti láb kiáramlást eredményez. Fordított repo esetén, a partnernek hitelezett mennyiség kiáramlásnak tekintendő és az 1.1.7.3 soron kell jelenteni a kapott eszköz piaci értékével nettósítva, a vonatkozó LCR haircut alkalmazása után, ha az eszköz likvid eszköznek minősül. Amennyiben a hitelezendő összeg az érte kapott eszköz piaci értékénél alacsonyabb (LCR haircut után), a különbség beáramlásnak tekintendő.</w:t>
      </w:r>
      <w:r>
        <w:rPr>
          <w:rFonts w:asciiTheme="majorHAnsi" w:hAnsiTheme="majorHAnsi" w:cs="Arial"/>
          <w:szCs w:val="20"/>
        </w:rPr>
        <w:t xml:space="preserve"> Ha a kapott fedezet nem tekinthető likvid eszköznek a kiáramlást teljes mértékben jelenteni kell.</w:t>
      </w:r>
      <w:r w:rsidRPr="0022649A">
        <w:rPr>
          <w:rFonts w:asciiTheme="majorHAnsi" w:hAnsiTheme="majorHAnsi" w:cs="Arial"/>
          <w:szCs w:val="20"/>
        </w:rPr>
        <w:t xml:space="preserve"> Repo esetén, akkor</w:t>
      </w:r>
      <w:r w:rsidR="00466307">
        <w:rPr>
          <w:rFonts w:asciiTheme="majorHAnsi" w:hAnsiTheme="majorHAnsi" w:cs="Arial"/>
          <w:szCs w:val="20"/>
        </w:rPr>
        <w:t>,</w:t>
      </w:r>
      <w:r w:rsidRPr="0022649A">
        <w:rPr>
          <w:rFonts w:asciiTheme="majorHAnsi" w:hAnsiTheme="majorHAnsi" w:cs="Arial"/>
          <w:szCs w:val="20"/>
        </w:rPr>
        <w:t xml:space="preserve"> ha a fedezettként kölcsönadandó eszköz piaci értéke a vonatkozó LCR haircut alkalmazása után (ha az eszköz likvid eszköznek minősül) magasabb, mint az érte kapott pénzösszeg, a különbséget a fentebb eml</w:t>
      </w:r>
      <w:r w:rsidRPr="0022649A">
        <w:rPr>
          <w:rFonts w:asciiTheme="majorHAnsi" w:hAnsiTheme="majorHAnsi" w:cs="Arial"/>
          <w:szCs w:val="20"/>
        </w:rPr>
        <w:t>í</w:t>
      </w:r>
      <w:r w:rsidRPr="0022649A">
        <w:rPr>
          <w:rFonts w:asciiTheme="majorHAnsi" w:hAnsiTheme="majorHAnsi" w:cs="Arial"/>
          <w:szCs w:val="20"/>
        </w:rPr>
        <w:t>tett soron kiáramlásként kell jelenteni.</w:t>
      </w:r>
      <w:r>
        <w:rPr>
          <w:rFonts w:asciiTheme="majorHAnsi" w:hAnsiTheme="majorHAnsi" w:cs="Arial"/>
          <w:szCs w:val="20"/>
        </w:rPr>
        <w:t xml:space="preserve"> A biztosítéki csereügyleteknél, ahol (az LCR haircutok után számított) </w:t>
      </w:r>
      <w:proofErr w:type="gramStart"/>
      <w:r>
        <w:rPr>
          <w:rFonts w:asciiTheme="majorHAnsi" w:hAnsiTheme="majorHAnsi" w:cs="Arial"/>
          <w:szCs w:val="20"/>
        </w:rPr>
        <w:t>nettó hatás</w:t>
      </w:r>
      <w:proofErr w:type="gramEnd"/>
      <w:r>
        <w:rPr>
          <w:rFonts w:asciiTheme="majorHAnsi" w:hAnsiTheme="majorHAnsi" w:cs="Arial"/>
          <w:szCs w:val="20"/>
        </w:rPr>
        <w:t xml:space="preserve"> kiáramlást eredményez, a kiáramlást a fent említett soron kell jelenteni.</w:t>
      </w:r>
    </w:p>
    <w:p w14:paraId="69BC4EB1" w14:textId="77777777" w:rsidR="00BE06B5" w:rsidRPr="0022649A" w:rsidRDefault="00BE06B5" w:rsidP="005D57EA">
      <w:pPr>
        <w:pStyle w:val="Listaszerbekezds"/>
        <w:numPr>
          <w:ilvl w:val="0"/>
          <w:numId w:val="0"/>
        </w:numPr>
        <w:spacing w:before="320" w:afterLines="100" w:after="240"/>
        <w:ind w:left="72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>Azoknak a határidős repoknak, határidős fordított repoknak és határidős biztosítéki csereügyleteknek, am</w:t>
      </w:r>
      <w:r w:rsidRPr="0022649A">
        <w:rPr>
          <w:rFonts w:asciiTheme="majorHAnsi" w:hAnsiTheme="majorHAnsi" w:cs="Arial"/>
          <w:szCs w:val="20"/>
        </w:rPr>
        <w:t>e</w:t>
      </w:r>
      <w:r w:rsidRPr="0022649A">
        <w:rPr>
          <w:rFonts w:asciiTheme="majorHAnsi" w:hAnsiTheme="majorHAnsi" w:cs="Arial"/>
          <w:szCs w:val="20"/>
        </w:rPr>
        <w:t>lyek a 30 napos LCR horizonton belül indulnak és járnak le nincs hatásuk a bank LCR mutatójára, így figye</w:t>
      </w:r>
      <w:r w:rsidRPr="0022649A">
        <w:rPr>
          <w:rFonts w:asciiTheme="majorHAnsi" w:hAnsiTheme="majorHAnsi" w:cs="Arial"/>
          <w:szCs w:val="20"/>
        </w:rPr>
        <w:t>l</w:t>
      </w:r>
      <w:r w:rsidRPr="0022649A">
        <w:rPr>
          <w:rFonts w:asciiTheme="majorHAnsi" w:hAnsiTheme="majorHAnsi" w:cs="Arial"/>
          <w:szCs w:val="20"/>
        </w:rPr>
        <w:t>men kívül hagyhatóak.</w:t>
      </w:r>
    </w:p>
    <w:p w14:paraId="7823CC3E" w14:textId="00F6DC66" w:rsidR="00BE06B5" w:rsidRPr="0022649A" w:rsidRDefault="00BE06B5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22649A">
        <w:rPr>
          <w:rFonts w:asciiTheme="majorHAnsi" w:hAnsiTheme="majorHAnsi" w:cs="Arial"/>
          <w:szCs w:val="20"/>
        </w:rPr>
        <w:t xml:space="preserve">Döntési fa az a XXIV. Melléklet C 73.00 (végső </w:t>
      </w:r>
      <w:proofErr w:type="gramStart"/>
      <w:r w:rsidRPr="0022649A">
        <w:rPr>
          <w:rFonts w:asciiTheme="majorHAnsi" w:hAnsiTheme="majorHAnsi" w:cs="Arial"/>
          <w:szCs w:val="20"/>
        </w:rPr>
        <w:t>DA</w:t>
      </w:r>
      <w:r w:rsidR="00CD4589" w:rsidRPr="00977375">
        <w:rPr>
          <w:rFonts w:asciiTheme="majorHAnsi" w:hAnsiTheme="majorHAnsi"/>
          <w:szCs w:val="20"/>
          <w:vertAlign w:val="superscript"/>
        </w:rPr>
        <w:footnoteReference w:id="2"/>
      </w:r>
      <w:r w:rsidRPr="0022649A">
        <w:rPr>
          <w:rFonts w:asciiTheme="majorHAnsi" w:hAnsiTheme="majorHAnsi" w:cs="Arial"/>
          <w:szCs w:val="20"/>
        </w:rPr>
        <w:t>)</w:t>
      </w:r>
      <w:proofErr w:type="gramEnd"/>
      <w:r w:rsidRPr="0022649A">
        <w:rPr>
          <w:rFonts w:asciiTheme="majorHAnsi" w:hAnsiTheme="majorHAnsi" w:cs="Arial"/>
          <w:szCs w:val="20"/>
        </w:rPr>
        <w:t xml:space="preserve"> 1. szakaszához, a döntési fa nem érinti a jelentendő táj</w:t>
      </w:r>
      <w:r w:rsidRPr="0022649A">
        <w:rPr>
          <w:rFonts w:asciiTheme="majorHAnsi" w:hAnsiTheme="majorHAnsi" w:cs="Arial"/>
          <w:szCs w:val="20"/>
        </w:rPr>
        <w:t>é</w:t>
      </w:r>
      <w:r w:rsidRPr="0022649A">
        <w:rPr>
          <w:rFonts w:asciiTheme="majorHAnsi" w:hAnsiTheme="majorHAnsi" w:cs="Arial"/>
          <w:szCs w:val="20"/>
        </w:rPr>
        <w:t xml:space="preserve">koztató adatokat. A döntési fa a rendelkezések része a prioritásértékelő kritériumok meghatározásához, az </w:t>
      </w:r>
      <w:r w:rsidRPr="0022649A">
        <w:rPr>
          <w:rFonts w:asciiTheme="majorHAnsi" w:hAnsiTheme="majorHAnsi" w:cs="Arial"/>
          <w:szCs w:val="20"/>
        </w:rPr>
        <w:lastRenderedPageBreak/>
        <w:t>egyes tételek besorolás érdekében, a homogén és összehasonlítható jelentések megőrzéséért. A döntési fán való végig haladás nem elegendő, a hitelintézeteknek mindig meg kell felelniük a többi rendelkezésnek is. Az egyszerűség érdekében a döntési fa figyelmen kívül hagyja az összegeket és részösszegeket, ez azonban nem jelenti azt, hogy jelentésük nem szükséges.</w:t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1559"/>
        <w:gridCol w:w="2268"/>
      </w:tblGrid>
      <w:tr w:rsidR="00BE06B5" w:rsidRPr="0022649A" w14:paraId="31C96DF0" w14:textId="77777777" w:rsidTr="00BE06B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4E9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#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28F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Tétel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35F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Döntés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15D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Jelentés</w:t>
            </w:r>
          </w:p>
        </w:tc>
      </w:tr>
      <w:tr w:rsidR="00BE06B5" w:rsidRPr="0022649A" w14:paraId="2F15A237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6B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C19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Jövőben induló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ügylet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3F9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F16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</w:t>
            </w:r>
          </w:p>
        </w:tc>
      </w:tr>
      <w:tr w:rsidR="00BE06B5" w:rsidRPr="0022649A" w14:paraId="61749954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39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6B1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2E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2D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</w:t>
            </w:r>
          </w:p>
        </w:tc>
      </w:tr>
      <w:tr w:rsidR="00BE06B5" w:rsidRPr="0022649A" w14:paraId="73C7E19F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095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ED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71D7E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jelentés időpontját követően életbelépő jövőbeli ügyletek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C8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91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Nem kell jelenteni</w:t>
            </w:r>
          </w:p>
        </w:tc>
      </w:tr>
      <w:tr w:rsidR="00BE06B5" w:rsidRPr="0022649A" w14:paraId="125E9237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782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B03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D00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554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</w:t>
            </w:r>
          </w:p>
        </w:tc>
      </w:tr>
      <w:tr w:rsidR="00BE06B5" w:rsidRPr="0022649A" w14:paraId="532E63EB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0BA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6D3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Jövő idejű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ügyletek a 30 napos intervallumot megelőző induló nappal és az azt követő lejárattal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B51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38A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Nem kell jelenteni</w:t>
            </w:r>
          </w:p>
        </w:tc>
      </w:tr>
      <w:tr w:rsidR="00BE06B5" w:rsidRPr="0022649A" w14:paraId="1A511B92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201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C80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06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55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1.1.7.3</w:t>
            </w:r>
          </w:p>
        </w:tc>
      </w:tr>
      <w:tr w:rsidR="00BE06B5" w:rsidRPr="0022649A" w14:paraId="30AE941A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760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90A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tétel további kiáramlást igényel a DA. 30. cikke alapján?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E8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AF4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5 és</w:t>
            </w:r>
          </w:p>
          <w:p w14:paraId="0FEA759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aztán #48</w:t>
            </w:r>
          </w:p>
        </w:tc>
      </w:tr>
      <w:tr w:rsidR="00BE06B5" w:rsidRPr="0022649A" w14:paraId="34C0487F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664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EB3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28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958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5</w:t>
            </w:r>
          </w:p>
        </w:tc>
      </w:tr>
      <w:tr w:rsidR="00BE06B5" w:rsidRPr="0022649A" w14:paraId="1F92AB57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F6C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5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AE99" w14:textId="1971E90F" w:rsidR="00BE06B5" w:rsidRPr="0022649A" w:rsidRDefault="00BE06B5" w:rsidP="008744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Lakossági betét a DA 3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</w:t>
            </w:r>
            <w:r w:rsidR="00567138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(8)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bekezdése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alapján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102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899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#6</w:t>
            </w:r>
          </w:p>
        </w:tc>
      </w:tr>
      <w:tr w:rsidR="00BE06B5" w:rsidRPr="0022649A" w14:paraId="41832A0B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E16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FA1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89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2E6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12</w:t>
            </w:r>
          </w:p>
        </w:tc>
      </w:tr>
      <w:tr w:rsidR="00BE06B5" w:rsidRPr="0022649A" w14:paraId="7409F8AE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AECD" w14:textId="77777777" w:rsidR="00BE06B5" w:rsidRPr="00606BD0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606BD0">
              <w:rPr>
                <w:rFonts w:asciiTheme="majorHAnsi" w:eastAsia="Times New Roman" w:hAnsiTheme="majorHAnsi" w:cs="Times New Roman"/>
                <w:color w:val="000000"/>
                <w:szCs w:val="20"/>
              </w:rPr>
              <w:t>6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E144" w14:textId="77777777" w:rsidR="00BE06B5" w:rsidRPr="00606BD0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606BD0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Felmondott betét kevesebb, mint 30 naptári nappal lejárat előtt és a kifizetés másik pénzintézet részére történik?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ABA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A14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1.1.1.1</w:t>
            </w:r>
          </w:p>
        </w:tc>
      </w:tr>
      <w:tr w:rsidR="00BE06B5" w:rsidRPr="0022649A" w14:paraId="4061296A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2DE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2EE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8B7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3B5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7</w:t>
            </w:r>
          </w:p>
        </w:tc>
      </w:tr>
      <w:tr w:rsidR="00BE06B5" w:rsidRPr="0022649A" w14:paraId="109BD320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9E0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7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2AB2" w14:textId="2FB7F188" w:rsidR="00BE06B5" w:rsidRPr="0022649A" w:rsidRDefault="00BE06B5" w:rsidP="008744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DA 25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</w:t>
            </w:r>
            <w:r w:rsidR="00567138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(4) </w:t>
            </w:r>
            <w:r w:rsidR="0056713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bekezdése 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 betét?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BD9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216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Nem kell jelenteni</w:t>
            </w:r>
          </w:p>
        </w:tc>
      </w:tr>
      <w:tr w:rsidR="00BE06B5" w:rsidRPr="0022649A" w14:paraId="7D2CA795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309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F30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91F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267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8</w:t>
            </w:r>
          </w:p>
        </w:tc>
      </w:tr>
      <w:tr w:rsidR="00BE06B5" w:rsidRPr="0022649A" w14:paraId="04125994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A0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8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D65C" w14:textId="28CD8481" w:rsidR="00BE06B5" w:rsidRPr="00554960" w:rsidRDefault="00BE06B5" w:rsidP="004663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329E1">
              <w:rPr>
                <w:rFonts w:asciiTheme="majorHAnsi" w:eastAsia="Times New Roman" w:hAnsiTheme="majorHAnsi" w:cs="Times New Roman"/>
                <w:color w:val="000000"/>
                <w:szCs w:val="20"/>
              </w:rPr>
              <w:t>DA 25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</w:t>
            </w:r>
            <w:r w:rsidR="00567138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</w:t>
            </w:r>
            <w:r w:rsidRPr="00B329E1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(5) </w:t>
            </w:r>
            <w:r w:rsidR="00567138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bekezdésének</w:t>
            </w:r>
            <w:r w:rsidRPr="00B329E1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megfelelő betét?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2E8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09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1.1.1.5</w:t>
            </w:r>
          </w:p>
        </w:tc>
      </w:tr>
      <w:tr w:rsidR="00BE06B5" w:rsidRPr="0022649A" w14:paraId="2F99CAF2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408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887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949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A69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9</w:t>
            </w:r>
          </w:p>
        </w:tc>
      </w:tr>
      <w:tr w:rsidR="00BE06B5" w:rsidRPr="0022649A" w14:paraId="4DD0C643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627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9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F35A" w14:textId="726F6222" w:rsidR="00BE06B5" w:rsidRPr="0022649A" w:rsidRDefault="00BE06B5" w:rsidP="004663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DA 25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</w:t>
            </w:r>
            <w:r w:rsidR="00567138"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(2)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="00567138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bekezdésének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megfelelő betét?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9D2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031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1.1.1.2</w:t>
            </w:r>
          </w:p>
          <w:p w14:paraId="751550F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 részébe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kell besorolni</w:t>
            </w:r>
          </w:p>
        </w:tc>
      </w:tr>
      <w:tr w:rsidR="00BE06B5" w:rsidRPr="0022649A" w14:paraId="0E6AC9F8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D5C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A2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3B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503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10</w:t>
            </w:r>
          </w:p>
        </w:tc>
      </w:tr>
      <w:tr w:rsidR="00BE06B5" w:rsidRPr="0022649A" w14:paraId="0E0AA776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DD1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10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F628" w14:textId="07E86939" w:rsidR="00BE06B5" w:rsidRPr="0022649A" w:rsidRDefault="00BE06B5" w:rsidP="004663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DA 24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</w:t>
            </w:r>
            <w:r w:rsidR="00E12956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(4) 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bekezdésének</w:t>
            </w:r>
            <w:r w:rsidR="00466307"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cikkének megfelelő betét?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097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D9A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1.1.1.4</w:t>
            </w:r>
          </w:p>
        </w:tc>
      </w:tr>
      <w:tr w:rsidR="00BE06B5" w:rsidRPr="0022649A" w14:paraId="175AC0F5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162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EB6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E1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365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#11</w:t>
            </w:r>
          </w:p>
        </w:tc>
      </w:tr>
      <w:tr w:rsidR="00BE06B5" w:rsidRPr="0022649A" w14:paraId="136918E7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305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11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B844" w14:textId="62C914AD" w:rsidR="00BE06B5" w:rsidRPr="0022649A" w:rsidRDefault="00BE06B5" w:rsidP="004663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DA 24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</w:t>
            </w:r>
            <w:r w:rsidR="00330DB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(1) 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bekezdésének</w:t>
            </w:r>
            <w:r w:rsidR="00466307"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 betét?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9E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7D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1.1.1.3</w:t>
            </w:r>
          </w:p>
        </w:tc>
      </w:tr>
      <w:tr w:rsidR="00BE06B5" w:rsidRPr="0022649A" w14:paraId="447267D1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FF9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AA4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4E8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480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1.1.1.6</w:t>
            </w:r>
          </w:p>
        </w:tc>
      </w:tr>
      <w:tr w:rsidR="00BE06B5" w:rsidRPr="0022649A" w14:paraId="330D40B7" w14:textId="77777777" w:rsidTr="00BE06B5">
        <w:trPr>
          <w:trHeight w:val="255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96C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12</w:t>
            </w:r>
          </w:p>
        </w:tc>
        <w:tc>
          <w:tcPr>
            <w:tcW w:w="581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EE1" w14:textId="77777777" w:rsidR="00BE06B5" w:rsidRPr="00D12117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1211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Esedékessé vált kötelezettség, összeg, melynek kifizetését </w:t>
            </w:r>
            <w:proofErr w:type="gramStart"/>
            <w:r w:rsidRPr="00D12117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igényelheti</w:t>
            </w:r>
            <w:proofErr w:type="gramEnd"/>
            <w:r w:rsidRPr="00D1211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 kibocsátó vagy a finanszírozást nyújtó vagy a finanszírozó azzal a feltételezéssel élhet, hogy a hitelintézet 30 napon belül kiegyenlíti kötelezettségét?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0C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D6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#13</w:t>
            </w:r>
          </w:p>
        </w:tc>
      </w:tr>
      <w:tr w:rsidR="00BE06B5" w:rsidRPr="0022649A" w14:paraId="5E6A29BF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88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14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16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45E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#29</w:t>
            </w:r>
          </w:p>
        </w:tc>
      </w:tr>
      <w:tr w:rsidR="00BE06B5" w:rsidRPr="0022649A" w14:paraId="1DC3A33E" w14:textId="77777777" w:rsidTr="00BE06B5">
        <w:trPr>
          <w:trHeight w:val="255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02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13</w:t>
            </w:r>
          </w:p>
        </w:tc>
        <w:tc>
          <w:tcPr>
            <w:tcW w:w="581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A9D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 intézmény saját működéséből fakadó kötelezettségek?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364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433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1.1.7.1</w:t>
            </w:r>
          </w:p>
        </w:tc>
      </w:tr>
      <w:tr w:rsidR="00BE06B5" w:rsidRPr="0022649A" w14:paraId="6D00AC9E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3F5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0D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EC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09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14</w:t>
            </w:r>
          </w:p>
        </w:tc>
      </w:tr>
      <w:tr w:rsidR="00BE06B5" w:rsidRPr="0022649A" w14:paraId="38A002AF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171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CA8F" w14:textId="6F6106C0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Kizárólag lakossági értékesítésű, lakossági számlán tartott a DA 28. </w:t>
            </w:r>
            <w:r w:rsidR="0087448C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(6) 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szerinti kötvény kötelezettség?</w:t>
            </w:r>
          </w:p>
          <w:p w14:paraId="4724BDC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F98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6F4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lakossági betéteknek megfelelő besorolás (ti. igen válasz az # 5 re és annak megfelelő kezelés)</w:t>
            </w:r>
          </w:p>
        </w:tc>
      </w:tr>
      <w:tr w:rsidR="00BE06B5" w:rsidRPr="0022649A" w14:paraId="6FC0125F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D22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450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264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B5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15</w:t>
            </w:r>
          </w:p>
        </w:tc>
      </w:tr>
      <w:tr w:rsidR="00BE06B5" w:rsidRPr="0022649A" w14:paraId="0C759050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BF7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58B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Kötelezettség kötvény formájában?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8E2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B18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1.1.7.2</w:t>
            </w:r>
          </w:p>
        </w:tc>
      </w:tr>
      <w:tr w:rsidR="00BE06B5" w:rsidRPr="0022649A" w14:paraId="3B2989EB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68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512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6DE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132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16</w:t>
            </w:r>
          </w:p>
        </w:tc>
      </w:tr>
      <w:tr w:rsidR="00BE06B5" w:rsidRPr="0022649A" w14:paraId="2A13EA9E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C74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A10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Fedezettként kapott betét?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4B0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424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1.1.4</w:t>
            </w:r>
          </w:p>
          <w:p w14:paraId="3847805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releváns tételeibe kell besorolni</w:t>
            </w:r>
          </w:p>
        </w:tc>
      </w:tr>
      <w:tr w:rsidR="00BE06B5" w:rsidRPr="0022649A" w14:paraId="487238C3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74C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FE2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6A9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0A6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17</w:t>
            </w:r>
          </w:p>
        </w:tc>
      </w:tr>
      <w:tr w:rsidR="00BE06B5" w:rsidRPr="0022649A" w14:paraId="4D8381AC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750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150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Levelező banki kapcsolatból vagy elsődleges ügynöki szolgáltatásból származó betét?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DA6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7CF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1.1.3.1</w:t>
            </w:r>
          </w:p>
        </w:tc>
      </w:tr>
      <w:tr w:rsidR="00BE06B5" w:rsidRPr="0022649A" w14:paraId="3137F53F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912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688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D71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8BF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#18</w:t>
            </w:r>
          </w:p>
        </w:tc>
      </w:tr>
      <w:tr w:rsidR="00BE06B5" w:rsidRPr="0022649A" w14:paraId="50E9580F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310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18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9E4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DA 27. cikke szerinti operatív betét?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12D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7E1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19</w:t>
            </w:r>
          </w:p>
        </w:tc>
      </w:tr>
      <w:tr w:rsidR="00BE06B5" w:rsidRPr="0022649A" w14:paraId="32CC2568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076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A6A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286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074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24</w:t>
            </w:r>
          </w:p>
        </w:tc>
      </w:tr>
      <w:tr w:rsidR="00BE06B5" w:rsidRPr="0022649A" w14:paraId="5417470E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CED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C41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Intézményvédelmi- vagy szövetkezeti rendszer keretében fennta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tott?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44A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96A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20</w:t>
            </w:r>
          </w:p>
        </w:tc>
      </w:tr>
      <w:tr w:rsidR="00BE06B5" w:rsidRPr="0022649A" w14:paraId="19BA1DA5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BB6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432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94A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725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22</w:t>
            </w:r>
          </w:p>
        </w:tc>
      </w:tr>
      <w:tr w:rsidR="00BE06B5" w:rsidRPr="0022649A" w14:paraId="2656A13D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F29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20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9F2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Betétet elhelyező hitelintézet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által 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likvid eszközeinek tekintett?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ED7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A95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1.1.2.2.2</w:t>
            </w:r>
          </w:p>
        </w:tc>
      </w:tr>
      <w:tr w:rsidR="00BE06B5" w:rsidRPr="0022649A" w14:paraId="094872AE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55D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C0D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F61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3E0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21</w:t>
            </w:r>
          </w:p>
        </w:tc>
      </w:tr>
      <w:tr w:rsidR="00BE06B5" w:rsidRPr="0022649A" w14:paraId="732A37DF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326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BEA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Hálózat keretein belül készpénzklíring vagy központi hitelintézet által nyújtott szolgáltatások igénybevétele érdekében fenntartott?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3A8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E3B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1.1.2.4</w:t>
            </w:r>
          </w:p>
        </w:tc>
      </w:tr>
      <w:tr w:rsidR="00BE06B5" w:rsidRPr="0022649A" w14:paraId="328E49C0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4AC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0D0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E4F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F25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1.1.2.2.1</w:t>
            </w:r>
          </w:p>
        </w:tc>
      </w:tr>
      <w:tr w:rsidR="00BE06B5" w:rsidRPr="0022649A" w14:paraId="064BF8B4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298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3DF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Stabil operatív kapcsolat keretein belül klíring-, letéti, készpénzm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nedzsment vagy egyéb hasonló szolgáltatás igénybevétele érdekében fenntartott?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0F3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97E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1.1.2.1</w:t>
            </w:r>
          </w:p>
          <w:p w14:paraId="11B2755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tételébe kell besorolni</w:t>
            </w:r>
          </w:p>
        </w:tc>
      </w:tr>
      <w:tr w:rsidR="00BE06B5" w:rsidRPr="0022649A" w14:paraId="54E8D715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B50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C59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BE4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692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23</w:t>
            </w:r>
          </w:p>
        </w:tc>
      </w:tr>
      <w:tr w:rsidR="00BE06B5" w:rsidRPr="0022649A" w14:paraId="6492BCC3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194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23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415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Stabil operatív kapcsolat (más) nem pénzügyi ügyféllel?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4ED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7CB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1.1.2.3</w:t>
            </w:r>
          </w:p>
        </w:tc>
      </w:tr>
      <w:tr w:rsidR="00BE06B5" w:rsidRPr="0022649A" w14:paraId="60E4238D" w14:textId="77777777" w:rsidTr="00BE06B5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679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1B7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928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2CF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#24</w:t>
            </w:r>
          </w:p>
        </w:tc>
      </w:tr>
      <w:tr w:rsidR="00BE06B5" w:rsidRPr="0022649A" w14:paraId="203A7081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CE3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B0D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Egyéb betét?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B25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022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25</w:t>
            </w:r>
          </w:p>
        </w:tc>
      </w:tr>
      <w:tr w:rsidR="00BE06B5" w:rsidRPr="0022649A" w14:paraId="6C5D8322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D2A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A5E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B3E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A45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26</w:t>
            </w:r>
          </w:p>
        </w:tc>
      </w:tr>
      <w:tr w:rsidR="00BE06B5" w:rsidRPr="0022649A" w14:paraId="136806F4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8DE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065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Pénzügyi ügyfelek betétei?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807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EE5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1.1.3.2</w:t>
            </w:r>
          </w:p>
        </w:tc>
      </w:tr>
      <w:tr w:rsidR="00BE06B5" w:rsidRPr="0022649A" w14:paraId="51ABFA52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6A7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87C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1B9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F18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1.1.3.3</w:t>
            </w:r>
          </w:p>
          <w:p w14:paraId="5454BB8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tételébe kell besorolni</w:t>
            </w:r>
          </w:p>
        </w:tc>
      </w:tr>
      <w:tr w:rsidR="00BE06B5" w:rsidRPr="0022649A" w14:paraId="02B0C554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FD6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E5B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derivatívák és biztosítéki csereügyletek kivételével fedezett kö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csönügyletekből és tőkepiac-vezérelt ügyletekből származó kötel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zettség?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49E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64D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1.2</w:t>
            </w:r>
          </w:p>
          <w:p w14:paraId="3EF61C8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tételébe kell besorolni</w:t>
            </w:r>
          </w:p>
        </w:tc>
      </w:tr>
      <w:tr w:rsidR="00BE06B5" w:rsidRPr="0022649A" w14:paraId="667301F1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E50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429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88A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60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#27</w:t>
            </w:r>
          </w:p>
        </w:tc>
      </w:tr>
      <w:tr w:rsidR="00BE06B5" w:rsidRPr="0022649A" w14:paraId="4E2979CC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6DD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A60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Biztosítéki csereügyletből származó kötelezettség?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463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867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C75.00 egy releváns tét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lébe kell besorolni és 1.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3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, ahol alkalmazható</w:t>
            </w:r>
          </w:p>
        </w:tc>
      </w:tr>
      <w:tr w:rsidR="00BE06B5" w:rsidRPr="0022649A" w14:paraId="5F407B24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61C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BA8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9F7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6A9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28</w:t>
            </w:r>
          </w:p>
        </w:tc>
      </w:tr>
      <w:tr w:rsidR="00BE06B5" w:rsidRPr="0022649A" w14:paraId="3E6ABC8F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09F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28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31AD" w14:textId="317BBD40" w:rsidR="00BE06B5" w:rsidRPr="0022649A" w:rsidRDefault="00BE06B5" w:rsidP="004663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DA 3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0</w:t>
            </w:r>
            <w:r w:rsidR="0087448C">
              <w:rPr>
                <w:rFonts w:asciiTheme="majorHAnsi" w:eastAsia="Times New Roman" w:hAnsiTheme="majorHAnsi" w:cs="Times New Roman"/>
                <w:color w:val="000000"/>
                <w:szCs w:val="20"/>
              </w:rPr>
              <w:t>. cikk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(4)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="00582144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szerint derivatívából kötelezettséget eredményező kiáramlás?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8C7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A50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1.1.4.5</w:t>
            </w:r>
          </w:p>
        </w:tc>
      </w:tr>
      <w:tr w:rsidR="00BE06B5" w:rsidRPr="0022649A" w14:paraId="240BC23A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8A9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EDF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D7E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659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1.1.7.3</w:t>
            </w:r>
          </w:p>
        </w:tc>
      </w:tr>
      <w:tr w:rsidR="00BE06B5" w:rsidRPr="0022649A" w14:paraId="7F492FD5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F98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29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43F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Le nem hívott összeg, hitelkeretből és likviditási keretből a DA 31. cikke szerint?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8D7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BD5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30</w:t>
            </w:r>
          </w:p>
        </w:tc>
      </w:tr>
      <w:tr w:rsidR="00BE06B5" w:rsidRPr="0022649A" w14:paraId="078640AC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F9F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33E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AB8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99D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38</w:t>
            </w:r>
          </w:p>
        </w:tc>
      </w:tr>
      <w:tr w:rsidR="00BE06B5" w:rsidRPr="0022649A" w14:paraId="18DA5BA0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B41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AE2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Folyósítási kötelezettséggel járó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hitelkeret?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E98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9DA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31</w:t>
            </w:r>
          </w:p>
        </w:tc>
      </w:tr>
      <w:tr w:rsidR="00BE06B5" w:rsidRPr="0022649A" w14:paraId="5750A4DD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CCF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D56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7FF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86D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33</w:t>
            </w:r>
          </w:p>
        </w:tc>
      </w:tr>
      <w:tr w:rsidR="00BE06B5" w:rsidRPr="0022649A" w14:paraId="3054FB83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A12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34F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 intézményvédelmi- vagy szövetkezeti rendszeren belül a letételh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lyező intézmény által likvid eszközként kezelt?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6D4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13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1.1.5.1.6</w:t>
            </w:r>
          </w:p>
        </w:tc>
      </w:tr>
      <w:tr w:rsidR="00BE06B5" w:rsidRPr="0022649A" w14:paraId="384631E4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9F5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A2C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5B6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21B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32</w:t>
            </w:r>
          </w:p>
        </w:tc>
      </w:tr>
      <w:tr w:rsidR="00BE06B5" w:rsidRPr="0022649A" w14:paraId="4CCE0FEB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D6A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F62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Csoporton vagy intézményvédelmi rendszeren beült különleges elb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nás alá esik?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21E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C96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1.1.5.1.5</w:t>
            </w:r>
          </w:p>
        </w:tc>
      </w:tr>
      <w:tr w:rsidR="00BE06B5" w:rsidRPr="0022649A" w14:paraId="0867CC30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774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93A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AA3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CD9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1.1.5.1</w:t>
            </w:r>
          </w:p>
          <w:p w14:paraId="20556DF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megmaradt tételébe kell besorolni</w:t>
            </w:r>
          </w:p>
        </w:tc>
      </w:tr>
      <w:tr w:rsidR="00BE06B5" w:rsidRPr="0022649A" w14:paraId="6A02A0EC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6C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D42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Folyósítási kötelezettséggel járó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hitelkeret?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2F5C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C4C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34</w:t>
            </w:r>
          </w:p>
        </w:tc>
      </w:tr>
      <w:tr w:rsidR="00BE06B5" w:rsidRPr="0022649A" w14:paraId="0A0E5B0E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5D4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EA3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45FC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n/</w:t>
            </w:r>
            <w:proofErr w:type="gramStart"/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proofErr w:type="gramEnd"/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AFE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n/</w:t>
            </w:r>
            <w:proofErr w:type="gramStart"/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proofErr w:type="gramEnd"/>
          </w:p>
        </w:tc>
      </w:tr>
      <w:tr w:rsidR="00BE06B5" w:rsidRPr="0022649A" w14:paraId="1A508301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D56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3F9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 intézményvédelmi- vagy szövetkezeti rendszeren belül a letételh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lyező intézmény által likvid eszközként kezelt?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55E8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54C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1.1.5.2.7</w:t>
            </w:r>
          </w:p>
        </w:tc>
      </w:tr>
      <w:tr w:rsidR="00BE06B5" w:rsidRPr="0022649A" w14:paraId="3FDA8B02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8AF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ECA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3C87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BE9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35</w:t>
            </w:r>
          </w:p>
        </w:tc>
      </w:tr>
      <w:tr w:rsidR="00BE06B5" w:rsidRPr="0022649A" w14:paraId="76201DEE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9D6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B73" w14:textId="784CF54C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Csoporton vagy intézményvédelmi rendszeren be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ül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kedvezményes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elbánás alá esik?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82A3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995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1.1.5.2.6</w:t>
            </w:r>
          </w:p>
        </w:tc>
      </w:tr>
      <w:tr w:rsidR="00BE06B5" w:rsidRPr="0022649A" w14:paraId="3ECF7790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1B5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9C7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30E3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3C0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36</w:t>
            </w:r>
          </w:p>
        </w:tc>
      </w:tr>
      <w:tr w:rsidR="00BE06B5" w:rsidRPr="0022649A" w14:paraId="6953DA91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B0C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41A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Különleges célú gazdasági egységek részére?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5857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F60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1.1.5.2.4</w:t>
            </w:r>
          </w:p>
          <w:p w14:paraId="29ACE82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tételébe kell besorolni</w:t>
            </w:r>
          </w:p>
        </w:tc>
      </w:tr>
      <w:tr w:rsidR="00BE06B5" w:rsidRPr="0022649A" w14:paraId="53502775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CCC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FCC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9D54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8D3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#37</w:t>
            </w:r>
          </w:p>
        </w:tc>
      </w:tr>
      <w:tr w:rsidR="00BE06B5" w:rsidRPr="0022649A" w14:paraId="1E4CBB11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A15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B81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Magánbefektetési társaságok részére?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EFC7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647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1.1.5.2.3</w:t>
            </w:r>
          </w:p>
        </w:tc>
      </w:tr>
      <w:tr w:rsidR="00BE06B5" w:rsidRPr="0022649A" w14:paraId="3A841ECA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377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BF1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4819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A04B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1.1.5.2</w:t>
            </w:r>
          </w:p>
          <w:p w14:paraId="5AFD17B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megmaradt tételébe kell besorolni</w:t>
            </w:r>
          </w:p>
        </w:tc>
      </w:tr>
      <w:tr w:rsidR="00BE06B5" w:rsidRPr="0022649A" w14:paraId="3FA19470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EFF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38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D21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DA 23. cikkének megfelelő egyéb termék vagy szolgáltatás?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42AE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E42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39</w:t>
            </w:r>
          </w:p>
        </w:tc>
      </w:tr>
      <w:tr w:rsidR="00BE06B5" w:rsidRPr="0022649A" w14:paraId="775DB9DB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6D6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8ED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C5CF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86E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Nem kell jelenteni</w:t>
            </w:r>
          </w:p>
        </w:tc>
      </w:tr>
      <w:tr w:rsidR="00BE06B5" w:rsidRPr="0022649A" w14:paraId="39D02FE7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0F7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39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A99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9F6B8F">
              <w:rPr>
                <w:rFonts w:asciiTheme="majorHAnsi" w:eastAsia="Times New Roman" w:hAnsiTheme="majorHAnsi" w:cs="Times New Roman"/>
                <w:color w:val="000000"/>
                <w:szCs w:val="20"/>
              </w:rPr>
              <w:t>ereskedelemfinanszírozásással kapcsolatos mérlegen kívüli termé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AE2B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76D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1.1.6.8</w:t>
            </w:r>
          </w:p>
        </w:tc>
      </w:tr>
      <w:tr w:rsidR="00BE06B5" w:rsidRPr="0022649A" w14:paraId="081E6F23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940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761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03A3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718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40</w:t>
            </w:r>
          </w:p>
        </w:tc>
      </w:tr>
      <w:tr w:rsidR="00BE06B5" w:rsidRPr="0022649A" w14:paraId="5547D6A3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477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7698" w14:textId="517DE62E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Finanszírozás kiterjesztés?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7611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43A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következő tételek egy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kébe kell besorolni:</w:t>
            </w:r>
          </w:p>
          <w:p w14:paraId="7F96BFC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1.1.6.6.1.1-től 1.1.6.6.1.4-ig</w:t>
            </w:r>
          </w:p>
        </w:tc>
      </w:tr>
      <w:tr w:rsidR="00BE06B5" w:rsidRPr="0022649A" w14:paraId="70BAB764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FE9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86E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4846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536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41</w:t>
            </w:r>
          </w:p>
        </w:tc>
      </w:tr>
      <w:tr w:rsidR="00BE06B5" w:rsidRPr="0022649A" w14:paraId="365E6BA1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710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595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Bankközi partnereknek nyújtott le nem hívott hitelek és követelések?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D22B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8F9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1.1.6.2</w:t>
            </w:r>
          </w:p>
        </w:tc>
      </w:tr>
      <w:tr w:rsidR="00BE06B5" w:rsidRPr="0022649A" w14:paraId="0128F4BA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C10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E71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2F40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988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42</w:t>
            </w:r>
          </w:p>
        </w:tc>
      </w:tr>
      <w:tr w:rsidR="00BE06B5" w:rsidRPr="0022649A" w14:paraId="49BF06E0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2A1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4F6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Megkötött, de még le nem hívott jelzálog?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1DB7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B7E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1.1.6.3</w:t>
            </w:r>
          </w:p>
        </w:tc>
      </w:tr>
      <w:tr w:rsidR="00BE06B5" w:rsidRPr="0022649A" w14:paraId="502C7F16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9B6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0E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17C4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A49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43</w:t>
            </w:r>
          </w:p>
        </w:tc>
      </w:tr>
      <w:tr w:rsidR="00BE06B5" w:rsidRPr="0022649A" w14:paraId="571C4F74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525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43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F4A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akossági vagy bankközi hitelek megújításával vagy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új folyósításával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kapcsolatos tervezett kiáramlások?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853B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D98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1.1.6.6.2</w:t>
            </w:r>
          </w:p>
        </w:tc>
      </w:tr>
      <w:tr w:rsidR="00BE06B5" w:rsidRPr="0022649A" w14:paraId="3935CD0F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FF5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88A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AB1C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4AB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44</w:t>
            </w:r>
          </w:p>
        </w:tc>
      </w:tr>
      <w:tr w:rsidR="00BE06B5" w:rsidRPr="0022649A" w14:paraId="5D4D2CDF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80F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F06E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Hitelkártyák?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7E3C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883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1.1.6.4</w:t>
            </w:r>
          </w:p>
        </w:tc>
      </w:tr>
      <w:tr w:rsidR="00BE06B5" w:rsidRPr="0022649A" w14:paraId="488510DC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5C1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0DC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FA3E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D9B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45</w:t>
            </w:r>
          </w:p>
        </w:tc>
      </w:tr>
      <w:tr w:rsidR="00BE06B5" w:rsidRPr="0022649A" w14:paraId="2C7BEC54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A2A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05F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Folyószámlahitel?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7CAC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7ED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1.1.6.5</w:t>
            </w:r>
          </w:p>
        </w:tc>
      </w:tr>
      <w:tr w:rsidR="00BE06B5" w:rsidRPr="0022649A" w14:paraId="23BBAE99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0D6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4625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BA7B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CDA2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46</w:t>
            </w:r>
          </w:p>
        </w:tc>
      </w:tr>
      <w:tr w:rsidR="00BE06B5" w:rsidRPr="0022649A" w14:paraId="05A824C5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E8E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46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4D5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Származtatott ügyletekből eredő tervezett kötelezettség?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ECA1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B72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1.1.6.7</w:t>
            </w:r>
          </w:p>
        </w:tc>
      </w:tr>
      <w:tr w:rsidR="00BE06B5" w:rsidRPr="0022649A" w14:paraId="18865827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45A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DD79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3656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50B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47</w:t>
            </w:r>
          </w:p>
        </w:tc>
      </w:tr>
      <w:tr w:rsidR="00BE06B5" w:rsidRPr="0022649A" w14:paraId="207667FC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7C73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2F0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Egyéb mérlegen kívüli és függő finanszírozási kötelezettség?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04EC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A25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1.1.6.1</w:t>
            </w:r>
          </w:p>
        </w:tc>
      </w:tr>
      <w:tr w:rsidR="00BE06B5" w:rsidRPr="0022649A" w14:paraId="3269507F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E9B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E48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0C66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7A7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1.1.6.9</w:t>
            </w:r>
          </w:p>
        </w:tc>
      </w:tr>
      <w:tr w:rsidR="00BE06B5" w:rsidRPr="0022649A" w14:paraId="3904337F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D821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48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221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C 73.00 táblázat 1.1.7.2 tételében már jelentett hitelviszonyt me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g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testesítő értékpapír?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67E2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2F87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Nem kell jelenteni</w:t>
            </w:r>
          </w:p>
        </w:tc>
      </w:tr>
      <w:tr w:rsidR="00BE06B5" w:rsidRPr="0022649A" w14:paraId="07055BBC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66B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D460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2272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3266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# 49</w:t>
            </w:r>
          </w:p>
        </w:tc>
      </w:tr>
      <w:tr w:rsidR="00BE06B5" w:rsidRPr="0022649A" w14:paraId="301AE7DB" w14:textId="77777777" w:rsidTr="00BE06B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E554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49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C3E5" w14:textId="225D8D6E" w:rsidR="00BE06B5" w:rsidRPr="0022649A" w:rsidRDefault="00BE06B5" w:rsidP="008744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# 28 kérdésben már figyelembe vett a DA 30. cikk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="0087448C">
              <w:rPr>
                <w:rFonts w:asciiTheme="majorHAnsi" w:eastAsia="Times New Roman" w:hAnsiTheme="majorHAnsi" w:cs="Times New Roman"/>
                <w:color w:val="000000"/>
                <w:szCs w:val="20"/>
              </w:rPr>
              <w:t>(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>4</w:t>
            </w:r>
            <w:r w:rsidR="0087448C">
              <w:rPr>
                <w:rFonts w:asciiTheme="majorHAnsi" w:eastAsia="Times New Roman" w:hAnsiTheme="majorHAnsi" w:cs="Times New Roman"/>
                <w:color w:val="000000"/>
                <w:szCs w:val="20"/>
              </w:rPr>
              <w:t>)</w:t>
            </w:r>
            <w:r w:rsidR="0046630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bekezdése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szerinti derivatívakra vonatkozó likviditási követelmény?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161D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Igen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1BEC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  <w:t>Nem kell jelenteni</w:t>
            </w:r>
          </w:p>
        </w:tc>
      </w:tr>
      <w:tr w:rsidR="00BE06B5" w:rsidRPr="0022649A" w14:paraId="42F43D25" w14:textId="77777777" w:rsidTr="00BE06B5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7C1A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A61F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C156" w14:textId="77777777" w:rsidR="00BE06B5" w:rsidRPr="0022649A" w:rsidRDefault="00BE06B5" w:rsidP="00BE06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E46D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>1.1.4</w:t>
            </w:r>
          </w:p>
          <w:p w14:paraId="1657D788" w14:textId="77777777" w:rsidR="00BE06B5" w:rsidRPr="0022649A" w:rsidRDefault="00BE06B5" w:rsidP="00BE06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megfelelő</w:t>
            </w: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megmaradt tételébe kell besorolni</w:t>
            </w:r>
          </w:p>
        </w:tc>
      </w:tr>
    </w:tbl>
    <w:p w14:paraId="2EDA8BE2" w14:textId="7A078CC6" w:rsidR="00BE06B5" w:rsidRPr="008B5718" w:rsidRDefault="00BE06B5" w:rsidP="008B5718">
      <w:pPr>
        <w:pStyle w:val="Cmsor2"/>
        <w:spacing w:before="300" w:after="300"/>
        <w:rPr>
          <w:color w:val="auto"/>
        </w:rPr>
      </w:pPr>
      <w:r w:rsidRPr="008B5718">
        <w:rPr>
          <w:color w:val="auto"/>
        </w:rPr>
        <w:t xml:space="preserve">Egyes oszlopokra vonatkozó </w:t>
      </w:r>
      <w:r w:rsidR="00B069AE" w:rsidRPr="008B5718">
        <w:rPr>
          <w:color w:val="auto"/>
        </w:rPr>
        <w:t>iránymutatások</w:t>
      </w:r>
    </w:p>
    <w:tbl>
      <w:tblPr>
        <w:tblW w:w="9740" w:type="dxa"/>
        <w:tblInd w:w="-214" w:type="dxa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640"/>
      </w:tblGrid>
      <w:tr w:rsidR="00BE06B5" w:rsidRPr="0022649A" w14:paraId="3B683C85" w14:textId="77777777" w:rsidTr="00C666B0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35F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  <w:u w:val="single"/>
              </w:rPr>
            </w:pPr>
            <w:r w:rsidRPr="0035465A">
              <w:rPr>
                <w:rFonts w:asciiTheme="majorHAnsi" w:hAnsiTheme="majorHAnsi" w:cs="Arial"/>
                <w:szCs w:val="20"/>
                <w:u w:val="single"/>
              </w:rPr>
              <w:t>Oszlop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2EE7" w14:textId="0EB083A4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jc w:val="left"/>
              <w:rPr>
                <w:rFonts w:asciiTheme="majorHAnsi" w:hAnsiTheme="majorHAnsi" w:cs="Arial"/>
                <w:szCs w:val="20"/>
                <w:u w:val="single"/>
              </w:rPr>
            </w:pPr>
            <w:r w:rsidRPr="0035465A">
              <w:rPr>
                <w:rFonts w:asciiTheme="majorHAnsi" w:hAnsiTheme="majorHAnsi" w:cs="Arial"/>
                <w:szCs w:val="20"/>
                <w:u w:val="single"/>
              </w:rPr>
              <w:t xml:space="preserve">Jogi utalások és </w:t>
            </w:r>
            <w:r w:rsidR="00B069AE" w:rsidRPr="0035465A">
              <w:rPr>
                <w:rFonts w:asciiTheme="majorHAnsi" w:hAnsiTheme="majorHAnsi" w:cs="Arial"/>
                <w:szCs w:val="20"/>
                <w:u w:val="single"/>
              </w:rPr>
              <w:t>iránymutatások</w:t>
            </w:r>
          </w:p>
        </w:tc>
      </w:tr>
      <w:tr w:rsidR="00BE06B5" w:rsidRPr="0022649A" w14:paraId="45635B5E" w14:textId="77777777" w:rsidTr="00C666B0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83A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30A8" w14:textId="77777777" w:rsidR="00BE06B5" w:rsidRPr="0022649A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0"/>
                <w:u w:val="single"/>
              </w:rPr>
              <w:t>Összeg</w:t>
            </w:r>
          </w:p>
          <w:p w14:paraId="3B956856" w14:textId="77777777" w:rsidR="00BE06B5" w:rsidRPr="0022649A" w:rsidRDefault="00BE06B5" w:rsidP="00C666B0">
            <w:pPr>
              <w:pStyle w:val="Listaszerbekezds"/>
              <w:numPr>
                <w:ilvl w:val="1"/>
                <w:numId w:val="13"/>
              </w:numPr>
              <w:spacing w:beforeLines="100" w:before="240" w:after="0" w:line="240" w:lineRule="auto"/>
              <w:ind w:left="227" w:right="172" w:firstLine="0"/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  <w:t>Nem fedezett ügyletekre/betétekre vonatkozó utasítások:</w:t>
            </w:r>
          </w:p>
          <w:p w14:paraId="6DD073C5" w14:textId="77777777" w:rsidR="00BE06B5" w:rsidRPr="00C666B0" w:rsidRDefault="00BE06B5" w:rsidP="0035465A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227" w:right="172"/>
              <w:contextualSpacing w:val="0"/>
              <w:rPr>
                <w:rFonts w:asciiTheme="majorHAnsi" w:hAnsiTheme="majorHAnsi" w:cs="Arial"/>
                <w:szCs w:val="20"/>
              </w:rPr>
            </w:pPr>
            <w:r w:rsidRPr="00C666B0">
              <w:rPr>
                <w:rFonts w:asciiTheme="majorHAnsi" w:hAnsiTheme="majorHAnsi" w:cs="Arial"/>
                <w:szCs w:val="20"/>
              </w:rPr>
              <w:t xml:space="preserve">A hitelintézeteknek itt kell jelenteniük a különböző kategóriájú kötelezettségek és mérlegen kívüli kötelezettségek fennálló egyenlegét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</w:t>
            </w:r>
            <w:r w:rsidRPr="009B3769">
              <w:rPr>
                <w:rFonts w:asciiTheme="majorHAnsi" w:hAnsiTheme="majorHAnsi" w:cs="Arial"/>
                <w:szCs w:val="20"/>
              </w:rPr>
              <w:t>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C666B0">
              <w:rPr>
                <w:rFonts w:asciiTheme="majorHAnsi" w:hAnsiTheme="majorHAnsi" w:cs="Arial"/>
                <w:szCs w:val="20"/>
              </w:rPr>
              <w:t xml:space="preserve"> 22.-31. cikkében meghatározottak szerint.</w:t>
            </w:r>
          </w:p>
          <w:p w14:paraId="70F6462C" w14:textId="24B6D9DC" w:rsidR="00BE06B5" w:rsidRPr="00C666B0" w:rsidRDefault="00BE06B5" w:rsidP="0035465A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227" w:right="172"/>
              <w:contextualSpacing w:val="0"/>
              <w:rPr>
                <w:rFonts w:asciiTheme="majorHAnsi" w:hAnsiTheme="majorHAnsi" w:cs="Arial"/>
                <w:szCs w:val="20"/>
              </w:rPr>
            </w:pPr>
            <w:r w:rsidRPr="00C666B0">
              <w:rPr>
                <w:rFonts w:asciiTheme="majorHAnsi" w:hAnsiTheme="majorHAnsi" w:cs="Arial"/>
                <w:szCs w:val="20"/>
              </w:rPr>
              <w:t>Az illetékes hatóság általi előzetes jóváhagyását követően, a XXIV. Melléklet C</w:t>
            </w:r>
            <w:r w:rsidR="00466307" w:rsidRPr="00C666B0">
              <w:rPr>
                <w:rFonts w:asciiTheme="majorHAnsi" w:hAnsiTheme="majorHAnsi" w:cs="Arial"/>
                <w:szCs w:val="20"/>
              </w:rPr>
              <w:t xml:space="preserve"> </w:t>
            </w:r>
            <w:r w:rsidRPr="00C666B0">
              <w:rPr>
                <w:rFonts w:asciiTheme="majorHAnsi" w:hAnsiTheme="majorHAnsi" w:cs="Arial"/>
                <w:szCs w:val="20"/>
              </w:rPr>
              <w:t>73.00 táblázatának 010 oszlopában jelentett tételeket nettósítani kell a 26. cikk szerinti kölcsönösen függő beáraml</w:t>
            </w:r>
            <w:r w:rsidRPr="00C666B0">
              <w:rPr>
                <w:rFonts w:asciiTheme="majorHAnsi" w:hAnsiTheme="majorHAnsi" w:cs="Arial"/>
                <w:szCs w:val="20"/>
              </w:rPr>
              <w:t>á</w:t>
            </w:r>
            <w:r w:rsidRPr="00C666B0">
              <w:rPr>
                <w:rFonts w:asciiTheme="majorHAnsi" w:hAnsiTheme="majorHAnsi" w:cs="Arial"/>
                <w:szCs w:val="20"/>
              </w:rPr>
              <w:t>sok kivonásával.</w:t>
            </w:r>
          </w:p>
          <w:p w14:paraId="32EEFEB2" w14:textId="77777777" w:rsidR="00BE06B5" w:rsidRPr="0022649A" w:rsidRDefault="00BE06B5" w:rsidP="00C666B0">
            <w:pPr>
              <w:pStyle w:val="Listaszerbekezds"/>
              <w:numPr>
                <w:ilvl w:val="1"/>
                <w:numId w:val="13"/>
              </w:numPr>
              <w:spacing w:beforeLines="100" w:before="240" w:after="0" w:line="240" w:lineRule="auto"/>
              <w:ind w:left="227" w:right="172" w:firstLine="0"/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</w:pPr>
            <w:r w:rsidRPr="0022649A"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  <w:t>Fedezett kölcsönügyletekre és tőkepiac-vezérelt ügyletekre vonatkozó utasítások:</w:t>
            </w:r>
          </w:p>
          <w:p w14:paraId="15ADBE1F" w14:textId="4E7C8091" w:rsidR="00BE06B5" w:rsidRPr="0022649A" w:rsidRDefault="00BE06B5" w:rsidP="00C666B0">
            <w:pPr>
              <w:pStyle w:val="Listaszerbekezds"/>
              <w:numPr>
                <w:ilvl w:val="0"/>
                <w:numId w:val="0"/>
              </w:numPr>
              <w:tabs>
                <w:tab w:val="left" w:pos="8259"/>
              </w:tabs>
              <w:spacing w:before="120" w:after="0"/>
              <w:ind w:left="227" w:right="172"/>
              <w:contextualSpacing w:val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C666B0">
              <w:rPr>
                <w:rFonts w:asciiTheme="majorHAnsi" w:hAnsiTheme="majorHAnsi" w:cs="Arial"/>
                <w:szCs w:val="20"/>
              </w:rPr>
              <w:t xml:space="preserve">A hitelintézeteknek itt kell jelenteniük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</w:t>
            </w:r>
            <w:r w:rsidRPr="009B3769">
              <w:rPr>
                <w:rFonts w:asciiTheme="majorHAnsi" w:hAnsiTheme="majorHAnsi" w:cs="Arial"/>
                <w:szCs w:val="20"/>
              </w:rPr>
              <w:t>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C666B0">
              <w:rPr>
                <w:rFonts w:asciiTheme="majorHAnsi" w:hAnsiTheme="majorHAnsi" w:cs="Arial"/>
                <w:szCs w:val="20"/>
              </w:rPr>
              <w:t xml:space="preserve"> 22.</w:t>
            </w:r>
            <w:r w:rsidR="00466307" w:rsidRPr="00C666B0">
              <w:rPr>
                <w:rFonts w:asciiTheme="majorHAnsi" w:hAnsiTheme="majorHAnsi" w:cs="Arial"/>
                <w:szCs w:val="20"/>
              </w:rPr>
              <w:t xml:space="preserve"> cikkének</w:t>
            </w:r>
            <w:r w:rsidRPr="00C666B0">
              <w:rPr>
                <w:rFonts w:asciiTheme="majorHAnsi" w:hAnsiTheme="majorHAnsi" w:cs="Arial"/>
                <w:szCs w:val="20"/>
              </w:rPr>
              <w:t xml:space="preserve"> (2) </w:t>
            </w:r>
            <w:r w:rsidR="00466307" w:rsidRPr="00C666B0">
              <w:rPr>
                <w:rFonts w:asciiTheme="majorHAnsi" w:hAnsiTheme="majorHAnsi" w:cs="Arial"/>
                <w:szCs w:val="20"/>
              </w:rPr>
              <w:t xml:space="preserve">bekezdésében </w:t>
            </w:r>
            <w:r w:rsidRPr="00C666B0">
              <w:rPr>
                <w:rFonts w:asciiTheme="majorHAnsi" w:hAnsiTheme="majorHAnsi" w:cs="Arial"/>
                <w:szCs w:val="20"/>
              </w:rPr>
              <w:t>meghatározottak szerinti fennálló kötelezettségeik egyenlegét, amelyek a fedezett ügyletek készpénz lábát jelentik.</w:t>
            </w:r>
          </w:p>
        </w:tc>
      </w:tr>
      <w:tr w:rsidR="00BE06B5" w:rsidRPr="00B576CC" w14:paraId="2711E05F" w14:textId="77777777" w:rsidTr="00C666B0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F02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DB31" w14:textId="77777777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Nyújtott fedezet piaci értéke</w:t>
            </w:r>
          </w:p>
          <w:p w14:paraId="307EA42B" w14:textId="77777777" w:rsidR="00BE06B5" w:rsidRPr="004E731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</w:pPr>
            <w:r w:rsidRPr="004E7313"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  <w:t>Fedezett kölcsönügyletekre és tőkepiac-vezérelt ügyletekre vonatkozó utasítások:</w:t>
            </w:r>
          </w:p>
          <w:p w14:paraId="056CD666" w14:textId="7E6411FC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A hitelintézeteknek itt kell jelenteniük a nyújtott fedezet piaci értékét, amely a jelenlegi piaci érték haircut nélkül és a kapcsolódó fedezések zárásából következő áramláso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kkal csökkentett értéke (a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rendeletének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8. cikk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(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)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bekezdés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szerint az alábbi feltételeknek megfelelően):</w:t>
            </w:r>
          </w:p>
          <w:p w14:paraId="3B69B330" w14:textId="6ED60EF6" w:rsidR="00BE06B5" w:rsidRPr="00126D83" w:rsidRDefault="00BE06B5" w:rsidP="00C666B0">
            <w:pPr>
              <w:pStyle w:val="Listaszerbekezds"/>
              <w:numPr>
                <w:ilvl w:val="0"/>
                <w:numId w:val="14"/>
              </w:numPr>
              <w:spacing w:beforeLines="100" w:before="240" w:afterLines="100" w:after="240" w:line="240" w:lineRule="auto"/>
              <w:ind w:left="227" w:right="172" w:firstLine="0"/>
              <w:contextualSpacing w:val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Ezek a jelentendő nyújtott fedezetek kizárólag az 1. szintű, 2A. és 2B. eszközökre vonatko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nak, amelyek az ügylet lejáratakor likvid eszközöknek lesznek minősítve a </w:t>
            </w:r>
            <w:r w:rsidR="004B4967">
              <w:rPr>
                <w:rFonts w:asciiTheme="majorHAnsi" w:eastAsia="Times New Roman" w:hAnsiTheme="majorHAnsi" w:cs="Times New Roman"/>
                <w:color w:val="000000"/>
                <w:szCs w:val="20"/>
              </w:rPr>
              <w:t>II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</w:t>
            </w:r>
            <w:r w:rsidR="00633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ím szerint. Amenny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ben a fedezet 1. szintű 2A. vagy 2B., de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</w:t>
            </w:r>
            <w:r w:rsidRPr="00B576CC">
              <w:rPr>
                <w:rFonts w:asciiTheme="majorHAnsi" w:hAnsiTheme="majorHAnsi" w:cs="Arial"/>
                <w:szCs w:val="20"/>
              </w:rPr>
              <w:t>e</w:t>
            </w:r>
            <w:r w:rsidRPr="00B576CC">
              <w:rPr>
                <w:rFonts w:asciiTheme="majorHAnsi" w:hAnsiTheme="majorHAnsi" w:cs="Arial"/>
                <w:szCs w:val="20"/>
              </w:rPr>
              <w:t>tének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="00DD15AC">
              <w:rPr>
                <w:rFonts w:asciiTheme="majorHAnsi" w:eastAsia="Times New Roman" w:hAnsiTheme="majorHAnsi" w:cs="Times New Roman"/>
                <w:color w:val="000000"/>
                <w:szCs w:val="20"/>
              </w:rPr>
              <w:t>II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címe alapján nem fog likvid eszköznek minősülni, azt nem likvid eszközként kell jelenteni. </w:t>
            </w:r>
            <w:proofErr w:type="gramStart"/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Hasonlóan, amikor egy hitelintézet a likvid eszközökön belül csak részben ismeri el az idegen pén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nemben denominált részvényeit vagy központi kormányzati vagy banki eszközeit, vagy hazai pén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nemű kormányzati vagy központi banki eszközeit, csak az elismert részt kell jelenteni az 1. szintű 2A. és 2B. sorokon (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rendeletének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12. cikkében (1 c i-től iii alpontig) és 10. cikkében (1. bekezdés d pontja)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foglaltak szerint).</w:t>
            </w:r>
            <w:proofErr w:type="gramEnd"/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Amikor egy adott eszköz fedezettként használt, de olyan összegben, amely a likvid eszközként elismerhető értéknél mag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sabb, a többlet összeget a nem likvid részben kell jelenteni;</w:t>
            </w:r>
          </w:p>
          <w:p w14:paraId="610C11C0" w14:textId="0A4656E4" w:rsidR="00BE06B5" w:rsidRPr="00126D83" w:rsidRDefault="00BE06B5" w:rsidP="00C666B0">
            <w:pPr>
              <w:pStyle w:val="Listaszerbekezds"/>
              <w:numPr>
                <w:ilvl w:val="0"/>
                <w:numId w:val="14"/>
              </w:numPr>
              <w:spacing w:beforeLines="100" w:before="240" w:after="0" w:line="240" w:lineRule="auto"/>
              <w:ind w:left="227" w:right="172" w:firstLine="0"/>
              <w:contextualSpacing w:val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 2A. szintű eszközöket a kapcsolódó 2A</w:t>
            </w:r>
            <w:r w:rsidR="00AF48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eszköz soron kell jelenteni, az alternatív likviditási megközelítés használata esetén is (ti. az 2A</w:t>
            </w:r>
            <w:r w:rsidR="00AF48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sort nem kell az 1</w:t>
            </w:r>
            <w:r w:rsidR="00AF48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sorba illeszteni a fedezett ügyletek jelentésében).</w:t>
            </w:r>
          </w:p>
        </w:tc>
      </w:tr>
      <w:tr w:rsidR="00BE06B5" w:rsidRPr="00B576CC" w14:paraId="187589DD" w14:textId="77777777" w:rsidTr="00C666B0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6C6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030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DD91" w14:textId="1BC74B9C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A nyújtott fedezet 9. </w:t>
            </w:r>
            <w:r w:rsidR="00E129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cikk</w:t>
            </w:r>
            <w:r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szerinti értéke</w:t>
            </w:r>
          </w:p>
          <w:p w14:paraId="1C83E828" w14:textId="77777777" w:rsidR="00BE06B5" w:rsidRPr="004E731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</w:pPr>
            <w:r w:rsidRPr="004E7313"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  <w:t>Fedezett kölcsönügyletekre és tőkepiac-vezérelt ügyletekre vonatkozó utasítások:</w:t>
            </w:r>
          </w:p>
          <w:p w14:paraId="0B6E1057" w14:textId="21A1C2CB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 </w:t>
            </w:r>
            <w:r w:rsidRPr="00B576CC">
              <w:rPr>
                <w:rFonts w:asciiTheme="majorHAnsi" w:hAnsiTheme="majorHAnsi" w:cs="Arial"/>
                <w:szCs w:val="20"/>
              </w:rPr>
              <w:t>Bizottság (EU) 2015/61 felhatalmazáson alapuló rendelet</w:t>
            </w:r>
            <w:r w:rsidR="008919A4">
              <w:rPr>
                <w:rFonts w:asciiTheme="majorHAnsi" w:hAnsiTheme="majorHAnsi" w:cs="Arial"/>
                <w:szCs w:val="20"/>
              </w:rPr>
              <w:t>é</w:t>
            </w:r>
            <w:r w:rsidR="008919A4">
              <w:rPr>
                <w:rFonts w:asciiTheme="majorHAnsi" w:hAnsiTheme="majorHAnsi" w:cs="Arial"/>
                <w:szCs w:val="20"/>
              </w:rPr>
              <w:t>nek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9. cikke szerint meghatározott nyújtott fedezet érétkét. A fedezet értéke a XXIV. melléklet C73.00 táblázat 020 oszlopának és a XXIV. melléklet C</w:t>
            </w:r>
            <w:r w:rsidR="00F47E3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="00F73E32">
              <w:rPr>
                <w:rFonts w:asciiTheme="majorHAnsi" w:eastAsia="Times New Roman" w:hAnsiTheme="majorHAnsi" w:cs="Times New Roman"/>
                <w:color w:val="000000"/>
                <w:szCs w:val="20"/>
              </w:rPr>
              <w:t>72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>.00 táblában szereplő adott eszköz típu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>s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>nak megfelelő súly/haircut szorzata. A XXIV. melléklet C</w:t>
            </w:r>
            <w:r w:rsidR="00F47E3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>73.00 táblájának 030 oszlopa a XXIV. me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>léklet C 76.00 táblájában szereplő módosított likvid eszköz mennyiség számításához szükséges.</w:t>
            </w:r>
          </w:p>
        </w:tc>
      </w:tr>
      <w:tr w:rsidR="00BE06B5" w:rsidRPr="00B576CC" w14:paraId="5BA2028B" w14:textId="77777777" w:rsidTr="00C666B0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0A0F" w14:textId="7105E81C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br w:type="page"/>
              <w:t>040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EC4A" w14:textId="4F98F983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Standard </w:t>
            </w:r>
            <w:r w:rsidR="00E129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</w:t>
            </w:r>
            <w:r w:rsidR="00E12952"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úly</w:t>
            </w:r>
          </w:p>
          <w:p w14:paraId="6C2BC30C" w14:textId="01A8D4C5" w:rsidR="00BE06B5" w:rsidRPr="00B576CC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4E731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4E7313">
              <w:rPr>
                <w:rFonts w:asciiTheme="majorHAnsi" w:hAnsiTheme="majorHAnsi" w:cs="Arial"/>
                <w:szCs w:val="20"/>
              </w:rPr>
              <w:t>Bizottság (EU)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2015/61 felhatalmazáson alapuló rendeleté</w:t>
            </w:r>
            <w:r w:rsidR="0087448C">
              <w:rPr>
                <w:rFonts w:asciiTheme="majorHAnsi" w:hAnsiTheme="majorHAnsi" w:cs="Arial"/>
                <w:szCs w:val="20"/>
              </w:rPr>
              <w:t xml:space="preserve">nek 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>24</w:t>
            </w:r>
            <w:r w:rsidR="008919A4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– 31. cikkei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65E6A056" w14:textId="77777777" w:rsidR="00BE06B5" w:rsidRPr="00B576CC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standard súlyok a 040 oszlopban alapértelmezetten a </w:t>
            </w:r>
            <w:r w:rsidRPr="00B576CC">
              <w:rPr>
                <w:rFonts w:asciiTheme="majorHAnsi" w:hAnsiTheme="majorHAnsi" w:cs="Arial"/>
                <w:szCs w:val="20"/>
              </w:rPr>
              <w:t>Bizottság (EU) 2015/61 felhatalmazáson alapuló rendeletében</w:t>
            </w:r>
            <w:r w:rsidRPr="00B576C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meghatározottak és kizárólag tájékoztatás céljából kerültek feltüntetésre.</w:t>
            </w:r>
          </w:p>
        </w:tc>
      </w:tr>
      <w:tr w:rsidR="00BE06B5" w:rsidRPr="00B576CC" w14:paraId="7FD8248E" w14:textId="77777777" w:rsidTr="00C666B0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487FA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74B3" w14:textId="44F73EB1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Alkalmazandó súly</w:t>
            </w:r>
          </w:p>
          <w:p w14:paraId="3A6A9A78" w14:textId="77777777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Fedezett és fedezetlen egyaránt:</w:t>
            </w:r>
          </w:p>
          <w:p w14:paraId="26B4C436" w14:textId="75701A95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  <w:highlight w:val="yellow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az alkalmazandó súlyokat. Ezeket a súlyok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rendeletének</w:t>
            </w:r>
            <w:r w:rsidR="00B43C3E">
              <w:rPr>
                <w:rFonts w:asciiTheme="majorHAnsi" w:hAnsiTheme="majorHAnsi" w:cs="Arial"/>
                <w:szCs w:val="20"/>
              </w:rPr>
              <w:t xml:space="preserve"> 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22-31. cikke szerint meghatározottak. Az alkalm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zott súlyok súlyozott átlag számításához lehetnek szükségesek és tizedes kifejezésekként jelente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dők (</w:t>
            </w:r>
            <w:r w:rsidR="00413D8A" w:rsidRPr="00407CA6">
              <w:rPr>
                <w:rFonts w:eastAsia="Times New Roman" w:cs="Times New Roman"/>
                <w:color w:val="000000"/>
                <w:szCs w:val="20"/>
                <w:lang w:eastAsia="de-DE"/>
              </w:rPr>
              <w:t>azaz 1.00 alkalmazandó súly megfelel 100</w:t>
            </w:r>
            <w:r w:rsidR="00413D8A">
              <w:rPr>
                <w:rFonts w:eastAsia="Times New Roman" w:cs="Times New Roman"/>
                <w:color w:val="000000"/>
                <w:szCs w:val="20"/>
                <w:lang w:eastAsia="de-DE"/>
              </w:rPr>
              <w:t xml:space="preserve"> százlék</w:t>
            </w:r>
            <w:r w:rsidR="00413D8A" w:rsidRPr="00407CA6">
              <w:rPr>
                <w:rFonts w:eastAsia="Times New Roman" w:cs="Times New Roman"/>
                <w:color w:val="000000"/>
                <w:szCs w:val="20"/>
                <w:lang w:eastAsia="de-DE"/>
              </w:rPr>
              <w:t>nak</w:t>
            </w:r>
            <w:r w:rsidR="00413D8A">
              <w:rPr>
                <w:rFonts w:eastAsia="Times New Roman" w:cs="Times New Roman"/>
                <w:color w:val="000000"/>
                <w:szCs w:val="20"/>
                <w:lang w:eastAsia="de-DE"/>
              </w:rPr>
              <w:t xml:space="preserve"> </w:t>
            </w:r>
            <w:r w:rsidR="00413D8A" w:rsidRPr="00407CA6">
              <w:rPr>
                <w:rFonts w:eastAsia="Times New Roman" w:cs="Times New Roman"/>
                <w:color w:val="000000"/>
                <w:szCs w:val="20"/>
                <w:lang w:eastAsia="de-DE"/>
              </w:rPr>
              <w:t>vagy 0.50 alkalmazandó súly megfelel 50</w:t>
            </w:r>
            <w:r w:rsidR="00413D8A">
              <w:rPr>
                <w:rFonts w:eastAsia="Times New Roman" w:cs="Times New Roman"/>
                <w:color w:val="000000"/>
                <w:szCs w:val="20"/>
                <w:lang w:eastAsia="de-DE"/>
              </w:rPr>
              <w:t xml:space="preserve"> százalék</w:t>
            </w:r>
            <w:r w:rsidR="00413D8A" w:rsidRPr="00407CA6">
              <w:rPr>
                <w:rFonts w:eastAsia="Times New Roman" w:cs="Times New Roman"/>
                <w:color w:val="000000"/>
                <w:szCs w:val="20"/>
                <w:lang w:eastAsia="de-DE"/>
              </w:rPr>
              <w:t>nak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). Az alkalmazott súlyok tükrözhetnek intézményi vagy nemzeti diszkréciókat, de nem kizárólag azokra korlátozódnak. </w:t>
            </w:r>
          </w:p>
        </w:tc>
      </w:tr>
      <w:tr w:rsidR="00BE06B5" w:rsidRPr="00B576CC" w14:paraId="39B36B72" w14:textId="77777777" w:rsidTr="00C666B0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4CB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060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600C" w14:textId="77777777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Kiáramlás</w:t>
            </w:r>
          </w:p>
          <w:p w14:paraId="66849C73" w14:textId="77777777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Fedezett és fedezetlen egyaránt:</w:t>
            </w:r>
          </w:p>
          <w:p w14:paraId="0872DDCB" w14:textId="68B8B3D2" w:rsidR="00BE06B5" w:rsidRPr="00126D83" w:rsidRDefault="00BE06B5" w:rsidP="00C666B0">
            <w:pPr>
              <w:spacing w:beforeLines="100" w:before="240" w:after="0" w:line="240" w:lineRule="auto"/>
              <w:ind w:left="227" w:right="172"/>
              <w:rPr>
                <w:rFonts w:asciiTheme="majorHAnsi" w:eastAsia="Times New Roman" w:hAnsiTheme="majorHAnsi" w:cs="Times New Roman"/>
                <w:color w:val="000000"/>
                <w:szCs w:val="20"/>
                <w:highlight w:val="yellow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kiáramlásokat. Ezek a XXIV. melléklet C 73.00 tábla 010 és 050 oszlopának szorzatai.</w:t>
            </w:r>
          </w:p>
        </w:tc>
      </w:tr>
    </w:tbl>
    <w:p w14:paraId="332DBED2" w14:textId="2F93551A" w:rsidR="00BE06B5" w:rsidRPr="008B5718" w:rsidRDefault="008B5718" w:rsidP="008B5718">
      <w:pPr>
        <w:pStyle w:val="Cmsor2"/>
        <w:spacing w:before="300" w:after="300"/>
        <w:rPr>
          <w:color w:val="auto"/>
        </w:rPr>
      </w:pPr>
      <w:r>
        <w:rPr>
          <w:color w:val="auto"/>
        </w:rPr>
        <w:lastRenderedPageBreak/>
        <w:t>A</w:t>
      </w:r>
      <w:r w:rsidR="00BE06B5" w:rsidRPr="008B5718">
        <w:rPr>
          <w:color w:val="auto"/>
        </w:rPr>
        <w:t>z egyes sorokra vonatkozó utasításoknak megfelelően</w:t>
      </w:r>
    </w:p>
    <w:tbl>
      <w:tblPr>
        <w:tblW w:w="9782" w:type="dxa"/>
        <w:tblInd w:w="-214" w:type="dxa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647"/>
      </w:tblGrid>
      <w:tr w:rsidR="00BE06B5" w:rsidRPr="00B576CC" w14:paraId="035F812E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3FE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  <w:u w:val="single"/>
              </w:rPr>
            </w:pPr>
            <w:r w:rsidRPr="0035465A">
              <w:rPr>
                <w:rFonts w:asciiTheme="majorHAnsi" w:hAnsiTheme="majorHAnsi" w:cs="Arial"/>
                <w:szCs w:val="20"/>
                <w:u w:val="single"/>
              </w:rPr>
              <w:t>Oszlop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456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jc w:val="left"/>
              <w:rPr>
                <w:rFonts w:asciiTheme="majorHAnsi" w:hAnsiTheme="majorHAnsi" w:cs="Arial"/>
                <w:szCs w:val="20"/>
                <w:u w:val="single"/>
              </w:rPr>
            </w:pPr>
            <w:r w:rsidRPr="0035465A">
              <w:rPr>
                <w:rFonts w:asciiTheme="majorHAnsi" w:hAnsiTheme="majorHAnsi" w:cs="Arial"/>
                <w:szCs w:val="20"/>
                <w:u w:val="single"/>
              </w:rPr>
              <w:t>Jogi utalások és utasítások</w:t>
            </w:r>
          </w:p>
        </w:tc>
      </w:tr>
      <w:tr w:rsidR="00BE06B5" w:rsidRPr="00B576CC" w14:paraId="08912428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6AA0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3658" w14:textId="77777777" w:rsidR="00BE06B5" w:rsidRPr="00126D83" w:rsidRDefault="00BE06B5" w:rsidP="00356041">
            <w:pPr>
              <w:pStyle w:val="Listaszerbekezds"/>
              <w:numPr>
                <w:ilvl w:val="0"/>
                <w:numId w:val="15"/>
              </w:numPr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KIÁRAMLÁSOK</w:t>
            </w:r>
          </w:p>
          <w:p w14:paraId="4F3FACFB" w14:textId="0229212E" w:rsidR="00BE06B5" w:rsidRPr="00126D83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rendeletének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III. </w:t>
            </w:r>
            <w:r w:rsidR="00633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ím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2. fejezete:</w:t>
            </w:r>
          </w:p>
          <w:p w14:paraId="58DBEFF3" w14:textId="0A2D6FD0" w:rsidR="00BE06B5" w:rsidRPr="00126D83" w:rsidRDefault="00BE06B5" w:rsidP="0063391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</w:t>
            </w:r>
            <w:r w:rsidRPr="00B576CC">
              <w:rPr>
                <w:rFonts w:asciiTheme="majorHAnsi" w:hAnsiTheme="majorHAnsi" w:cs="Arial"/>
                <w:szCs w:val="20"/>
              </w:rPr>
              <w:t>e</w:t>
            </w:r>
            <w:r w:rsidRPr="00B576CC">
              <w:rPr>
                <w:rFonts w:asciiTheme="majorHAnsi" w:hAnsiTheme="majorHAnsi" w:cs="Arial"/>
                <w:szCs w:val="20"/>
              </w:rPr>
              <w:t>tének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III. </w:t>
            </w:r>
            <w:r w:rsidR="00633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ím 2. fejezetében meghatározott kiáramlásokat. </w:t>
            </w:r>
          </w:p>
        </w:tc>
      </w:tr>
      <w:tr w:rsidR="00BE06B5" w:rsidRPr="00B576CC" w14:paraId="628DDD7F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D51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D267" w14:textId="77777777" w:rsidR="00BE06B5" w:rsidRPr="00126D83" w:rsidRDefault="00BE06B5" w:rsidP="00356041">
            <w:pPr>
              <w:pStyle w:val="Listaszerbekezds"/>
              <w:numPr>
                <w:ilvl w:val="1"/>
                <w:numId w:val="15"/>
              </w:numPr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126D8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Fedezetlen ügyletekből/betétekből származó kiáramlások</w:t>
            </w:r>
          </w:p>
          <w:p w14:paraId="0EAAA279" w14:textId="19550794" w:rsidR="00BE06B5" w:rsidRPr="00126D83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rendeletének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20-31. cikke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327A265" w14:textId="77777777" w:rsidR="00BE06B5" w:rsidRPr="00126D83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</w:t>
            </w:r>
            <w:r w:rsidRPr="00B576CC">
              <w:rPr>
                <w:rFonts w:asciiTheme="majorHAnsi" w:hAnsiTheme="majorHAnsi" w:cs="Arial"/>
                <w:szCs w:val="20"/>
              </w:rPr>
              <w:t>e</w:t>
            </w:r>
            <w:r w:rsidRPr="00B576CC">
              <w:rPr>
                <w:rFonts w:asciiTheme="majorHAnsi" w:hAnsiTheme="majorHAnsi" w:cs="Arial"/>
                <w:szCs w:val="20"/>
              </w:rPr>
              <w:t>tének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21-31. cikkeiben meghatározott kiáramlásokat a 28 cikk (3) és (4) bekezdésében meghatár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126D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zott kiáramlások kivételével.</w:t>
            </w:r>
          </w:p>
        </w:tc>
      </w:tr>
      <w:tr w:rsidR="00BE06B5" w:rsidRPr="00B576CC" w14:paraId="152D49E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450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DD7D" w14:textId="77777777" w:rsidR="00BE06B5" w:rsidRPr="00DA039C" w:rsidRDefault="00BE06B5" w:rsidP="00356041">
            <w:pPr>
              <w:pStyle w:val="Listaszerbekezds"/>
              <w:numPr>
                <w:ilvl w:val="2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DA039C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Lakossági betétek</w:t>
            </w:r>
          </w:p>
          <w:p w14:paraId="775DCF1C" w14:textId="6E1081F8" w:rsidR="00BE06B5" w:rsidRPr="00DA039C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rendeletének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24. és 25. cikke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64DF690B" w14:textId="13F28901" w:rsidR="00BE06B5" w:rsidRPr="00DA039C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</w:t>
            </w:r>
            <w:r w:rsidRPr="00B576CC">
              <w:rPr>
                <w:rFonts w:asciiTheme="majorHAnsi" w:hAnsiTheme="majorHAnsi" w:cs="Arial"/>
                <w:szCs w:val="20"/>
              </w:rPr>
              <w:t xml:space="preserve"> felhatalmazáson alapuló rendel</w:t>
            </w:r>
            <w:r w:rsidRPr="00B576CC">
              <w:rPr>
                <w:rFonts w:asciiTheme="majorHAnsi" w:hAnsiTheme="majorHAnsi" w:cs="Arial"/>
                <w:szCs w:val="20"/>
              </w:rPr>
              <w:t>e</w:t>
            </w:r>
            <w:r w:rsidRPr="00B576CC">
              <w:rPr>
                <w:rFonts w:asciiTheme="majorHAnsi" w:hAnsiTheme="majorHAnsi" w:cs="Arial"/>
                <w:szCs w:val="20"/>
              </w:rPr>
              <w:t>tének</w:t>
            </w:r>
            <w:r w:rsidR="008919A4">
              <w:rPr>
                <w:rFonts w:asciiTheme="majorHAnsi" w:hAnsiTheme="majorHAnsi" w:cs="Arial"/>
                <w:szCs w:val="20"/>
              </w:rPr>
              <w:t xml:space="preserve">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3. cikke alapján meghatározott lakossági betéteket.</w:t>
            </w:r>
          </w:p>
          <w:p w14:paraId="69CDBF35" w14:textId="77777777" w:rsidR="00BE06B5" w:rsidRPr="00DA039C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B576CC">
              <w:rPr>
                <w:rFonts w:asciiTheme="majorHAnsi" w:hAnsiTheme="majorHAnsi" w:cs="Arial"/>
                <w:szCs w:val="20"/>
              </w:rPr>
              <w:t>nek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28.</w:t>
            </w: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(6) bekezdése szerint a hitelintézeteknek szintén jelent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eniük kell a megfelelő lakossági betét kategóriákban a kizárólag lakossági piacon értékesített és lakossági számlákon vezetett bankjegyek, kötvények és egyéb 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bocsátott értékpapírok mennyiségét. A hitelintézetek megfontolják, hogy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B576CC">
              <w:rPr>
                <w:rFonts w:asciiTheme="majorHAnsi" w:hAnsiTheme="majorHAnsi" w:cs="Arial"/>
                <w:szCs w:val="20"/>
              </w:rPr>
              <w:t>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meghatározott különböző lakossági betétét kategóriákhoz meghatározott súlyok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közül melyik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alkalmazható. Ennek megfelelően a hitelintézetek alkalmaza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dó súlyként a mindezen betétekhez tartozó releváns súlyok átlagát kell jelenteniük. </w:t>
            </w:r>
          </w:p>
        </w:tc>
      </w:tr>
      <w:tr w:rsidR="00BE06B5" w:rsidRPr="00B576CC" w14:paraId="7E8F177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906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EB26" w14:textId="5A7EB877" w:rsidR="00BE06B5" w:rsidRPr="00DA039C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DA039C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Betétek, amelyek esetén megállapodás született a 30 napon belüli kifizetésről</w:t>
            </w:r>
          </w:p>
          <w:p w14:paraId="71721D4B" w14:textId="44A943D9" w:rsidR="00BE06B5" w:rsidRPr="00DA039C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B576CC">
              <w:rPr>
                <w:rFonts w:asciiTheme="majorHAnsi" w:hAnsiTheme="majorHAnsi" w:cs="Arial"/>
                <w:szCs w:val="20"/>
              </w:rPr>
              <w:t>nek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25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(4)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1DAB644" w14:textId="4A77838C" w:rsidR="00BE06B5" w:rsidRPr="00DA039C" w:rsidRDefault="00BE06B5" w:rsidP="00B9591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azokat a betételek kell itt jelenteniük, amelyek hátralévő futamideje 30 napnál 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rövidebb</w:t>
            </w:r>
            <w:r w:rsidR="00B9591A"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és megállapodás született a kifizetésről.</w:t>
            </w:r>
          </w:p>
        </w:tc>
      </w:tr>
      <w:tr w:rsidR="00BE06B5" w:rsidRPr="00B576CC" w14:paraId="0810FB06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BA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B1F1" w14:textId="77777777" w:rsidR="00BE06B5" w:rsidRPr="00DA039C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DA039C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Magasabb kiáramlás alá eső betétek</w:t>
            </w:r>
          </w:p>
          <w:p w14:paraId="253F3016" w14:textId="2C9CA39D" w:rsidR="00BE06B5" w:rsidRPr="00DA039C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B576CC">
              <w:rPr>
                <w:rFonts w:asciiTheme="majorHAnsi" w:hAnsiTheme="majorHAnsi" w:cs="Arial"/>
                <w:szCs w:val="20"/>
              </w:rPr>
              <w:t>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25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(2) és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424850D" w14:textId="690EFBA2" w:rsidR="00BE06B5" w:rsidRPr="00DA039C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</w:t>
            </w:r>
            <w:r w:rsidRPr="004E7313">
              <w:rPr>
                <w:rFonts w:asciiTheme="majorHAnsi" w:hAnsiTheme="majorHAnsi" w:cs="Arial"/>
                <w:szCs w:val="20"/>
              </w:rPr>
              <w:t>e</w:t>
            </w:r>
            <w:r w:rsidRPr="004E7313">
              <w:rPr>
                <w:rFonts w:asciiTheme="majorHAnsi" w:hAnsiTheme="majorHAnsi" w:cs="Arial"/>
                <w:szCs w:val="20"/>
              </w:rPr>
              <w:t>té</w:t>
            </w:r>
            <w:r w:rsidRPr="00B576CC">
              <w:rPr>
                <w:rFonts w:asciiTheme="majorHAnsi" w:hAnsiTheme="majorHAnsi" w:cs="Arial"/>
                <w:szCs w:val="20"/>
              </w:rPr>
              <w:t>nek</w:t>
            </w:r>
            <w:r w:rsidR="002E351D">
              <w:rPr>
                <w:rFonts w:asciiTheme="majorHAnsi" w:hAnsiTheme="majorHAnsi" w:cs="Arial"/>
                <w:szCs w:val="20"/>
              </w:rPr>
              <w:t xml:space="preserve">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25</w:t>
            </w:r>
            <w:r w:rsidR="00D700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cikke (2) és (3) bekezdése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szerinti magasabb kiáramlás alá eső betétek teljes egyenlegét. Azon lakossági betéteket, amelyek esetén a 25. cikk (2) bekezdésében foglalt kategorizálásukra v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natkozó értékelés még nem végrehajtott, vagy nem áll készen szintén itt kell jelenteni.</w:t>
            </w:r>
          </w:p>
        </w:tc>
      </w:tr>
      <w:tr w:rsidR="00BE06B5" w:rsidRPr="00B576CC" w14:paraId="54F5E41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CA9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358" w14:textId="77777777" w:rsidR="00BE06B5" w:rsidRPr="00DA039C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DA039C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1-es kategória</w:t>
            </w:r>
          </w:p>
          <w:p w14:paraId="0ADEE1F1" w14:textId="26097D46" w:rsidR="00BE06B5" w:rsidRPr="008102AF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B576CC">
              <w:rPr>
                <w:rFonts w:asciiTheme="majorHAnsi" w:hAnsiTheme="majorHAnsi" w:cs="Arial"/>
                <w:szCs w:val="20"/>
              </w:rPr>
              <w:t>nek</w:t>
            </w: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25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cikkének</w:t>
            </w: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38E8C28" w14:textId="6CAEDB1C" w:rsidR="00BE06B5" w:rsidRPr="00DA039C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minden olyan lakossági betét teljes fennálló egyenlegét, amely teljesíti a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B576CC">
              <w:rPr>
                <w:rFonts w:asciiTheme="majorHAnsi" w:hAnsiTheme="majorHAnsi" w:cs="Arial"/>
                <w:szCs w:val="20"/>
              </w:rPr>
              <w:t>nek</w:t>
            </w:r>
            <w:r w:rsidR="00B9591A">
              <w:rPr>
                <w:rFonts w:asciiTheme="majorHAnsi" w:hAnsiTheme="majorHAnsi" w:cs="Arial"/>
                <w:szCs w:val="20"/>
              </w:rPr>
              <w:t xml:space="preserve">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25. cikk 2. beke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désének (a) pontban meghatározott feltételét, vagy kettőt a (b)-től (e)-ig felsorolt pontok közül, 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véve ha ezek a betétek harmadik országból származnak, ahol magasabb kiáramlást alkalmaznak a 25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 (5) bekezdés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ben foglaltaknak megfelelően, amely esetben ebben az utóbbi kategóriában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kell jelenteni őket.</w:t>
            </w:r>
            <w:proofErr w:type="gramEnd"/>
          </w:p>
          <w:p w14:paraId="2EA39773" w14:textId="77777777" w:rsidR="00BE06B5" w:rsidRPr="00DA039C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alkalmazandó súlyként a ráták átlagát kell jelenteniük, akár azok az alapérte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mezetten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B576CC">
              <w:rPr>
                <w:rFonts w:asciiTheme="majorHAnsi" w:hAnsiTheme="majorHAnsi" w:cs="Arial"/>
                <w:szCs w:val="20"/>
              </w:rPr>
              <w:t>nek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25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(3) beke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dés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(a) pontjában előirányzott ráták, vagy az illetékes hatóság által előírt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magasabbak,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am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lyek ténylegesen alkalmaztak az előző bekezdésben foglalt betétekre, a megfelelő összegekkel s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ú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lyozva.</w:t>
            </w:r>
          </w:p>
        </w:tc>
      </w:tr>
      <w:tr w:rsidR="00BE06B5" w:rsidRPr="00B576CC" w14:paraId="5D23DE3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A4A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070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B30" w14:textId="77777777" w:rsidR="00BE06B5" w:rsidRPr="00DA039C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DA039C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2-es kategória</w:t>
            </w:r>
          </w:p>
          <w:p w14:paraId="36680CD3" w14:textId="0B18AE32" w:rsidR="00BE06B5" w:rsidRPr="00DA039C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21057D">
              <w:rPr>
                <w:rFonts w:asciiTheme="majorHAnsi" w:hAnsiTheme="majorHAnsi" w:cs="Arial"/>
                <w:szCs w:val="20"/>
              </w:rPr>
              <w:t>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25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50C0D311" w14:textId="40E76A33" w:rsidR="00BE06B5" w:rsidRPr="00DA039C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minden olyan lakossági betét teljes fennálló egyenlegét, amely teljesíti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21057D">
              <w:rPr>
                <w:rFonts w:asciiTheme="majorHAnsi" w:hAnsiTheme="majorHAnsi" w:cs="Arial"/>
                <w:szCs w:val="20"/>
              </w:rPr>
              <w:t>nek</w:t>
            </w:r>
            <w:r w:rsidR="00FC6F49">
              <w:rPr>
                <w:rFonts w:asciiTheme="majorHAnsi" w:hAnsiTheme="majorHAnsi" w:cs="Arial"/>
                <w:szCs w:val="20"/>
              </w:rPr>
              <w:t xml:space="preserve">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25. cikk (2) beke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désének (a) pontban meghatározott feltételét, és legalább egy másik 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(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2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)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bekezdésben szereplő kr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tériumot vagy három vagy több kritériumot az idézett bekezdésből, kivéve ha ezek a betétek ha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madik országból származnak, ahol a 25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 (5) bekezdés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ben foglaltaknak megfelelően magasabb kiáramlást alkalmaznak, amely esetben ebben az utóbbi kategóriában kell jelenteni őket.</w:t>
            </w:r>
            <w:proofErr w:type="gramEnd"/>
          </w:p>
          <w:p w14:paraId="106E19E8" w14:textId="08E205FD" w:rsidR="00BE06B5" w:rsidRPr="00DA039C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lakossági betéteket, amelyek esetén a 25. cikk (2) bekezdésében foglalt kategorizálásukra v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natkozó értékelés még nem végrehajtott vagy nem áll készen szintén itt kell jelenteni.</w:t>
            </w:r>
          </w:p>
          <w:p w14:paraId="6AE48DE1" w14:textId="6E8FA0D1" w:rsidR="00BE06B5" w:rsidRPr="00DA039C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alkalmazandó súlyként a ráták átlagát kell jelenteniük, akár azok az alapérte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mezetten a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21057D">
              <w:rPr>
                <w:rFonts w:asciiTheme="majorHAnsi" w:hAnsiTheme="majorHAnsi" w:cs="Arial"/>
                <w:szCs w:val="20"/>
              </w:rPr>
              <w:t>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25</w:t>
            </w:r>
            <w:r w:rsidR="00396C83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(3)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désének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(b) pontjában előirányzott ráták, vagy az illetékes hatóság által előírt magasabbak, am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lyek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et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ténylegesen alkalmaztak az előző bekezdésben foglalt betétekre, a megfelelő összegekkel súlyozva.</w:t>
            </w:r>
          </w:p>
        </w:tc>
      </w:tr>
      <w:tr w:rsidR="00BE06B5" w:rsidRPr="00B576CC" w14:paraId="4810E77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7FA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1E4D" w14:textId="77777777" w:rsidR="00BE06B5" w:rsidRPr="00DA039C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DA039C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Stabil betétek</w:t>
            </w:r>
          </w:p>
          <w:p w14:paraId="54804F81" w14:textId="17195E0D" w:rsidR="00BE06B5" w:rsidRPr="00DA039C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4E7313">
              <w:rPr>
                <w:rFonts w:asciiTheme="majorHAnsi" w:hAnsiTheme="majorHAnsi" w:cs="Arial"/>
                <w:szCs w:val="20"/>
              </w:rPr>
              <w:t>Bizottság (EU) 2015/61 felhatalmazáson alapuló rendeleté</w:t>
            </w:r>
            <w:r w:rsidRPr="0021057D">
              <w:rPr>
                <w:rFonts w:asciiTheme="majorHAnsi" w:hAnsiTheme="majorHAnsi" w:cs="Arial"/>
                <w:szCs w:val="20"/>
              </w:rPr>
              <w:t>nek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24</w:t>
            </w:r>
            <w:r w:rsidR="00B9591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5976F868" w14:textId="62B4EE02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lakossági betétek mennyiségének 94/19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/EK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vagy a 2014/49/EU irányelvnek megfelelő vagy egy harmadik országban működő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,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azzal egyenértékű 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b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DA039C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tétbiztosítási rendszer által lefedett részét, továbbá a betét olyan stabil kapcs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olat része, ami igen valószínűtlenné teszi a betét kivonását vagy akár a betétet fizetési számlán tartják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24. cikkének (2) és (3) bekezdésében foglaltaknak megfelelően, és:</w:t>
            </w:r>
            <w:proofErr w:type="gramEnd"/>
          </w:p>
          <w:p w14:paraId="442480E0" w14:textId="77777777" w:rsidR="00BE06B5" w:rsidRPr="009A41E7" w:rsidRDefault="00BE06B5" w:rsidP="00356041">
            <w:pPr>
              <w:pStyle w:val="Listaszerbekezds"/>
              <w:numPr>
                <w:ilvl w:val="0"/>
                <w:numId w:val="17"/>
              </w:numPr>
              <w:spacing w:beforeLines="100" w:before="240" w:after="0" w:line="240" w:lineRule="auto"/>
              <w:ind w:right="227" w:hanging="733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Ezek a betétek nem teljesítik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</w:t>
            </w:r>
            <w:r w:rsidRPr="009B3769">
              <w:rPr>
                <w:rFonts w:asciiTheme="majorHAnsi" w:hAnsiTheme="majorHAnsi" w:cs="Arial"/>
                <w:szCs w:val="20"/>
              </w:rPr>
              <w:t>e</w:t>
            </w:r>
            <w:r w:rsidRPr="009B3769">
              <w:rPr>
                <w:rFonts w:asciiTheme="majorHAnsi" w:hAnsiTheme="majorHAnsi" w:cs="Arial"/>
                <w:szCs w:val="20"/>
              </w:rPr>
              <w:t>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25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cikkének (2), (3) vagy (5) bekezdésében foglalt magasabb kiáramlási rátákra v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natkozó kritériumokat, amely esetben azokat magasabb kiáramlás alá eső betétekként kell jelenteni; vagy</w:t>
            </w:r>
          </w:p>
          <w:p w14:paraId="4770FC13" w14:textId="77777777" w:rsidR="00BE06B5" w:rsidRPr="009A41E7" w:rsidRDefault="00BE06B5" w:rsidP="00356041">
            <w:pPr>
              <w:pStyle w:val="Listaszerbekezds"/>
              <w:numPr>
                <w:ilvl w:val="0"/>
                <w:numId w:val="17"/>
              </w:numPr>
              <w:spacing w:beforeLines="100" w:before="240" w:after="0" w:line="240" w:lineRule="auto"/>
              <w:ind w:right="227" w:hanging="733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Ezek a betétek nem harmadik országból származnak, ahol a 25. cikk (5) bekezdésének megfelelően magasabb kiáramlás alkalmazott, amely esetben, ebben a kategóriában kell jelenteni őket;</w:t>
            </w:r>
          </w:p>
          <w:p w14:paraId="5483318E" w14:textId="77777777" w:rsidR="00BE06B5" w:rsidRPr="009A41E7" w:rsidRDefault="00BE06B5" w:rsidP="00356041">
            <w:pPr>
              <w:pStyle w:val="Listaszerbekezds"/>
              <w:numPr>
                <w:ilvl w:val="0"/>
                <w:numId w:val="17"/>
              </w:numPr>
              <w:spacing w:beforeLines="100" w:before="240" w:after="0" w:line="240" w:lineRule="auto"/>
              <w:ind w:right="227" w:hanging="733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24. cikk (4) bekezdésében szereplő felmentés nem alkalmazható.</w:t>
            </w:r>
          </w:p>
        </w:tc>
      </w:tr>
      <w:tr w:rsidR="00BE06B5" w:rsidRPr="00B576CC" w14:paraId="470233D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494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090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C19F" w14:textId="77777777" w:rsidR="00BE06B5" w:rsidRPr="009A41E7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Külön kezelt stabil betétek </w:t>
            </w:r>
          </w:p>
          <w:p w14:paraId="65E4E8DF" w14:textId="0D2EE05A" w:rsidR="00BE06B5" w:rsidRPr="009A41E7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="0087448C">
              <w:rPr>
                <w:rFonts w:asciiTheme="majorHAnsi" w:hAnsiTheme="majorHAnsi" w:cs="Arial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25.</w:t>
            </w:r>
            <w:r w:rsidR="00DB34C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</w:t>
            </w:r>
            <w:r w:rsidR="00F5718D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(4) és (6) </w:t>
            </w:r>
            <w:r w:rsidR="00DB34CC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9C6935F" w14:textId="449C0988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lakossági betétek azon részét, amely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 2014/49/EU irán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y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elvnek megfelelően betétbiztosítási rendszerrel fedezett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maximum 100.000 EUR összegig és a betét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olyan stabil kapcsolat része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, ami igen valószínűtlenné 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teszi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betét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kivo</w:t>
            </w:r>
            <w:r w:rsidR="00B54AD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nását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vagy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tét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eket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fizetési számlán tartják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24. cikke (2) és (3) bekezdésének megfelelően, ahol:</w:t>
            </w:r>
          </w:p>
          <w:p w14:paraId="72106D9D" w14:textId="6C3DCABA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Ezek a betétek nem teljesítik a magasabb kiáramlási arányra vonatkozó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</w:t>
            </w:r>
            <w:r w:rsidRPr="009B3769">
              <w:rPr>
                <w:rFonts w:asciiTheme="majorHAnsi" w:hAnsiTheme="majorHAnsi" w:cs="Arial"/>
                <w:szCs w:val="20"/>
              </w:rPr>
              <w:t>l</w:t>
            </w:r>
            <w:r w:rsidRPr="009B3769">
              <w:rPr>
                <w:rFonts w:asciiTheme="majorHAnsi" w:hAnsiTheme="majorHAnsi" w:cs="Arial"/>
                <w:szCs w:val="20"/>
              </w:rPr>
              <w:lastRenderedPageBreak/>
              <w:t>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="007C217D">
              <w:rPr>
                <w:rFonts w:asciiTheme="majorHAnsi" w:hAnsiTheme="majorHAnsi" w:cs="Arial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24</w:t>
            </w:r>
            <w:r w:rsidR="00B54AD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cikkének (2), (3), és (5) bekezdése szerinti kritériumokat, amely esetben magasabb kiáramlás alá eső betétekként kell őket jelenteni; vagy</w:t>
            </w:r>
          </w:p>
          <w:p w14:paraId="7B4A1286" w14:textId="77777777" w:rsidR="00BE06B5" w:rsidRPr="009A41E7" w:rsidRDefault="00BE06B5" w:rsidP="00356041">
            <w:pPr>
              <w:pStyle w:val="Listaszerbekezds"/>
              <w:numPr>
                <w:ilvl w:val="0"/>
                <w:numId w:val="17"/>
              </w:numPr>
              <w:spacing w:beforeLines="100" w:before="240" w:after="0" w:line="240" w:lineRule="auto"/>
              <w:ind w:right="227" w:hanging="733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Ezek a betétek nem harmadik országban gyűjtött betétek, ahol a 25. cikk (5) bekezdés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nek megfelelő magasabb kiáramlást alkalmaznak, amely esetben, ebben a kategóriában kell jelenteni ezeket. </w:t>
            </w:r>
          </w:p>
          <w:p w14:paraId="63B58D7F" w14:textId="77777777" w:rsidR="00BE06B5" w:rsidRPr="009A41E7" w:rsidRDefault="00BE06B5" w:rsidP="00356041">
            <w:pPr>
              <w:pStyle w:val="Listaszerbekezds"/>
              <w:numPr>
                <w:ilvl w:val="0"/>
                <w:numId w:val="17"/>
              </w:numPr>
              <w:spacing w:beforeLines="100" w:before="240" w:after="0" w:line="240" w:lineRule="auto"/>
              <w:ind w:right="227" w:hanging="733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24. (4) bekezdésében szereplő eltérés alkalmazható.</w:t>
            </w:r>
          </w:p>
        </w:tc>
      </w:tr>
      <w:tr w:rsidR="00BE06B5" w:rsidRPr="00B576CC" w14:paraId="2BBDFDF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0F8E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A0DD" w14:textId="77777777" w:rsidR="00BE06B5" w:rsidRPr="009A41E7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Harmadik országbeli betétek, ahol magasabb kiáramlást alkalmaznak</w:t>
            </w:r>
          </w:p>
          <w:p w14:paraId="195115CE" w14:textId="3A59244F" w:rsidR="00BE06B5" w:rsidRPr="009A41E7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="007C217D">
              <w:rPr>
                <w:rFonts w:asciiTheme="majorHAnsi" w:hAnsiTheme="majorHAnsi" w:cs="Arial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25. </w:t>
            </w:r>
            <w:r w:rsidR="007C217D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</w:t>
            </w:r>
            <w:r w:rsidR="00F5718D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(5) </w:t>
            </w:r>
            <w:r w:rsidR="007C217D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56BE394E" w14:textId="77777777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azon harmadik országban gyűjtött betétek összegét, ahol m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gasabb kiáramlást alkalmaznak a nemzeti szabályozásnak megfelelően, amelyek magasabb likvid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tási követelményeket állapítanak meg abban a harmadik országban. </w:t>
            </w:r>
          </w:p>
          <w:p w14:paraId="5AA94B63" w14:textId="77777777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</w:p>
        </w:tc>
      </w:tr>
      <w:tr w:rsidR="00BE06B5" w:rsidRPr="00B576CC" w14:paraId="16461CD2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CC6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B088" w14:textId="77777777" w:rsidR="00BE06B5" w:rsidRPr="009A41E7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lakossági betétek</w:t>
            </w:r>
          </w:p>
          <w:p w14:paraId="29751E96" w14:textId="0227B991" w:rsidR="00BE06B5" w:rsidRPr="009A41E7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25.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cikkének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(1)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D23176B" w14:textId="77777777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azokat az egyéb lakossági betéteket, amelyek az előző tétele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ben nem szerepeltek.</w:t>
            </w:r>
          </w:p>
        </w:tc>
      </w:tr>
      <w:tr w:rsidR="00BE06B5" w:rsidRPr="00B576CC" w14:paraId="120C029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599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C8C6" w14:textId="77777777" w:rsidR="00BE06B5" w:rsidRPr="009A41E7" w:rsidRDefault="00BE06B5" w:rsidP="00356041">
            <w:pPr>
              <w:pStyle w:val="Listaszerbekezds"/>
              <w:numPr>
                <w:ilvl w:val="2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Operatív betétek</w:t>
            </w:r>
          </w:p>
          <w:p w14:paraId="62E71723" w14:textId="4906AF37" w:rsidR="00BE06B5" w:rsidRPr="009A41E7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27. cikke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566F974B" w14:textId="77777777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</w:t>
            </w:r>
            <w:r w:rsidRPr="009B3769">
              <w:rPr>
                <w:rFonts w:asciiTheme="majorHAnsi" w:hAnsiTheme="majorHAnsi" w:cs="Arial"/>
                <w:szCs w:val="20"/>
              </w:rPr>
              <w:t>e</w:t>
            </w:r>
            <w:r w:rsidRPr="009B3769">
              <w:rPr>
                <w:rFonts w:asciiTheme="majorHAnsi" w:hAnsiTheme="majorHAnsi" w:cs="Arial"/>
                <w:szCs w:val="20"/>
              </w:rPr>
              <w:t>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27. cikke szerinti operatív betéteiket, a levelezőbanki kapcsolatból vagy elsődleges ügynöki szolgáltatások nyújtásából származó betétek kivételével, amelyek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</w:t>
            </w:r>
            <w:r w:rsidRPr="009B3769">
              <w:rPr>
                <w:rFonts w:asciiTheme="majorHAnsi" w:hAnsiTheme="majorHAnsi" w:cs="Arial"/>
                <w:szCs w:val="20"/>
              </w:rPr>
              <w:t>a</w:t>
            </w:r>
            <w:r w:rsidRPr="009B3769">
              <w:rPr>
                <w:rFonts w:asciiTheme="majorHAnsi" w:hAnsiTheme="majorHAnsi" w:cs="Arial"/>
                <w:szCs w:val="20"/>
              </w:rPr>
              <w:t>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 (5) bekezdése alapján nem operatív betéteknek min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ő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sülnek.</w:t>
            </w:r>
          </w:p>
        </w:tc>
      </w:tr>
      <w:tr w:rsidR="00BE06B5" w:rsidRPr="00B576CC" w14:paraId="1DB945A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6B36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DE18" w14:textId="15FDE7B9" w:rsidR="00BE06B5" w:rsidRPr="008C5D6D" w:rsidRDefault="00E12952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1064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</w:t>
            </w:r>
            <w:r w:rsidRPr="008C5D6D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zon</w:t>
            </w:r>
            <w:r w:rsidR="00BE06B5" w:rsidRPr="008C5D6D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betétek, amelyeket a betétes annak érdekében helyezett el, hogy klíring-, letéti, készpénzmenedzsment vagy más hasonló szolgáltatásokat kapjon a hitelintézettől egy operatív kapcsolat keretében</w:t>
            </w:r>
          </w:p>
          <w:p w14:paraId="6B4112B6" w14:textId="69E020E4" w:rsidR="00BE06B5" w:rsidRPr="009A41E7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27. cikkének (1) bekezdésének (a) pontja, (2) és (4)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3A77C1B6" w14:textId="77777777" w:rsidR="00BE06B5" w:rsidRPr="008102AF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betételhelyező által annak érdekében fenntartott betét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ket, hogy stabil operatív kapcsolatok keretében klíring-, letéti, készpénzmenedzsment, vagy más hasonló szolgáltatásokat kapjon (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 (1) (a) pontjának megfelelően), amely kiemelkedő fontossággal bír a betételhelyező számára (a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 (4) bekezdésének megf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lelően); az operatív szolgáltatások nyújtásához szükséges mértéken felüli forrásokat nem-operatív betétekként kell kezelni</w:t>
            </w:r>
            <w:proofErr w:type="gramEnd"/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 (4) bekezdésének megfelelően).</w:t>
            </w:r>
          </w:p>
          <w:p w14:paraId="1F4F24AF" w14:textId="77777777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Csak azokat a betétek, amelyek esetén jelentős törvényi és operatív korlátai vannak a 30 naptári napon belüli jelentős betétkivonásnak (a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</w:t>
            </w:r>
            <w:r w:rsidRPr="009B3769">
              <w:rPr>
                <w:rFonts w:asciiTheme="majorHAnsi" w:hAnsiTheme="majorHAnsi" w:cs="Arial"/>
                <w:szCs w:val="20"/>
              </w:rPr>
              <w:t>e</w:t>
            </w:r>
            <w:r w:rsidRPr="009B3769">
              <w:rPr>
                <w:rFonts w:asciiTheme="majorHAnsi" w:hAnsiTheme="majorHAnsi" w:cs="Arial"/>
                <w:szCs w:val="20"/>
              </w:rPr>
              <w:t>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 (4) bekezdésének megfelelően) kell jelenteni.</w:t>
            </w:r>
          </w:p>
          <w:p w14:paraId="3A3EFE94" w14:textId="77777777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külön,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 (2) bekezdése alapján kell jelenteniük a betétbiztosítási rendszerrel fedezett és nem fedezett vagy harmadik országbeli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,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azzal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egyenértékű betétbiztosítási rendszer hatálya alá eső betétek összegét, az utasítás alábbi tételeinek megfelelően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</w:tc>
      </w:tr>
      <w:tr w:rsidR="00BE06B5" w:rsidRPr="00B576CC" w14:paraId="16E8ED6C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52B0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122A" w14:textId="77777777" w:rsidR="00BE06B5" w:rsidRPr="009A41E7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922"/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Betétbiztosítási rendszerrel fedezett</w:t>
            </w:r>
          </w:p>
          <w:p w14:paraId="0C94A223" w14:textId="565ACC4E" w:rsidR="00BE06B5" w:rsidRPr="009A41E7" w:rsidRDefault="00BE06B5" w:rsidP="005D57EA">
            <w:pPr>
              <w:tabs>
                <w:tab w:val="left" w:pos="922"/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cikkének (1) (a) pontja, (2) és (4)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3D1CDA21" w14:textId="73A8626D" w:rsidR="00BE06B5" w:rsidRPr="009A41E7" w:rsidRDefault="00BE06B5" w:rsidP="00BE06B5">
            <w:pPr>
              <w:tabs>
                <w:tab w:val="left" w:pos="922"/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stabil operatív kapcsolat keretében fenntartott operatív b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tétek fennálló egyenlegének arányát, amelyek teljesítik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 (1) (a) pontjában és (4) bekezdésében foglalt feltételeket, és amelyek a 94/19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vagy a 2014/49/EU irányelv értelmében betétbiztosítási rendszer vagy harmadik o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szágbeli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azzal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egyenértékű betétbiztosítási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rendszer hatálya alá esnek.</w:t>
            </w:r>
          </w:p>
        </w:tc>
      </w:tr>
      <w:tr w:rsidR="00BE06B5" w:rsidRPr="00B576CC" w14:paraId="19CCA1E9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FC04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C647" w14:textId="77777777" w:rsidR="00BE06B5" w:rsidRPr="009A41E7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922"/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Betétbiztosítási rendszerrel nem fedezett</w:t>
            </w:r>
          </w:p>
          <w:p w14:paraId="227B3457" w14:textId="745CA160" w:rsidR="00BE06B5" w:rsidRPr="009A41E7" w:rsidRDefault="00BE06B5" w:rsidP="005D57EA">
            <w:pPr>
              <w:tabs>
                <w:tab w:val="left" w:pos="922"/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cikke (1) bekezdésének (a) pontja, (2) és (4)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6B93A277" w14:textId="504A9F36" w:rsidR="00BE06B5" w:rsidRPr="009A41E7" w:rsidRDefault="00BE06B5" w:rsidP="00B14BCB">
            <w:pPr>
              <w:tabs>
                <w:tab w:val="left" w:pos="922"/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azokat a stabil operatív kapcsolat keretében fenntartott oper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tív betétek fennálló egyenlegének arányát, amelyek teljesítik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</w:t>
            </w:r>
            <w:r w:rsidRPr="009B3769">
              <w:rPr>
                <w:rFonts w:asciiTheme="majorHAnsi" w:hAnsiTheme="majorHAnsi" w:cs="Arial"/>
                <w:szCs w:val="20"/>
              </w:rPr>
              <w:t>a</w:t>
            </w:r>
            <w:r w:rsidRPr="009B3769">
              <w:rPr>
                <w:rFonts w:asciiTheme="majorHAnsi" w:hAnsiTheme="majorHAnsi" w:cs="Arial"/>
                <w:szCs w:val="20"/>
              </w:rPr>
              <w:t>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cikke (1) bekezdésének (a) pontj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ában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és (4) bekezdésében foglalt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kat és, amelyek nem esnek a 94/19/E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vagy a 2014/49/EU irányelv értelmében betétbiztosítási rendszer vagy harmadik országbeli egyenértékű betétbiztosítási rendszer hatálya alá.</w:t>
            </w:r>
            <w:proofErr w:type="gramEnd"/>
          </w:p>
        </w:tc>
      </w:tr>
      <w:tr w:rsidR="00BE06B5" w:rsidRPr="00B576CC" w14:paraId="2F23350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2E4D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24D5" w14:textId="77777777" w:rsidR="00BE06B5" w:rsidRPr="009A41E7" w:rsidRDefault="00BE06B5" w:rsidP="0073613F">
            <w:pPr>
              <w:pStyle w:val="Listaszerbekezds"/>
              <w:numPr>
                <w:ilvl w:val="3"/>
                <w:numId w:val="16"/>
              </w:numPr>
              <w:tabs>
                <w:tab w:val="left" w:pos="1064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Szövetkezeti hálózatban vagy intézményvédelmi rendszer központi intézményénél e</w:t>
            </w: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</w:t>
            </w:r>
            <w:r w:rsidRPr="009A41E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helyezett betétek</w:t>
            </w:r>
          </w:p>
          <w:p w14:paraId="42469F39" w14:textId="643AC634" w:rsidR="00BE06B5" w:rsidRPr="009A41E7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cikke (1) bekezdésének (b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) pontja és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A572F1E" w14:textId="77777777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azokat a betéteket, amelyek az 575/2013/EU rendelet 113. cikke (7) bekezdésének követelményeit teljesítő intézményvédelmi rendszer keretén belüli vagy az 575/2013/EU rendelet 113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cikke (6) bekezdésének követelményeit teljesítő központi szervhez ta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8102A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tósan kapcsolt szövetkezeti hitelintézetek csoportján belül közös feladatmegosztás keretében vagy törvényben, szerződésben előírt betétként kell egy másik hitelintézetnek elhelyeznie, amely ugyannak az intézményvédelmi rendszernek vagy szövetkezeti rendszernek a tagja, a </w:t>
            </w:r>
            <w:r w:rsidRPr="009B3769">
              <w:rPr>
                <w:rFonts w:asciiTheme="majorHAnsi" w:hAnsiTheme="majorHAnsi" w:cs="Arial"/>
                <w:szCs w:val="20"/>
              </w:rPr>
              <w:t>Bizottság (EU)</w:t>
            </w:r>
            <w:r>
              <w:rPr>
                <w:rFonts w:asciiTheme="majorHAnsi" w:hAnsiTheme="majorHAnsi" w:cs="Arial"/>
                <w:szCs w:val="20"/>
              </w:rPr>
              <w:t xml:space="preserve"> 2015/61</w:t>
            </w:r>
            <w:r w:rsidRPr="009B3769">
              <w:rPr>
                <w:rFonts w:asciiTheme="majorHAnsi" w:hAnsiTheme="majorHAnsi" w:cs="Arial"/>
                <w:szCs w:val="20"/>
              </w:rPr>
              <w:t xml:space="preserve"> felhatalmazáson</w:t>
            </w:r>
            <w:proofErr w:type="gramEnd"/>
            <w:r w:rsidRPr="009B3769">
              <w:rPr>
                <w:rFonts w:asciiTheme="majorHAnsi" w:hAnsiTheme="majorHAnsi" w:cs="Arial"/>
                <w:szCs w:val="20"/>
              </w:rPr>
              <w:t xml:space="preserve"> alapuló rendeleté</w:t>
            </w:r>
            <w:r>
              <w:rPr>
                <w:rFonts w:asciiTheme="majorHAnsi" w:hAnsiTheme="majorHAnsi" w:cs="Arial"/>
                <w:szCs w:val="20"/>
              </w:rPr>
              <w:t>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cikke (1) (b) pontja szerint meghatározo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taknak megfelelően.</w:t>
            </w:r>
          </w:p>
          <w:p w14:paraId="6DB76178" w14:textId="59CAB91A" w:rsidR="00BE06B5" w:rsidRPr="009A41E7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highlight w:val="yellow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ezeket a betéteket két különálló sorban kell jelenteniük, attól függően, hogy a betételhelyező hitelintézet likvid eszközként kezeli-e azokat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záson alapuló rendelet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27. cikke (3) bekezdése alapján. </w:t>
            </w:r>
          </w:p>
        </w:tc>
      </w:tr>
      <w:tr w:rsidR="00BE06B5" w:rsidRPr="00B576CC" w14:paraId="27FD1FE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025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263" w14:textId="1E8F42F6" w:rsidR="00BE06B5" w:rsidRPr="009A41E7" w:rsidRDefault="00E12952" w:rsidP="005D57EA">
            <w:pPr>
              <w:pStyle w:val="Listaszerbekezds"/>
              <w:numPr>
                <w:ilvl w:val="4"/>
                <w:numId w:val="16"/>
              </w:numPr>
              <w:tabs>
                <w:tab w:val="left" w:pos="1241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A betételhelyező nem tekinti likvid eszköznek </w:t>
            </w:r>
          </w:p>
          <w:p w14:paraId="6FBF7756" w14:textId="67301EA7" w:rsidR="00BE06B5" w:rsidRPr="009A41E7" w:rsidRDefault="00BE06B5" w:rsidP="005D57EA">
            <w:pPr>
              <w:tabs>
                <w:tab w:val="left" w:pos="1241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27. cikke (1) bekezdésének (b) pontja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F520100" w14:textId="77777777" w:rsidR="00BE06B5" w:rsidRPr="008C5D6D" w:rsidRDefault="00BE06B5" w:rsidP="00BE06B5">
            <w:pPr>
              <w:tabs>
                <w:tab w:val="left" w:pos="1241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  <w:highlight w:val="yellow"/>
                <w:u w:val="single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nek 27. cikke (1) bekezdésének (b) pontja szerinti szövetkezeti hálózat vagy intézményvédelmi rendszer keretein belül fenntartott betétek fennálló egyenlegét, feltéve, hogy a betéteket 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bet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telhelyező hitelintézet nem tekinti likvid eszközeinek.</w:t>
            </w:r>
          </w:p>
        </w:tc>
      </w:tr>
      <w:tr w:rsidR="00BE06B5" w:rsidRPr="00B576CC" w14:paraId="030163FB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0F5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C423" w14:textId="79089674" w:rsidR="00BE06B5" w:rsidRPr="009A41E7" w:rsidRDefault="00E12952" w:rsidP="005D57EA">
            <w:pPr>
              <w:pStyle w:val="Listaszerbekezds"/>
              <w:numPr>
                <w:ilvl w:val="4"/>
                <w:numId w:val="16"/>
              </w:numPr>
              <w:tabs>
                <w:tab w:val="left" w:pos="1241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 betételhelyező likvid eszköznek tekinti</w:t>
            </w:r>
          </w:p>
          <w:p w14:paraId="46F467C1" w14:textId="04667706" w:rsidR="00BE06B5" w:rsidRPr="009A41E7" w:rsidRDefault="00BE06B5" w:rsidP="005D57EA">
            <w:pPr>
              <w:tabs>
                <w:tab w:val="left" w:pos="1241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27. cikke (1) bekezdésének (b) pontja és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93D2650" w14:textId="77777777" w:rsidR="00BE06B5" w:rsidRPr="009A41E7" w:rsidRDefault="00BE06B5" w:rsidP="00BE06B5">
            <w:pPr>
              <w:tabs>
                <w:tab w:val="left" w:pos="1241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felhatalmazásán alapuló rendelet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16. cikke szerinti betétet elhelyező hitelintézet likvid eszközeinek tekintett, központi hitelint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zetnél elhelyezett hitelintézeti betéteket.</w:t>
            </w:r>
          </w:p>
          <w:p w14:paraId="29F3A4AE" w14:textId="77777777" w:rsidR="00BE06B5" w:rsidRPr="009A41E7" w:rsidRDefault="00BE06B5" w:rsidP="00BE06B5">
            <w:pPr>
              <w:tabs>
                <w:tab w:val="left" w:pos="1241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 xml:space="preserve">A hitelintézeteknek a Biztosság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felhatalmazásán alapuló rendeletének 27. cikke (3) bekezdése értelmében jelenteniük kell ezeknek a betéteknek az összegét a vonatkozó likvid eszk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ö</w:t>
            </w:r>
            <w:r w:rsidRPr="009A41E7">
              <w:rPr>
                <w:rFonts w:asciiTheme="majorHAnsi" w:eastAsia="Times New Roman" w:hAnsiTheme="majorHAnsi" w:cs="Times New Roman"/>
                <w:color w:val="000000"/>
                <w:szCs w:val="20"/>
              </w:rPr>
              <w:t>zök haircut alkalmazása utáni összegéig.</w:t>
            </w:r>
          </w:p>
        </w:tc>
      </w:tr>
      <w:tr w:rsidR="00BE06B5" w:rsidRPr="00B576CC" w14:paraId="00A524D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539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190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FB82" w14:textId="77777777" w:rsidR="00BE06B5" w:rsidRPr="00892606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Nem pénzügyi ügyféllel fennálló (egyéb) operatív kapcsolat keretében elhelyezett betét</w:t>
            </w:r>
          </w:p>
          <w:p w14:paraId="0C147130" w14:textId="69F0CBA9" w:rsidR="00BE06B5" w:rsidRPr="00892606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27. cikke (1) bekezdésének (c) pontja, (4) és (6)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746F271" w14:textId="77777777" w:rsidR="00BE06B5" w:rsidRPr="00892606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egyéb, a Bizottság felhatalmazásán alapuló rendeletének 27. cikke (1) bekezdése (a) pontja szerint nem említett nem pénzügyi ügyfelekkel, stabil operatív ka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p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csolat keretében fenntartott betéteket, amelyek teljesítik a 27. cikk (6) bekezdésében foglalt köv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telményeket.</w:t>
            </w:r>
          </w:p>
          <w:p w14:paraId="47CF8EC6" w14:textId="3FD52598" w:rsidR="00BE06B5" w:rsidRPr="00892606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Csak azokat a betéteket, amelyek esetén jelentős törvényi és operatív korlátai vannak a 30 naptári napon belüli jelentős betétkivonás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ként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rendel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tének 27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 (4) bekezdésének megfelelően) kell jelenteni.</w:t>
            </w:r>
          </w:p>
        </w:tc>
      </w:tr>
      <w:tr w:rsidR="00BE06B5" w:rsidRPr="00B576CC" w14:paraId="71469032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F69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200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D852" w14:textId="6D488949" w:rsidR="00BE06B5" w:rsidRPr="00892606" w:rsidRDefault="00E12952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C</w:t>
            </w:r>
            <w:r w:rsidR="00BE06B5"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soporton belül annak érdekében elhelyezett betét, hogy a betétes készpénzklíring- és központi hitelintézet által nyújtott szolgáltatásokat vehessen igénybe</w:t>
            </w:r>
          </w:p>
          <w:p w14:paraId="0589A273" w14:textId="28B70A8D" w:rsidR="00BE06B5" w:rsidRPr="00892606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27. cikke (1) bekezdésének (d) pontja és (4)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C29D565" w14:textId="7D7EB05E" w:rsidR="00BE06B5" w:rsidRPr="00892606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felhatalmazásán alapuló rendelet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27. cikke (1) bekezdésének (d) pontjában meghatározott, a betétes által készpénzklíring- és központi hitelintézet által nyújtott szolgáltatások igénybevételéhez fenntartott betétek fennálló egyenlegét, ha a hitelintézet a 16. cikkben említett hálózatok vagy rendszerek egyikéhez tartozik. Ezek a készpénzklíring és központi hitelintézeti szolgáltatások kizárólag azokat a szolgáltatásokat foglalják magukban, amelyeket a betétesnek rendkívül fontos, stabil kapcsolat keretében nyújt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nak (a </w:t>
            </w:r>
            <w:r w:rsidR="001C63A5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Bizottság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(EU) 2015/61 </w:t>
            </w:r>
            <w:r w:rsidR="001C63A5"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felhatalmazáson alapuló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rendelet</w:t>
            </w:r>
            <w:r w:rsidR="001C63A5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27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cikkének (4) bekezdése alapján); az operatív szolgáltatások nyújtásához szükséges mértéken felüli forrásokat nem-operatív betétekként kell kezelni (a (EU) 2015/61 rendelet 27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cikke (4) bekezdése értelmében).</w:t>
            </w:r>
          </w:p>
          <w:p w14:paraId="3BEC3F56" w14:textId="0041083A" w:rsidR="00BE06B5" w:rsidRPr="00892606" w:rsidRDefault="00BE06B5" w:rsidP="00B14BCB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Csak azokat a betéteket</w:t>
            </w:r>
            <w:r w:rsidR="00B14BCB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="00B14BCB"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kell jelenteni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, amelyek esetén jelentős törvényi és operatív korlátai vannak a 30 naptári napon belüli jelentős betétkivonásnak (a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puló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rendeletének 27</w:t>
            </w:r>
            <w:r w:rsidR="00B87D78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(4) bekezdésének megfelelően).</w:t>
            </w:r>
          </w:p>
        </w:tc>
      </w:tr>
      <w:tr w:rsidR="00BE06B5" w:rsidRPr="00B576CC" w14:paraId="1786796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B2B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210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0D8A" w14:textId="77777777" w:rsidR="00BE06B5" w:rsidRPr="00892606" w:rsidRDefault="00BE06B5" w:rsidP="0073613F">
            <w:pPr>
              <w:pStyle w:val="Listaszerbekezds"/>
              <w:numPr>
                <w:ilvl w:val="2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 operatív betétek</w:t>
            </w:r>
          </w:p>
          <w:p w14:paraId="6BBB5905" w14:textId="6B0A8ED0" w:rsidR="00BE06B5" w:rsidRPr="00892606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27.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(5), 28.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(1) és 31.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(9)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D53189E" w14:textId="77777777" w:rsidR="00BE06B5" w:rsidRPr="00892606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(EU) 2015/61 rendelet 28. cikkének (1) bekezdése szerinti fedezetlen betéteket és az (EU) 2015/61 rendelet 27. cikkének (5) bekezdésében foglalt levelező banki kapcsolatból vagy elsődleges ügynöki szolgáltatások nyújtásából származó betéteket.</w:t>
            </w:r>
          </w:p>
          <w:p w14:paraId="47E42C5B" w14:textId="0F15A392" w:rsidR="00BE06B5" w:rsidRPr="00892606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külön kell jelenteniük a nem operatív betétek betétbiztosítási rendszerrel f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dezett és nem fedezett vagy harmadik országbeli egyenértékű betétbiztosítási rendszer hatálya alá eső betétek összegét, az (EU) 2015/61 rendelet 27. cikkének (5) bekezdésében meghatározott l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velező banki kapcsolatból vagy elsődleges ügynöki szolgáltatások nyújtásából származó kötelezet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ségek kivételével, az utasítás alábbi tételeinek megfelelően</w:t>
            </w:r>
            <w:r w:rsidR="00B87D78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</w:tc>
      </w:tr>
      <w:tr w:rsidR="00BE06B5" w:rsidRPr="00B576CC" w14:paraId="72C29E4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005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220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2CB2" w14:textId="0A5AB1D5" w:rsidR="00BE06B5" w:rsidRPr="00892606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Levelező banki kapcsolatból </w:t>
            </w:r>
            <w:r w:rsidR="00CB1B2F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vagy</w:t>
            </w:r>
            <w:r w:rsidR="00CB1B2F"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</w:t>
            </w: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elsődleges ügynöki szolgáltatás</w:t>
            </w:r>
            <w:r w:rsidR="00CB1B2F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ok nyújtásá</w:t>
            </w: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ból szárm</w:t>
            </w: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</w:t>
            </w: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zó betétek</w:t>
            </w:r>
          </w:p>
          <w:p w14:paraId="5EE97983" w14:textId="5464E2B6" w:rsidR="00BE06B5" w:rsidRPr="00892606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27.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(5)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3DE7700E" w14:textId="77777777" w:rsidR="00BE06B5" w:rsidRPr="00892606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  <w:u w:val="single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az rendelet 27. cikkének (5) bekezdése szerinti levelező banki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kapcsolatból és elsődleges ügynöki szolgáltatásból származó betétek fennálló egyenlegét.</w:t>
            </w:r>
          </w:p>
        </w:tc>
      </w:tr>
      <w:tr w:rsidR="00BE06B5" w:rsidRPr="00B576CC" w14:paraId="374FF7D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F7C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230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CCBD" w14:textId="77777777" w:rsidR="00BE06B5" w:rsidRPr="00892606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Pénzügyi ügyfelek betétei</w:t>
            </w:r>
          </w:p>
          <w:p w14:paraId="3C1F25A8" w14:textId="4D08F429" w:rsidR="00BE06B5" w:rsidRPr="00892606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</w:t>
            </w:r>
            <w:r w:rsidR="0097597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31.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(10)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1F48450" w14:textId="6B8BB623" w:rsidR="00BE06B5" w:rsidRPr="00892606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pénzügyi ügyfelek betéteinek fennálló egyenlegét az (EU) 2015/61 rendelet 27. cikk (4) bekezdésében meghatározott, nem operatív betétnek tekintett mé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tékig.</w:t>
            </w:r>
          </w:p>
          <w:p w14:paraId="6C84A237" w14:textId="69D75679" w:rsidR="00BE06B5" w:rsidRPr="00892606" w:rsidRDefault="00BE06B5" w:rsidP="001C63A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szintén itt kell jelenteniük az (EU) 2015/61 rendelet 27. cikkének (4) bekezdése szerinti operatív szolgáltatások nyújtásához szükséges mértéken felüli forrásokat.</w:t>
            </w:r>
          </w:p>
        </w:tc>
      </w:tr>
      <w:tr w:rsidR="00BE06B5" w:rsidRPr="00B576CC" w14:paraId="784EE40B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CCB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 xml:space="preserve"> 240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BE1" w14:textId="77777777" w:rsidR="00BE06B5" w:rsidRPr="00892606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892606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ügyfelek betétei</w:t>
            </w:r>
          </w:p>
          <w:p w14:paraId="7DDE7ECF" w14:textId="051D403E" w:rsidR="00BE06B5" w:rsidRPr="00892606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28.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5BB3D6DD" w14:textId="4E364DA9" w:rsidR="00BE06B5" w:rsidRPr="00892606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(EU) 2015/61 rendelet 28. cikkének (1) bekezdése szerinti egyéb (nem pénzügyi és nem lakossági betéteseknek tartott) ügyfelek által fenntartott betéteket, a 27. cikkben meghatározott nem operatív betétnek tekintett mértékig.</w:t>
            </w:r>
          </w:p>
          <w:p w14:paraId="1D46CC4E" w14:textId="77777777" w:rsidR="00BE06B5" w:rsidRPr="00892606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Ez a szakasz magában kell, hogy foglalja:</w:t>
            </w:r>
          </w:p>
          <w:p w14:paraId="40189504" w14:textId="77777777" w:rsidR="00BE06B5" w:rsidRPr="00892606" w:rsidRDefault="00BE06B5" w:rsidP="00356041">
            <w:pPr>
              <w:pStyle w:val="Listaszerbekezds"/>
              <w:numPr>
                <w:ilvl w:val="0"/>
                <w:numId w:val="14"/>
              </w:numPr>
              <w:spacing w:beforeLines="100" w:before="240" w:after="0" w:line="240" w:lineRule="auto"/>
              <w:ind w:left="497" w:right="227" w:hanging="27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 (EU) 2015/61 rendeletének 27. cikkének (4) bekezdése szerinti operatív szolgáltatások nyú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j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tásához szükséges mértéken felüli forrásokat, feltéve, hogy az nem pénzügyi ügyfelektől szá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maznak; és</w:t>
            </w:r>
          </w:p>
          <w:p w14:paraId="0A199BA4" w14:textId="144E1CA5" w:rsidR="00BE06B5" w:rsidRPr="00892606" w:rsidRDefault="00BE06B5" w:rsidP="00356041">
            <w:pPr>
              <w:pStyle w:val="Listaszerbekezds"/>
              <w:numPr>
                <w:ilvl w:val="0"/>
                <w:numId w:val="14"/>
              </w:numPr>
              <w:spacing w:beforeLines="100" w:before="240" w:after="0" w:line="240" w:lineRule="auto"/>
              <w:ind w:left="497" w:right="227" w:hanging="27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betétek (EU) 2015/61 rendeletének 27. cikkének (6) bekezdése szerinti meghaladó részét.</w:t>
            </w:r>
          </w:p>
          <w:p w14:paraId="1374863F" w14:textId="77777777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92606">
              <w:rPr>
                <w:rFonts w:asciiTheme="majorHAnsi" w:eastAsia="Times New Roman" w:hAnsiTheme="majorHAnsi" w:cs="Times New Roman"/>
                <w:color w:val="000000"/>
                <w:szCs w:val="20"/>
              </w:rPr>
              <w:t>Ezeket a betéteket két különálló soron kell jelenteni, a betétbiztosítási rendszer, vagy harmadik o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szágbeli egyenértékű betétbiztosítási rendszer hatálya alá tartozástól függően.</w:t>
            </w:r>
          </w:p>
        </w:tc>
      </w:tr>
      <w:tr w:rsidR="00BE06B5" w:rsidRPr="00B576CC" w14:paraId="774CAF0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F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250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FF16" w14:textId="77777777" w:rsidR="00BE06B5" w:rsidRPr="00FE0359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Betétbiztosítási rendszer hatálya alá tartozó betétek</w:t>
            </w:r>
          </w:p>
          <w:p w14:paraId="0D10EF46" w14:textId="13ADAE07" w:rsidR="00BE06B5" w:rsidRPr="00FE0359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5DB802B5" w14:textId="76DEC0D1" w:rsidR="00BE06B5" w:rsidRPr="00FE0359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egyéb ügyfelek által fenntartott és a 94/19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vagy a 2014/48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rendeletben meghatározott betétbiztosítási rendszer, vagy harmadik országbeli egy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nértékű betétbiztosítási rendszer hatálya alá tartozó betétek fennálló egyenlegét a 28. cikk (1) b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kezdésében foglaltaknak megfelelően.</w:t>
            </w:r>
          </w:p>
        </w:tc>
      </w:tr>
      <w:tr w:rsidR="00BE06B5" w:rsidRPr="00B576CC" w14:paraId="0F8037B6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47C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260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8BF6" w14:textId="77777777" w:rsidR="00BE06B5" w:rsidRPr="00FE0359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Betétbiztosítási rendszer hatály alá nem tartozó betétek</w:t>
            </w:r>
          </w:p>
          <w:p w14:paraId="74174111" w14:textId="5A97FA73" w:rsidR="00BE06B5" w:rsidRPr="00FE0359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3B282E2D" w14:textId="49545034" w:rsidR="00BE06B5" w:rsidRPr="00FE0359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egyéb ügyfelek által fenntartott és a 94/19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vagy a 2014/48</w:t>
            </w:r>
            <w:r w:rsidR="005D5B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rendeletben meghatározott betétbiztosítási rendszer, vagy harmadik országbeli egy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nértékű betétbiztosítási rendszer hatálya alá nem tartozó betétek fennálló egyenlegét a 28. cikk (1) bekezdésében foglaltaknak megfelelően.</w:t>
            </w:r>
          </w:p>
        </w:tc>
      </w:tr>
      <w:tr w:rsidR="00BE06B5" w:rsidRPr="00B576CC" w14:paraId="11807C9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FFE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270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495D" w14:textId="77777777" w:rsidR="00BE06B5" w:rsidRPr="00FE0359" w:rsidRDefault="00BE06B5" w:rsidP="0073613F">
            <w:pPr>
              <w:pStyle w:val="Listaszerbekezds"/>
              <w:numPr>
                <w:ilvl w:val="2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További kiáramlások</w:t>
            </w:r>
          </w:p>
          <w:p w14:paraId="34E645B5" w14:textId="4295C810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</w:t>
            </w:r>
            <w:r w:rsidR="0039337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30.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</w:p>
          <w:p w14:paraId="010D1131" w14:textId="77777777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tének 30. cikke szerinti további kiáramlásokat.</w:t>
            </w:r>
          </w:p>
          <w:p w14:paraId="6D592F82" w14:textId="0728DA3E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</w:t>
            </w:r>
            <w:r w:rsidR="00393373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cikkének (7) bekezdése szerint a biztosítékként elf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ogadott betétek a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27. vagy a 29. cikke szerint nem tekintendőek kötelezettségnek, ugyanakkor adott esetben B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</w:t>
            </w:r>
            <w:r w:rsidR="00393373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cikkének (1)-(6) bekezdésében fo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g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lalt rendelkezéseket kell alkalmazni. </w:t>
            </w:r>
          </w:p>
        </w:tc>
      </w:tr>
      <w:tr w:rsidR="00BE06B5" w:rsidRPr="00B576CC" w14:paraId="5DCB1C9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CDE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280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F179" w14:textId="77777777" w:rsidR="00BE06B5" w:rsidRPr="00FE0359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Származtatott ügyletekért nyújtott 1. szintű eszköznek minősülő fedezettől eltérő fed</w:t>
            </w: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zet</w:t>
            </w:r>
          </w:p>
          <w:p w14:paraId="00C2ACC4" w14:textId="45493A7D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30.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76A8DB4" w14:textId="633D2591" w:rsidR="00BE06B5" w:rsidRPr="00FE0359" w:rsidRDefault="00BE06B5" w:rsidP="00393373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575/2013</w:t>
            </w:r>
            <w:r w:rsidR="00393373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számú rendelet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II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. mellékeltében meghatár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zott ügyletek ellenében nyújtott 1. szintű eszközöknek minősülő fedezettől eltérő fedezetek piaci értékét.</w:t>
            </w:r>
          </w:p>
        </w:tc>
      </w:tr>
      <w:tr w:rsidR="00BE06B5" w:rsidRPr="00B576CC" w14:paraId="37A14CB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B460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290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AE94" w14:textId="77777777" w:rsidR="00BE06B5" w:rsidRPr="00FE0359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Származtatott ügyletekért nyújtott, 1. szintű rendkívül magas minőségű fedezett kö</w:t>
            </w: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t</w:t>
            </w: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vénynek minősülő fedezet</w:t>
            </w:r>
          </w:p>
          <w:p w14:paraId="5C65263A" w14:textId="3BD707FD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30. cikk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(1)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F785D55" w14:textId="7949FBE7" w:rsidR="00BE06B5" w:rsidRPr="00FE0359" w:rsidRDefault="00BE06B5" w:rsidP="002F7E8E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számú rendelet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II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. mellékletében meghatár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zott ügyletek és hitelderivatívák ellenében fedezettként nyújtott 1. szintű rendkívül magas minős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gű fedezett kötvények piaci értékét.</w:t>
            </w:r>
          </w:p>
        </w:tc>
      </w:tr>
      <w:tr w:rsidR="00BE06B5" w:rsidRPr="00B576CC" w14:paraId="745C39FB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C85D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7C1D" w14:textId="77777777" w:rsidR="00BE06B5" w:rsidRPr="00FE0359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Saját hitelminőség romlásából fakadó lényeges kiáramlások</w:t>
            </w:r>
          </w:p>
          <w:p w14:paraId="3E0C46B1" w14:textId="2651CDDF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(2)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800CC30" w14:textId="77777777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30. cikke (2) bekezdése szerint számított és az illetékes hatóság részére bejelentett további 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áramlások teljes összegét. </w:t>
            </w:r>
          </w:p>
          <w:p w14:paraId="51A6501D" w14:textId="2B53AEB8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 egy saját hitelminőség romlásából fakadó kiáramlás egyéb, 100%-nál alacsonyabb súllyal re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delkező soron feltüntetésre került, úgy az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az összeget a 300-as soron szintén jelenteni kell, úgy, hogy az ügyletre vonatkozóan a kiáramlások összege 100% legyen.</w:t>
            </w:r>
          </w:p>
        </w:tc>
      </w:tr>
      <w:tr w:rsidR="00BE06B5" w:rsidRPr="00B576CC" w14:paraId="2806A26F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3D0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367E" w14:textId="731F97C3" w:rsidR="00BE06B5" w:rsidRPr="00FE0359" w:rsidRDefault="00CB1B2F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gy</w:t>
            </w:r>
            <w:r w:rsidR="00BE06B5"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negatív piaci forgatókönyv </w:t>
            </w:r>
            <w:r w:rsidR="00BE06B5" w:rsidRPr="0067610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hatás</w:t>
            </w:r>
            <w:r w:rsidR="00BE06B5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a </w:t>
            </w:r>
            <w:r w:rsidR="00BE06B5"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 hitelintézet származtatott ügyleteire, finanszír</w:t>
            </w:r>
            <w:r w:rsidR="00BE06B5"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o</w:t>
            </w:r>
            <w:r w:rsidR="00BE06B5"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zási ügyleteire és egyéb szerződéseire </w:t>
            </w:r>
          </w:p>
          <w:p w14:paraId="739270C3" w14:textId="1E0E141F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ének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53FCE5BF" w14:textId="77777777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hitelintézetnek jelentenie kell a Bizottság által az 575/2013/EU rendelet 423. cikkének (3) beke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dése alapján elfogadandó felhatalmazáson alapuló jogi aktusnak megfelelően számított kiáramlás összegét.</w:t>
            </w:r>
          </w:p>
        </w:tc>
      </w:tr>
      <w:tr w:rsidR="00BE06B5" w:rsidRPr="00B576CC" w14:paraId="546AF66E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523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01CA" w14:textId="77777777" w:rsidR="00BE06B5" w:rsidRPr="00FE0359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Múltbeli adatokon alapuló sztenderd (HLBA) megközelítés</w:t>
            </w:r>
          </w:p>
          <w:p w14:paraId="021949A6" w14:textId="2CD0EABF" w:rsidR="00BE06B5" w:rsidRPr="00FE0359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F2B1FAD" w14:textId="77777777" w:rsidR="00BE06B5" w:rsidRPr="00FE0359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hitelintézetnek jelentenie kell a Bizottság által az 575/2013/EU rendelet 423. cikkének (3) beke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dése alapján elfogadandó felhatalmazáson alapuló jogi aktus alapján, a múltbeli adatokon alapuló sztenderd módszerrel számított összeget.</w:t>
            </w:r>
          </w:p>
        </w:tc>
      </w:tr>
      <w:tr w:rsidR="00BE06B5" w:rsidRPr="00B576CC" w14:paraId="6D634F0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CED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4276" w14:textId="77777777" w:rsidR="00BE06B5" w:rsidRPr="00FE0359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AMAO (Összetett módszer további kiáramlásokhoz) megközelítés</w:t>
            </w:r>
          </w:p>
          <w:p w14:paraId="46BA645C" w14:textId="65CA7E25" w:rsidR="00BE06B5" w:rsidRPr="00FE0359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cikkének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7A8FFCD" w14:textId="77777777" w:rsidR="00BE06B5" w:rsidRPr="00FE0359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hitelintézetnek jelentenie kell a Bizottság által az 575/2013/EU rendelet 423. cikkének (3) beke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dése alapján elfogadandó felhatalmazáson alapuló jogi aktus alapján, az AMAO módszerrel szám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tott összeg 1.1.4.4.1 tételt meghaladó részét.</w:t>
            </w:r>
          </w:p>
          <w:p w14:paraId="296A4845" w14:textId="77777777" w:rsidR="00BE06B5" w:rsidRPr="00FE0359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Csak annak a hitelintézetnek kell jelentenie ezt a tételt, amelynek a megfelelő illetékes hatóság engedélyezte az 575/2013/EU rendelet 6. fejezetének 6. szakaszában meghatározott belső modell módszer (IMM) használatát. </w:t>
            </w:r>
          </w:p>
        </w:tc>
      </w:tr>
      <w:tr w:rsidR="00BE06B5" w:rsidRPr="00B576CC" w14:paraId="2C98228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1F0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0977" w14:textId="6D29D266" w:rsidR="00BE06B5" w:rsidRPr="00FE0359" w:rsidRDefault="00CB1B2F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</w:t>
            </w: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zármaztatott</w:t>
            </w:r>
            <w:r w:rsidR="00BE06B5"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ügyletekhez kapcsolódó kiáramlás</w:t>
            </w:r>
          </w:p>
          <w:p w14:paraId="0A71DD5F" w14:textId="1DC94127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30. cikkének (4)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D462F65" w14:textId="77777777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A hitelintézeteknek jelenteniük kell az 575/2013/EU rendelet II. mellékletében felsorolt ügylete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ből eredő, 30 naptári nap alatt várható kiáramlások összegét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záson alapuló rendeletének 21. cikke szerint.</w:t>
            </w:r>
          </w:p>
          <w:p w14:paraId="18952423" w14:textId="6963F01F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Kizárólag devizánkénti jelentés céljából, a hitelintézeteknek jelenteniük kell az ebben a jelentős devizában történő kiáramlásokat. A partnerrel történő nettósítás csak arra a devizára a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kalmazh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tó, például </w:t>
            </w:r>
            <w:proofErr w:type="gramStart"/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proofErr w:type="gramEnd"/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Partner: +10 EUR és A Partner -20 EUR kiáramlása +10 EUR kiáramlásként j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lentendő. Partnerek között a nettósítás nem alkalmazható, például </w:t>
            </w:r>
            <w:proofErr w:type="gramStart"/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proofErr w:type="gramEnd"/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Partner: -10 EUR, B Partner +40 EUR esetén +10 EUR-t kell jelenteni a C</w:t>
            </w:r>
            <w:r w:rsidR="00F73E3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73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.00 táblában (és 40 EUR beáramlást a C</w:t>
            </w:r>
            <w:r w:rsidR="00F73E3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74.00 táblában).</w:t>
            </w:r>
          </w:p>
        </w:tc>
      </w:tr>
      <w:tr w:rsidR="00BE06B5" w:rsidRPr="00B576CC" w14:paraId="57F2770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E696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350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F104" w14:textId="77777777" w:rsidR="00BE06B5" w:rsidRPr="00FE0359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Rövid pozíciók</w:t>
            </w:r>
          </w:p>
          <w:p w14:paraId="3F0D0F34" w14:textId="4CD52BA4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30. cikkének (5) és (11)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30D152E" w14:textId="39FFBA0A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hitelintézetnek a rövidre eladott és 30 naptári napon belül teljesítendő értékpapírok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>hoz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vagy más eszközökhöz a piaci érték 100 %-ának megfelelő további kiáramlást kell rendelnie, tükrözve a hitelintézet kötelezettségét a rövid pozíció zárására. Nem kell kiáramlást feltételezni, ha a hiteli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tézet rendelkezik a nyújtandó értékpapírral, feltéve, hogy azok teljes egészében kiegyenlítésre 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rültek, vagy csak 30 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naptári napon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túl kell visszaszolgáltatni, és a hitelintézet nem mutatja ki a li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vid eszközei között. Ha a rövid pozíciót értékpapír finanszírozási ügylet fedezi, a hitelintézet abból a feltételezésből indul ki, hogy a rövid pozíció 30 naptári napon keresztül fennmarad, és arra 0 %-os kiáramlás vonatkozik.</w:t>
            </w:r>
          </w:p>
        </w:tc>
      </w:tr>
      <w:tr w:rsidR="00BE06B5" w:rsidRPr="00B576CC" w14:paraId="0AC7C442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2D6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235C" w14:textId="77777777" w:rsidR="00BE06B5" w:rsidRPr="00FE0359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Fedezett értékpapír-finanszírozási ügylettel fedezett</w:t>
            </w:r>
          </w:p>
          <w:p w14:paraId="4E1450D2" w14:textId="4F4ED30D" w:rsidR="00BE06B5" w:rsidRPr="00FE0359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30. cikkének (5)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C6D5E4E" w14:textId="77777777" w:rsidR="00BE06B5" w:rsidRPr="00FE0359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rövidre eladott és 30 naptári napon belül teljesítendő fed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zett értékpapír-finanszírozási ügylettel fedezett értékpapírok vagy más eszközök piaci értékét, 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véve, ha a teljesítendő értékpapírok a hitelintézet tulajdonát képezik vagy azokat a hitelintézet olyan feltétellel vette kölcsön, amely alapján csak 30 naptári nap elteltével kell visszaszolgáltatnia őket, és az értékpapírok nem tartoznak a hitelintézet likvid eszközei közé. Ha a rövid pozíciót bizt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sítékkal fedezett értékpapír finanszírozási ügylet fedezi, a hitelintézet abból a feltételezésből indul ki, hogy a rövid pozíció 30 naptári napon keresztül fennmarad, és arra 0 %-os kiáramlás vonatkozik.</w:t>
            </w:r>
          </w:p>
        </w:tc>
      </w:tr>
      <w:tr w:rsidR="00BE06B5" w:rsidRPr="00B576CC" w14:paraId="7AE2DCD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DD70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D3C5" w14:textId="77777777" w:rsidR="00BE06B5" w:rsidRPr="00FE0359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</w:t>
            </w:r>
          </w:p>
          <w:p w14:paraId="40F834B6" w14:textId="1E0376F0" w:rsidR="00BE06B5" w:rsidRPr="00FE0359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cikkének (5)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D0B059C" w14:textId="77777777" w:rsidR="00BE06B5" w:rsidRPr="00FE0359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rövidre eladott és 30 naptári napon belül teljesítendő egyéb fedezett értékpapír-finanszírozási ügylettel nem fedezett értékpapírok vagy más eszközök piaci é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tékét, kivéve, ha a teljesítendő értékpapírok a hitelintézet tulajdonát képezik vagy azokat a hiteli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tézet olyan feltétellel vette kölcsön, amely alapján csak 30 naptári nap elteltével kell visszaszolgá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tatnia őket, és az értékpapírok nem tartoznak a hitelintézet likvid eszközei közé. </w:t>
            </w:r>
          </w:p>
        </w:tc>
      </w:tr>
      <w:tr w:rsidR="00BE06B5" w:rsidRPr="00B576CC" w14:paraId="34C1B8A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A2D4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9BEC" w14:textId="77777777" w:rsidR="00BE06B5" w:rsidRPr="00FE0359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  <w:tab w:val="left" w:pos="1206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4162C2">
              <w:rPr>
                <w:rFonts w:asciiTheme="majorHAnsi" w:eastAsia="Times New Roman" w:hAnsiTheme="majorHAnsi" w:cs="Times New Roman"/>
                <w:b/>
                <w:szCs w:val="20"/>
                <w:u w:val="single"/>
              </w:rPr>
              <w:t>Visszahívható</w:t>
            </w: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többletbiztosíték</w:t>
            </w:r>
          </w:p>
          <w:p w14:paraId="37DF7EC8" w14:textId="05F6872B" w:rsidR="00BE06B5" w:rsidRPr="00FE0359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30. cikkének (6) bekezdésének (a) pontja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40F9487" w14:textId="2290F73D" w:rsidR="00BE06B5" w:rsidRPr="00FE0359" w:rsidRDefault="00BE06B5" w:rsidP="009B16F4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hitelintézetnek jelentenie kell a birtokában lévő olyan többletbiztosíték piaci értékét, amelyet a partner a szerződés értelmében bármikor visszahívhat.</w:t>
            </w:r>
          </w:p>
        </w:tc>
      </w:tr>
      <w:tr w:rsidR="00BE06B5" w:rsidRPr="00B576CC" w14:paraId="3FEF5476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1F6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390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D355" w14:textId="77777777" w:rsidR="00BE06B5" w:rsidRPr="00FE0359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Esedékes fedezet</w:t>
            </w:r>
          </w:p>
          <w:p w14:paraId="1F7E50D4" w14:textId="5DAC3604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30. cikkének (6) bekezdésének (b) pontja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BEF8C89" w14:textId="77777777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partnernek 30 naptári napon belül nyújtandó biztosíték piaci értékét.</w:t>
            </w:r>
          </w:p>
        </w:tc>
      </w:tr>
      <w:tr w:rsidR="00BE06B5" w:rsidRPr="00B576CC" w14:paraId="7CF444E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13E6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400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4104" w14:textId="77777777" w:rsidR="00BE06B5" w:rsidRPr="00FE0359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Nem-likvid eszköz fedezetre cserélhető likvid eszköz fedezet</w:t>
            </w:r>
          </w:p>
          <w:p w14:paraId="037ADD7F" w14:textId="32A1168A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30. cikkének (6) bekezdésének (c) pontja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B8FF69A" w14:textId="479C9604" w:rsidR="00BE06B5" w:rsidRPr="00FE0359" w:rsidRDefault="00BE06B5" w:rsidP="00D72D2E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="001B3A5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II. cím alkalmazásában likvid eszközöknek minősülő f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dezetek piaci értékét, amelyek a hitelintézet engedélye nélkül helyettesíthetőek olyan biztosít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>ok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kal, amely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olyan eszköz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ök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felel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meg, amelyek a II. cím alkalmazásában nem minősü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likvid eszköz</w:t>
            </w:r>
            <w:r w:rsidR="009B16F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ök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nek.</w:t>
            </w:r>
          </w:p>
        </w:tc>
      </w:tr>
      <w:tr w:rsidR="00BE06B5" w:rsidRPr="00B576CC" w14:paraId="2D39B0A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BB9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410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64C0" w14:textId="77777777" w:rsidR="00BE06B5" w:rsidRPr="00FE0359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1064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Strukturált finanszírozási tevékenységen keletkezett veszteség</w:t>
            </w:r>
          </w:p>
          <w:p w14:paraId="5565EBDF" w14:textId="6AA37DC1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cikkének (8) és (10)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216A6D9" w14:textId="4B45ACD6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hitelintézetnek 100 %-os kiáramlást kell feltételezni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ük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 30 naptári napon belül lejáró eszközf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dezetű értékpapírok, fedezett kötvények és más strukturált finanszírozási eszközökön keletkezett veszteségekre, ha ezeket az eszközöket mag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uk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 hitelintézet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, által szponzorált intézmény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vagy különleges célú gazdasági egység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bocsátotta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k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ki.</w:t>
            </w:r>
          </w:p>
          <w:p w14:paraId="7A0BAEB1" w14:textId="05371796" w:rsidR="00BE06B5" w:rsidRPr="00FE0359" w:rsidRDefault="00BE06B5" w:rsidP="00D72D2E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kapcsolódó finanszírozási keretet nyújtó hitelintézet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az itt jelentett finanszírozási progr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mokhoz kapcsolódóan a lejáró finanszírozási eszközt és a konszolidált program likviditási keretét nem kell kétszer elszámolni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uk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</w:tc>
      </w:tr>
      <w:tr w:rsidR="00BE06B5" w:rsidRPr="00B576CC" w14:paraId="5A6FC09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470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420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504F" w14:textId="77777777" w:rsidR="00BE06B5" w:rsidRPr="00FE0359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Strukturált finanszírozási eszközök</w:t>
            </w:r>
          </w:p>
          <w:p w14:paraId="23129BFA" w14:textId="00B1F067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cikkének (8)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BF67EEB" w14:textId="1D1FC10D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30 naptári napon belül lejáró saját vagy a szponzorált inté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mény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kötelezettségeinek vagy eszközfedezetű értékpapírból eredő különleges célú gazdasági egység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, fedezett kötvényeinek és egyéb strukturált finanszírozó eszközének jelenlegi fennálló összegét.</w:t>
            </w:r>
          </w:p>
        </w:tc>
      </w:tr>
      <w:tr w:rsidR="00BE06B5" w:rsidRPr="00B576CC" w14:paraId="04311DBF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EB5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430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794A" w14:textId="77777777" w:rsidR="00BE06B5" w:rsidRPr="00FE0359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Finanszírozási keretek</w:t>
            </w:r>
          </w:p>
          <w:p w14:paraId="7FFA026A" w14:textId="58DEE6AC" w:rsidR="00BE06B5" w:rsidRPr="00FE0359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cikkének (9)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353BAA59" w14:textId="796ED4D8" w:rsidR="00BE06B5" w:rsidRPr="00FE0359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lejáró eszközfedezetű kereskedelmi értékpapírokból, értékpapírosítási programból, értékpapír-befektetési eszközökből és más hasonló finanszírozási eszközökből eredő kötelezettsége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 összegét, amennyiben azok nem esnek a 1.1.4.10.1 tételben meghatározott eszközök alá, vagy a potenciálisan visszaveendő eszközök összegét, vagy utóbbiak likviditási vonzatát.</w:t>
            </w:r>
          </w:p>
          <w:p w14:paraId="4D02EC54" w14:textId="31B45FA3" w:rsidR="00BE06B5" w:rsidRPr="00250852" w:rsidRDefault="00BE06B5" w:rsidP="00D72D2E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Minden finanszírozott 30 napon naptári napon belül lejáró vagy visszaszolgáltatandó eszközfedez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tű kereskedelemi értékpapír, értékpapírosítási program, értékpapír-befektetési eszköz és más h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sonló finanszírozási eszköz. A rövid lejáratú adósságinstrumentumok, mint például az eszközfed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zetű kereskedelmi értékpapírok kibocsátását magában foglaló strukturált finanszírozási eszközöket birtokló hitelintézeteknek jelenteniük kell az ezekből az eszközökből eredő potenciális likviditás 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áramlásokat. Ezek magukban foglalják – de azokra nem korlátozódnak – (i) a lejáró adósság megúj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tására vonatkozó képesség hiányát, és (ii) a származtatott ügyletek és származtatott ügylet jellegű elemek finanszírozási megállapodás keretében az eszközök visszaszolgáltatását engedélyező stru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túrával kapcsolatos szerződésbe foglalt dokumentáció létezését, vagy amelyek az eredeti eszköz átruházó likviditás nyújtását igénylik, 30 naptári napos periódus alatt eredményesen szüntetve meg a finanszírozási megállapodást (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„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likviditási put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”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). </w:t>
            </w:r>
            <w:proofErr w:type="gramStart"/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Ahol a strukturális finanszírozási tevékenység értékpapírosítási célú gazdasági egységeken (mint például speciális célú gazdasági egység, hiteli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tézet által szponzorált intézmény vagy strukturált befektetési eszköz) keresztül</w:t>
            </w:r>
            <w:r w:rsidR="00D72D2E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történik, a hiteli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tézetnek a magas minőségű likvid eszközök meghatározásakor át kell vizsgálnia az egység által k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bocsátott adósságinstrumentumok lejáratát és bármely a finanszírozási megállapodásba foglalt je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lemzőt, amely potenciálisan kiválthatja az eszköz visszaszolgáltatását vagy a likviditás iránti szüks</w:t>
            </w:r>
            <w:r w:rsidRPr="00FE03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gességet, függetlenül attól, hogy a speciális gazdasági célú</w:t>
            </w:r>
            <w:proofErr w:type="gramEnd"/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eszköz konszolidált vagy sem.</w:t>
            </w:r>
          </w:p>
        </w:tc>
      </w:tr>
      <w:tr w:rsidR="00BE06B5" w:rsidRPr="00B576CC" w14:paraId="5722EF0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E9F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440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E6A5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1064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Fedezet nélkül kölcsönvett eszköz</w:t>
            </w:r>
          </w:p>
          <w:p w14:paraId="25AA19D7" w14:textId="0734995F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cikkének (11)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9AE150A" w14:textId="0D592123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fedezet nélkül kölcsön vett és 30 naptári napon belül lej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ró eszközöket. Ezen eszközök esetében azzal a feltételezéssel kell élni, hogy azok teljes mértékben kifutnak, ami a likvid eszközök 100 %-os kiáramlásához vezet. Ez az eljárás azt a tényt tükrözi, hogy a díj ellenében nyújtott értékpapírok stresszhelyzetben valószínűleg visszahívásra kerülnek vagy az értékpapírok</w:t>
            </w:r>
            <w:r w:rsidR="00A10D23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után 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hitelezők teljes fedezettséget fognak előírni.</w:t>
            </w:r>
          </w:p>
          <w:p w14:paraId="7669E27E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olyan fedezet nélkül kölcsön vett és 30 naptári napon belül lejáró eszközöket, amelyek esetében a hitelintézet nem birtokolja az értékpapírokat és azok nem részei az intézetek likviditási pufferének.</w:t>
            </w:r>
          </w:p>
        </w:tc>
      </w:tr>
      <w:tr w:rsidR="00BE06B5" w:rsidRPr="00B576CC" w14:paraId="0A9E7C8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2DDD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450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6713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1064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Belső nettósítású ügyfélpozíció</w:t>
            </w:r>
          </w:p>
          <w:p w14:paraId="0B334468" w14:textId="1604A31D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30. cikkének (12)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8D4110A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ügyfél eszközeinek piaci értékét, amelyek esetén a hite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intézet elsődleges ügynöki szolgáltatási tevékenysége során belső nettósítással finanszírozza az egyik ügyfél eszközeit egy másik ügyfél rövid eladásaival szemben.</w:t>
            </w:r>
          </w:p>
        </w:tc>
      </w:tr>
      <w:tr w:rsidR="00BE06B5" w:rsidRPr="00B576CC" w14:paraId="42CBB58F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52D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460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736C" w14:textId="77777777" w:rsidR="00BE06B5" w:rsidRPr="00250852" w:rsidRDefault="00BE06B5" w:rsidP="00356041">
            <w:pPr>
              <w:pStyle w:val="Listaszerbekezds"/>
              <w:numPr>
                <w:ilvl w:val="2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right="227" w:hanging="96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Folyósítási kötelezettséget tartalmazó hitelkeret</w:t>
            </w:r>
          </w:p>
          <w:p w14:paraId="2F69B8FF" w14:textId="4AF24B07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5EAE269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tének 31. cikkében meghatározott kiáramlásokat.</w:t>
            </w:r>
          </w:p>
          <w:p w14:paraId="1EFC8C78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szintén itt kell jelenteniük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29. cikke szerinti hitelkereteket.</w:t>
            </w:r>
          </w:p>
          <w:p w14:paraId="59A5A585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maximális lehívható összeget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(2) bekezdése szerint kell meghatározni.</w:t>
            </w:r>
          </w:p>
        </w:tc>
      </w:tr>
      <w:tr w:rsidR="00BE06B5" w:rsidRPr="00B576CC" w14:paraId="5AFD2EA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0B6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470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9A87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Hitelkeret</w:t>
            </w:r>
          </w:p>
          <w:p w14:paraId="2A780FA6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tének 31. cikkének (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) bekezdése szerinti folyósítási kötelezettséget tartalmazó hitelkereteket.</w:t>
            </w:r>
          </w:p>
        </w:tc>
      </w:tr>
      <w:tr w:rsidR="00BE06B5" w:rsidRPr="00B576CC" w14:paraId="4309266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38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480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95BD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Lakossági ügyfelek részére</w:t>
            </w:r>
          </w:p>
          <w:p w14:paraId="1BD94961" w14:textId="4C352DEC" w:rsidR="00BE06B5" w:rsidRPr="00250852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(3)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9E0E048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3. cikkének (8) bekezdése szerint lakossági ügyfelek részére nyújtott lehívható, de le nem h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vott folyósítási kötelezettséget tartalmazó hitelkeretekből maximálisan lehívható összeget.</w:t>
            </w:r>
          </w:p>
        </w:tc>
      </w:tr>
      <w:tr w:rsidR="00BE06B5" w:rsidRPr="00B576CC" w14:paraId="514FE222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83F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490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CEE7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Lakossági ügyfeleken kívüli nem-pénzügyi ügyfelek részére</w:t>
            </w:r>
          </w:p>
          <w:p w14:paraId="597A54A6" w14:textId="2F2FA388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(4)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50E5140" w14:textId="31975A83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proofErr w:type="gramStart"/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azon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letének 3. cikkének (10) bekezdése szerint nem pénzügyi ügyfél, illetve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3. cikkének (8) bekezdése szerint nem lakossági ügyfélnek nyújtott lehívható, de le nem hívott folyósítási kötelezettséget tartalmazó hitelkeretek maximál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san lehívható összegét, amelyet nem olyan célból nyújtottak, hogy helyettesítse az ügyfél finansz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rozását, olyan esetekben, amikor az a finanszírozási szükségletét a pénzüg</w:t>
            </w:r>
            <w:r w:rsidR="00283B87">
              <w:rPr>
                <w:rFonts w:asciiTheme="majorHAnsi" w:eastAsia="Times New Roman" w:hAnsiTheme="majorHAnsi" w:cs="Times New Roman"/>
                <w:color w:val="000000"/>
                <w:szCs w:val="20"/>
              </w:rPr>
              <w:t>yi piacokon nem tudja fedezni.</w:t>
            </w:r>
            <w:proofErr w:type="gramEnd"/>
          </w:p>
        </w:tc>
      </w:tr>
      <w:tr w:rsidR="00BE06B5" w:rsidRPr="00B576CC" w14:paraId="013159E8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230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3E08" w14:textId="0A848DC6" w:rsidR="00BE06B5" w:rsidRPr="008C5D6D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Hitelintézetek</w:t>
            </w:r>
            <w:r w:rsidR="00587AB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részére</w:t>
            </w:r>
          </w:p>
          <w:p w14:paraId="254C7500" w14:textId="77777777" w:rsidR="00BE06B5" w:rsidRPr="008C5D6D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hitelintézetek részére nyújtott folyósítási kötelezettséget tartalmazó hitelkereteket.</w:t>
            </w:r>
          </w:p>
        </w:tc>
      </w:tr>
      <w:tr w:rsidR="00BE06B5" w:rsidRPr="00B576CC" w14:paraId="20E54C7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CD64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6F0D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206"/>
                <w:tab w:val="left" w:pos="1348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Lakossági ügyfelek kedvezményes hiteleinek finanszírozására</w:t>
            </w:r>
          </w:p>
          <w:p w14:paraId="75171AC3" w14:textId="51A1685B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(9)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26AB144" w14:textId="2F590239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hitelintézetek számára kizárólag közvetlenül vagy közvete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ten,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3. cikkének (8) bekezdése sz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rint</w:t>
            </w:r>
            <w:r w:rsidR="00DF6317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ügyfelek felé fennálló kitettségnek minősülő kedvezményes hiteleknek finanszírozására nyú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j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tott, lehívható, de le nem hívott folyósítási kötelezettséget tartalmazó hitelkeretek maximálisan lehívható összegét.</w:t>
            </w:r>
          </w:p>
          <w:p w14:paraId="221F2BF0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Kizárólag azok a hitelintézetek jelenthetik ezt a tételt, amelyeket legalább egy tagállam központi vagy regionális kormányzata hozott létre és támogat.</w:t>
            </w:r>
          </w:p>
        </w:tc>
      </w:tr>
      <w:tr w:rsidR="00BE06B5" w:rsidRPr="00B576CC" w14:paraId="35631F9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2BA6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520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34E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206"/>
                <w:tab w:val="left" w:pos="1348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Nem-pénzügyi ügyfelek kedvezményes hiteleinek finanszírozására</w:t>
            </w:r>
          </w:p>
          <w:p w14:paraId="455A136C" w14:textId="3AA229C6" w:rsidR="00BE06B5" w:rsidRPr="00250852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(9) bekezdése</w:t>
            </w:r>
            <w:r w:rsidR="003C29A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BA7F924" w14:textId="04B71BA1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hitelintézetek számára lehívható, de le nem hívott, kizárólag közvetlenül vagy közvetetten, se nem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tének 3. cikkének (9) bekezdése szerint</w:t>
            </w:r>
            <w:r w:rsidR="00DF6317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pénzügyi ügyfelek felé, se nem a rendelet 3. cikkének (8) bekezdése szerint a lakosság felé fennálló kitettségnek minősülő kedvezményes hitelek finanszír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zására nyújtott, folyósítási kötelezettséget tartalmazó hitelkeretek maximálisan lehívható összegét.</w:t>
            </w:r>
          </w:p>
          <w:p w14:paraId="660DAAEC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highlight w:val="cyan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Kizárólag azok a hitelintézetek jelenthetik ezt a tételt, amelyeket legalább egy tagállam központi vagy regionális kormányzata hozott létre és támogat.</w:t>
            </w:r>
          </w:p>
        </w:tc>
      </w:tr>
      <w:tr w:rsidR="00BE06B5" w:rsidRPr="00B576CC" w14:paraId="50B577A9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AC8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530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BEDC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206"/>
                <w:tab w:val="left" w:pos="1348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</w:t>
            </w:r>
          </w:p>
          <w:p w14:paraId="5462CA46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(8) bekezdésének (a) pontja</w:t>
            </w:r>
          </w:p>
          <w:p w14:paraId="6CF6BCCA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fenti tételekben nem jelentett, a hitelintézetek részére nyú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j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tott lehívható, de le nem hívott folyósítási kötelezettséget tartalmazó hitelkeretek maximálisan 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hívható összegét.</w:t>
            </w:r>
          </w:p>
        </w:tc>
      </w:tr>
      <w:tr w:rsidR="00BE06B5" w:rsidRPr="00B576CC" w14:paraId="22BC4E9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65F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540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5B59" w14:textId="2DF370BB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Hitelintézeteken kívüli egyéb szabályozott pénzügyi intézmények</w:t>
            </w:r>
            <w:r w:rsidR="00587AB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részére</w:t>
            </w:r>
          </w:p>
          <w:p w14:paraId="433A4743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(8)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(a) pontja</w:t>
            </w:r>
          </w:p>
          <w:p w14:paraId="2DCCBEB1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hitelintézeteken kívüli egyéb szabályozott pénzügyi intézm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nyek részére nyújtott lehívható, de le nem hívott folyósítási kötelezettséget tartalmazó hitelker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tek maximálisan lehívható összegét.</w:t>
            </w:r>
          </w:p>
        </w:tc>
      </w:tr>
      <w:tr w:rsidR="00BE06B5" w:rsidRPr="00B576CC" w14:paraId="23D2E3B6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AD5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550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7178" w14:textId="77777777" w:rsidR="00BE06B5" w:rsidRPr="00250852" w:rsidRDefault="00BE06B5" w:rsidP="00E31052">
            <w:pPr>
              <w:pStyle w:val="Listaszerbekezds"/>
              <w:numPr>
                <w:ilvl w:val="4"/>
                <w:numId w:val="16"/>
              </w:numPr>
              <w:tabs>
                <w:tab w:val="left" w:pos="1064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Csoporton, vagy intézményvédelmi rendszeren belül kedvezményesen kezelt</w:t>
            </w:r>
          </w:p>
          <w:p w14:paraId="07B8FAA3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29. cikke</w:t>
            </w:r>
          </w:p>
          <w:p w14:paraId="5E740439" w14:textId="6F387672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azoknak a folyósítási kötelezettséget tartalmazó lehívható, de le nem hívott hitelkereteknek a maximálisan lehívható összegét, amelyek esetén a hitelintézet 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gedélyt kapott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29. cikke szerint alacsonyabb kiáramlási arányok használatára.</w:t>
            </w:r>
          </w:p>
        </w:tc>
      </w:tr>
      <w:tr w:rsidR="00BE06B5" w:rsidRPr="00B576CC" w14:paraId="3D422FA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914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560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9082" w14:textId="77777777" w:rsidR="00BE06B5" w:rsidRPr="00250852" w:rsidRDefault="00BE06B5" w:rsidP="00E31052">
            <w:pPr>
              <w:pStyle w:val="Listaszerbekezds"/>
              <w:numPr>
                <w:ilvl w:val="4"/>
                <w:numId w:val="16"/>
              </w:numPr>
              <w:tabs>
                <w:tab w:val="left" w:pos="1064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Csoporton, vagy intézményvédelmi rendszeren belül, amennyiben a betétet elhelyező intézmény likvid eszközként kezeli</w:t>
            </w:r>
          </w:p>
          <w:p w14:paraId="3947848C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(7) bekezdése</w:t>
            </w:r>
          </w:p>
          <w:p w14:paraId="07B4C6FB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A 16. cikkben említett rendszer vagy hálózat központi intézményeinek jelenteniük kell az olyan tag hitelintézmény által lehívható, amely tag hitelintézmény a 16. cikk (2) bekezdése szerint a keretet likvid eszközként kezelhet, le nem hívott folyósítási kötelezettséget tartalmazó hitelkeret maxim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lisan lehívható összegét.</w:t>
            </w:r>
          </w:p>
        </w:tc>
      </w:tr>
      <w:tr w:rsidR="00BE06B5" w:rsidRPr="00B576CC" w14:paraId="29ADCE2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C4E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570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CA6F" w14:textId="77777777" w:rsidR="00BE06B5" w:rsidRPr="00250852" w:rsidRDefault="00BE06B5" w:rsidP="00E31052">
            <w:pPr>
              <w:pStyle w:val="Listaszerbekezds"/>
              <w:numPr>
                <w:ilvl w:val="4"/>
                <w:numId w:val="16"/>
              </w:numPr>
              <w:tabs>
                <w:tab w:val="left" w:pos="1064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pénzügyi ügyfelek részére</w:t>
            </w:r>
          </w:p>
          <w:p w14:paraId="4718D459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(8) bekezdésének (c) pontja</w:t>
            </w:r>
          </w:p>
          <w:p w14:paraId="1E9733E0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fent nem említett, egyéb pénzügyi ügyfelek által lehívható, le nem hívott folyósítási kötelezettséggel rendelkező hitelkeretek maximálisan lehívható összegét.</w:t>
            </w:r>
          </w:p>
        </w:tc>
      </w:tr>
      <w:tr w:rsidR="00BE06B5" w:rsidRPr="00B576CC" w14:paraId="4183DFE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57DD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580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5FA7" w14:textId="77777777" w:rsidR="00BE06B5" w:rsidRPr="00250852" w:rsidRDefault="00BE06B5" w:rsidP="00DF6317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Likviditási keretek</w:t>
            </w:r>
          </w:p>
          <w:p w14:paraId="10C03D26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(1) bekezdése</w:t>
            </w:r>
          </w:p>
          <w:p w14:paraId="39F6861D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31. cikkének (1) bekezdésében meghatározott likviditási kereteket.</w:t>
            </w:r>
          </w:p>
        </w:tc>
      </w:tr>
      <w:tr w:rsidR="00BE06B5" w:rsidRPr="00B576CC" w14:paraId="7A5A065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555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br w:type="page"/>
              <w:t>590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1CE7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Lakossági ügyfelek részére</w:t>
            </w:r>
          </w:p>
          <w:p w14:paraId="0061BC56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Bizottság felhatalmazáson alapuló rendeletének 31. cikkének (3) bekezdése</w:t>
            </w:r>
          </w:p>
          <w:p w14:paraId="4082F0BB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lakossági ügyfelek számára nyújtott lehívható, de le nem h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vott likviditási keretek maximálisan lehívható összegét,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(8) bekezdése szerint.</w:t>
            </w:r>
          </w:p>
        </w:tc>
      </w:tr>
      <w:tr w:rsidR="00BE06B5" w:rsidRPr="00B576CC" w14:paraId="1B329006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CF4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E648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Lakossági ügyfeleken kívüli nem pénzügyi ügyfelek részére</w:t>
            </w:r>
          </w:p>
          <w:p w14:paraId="73B42BEC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(5) bekezdése</w:t>
            </w:r>
          </w:p>
          <w:p w14:paraId="6205FFC8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3. cikkének (8) bekezdése szerinti lakossági ügyfeleken kívüli</w:t>
            </w:r>
            <w:r w:rsidR="00DF6317">
              <w:rPr>
                <w:rFonts w:asciiTheme="majorHAnsi" w:eastAsia="Times New Roman" w:hAnsiTheme="majorHAnsi" w:cs="Times New Roman"/>
                <w:color w:val="000000"/>
                <w:szCs w:val="20"/>
              </w:rPr>
              <w:t>,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a rendelet 3. cikkének (9) beke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désében meghatározott nem pénzügyi ügyfelek részére nyújtott lehívható, de le nem hívott likvid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tási keretek maximálisan lehívható összegét.</w:t>
            </w:r>
          </w:p>
        </w:tc>
      </w:tr>
      <w:tr w:rsidR="00BE06B5" w:rsidRPr="00B576CC" w14:paraId="405CEE5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ED06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FDE3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Magánbefektetési társaságok részére</w:t>
            </w:r>
          </w:p>
          <w:p w14:paraId="2528A6F0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(5) bekezdése</w:t>
            </w:r>
          </w:p>
          <w:p w14:paraId="239904E1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lehívható, de le nem hívott, magánbefektetési társaságoknak nyújtott likviditási keretek maximálisan lehívható összegét.</w:t>
            </w:r>
          </w:p>
        </w:tc>
      </w:tr>
      <w:tr w:rsidR="00BE06B5" w:rsidRPr="00B576CC" w14:paraId="6F3F9C22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B88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F7FA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Különleges célú gazdasági egységek részére</w:t>
            </w:r>
          </w:p>
          <w:p w14:paraId="4EECD8A2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lehívható, de le nem hívott, különleges gazdasági célú egys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gek részére nyújtott likviditási keretek maximálisan lehívható összegét.</w:t>
            </w:r>
          </w:p>
        </w:tc>
      </w:tr>
      <w:tr w:rsidR="00BE06B5" w:rsidRPr="00B576CC" w14:paraId="3952BC7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CA05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23D1" w14:textId="77777777" w:rsidR="00BE06B5" w:rsidRPr="00250852" w:rsidRDefault="00BE06B5" w:rsidP="00E31052">
            <w:pPr>
              <w:pStyle w:val="Listaszerbekezds"/>
              <w:numPr>
                <w:ilvl w:val="5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right="227" w:hanging="252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Nem-pénzügyi ügyfelektől értékpapíron kívüli eszköz vásárlására</w:t>
            </w:r>
          </w:p>
          <w:p w14:paraId="6F4EE875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(6) bekezdése</w:t>
            </w:r>
          </w:p>
          <w:p w14:paraId="4138C10C" w14:textId="77777777" w:rsidR="00BE06B5" w:rsidRPr="00250852" w:rsidRDefault="00BE06B5" w:rsidP="00BE06B5">
            <w:pPr>
              <w:tabs>
                <w:tab w:val="left" w:pos="1348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különleges célú gazdasági egységek részére egyéb nem nem-pénzügyi ügyfelek értékpapírjait érintő eszközvásárlás céljára nyújtott, lehívható, de le nem hívott likviditási keretek maximálisan lehívható összegét, az ügyfelektől jelenleg vásárolt eszközök értékét meghaladó összegig és ahol a maximálisan lehívható összeg a jelenleg vásárolt eszközök értékében szerződésben korlátozott. </w:t>
            </w:r>
          </w:p>
        </w:tc>
      </w:tr>
      <w:tr w:rsidR="00BE06B5" w:rsidRPr="00B576CC" w14:paraId="620A99A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98D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3CC2" w14:textId="77777777" w:rsidR="00BE06B5" w:rsidRPr="00250852" w:rsidRDefault="00BE06B5" w:rsidP="00E31052">
            <w:pPr>
              <w:pStyle w:val="Listaszerbekezds"/>
              <w:numPr>
                <w:ilvl w:val="5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right="227" w:hanging="252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</w:t>
            </w:r>
          </w:p>
          <w:p w14:paraId="3B7FB159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(8) bekezdésének (b) pontja</w:t>
            </w:r>
          </w:p>
          <w:p w14:paraId="2CC37920" w14:textId="7FAB9792" w:rsidR="00BE06B5" w:rsidRPr="00250852" w:rsidRDefault="00BE06B5" w:rsidP="00DF6317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A hitelintézeteknek jelenteniük kell a fentiekből eltérő okok miatt különleges célú gazdasági egys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gek</w:t>
            </w:r>
            <w:r w:rsidR="00DF6317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részére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nyújtott, lehívható, de le nem hívott likviditási keretek maximálisan lehívható összegét. Ez magában foglalja azokat a megállapításokat, amelyek értelmében az intézménynek valamely k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ü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lönleges célú gazdasági egységtől kell eszközt vásárolnia vagy csereügylet keretében átvennie.</w:t>
            </w:r>
          </w:p>
        </w:tc>
      </w:tr>
      <w:tr w:rsidR="00BE06B5" w:rsidRPr="00B576CC" w14:paraId="589909D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FA5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650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2282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1064" w:right="227" w:hanging="85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Hitelintézetek részére</w:t>
            </w:r>
          </w:p>
          <w:p w14:paraId="48DCC5B2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hitelintézetek részére nyújtott likviditási kereteket.</w:t>
            </w:r>
          </w:p>
        </w:tc>
      </w:tr>
      <w:tr w:rsidR="00BE06B5" w:rsidRPr="00B576CC" w14:paraId="7594842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5914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F610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348"/>
              </w:tabs>
              <w:spacing w:beforeLines="100" w:before="240" w:after="0" w:line="240" w:lineRule="auto"/>
              <w:ind w:right="227" w:hanging="252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Lakossági ügyfelek kedvezményes hiteleinek finanszírozására</w:t>
            </w:r>
          </w:p>
          <w:p w14:paraId="3E997438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felhatalmazáson alapuló 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endeletének 31. cikkének (9) bekezdése</w:t>
            </w:r>
          </w:p>
          <w:p w14:paraId="200C5FDD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hitelintézeteknek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3. cikkének (8) bekezdése szerint közvetetten vagy közvetlenül lakossággal szembeni kitettségnek minősülő kedvezményes hitelek finanszírozásának céljából lehívható, de le nem hívott likviditási keretek maximálisan lehívható összegét.</w:t>
            </w:r>
          </w:p>
          <w:p w14:paraId="15C65AC2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Kizárólag azok a hitelintézetek jelenthetik ezt a tételt, amelyeket legalább egy tagállamközponti vagy regionális kormányzata hozott létre vagy támogat.</w:t>
            </w:r>
          </w:p>
        </w:tc>
      </w:tr>
      <w:tr w:rsidR="00BE06B5" w:rsidRPr="00B576CC" w14:paraId="6F642F9E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283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4BB5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348"/>
              </w:tabs>
              <w:spacing w:beforeLines="100" w:before="240" w:after="0" w:line="240" w:lineRule="auto"/>
              <w:ind w:right="227" w:hanging="252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Nem-pénzügyi ügyfelek kedvezményes hiteleinek finanszírozására</w:t>
            </w:r>
          </w:p>
          <w:p w14:paraId="0780244B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(9) bekezdése</w:t>
            </w:r>
          </w:p>
          <w:p w14:paraId="59FCF3F0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hitelintézetek részére se nem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talmazáson alapuló rendeletének 3. cikkének (8) bekezdése szerint lakossági, se nem a rendelet 3. cikkének (9) bekezdése szerinti nem pénzügyi ügyfelekkel szembeni kötelezettségnek minősülő kedvezményes hitelek finanszírozására nyújtott lehívható, de le nem hívott likviditási keretek m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ximálisan lehívható összegét.</w:t>
            </w:r>
          </w:p>
          <w:p w14:paraId="58271BD9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Kizárólag azok a hitelintézetek jelenthetik ezt a tételt, amelyeket legalább egy tagállam központi vagy regionális kormányzata hozott létre vagy támogat.</w:t>
            </w:r>
          </w:p>
        </w:tc>
      </w:tr>
      <w:tr w:rsidR="00BE06B5" w:rsidRPr="00B576CC" w14:paraId="0E35C2B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ADC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2613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348"/>
              </w:tabs>
              <w:spacing w:beforeLines="100" w:before="240" w:after="0" w:line="240" w:lineRule="auto"/>
              <w:ind w:right="227" w:hanging="252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</w:t>
            </w:r>
          </w:p>
          <w:p w14:paraId="5154A54E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31. cikkének (8) bekezdésének (a) pontja</w:t>
            </w:r>
          </w:p>
          <w:p w14:paraId="37568B96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fent említett hitelintézeteknek nyújtott lehívható, nem leh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vott likviditási keretek maximálisan lehívható összegét.</w:t>
            </w:r>
          </w:p>
        </w:tc>
      </w:tr>
      <w:tr w:rsidR="00BE06B5" w:rsidRPr="00B576CC" w14:paraId="7C7B018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24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690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67E2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Csoporton, vagy intézményvédelmi rendszeren belüli, amennyiben kedvezőbb bes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o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rolás alá esik</w:t>
            </w:r>
          </w:p>
          <w:p w14:paraId="7936373E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29. cikke</w:t>
            </w:r>
          </w:p>
          <w:p w14:paraId="2FF2462D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azoknak a lehívható, de le nem hívott likviditási kereteknek a maximálisan lehívható összegét, amelyek esetén engedélyt kaptak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talmazáson alapuló rendeletének 29. cikke szerinti alacsonyabb kiáramlási arány alkalmazására.</w:t>
            </w:r>
          </w:p>
        </w:tc>
      </w:tr>
      <w:tr w:rsidR="00BE06B5" w:rsidRPr="00B64BC7" w14:paraId="4FA7BB5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F92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700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3357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Csoporton, vagy intézményvédelmi rendszeren belüli, amennyiben betétet elhelyező intézmény likvid eszközként kezeli</w:t>
            </w:r>
          </w:p>
          <w:p w14:paraId="6E7E6DF7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(7) bekezdése</w:t>
            </w:r>
          </w:p>
          <w:p w14:paraId="034D8303" w14:textId="77777777" w:rsidR="00BE06B5" w:rsidRPr="00250852" w:rsidRDefault="00BE06B5" w:rsidP="00BE06B5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16. cikk szerinti rendszerhez vagy hálózathoz tartozó hitelintézetnek jelenteni kell azoknak a tag hitelintézményeknek nyújtott lehívható, de le nem hívott likviditási kereteknek a maximálisan 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hívható összegét, ahol a tag hitelintézmény a 16. cikk (2) bekezdése szerint a keretet likvid eszkö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ként kezeli.</w:t>
            </w:r>
          </w:p>
        </w:tc>
      </w:tr>
      <w:tr w:rsidR="00BE06B5" w:rsidRPr="00B64BC7" w14:paraId="6CF3474C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F93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br w:type="page"/>
              <w:t>710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1F02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pénzügyi ügyfelek részére</w:t>
            </w:r>
          </w:p>
          <w:p w14:paraId="1B9149A6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(8) bekezdésének (c) pontja</w:t>
            </w:r>
          </w:p>
          <w:p w14:paraId="2FC32871" w14:textId="74E2C30F" w:rsidR="00BE06B5" w:rsidRPr="00250852" w:rsidRDefault="00043AE8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="00BE06B5"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hitelintézeteknek jelenteniük kell a fent nem említett, egyéb nem pénzügyi ügyfelek részére nyújtott lehívható, de le nem hívott likviditási keretek maximálisan lehívható összegét.</w:t>
            </w:r>
          </w:p>
        </w:tc>
      </w:tr>
      <w:tr w:rsidR="00BE06B5" w:rsidRPr="00B64BC7" w14:paraId="4E05B5F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1D0E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720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71E3" w14:textId="77777777" w:rsidR="00BE06B5" w:rsidRPr="00250852" w:rsidRDefault="00BE06B5" w:rsidP="00356041">
            <w:pPr>
              <w:pStyle w:val="Listaszerbekezds"/>
              <w:numPr>
                <w:ilvl w:val="2"/>
                <w:numId w:val="16"/>
              </w:numPr>
              <w:spacing w:beforeLines="100" w:before="240" w:after="0" w:line="240" w:lineRule="auto"/>
              <w:ind w:left="781" w:right="227" w:hanging="56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termékek és szolgáltatások</w:t>
            </w:r>
          </w:p>
          <w:p w14:paraId="43E3D619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23. cikke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(2) bekezdése</w:t>
            </w:r>
          </w:p>
          <w:p w14:paraId="1699659C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tének 23. cikkének (1) bekezdésében említett termékeket és szolgáltatásokat.</w:t>
            </w:r>
          </w:p>
          <w:p w14:paraId="15DBD410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23. cikkének (1) bekezdésében említett termékekből és szolgáltatásokból maximálisan lehívható összeget kell jelenteni.</w:t>
            </w:r>
          </w:p>
          <w:p w14:paraId="2D631ABE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Alkalmazott súlyként az illetékes hatóságok által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23. cikkének (2) bekezdésében foglaltak alapján megállapított súlyt kell jelenteni.</w:t>
            </w:r>
          </w:p>
        </w:tc>
      </w:tr>
      <w:tr w:rsidR="00BE06B5" w:rsidRPr="00B64BC7" w14:paraId="78FD7F38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1DB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730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F727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mérlegen kívüli és függő kötelezettségek</w:t>
            </w:r>
          </w:p>
          <w:p w14:paraId="6BEB6390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23. cikkének (2) bekezdése</w:t>
            </w:r>
          </w:p>
          <w:p w14:paraId="405787B2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 felhatalmazáson alapuló 2015/61/EU rendeletének 23. cikkének (1) bekezdése szerint a garanciák, egyéb mérlegen kívüli tételek és függő finanszíroz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si kötelezettségek összegét.</w:t>
            </w:r>
          </w:p>
        </w:tc>
      </w:tr>
      <w:tr w:rsidR="00BE06B5" w:rsidRPr="00B64BC7" w14:paraId="3C2CB74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731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740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1AD7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Bankközi partnereknek nyújtott le nem hívott hitelek és követelések</w:t>
            </w:r>
          </w:p>
          <w:p w14:paraId="216469A6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23. cikkének (2) bekezdése</w:t>
            </w:r>
          </w:p>
          <w:p w14:paraId="2435B9FC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23. cikkének (1) bekezdése szerint a bankközi partnereknek nyújtott lehívható, de le nem h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vott hiteleket és követelések összegét.</w:t>
            </w:r>
          </w:p>
        </w:tc>
      </w:tr>
      <w:tr w:rsidR="00BE06B5" w:rsidRPr="00B64BC7" w14:paraId="3F0AD28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6075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750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730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Már megkötött, de még le nem hívott jelzáloghitelek</w:t>
            </w:r>
          </w:p>
          <w:p w14:paraId="691A4621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23. cikkének (2) bekezdése</w:t>
            </w:r>
          </w:p>
          <w:p w14:paraId="30015AF2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23. cikkének (1) bekezdése szerint a már megkötött, de még le nem hívott jelzáloghitelek ö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szegét.</w:t>
            </w:r>
          </w:p>
        </w:tc>
      </w:tr>
      <w:tr w:rsidR="00BE06B5" w:rsidRPr="00B64BC7" w14:paraId="57E5B238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4C0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760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765E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Hitelkártyák</w:t>
            </w:r>
          </w:p>
          <w:p w14:paraId="45CCA9DF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23. cikkének (2) bekezdése</w:t>
            </w:r>
          </w:p>
          <w:p w14:paraId="579DB2EA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23. cikkének (1) bekezdésében meghatározott hitelkártyákból eredő likviditáskiáramlásokat.</w:t>
            </w:r>
          </w:p>
        </w:tc>
      </w:tr>
      <w:tr w:rsidR="00BE06B5" w:rsidRPr="00B64BC7" w14:paraId="774A9139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E7C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770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C564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Folyószámlahitelek</w:t>
            </w:r>
          </w:p>
          <w:p w14:paraId="51A87B52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23. cikkének (1) bekezdése</w:t>
            </w:r>
          </w:p>
          <w:p w14:paraId="478FEB81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23. cikkének (1) bekezdésében meghatározott folyószámlahitelek összegét.</w:t>
            </w:r>
          </w:p>
        </w:tc>
      </w:tr>
      <w:tr w:rsidR="00BE06B5" w:rsidRPr="00B64BC7" w14:paraId="634E37B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1DFD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780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2424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tabs>
                <w:tab w:val="left" w:pos="92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Új lakossági vagy bankközi hitelek megújításával vagy meghosszabbításával kapcsolatos tervezett kiáramlások</w:t>
            </w:r>
          </w:p>
          <w:p w14:paraId="3FB83985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23. cikkének (2) bekezdése</w:t>
            </w:r>
          </w:p>
          <w:p w14:paraId="198375E3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23. cikkének (1) bekezdésében meghatározott új lakossági vagy bankközi hitelek megújításával vagy meghosszabbításával kapcsolatos tervezett kiáramlások összegét.</w:t>
            </w:r>
          </w:p>
        </w:tc>
      </w:tr>
      <w:tr w:rsidR="00BE06B5" w:rsidRPr="00B64BC7" w14:paraId="70AC4C8C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494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790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90D8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  <w:tab w:val="left" w:pos="1372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Nem-pénzügyi ügyfelekhez tartozó finanszírozási többlet</w:t>
            </w:r>
          </w:p>
          <w:p w14:paraId="690E9D10" w14:textId="77777777" w:rsidR="00BE06B5" w:rsidRPr="00250852" w:rsidRDefault="00BE06B5" w:rsidP="00BE06B5">
            <w:pPr>
              <w:tabs>
                <w:tab w:val="left" w:pos="1206"/>
                <w:tab w:val="left" w:pos="1372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nem pénzügyi ügyfelek felé tett finanszírozás nyújtására vonatkozó szerződéses kötelezettségek és a 32. cikk (3) bekezdésének (a) pontjában meghatár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zott ügyfelektől esedékes pénzösszegek közötti különbséget, abban az esetben, ha az előbbi me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haladja az utóbbit. </w:t>
            </w:r>
          </w:p>
        </w:tc>
      </w:tr>
      <w:tr w:rsidR="00BE06B5" w:rsidRPr="00B64BC7" w14:paraId="57428F39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799E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800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654F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206"/>
                <w:tab w:val="left" w:pos="1372"/>
              </w:tabs>
              <w:spacing w:beforeLines="100" w:before="240" w:after="0" w:line="240" w:lineRule="auto"/>
              <w:ind w:right="227" w:hanging="252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Lakossági ügyfelekhez tartozó finanszírozási többlet</w:t>
            </w:r>
          </w:p>
          <w:p w14:paraId="03726969" w14:textId="77777777" w:rsidR="00BE06B5" w:rsidRPr="00250852" w:rsidRDefault="00BE06B5" w:rsidP="00BE06B5">
            <w:pPr>
              <w:tabs>
                <w:tab w:val="left" w:pos="1206"/>
                <w:tab w:val="left" w:pos="1372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lakossági ügyfelek felé tett finanszírozás nyújtására vona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kozó szerződéses kötelezettségek és a 32. cikk (3) bekezdésének (a) pontjában meghatározott üg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y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felektől esedékes pénzösszegek közötti különbséget, abban az esetben, ha az előbbi meghaladja az utóbbit.</w:t>
            </w:r>
          </w:p>
        </w:tc>
      </w:tr>
      <w:tr w:rsidR="00BE06B5" w:rsidRPr="00B64BC7" w14:paraId="159F0AF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72B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810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D895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206"/>
                <w:tab w:val="left" w:pos="1372"/>
              </w:tabs>
              <w:spacing w:beforeLines="100" w:before="240" w:after="0" w:line="240" w:lineRule="auto"/>
              <w:ind w:right="227" w:hanging="252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Nem-pénzügyi vállalatokhoz tartozó finanszírozási többlet</w:t>
            </w:r>
          </w:p>
          <w:p w14:paraId="142CCC1C" w14:textId="77777777" w:rsidR="00BE06B5" w:rsidRPr="00250852" w:rsidRDefault="00BE06B5" w:rsidP="00BE06B5">
            <w:pPr>
              <w:tabs>
                <w:tab w:val="left" w:pos="1206"/>
                <w:tab w:val="left" w:pos="1372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nem-pénzügyi vállalatok felé tett finanszírozás nyújtására vonatkozó szerződéses kötelezettségek és a 32. cikk (3) bekezdésének (a) pontjában meghatár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zott ügyfelektől esedékes pénzösszegek közötti különbséget, abban az esetben, ha az előbbi me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haladja az utóbbit.</w:t>
            </w:r>
          </w:p>
        </w:tc>
      </w:tr>
      <w:tr w:rsidR="00BE06B5" w:rsidRPr="00B64BC7" w14:paraId="0E76C2FB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7EF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820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B0A8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348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Kormányzatokhoz, multilaterális fejlesztési bankokhoz és közszektorbeli intézm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nyekhez tartozó finanszírozási többlet</w:t>
            </w:r>
          </w:p>
          <w:p w14:paraId="385ACCFC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kormányzatok, multilaterális fejlesztési bankok és közsze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torbeli intézmények felé tett finanszírozás nyújtására vonatkozó szerződéses kötelezettségek és a 32. cikk (3) bekezdésének (a) pontjában meghatározott ügyfelektől esedékes pénzösszegek közötti különbséget, abban az esetben, ha az előbbi meghaladja az utóbbit.</w:t>
            </w:r>
          </w:p>
        </w:tc>
      </w:tr>
      <w:tr w:rsidR="00BE06B5" w:rsidRPr="00B64BC7" w14:paraId="2A270CA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CC14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br w:type="page"/>
              <w:t>830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249C" w14:textId="77777777" w:rsidR="00BE06B5" w:rsidRPr="00250852" w:rsidRDefault="00BE06B5" w:rsidP="00356041">
            <w:pPr>
              <w:pStyle w:val="Listaszerbekezds"/>
              <w:numPr>
                <w:ilvl w:val="5"/>
                <w:numId w:val="16"/>
              </w:numPr>
              <w:tabs>
                <w:tab w:val="left" w:pos="1348"/>
              </w:tabs>
              <w:spacing w:beforeLines="100" w:before="240" w:after="0" w:line="240" w:lineRule="auto"/>
              <w:ind w:right="227" w:hanging="2522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jogi intézményekhez tartozó finanszírozási többlet</w:t>
            </w:r>
          </w:p>
          <w:p w14:paraId="76154C8F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egyéb jogi intézmények felé tett finanszírozás nyújtására vonatkozó szerződéses kötelezettségek és a 32. cikk (3) bekezdésének (a) pontjában meghatár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zott ügyfelektől esedékes pénzösszegek közötti különbséget, abban az esetben, ha az előbbi me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haladja az utóbbit.</w:t>
            </w:r>
          </w:p>
        </w:tc>
      </w:tr>
      <w:tr w:rsidR="00BE06B5" w:rsidRPr="00B64BC7" w14:paraId="1A650CB8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279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840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F6E3" w14:textId="77777777" w:rsidR="00BE06B5" w:rsidRPr="00250852" w:rsidRDefault="00BE06B5" w:rsidP="00356041">
            <w:pPr>
              <w:pStyle w:val="Listaszerbekezds"/>
              <w:numPr>
                <w:ilvl w:val="4"/>
                <w:numId w:val="16"/>
              </w:numPr>
              <w:tabs>
                <w:tab w:val="left" w:pos="1206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</w:t>
            </w:r>
          </w:p>
          <w:p w14:paraId="47DA3D0E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tének 23. cikkének (1) bekezdése által le nem fedett új lakossági vagy bankközi hitelek megújítás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val vagy meghosszabbításával kapcsolatos tervezett kiáramlások összegét.</w:t>
            </w:r>
          </w:p>
        </w:tc>
      </w:tr>
      <w:tr w:rsidR="00BE06B5" w:rsidRPr="00B64BC7" w14:paraId="4C77CD68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9F06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850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7B27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Származtatott ügyletekből eredő tervezett kötelezettségek</w:t>
            </w:r>
          </w:p>
          <w:p w14:paraId="5ACB5611" w14:textId="1E8AE06D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23. cikke</w:t>
            </w:r>
            <w:r w:rsidR="002402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5B1AE48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23. cikkének (1) bekezdése szerinti származtatott ügyletekből eredő tervezett kötelezettségek összegét.</w:t>
            </w:r>
          </w:p>
        </w:tc>
      </w:tr>
      <w:tr w:rsidR="00BE06B5" w:rsidRPr="00B64BC7" w14:paraId="14B58AE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F30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860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7B76" w14:textId="3A61FC94" w:rsidR="00BE06B5" w:rsidRPr="00250852" w:rsidRDefault="00BE06B5" w:rsidP="005D57EA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Kereskedelemfinanszírozással kapcsolatos mérlegen kívüli </w:t>
            </w:r>
            <w:r w:rsidR="0070418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termékek</w:t>
            </w:r>
          </w:p>
          <w:p w14:paraId="6DEC1383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23. cikkének (1) bekezdése szerinti kereskedelemfinanszírozással kapcsolatos termékek vagy szolgáltatások összegét.</w:t>
            </w:r>
          </w:p>
        </w:tc>
      </w:tr>
      <w:tr w:rsidR="00BE06B5" w:rsidRPr="00B64BC7" w14:paraId="50AAD5B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21E0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870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4812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Egyebek</w:t>
            </w:r>
          </w:p>
          <w:p w14:paraId="1E87AF23" w14:textId="69752BE1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23. cikkének (2) bekezdése</w:t>
            </w:r>
            <w:r w:rsidR="00240259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565687F6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A hitelintézeteknek jelenteniük kell az egyéb,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23. cikkének (1) bekezdésében nem említett termékek és szolgáltatások összegét.</w:t>
            </w:r>
          </w:p>
        </w:tc>
      </w:tr>
      <w:tr w:rsidR="00BE06B5" w:rsidRPr="00B64BC7" w14:paraId="6CE7379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9B4D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880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B510" w14:textId="77777777" w:rsidR="00BE06B5" w:rsidRPr="00250852" w:rsidRDefault="00BE06B5" w:rsidP="00356041">
            <w:pPr>
              <w:pStyle w:val="Listaszerbekezds"/>
              <w:numPr>
                <w:ilvl w:val="2"/>
                <w:numId w:val="16"/>
              </w:numPr>
              <w:tabs>
                <w:tab w:val="left" w:pos="781"/>
              </w:tabs>
              <w:spacing w:beforeLines="100" w:before="240" w:after="0" w:line="240" w:lineRule="auto"/>
              <w:ind w:right="227" w:hanging="96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kötelezettségek</w:t>
            </w:r>
          </w:p>
          <w:p w14:paraId="386CE35B" w14:textId="4F213D9D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(2) és (6) bekezdése és 31. cikkének (10) bekezdése</w:t>
            </w:r>
            <w:r w:rsidR="007F4708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45AEAE8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28. cikkének (2) és (6) bekezdésében és 31. cikkének (10) bekezdésében meghatározott egyéb kötelezettségekből származó kiáramlásokat.</w:t>
            </w:r>
          </w:p>
          <w:p w14:paraId="6EF29FBE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Ennek a tételnek, ahol szükséges szintén tartalmaznia kell a központi banknál elhelyezendő további tartalékok egyenlegét, amennyiben a releváns illetékes hatóság és az EKB, vagy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10. cikkének (b) (iii) pontja szerinti központi bank erről megállapodott.</w:t>
            </w:r>
          </w:p>
        </w:tc>
      </w:tr>
      <w:tr w:rsidR="00BE06B5" w:rsidRPr="00B64BC7" w14:paraId="18878BD6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16D5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br w:type="page"/>
              <w:t>890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E323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Működési költségekből eredő kötelezettségek</w:t>
            </w:r>
          </w:p>
          <w:p w14:paraId="1B5A9600" w14:textId="494598EF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28. cikkének (2) bekezdése</w:t>
            </w:r>
            <w:r w:rsidR="003779AF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D394135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28. cikkének (2) bekezdése szerinti hitelintézet saját működési költségeiből eredő kötelezet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ségeinek fennálló egyenlegét.</w:t>
            </w:r>
          </w:p>
        </w:tc>
      </w:tr>
      <w:tr w:rsidR="00BE06B5" w:rsidRPr="00B64BC7" w14:paraId="1FC1BC4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54B4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4D91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Adósságinstrumentumok, kivéve lakossági betétként kezelt kötelezettségek</w:t>
            </w:r>
          </w:p>
          <w:p w14:paraId="2B1E74CA" w14:textId="0E08EE0E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28. cikkének (6) bekezdése</w:t>
            </w:r>
            <w:r w:rsidR="003779AF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A733D4D" w14:textId="5C23836B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jelenteniük kell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nek 28. cikkének (6) bekezdése szerint a bankjegyek, kötvények és az egyéb a hitelintézet által k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bocsátott adósságinstrumentumok fennálló egyenlegét, a lakossági betétekként jelentettek kivét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lével. Ez az összeg magában foglalja a következő 30 naptári nap során esedékessé váló, az említett értékpapírokhoz kapcsolódó kifizetéseket.</w:t>
            </w:r>
          </w:p>
          <w:p w14:paraId="42039D99" w14:textId="77777777" w:rsidR="00BE06B5" w:rsidRPr="00250852" w:rsidRDefault="00BE06B5" w:rsidP="00BE06B5">
            <w:pPr>
              <w:ind w:firstLineChars="300" w:firstLine="600"/>
              <w:rPr>
                <w:rFonts w:asciiTheme="majorHAnsi" w:hAnsiTheme="majorHAnsi"/>
                <w:szCs w:val="20"/>
              </w:rPr>
            </w:pPr>
          </w:p>
        </w:tc>
      </w:tr>
      <w:tr w:rsidR="00BE06B5" w:rsidRPr="00B64BC7" w14:paraId="1ACCEB29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53B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A916" w14:textId="77777777" w:rsidR="00BE06B5" w:rsidRPr="00250852" w:rsidRDefault="00BE06B5" w:rsidP="00356041">
            <w:pPr>
              <w:pStyle w:val="Listaszerbekezds"/>
              <w:numPr>
                <w:ilvl w:val="3"/>
                <w:numId w:val="16"/>
              </w:numPr>
              <w:spacing w:beforeLines="100" w:before="240" w:after="0" w:line="240" w:lineRule="auto"/>
              <w:ind w:left="922" w:right="227" w:hanging="70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Egyebek</w:t>
            </w:r>
          </w:p>
          <w:p w14:paraId="419E672A" w14:textId="07A151C7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31. cikkének (10) bekezdése</w:t>
            </w:r>
            <w:r w:rsidR="003779AF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4E89C9B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bármely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23. és 31. cikke között nem említett, 30 naptári napon belül esedékessé váló kötel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zettség fennálló egyenlegét.</w:t>
            </w:r>
          </w:p>
        </w:tc>
      </w:tr>
      <w:tr w:rsidR="00BE06B5" w:rsidRPr="00B64BC7" w14:paraId="25C49BD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395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C5D2" w14:textId="77777777" w:rsidR="00BE06B5" w:rsidRPr="00250852" w:rsidRDefault="00BE06B5" w:rsidP="00356041">
            <w:pPr>
              <w:pStyle w:val="Listaszerbekezds"/>
              <w:numPr>
                <w:ilvl w:val="1"/>
                <w:numId w:val="15"/>
              </w:numPr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Fedezett kölcsönügyletek és tőkepiac-vezérelt ügyletek kiáramlásai</w:t>
            </w:r>
          </w:p>
          <w:p w14:paraId="4CFEEA9F" w14:textId="52CAE5BB" w:rsidR="00BE06B5" w:rsidRPr="00250852" w:rsidRDefault="00BE06B5" w:rsidP="005D57EA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28. cikkének (3) bekezdése</w:t>
            </w:r>
            <w:r w:rsidR="00BC6A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6A7BADBA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b/>
                <w:bCs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fedezett kölcsön- és tőkepiac-vezérelt ügyletekből eredő kiáramlásokat. A biztosítéki csereügyleteket (amelyek fedezet-fedezet ellenni ügyletek) a XXIV. melléklet C 75.00 táblázatában kell jelenteni.</w:t>
            </w:r>
          </w:p>
        </w:tc>
      </w:tr>
      <w:tr w:rsidR="00BE06B5" w:rsidRPr="00B64BC7" w14:paraId="29822CEB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C786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248A" w14:textId="128D89D5" w:rsidR="00BE06B5" w:rsidRPr="00250852" w:rsidRDefault="00034BAF" w:rsidP="005D57EA">
            <w:pPr>
              <w:pStyle w:val="Listaszerbekezds"/>
              <w:numPr>
                <w:ilvl w:val="2"/>
                <w:numId w:val="15"/>
              </w:numPr>
              <w:spacing w:beforeLines="100" w:before="240" w:after="0" w:line="240" w:lineRule="auto"/>
              <w:ind w:left="781" w:right="227" w:hanging="56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 partner k</w:t>
            </w:r>
            <w:r w:rsidR="00BE06B5"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özponti bank</w:t>
            </w:r>
          </w:p>
          <w:p w14:paraId="5D809933" w14:textId="5AED7589" w:rsidR="00BE06B5" w:rsidRPr="00250852" w:rsidRDefault="00BE06B5" w:rsidP="002F7E8E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központi bank a partner.</w:t>
            </w:r>
          </w:p>
        </w:tc>
      </w:tr>
      <w:tr w:rsidR="00BE06B5" w:rsidRPr="00B64BC7" w14:paraId="4C8E826C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02B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940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3466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1. szintű eszköznek (kiv. rendkívül magas minőségű fedezett kötvénynek) minősülő f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dezet</w:t>
            </w:r>
          </w:p>
          <w:p w14:paraId="07F9E196" w14:textId="77777777" w:rsidR="00BE06B5" w:rsidRPr="00250852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(a) pontja</w:t>
            </w:r>
          </w:p>
          <w:p w14:paraId="184FE846" w14:textId="62C2FBB5" w:rsidR="00BE06B5" w:rsidRPr="00250852" w:rsidRDefault="00BE06B5" w:rsidP="002F7E8E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központi bank a partner és a nyújtott fedezet 1. szintűnek minősülő eszköz, kivéve a rendkívül m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gas minőségű fedezett kötvényeket.</w:t>
            </w:r>
          </w:p>
        </w:tc>
      </w:tr>
      <w:tr w:rsidR="00BE06B5" w:rsidRPr="00B64BC7" w14:paraId="5E7774E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3D8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4B26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1. szintű eszköznek, rendkívül magas minőségű fedezett kötvénynek minősülő fedezet </w:t>
            </w:r>
          </w:p>
          <w:p w14:paraId="4D7EA1E2" w14:textId="77777777" w:rsidR="00BE06B5" w:rsidRPr="00250852" w:rsidRDefault="00BE06B5" w:rsidP="00BE06B5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(a) pontja</w:t>
            </w:r>
          </w:p>
          <w:p w14:paraId="0E1533F8" w14:textId="6D3F4104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="002F7E8E"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központi bank a partner és a nyújtott fedezet 1. szintű eszköznek, rendkívül magas minőségű fed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zett kötvénynek minősül. </w:t>
            </w:r>
          </w:p>
        </w:tc>
      </w:tr>
      <w:tr w:rsidR="00BE06B5" w:rsidRPr="00B64BC7" w14:paraId="141041C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AA85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79AB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2A. szintű eszköznek minősülő fedezet</w:t>
            </w:r>
          </w:p>
          <w:p w14:paraId="00668EA9" w14:textId="3287A193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(a) pontja</w:t>
            </w:r>
            <w:r w:rsidR="00EB073E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97B8E55" w14:textId="2EAE36BB" w:rsidR="00BE06B5" w:rsidRPr="00250852" w:rsidRDefault="00BE06B5" w:rsidP="00BE06B5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központi bank a partner és a nyújtott fedezet 2A. szintű eszköznek minősül.</w:t>
            </w:r>
          </w:p>
        </w:tc>
      </w:tr>
      <w:tr w:rsidR="00BE06B5" w:rsidRPr="00B64BC7" w14:paraId="5F1D72E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2A90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A3CB" w14:textId="1895E8AC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2B. szintű eszközfedezetű értékpapírnak (</w:t>
            </w:r>
            <w:r w:rsidR="00034BAF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lakóingatlan vagy gépjármű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, 1. hitelminőségi besorolású) minősülő fedezet</w:t>
            </w:r>
          </w:p>
          <w:p w14:paraId="2CA94F2E" w14:textId="117F6254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(a) pontja</w:t>
            </w:r>
            <w:r w:rsidR="00EB073E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764F6688" w14:textId="0C1A98EB" w:rsidR="00BE06B5" w:rsidRPr="00250852" w:rsidRDefault="00BE06B5" w:rsidP="0053538F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sében meghatározott kölcsön- és tőkepiac-vezérelt ügyletekből eredő kiáramlásokat, amennyiben központi bank a partner és a nyújtott fedezet a 13. cikk (2) </w:t>
            </w:r>
            <w:r w:rsidR="0053538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bekezdésének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(g) </w:t>
            </w:r>
            <w:r w:rsidR="0053538F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(i), (ii) vagy (iv) pontjában meghatározott feltételeket teljesítő 2B. szintű, 1. hitelminőségi besorolású lakóinga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lannal vagy gépjárművel fedezett eszközfedezetű értékpapír.</w:t>
            </w:r>
            <w:proofErr w:type="gramEnd"/>
          </w:p>
        </w:tc>
      </w:tr>
      <w:tr w:rsidR="00BE06B5" w:rsidRPr="00B64BC7" w14:paraId="79CF2FA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FFB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6D6C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2B. szintű fedezett kötvények</w:t>
            </w:r>
          </w:p>
          <w:p w14:paraId="7DEA7C75" w14:textId="5EEBE7A9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28. cikkének (3) bekezdésének (a) pontja</w:t>
            </w:r>
            <w:r w:rsidR="00A51869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7B5857F" w14:textId="44331CF7" w:rsidR="00BE06B5" w:rsidRPr="00250852" w:rsidRDefault="00BE06B5" w:rsidP="00BE06B5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központi bank a partner és a nyújtott fedezet a 12. cikk (1) bekezdésének (e) pontjában meghat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rozott feltételeket teljesítő 2B. szintű magas minőségű fedezett kötvény.</w:t>
            </w:r>
          </w:p>
        </w:tc>
      </w:tr>
      <w:tr w:rsidR="00BE06B5" w:rsidRPr="00B64BC7" w14:paraId="79F63E9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F82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990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F1F9" w14:textId="12419910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2B. szintű eszközfedezetű értékpapírnak (</w:t>
            </w:r>
            <w:r w:rsidR="00587AB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vállalati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vagy </w:t>
            </w:r>
            <w:r w:rsidR="00587AB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háztartási</w:t>
            </w:r>
            <w:r w:rsidR="003859CE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hitel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, tagállam, 1. h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i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telminőségi besorolású) minősülő fedezet</w:t>
            </w:r>
          </w:p>
          <w:p w14:paraId="41FCC190" w14:textId="1B23329C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(a) pontja</w:t>
            </w:r>
            <w:r w:rsidR="003318A1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89A7E91" w14:textId="0E31A8EC" w:rsidR="00BE06B5" w:rsidRPr="008C5D6D" w:rsidRDefault="00BE06B5" w:rsidP="0053538F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központi bank a partner és a nyújtott fedezet a 13. cikk (2)</w:t>
            </w:r>
            <w:r w:rsidR="0053538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bekezdése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(a) </w:t>
            </w:r>
            <w:r w:rsidR="0053538F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pontjának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(iii) vagy (v)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pontjában meghatározott feltételeket teljesítő 2B. szintű 1. hitelminőségű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 </w:t>
            </w:r>
          </w:p>
        </w:tc>
      </w:tr>
      <w:tr w:rsidR="00BE06B5" w:rsidRPr="00B64BC7" w14:paraId="2F31EF3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1BD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1000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C95F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2B. szintű eszköznek minősülő fedezet</w:t>
            </w:r>
          </w:p>
          <w:p w14:paraId="2B52247E" w14:textId="305959F3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(a) pontja</w:t>
            </w:r>
            <w:r w:rsidR="00672E76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94ECD98" w14:textId="0E343F37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központi bank a partner és a nyújtott fedezet az előbbiekben nem lefedett egyéb 2B</w:t>
            </w:r>
            <w:r w:rsidR="00C30D31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szintű eszköz.</w:t>
            </w:r>
          </w:p>
        </w:tc>
      </w:tr>
      <w:tr w:rsidR="00BE06B5" w:rsidRPr="00B64BC7" w14:paraId="1A959A69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4D1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7C31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Nem-likvid eszköznek minősülő fedezet</w:t>
            </w:r>
          </w:p>
          <w:p w14:paraId="365D41E9" w14:textId="1B2DDC26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(g) pontja</w:t>
            </w:r>
            <w:r w:rsidR="00672E76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32B666E1" w14:textId="0569DCDA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központi bank a partner és a nyújtott fedezet nem-likvid eszköznek minősül.</w:t>
            </w:r>
          </w:p>
        </w:tc>
      </w:tr>
      <w:tr w:rsidR="00BE06B5" w:rsidRPr="00B64BC7" w14:paraId="5AD6161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6B5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919F" w14:textId="290BE099" w:rsidR="00BE06B5" w:rsidRPr="00250852" w:rsidRDefault="00034BAF" w:rsidP="005D57EA">
            <w:pPr>
              <w:pStyle w:val="Listaszerbekezds"/>
              <w:numPr>
                <w:ilvl w:val="2"/>
                <w:numId w:val="15"/>
              </w:numPr>
              <w:spacing w:beforeLines="100" w:before="240" w:after="0" w:line="240" w:lineRule="auto"/>
              <w:ind w:left="781" w:right="227" w:hanging="56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 partner n</w:t>
            </w:r>
            <w:r w:rsidR="00BE06B5"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em központi bank</w:t>
            </w:r>
          </w:p>
          <w:p w14:paraId="532F5B80" w14:textId="47B40E8B" w:rsidR="00BE06B5" w:rsidRPr="00250852" w:rsidRDefault="00BE06B5" w:rsidP="00BE06B5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nem központi bank a partner.</w:t>
            </w:r>
          </w:p>
        </w:tc>
      </w:tr>
      <w:tr w:rsidR="00BE06B5" w:rsidRPr="00B64BC7" w14:paraId="540B0EA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587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1030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130C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1. szintű eszköznek (kiv. rendkívül magas minőségű fedezett kötvénynek) minősülő f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dezet</w:t>
            </w:r>
          </w:p>
          <w:p w14:paraId="773B54D9" w14:textId="0409739F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28. cikkének (3) bekezdésének (a) pontja</w:t>
            </w:r>
            <w:r w:rsidR="00501A20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3A331074" w14:textId="619ED6D7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nem központi bank a partner és a nyújtott fedezet 1. szintűnek minősülő eszköz, kivéve a rendkívül magas minőségű fedezett kötvényeket.</w:t>
            </w:r>
          </w:p>
        </w:tc>
      </w:tr>
      <w:tr w:rsidR="00BE06B5" w:rsidRPr="00B64BC7" w14:paraId="565DC902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E93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1040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2803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1. szintű eszköznek, rendkívül magas minőségű fedezett kötvénynek minősülő fedezet </w:t>
            </w:r>
          </w:p>
          <w:p w14:paraId="365CD6CE" w14:textId="79A55C78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28. cikkének (3) bekezdésének (b) pontja</w:t>
            </w:r>
            <w:r w:rsidR="0052056C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2A95CE7" w14:textId="25A4E8F9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nem központi bank a partner és a nyújtott fedezet 1. szintű eszköznek, rendkívül magas minőségű fedezett kötvénynek minősül.</w:t>
            </w:r>
          </w:p>
        </w:tc>
      </w:tr>
      <w:tr w:rsidR="00BE06B5" w:rsidRPr="00B64BC7" w14:paraId="5ECAFA0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295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1050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EF3A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</w:t>
            </w:r>
            <w:proofErr w:type="gramStart"/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A.</w:t>
            </w:r>
            <w:proofErr w:type="gramEnd"/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szintű eszköznek minősülő fedezet</w:t>
            </w:r>
          </w:p>
          <w:p w14:paraId="176C6601" w14:textId="57D97342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(c) pontja</w:t>
            </w:r>
            <w:r w:rsidR="00895345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3491F75A" w14:textId="428A5D64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nem központi bank a partner és a nyújtott fedezet 2A. szintű eszköznek minősül.</w:t>
            </w:r>
          </w:p>
        </w:tc>
      </w:tr>
      <w:tr w:rsidR="00BE06B5" w:rsidRPr="00B64BC7" w14:paraId="26EBBC3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EF0D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1060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94C6" w14:textId="5EE0FF0D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2B. szintű eszközfedezetű értékpapírnak (</w:t>
            </w:r>
            <w:r w:rsidR="00034BAF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lakóingatlan vagy gépjármű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, 1. hitelminőségi besorolású) minősülő fedezet</w:t>
            </w:r>
          </w:p>
          <w:p w14:paraId="2A283B9C" w14:textId="0A1F4798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felhatalmazáson alapuló rendeletének 28. cikkének (3) bekezdésének (d) </w:t>
            </w:r>
            <w:r w:rsidR="0029423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bekezdésének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(i) </w:t>
            </w:r>
            <w:r w:rsidR="0029423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pontja</w:t>
            </w:r>
            <w:r w:rsidR="00931D4F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648394AE" w14:textId="4099615A" w:rsidR="00BE06B5" w:rsidRPr="00250852" w:rsidRDefault="00BE06B5" w:rsidP="00294232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sében meghatározott kölcsön- és tőkepiac-vezérelt ügyletekből eredő kiáramlásokat, amennyiben nem központi bank a partner és a nyújtott fedezet a 13. cikk (2)</w:t>
            </w:r>
            <w:r w:rsidR="0029423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bekezdés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(g) </w:t>
            </w:r>
            <w:r w:rsidR="00294232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(i), (ii) vagy (iv) </w:t>
            </w:r>
            <w:r w:rsidR="0029423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pontjában meghatározott feltételeket teljesítő 2B. szintű, 1. hitelminőségi besorolású lakóinga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lannal vagy gépjárművel fedezett eszközfedezetű értékpapír.</w:t>
            </w:r>
            <w:proofErr w:type="gramEnd"/>
          </w:p>
        </w:tc>
      </w:tr>
      <w:tr w:rsidR="00BE06B5" w:rsidRPr="00B64BC7" w14:paraId="76B96F5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5E20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1070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CAC9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2B. szintű fedezett kötvények</w:t>
            </w:r>
          </w:p>
          <w:p w14:paraId="303B8711" w14:textId="7D8D7ACB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nem központi bank a partner és a nyújtott fedezet a 12. cikk (1) bekezdésének (e) pontjában me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határozott feltételeket teljesítő 2B. szintű magas minőségű fedezett kötvény.</w:t>
            </w:r>
          </w:p>
        </w:tc>
      </w:tr>
      <w:tr w:rsidR="00BE06B5" w:rsidRPr="00B64BC7" w14:paraId="430DCE3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3AF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1080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236B" w14:textId="1483758F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2B. szintű eszközfedezetű értékpapírnak (</w:t>
            </w:r>
            <w:r w:rsidR="00587AB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vállalati vagy háztartási</w:t>
            </w:r>
            <w:r w:rsidR="003859CE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hitel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, tagállam, 1. h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i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telminőségi besorolású) minősülő fedezet</w:t>
            </w:r>
          </w:p>
          <w:p w14:paraId="15D4AC38" w14:textId="7C43919B" w:rsidR="00BE06B5" w:rsidRPr="008C5D6D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28. cikkének (3) bekezdésének (e) pontja</w:t>
            </w:r>
            <w:r w:rsidR="00942168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ADFACD9" w14:textId="0C7E6BF8" w:rsidR="00BE06B5" w:rsidRPr="008C5D6D" w:rsidRDefault="00BE06B5" w:rsidP="00BE06B5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nem központi bank a partner és a nyújtott fedezet a 13. cikk (2)</w:t>
            </w:r>
            <w:r w:rsidR="00164FE0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bekezdés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(a) </w:t>
            </w:r>
            <w:r w:rsidR="00164FE0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pontjának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(iii) vagy (v) </w:t>
            </w:r>
            <w:r w:rsidR="00164FE0">
              <w:rPr>
                <w:rFonts w:asciiTheme="majorHAnsi" w:eastAsia="Times New Roman" w:hAnsiTheme="majorHAnsi" w:cs="Times New Roman"/>
                <w:color w:val="000000"/>
                <w:szCs w:val="20"/>
              </w:rPr>
              <w:t>al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pontjában meghatározott feltételeket teljesítő 2B. szintű 1. hitelminőségű.</w:t>
            </w:r>
          </w:p>
          <w:p w14:paraId="11F6C5C5" w14:textId="77777777" w:rsidR="00BE06B5" w:rsidRPr="008C5D6D" w:rsidRDefault="00BE06B5" w:rsidP="00BE06B5">
            <w:pPr>
              <w:tabs>
                <w:tab w:val="left" w:pos="1064"/>
              </w:tabs>
              <w:spacing w:beforeLines="100" w:before="240" w:after="0" w:line="240" w:lineRule="auto"/>
              <w:ind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</w:p>
        </w:tc>
      </w:tr>
      <w:tr w:rsidR="00BE06B5" w:rsidRPr="00B64BC7" w14:paraId="0658B7F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26E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1090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7863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2B. szintű eszköznek minősülő fedezet</w:t>
            </w:r>
          </w:p>
          <w:p w14:paraId="2F0D512C" w14:textId="77A0D98C" w:rsidR="00BE06B5" w:rsidRPr="00250852" w:rsidRDefault="00BE06B5" w:rsidP="005D57EA">
            <w:pPr>
              <w:tabs>
                <w:tab w:val="left" w:pos="1206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(f) pontja</w:t>
            </w:r>
            <w:r w:rsidR="0087203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CEFCB58" w14:textId="6900BEAA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nem központi bank a partner és a nyújtott fedezet az előbbiekben nem lefedett egyéb 2B</w:t>
            </w:r>
            <w:r w:rsidR="005727A6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szintű eszköz.</w:t>
            </w:r>
          </w:p>
        </w:tc>
      </w:tr>
      <w:tr w:rsidR="00BE06B5" w:rsidRPr="00B64BC7" w14:paraId="5AD712B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BBF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F900" w14:textId="77777777" w:rsidR="00BE06B5" w:rsidRPr="00250852" w:rsidRDefault="00BE06B5" w:rsidP="00356041">
            <w:pPr>
              <w:pStyle w:val="Listaszerbekezds"/>
              <w:numPr>
                <w:ilvl w:val="3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227" w:right="227" w:firstLine="0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Nem-likvid eszköznek minősülő fedezet</w:t>
            </w:r>
          </w:p>
          <w:p w14:paraId="23556206" w14:textId="142BFE61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(g) pontja</w:t>
            </w:r>
            <w:r w:rsidR="00B203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D9E3EAC" w14:textId="5C9F7B17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nem központi bank a partner és a nyújtott fedezet nem-likvid eszköznek minősül.</w:t>
            </w:r>
          </w:p>
        </w:tc>
      </w:tr>
      <w:tr w:rsidR="00BE06B5" w:rsidRPr="00B64BC7" w14:paraId="7D70EA5B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F1B6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8BB0" w14:textId="77777777" w:rsidR="00BE06B5" w:rsidRPr="00250852" w:rsidRDefault="00BE06B5" w:rsidP="00356041">
            <w:pPr>
              <w:pStyle w:val="Listaszerbekezds"/>
              <w:numPr>
                <w:ilvl w:val="4"/>
                <w:numId w:val="15"/>
              </w:numPr>
              <w:tabs>
                <w:tab w:val="left" w:pos="1206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 Partner központi kormányzat, 20 százaléknál alacsonyabb kockázati súllyal rende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l</w:t>
            </w: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kező közszektorbeli intézmény vagy multilaterális fejlesztési bank</w:t>
            </w:r>
          </w:p>
          <w:p w14:paraId="4CA0BE19" w14:textId="2E337AF4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felhatalmazáson alapuló rendeletének 28. cikkének (3) bekezdésének (d) </w:t>
            </w:r>
            <w:r w:rsidR="0029423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pontjának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(ii) </w:t>
            </w:r>
            <w:r w:rsidR="0029423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pontja</w:t>
            </w:r>
            <w:r w:rsidR="00630C0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DA992C8" w14:textId="6D41FA71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sében meghatározott kölcsön- és tőkepiac-vezérelt ügyletekből eredő kiáramlásokat, amennyiben a nyújtott fedezet nem-likvid eszköznek minősül és a partner központi kormányzat, 20 százaléknál alacsonyabb kockázati súllyal rendelkező közszektorbeli intézmény vagy multilaterális fejlesztési bank.</w:t>
            </w:r>
          </w:p>
        </w:tc>
      </w:tr>
      <w:tr w:rsidR="00BE06B5" w:rsidRPr="00B64BC7" w14:paraId="41906E5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8DE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F56F" w14:textId="77777777" w:rsidR="00BE06B5" w:rsidRPr="00250852" w:rsidRDefault="00BE06B5" w:rsidP="00356041">
            <w:pPr>
              <w:pStyle w:val="Listaszerbekezds"/>
              <w:numPr>
                <w:ilvl w:val="4"/>
                <w:numId w:val="15"/>
              </w:numPr>
              <w:tabs>
                <w:tab w:val="left" w:pos="1206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partner</w:t>
            </w:r>
          </w:p>
          <w:p w14:paraId="087A978B" w14:textId="57B469E6" w:rsidR="00BE06B5" w:rsidRPr="00250852" w:rsidRDefault="00BE06B5" w:rsidP="005D57EA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(3) bekezdésének (d)</w:t>
            </w:r>
            <w:r w:rsidR="0029423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pontjának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(ii) </w:t>
            </w:r>
            <w:r w:rsidR="00E77D86">
              <w:rPr>
                <w:rFonts w:asciiTheme="majorHAnsi" w:eastAsia="Times New Roman" w:hAnsiTheme="majorHAnsi" w:cs="Times New Roman"/>
                <w:color w:val="000000"/>
                <w:szCs w:val="20"/>
              </w:rPr>
              <w:t>al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pontja</w:t>
            </w:r>
            <w:r w:rsidR="00DB10E2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62145868" w14:textId="1731C022" w:rsidR="00BE06B5" w:rsidRPr="00250852" w:rsidRDefault="00BE06B5" w:rsidP="002F7E8E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hAnsiTheme="majorHAnsi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192. cikkének (2) és (3) bekezd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sében meghatározott kölcsön- és tőkepiac-vezérelt ügyletekből eredő kiáramlásokat, amennyiben a nyújtott fedezet nem-likvid eszköznek minősül és a partner nem központi bank, központi ko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mányzat, 20 százaléknál alacsonyabb kockázati súllyal rendelkező közszektorbeli intézmény vagy multilaterális fejlesztési bank.</w:t>
            </w:r>
          </w:p>
        </w:tc>
      </w:tr>
      <w:tr w:rsidR="00BE06B5" w:rsidRPr="00B64BC7" w14:paraId="40D597B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C4C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1130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85E0" w14:textId="77777777" w:rsidR="00BE06B5" w:rsidRPr="00250852" w:rsidRDefault="00BE06B5" w:rsidP="00356041">
            <w:pPr>
              <w:pStyle w:val="Listaszerbekezds"/>
              <w:numPr>
                <w:ilvl w:val="1"/>
                <w:numId w:val="15"/>
              </w:numPr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Biztosítéki csereügyletek teljes kiáramlása</w:t>
            </w:r>
          </w:p>
          <w:p w14:paraId="73D4ABF4" w14:textId="6AA48E39" w:rsidR="00BE06B5" w:rsidRPr="00250852" w:rsidRDefault="00BE06B5" w:rsidP="00BE06B5">
            <w:pPr>
              <w:tabs>
                <w:tab w:val="left" w:pos="1064"/>
              </w:tabs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XXIV. melléklet C</w:t>
            </w:r>
            <w:r w:rsidR="00164FE0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75.00 táblázatának 050 oszlopában szereplő kiáramlások összegét a 060 os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lopban kell jelenteni.</w:t>
            </w:r>
          </w:p>
        </w:tc>
      </w:tr>
      <w:tr w:rsidR="00BE06B5" w:rsidRPr="00B64BC7" w14:paraId="3607C48C" w14:textId="77777777" w:rsidTr="00C666B0">
        <w:trPr>
          <w:trHeight w:val="25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noWrap/>
            <w:tcMar>
              <w:bottom w:w="28" w:type="dxa"/>
            </w:tcMar>
            <w:vAlign w:val="center"/>
          </w:tcPr>
          <w:p w14:paraId="5D2A2CD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TÁJÉKOZTATÓ ADATOK</w:t>
            </w:r>
          </w:p>
        </w:tc>
      </w:tr>
      <w:tr w:rsidR="00BE06B5" w:rsidRPr="00B64BC7" w14:paraId="3218810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F36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316D" w14:textId="48B16C16" w:rsidR="00BE06B5" w:rsidRPr="00250852" w:rsidRDefault="00BE06B5" w:rsidP="005D57EA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Kevesebb, mint 30 naptári nap</w:t>
            </w:r>
            <w:r w:rsidR="00AA5067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os hátralévő lejáratú lakossági</w:t>
            </w:r>
            <w:r w:rsidR="00462F9A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kötvények </w:t>
            </w:r>
          </w:p>
          <w:p w14:paraId="23230F78" w14:textId="7DE255D6" w:rsidR="00BE06B5" w:rsidRPr="00250852" w:rsidRDefault="00BE06B5" w:rsidP="005D57EA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28. cikkének (6) bekezdése</w:t>
            </w:r>
            <w:r w:rsidR="00564A23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13154583" w14:textId="7213CAB3" w:rsidR="00BE06B5" w:rsidRPr="00250852" w:rsidRDefault="00BE06B5" w:rsidP="00164FE0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b/>
                <w:bCs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kizárólag a lakossági piacon értékesített, lakossági száml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kon vezetett adósságlevelek, kötvények és egyéb kibocsátott értékpapírok összegét. Ezeket a l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kossági kötvényeket szintén jelenteni szükséges a lakossági betétek leírása szerint (a 030-110 s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rokhoz tartozó utasítások) a lakossági betétek szerinti megfelelő kategóriában.</w:t>
            </w:r>
          </w:p>
        </w:tc>
      </w:tr>
      <w:tr w:rsidR="00BE06B5" w:rsidRPr="00B64BC7" w14:paraId="17896EF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3D4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25DC" w14:textId="77777777" w:rsidR="00BE06B5" w:rsidRPr="00250852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Kiáramlás-számítás alól mentesített lakossági betétek</w:t>
            </w:r>
          </w:p>
          <w:p w14:paraId="6FB84B00" w14:textId="6F03E23C" w:rsidR="00BE06B5" w:rsidRPr="00250852" w:rsidRDefault="00BE06B5" w:rsidP="005D57EA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25. cikkének (4) bekezdése</w:t>
            </w:r>
            <w:r w:rsidR="00247011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0C22364A" w14:textId="77777777" w:rsidR="00BE06B5" w:rsidRPr="00250852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b/>
                <w:bCs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azokat a betéti kategóriákat, amelyeket a kiáramlások sz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mításakor nem vettek figyelembe, ha teljesítik a 25. cikk (4) bekezdésének (a) vagy (b) feltételét (ti. amikor a betétes nem vonhatja ki 30 naptári napon belül a betétet, vagy a 30 napon belüli, lejárat előtti kivonás jelentős büntetést von maga után).</w:t>
            </w:r>
          </w:p>
        </w:tc>
      </w:tr>
      <w:tr w:rsidR="00BE06B5" w:rsidRPr="00B64BC7" w14:paraId="73F706D2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7B7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CF7C" w14:textId="77777777" w:rsidR="00BE06B5" w:rsidRPr="00250852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 értékelt lakossági betétek</w:t>
            </w:r>
          </w:p>
          <w:p w14:paraId="1B73B73E" w14:textId="030AFC6E" w:rsidR="00BE06B5" w:rsidRPr="00250852" w:rsidRDefault="00BE06B5" w:rsidP="005D57EA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25. cikkének (3) bekezdése</w:t>
            </w:r>
            <w:r w:rsidR="00AE775E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41498E47" w14:textId="77777777" w:rsidR="00BE06B5" w:rsidRPr="00250852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hitelintézeteknek itt kell jelenteniük azokat a lakossági betéteket, amelyek esetén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25. cikkének (2) bekezdésében előirányzott értékelést nem hajtották végre vagy még nem fejeződött be.</w:t>
            </w:r>
          </w:p>
          <w:p w14:paraId="3DE421F2" w14:textId="7C543347" w:rsidR="00BE06B5" w:rsidRPr="00250852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b/>
                <w:bCs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Ezeket a betéteket szintén a 070 oszlop utasításainak megfelelő 2. kategóriás magasabb kiáramlási arány alá tartozó betét</w:t>
            </w:r>
            <w:r w:rsidR="00D245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ek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ként szükséges jelenteni. </w:t>
            </w:r>
          </w:p>
        </w:tc>
      </w:tr>
      <w:tr w:rsidR="00BE06B5" w:rsidRPr="00B64BC7" w14:paraId="2655051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922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047D" w14:textId="77777777" w:rsidR="00BE06B5" w:rsidRPr="00250852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250852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Kölcsönös függőségi viszonyban lévő kiáramlások</w:t>
            </w:r>
          </w:p>
          <w:p w14:paraId="52AF336F" w14:textId="45402D8B" w:rsidR="00BE06B5" w:rsidRPr="00F439C4" w:rsidRDefault="00BE06B5" w:rsidP="00D2452E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b/>
                <w:bCs/>
                <w:szCs w:val="20"/>
              </w:rPr>
            </w:pP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minden olyan kötelezettség és mérlegen-kívüli kötelezettsé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g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vállalás fennálló egyenlegét, amelyek likviditáskiáramlásait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>son alapuló rendeletének 26</w:t>
            </w:r>
            <w:r w:rsidR="00D2452E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  <w:r w:rsidRPr="0025085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cikke szerint kölcsönösen függő beáramlásokkal nettós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ították.</w:t>
            </w:r>
          </w:p>
        </w:tc>
      </w:tr>
      <w:tr w:rsidR="00BE06B5" w:rsidRPr="00B64BC7" w14:paraId="6D39687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noWrap/>
            <w:vAlign w:val="center"/>
          </w:tcPr>
          <w:p w14:paraId="26B1F092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noWrap/>
            <w:vAlign w:val="center"/>
          </w:tcPr>
          <w:p w14:paraId="1366CC03" w14:textId="77777777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Operatív betétek, amelyeket a betétes annak érdekében helyezett el, hogy klíring-, letéti, készpénzmenedzsment vagy más hasonló szolgáltatásokat kapjon a hitelintézettől egy operatív kapcsolat keretében</w:t>
            </w:r>
          </w:p>
          <w:p w14:paraId="69AD40B1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1.1.2.1 tételben említett működési betéteiket az alábbi partnerekre lebontva:</w:t>
            </w:r>
          </w:p>
          <w:p w14:paraId="3697A995" w14:textId="77777777" w:rsidR="00BE06B5" w:rsidRPr="00F439C4" w:rsidRDefault="00BE06B5" w:rsidP="00356041">
            <w:pPr>
              <w:pStyle w:val="Listaszerbekezds"/>
              <w:numPr>
                <w:ilvl w:val="0"/>
                <w:numId w:val="14"/>
              </w:num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Hitelintézetek;</w:t>
            </w:r>
          </w:p>
          <w:p w14:paraId="73518674" w14:textId="77777777" w:rsidR="00BE06B5" w:rsidRPr="00F439C4" w:rsidRDefault="00BE06B5" w:rsidP="00356041">
            <w:pPr>
              <w:pStyle w:val="Listaszerbekezds"/>
              <w:numPr>
                <w:ilvl w:val="0"/>
                <w:numId w:val="14"/>
              </w:num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hitelintézeteken kívüli pénzügyi ügyfelek;</w:t>
            </w:r>
          </w:p>
          <w:p w14:paraId="199FFB5E" w14:textId="77777777" w:rsidR="00BE06B5" w:rsidRPr="00F439C4" w:rsidRDefault="00BE06B5" w:rsidP="00356041">
            <w:pPr>
              <w:pStyle w:val="Listaszerbekezds"/>
              <w:numPr>
                <w:ilvl w:val="0"/>
                <w:numId w:val="14"/>
              </w:num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497" w:right="227" w:hanging="283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kormányzatok, központi bankok, multilaterális fejlesztési bankok és közszektorbeli intézm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nyek;</w:t>
            </w:r>
          </w:p>
          <w:p w14:paraId="297AF5EE" w14:textId="77777777" w:rsidR="00BE06B5" w:rsidRPr="00F439C4" w:rsidRDefault="00BE06B5" w:rsidP="00356041">
            <w:pPr>
              <w:pStyle w:val="Listaszerbekezds"/>
              <w:numPr>
                <w:ilvl w:val="0"/>
                <w:numId w:val="14"/>
              </w:num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497" w:right="227" w:hanging="283"/>
              <w:rPr>
                <w:rFonts w:asciiTheme="majorHAnsi" w:hAnsiTheme="majorHAnsi"/>
                <w:b/>
                <w:bCs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egyéb ügyfelek.</w:t>
            </w:r>
          </w:p>
        </w:tc>
      </w:tr>
      <w:tr w:rsidR="00BE06B5" w:rsidRPr="00B64BC7" w14:paraId="6F6EA26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FE6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1180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CF81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right="227" w:hanging="57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Hitelintézetek által nyújtott</w:t>
            </w:r>
          </w:p>
          <w:p w14:paraId="6D263FE8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hitelintézetek által nyújtott 1.1.2.1 tételben említett műk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ö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dési betétek fennálló egyenlegét.</w:t>
            </w:r>
          </w:p>
        </w:tc>
      </w:tr>
      <w:tr w:rsidR="00BE06B5" w:rsidRPr="00B64BC7" w14:paraId="1B678AF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9A9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1190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589E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right="227" w:hanging="57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Hitelintézettől különböző pénzügyi ügyfél által nyújtott</w:t>
            </w:r>
          </w:p>
          <w:p w14:paraId="5F675CFF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egyéb hitelintézettől eltérő pénzügyi ügyfelek által nyújtott 1.1.2.1 tételben említett működési betétek fennálló egyenlegét.</w:t>
            </w:r>
          </w:p>
        </w:tc>
      </w:tr>
      <w:tr w:rsidR="00BE06B5" w:rsidRPr="00B64BC7" w14:paraId="5E68628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ED08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2F90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Kormányzatok, központi bankok, multilaterális fejlesztési bankok és közszektorbeli inté</w:t>
            </w: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z</w:t>
            </w: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mények által nyújtott</w:t>
            </w:r>
          </w:p>
          <w:p w14:paraId="0588711F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kormányzatok, központi bankok, multilaterális fejlesztési bankok és közszektorbeli intézmények által nyújtott 1.1.2.1 tételben említett működési betétek fennálló egyenlegét.</w:t>
            </w:r>
          </w:p>
        </w:tc>
      </w:tr>
      <w:tr w:rsidR="00BE06B5" w:rsidRPr="00B64BC7" w14:paraId="659A3C2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3AE4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2DF9" w14:textId="6DFB3DE1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right="227" w:hanging="57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ügyfelek által nyújtott</w:t>
            </w:r>
          </w:p>
          <w:p w14:paraId="66A86792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egyéb (az előbbiekben említett és lakossági betétesnek ta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tott ügyfeleken kívüli) ügyfelek által nyújtott 1.1.2.1 tételben említett működési betétek fennálló egyenlegét.</w:t>
            </w:r>
          </w:p>
        </w:tc>
      </w:tr>
      <w:tr w:rsidR="00BE06B5" w:rsidRPr="00B64BC7" w14:paraId="0A90D7C8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noWrap/>
            <w:vAlign w:val="center"/>
          </w:tcPr>
          <w:p w14:paraId="6901B400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noWrap/>
            <w:vAlign w:val="center"/>
          </w:tcPr>
          <w:p w14:paraId="01634111" w14:textId="77777777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Pénzügyi és egyéb ügyfelek által elhelyezett nem-operatív betétek</w:t>
            </w:r>
          </w:p>
          <w:p w14:paraId="57C3CD37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1.1.3.2 és 1.1.3.3 tételben említett működési betéteiket az alábbi partnerekre lebontva:</w:t>
            </w:r>
          </w:p>
          <w:p w14:paraId="0DA49EFC" w14:textId="77777777" w:rsidR="00BE06B5" w:rsidRPr="00F439C4" w:rsidRDefault="00BE06B5" w:rsidP="00356041">
            <w:pPr>
              <w:pStyle w:val="Listaszerbekezds"/>
              <w:numPr>
                <w:ilvl w:val="0"/>
                <w:numId w:val="14"/>
              </w:num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Hitelintézetek;</w:t>
            </w:r>
          </w:p>
          <w:p w14:paraId="7F73ECFB" w14:textId="77777777" w:rsidR="00BE06B5" w:rsidRPr="00F439C4" w:rsidRDefault="00BE06B5" w:rsidP="00356041">
            <w:pPr>
              <w:pStyle w:val="Listaszerbekezds"/>
              <w:numPr>
                <w:ilvl w:val="0"/>
                <w:numId w:val="14"/>
              </w:num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hitelintézeteken kívüli pénzügyi ügyfelek;</w:t>
            </w:r>
          </w:p>
          <w:p w14:paraId="1D57454F" w14:textId="77777777" w:rsidR="00BE06B5" w:rsidRPr="00F439C4" w:rsidRDefault="00BE06B5" w:rsidP="00356041">
            <w:pPr>
              <w:pStyle w:val="Listaszerbekezds"/>
              <w:numPr>
                <w:ilvl w:val="0"/>
                <w:numId w:val="14"/>
              </w:num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497" w:right="227" w:hanging="283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kormányzatok, központi bankok, multilaterális fejlesztési bankok és közszektorbeli intézm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nyek;</w:t>
            </w:r>
          </w:p>
          <w:p w14:paraId="380A9F5F" w14:textId="77777777" w:rsidR="00BE06B5" w:rsidRPr="00F439C4" w:rsidRDefault="00BE06B5" w:rsidP="00356041">
            <w:pPr>
              <w:pStyle w:val="Listaszerbekezds"/>
              <w:numPr>
                <w:ilvl w:val="0"/>
                <w:numId w:val="14"/>
              </w:num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497" w:right="227" w:hanging="283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egyéb ügyfelek.</w:t>
            </w:r>
          </w:p>
        </w:tc>
      </w:tr>
      <w:tr w:rsidR="00BE06B5" w:rsidRPr="00B64BC7" w14:paraId="45174C8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C615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F6D5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right="227" w:hanging="57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Hitelintézetek által nyújtott</w:t>
            </w:r>
          </w:p>
          <w:p w14:paraId="4CBB3619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1.1.3.2 tételben említett hitelintézetek által nyújtott nem-operatív betétek fennálló egyenlegét.</w:t>
            </w:r>
          </w:p>
        </w:tc>
      </w:tr>
      <w:tr w:rsidR="00BE06B5" w:rsidRPr="00B64BC7" w14:paraId="47D363A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A82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08AE" w14:textId="57E31796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right="227" w:hanging="578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Hitelintézetektől eltérő pénzügyi ügyfelek által nyújtott</w:t>
            </w:r>
          </w:p>
          <w:p w14:paraId="5CE7E89B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1.1.3.2 tételben említett hitelintézetektől eltérő pénzügyi ügyfelek által nyújtott nem-operatív betétek fennálló egyenlegét.</w:t>
            </w:r>
          </w:p>
        </w:tc>
      </w:tr>
      <w:tr w:rsidR="00BE06B5" w:rsidRPr="00B64BC7" w14:paraId="0C89F4A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628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51C6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Kormányzatok, központi bankok, multilaterális fejlesztési bankok és közszektorbeli inté</w:t>
            </w: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z</w:t>
            </w: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mények által nyújtott</w:t>
            </w:r>
          </w:p>
          <w:p w14:paraId="626D0C9E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1.1.3.3 tételben említett kormányzatok, központi bankok, multilaterális fejlesztési bankok és közszektorbeli intézmények által nyújtott nem-operatív betétek fennálló egyenlegét.</w:t>
            </w:r>
          </w:p>
        </w:tc>
      </w:tr>
      <w:tr w:rsidR="00BE06B5" w:rsidRPr="00B64BC7" w14:paraId="17378C1C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4ED5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F767" w14:textId="27814DB6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Egyéb ügyfelek által nyújtott</w:t>
            </w:r>
          </w:p>
          <w:p w14:paraId="72D602D5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1.1.3.3 tételben említett egyéb (az előbbiekben említett és lakossági betétesnek tartott ügyfeleken kívül) ügyfelek által nyújtott nem-operatív betétek fennálló egyenlegét.</w:t>
            </w:r>
          </w:p>
        </w:tc>
      </w:tr>
      <w:tr w:rsidR="00BE06B5" w:rsidRPr="00B64BC7" w14:paraId="3A0B523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C2D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CCE9" w14:textId="6CCF4DEB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right="227" w:hanging="499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Nem pénzügyi ügyfeleknek tett finanszírozási kötelezettségvállalás</w:t>
            </w:r>
            <w:r w:rsidR="00842B9C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ok</w:t>
            </w:r>
          </w:p>
          <w:p w14:paraId="465AC476" w14:textId="5652D33C" w:rsidR="00BE06B5" w:rsidRPr="00F439C4" w:rsidRDefault="00BE06B5" w:rsidP="005D57EA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32. cikkének (3) bekezdésének (a) pontja</w:t>
            </w:r>
            <w:r w:rsidR="001D28B4">
              <w:rPr>
                <w:rFonts w:asciiTheme="majorHAnsi" w:eastAsia="Times New Roman" w:hAnsiTheme="majorHAnsi" w:cs="Times New Roman"/>
                <w:color w:val="000000"/>
                <w:szCs w:val="20"/>
              </w:rPr>
              <w:t>.</w:t>
            </w:r>
          </w:p>
          <w:p w14:paraId="232FB717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nem pénzügyi ügyfeleknek 30 napon belüli finanszírozás nyú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j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tására tett kötelezettségvállalások fennálló egyenlegét.</w:t>
            </w:r>
          </w:p>
          <w:p w14:paraId="788FA71F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E tétel csak azokat a szerződéses kötelezettségeket kell, hogy tartalmazza, amelyek nem tekinte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dőek likviditáskiáramlásoknak.</w:t>
            </w:r>
          </w:p>
        </w:tc>
      </w:tr>
      <w:tr w:rsidR="00BE06B5" w:rsidRPr="00B64BC7" w14:paraId="1BC43A5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D3ED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t>1270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18CC" w14:textId="77777777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Származtatott ügyletekért nyújtott 1. szintű eszköznek (kiv. rendkívül magas minőségű fed</w:t>
            </w: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e</w:t>
            </w: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zett kötvénynek) minősülő fedezet</w:t>
            </w:r>
          </w:p>
          <w:p w14:paraId="0132FA98" w14:textId="74464925" w:rsidR="00BE06B5" w:rsidRPr="008C5D6D" w:rsidRDefault="00BE06B5" w:rsidP="002F7E8E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b/>
                <w:bCs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575/2013</w:t>
            </w:r>
            <w:r w:rsidR="002F7E8E">
              <w:rPr>
                <w:rFonts w:asciiTheme="majorHAnsi" w:eastAsia="Times New Roman" w:hAnsiTheme="majorHAnsi" w:cs="Times New Roman"/>
                <w:color w:val="000000"/>
                <w:szCs w:val="20"/>
              </w:rPr>
              <w:t>/EU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rendelet II. mellékletében felsorolt szerződ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sek és származtatott ügyletek ellenében fedezetként nyújtott 1. szintű eszközök piaci értékét, a rendkí</w:t>
            </w:r>
            <w:r w:rsidRPr="008C5D6D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vül magas minőségű fedezet kötvények kivételével.</w:t>
            </w:r>
          </w:p>
        </w:tc>
      </w:tr>
      <w:tr w:rsidR="00BE06B5" w:rsidRPr="00B64BC7" w14:paraId="2CFE5AC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DA05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E2EC" w14:textId="77777777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Értékpapír-finanszírozási ügyletek nyomon követése</w:t>
            </w:r>
          </w:p>
          <w:p w14:paraId="25544596" w14:textId="427E9890" w:rsidR="00BE06B5" w:rsidRPr="00F439C4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hAnsiTheme="majorHAnsi"/>
                <w:bCs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a Bizottság által az 575/2013/EU rendelet 423. cikkének (3) bekezdése alapján elfogadandó felhatalmazáson alapuló jogi aktus alapján jelenteniük kell azon értékpapír-finanszírozási ügyletekre nyújtott fedezetek teljes összegét, amelyek esetén abból kifolyólag, hogy az értékpapír-finanszírozási ügylet egyik lába a másiktól eltérő devizában denominált, egy releváns árfolyamban bekövetkező változás fedezet kiáramlást idézhet elő.</w:t>
            </w:r>
          </w:p>
        </w:tc>
      </w:tr>
      <w:tr w:rsidR="00BE06B5" w:rsidRPr="00B64BC7" w14:paraId="5D539D10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noWrap/>
            <w:vAlign w:val="center"/>
          </w:tcPr>
          <w:p w14:paraId="34ECF1C9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noWrap/>
            <w:vAlign w:val="center"/>
          </w:tcPr>
          <w:p w14:paraId="01048B08" w14:textId="77777777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497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Csoporton belüli, vagy intézményvédelmi rendszeren belüli kiáramlások</w:t>
            </w:r>
          </w:p>
          <w:p w14:paraId="265671AC" w14:textId="246C7007" w:rsidR="00BE06B5" w:rsidRPr="00F439C4" w:rsidRDefault="00BE06B5" w:rsidP="00BE06B5">
            <w:pPr>
              <w:spacing w:beforeLines="100" w:before="240" w:after="0" w:line="240" w:lineRule="auto"/>
              <w:ind w:left="227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proofErr w:type="gramStart"/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az összes 1. tételben jelentett ügyletet, ahol a partner a h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telintézet anyavállalata vagy leányvállalata, vagy ugyanazon anyavállalatnak egy másik leányváll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lata, vagy a hitelintézet a 83/349/EGK irányelv 12. cikkének (1) bekezdése értelmében vett kapcs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latban áll, vagy az 575/2013/EU rendelet 113. cikkének (7) bekezdésében említett ugyanazon i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tézményvédelmi rendszer tagja, vagy az említett rendelet 10. </w:t>
            </w:r>
            <w:r w:rsidR="001D28B4">
              <w:rPr>
                <w:rFonts w:asciiTheme="majorHAnsi" w:eastAsia="Times New Roman" w:hAnsiTheme="majorHAnsi" w:cs="Times New Roman"/>
                <w:color w:val="000000"/>
                <w:szCs w:val="20"/>
              </w:rPr>
              <w:t>cikkében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említett hálózat vagy sz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ö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vetkezeti csoport központi intézménye vagy társult tagja.</w:t>
            </w:r>
            <w:proofErr w:type="gramEnd"/>
          </w:p>
        </w:tc>
      </w:tr>
      <w:tr w:rsidR="00BE06B5" w:rsidRPr="00B64BC7" w14:paraId="6B4FF175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626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1290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63F4" w14:textId="0BC85BBF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781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Amelyből: pénzügyi ügyfelek</w:t>
            </w:r>
            <w:r w:rsidR="00587AB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részére</w:t>
            </w:r>
          </w:p>
          <w:p w14:paraId="1B2B6860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b/>
                <w:bCs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11. tétel hatályán belül az 1.1. részben jelentett pénzügyi ügyfelekhez tartozó teljes összeget.</w:t>
            </w:r>
          </w:p>
        </w:tc>
      </w:tr>
      <w:tr w:rsidR="00BE06B5" w:rsidRPr="00B64BC7" w14:paraId="4FBEDD07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F363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0DBC" w14:textId="203F78A4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781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Amelyből: nem-pénzügyi ügyfelek</w:t>
            </w:r>
            <w:r w:rsidR="00587AB3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részére</w:t>
            </w:r>
          </w:p>
          <w:p w14:paraId="19A7A703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11. tétel hatályán belül az 1.1. részben jelentett nem-pénzügyi ügyfelekhez tartozó teljes összeget.</w:t>
            </w:r>
          </w:p>
        </w:tc>
      </w:tr>
      <w:tr w:rsidR="00BE06B5" w:rsidRPr="00B64BC7" w14:paraId="0A2F749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458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6DFE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781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Amelyből: fedezett</w:t>
            </w:r>
          </w:p>
          <w:p w14:paraId="77BF8A74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11. tétel hatályán belül az 1.2. részben jelentett fedezett üg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y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letek teljes összeget.</w:t>
            </w:r>
          </w:p>
        </w:tc>
      </w:tr>
      <w:tr w:rsidR="00BE06B5" w:rsidRPr="00B64BC7" w14:paraId="19BA6742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50DF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70CC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781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Amelyből: hitelkeretek kedvezőbb kezelés nélkül</w:t>
            </w:r>
          </w:p>
          <w:p w14:paraId="16B430A2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  <w:highlight w:val="cyan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1.1.5.1 tételben jelentett, a 11. tétel hatálya alá eső inté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mények által lehívható, de le nem hívott hitelkeretek maximálisan lehívható összegét, amelyek esetén nem kaptak engedélyt a Bizottság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felhatalmazáson alapuló rendeletének 29. cikke szerint alacsonyabb kiáramlási arányok alkalmazására.</w:t>
            </w:r>
          </w:p>
        </w:tc>
      </w:tr>
      <w:tr w:rsidR="00BE06B5" w:rsidRPr="00B64BC7" w14:paraId="670A6B38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0F7E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174E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781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Amelyből: likviditási keretek kedvezőbb kezelés nélkül</w:t>
            </w:r>
          </w:p>
          <w:p w14:paraId="05E616EE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  <w:highlight w:val="cyan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az 1.1.5.2 tételben jelentett, a 11. tétel hatálya alá eső inté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mények által lehívható, de le nem hívott likviditási keretek maximálisan lehívható összegét, am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lyek esetén nem kaptak engedélyt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rendeletének 29. cikke szerint alacsonyabb kiáramlási arányok alkalmazására.</w:t>
            </w:r>
          </w:p>
        </w:tc>
      </w:tr>
      <w:tr w:rsidR="00BE06B5" w:rsidRPr="00B64BC7" w14:paraId="28F28CEA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3D7B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4E03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781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Amelyből: operatív betétek</w:t>
            </w:r>
          </w:p>
          <w:p w14:paraId="18D470A8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11. tétel hatályán belül az 1.1.2 részben jelentett operatív b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tétek fennálló egyenlegét.</w:t>
            </w:r>
          </w:p>
        </w:tc>
      </w:tr>
      <w:tr w:rsidR="00BE06B5" w:rsidRPr="00B64BC7" w14:paraId="699B14FD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A31A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2231" w14:textId="77777777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781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Amelyből: nem-operatív betétek</w:t>
            </w:r>
          </w:p>
          <w:p w14:paraId="38A6947B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11. tétel hatályán belül az 1.1.2 részben jelentett nem-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operatív betétek fennálló egyenlegét.</w:t>
            </w:r>
          </w:p>
        </w:tc>
      </w:tr>
      <w:tr w:rsidR="00BE06B5" w:rsidRPr="00B64BC7" w14:paraId="0AB282CC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13B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lastRenderedPageBreak/>
              <w:br w:type="page"/>
              <w:t>1360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0DBA" w14:textId="546AE036" w:rsidR="00BE06B5" w:rsidRPr="00F439C4" w:rsidRDefault="00BE06B5" w:rsidP="00356041">
            <w:pPr>
              <w:pStyle w:val="Listaszerbekezds"/>
              <w:numPr>
                <w:ilvl w:val="1"/>
                <w:numId w:val="15"/>
              </w:numPr>
              <w:tabs>
                <w:tab w:val="left" w:pos="781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Amelyből:</w:t>
            </w:r>
            <w:r w:rsidR="00882A18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</w:t>
            </w: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adósságinstrumentumok kivéve lakossági betétként kezelt kötelezettségek</w:t>
            </w:r>
          </w:p>
          <w:p w14:paraId="171E9122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jelenteniük kell a 11. tétel hatálya alá eső intézmények által tartott, az 1.1.7.2 tételben jelentett adósságinstrumentumok fennálló egyenlegét.</w:t>
            </w:r>
          </w:p>
        </w:tc>
      </w:tr>
      <w:tr w:rsidR="00BE06B5" w:rsidRPr="00B64BC7" w14:paraId="668A43D3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7D7C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F2CA" w14:textId="77777777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1064"/>
              </w:tabs>
              <w:spacing w:beforeLines="100" w:before="240" w:after="0" w:line="240" w:lineRule="auto"/>
              <w:ind w:left="639" w:right="227" w:hanging="425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Deviza kiáramlások</w:t>
            </w:r>
          </w:p>
          <w:p w14:paraId="3770E2B6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Ez a tétel kizárólag a devizánkénti adatszolgáltatás hatálya alá eső pénznemek esetén jelentendő.</w:t>
            </w:r>
          </w:p>
          <w:p w14:paraId="00B623DB" w14:textId="16781EBF" w:rsidR="00BE06B5" w:rsidRPr="00F439C4" w:rsidRDefault="00BE06B5" w:rsidP="0087448C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Kizárólag a jelentős pénznemek jelentése érdekében, a hitelintézeteknek jelenteniük kell a szá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maztatott ügyletekből (az 1.1.4.5 tételben jelentett) eredő, a biztosítéki csereügyletek jelentős d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vizában történő tőke áramlásaihoz, 30 napon belül lejáró azonnali és határidős deviza ügyletekhez kapcsolódó kiáramlások részét. A partnerrel történ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>ő nettósítás csak arra a deviza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áramlásra alka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l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mazható, például </w:t>
            </w:r>
            <w:proofErr w:type="gramStart"/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proofErr w:type="gramEnd"/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Partner: +10 EUR és A Partner -20 EUR kiáramlása +10 EUR kiáramlásként j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lentendő. Partnerek között a nettósítás nem alkalmazható, például </w:t>
            </w:r>
            <w:proofErr w:type="gramStart"/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proofErr w:type="gramEnd"/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Partner: -10 EUR, B Partner +40 EUR esetén +10 EUR-t kell jelenteni a C</w:t>
            </w:r>
            <w:r w:rsidR="00F73E32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73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.00 táblázaton (és 40 EUR beáramlást a C</w:t>
            </w:r>
            <w:r w:rsidR="00BF187E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74.00 tá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b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lázaton).</w:t>
            </w:r>
          </w:p>
        </w:tc>
      </w:tr>
      <w:tr w:rsidR="00BE06B5" w:rsidRPr="00B64BC7" w14:paraId="6C63B8B1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E97E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6509" w14:textId="77777777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Harmadik országbeli kiáramlások – </w:t>
            </w:r>
            <w:proofErr w:type="gramStart"/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transzfer korlátozások</w:t>
            </w:r>
            <w:proofErr w:type="gramEnd"/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 xml:space="preserve"> vagy nem-konvertibilis valuták</w:t>
            </w:r>
          </w:p>
          <w:p w14:paraId="15EAD114" w14:textId="77777777" w:rsidR="00BE06B5" w:rsidRPr="00F439C4" w:rsidRDefault="00BE06B5" w:rsidP="00BE06B5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hAnsiTheme="majorHAnsi"/>
                <w:b/>
                <w:bCs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a devizakiviteli-/behozatali korlátozásokat alkalmazó ha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madik országokból származó vagy nem konvertibilis devizában denominált likviditáskiáramlásokat.</w:t>
            </w:r>
          </w:p>
        </w:tc>
      </w:tr>
      <w:tr w:rsidR="00BE06B5" w:rsidRPr="00B64BC7" w14:paraId="672DBA94" w14:textId="77777777" w:rsidTr="00C666B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42A1" w14:textId="77777777" w:rsidR="00BE06B5" w:rsidRPr="0035465A" w:rsidRDefault="00BE06B5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</w:rPr>
            </w:pPr>
            <w:r w:rsidRPr="0035465A">
              <w:rPr>
                <w:rFonts w:asciiTheme="majorHAnsi" w:hAnsiTheme="majorHAnsi" w:cs="Arial"/>
                <w:szCs w:val="20"/>
              </w:rPr>
              <w:t>1390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FCB8" w14:textId="77777777" w:rsidR="00BE06B5" w:rsidRPr="00F439C4" w:rsidRDefault="00BE06B5" w:rsidP="00356041">
            <w:pPr>
              <w:pStyle w:val="Listaszerbekezds"/>
              <w:numPr>
                <w:ilvl w:val="0"/>
                <w:numId w:val="15"/>
              </w:numPr>
              <w:tabs>
                <w:tab w:val="left" w:pos="639"/>
              </w:tabs>
              <w:spacing w:beforeLines="100" w:before="240" w:after="0" w:line="240" w:lineRule="auto"/>
              <w:ind w:left="214" w:right="227" w:firstLine="0"/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</w:pPr>
            <w:r w:rsidRPr="00F439C4">
              <w:rPr>
                <w:rFonts w:asciiTheme="majorHAnsi" w:eastAsia="Times New Roman" w:hAnsiTheme="majorHAnsi" w:cs="Times New Roman"/>
                <w:b/>
                <w:color w:val="000000"/>
                <w:szCs w:val="20"/>
                <w:u w:val="single"/>
              </w:rPr>
              <w:t>Jegybanki tartalékban elhelyezendő további egyenlegek</w:t>
            </w:r>
          </w:p>
          <w:p w14:paraId="24CCFDB4" w14:textId="152C4CBA" w:rsidR="00BE06B5" w:rsidRPr="00F439C4" w:rsidRDefault="00BE06B5" w:rsidP="00882A18">
            <w:pPr>
              <w:tabs>
                <w:tab w:val="left" w:pos="497"/>
                <w:tab w:val="left" w:pos="1064"/>
              </w:tabs>
              <w:spacing w:beforeLines="100" w:before="240" w:after="0" w:line="240" w:lineRule="auto"/>
              <w:ind w:left="214" w:right="227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ahol szükséges jelenteniük kell a jegybanki tartalékban elhelyezendő további egyenlegek összegét, ha erről az EKB vagy a Bizottság</w:t>
            </w:r>
            <w:r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 xml:space="preserve">(EU) </w:t>
            </w:r>
            <w:r w:rsidRPr="0022649A">
              <w:rPr>
                <w:rFonts w:asciiTheme="majorHAnsi" w:hAnsiTheme="majorHAnsi" w:cs="Arial"/>
                <w:szCs w:val="20"/>
              </w:rPr>
              <w:t>2015/61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felhatalmazáson alapuló rend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letének 10. cikk (1) bekezdés (b)</w:t>
            </w:r>
            <w:r w:rsidR="00882A1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pontjának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(iii) </w:t>
            </w:r>
            <w:r w:rsidR="00882A1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al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pontja szerinti központi bank és a releváns illet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F439C4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kes hatóság megállapodott. </w:t>
            </w:r>
          </w:p>
        </w:tc>
      </w:tr>
    </w:tbl>
    <w:p w14:paraId="605BB7F3" w14:textId="77777777" w:rsidR="00BE06B5" w:rsidRPr="00B64BC7" w:rsidRDefault="00BE06B5" w:rsidP="00BE06B5">
      <w:pPr>
        <w:spacing w:before="320" w:afterLines="200" w:after="480"/>
        <w:rPr>
          <w:rFonts w:asciiTheme="majorHAnsi" w:hAnsiTheme="majorHAnsi" w:cs="Arial"/>
          <w:szCs w:val="20"/>
        </w:rPr>
      </w:pPr>
    </w:p>
    <w:p w14:paraId="39ACCC9B" w14:textId="77777777" w:rsidR="00BE06B5" w:rsidRDefault="00BE06B5">
      <w:pPr>
        <w:spacing w:after="0" w:line="240" w:lineRule="auto"/>
        <w:jc w:val="lef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br w:type="page"/>
      </w:r>
    </w:p>
    <w:p w14:paraId="35321C4B" w14:textId="77777777" w:rsidR="00407CA6" w:rsidRPr="001429AB" w:rsidRDefault="00407CA6" w:rsidP="00407CA6">
      <w:pPr>
        <w:jc w:val="center"/>
        <w:rPr>
          <w:rFonts w:eastAsia="PMingLiU"/>
          <w:b/>
          <w:sz w:val="24"/>
          <w:szCs w:val="20"/>
          <w:lang w:eastAsia="de-DE"/>
        </w:rPr>
      </w:pPr>
      <w:r w:rsidRPr="001429AB">
        <w:rPr>
          <w:rFonts w:eastAsia="PMingLiU"/>
          <w:b/>
          <w:sz w:val="24"/>
          <w:szCs w:val="20"/>
          <w:lang w:eastAsia="de-DE"/>
        </w:rPr>
        <w:lastRenderedPageBreak/>
        <w:t>3. rész: Beáramlások</w:t>
      </w:r>
    </w:p>
    <w:p w14:paraId="5E7435BF" w14:textId="77777777" w:rsidR="00407CA6" w:rsidRPr="008B5718" w:rsidRDefault="00407CA6" w:rsidP="00101DCF">
      <w:pPr>
        <w:pStyle w:val="Cmsor1"/>
        <w:numPr>
          <w:ilvl w:val="0"/>
          <w:numId w:val="32"/>
        </w:numPr>
        <w:rPr>
          <w:color w:val="auto"/>
        </w:rPr>
      </w:pPr>
      <w:r w:rsidRPr="008B5718">
        <w:rPr>
          <w:color w:val="auto"/>
        </w:rPr>
        <w:t>Beáramlások</w:t>
      </w:r>
    </w:p>
    <w:p w14:paraId="2B3ECBB0" w14:textId="77777777" w:rsidR="00407CA6" w:rsidRPr="008B5718" w:rsidRDefault="00407CA6" w:rsidP="00101DCF">
      <w:pPr>
        <w:pStyle w:val="Cmsor2"/>
        <w:numPr>
          <w:ilvl w:val="1"/>
          <w:numId w:val="31"/>
        </w:numPr>
        <w:rPr>
          <w:color w:val="auto"/>
        </w:rPr>
      </w:pPr>
      <w:r w:rsidRPr="008B5718">
        <w:rPr>
          <w:color w:val="auto"/>
        </w:rPr>
        <w:t>Általános rendelkezések</w:t>
      </w:r>
    </w:p>
    <w:p w14:paraId="2318D69C" w14:textId="5F882C92" w:rsidR="00407CA6" w:rsidRPr="008B5718" w:rsidRDefault="00407CA6" w:rsidP="00101DCF">
      <w:pPr>
        <w:pStyle w:val="Listaszerbekezds"/>
        <w:numPr>
          <w:ilvl w:val="0"/>
          <w:numId w:val="33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Ez egy olyan összefoglaló tábla, amely a Bizottság (EU) 2015/61 felhatalmazáson alapuló rendeletében me</w:t>
      </w:r>
      <w:r w:rsidRPr="008B5718">
        <w:rPr>
          <w:rFonts w:asciiTheme="majorHAnsi" w:hAnsiTheme="majorHAnsi" w:cs="Arial"/>
          <w:szCs w:val="20"/>
        </w:rPr>
        <w:t>g</w:t>
      </w:r>
      <w:r w:rsidRPr="008B5718">
        <w:rPr>
          <w:rFonts w:asciiTheme="majorHAnsi" w:hAnsiTheme="majorHAnsi" w:cs="Arial"/>
          <w:szCs w:val="20"/>
        </w:rPr>
        <w:t>határozott likviditásfedezeti követelmények jelentése céljából a következő 30 napra szóló likviditás beára</w:t>
      </w:r>
      <w:r w:rsidRPr="008B5718">
        <w:rPr>
          <w:rFonts w:asciiTheme="majorHAnsi" w:hAnsiTheme="majorHAnsi" w:cs="Arial"/>
          <w:szCs w:val="20"/>
        </w:rPr>
        <w:t>m</w:t>
      </w:r>
      <w:r w:rsidRPr="008B5718">
        <w:rPr>
          <w:rFonts w:asciiTheme="majorHAnsi" w:hAnsiTheme="majorHAnsi" w:cs="Arial"/>
          <w:szCs w:val="20"/>
        </w:rPr>
        <w:t>lásra vonatkozó információkat tartalmazza. Szürkével vannak jelölve azok a tételek, amelyeket nem kell a h</w:t>
      </w:r>
      <w:r w:rsidRPr="008B5718">
        <w:rPr>
          <w:rFonts w:asciiTheme="majorHAnsi" w:hAnsiTheme="majorHAnsi" w:cs="Arial"/>
          <w:szCs w:val="20"/>
        </w:rPr>
        <w:t>i</w:t>
      </w:r>
      <w:r w:rsidRPr="008B5718">
        <w:rPr>
          <w:rFonts w:asciiTheme="majorHAnsi" w:hAnsiTheme="majorHAnsi" w:cs="Arial"/>
          <w:szCs w:val="20"/>
        </w:rPr>
        <w:t>telintézeteknek kitölteniük.</w:t>
      </w:r>
    </w:p>
    <w:p w14:paraId="0AEDF6F1" w14:textId="77777777" w:rsidR="00407CA6" w:rsidRPr="008B5718" w:rsidRDefault="00407CA6" w:rsidP="00101DCF">
      <w:pPr>
        <w:pStyle w:val="Listaszerbekezds"/>
        <w:numPr>
          <w:ilvl w:val="0"/>
          <w:numId w:val="33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hitelintézetnek a Bizottság (EU) 2015/61 felhatalmazáson alapuló rendeletének</w:t>
      </w:r>
      <w:r w:rsidRPr="008B5718" w:rsidDel="00DE1BF7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4. cikk (5) bekezdésnek megfelelő devizanemekben kell kitölteni a táblát.</w:t>
      </w:r>
    </w:p>
    <w:p w14:paraId="66272DFA" w14:textId="0622D54E" w:rsidR="00407CA6" w:rsidRPr="008B5718" w:rsidRDefault="00407CA6" w:rsidP="00101DCF">
      <w:pPr>
        <w:pStyle w:val="Listaszerbekezds"/>
        <w:numPr>
          <w:ilvl w:val="0"/>
          <w:numId w:val="33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Bizottság (EU) 2015/61 felhatalmazáson alapuló rendeletének</w:t>
      </w:r>
      <w:r w:rsidRPr="008B5718" w:rsidDel="007969DC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32. cikkével összhangban azokat a beára</w:t>
      </w:r>
      <w:r w:rsidRPr="008B5718">
        <w:rPr>
          <w:rFonts w:asciiTheme="majorHAnsi" w:hAnsiTheme="majorHAnsi" w:cs="Arial"/>
          <w:szCs w:val="20"/>
        </w:rPr>
        <w:t>m</w:t>
      </w:r>
      <w:r w:rsidRPr="008B5718">
        <w:rPr>
          <w:rFonts w:asciiTheme="majorHAnsi" w:hAnsiTheme="majorHAnsi" w:cs="Arial"/>
          <w:szCs w:val="20"/>
        </w:rPr>
        <w:t>lásokat lehet figyelembe venni, amelyek:</w:t>
      </w:r>
    </w:p>
    <w:p w14:paraId="081BB307" w14:textId="77777777" w:rsidR="00407CA6" w:rsidRPr="00407CA6" w:rsidRDefault="00407CA6" w:rsidP="00101DCF">
      <w:pPr>
        <w:pStyle w:val="InstructionsText2"/>
        <w:numPr>
          <w:ilvl w:val="2"/>
          <w:numId w:val="20"/>
        </w:numPr>
        <w:ind w:left="1134"/>
        <w:rPr>
          <w:rFonts w:ascii="Calibri" w:hAnsi="Calibri"/>
          <w:szCs w:val="20"/>
          <w:lang w:val="hu-HU"/>
        </w:rPr>
      </w:pPr>
      <w:r w:rsidRPr="001429AB">
        <w:rPr>
          <w:rFonts w:ascii="Calibri" w:hAnsi="Calibri"/>
          <w:szCs w:val="20"/>
          <w:lang w:val="hu-HU"/>
        </w:rPr>
        <w:t xml:space="preserve">szerződésen alapuló beáramlások, amelyek nem késedelmesek és a hitelintézetnek nincs </w:t>
      </w:r>
      <w:r w:rsidRPr="00407CA6">
        <w:rPr>
          <w:rFonts w:ascii="Calibri" w:hAnsi="Calibri"/>
          <w:szCs w:val="20"/>
          <w:lang w:val="hu-HU"/>
        </w:rPr>
        <w:t>oka 30 napon belül nem teljesítést feltételezni.</w:t>
      </w:r>
    </w:p>
    <w:p w14:paraId="29AFD9E7" w14:textId="79CF6B79" w:rsidR="00407CA6" w:rsidRPr="00407CA6" w:rsidRDefault="00407CA6" w:rsidP="00101DCF">
      <w:pPr>
        <w:pStyle w:val="InstructionsText2"/>
        <w:numPr>
          <w:ilvl w:val="2"/>
          <w:numId w:val="20"/>
        </w:numPr>
        <w:ind w:left="1134"/>
        <w:rPr>
          <w:rFonts w:ascii="Calibri" w:hAnsi="Calibri"/>
          <w:szCs w:val="20"/>
          <w:lang w:val="hu-HU"/>
        </w:rPr>
      </w:pPr>
      <w:r w:rsidRPr="00407CA6">
        <w:rPr>
          <w:rFonts w:ascii="Calibri" w:hAnsi="Calibri"/>
          <w:szCs w:val="20"/>
          <w:lang w:val="hu-HU"/>
        </w:rPr>
        <w:t xml:space="preserve">szerződéses követeléseken alapuló kitettségek és a </w:t>
      </w:r>
      <w:r w:rsidRPr="00407CA6">
        <w:rPr>
          <w:rFonts w:ascii="Calibri" w:hAnsi="Calibri" w:cs="Arial"/>
          <w:szCs w:val="20"/>
          <w:lang w:val="hu-HU"/>
        </w:rPr>
        <w:t>Bizottság (EU) 2015/61 felhatalmazáson alapuló rendeletében</w:t>
      </w:r>
      <w:r w:rsidRPr="00407CA6" w:rsidDel="00DE1BF7">
        <w:rPr>
          <w:rFonts w:ascii="Calibri" w:hAnsi="Calibri"/>
          <w:szCs w:val="20"/>
          <w:lang w:val="hu-HU"/>
        </w:rPr>
        <w:t xml:space="preserve"> </w:t>
      </w:r>
      <w:r w:rsidRPr="00407CA6">
        <w:rPr>
          <w:rFonts w:ascii="Calibri" w:hAnsi="Calibri"/>
          <w:szCs w:val="20"/>
          <w:lang w:val="hu-HU"/>
        </w:rPr>
        <w:t>meghatározott különböző kategóriákhoz tartozó együtthatók szorzataként kerültek k</w:t>
      </w:r>
      <w:r w:rsidRPr="00407CA6">
        <w:rPr>
          <w:rFonts w:ascii="Calibri" w:hAnsi="Calibri"/>
          <w:szCs w:val="20"/>
          <w:lang w:val="hu-HU"/>
        </w:rPr>
        <w:t>i</w:t>
      </w:r>
      <w:r w:rsidRPr="00407CA6">
        <w:rPr>
          <w:rFonts w:ascii="Calibri" w:hAnsi="Calibri"/>
          <w:szCs w:val="20"/>
          <w:lang w:val="hu-HU"/>
        </w:rPr>
        <w:t>számításra</w:t>
      </w:r>
      <w:r w:rsidR="00EC5491">
        <w:rPr>
          <w:rFonts w:ascii="Calibri" w:hAnsi="Calibri"/>
          <w:szCs w:val="20"/>
          <w:lang w:val="hu-HU"/>
        </w:rPr>
        <w:t>.</w:t>
      </w:r>
    </w:p>
    <w:p w14:paraId="5A473BE6" w14:textId="02A53026" w:rsidR="00407CA6" w:rsidRPr="008B5718" w:rsidRDefault="001C4F3C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c</w:t>
      </w:r>
      <w:r w:rsidR="00407CA6" w:rsidRPr="008B5718">
        <w:rPr>
          <w:rFonts w:asciiTheme="majorHAnsi" w:hAnsiTheme="majorHAnsi" w:cs="Arial"/>
          <w:szCs w:val="20"/>
        </w:rPr>
        <w:t>soporton vagy intézményvédelmi rendszeren belüli beáramlásokat (kivéve a le nem hívott hitelkeretekre és likviditási keretekre vonatkozó, az illetékes hatóság által engedélyezett kedvezményes beáramlási ar</w:t>
      </w:r>
      <w:r w:rsidR="00407CA6" w:rsidRPr="008B5718">
        <w:rPr>
          <w:rFonts w:asciiTheme="majorHAnsi" w:hAnsiTheme="majorHAnsi" w:cs="Arial"/>
          <w:szCs w:val="20"/>
        </w:rPr>
        <w:t>á</w:t>
      </w:r>
      <w:r w:rsidR="00407CA6" w:rsidRPr="008B5718">
        <w:rPr>
          <w:rFonts w:asciiTheme="majorHAnsi" w:hAnsiTheme="majorHAnsi" w:cs="Arial"/>
          <w:szCs w:val="20"/>
        </w:rPr>
        <w:t>nyokat) megfelelő kategóriákba kell sorolni. A súlyozatlan összegeket a kitöltési útmutató 4. részének me</w:t>
      </w:r>
      <w:r w:rsidR="00407CA6" w:rsidRPr="008B5718">
        <w:rPr>
          <w:rFonts w:asciiTheme="majorHAnsi" w:hAnsiTheme="majorHAnsi" w:cs="Arial"/>
          <w:szCs w:val="20"/>
        </w:rPr>
        <w:t>g</w:t>
      </w:r>
      <w:r w:rsidR="00407CA6" w:rsidRPr="008B5718">
        <w:rPr>
          <w:rFonts w:asciiTheme="majorHAnsi" w:hAnsiTheme="majorHAnsi" w:cs="Arial"/>
          <w:szCs w:val="20"/>
        </w:rPr>
        <w:t>felelően a tájékoztató adatok között is jelenteni kell.</w:t>
      </w:r>
    </w:p>
    <w:p w14:paraId="79D1BD3E" w14:textId="77777777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Bizottság (EU) 2015/61 felhatalmazáson alapuló rendeletének</w:t>
      </w:r>
      <w:r w:rsidRPr="008B5718" w:rsidDel="00DE1BF7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32. cikk (6) bekezdésével összhangban a h</w:t>
      </w:r>
      <w:r w:rsidRPr="008B5718">
        <w:rPr>
          <w:rFonts w:asciiTheme="majorHAnsi" w:hAnsiTheme="majorHAnsi" w:cs="Arial"/>
          <w:szCs w:val="20"/>
        </w:rPr>
        <w:t>i</w:t>
      </w:r>
      <w:r w:rsidRPr="008B5718">
        <w:rPr>
          <w:rFonts w:asciiTheme="majorHAnsi" w:hAnsiTheme="majorHAnsi" w:cs="Arial"/>
          <w:szCs w:val="20"/>
        </w:rPr>
        <w:t>telintézet nem jelentheti beáramlásként a Bizottság (EU) 2015/61 felhatalmazáson alapuló rendeletének II. címben említett likvid eszközökből származó beáramlásokat, kivéve azokat</w:t>
      </w:r>
      <w:r w:rsidR="00E520A8" w:rsidRPr="008B5718">
        <w:rPr>
          <w:rFonts w:asciiTheme="majorHAnsi" w:hAnsiTheme="majorHAnsi" w:cs="Arial"/>
          <w:szCs w:val="20"/>
        </w:rPr>
        <w:t>,</w:t>
      </w:r>
      <w:r w:rsidRPr="008B5718">
        <w:rPr>
          <w:rFonts w:asciiTheme="majorHAnsi" w:hAnsiTheme="majorHAnsi" w:cs="Arial"/>
          <w:szCs w:val="20"/>
        </w:rPr>
        <w:t xml:space="preserve"> amelyeket az eszköz piaci értéke nem tükröz. </w:t>
      </w:r>
    </w:p>
    <w:p w14:paraId="7E55F9CB" w14:textId="01F5BEB4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hitelintézet azokat a beáramlásokat, amelyek deviza kiviteli/behozatali korlátozásokat alkalmazó orszá</w:t>
      </w:r>
      <w:r w:rsidRPr="008B5718">
        <w:rPr>
          <w:rFonts w:asciiTheme="majorHAnsi" w:hAnsiTheme="majorHAnsi" w:cs="Arial"/>
          <w:szCs w:val="20"/>
        </w:rPr>
        <w:t>g</w:t>
      </w:r>
      <w:r w:rsidRPr="008B5718">
        <w:rPr>
          <w:rFonts w:asciiTheme="majorHAnsi" w:hAnsiTheme="majorHAnsi" w:cs="Arial"/>
          <w:szCs w:val="20"/>
        </w:rPr>
        <w:t>ban vagy nem konvertibilis devizában esedékesek, a tábla megfelelő 1.1, 1.2, 1.3 sorában köteles jelenteni. A beáramlást teljes mértékben jelenteni kell, függetlenül a harmadik országbeli vagy adott devizában d</w:t>
      </w:r>
      <w:r w:rsidRPr="008B5718">
        <w:rPr>
          <w:rFonts w:asciiTheme="majorHAnsi" w:hAnsiTheme="majorHAnsi" w:cs="Arial"/>
          <w:szCs w:val="20"/>
        </w:rPr>
        <w:t>e</w:t>
      </w:r>
      <w:r w:rsidRPr="008B5718">
        <w:rPr>
          <w:rFonts w:asciiTheme="majorHAnsi" w:hAnsiTheme="majorHAnsi" w:cs="Arial"/>
          <w:szCs w:val="20"/>
        </w:rPr>
        <w:t>nominált kiáramlás nagyságától.</w:t>
      </w:r>
    </w:p>
    <w:p w14:paraId="435CCDC4" w14:textId="7453C32D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Azokból az értékpapírokból származó pénzeszközöket, amelyeket maga a pénzintézet, vagy kapcsolt társ</w:t>
      </w:r>
      <w:r w:rsidRPr="008B5718">
        <w:rPr>
          <w:rFonts w:asciiTheme="majorHAnsi" w:hAnsiTheme="majorHAnsi" w:cs="Arial"/>
          <w:szCs w:val="20"/>
        </w:rPr>
        <w:t>a</w:t>
      </w:r>
      <w:r w:rsidRPr="008B5718">
        <w:rPr>
          <w:rFonts w:asciiTheme="majorHAnsi" w:hAnsiTheme="majorHAnsi" w:cs="Arial"/>
          <w:szCs w:val="20"/>
        </w:rPr>
        <w:t>sága bocsátott ki, nettó alapon kell figyelembe venni a mögöttes termékre a Bizottság (EU) 2015/61 felh</w:t>
      </w:r>
      <w:r w:rsidRPr="008B5718">
        <w:rPr>
          <w:rFonts w:asciiTheme="majorHAnsi" w:hAnsiTheme="majorHAnsi" w:cs="Arial"/>
          <w:szCs w:val="20"/>
        </w:rPr>
        <w:t>a</w:t>
      </w:r>
      <w:r w:rsidRPr="008B5718">
        <w:rPr>
          <w:rFonts w:asciiTheme="majorHAnsi" w:hAnsiTheme="majorHAnsi" w:cs="Arial"/>
          <w:szCs w:val="20"/>
        </w:rPr>
        <w:t>talmazáson alapuló rendeletének</w:t>
      </w:r>
      <w:r w:rsidRPr="008B5718" w:rsidDel="00DE1BF7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32. cikkében megállapított beáraml</w:t>
      </w:r>
      <w:r w:rsidR="00283B87">
        <w:rPr>
          <w:rFonts w:asciiTheme="majorHAnsi" w:hAnsiTheme="majorHAnsi" w:cs="Arial"/>
          <w:szCs w:val="20"/>
        </w:rPr>
        <w:t>ási arány figyelembevételével.</w:t>
      </w:r>
    </w:p>
    <w:p w14:paraId="5A4EBD21" w14:textId="77777777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Bizottság (EU) 2015/61 felhatalmazáson alapuló rendeletének</w:t>
      </w:r>
      <w:r w:rsidRPr="008B5718" w:rsidDel="00DE1BF7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32. cikk (7) bekezdéssel összhangban a h</w:t>
      </w:r>
      <w:r w:rsidRPr="008B5718">
        <w:rPr>
          <w:rFonts w:asciiTheme="majorHAnsi" w:hAnsiTheme="majorHAnsi" w:cs="Arial"/>
          <w:szCs w:val="20"/>
        </w:rPr>
        <w:t>i</w:t>
      </w:r>
      <w:r w:rsidRPr="008B5718">
        <w:rPr>
          <w:rFonts w:asciiTheme="majorHAnsi" w:hAnsiTheme="majorHAnsi" w:cs="Arial"/>
          <w:szCs w:val="20"/>
        </w:rPr>
        <w:t>telintézeteknek nem kell jelenteniük az újonnan vállalt kötelezettségekből származó beáramlásokat.</w:t>
      </w:r>
    </w:p>
    <w:p w14:paraId="19BA8E88" w14:textId="77777777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 xml:space="preserve">Jelentős devizanemben történő jelentés esetén, csak az adott devizában esedékes összeget kell jelenteni, biztosítva a jelentős devizákban fennálló eltérések megfelelő jelentését. Ez jelentheti azt, hogy a jelentős pénznemben történő adatszolgáltatásban csak az egyik irányú ügylet jelenik meg. Például csak a jelentős és </w:t>
      </w:r>
      <w:r w:rsidRPr="008B5718">
        <w:rPr>
          <w:rFonts w:asciiTheme="majorHAnsi" w:hAnsiTheme="majorHAnsi" w:cs="Arial"/>
          <w:szCs w:val="20"/>
        </w:rPr>
        <w:lastRenderedPageBreak/>
        <w:t>azonos devizanemekben kötött deviza származékos ügyletekből eredő készpénz kiáramlásokat és beáraml</w:t>
      </w:r>
      <w:r w:rsidRPr="008B5718">
        <w:rPr>
          <w:rFonts w:asciiTheme="majorHAnsi" w:hAnsiTheme="majorHAnsi" w:cs="Arial"/>
          <w:szCs w:val="20"/>
        </w:rPr>
        <w:t>á</w:t>
      </w:r>
      <w:r w:rsidRPr="008B5718">
        <w:rPr>
          <w:rFonts w:asciiTheme="majorHAnsi" w:hAnsiTheme="majorHAnsi" w:cs="Arial"/>
          <w:szCs w:val="20"/>
        </w:rPr>
        <w:t>sokat lehet nettó módon jelenteni a Bizottság (EU) 2015/61 felhatalmazáson alapuló rendeletének</w:t>
      </w:r>
      <w:r w:rsidRPr="008B5718" w:rsidDel="00DE1BF7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21. ci</w:t>
      </w:r>
      <w:r w:rsidRPr="008B5718">
        <w:rPr>
          <w:rFonts w:asciiTheme="majorHAnsi" w:hAnsiTheme="majorHAnsi" w:cs="Arial"/>
          <w:szCs w:val="20"/>
        </w:rPr>
        <w:t>k</w:t>
      </w:r>
      <w:r w:rsidRPr="008B5718">
        <w:rPr>
          <w:rFonts w:asciiTheme="majorHAnsi" w:hAnsiTheme="majorHAnsi" w:cs="Arial"/>
          <w:szCs w:val="20"/>
        </w:rPr>
        <w:t>kével összhangban.</w:t>
      </w:r>
    </w:p>
    <w:p w14:paraId="24FAAE55" w14:textId="77777777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 xml:space="preserve">Az adatszolgáltatási tábla oszlopainak szerkezete igazodik a Bizottság (EU) 2015/61 felhatalmazáson alapuló rendeletének 33. cikke szerinti beáramlások felső korlátjaihoz. Így az adattábla három oszlopot tartalmaz, külön oszlop vonatkozik a 75%-os, 90%-os korlátokra és a </w:t>
      </w:r>
      <w:proofErr w:type="gramStart"/>
      <w:r w:rsidRPr="008B5718">
        <w:rPr>
          <w:rFonts w:asciiTheme="majorHAnsi" w:hAnsiTheme="majorHAnsi" w:cs="Arial"/>
          <w:szCs w:val="20"/>
        </w:rPr>
        <w:t>mentesített</w:t>
      </w:r>
      <w:proofErr w:type="gramEnd"/>
      <w:r w:rsidRPr="008B5718">
        <w:rPr>
          <w:rFonts w:asciiTheme="majorHAnsi" w:hAnsiTheme="majorHAnsi" w:cs="Arial"/>
          <w:szCs w:val="20"/>
        </w:rPr>
        <w:t xml:space="preserve"> beáramlásokra. A hitelintézetek a konszolidált jelentésükben több oszlopba is jelenthetnek, amennyiben a konszolidált tagokra eltérő beára</w:t>
      </w:r>
      <w:r w:rsidRPr="008B5718">
        <w:rPr>
          <w:rFonts w:asciiTheme="majorHAnsi" w:hAnsiTheme="majorHAnsi" w:cs="Arial"/>
          <w:szCs w:val="20"/>
        </w:rPr>
        <w:t>m</w:t>
      </w:r>
      <w:r w:rsidRPr="008B5718">
        <w:rPr>
          <w:rFonts w:asciiTheme="majorHAnsi" w:hAnsiTheme="majorHAnsi" w:cs="Arial"/>
          <w:szCs w:val="20"/>
        </w:rPr>
        <w:t>lási korlátok vonatkoznak.</w:t>
      </w:r>
    </w:p>
    <w:p w14:paraId="3FFEABD3" w14:textId="77777777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Bizottság (EU) 2015/61 felhatalmazáson alapuló rendeletének 2. cikk (3) bekezdés (c) pontjával összhan</w:t>
      </w:r>
      <w:r w:rsidRPr="008B5718">
        <w:rPr>
          <w:rFonts w:asciiTheme="majorHAnsi" w:hAnsiTheme="majorHAnsi" w:cs="Arial"/>
          <w:szCs w:val="20"/>
        </w:rPr>
        <w:t>g</w:t>
      </w:r>
      <w:r w:rsidRPr="008B5718">
        <w:rPr>
          <w:rFonts w:asciiTheme="majorHAnsi" w:hAnsiTheme="majorHAnsi" w:cs="Arial"/>
          <w:szCs w:val="20"/>
        </w:rPr>
        <w:t>ban, annak a fióktelepnek a beáramlásaira, amelyek esetén a vonatkozó harmadik ország likviditásfedezeti követelményei a III. címben rögzítetteknél alacsonyabb beáramlási értékeket állapítanak meg, a harmadik ország jogszabályaiban meghatározott alacsonyabb értéket kell a konszolidáció során figyelembe venni.</w:t>
      </w:r>
    </w:p>
    <w:p w14:paraId="2812994B" w14:textId="176178DA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Bizottság (EU) 2015/61 felhatalmazáson alapuló rendelete</w:t>
      </w:r>
      <w:r w:rsidR="005F0B30" w:rsidRPr="008B5718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csak arányt és haircutot említ, és a súly szó is csak ezekre utal. Ebben a kitöltési útmutatóban a „súlyozott” szó a használatos általános kifejezés, amely azt jelenti, hogy a számított összeg a megfelelő beáramlási aránnyal, haircuttal, és egyéb instrukciók alkalmaz</w:t>
      </w:r>
      <w:r w:rsidRPr="008B5718">
        <w:rPr>
          <w:rFonts w:asciiTheme="majorHAnsi" w:hAnsiTheme="majorHAnsi" w:cs="Arial"/>
          <w:szCs w:val="20"/>
        </w:rPr>
        <w:t>á</w:t>
      </w:r>
      <w:r w:rsidRPr="008B5718">
        <w:rPr>
          <w:rFonts w:asciiTheme="majorHAnsi" w:hAnsiTheme="majorHAnsi" w:cs="Arial"/>
          <w:szCs w:val="20"/>
        </w:rPr>
        <w:t>sával kerül kiszámításra (például fedezett hitelezés és finanszírozás esetén)</w:t>
      </w:r>
    </w:p>
    <w:p w14:paraId="6C8F8B57" w14:textId="77777777" w:rsidR="00407CA6" w:rsidRPr="008B5718" w:rsidRDefault="00407CA6" w:rsidP="00101DCF">
      <w:pPr>
        <w:pStyle w:val="Listaszerbekezds"/>
        <w:numPr>
          <w:ilvl w:val="0"/>
          <w:numId w:val="28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Bizonyos táblák további tájékoztató adatokat tartalmaznak. Bár nem feltétlenül szükségesek a ráta kiszám</w:t>
      </w:r>
      <w:r w:rsidRPr="008B5718">
        <w:rPr>
          <w:rFonts w:asciiTheme="majorHAnsi" w:hAnsiTheme="majorHAnsi" w:cs="Arial"/>
          <w:szCs w:val="20"/>
        </w:rPr>
        <w:t>í</w:t>
      </w:r>
      <w:r w:rsidRPr="008B5718">
        <w:rPr>
          <w:rFonts w:asciiTheme="majorHAnsi" w:hAnsiTheme="majorHAnsi" w:cs="Arial"/>
          <w:szCs w:val="20"/>
        </w:rPr>
        <w:t>tásához, kitöltésük kötelező. Ezek a tételek szükséges információval szolgálnak az illetékes hatóságoknak a hitelintézetek likviditási követelményeknek való megfelelésének értékeléséhez. Egyes esetekben a táblázat fő szakaszaiban szereplő tételek részletesebb bontását tartalmazzák, más esetekben pedig a hitelintézetek által elérhető egyéb likviditási forrásokat tükrözik.</w:t>
      </w:r>
    </w:p>
    <w:p w14:paraId="59E1722E" w14:textId="77777777" w:rsidR="00407CA6" w:rsidRPr="008B5718" w:rsidRDefault="00407CA6" w:rsidP="00101DCF">
      <w:pPr>
        <w:pStyle w:val="Cmsor2"/>
        <w:numPr>
          <w:ilvl w:val="1"/>
          <w:numId w:val="31"/>
        </w:numPr>
        <w:rPr>
          <w:color w:val="auto"/>
        </w:rPr>
      </w:pPr>
      <w:r w:rsidRPr="008B5718">
        <w:rPr>
          <w:color w:val="auto"/>
        </w:rPr>
        <w:t>Speciális megjegyzések a fedezett hitelezés és a tőkepiac vezérelt ügyletekre vonatkozóan</w:t>
      </w:r>
    </w:p>
    <w:p w14:paraId="38E62601" w14:textId="11660D4D" w:rsidR="00407CA6" w:rsidRPr="008B5718" w:rsidRDefault="00407CA6" w:rsidP="00101DCF">
      <w:pPr>
        <w:pStyle w:val="Listaszerbekezds"/>
        <w:numPr>
          <w:ilvl w:val="0"/>
          <w:numId w:val="34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tábla a fedezett pénzáramlásokat a mögöttes eszköz minősége vagy a magas minőségű likvid eszközmin</w:t>
      </w:r>
      <w:r w:rsidRPr="008B5718">
        <w:rPr>
          <w:rFonts w:asciiTheme="majorHAnsi" w:hAnsiTheme="majorHAnsi" w:cs="Arial"/>
          <w:szCs w:val="20"/>
        </w:rPr>
        <w:t>ő</w:t>
      </w:r>
      <w:r w:rsidRPr="008B5718">
        <w:rPr>
          <w:rFonts w:asciiTheme="majorHAnsi" w:hAnsiTheme="majorHAnsi" w:cs="Arial"/>
          <w:szCs w:val="20"/>
        </w:rPr>
        <w:t>sítése szerint csoportosítja. A biztosítéki csereügyletekre vonatkozó külön tábla a XXIV. melléklet C 75.00 j</w:t>
      </w:r>
      <w:r w:rsidRPr="008B5718">
        <w:rPr>
          <w:rFonts w:asciiTheme="majorHAnsi" w:hAnsiTheme="majorHAnsi" w:cs="Arial"/>
          <w:szCs w:val="20"/>
        </w:rPr>
        <w:t>e</w:t>
      </w:r>
      <w:r w:rsidRPr="008B5718">
        <w:rPr>
          <w:rFonts w:asciiTheme="majorHAnsi" w:hAnsiTheme="majorHAnsi" w:cs="Arial"/>
          <w:szCs w:val="20"/>
        </w:rPr>
        <w:t>lű táblája. Azok a szerződéses swapok, amelyek fedezetcsere típusúak, nem kerülnek jelentésre a XXIV. Me</w:t>
      </w:r>
      <w:r w:rsidRPr="008B5718">
        <w:rPr>
          <w:rFonts w:asciiTheme="majorHAnsi" w:hAnsiTheme="majorHAnsi" w:cs="Arial"/>
          <w:szCs w:val="20"/>
        </w:rPr>
        <w:t>l</w:t>
      </w:r>
      <w:r w:rsidRPr="008B5718">
        <w:rPr>
          <w:rFonts w:asciiTheme="majorHAnsi" w:hAnsiTheme="majorHAnsi" w:cs="Arial"/>
          <w:szCs w:val="20"/>
        </w:rPr>
        <w:t>léklet C 74.00 jelű táblájában, ebben csak a pénzmozgással járó swapok kerülnek.</w:t>
      </w:r>
    </w:p>
    <w:p w14:paraId="704CBF4A" w14:textId="08BBB9B8" w:rsidR="00407CA6" w:rsidRPr="008B5718" w:rsidRDefault="00407CA6" w:rsidP="00101DCF">
      <w:pPr>
        <w:pStyle w:val="Listaszerbekezds"/>
        <w:numPr>
          <w:ilvl w:val="0"/>
          <w:numId w:val="34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Jelentős devizanemkénti jelentés esetén, a jelentős devizanemekben denominált egyenlegeket kell jelenteni biztosítva a jelentős devizákban fennálló eltérések megfelelő jelentését. Ez jelentheti azt, hogy a jelentős pénznemben történő adatszolgáltatásban csak az egyik irányú ügylet jelenik meg. A fordított repo ügylet j</w:t>
      </w:r>
      <w:r w:rsidRPr="008B5718">
        <w:rPr>
          <w:rFonts w:asciiTheme="majorHAnsi" w:hAnsiTheme="majorHAnsi" w:cs="Arial"/>
          <w:szCs w:val="20"/>
        </w:rPr>
        <w:t>e</w:t>
      </w:r>
      <w:r w:rsidRPr="008B5718">
        <w:rPr>
          <w:rFonts w:asciiTheme="majorHAnsi" w:hAnsiTheme="majorHAnsi" w:cs="Arial"/>
          <w:szCs w:val="20"/>
        </w:rPr>
        <w:t>lenthet negatív beáramlást. Fordított repo ügyletek esetén ugyanazon eszközökhöz tartozó ügyle</w:t>
      </w:r>
      <w:r w:rsidR="00283B87">
        <w:rPr>
          <w:rFonts w:asciiTheme="majorHAnsi" w:hAnsiTheme="majorHAnsi" w:cs="Arial"/>
          <w:szCs w:val="20"/>
        </w:rPr>
        <w:t>teket kell összegezni</w:t>
      </w:r>
      <w:r w:rsidRPr="008B5718">
        <w:rPr>
          <w:rFonts w:asciiTheme="majorHAnsi" w:hAnsiTheme="majorHAnsi" w:cs="Arial"/>
          <w:szCs w:val="20"/>
        </w:rPr>
        <w:t xml:space="preserve"> (pozitív-negatív irány), és amennyiben az összegzés pozitív, a beáramlások között kell jelenteni, amennyiben negatív, akkor a kiáramlások között. Ezt a megközelítést kell követni a repók esetében.</w:t>
      </w:r>
    </w:p>
    <w:p w14:paraId="4B536C4C" w14:textId="17728FFD" w:rsidR="00407CA6" w:rsidRPr="008B5718" w:rsidRDefault="00407CA6" w:rsidP="00101DCF">
      <w:pPr>
        <w:pStyle w:val="Listaszerbekezds"/>
        <w:numPr>
          <w:ilvl w:val="0"/>
          <w:numId w:val="34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hitelintézeteknek likvid eszközként jelenteniük kell az 1. szintű, 2A. és 2B. szintű eszközeiket a Bizottság (EU) 2015/61 felhatalmazáson alapuló rendeletének II. fejezete alapján. Amennyiben a biztosíték 1, 2A. vagy 2B. szintű, de a Bizottság (EU) 2015/61 felhatalmazáson alapuló rendeletének II. fejezete szerint nem min</w:t>
      </w:r>
      <w:r w:rsidRPr="008B5718">
        <w:rPr>
          <w:rFonts w:asciiTheme="majorHAnsi" w:hAnsiTheme="majorHAnsi" w:cs="Arial"/>
          <w:szCs w:val="20"/>
        </w:rPr>
        <w:t>ő</w:t>
      </w:r>
      <w:r w:rsidRPr="008B5718">
        <w:rPr>
          <w:rFonts w:asciiTheme="majorHAnsi" w:hAnsiTheme="majorHAnsi" w:cs="Arial"/>
          <w:szCs w:val="20"/>
        </w:rPr>
        <w:t>síthető likvid eszköznek, akkor likvid eszköznek nem számító biztosítékként kell jelenteni. Hasonlóképpen amennyiben a hitelintézet csak részben ismeri el magas minőségű</w:t>
      </w:r>
      <w:r w:rsidR="00561133" w:rsidRPr="008B5718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likvid eszközként a deviza részvényeit, deviza állampapírjait vagy deviza banki eszközeit vagy a hazai devizában denominált állampapírjait vagy jegybanki eszközeit, akkor csak az elismert részt kell jelenteni az 1. szintű, 2A. és 2B. szintű eszközök megf</w:t>
      </w:r>
      <w:r w:rsidRPr="008B5718">
        <w:rPr>
          <w:rFonts w:asciiTheme="majorHAnsi" w:hAnsiTheme="majorHAnsi" w:cs="Arial"/>
          <w:szCs w:val="20"/>
        </w:rPr>
        <w:t>e</w:t>
      </w:r>
      <w:r w:rsidRPr="008B5718">
        <w:rPr>
          <w:rFonts w:asciiTheme="majorHAnsi" w:hAnsiTheme="majorHAnsi" w:cs="Arial"/>
          <w:szCs w:val="20"/>
        </w:rPr>
        <w:t xml:space="preserve">lelő soraiban. (lásd 12. cikk (1) </w:t>
      </w:r>
      <w:r w:rsidR="005F0B30" w:rsidRPr="008B5718">
        <w:rPr>
          <w:rFonts w:asciiTheme="majorHAnsi" w:hAnsiTheme="majorHAnsi" w:cs="Arial"/>
          <w:szCs w:val="20"/>
        </w:rPr>
        <w:t>(</w:t>
      </w:r>
      <w:r w:rsidRPr="008B5718">
        <w:rPr>
          <w:rFonts w:asciiTheme="majorHAnsi" w:hAnsiTheme="majorHAnsi" w:cs="Arial"/>
          <w:szCs w:val="20"/>
        </w:rPr>
        <w:t xml:space="preserve">c) (i)- (iii) és a 10. cikk (1) </w:t>
      </w:r>
      <w:r w:rsidR="005F0B30" w:rsidRPr="008B5718">
        <w:rPr>
          <w:rFonts w:asciiTheme="majorHAnsi" w:hAnsiTheme="majorHAnsi" w:cs="Arial"/>
          <w:szCs w:val="20"/>
        </w:rPr>
        <w:t>(</w:t>
      </w:r>
      <w:r w:rsidRPr="008B5718">
        <w:rPr>
          <w:rFonts w:asciiTheme="majorHAnsi" w:hAnsiTheme="majorHAnsi" w:cs="Arial"/>
          <w:szCs w:val="20"/>
        </w:rPr>
        <w:t>d)) Amennyiben az adott likvid eszköznek minős</w:t>
      </w:r>
      <w:r w:rsidRPr="008B5718">
        <w:rPr>
          <w:rFonts w:asciiTheme="majorHAnsi" w:hAnsiTheme="majorHAnsi" w:cs="Arial"/>
          <w:szCs w:val="20"/>
        </w:rPr>
        <w:t>ü</w:t>
      </w:r>
      <w:r w:rsidRPr="008B5718">
        <w:rPr>
          <w:rFonts w:asciiTheme="majorHAnsi" w:hAnsiTheme="majorHAnsi" w:cs="Arial"/>
          <w:szCs w:val="20"/>
        </w:rPr>
        <w:t xml:space="preserve">lő eszközt biztosítékként használják fel, de annak összege meghaladja a fedezet nagyságát, a többletet likvid </w:t>
      </w:r>
      <w:r w:rsidRPr="008B5718">
        <w:rPr>
          <w:rFonts w:asciiTheme="majorHAnsi" w:hAnsiTheme="majorHAnsi" w:cs="Arial"/>
          <w:szCs w:val="20"/>
        </w:rPr>
        <w:lastRenderedPageBreak/>
        <w:t>eszköznek nem minősülőként kell jelenteni. A 2A. szintű eszközöket jelenteni kell a megfelelő 2A. szintű es</w:t>
      </w:r>
      <w:r w:rsidRPr="008B5718">
        <w:rPr>
          <w:rFonts w:asciiTheme="majorHAnsi" w:hAnsiTheme="majorHAnsi" w:cs="Arial"/>
          <w:szCs w:val="20"/>
        </w:rPr>
        <w:t>z</w:t>
      </w:r>
      <w:r w:rsidRPr="008B5718">
        <w:rPr>
          <w:rFonts w:asciiTheme="majorHAnsi" w:hAnsiTheme="majorHAnsi" w:cs="Arial"/>
          <w:szCs w:val="20"/>
        </w:rPr>
        <w:t xml:space="preserve">közök sorban akkor is, ha az intézmény Alternatív Likviditási </w:t>
      </w:r>
      <w:r w:rsidR="005F0B30" w:rsidRPr="008B5718">
        <w:rPr>
          <w:rFonts w:asciiTheme="majorHAnsi" w:hAnsiTheme="majorHAnsi" w:cs="Arial"/>
          <w:szCs w:val="20"/>
        </w:rPr>
        <w:t>M</w:t>
      </w:r>
      <w:r w:rsidRPr="008B5718">
        <w:rPr>
          <w:rFonts w:asciiTheme="majorHAnsi" w:hAnsiTheme="majorHAnsi" w:cs="Arial"/>
          <w:szCs w:val="20"/>
        </w:rPr>
        <w:t>egközelítést alkalmaz.</w:t>
      </w:r>
    </w:p>
    <w:p w14:paraId="5A6E8789" w14:textId="77777777" w:rsidR="00407CA6" w:rsidRPr="008B5718" w:rsidRDefault="00407CA6" w:rsidP="00101DCF">
      <w:pPr>
        <w:pStyle w:val="Cmsor2"/>
        <w:numPr>
          <w:ilvl w:val="1"/>
          <w:numId w:val="31"/>
        </w:numPr>
        <w:rPr>
          <w:color w:val="auto"/>
        </w:rPr>
      </w:pPr>
      <w:r w:rsidRPr="008B5718">
        <w:rPr>
          <w:color w:val="auto"/>
        </w:rPr>
        <w:t>Speciális megjegyzések az elszámolásokra és a jövőben induló ügyletekre vonatkozóan</w:t>
      </w:r>
    </w:p>
    <w:p w14:paraId="5D526A22" w14:textId="714DBB3C" w:rsidR="00407CA6" w:rsidRPr="008B5718" w:rsidRDefault="00407CA6" w:rsidP="008B5718">
      <w:pPr>
        <w:spacing w:before="320" w:afterLines="100" w:after="240"/>
        <w:ind w:left="36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hitelintézetnek jelenteni kell a 30 napon belül induló, de 30 napon túl lejáró repó ügyletekből származó b</w:t>
      </w:r>
      <w:r w:rsidRPr="008B5718">
        <w:rPr>
          <w:rFonts w:asciiTheme="majorHAnsi" w:hAnsiTheme="majorHAnsi" w:cs="Arial"/>
          <w:szCs w:val="20"/>
        </w:rPr>
        <w:t>e</w:t>
      </w:r>
      <w:r w:rsidRPr="008B5718">
        <w:rPr>
          <w:rFonts w:asciiTheme="majorHAnsi" w:hAnsiTheme="majorHAnsi" w:cs="Arial"/>
          <w:szCs w:val="20"/>
        </w:rPr>
        <w:t>áramlásokat. A beáramló összegeket a C 74.00 tábla 260. sor</w:t>
      </w:r>
      <w:r w:rsidR="008012E8" w:rsidRPr="008B5718">
        <w:rPr>
          <w:rFonts w:asciiTheme="majorHAnsi" w:hAnsiTheme="majorHAnsi" w:cs="Arial"/>
          <w:szCs w:val="20"/>
        </w:rPr>
        <w:t>ában az</w:t>
      </w:r>
      <w:r w:rsidRPr="008B5718">
        <w:rPr>
          <w:rFonts w:asciiTheme="majorHAnsi" w:hAnsiTheme="majorHAnsi" w:cs="Arial"/>
          <w:szCs w:val="20"/>
        </w:rPr>
        <w:t xml:space="preserve"> „egyéb beáramlások”</w:t>
      </w:r>
      <w:r w:rsidR="008012E8" w:rsidRPr="008B5718">
        <w:rPr>
          <w:rFonts w:asciiTheme="majorHAnsi" w:hAnsiTheme="majorHAnsi" w:cs="Arial"/>
          <w:szCs w:val="20"/>
        </w:rPr>
        <w:t>-nál</w:t>
      </w:r>
      <w:r w:rsidRPr="008B5718">
        <w:rPr>
          <w:rFonts w:asciiTheme="majorHAnsi" w:hAnsiTheme="majorHAnsi" w:cs="Arial"/>
          <w:szCs w:val="20"/>
        </w:rPr>
        <w:t xml:space="preserve"> kell jelenteni, ne</w:t>
      </w:r>
      <w:r w:rsidRPr="008B5718">
        <w:rPr>
          <w:rFonts w:asciiTheme="majorHAnsi" w:hAnsiTheme="majorHAnsi" w:cs="Arial"/>
          <w:szCs w:val="20"/>
        </w:rPr>
        <w:t>t</w:t>
      </w:r>
      <w:r w:rsidRPr="008B5718">
        <w:rPr>
          <w:rFonts w:asciiTheme="majorHAnsi" w:hAnsiTheme="majorHAnsi" w:cs="Arial"/>
          <w:szCs w:val="20"/>
        </w:rPr>
        <w:t>tósítva a nyújtandó eszköz LCR szerinti haircuttal csökkentett piaci értékével. Amennyiben az eszköz nem min</w:t>
      </w:r>
      <w:r w:rsidRPr="008B5718">
        <w:rPr>
          <w:rFonts w:asciiTheme="majorHAnsi" w:hAnsiTheme="majorHAnsi" w:cs="Arial"/>
          <w:szCs w:val="20"/>
        </w:rPr>
        <w:t>ő</w:t>
      </w:r>
      <w:r w:rsidRPr="008B5718">
        <w:rPr>
          <w:rFonts w:asciiTheme="majorHAnsi" w:hAnsiTheme="majorHAnsi" w:cs="Arial"/>
          <w:szCs w:val="20"/>
        </w:rPr>
        <w:t>sül likvid eszköznek, a beáramlást teljes összegben jelenteni kell. A biztosítékul lekötendő eszközt jelenteni kell a C</w:t>
      </w:r>
      <w:r w:rsidR="00F73E32" w:rsidRPr="008B5718">
        <w:rPr>
          <w:rFonts w:asciiTheme="majorHAnsi" w:hAnsiTheme="majorHAnsi" w:cs="Arial"/>
          <w:szCs w:val="20"/>
        </w:rPr>
        <w:t xml:space="preserve"> 72</w:t>
      </w:r>
      <w:r w:rsidRPr="008B5718">
        <w:rPr>
          <w:rFonts w:asciiTheme="majorHAnsi" w:hAnsiTheme="majorHAnsi" w:cs="Arial"/>
          <w:szCs w:val="20"/>
        </w:rPr>
        <w:t>.00 táblában, amennyiben a vonatkozási időpontban az eszköz a hitelintézet könyveiben szerepel és megf</w:t>
      </w:r>
      <w:r w:rsidRPr="008B5718">
        <w:rPr>
          <w:rFonts w:asciiTheme="majorHAnsi" w:hAnsiTheme="majorHAnsi" w:cs="Arial"/>
          <w:szCs w:val="20"/>
        </w:rPr>
        <w:t>e</w:t>
      </w:r>
      <w:r w:rsidRPr="008B5718">
        <w:rPr>
          <w:rFonts w:asciiTheme="majorHAnsi" w:hAnsiTheme="majorHAnsi" w:cs="Arial"/>
          <w:szCs w:val="20"/>
        </w:rPr>
        <w:t>lel a vonatkozó követelményeknek.</w:t>
      </w:r>
    </w:p>
    <w:p w14:paraId="3DBE929D" w14:textId="4E14EC19" w:rsidR="00407CA6" w:rsidRPr="008B5718" w:rsidRDefault="00407CA6" w:rsidP="008B5718">
      <w:pPr>
        <w:spacing w:before="320" w:afterLines="100" w:after="240"/>
        <w:ind w:left="36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 hitelintézeteknek jelenteni kell a jövőben induló repó ügyletekből, fordított repó ügyletekből és biztosítéki csereügyletekből származó beáramlást, amennyiben az ügylet 30 napon belül indul, 30 napon túl jár le és az üg</w:t>
      </w:r>
      <w:r w:rsidRPr="008B5718">
        <w:rPr>
          <w:rFonts w:asciiTheme="majorHAnsi" w:hAnsiTheme="majorHAnsi" w:cs="Arial"/>
          <w:szCs w:val="20"/>
        </w:rPr>
        <w:t>y</w:t>
      </w:r>
      <w:r w:rsidRPr="008B5718">
        <w:rPr>
          <w:rFonts w:asciiTheme="majorHAnsi" w:hAnsiTheme="majorHAnsi" w:cs="Arial"/>
          <w:szCs w:val="20"/>
        </w:rPr>
        <w:t>let első lába beáramlást jelent. A repó ügylet beáramlását a C 74.00 tábla 260. sorában kell jelenteni, nettósítva a fedezetként szolgáló eszköz LCR számításnál alkalmazott megfelelő haircuttal csökkentett piaci értékével. Amennyiben a kapott összeg alacsonyabb, mint a fedezetként adott eszköz megfelelő LCR haircuttal csökkentett piaci értéke, a különbözetet kiáramlásként kell jelenteni a C 73.00 táblában. Amennyiben a fedezetként adott eszköz nem minősül likvid eszköznek, a kapott összeget beáramlásként teljes egészében jelenteni kell. A me</w:t>
      </w:r>
      <w:r w:rsidRPr="008B5718">
        <w:rPr>
          <w:rFonts w:asciiTheme="majorHAnsi" w:hAnsiTheme="majorHAnsi" w:cs="Arial"/>
          <w:szCs w:val="20"/>
        </w:rPr>
        <w:t>g</w:t>
      </w:r>
      <w:r w:rsidRPr="008B5718">
        <w:rPr>
          <w:rFonts w:asciiTheme="majorHAnsi" w:hAnsiTheme="majorHAnsi" w:cs="Arial"/>
          <w:szCs w:val="20"/>
        </w:rPr>
        <w:t>terhelendő eszközöket jelenteni kell a C</w:t>
      </w:r>
      <w:r w:rsidR="005F0B30" w:rsidRPr="008B5718">
        <w:rPr>
          <w:rFonts w:asciiTheme="majorHAnsi" w:hAnsiTheme="majorHAnsi" w:cs="Arial"/>
          <w:szCs w:val="20"/>
        </w:rPr>
        <w:t xml:space="preserve"> </w:t>
      </w:r>
      <w:r w:rsidRPr="008B5718">
        <w:rPr>
          <w:rFonts w:asciiTheme="majorHAnsi" w:hAnsiTheme="majorHAnsi" w:cs="Arial"/>
          <w:szCs w:val="20"/>
        </w:rPr>
        <w:t>72.00 táblában, amennyiben azokat a hitelintézet a vonatkozási id</w:t>
      </w:r>
      <w:r w:rsidRPr="008B5718">
        <w:rPr>
          <w:rFonts w:asciiTheme="majorHAnsi" w:hAnsiTheme="majorHAnsi" w:cs="Arial"/>
          <w:szCs w:val="20"/>
        </w:rPr>
        <w:t>ő</w:t>
      </w:r>
      <w:r w:rsidRPr="008B5718">
        <w:rPr>
          <w:rFonts w:asciiTheme="majorHAnsi" w:hAnsiTheme="majorHAnsi" w:cs="Arial"/>
          <w:szCs w:val="20"/>
        </w:rPr>
        <w:t>pontban a könyveiben tartja nyilván és az megfelel a vonatkozó követelményeknek. Amennyiben a fordított repó ügyletben fedezetként kapott likvid eszköz LCR szerinti haircuttal csökkentett (ha az eszköz likvid eszköznek minősül) értéke magasabb, mint kölcsönzött pénz összege, a különbséget beáramlásként kell jelenteni a fent említett sorban. Biztosítéki csereügylet esetén amennyiben az eszközök megfelelő LCR szerinti haircuttal csö</w:t>
      </w:r>
      <w:r w:rsidRPr="008B5718">
        <w:rPr>
          <w:rFonts w:asciiTheme="majorHAnsi" w:hAnsiTheme="majorHAnsi" w:cs="Arial"/>
          <w:szCs w:val="20"/>
        </w:rPr>
        <w:t>k</w:t>
      </w:r>
      <w:r w:rsidRPr="008B5718">
        <w:rPr>
          <w:rFonts w:asciiTheme="majorHAnsi" w:hAnsiTheme="majorHAnsi" w:cs="Arial"/>
          <w:szCs w:val="20"/>
        </w:rPr>
        <w:t>kentett értékeinek egyenlege beáramlást jelent, ezt a beáramlást szinten jelenteni kell a fent említett soron.</w:t>
      </w:r>
    </w:p>
    <w:p w14:paraId="530B58F7" w14:textId="77777777" w:rsidR="00407CA6" w:rsidRPr="008B5718" w:rsidRDefault="00407CA6" w:rsidP="008B5718">
      <w:pPr>
        <w:spacing w:before="320" w:afterLines="100" w:after="240"/>
        <w:ind w:left="360"/>
        <w:rPr>
          <w:rFonts w:asciiTheme="majorHAnsi" w:hAnsiTheme="majorHAnsi" w:cs="Arial"/>
          <w:szCs w:val="20"/>
        </w:rPr>
      </w:pPr>
      <w:r w:rsidRPr="008B5718">
        <w:rPr>
          <w:rFonts w:asciiTheme="majorHAnsi" w:hAnsiTheme="majorHAnsi" w:cs="Arial"/>
          <w:szCs w:val="20"/>
        </w:rPr>
        <w:t>Azok a jövőben induló repó, fordított repó és biztosítéki csereügyletek, amelyek kezdő és lejárati időpontjai is az LCR 30 napos időhorizontján belül vannak, nincsenek hatással a hitelintézet LCR mutatójára, ezért figyelmen k</w:t>
      </w:r>
      <w:r w:rsidRPr="008B5718">
        <w:rPr>
          <w:rFonts w:asciiTheme="majorHAnsi" w:hAnsiTheme="majorHAnsi" w:cs="Arial"/>
          <w:szCs w:val="20"/>
        </w:rPr>
        <w:t>í</w:t>
      </w:r>
      <w:r w:rsidRPr="008B5718">
        <w:rPr>
          <w:rFonts w:asciiTheme="majorHAnsi" w:hAnsiTheme="majorHAnsi" w:cs="Arial"/>
          <w:szCs w:val="20"/>
        </w:rPr>
        <w:t>vül hagyhatók.</w:t>
      </w:r>
    </w:p>
    <w:p w14:paraId="7560E3F4" w14:textId="3EF18B0F" w:rsidR="00407CA6" w:rsidRPr="008B5718" w:rsidRDefault="00407CA6" w:rsidP="00101DCF">
      <w:pPr>
        <w:pStyle w:val="Cmsor2"/>
        <w:numPr>
          <w:ilvl w:val="1"/>
          <w:numId w:val="31"/>
        </w:numPr>
        <w:rPr>
          <w:color w:val="auto"/>
        </w:rPr>
      </w:pPr>
      <w:r w:rsidRPr="008B5718">
        <w:rPr>
          <w:color w:val="auto"/>
        </w:rPr>
        <w:t>Döntési fa az LCR beáramlás</w:t>
      </w:r>
      <w:r w:rsidR="00DC7A59" w:rsidRPr="008B5718">
        <w:rPr>
          <w:color w:val="auto"/>
        </w:rPr>
        <w:t>i tételek</w:t>
      </w:r>
      <w:r w:rsidRPr="008B5718">
        <w:rPr>
          <w:color w:val="auto"/>
        </w:rPr>
        <w:t xml:space="preserve"> </w:t>
      </w:r>
      <w:r w:rsidR="00466B59" w:rsidRPr="008B5718">
        <w:rPr>
          <w:color w:val="auto"/>
        </w:rPr>
        <w:t>a</w:t>
      </w:r>
      <w:r w:rsidRPr="008B5718">
        <w:rPr>
          <w:color w:val="auto"/>
        </w:rPr>
        <w:t xml:space="preserve"> Bizottság (EU) 2015/61 felhatalmazáson alapuló rendeletének</w:t>
      </w:r>
      <w:r w:rsidRPr="008B5718" w:rsidDel="00C80C3C">
        <w:rPr>
          <w:color w:val="auto"/>
        </w:rPr>
        <w:t xml:space="preserve"> </w:t>
      </w:r>
      <w:r w:rsidRPr="008B5718">
        <w:rPr>
          <w:color w:val="auto"/>
        </w:rPr>
        <w:t>32</w:t>
      </w:r>
      <w:proofErr w:type="gramStart"/>
      <w:r w:rsidRPr="008B5718">
        <w:rPr>
          <w:color w:val="auto"/>
        </w:rPr>
        <w:t>.,</w:t>
      </w:r>
      <w:proofErr w:type="gramEnd"/>
      <w:r w:rsidRPr="008B5718">
        <w:rPr>
          <w:color w:val="auto"/>
        </w:rPr>
        <w:t xml:space="preserve"> 33. és 34. cikkei szerinti megállapításához</w:t>
      </w:r>
    </w:p>
    <w:p w14:paraId="2115FAE2" w14:textId="77777777" w:rsidR="00407CA6" w:rsidRPr="00407CA6" w:rsidRDefault="00407CA6" w:rsidP="00101DCF">
      <w:pPr>
        <w:pStyle w:val="InstructionsText2"/>
        <w:numPr>
          <w:ilvl w:val="0"/>
          <w:numId w:val="21"/>
        </w:numPr>
        <w:rPr>
          <w:rFonts w:ascii="Calibri" w:hAnsi="Calibri"/>
          <w:szCs w:val="20"/>
          <w:lang w:val="hu-HU"/>
        </w:rPr>
      </w:pPr>
      <w:r w:rsidRPr="00407CA6">
        <w:rPr>
          <w:rFonts w:ascii="Calibri" w:hAnsi="Calibri"/>
          <w:szCs w:val="20"/>
          <w:lang w:val="hu-HU"/>
        </w:rPr>
        <w:t>A döntési fa nem tartalmaz utalást a tájékoztató adatok jelentésére. A döntési fa feladata az egyes jelentett elemek egységes értékelésének megteremtése az egységes és összehasonlíth</w:t>
      </w:r>
      <w:r w:rsidRPr="00407CA6">
        <w:rPr>
          <w:rFonts w:ascii="Calibri" w:hAnsi="Calibri"/>
          <w:szCs w:val="20"/>
          <w:lang w:val="hu-HU"/>
        </w:rPr>
        <w:t>a</w:t>
      </w:r>
      <w:r w:rsidRPr="00407CA6">
        <w:rPr>
          <w:rFonts w:ascii="Calibri" w:hAnsi="Calibri"/>
          <w:szCs w:val="20"/>
          <w:lang w:val="hu-HU"/>
        </w:rPr>
        <w:t>tó jelentések előállítása érdekében. Mindazonáltal a döntési fa önmagában nem elegendő az adatszolgáltatáshoz, a hitelintézeteknek figyelembe kell venni a vonatkozó utasítások mind</w:t>
      </w:r>
      <w:r w:rsidRPr="00407CA6">
        <w:rPr>
          <w:rFonts w:ascii="Calibri" w:hAnsi="Calibri"/>
          <w:szCs w:val="20"/>
          <w:lang w:val="hu-HU"/>
        </w:rPr>
        <w:t>e</w:t>
      </w:r>
      <w:r w:rsidRPr="00407CA6">
        <w:rPr>
          <w:rFonts w:ascii="Calibri" w:hAnsi="Calibri"/>
          <w:szCs w:val="20"/>
          <w:lang w:val="hu-HU"/>
        </w:rPr>
        <w:t>gyikét.</w:t>
      </w:r>
    </w:p>
    <w:p w14:paraId="63467183" w14:textId="77777777" w:rsidR="00407CA6" w:rsidRPr="00407CA6" w:rsidRDefault="00407CA6" w:rsidP="00101DCF">
      <w:pPr>
        <w:pStyle w:val="InstructionsText2"/>
        <w:numPr>
          <w:ilvl w:val="0"/>
          <w:numId w:val="21"/>
        </w:numPr>
        <w:rPr>
          <w:rFonts w:ascii="Calibri" w:hAnsi="Calibri"/>
          <w:szCs w:val="20"/>
          <w:lang w:val="hu-HU"/>
        </w:rPr>
      </w:pPr>
      <w:r w:rsidRPr="00407CA6">
        <w:rPr>
          <w:rFonts w:ascii="Calibri" w:hAnsi="Calibri"/>
          <w:szCs w:val="20"/>
          <w:lang w:val="hu-HU"/>
        </w:rPr>
        <w:t>Az egyszerűség kedvéért a döntési fa figyelmen kívül hagyja az összegeket és részösszegeket, de ez nem jelenti azt, hogy azokat nem kell jelenteni.</w:t>
      </w:r>
    </w:p>
    <w:p w14:paraId="207D9E63" w14:textId="77777777" w:rsidR="00407CA6" w:rsidRPr="008B5718" w:rsidRDefault="00407CA6" w:rsidP="008B5718">
      <w:pPr>
        <w:pStyle w:val="Cmsor3"/>
        <w:spacing w:before="300" w:after="300"/>
        <w:rPr>
          <w:color w:val="auto"/>
        </w:rPr>
      </w:pPr>
      <w:r w:rsidRPr="008B5718">
        <w:rPr>
          <w:color w:val="auto"/>
        </w:rPr>
        <w:t>Döntési fa a XXIV. melléklet C 74.00 tábla soraihoz</w:t>
      </w:r>
    </w:p>
    <w:tbl>
      <w:tblPr>
        <w:tblStyle w:val="Rcsostblzat1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1850"/>
        <w:gridCol w:w="1850"/>
        <w:gridCol w:w="1850"/>
        <w:gridCol w:w="1400"/>
        <w:gridCol w:w="2127"/>
      </w:tblGrid>
      <w:tr w:rsidR="00407CA6" w:rsidRPr="00407CA6" w14:paraId="27929E6E" w14:textId="77777777" w:rsidTr="00EF2859">
        <w:trPr>
          <w:jc w:val="center"/>
        </w:trPr>
        <w:tc>
          <w:tcPr>
            <w:tcW w:w="529" w:type="dxa"/>
            <w:vAlign w:val="center"/>
          </w:tcPr>
          <w:p w14:paraId="0E31EFBE" w14:textId="77777777" w:rsidR="00407CA6" w:rsidRPr="00407CA6" w:rsidRDefault="00407CA6" w:rsidP="00407CA6">
            <w:pPr>
              <w:widowControl w:val="0"/>
              <w:spacing w:before="37" w:after="0" w:line="240" w:lineRule="auto"/>
              <w:ind w:left="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Calibri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5550" w:type="dxa"/>
            <w:gridSpan w:val="3"/>
            <w:vAlign w:val="center"/>
          </w:tcPr>
          <w:p w14:paraId="2CC71335" w14:textId="77777777" w:rsidR="00407CA6" w:rsidRPr="00407CA6" w:rsidRDefault="00407CA6" w:rsidP="00407CA6">
            <w:pPr>
              <w:widowControl w:val="0"/>
              <w:spacing w:before="37" w:after="0" w:line="240" w:lineRule="auto"/>
              <w:ind w:left="14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Calibri" w:cs="Times New Roman"/>
                <w:b/>
                <w:spacing w:val="-1"/>
                <w:sz w:val="20"/>
                <w:szCs w:val="20"/>
              </w:rPr>
              <w:t>Tétel</w:t>
            </w:r>
          </w:p>
        </w:tc>
        <w:tc>
          <w:tcPr>
            <w:tcW w:w="1400" w:type="dxa"/>
            <w:vAlign w:val="center"/>
          </w:tcPr>
          <w:p w14:paraId="6C38A128" w14:textId="77777777" w:rsidR="00407CA6" w:rsidRPr="00407CA6" w:rsidRDefault="00407CA6" w:rsidP="00407CA6">
            <w:pPr>
              <w:widowControl w:val="0"/>
              <w:spacing w:before="37" w:after="0" w:line="240" w:lineRule="auto"/>
              <w:ind w:left="26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Calibri" w:cs="Times New Roman"/>
                <w:b/>
                <w:spacing w:val="-1"/>
                <w:sz w:val="20"/>
                <w:szCs w:val="20"/>
              </w:rPr>
              <w:t>Döntés</w:t>
            </w:r>
          </w:p>
        </w:tc>
        <w:tc>
          <w:tcPr>
            <w:tcW w:w="2127" w:type="dxa"/>
            <w:vAlign w:val="center"/>
          </w:tcPr>
          <w:p w14:paraId="538B719E" w14:textId="77777777" w:rsidR="00407CA6" w:rsidRPr="00407CA6" w:rsidRDefault="00407CA6" w:rsidP="00407CA6">
            <w:pPr>
              <w:widowControl w:val="0"/>
              <w:spacing w:before="37" w:after="0" w:line="240" w:lineRule="auto"/>
              <w:ind w:left="28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Jelentés</w:t>
            </w:r>
          </w:p>
        </w:tc>
      </w:tr>
      <w:tr w:rsidR="00407CA6" w:rsidRPr="00407CA6" w14:paraId="2CF747B1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3ED4A83E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7F473AE5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Beáramlások, amelyek megfelelnek a 32. cikk feltételeinek, például:</w:t>
            </w:r>
          </w:p>
          <w:p w14:paraId="6AAB645E" w14:textId="5370840F" w:rsidR="00407CA6" w:rsidRPr="00407CA6" w:rsidRDefault="00407CA6" w:rsidP="00101DCF">
            <w:pPr>
              <w:numPr>
                <w:ilvl w:val="0"/>
                <w:numId w:val="22"/>
              </w:numPr>
              <w:spacing w:before="40" w:after="40" w:line="240" w:lineRule="auto"/>
              <w:contextualSpacing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kitettség nem késedelmes (32. cikk (1)</w:t>
            </w:r>
            <w:r w:rsidR="000A1E2A">
              <w:rPr>
                <w:rFonts w:eastAsia="Times New Roman" w:cs="Times New Roman"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4C3649AE" w14:textId="1E87037A" w:rsidR="00407CA6" w:rsidRPr="00407CA6" w:rsidRDefault="00407CA6" w:rsidP="00101DCF">
            <w:pPr>
              <w:numPr>
                <w:ilvl w:val="0"/>
                <w:numId w:val="22"/>
              </w:numPr>
              <w:spacing w:before="40" w:after="40" w:line="240" w:lineRule="auto"/>
              <w:contextualSpacing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hitelintézetnek nincs oka 30 napon belül nem te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l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jesítést feltételezni (32. cikk (1)</w:t>
            </w:r>
            <w:r w:rsidR="000A1E2A">
              <w:rPr>
                <w:rFonts w:eastAsia="Times New Roman" w:cs="Times New Roman"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59B588C1" w14:textId="3C9D127F" w:rsidR="00407CA6" w:rsidRPr="00407CA6" w:rsidRDefault="00407CA6" w:rsidP="00101DCF">
            <w:pPr>
              <w:numPr>
                <w:ilvl w:val="0"/>
                <w:numId w:val="22"/>
              </w:numPr>
              <w:spacing w:before="40" w:after="40" w:line="240" w:lineRule="auto"/>
              <w:contextualSpacing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hitelintézet az újonnan vállalt kötelezettségeket nem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veszi figyelembe (32. cikk (7)</w:t>
            </w:r>
            <w:r w:rsidR="000A1E2A">
              <w:rPr>
                <w:rFonts w:eastAsia="Times New Roman" w:cs="Times New Roman"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244C2736" w14:textId="77777777" w:rsidR="00407CA6" w:rsidRPr="00407CA6" w:rsidRDefault="00407CA6" w:rsidP="00101DCF">
            <w:pPr>
              <w:numPr>
                <w:ilvl w:val="0"/>
                <w:numId w:val="22"/>
              </w:numPr>
              <w:spacing w:before="40" w:after="40" w:line="240" w:lineRule="auto"/>
              <w:contextualSpacing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Nem került beszámításra olyan beáramlás, amely kölcsönösen függő kiáramlással szemben nettósításra került (26. cikk)</w:t>
            </w:r>
          </w:p>
          <w:p w14:paraId="188906F4" w14:textId="70DB6E4C" w:rsidR="00407CA6" w:rsidRPr="00407CA6" w:rsidRDefault="00407CA6" w:rsidP="00101DCF">
            <w:pPr>
              <w:numPr>
                <w:ilvl w:val="0"/>
                <w:numId w:val="22"/>
              </w:numPr>
              <w:spacing w:before="40" w:after="40" w:line="240" w:lineRule="auto"/>
              <w:contextualSpacing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hitelintézet nem vett figyelembe olyan beáramlásokat, amelyek a II. fejezetben szereplő likvid eszközökből származnak, kivéve az eszközök után esedékessé váló azon kifizetéseket, amelyeket az eszköz piaci értéke nem tükröz (32. cikk (6)</w:t>
            </w:r>
            <w:r w:rsidR="00432994">
              <w:rPr>
                <w:rFonts w:eastAsia="Times New Roman" w:cs="Times New Roman"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5BDC8B4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Nem</w:t>
            </w:r>
          </w:p>
        </w:tc>
        <w:tc>
          <w:tcPr>
            <w:tcW w:w="2127" w:type="dxa"/>
            <w:vAlign w:val="center"/>
          </w:tcPr>
          <w:p w14:paraId="36D88F1E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Nem jelentendő</w:t>
            </w:r>
          </w:p>
        </w:tc>
      </w:tr>
      <w:tr w:rsidR="00407CA6" w:rsidRPr="00407CA6" w14:paraId="4BCFC208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25862A5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2712372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0DB7359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7DE4C112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2</w:t>
            </w:r>
          </w:p>
        </w:tc>
      </w:tr>
      <w:tr w:rsidR="00407CA6" w:rsidRPr="00407CA6" w14:paraId="561A8AD9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7C5380E6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2A84E926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Jövőben induló ügylet</w:t>
            </w:r>
          </w:p>
        </w:tc>
        <w:tc>
          <w:tcPr>
            <w:tcW w:w="1400" w:type="dxa"/>
            <w:vAlign w:val="center"/>
          </w:tcPr>
          <w:p w14:paraId="47F1185E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740A58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3</w:t>
            </w:r>
          </w:p>
        </w:tc>
      </w:tr>
      <w:tr w:rsidR="00407CA6" w:rsidRPr="00407CA6" w14:paraId="6E653AEE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534D9520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625ED4D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6B187C12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255CA651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5</w:t>
            </w:r>
          </w:p>
        </w:tc>
      </w:tr>
      <w:tr w:rsidR="00407CA6" w:rsidRPr="00407CA6" w14:paraId="398B995B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3C929D92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5FB3AD19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vonatkozási időpont után életbe lépő jövőbeni ügyletek</w:t>
            </w:r>
          </w:p>
        </w:tc>
        <w:tc>
          <w:tcPr>
            <w:tcW w:w="1400" w:type="dxa"/>
            <w:vAlign w:val="center"/>
          </w:tcPr>
          <w:p w14:paraId="0B0487BB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47D7B6C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Nem jelentendő</w:t>
            </w:r>
          </w:p>
        </w:tc>
      </w:tr>
      <w:tr w:rsidR="00407CA6" w:rsidRPr="00407CA6" w14:paraId="3546EA64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3B870037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452014B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AC8CA43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0404553E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30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4</w:t>
            </w:r>
          </w:p>
        </w:tc>
      </w:tr>
      <w:tr w:rsidR="00407CA6" w:rsidRPr="00407CA6" w14:paraId="38BA8BAD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7C9AC103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57EB834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Jövőbeni ügyletek, amelyek a 30 napos időhorizonton belül i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n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dulnak, de később járnak le</w:t>
            </w:r>
          </w:p>
        </w:tc>
        <w:tc>
          <w:tcPr>
            <w:tcW w:w="1400" w:type="dxa"/>
            <w:vAlign w:val="center"/>
          </w:tcPr>
          <w:p w14:paraId="01173580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726C1DA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Nem jelentendő</w:t>
            </w:r>
          </w:p>
        </w:tc>
      </w:tr>
      <w:tr w:rsidR="00407CA6" w:rsidRPr="00407CA6" w14:paraId="6C0EFF26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678D4263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3138C84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6A6900DF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9534F1D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260. sor, azonosító 1.1.12</w:t>
            </w:r>
          </w:p>
        </w:tc>
      </w:tr>
      <w:tr w:rsidR="00407CA6" w:rsidRPr="00407CA6" w14:paraId="6842B6B1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165F3910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5E1CCFA3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Csoporton, vagy intézményvédelmi rendszeren belüli beáramlás</w:t>
            </w:r>
          </w:p>
        </w:tc>
        <w:tc>
          <w:tcPr>
            <w:tcW w:w="1400" w:type="dxa"/>
            <w:vAlign w:val="center"/>
          </w:tcPr>
          <w:p w14:paraId="12567C3B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1AE8990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407CA6" w:rsidRPr="00407CA6" w14:paraId="50791953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6267A3C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3D01FBD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1026D041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3C10181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7</w:t>
            </w:r>
          </w:p>
        </w:tc>
      </w:tr>
      <w:tr w:rsidR="00407CA6" w:rsidRPr="00407CA6" w14:paraId="091B42EA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50CD5F5E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71D0674C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Beáramlás, amely csoporttag, vagy intézményvédelmi rendszer tagja által nyújtott, le nem hívott hitel-, likviditási keretből származik, amennyiben az illetékes hatóságok engedélyezték magasabb beáramlási arány alkalmazását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(34. cikk)</w:t>
            </w:r>
          </w:p>
        </w:tc>
        <w:tc>
          <w:tcPr>
            <w:tcW w:w="1400" w:type="dxa"/>
            <w:vAlign w:val="center"/>
          </w:tcPr>
          <w:p w14:paraId="6317B9C1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203E179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250 sor, azonosító 1.1.11</w:t>
            </w:r>
          </w:p>
        </w:tc>
      </w:tr>
      <w:tr w:rsidR="00407CA6" w:rsidRPr="00407CA6" w14:paraId="27818514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75E2BCA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166D6FD3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F67BADB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49784F2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7</w:t>
            </w:r>
          </w:p>
        </w:tc>
      </w:tr>
      <w:tr w:rsidR="00407CA6" w:rsidRPr="00407CA6" w14:paraId="2AA7CBD1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2EDB180C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26365EA6" w14:textId="3CE0B8D9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Fedezett kölcsönügyletekből és tőkepiac vezérelt ügyletekből származó beáramlás, kivéve a származékos ügyleteket (32. cikk (3)</w:t>
            </w:r>
            <w:r w:rsidR="0069409A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(b)-(c);(e)-(f)</w:t>
            </w:r>
            <w:r w:rsidR="0069409A">
              <w:rPr>
                <w:rFonts w:eastAsia="Times New Roman" w:cs="Times New Roman"/>
                <w:sz w:val="20"/>
                <w:szCs w:val="20"/>
              </w:rPr>
              <w:t xml:space="preserve"> pontjai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0ED9DB6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56C3A54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</w:tr>
      <w:tr w:rsidR="00407CA6" w:rsidRPr="00407CA6" w14:paraId="5811E595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242C78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56EE2FA8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AA72C29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4A55C921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8</w:t>
            </w:r>
          </w:p>
        </w:tc>
      </w:tr>
      <w:tr w:rsidR="00407CA6" w:rsidRPr="00407CA6" w14:paraId="15F45E5B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41A162DD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675A9B0A" w14:textId="73F9C1DE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30 napon belül lejáró értékpapírokból eredő beáramlás (32. cikk (2)</w:t>
            </w:r>
            <w:r w:rsidR="007E6B31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(a)</w:t>
            </w:r>
            <w:r w:rsidR="00A703FB">
              <w:rPr>
                <w:rFonts w:eastAsia="Times New Roman" w:cs="Times New Roman"/>
                <w:sz w:val="20"/>
                <w:szCs w:val="20"/>
              </w:rPr>
              <w:t xml:space="preserve"> pont</w:t>
            </w:r>
            <w:r w:rsidR="007E6B3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(i)</w:t>
            </w:r>
            <w:r w:rsidR="007E6B31">
              <w:rPr>
                <w:rFonts w:eastAsia="Times New Roman" w:cs="Times New Roman"/>
                <w:sz w:val="20"/>
                <w:szCs w:val="20"/>
              </w:rPr>
              <w:t xml:space="preserve"> alpontja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19FAB7E9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426E20F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190 sor, azonosító 1.1.5</w:t>
            </w:r>
          </w:p>
        </w:tc>
      </w:tr>
      <w:tr w:rsidR="00407CA6" w:rsidRPr="00407CA6" w14:paraId="599A7C91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5AD497BB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28CDD67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BAA9FBF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BBF6BE1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9</w:t>
            </w:r>
          </w:p>
        </w:tc>
      </w:tr>
      <w:tr w:rsidR="00407CA6" w:rsidRPr="00407CA6" w14:paraId="1484AF0E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16A99AC0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03A26396" w14:textId="18085815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Kereskedelm-finanszírozásból származó beáramlások (32. cikk (2)</w:t>
            </w:r>
            <w:r w:rsidR="001F6788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(a)</w:t>
            </w:r>
            <w:r w:rsidR="00A703FB">
              <w:rPr>
                <w:rFonts w:eastAsia="Times New Roman" w:cs="Times New Roman"/>
                <w:sz w:val="20"/>
                <w:szCs w:val="20"/>
              </w:rPr>
              <w:t xml:space="preserve"> pont</w:t>
            </w:r>
            <w:r w:rsidR="001F67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(ii)</w:t>
            </w:r>
            <w:r w:rsidR="001F67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203FA">
              <w:rPr>
                <w:rFonts w:eastAsia="Times New Roman" w:cs="Times New Roman"/>
                <w:sz w:val="20"/>
                <w:szCs w:val="20"/>
              </w:rPr>
              <w:t>alpontja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07D32EF0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4BBC5E9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180 sor, azonosító 1.1.4</w:t>
            </w:r>
          </w:p>
        </w:tc>
      </w:tr>
      <w:tr w:rsidR="00407CA6" w:rsidRPr="00407CA6" w14:paraId="59CF9485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413C5F6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4425293E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60AC1127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</w:tcPr>
          <w:p w14:paraId="441AF902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407CA6" w:rsidRPr="00407CA6" w14:paraId="70CEE509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0B81A782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0803DD01" w14:textId="7B9EB2AE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Szerződés szerint lejárat nélküli eszközök (32. cikk (3)</w:t>
            </w:r>
            <w:r w:rsidR="00CF6DFC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(i)</w:t>
            </w:r>
            <w:r w:rsidR="00CF6DFC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17421A60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5DFA926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# 11</w:t>
            </w:r>
          </w:p>
        </w:tc>
      </w:tr>
      <w:tr w:rsidR="00407CA6" w:rsidRPr="00407CA6" w14:paraId="66FE5DEF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4C357AE3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3AB8309B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72D717E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3567B7AE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407CA6" w:rsidRPr="00407CA6" w14:paraId="63348CAB" w14:textId="77777777" w:rsidTr="00EF2859">
        <w:trPr>
          <w:trHeight w:val="150"/>
          <w:jc w:val="center"/>
        </w:trPr>
        <w:tc>
          <w:tcPr>
            <w:tcW w:w="529" w:type="dxa"/>
            <w:vMerge w:val="restart"/>
            <w:vAlign w:val="center"/>
          </w:tcPr>
          <w:p w14:paraId="47667DDA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41F700D7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Szerződés szerint lejárat nélküli eszközökből eredő kamat és minimális fizetési kötelezettségek, amennyiben 30 napon belül pénzmozgással jár</w:t>
            </w:r>
          </w:p>
        </w:tc>
        <w:tc>
          <w:tcPr>
            <w:tcW w:w="1400" w:type="dxa"/>
            <w:vAlign w:val="center"/>
          </w:tcPr>
          <w:p w14:paraId="3BE8207B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5332E97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# 12</w:t>
            </w:r>
          </w:p>
        </w:tc>
      </w:tr>
      <w:tr w:rsidR="00407CA6" w:rsidRPr="00407CA6" w14:paraId="6CAAC93A" w14:textId="77777777" w:rsidTr="00EF2859">
        <w:trPr>
          <w:trHeight w:val="150"/>
          <w:jc w:val="center"/>
        </w:trPr>
        <w:tc>
          <w:tcPr>
            <w:tcW w:w="529" w:type="dxa"/>
            <w:vMerge/>
            <w:vAlign w:val="center"/>
          </w:tcPr>
          <w:p w14:paraId="72056CA9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552688DA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25CFDF8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0487E6B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200 sor, azonosító 1.1.6</w:t>
            </w:r>
          </w:p>
        </w:tc>
      </w:tr>
      <w:tr w:rsidR="00407CA6" w:rsidRPr="00407CA6" w14:paraId="205278A9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6EF6B299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092E9371" w14:textId="6C12363A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Vezető részvényin</w:t>
            </w:r>
            <w:r w:rsidR="00283B87">
              <w:rPr>
                <w:rFonts w:eastAsia="Times New Roman" w:cs="Times New Roman"/>
                <w:sz w:val="20"/>
                <w:szCs w:val="20"/>
              </w:rPr>
              <w:t>dexekben szereplő részvényekből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 xml:space="preserve"> származó pénzeszköz, feltéve, hogy az adott eszköz nincs figyelembe véve a likvid eszközök között (32. cikk (2)</w:t>
            </w:r>
            <w:r w:rsidR="006306F5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(b)</w:t>
            </w:r>
            <w:r w:rsidR="006306F5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5ADB1344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217F00E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210 sor, azonosító 1.1.7</w:t>
            </w:r>
          </w:p>
        </w:tc>
      </w:tr>
      <w:tr w:rsidR="00407CA6" w:rsidRPr="00407CA6" w14:paraId="664E6E7B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16EB9D9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6809C4E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59D2E4D2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0AA13A83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30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13</w:t>
            </w:r>
          </w:p>
        </w:tc>
      </w:tr>
      <w:tr w:rsidR="00407CA6" w:rsidRPr="00407CA6" w14:paraId="05BE9B5B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69F15C0B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6B64F965" w14:textId="49E8DFAD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Le nem hívott hitelkeretekből és likviditási keretekből, és egyéb központi banktól kapott kötelezettségvállalásokból származó beáramlás, feltéve, hogy az adott eszköz nem lett figyelembe véve a likvid eszközök között (32. cikk (3)</w:t>
            </w:r>
            <w:r w:rsidR="00BF2BC7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(g)</w:t>
            </w:r>
            <w:r w:rsidR="00BF2BC7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1BC08B02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44A1942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220 sor, azonosító 1.1.8</w:t>
            </w:r>
          </w:p>
        </w:tc>
      </w:tr>
      <w:tr w:rsidR="00407CA6" w:rsidRPr="00407CA6" w14:paraId="3BA8DF92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7C5AA21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3C09106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2C6A378" w14:textId="77777777" w:rsidR="00407CA6" w:rsidRPr="00407CA6" w:rsidRDefault="00407CA6" w:rsidP="00407CA6">
            <w:pPr>
              <w:widowControl w:val="0"/>
              <w:spacing w:before="80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97A15F3" w14:textId="77777777" w:rsidR="00407CA6" w:rsidRPr="00407CA6" w:rsidRDefault="00407CA6" w:rsidP="00407CA6">
            <w:pPr>
              <w:widowControl w:val="0"/>
              <w:spacing w:before="80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407CA6" w:rsidRPr="00407CA6" w14:paraId="0BCEC2B4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5895CB24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059EFB86" w14:textId="05D9D082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Ügyfelek kereskedési eszközeinek védelmére vonatkozó szabályozói követelményekkel összhangban elkülönített számlákon tartott egyenlegek felszabadításából származó beáramlás (32. cikk (4)</w:t>
            </w:r>
            <w:r w:rsidR="00F85C9F">
              <w:rPr>
                <w:rFonts w:eastAsia="Times New Roman" w:cs="Times New Roman"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3F23F62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61A82CE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230 sor, azonosító 1.1.9</w:t>
            </w:r>
          </w:p>
        </w:tc>
      </w:tr>
      <w:tr w:rsidR="00407CA6" w:rsidRPr="00407CA6" w14:paraId="4D5D03B0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16103CC0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07F73E90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327BF41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16E0E926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15</w:t>
            </w:r>
          </w:p>
        </w:tc>
      </w:tr>
      <w:tr w:rsidR="00407CA6" w:rsidRPr="00407CA6" w14:paraId="31D459E5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04634936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6FFC6106" w14:textId="1020CAD8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Partnerenként és fedezettel nettósított beáramlás származékos ügyletekből (32. cikk (5)</w:t>
            </w:r>
            <w:r w:rsidR="00FA6195">
              <w:rPr>
                <w:rFonts w:eastAsia="Times New Roman" w:cs="Times New Roman"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40231D2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1E22A30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240 sor, azonosító 1.1.10</w:t>
            </w:r>
          </w:p>
        </w:tc>
      </w:tr>
      <w:tr w:rsidR="00407CA6" w:rsidRPr="00407CA6" w14:paraId="01A841D5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3A897BA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475ACC1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153FD80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0E30D000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16</w:t>
            </w:r>
          </w:p>
        </w:tc>
      </w:tr>
      <w:tr w:rsidR="00407CA6" w:rsidRPr="00407CA6" w14:paraId="2E7BE65E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2EF23F57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1E74BC38" w14:textId="41302E7D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31. cikk (9) bekezdéssel összhangban vállalt kedvezményes hitel folyósítási kötelezettség kiáramlásával összefüggő beára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m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lás (32. cikk (3)</w:t>
            </w:r>
            <w:r w:rsidR="00D12EA5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(a)</w:t>
            </w:r>
            <w:r w:rsidR="00D12EA5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7F65823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74424C7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170 sor, azonosító 1.1.3</w:t>
            </w:r>
          </w:p>
        </w:tc>
      </w:tr>
      <w:tr w:rsidR="00407CA6" w:rsidRPr="00407CA6" w14:paraId="338C41C8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6241711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039CBAD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2EB81C53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682376AA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17</w:t>
            </w:r>
          </w:p>
        </w:tc>
      </w:tr>
      <w:tr w:rsidR="00407CA6" w:rsidRPr="00407CA6" w14:paraId="2FD8AF71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26C47052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5915CB63" w14:textId="3A12B56E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Központi bankoktól és pénzügyi ügyfelektől esedékes pénzösszeg (32. cikk (2)</w:t>
            </w:r>
            <w:r w:rsidR="00920600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(a)</w:t>
            </w:r>
            <w:r w:rsidR="00920600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3428676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D13135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</w:tr>
      <w:tr w:rsidR="00407CA6" w:rsidRPr="00407CA6" w14:paraId="7965D6DC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26CF518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7A785D58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6A1F1FA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3DCCEB26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18</w:t>
            </w:r>
          </w:p>
        </w:tc>
      </w:tr>
      <w:tr w:rsidR="00407CA6" w:rsidRPr="00407CA6" w14:paraId="50B85C75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52F0AFC1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76936649" w14:textId="7AC7088F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Nem pénzügyi ügyfelektől esedékes, nem tőketörlesztési célú pénzösszegek (kivéve a központi bankokat) (32. cikk (2)</w:t>
            </w:r>
            <w:r w:rsidR="00ED16EF">
              <w:rPr>
                <w:rFonts w:eastAsia="Times New Roman" w:cs="Times New Roman"/>
                <w:sz w:val="20"/>
                <w:szCs w:val="20"/>
              </w:rPr>
              <w:t xml:space="preserve"> b</w:t>
            </w:r>
            <w:r w:rsidR="00ED16EF">
              <w:rPr>
                <w:rFonts w:eastAsia="Times New Roman" w:cs="Times New Roman"/>
                <w:sz w:val="20"/>
                <w:szCs w:val="20"/>
              </w:rPr>
              <w:t>e</w:t>
            </w:r>
            <w:r w:rsidR="00ED16EF">
              <w:rPr>
                <w:rFonts w:eastAsia="Times New Roman" w:cs="Times New Roman"/>
                <w:sz w:val="20"/>
                <w:szCs w:val="20"/>
              </w:rPr>
              <w:t>kezdés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0FC8034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73328FE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040 sor, azonosító 1.1.1.1</w:t>
            </w:r>
          </w:p>
        </w:tc>
      </w:tr>
      <w:tr w:rsidR="00407CA6" w:rsidRPr="00407CA6" w14:paraId="3D2F5DE4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4BBFD995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1A0B043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3AE9391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4B6001BC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19</w:t>
            </w:r>
          </w:p>
        </w:tc>
      </w:tr>
      <w:tr w:rsidR="00407CA6" w:rsidRPr="00407CA6" w14:paraId="47DC24F5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5D31D070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5B164602" w14:textId="63AB359A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Egyéb nem pénzügyi ügyfelektől (kivéve a központi bankokat) származó pénzösszeg (32. cikk (3)</w:t>
            </w:r>
            <w:r w:rsidR="00153B9E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(a)</w:t>
            </w:r>
            <w:r w:rsidR="00153B9E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0088951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12CC6F7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</w:tr>
      <w:tr w:rsidR="00407CA6" w:rsidRPr="00407CA6" w14:paraId="55022201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6382A75A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265B0FD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E7BBDBE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3C2AE78F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260 sor, azon</w:t>
            </w:r>
            <w:r w:rsidRPr="00407CA6">
              <w:rPr>
                <w:rFonts w:eastAsia="Calibri" w:cs="Times New Roman"/>
                <w:sz w:val="20"/>
                <w:szCs w:val="20"/>
              </w:rPr>
              <w:t>o</w:t>
            </w:r>
            <w:r w:rsidRPr="00407CA6">
              <w:rPr>
                <w:rFonts w:eastAsia="Calibri" w:cs="Times New Roman"/>
                <w:sz w:val="20"/>
                <w:szCs w:val="20"/>
              </w:rPr>
              <w:t>sító 1.1.12</w:t>
            </w:r>
          </w:p>
        </w:tc>
      </w:tr>
      <w:tr w:rsidR="00407CA6" w:rsidRPr="00407CA6" w14:paraId="12135F34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4DDF5E06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  <w:vMerge w:val="restart"/>
            <w:vAlign w:val="center"/>
          </w:tcPr>
          <w:p w14:paraId="0D26E7F8" w14:textId="03CA8EF5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Egyéb, nem pé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n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zügyi ügyfelektől (kivéve a központi bankokat) származó pénzeszközök (32. cikk (3)</w:t>
            </w:r>
            <w:r w:rsidR="00D00066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(a)</w:t>
            </w:r>
            <w:r w:rsidR="00D00066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  <w:vMerge w:val="restart"/>
            <w:vAlign w:val="center"/>
          </w:tcPr>
          <w:p w14:paraId="289DDC2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850" w:type="dxa"/>
            <w:vMerge w:val="restart"/>
            <w:vAlign w:val="center"/>
          </w:tcPr>
          <w:p w14:paraId="4B1298F5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Lakossági ügyfelek</w:t>
            </w:r>
          </w:p>
        </w:tc>
        <w:tc>
          <w:tcPr>
            <w:tcW w:w="1400" w:type="dxa"/>
            <w:vAlign w:val="center"/>
          </w:tcPr>
          <w:p w14:paraId="2382C6F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6B17FB5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060 sor, azonosító 1.1.1.2.1</w:t>
            </w:r>
          </w:p>
        </w:tc>
      </w:tr>
      <w:tr w:rsidR="00407CA6" w:rsidRPr="00407CA6" w14:paraId="070BAE43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C3812C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E3426D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11C1FC5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9F9617A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F1D6C0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127" w:type="dxa"/>
            <w:vAlign w:val="center"/>
          </w:tcPr>
          <w:p w14:paraId="36C6E35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20.2</w:t>
            </w:r>
          </w:p>
        </w:tc>
      </w:tr>
      <w:tr w:rsidR="00407CA6" w:rsidRPr="00407CA6" w14:paraId="6E26858A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66290246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4E4931A3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69021DDE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850" w:type="dxa"/>
            <w:vMerge w:val="restart"/>
            <w:vAlign w:val="center"/>
          </w:tcPr>
          <w:p w14:paraId="1140BDD2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Nem pénzügyi vállalatok</w:t>
            </w:r>
          </w:p>
        </w:tc>
        <w:tc>
          <w:tcPr>
            <w:tcW w:w="1400" w:type="dxa"/>
            <w:vAlign w:val="center"/>
          </w:tcPr>
          <w:p w14:paraId="7BBED18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62799A6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070 sor, azonosító 1.1.1.2.2</w:t>
            </w:r>
          </w:p>
        </w:tc>
      </w:tr>
      <w:tr w:rsidR="00407CA6" w:rsidRPr="00407CA6" w14:paraId="0930ECDD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56DDEA9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1A7D1BB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4C9DF1A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624DA01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570454B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C321A8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20.3</w:t>
            </w:r>
          </w:p>
        </w:tc>
      </w:tr>
      <w:tr w:rsidR="00407CA6" w:rsidRPr="00407CA6" w14:paraId="45E1504A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34FB8DC3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317A4383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3A7CD1FB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850" w:type="dxa"/>
            <w:vMerge w:val="restart"/>
            <w:vAlign w:val="center"/>
          </w:tcPr>
          <w:p w14:paraId="61905868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Kormányzatok, multilaterális fejle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ztési bankok, közszektorbeli intézmények</w:t>
            </w:r>
          </w:p>
        </w:tc>
        <w:tc>
          <w:tcPr>
            <w:tcW w:w="1400" w:type="dxa"/>
            <w:vAlign w:val="center"/>
          </w:tcPr>
          <w:p w14:paraId="799C7FE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3E3668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080 sor, azonosító 1.1.1.2.3</w:t>
            </w:r>
          </w:p>
        </w:tc>
      </w:tr>
      <w:tr w:rsidR="00407CA6" w:rsidRPr="00407CA6" w14:paraId="67EAD695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6FD1FB6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65A6740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3DBF54F7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702B68A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C5C036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00FC3E3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090 sor, azonosító 1.1.1.2.4</w:t>
            </w:r>
          </w:p>
        </w:tc>
      </w:tr>
      <w:tr w:rsidR="00407CA6" w:rsidRPr="00407CA6" w14:paraId="2B924738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37370AD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br w:type="page"/>
              <w:t>21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55A7B0F2" w14:textId="46E534EB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Pénzügyi ügyfélnél elhelyezett operatív betétből származó beáramlás (32. cikk (3)</w:t>
            </w:r>
            <w:r w:rsidR="00C23336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(d)</w:t>
            </w:r>
            <w:r w:rsidR="00C23336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1D3C21C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26E7F44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22</w:t>
            </w:r>
          </w:p>
        </w:tc>
      </w:tr>
      <w:tr w:rsidR="00407CA6" w:rsidRPr="00407CA6" w14:paraId="5AF537B5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25C2EE83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4244CFC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64E434B3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21C69956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23</w:t>
            </w:r>
          </w:p>
        </w:tc>
      </w:tr>
      <w:tr w:rsidR="00407CA6" w:rsidRPr="00407CA6" w14:paraId="4D6A5F61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0C66EED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63E4E6D9" w14:textId="4BCF85C3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hitelintézet megfelelő szimmetrikus beáramlási arányt alkalmaz (32. cikk (3)</w:t>
            </w:r>
            <w:r w:rsidR="00B42C83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(d)</w:t>
            </w:r>
            <w:r w:rsidR="00B42C83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5F78F6A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3E9AA2F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120 sor, azonosító 1.1.2.1.1</w:t>
            </w:r>
          </w:p>
        </w:tc>
      </w:tr>
      <w:tr w:rsidR="00407CA6" w:rsidRPr="00407CA6" w14:paraId="61098249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4D9E5EE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36569F32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42622CC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3611B996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130 sor, azon</w:t>
            </w:r>
            <w:r w:rsidRPr="00407CA6">
              <w:rPr>
                <w:rFonts w:eastAsia="Calibri" w:cs="Times New Roman"/>
                <w:sz w:val="20"/>
                <w:szCs w:val="20"/>
              </w:rPr>
              <w:t>o</w:t>
            </w:r>
            <w:r w:rsidRPr="00407CA6">
              <w:rPr>
                <w:rFonts w:eastAsia="Calibri" w:cs="Times New Roman"/>
                <w:sz w:val="20"/>
                <w:szCs w:val="20"/>
              </w:rPr>
              <w:t>sító 1.1.2.1.2</w:t>
            </w:r>
          </w:p>
        </w:tc>
      </w:tr>
      <w:tr w:rsidR="00407CA6" w:rsidRPr="00407CA6" w14:paraId="0B43F37F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44D81FB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32453FE4" w14:textId="2F8C2CC1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Központi banktól esedékes pénzösszeg (32. cikk (2)</w:t>
            </w:r>
            <w:r w:rsidR="00B23C83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(a)</w:t>
            </w:r>
            <w:r w:rsidR="00B23C83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25B0DF3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D6F8B6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150 sor, azonosító 1.1.2.2.1</w:t>
            </w:r>
          </w:p>
        </w:tc>
      </w:tr>
      <w:tr w:rsidR="00407CA6" w:rsidRPr="00407CA6" w14:paraId="1F887EFF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48E0F307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78D82D9B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185A79E3" w14:textId="77777777" w:rsidR="00407CA6" w:rsidRPr="00407CA6" w:rsidRDefault="00407CA6" w:rsidP="00407CA6">
            <w:pPr>
              <w:widowControl w:val="0"/>
              <w:spacing w:before="34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6202C690" w14:textId="77777777" w:rsidR="00407CA6" w:rsidRPr="00407CA6" w:rsidRDefault="00407CA6" w:rsidP="00407CA6">
            <w:pPr>
              <w:widowControl w:val="0"/>
              <w:spacing w:before="34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160 sor, azon</w:t>
            </w:r>
            <w:r w:rsidRPr="00407CA6">
              <w:rPr>
                <w:rFonts w:eastAsia="Calibri" w:cs="Times New Roman"/>
                <w:sz w:val="20"/>
                <w:szCs w:val="20"/>
              </w:rPr>
              <w:t>o</w:t>
            </w:r>
            <w:r w:rsidRPr="00407CA6">
              <w:rPr>
                <w:rFonts w:eastAsia="Calibri" w:cs="Times New Roman"/>
                <w:sz w:val="20"/>
                <w:szCs w:val="20"/>
              </w:rPr>
              <w:t>sító 1.1.2.2.2</w:t>
            </w:r>
          </w:p>
        </w:tc>
      </w:tr>
      <w:tr w:rsidR="00407CA6" w:rsidRPr="00407CA6" w14:paraId="3D87709B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527CB9B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15ED09A8" w14:textId="4ED3A598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Biztosítéki csereügylet (32. cikk (3)</w:t>
            </w:r>
            <w:r w:rsidR="000215DF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(e)</w:t>
            </w:r>
            <w:r w:rsidR="000215DF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41982EA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6426E20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410 sor, azonosító 1.3</w:t>
            </w:r>
            <w:r w:rsidRPr="00407CA6">
              <w:rPr>
                <w:rFonts w:eastAsia="Times New Roman" w:cs="Times New Roman"/>
                <w:position w:val="4"/>
                <w:sz w:val="20"/>
                <w:szCs w:val="20"/>
              </w:rPr>
              <w:footnoteReference w:id="3"/>
            </w:r>
          </w:p>
        </w:tc>
      </w:tr>
      <w:tr w:rsidR="00407CA6" w:rsidRPr="00407CA6" w14:paraId="0776C7B1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FF7BFE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2E88DED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53DA08F1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6E95E4C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25</w:t>
            </w:r>
          </w:p>
        </w:tc>
      </w:tr>
      <w:tr w:rsidR="00407CA6" w:rsidRPr="00407CA6" w14:paraId="1AC12422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72D78E8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52834727" w14:textId="7FA7E958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Likvid eszközökkel biztosított (32. cikk (3)</w:t>
            </w:r>
            <w:r w:rsidR="0090066A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(b)</w:t>
            </w:r>
            <w:r w:rsidR="0090066A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114D7DE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64E405D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</w:tr>
      <w:tr w:rsidR="00407CA6" w:rsidRPr="00407CA6" w14:paraId="74E19189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7E93FF12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0EAD43C3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280D4ACF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20FBBF2B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27</w:t>
            </w:r>
          </w:p>
        </w:tc>
      </w:tr>
      <w:tr w:rsidR="00407CA6" w:rsidRPr="00407CA6" w14:paraId="10208EAD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0C99287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1850" w:type="dxa"/>
            <w:vMerge w:val="restart"/>
            <w:vAlign w:val="center"/>
          </w:tcPr>
          <w:p w14:paraId="6AB1FBB9" w14:textId="74508F6E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Fedezett kölc</w:t>
            </w:r>
            <w:r w:rsidR="00283B87">
              <w:rPr>
                <w:rFonts w:eastAsia="Times New Roman" w:cs="Times New Roman"/>
                <w:sz w:val="20"/>
                <w:szCs w:val="20"/>
              </w:rPr>
              <w:t>sönügylet, ahol a biztosíték …</w:t>
            </w:r>
          </w:p>
          <w:p w14:paraId="4912E5A3" w14:textId="5E7257AA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(32. cikk (3)</w:t>
            </w:r>
            <w:r w:rsidR="00A87A1F">
              <w:rPr>
                <w:rFonts w:eastAsia="Times New Roman" w:cs="Times New Roman"/>
                <w:sz w:val="20"/>
                <w:szCs w:val="20"/>
              </w:rPr>
              <w:t xml:space="preserve"> b</w:t>
            </w:r>
            <w:r w:rsidR="00A87A1F">
              <w:rPr>
                <w:rFonts w:eastAsia="Times New Roman" w:cs="Times New Roman"/>
                <w:sz w:val="20"/>
                <w:szCs w:val="20"/>
              </w:rPr>
              <w:t>e</w:t>
            </w:r>
            <w:r w:rsidR="00A87A1F">
              <w:rPr>
                <w:rFonts w:eastAsia="Times New Roman" w:cs="Times New Roman"/>
                <w:sz w:val="20"/>
                <w:szCs w:val="20"/>
              </w:rPr>
              <w:t xml:space="preserve">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(b)</w:t>
            </w:r>
            <w:r w:rsidR="00A87A1F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  <w:vMerge w:val="restart"/>
            <w:vAlign w:val="center"/>
          </w:tcPr>
          <w:p w14:paraId="75007A9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850" w:type="dxa"/>
            <w:vMerge w:val="restart"/>
            <w:vAlign w:val="center"/>
          </w:tcPr>
          <w:p w14:paraId="2E6C3E5D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biztosíték rövid pozíció fedezésére szolgál</w:t>
            </w:r>
          </w:p>
        </w:tc>
        <w:tc>
          <w:tcPr>
            <w:tcW w:w="1400" w:type="dxa"/>
            <w:vAlign w:val="center"/>
          </w:tcPr>
          <w:p w14:paraId="09A1362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8A72AC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360 sor, azonosító 1.2.2</w:t>
            </w:r>
          </w:p>
        </w:tc>
      </w:tr>
      <w:tr w:rsidR="00407CA6" w:rsidRPr="00407CA6" w14:paraId="4D1DA429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4C0E44C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A71A6D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51B4FF0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13D69A5C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2AEC6BAD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4AEBA4CA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26.2</w:t>
            </w:r>
          </w:p>
        </w:tc>
      </w:tr>
      <w:tr w:rsidR="00407CA6" w:rsidRPr="00407CA6" w14:paraId="25DFB28B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52F9D61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0EB5359C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58D64AF5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26.2</w:t>
            </w:r>
          </w:p>
        </w:tc>
        <w:tc>
          <w:tcPr>
            <w:tcW w:w="1850" w:type="dxa"/>
            <w:vMerge w:val="restart"/>
            <w:vAlign w:val="center"/>
          </w:tcPr>
          <w:p w14:paraId="30067611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1.szintű b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i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ztosíték a ren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d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kívül magas minőségű fed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e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zett kötvényeket kivéve</w:t>
            </w:r>
          </w:p>
        </w:tc>
        <w:tc>
          <w:tcPr>
            <w:tcW w:w="1400" w:type="dxa"/>
            <w:vAlign w:val="center"/>
          </w:tcPr>
          <w:p w14:paraId="02EC3495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3AA9F9C4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30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290 sor, azonosító 1.2.1.1</w:t>
            </w:r>
          </w:p>
        </w:tc>
      </w:tr>
      <w:tr w:rsidR="00407CA6" w:rsidRPr="00407CA6" w14:paraId="760DD01C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11D13CEA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31A9C40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4EE9026A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C0E7B1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2941DDC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774A3CDD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32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26.3</w:t>
            </w:r>
          </w:p>
        </w:tc>
      </w:tr>
      <w:tr w:rsidR="00407CA6" w:rsidRPr="00407CA6" w14:paraId="59850927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AF5BCAF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10543874" w14:textId="77777777" w:rsidR="00407CA6" w:rsidRPr="00407CA6" w:rsidRDefault="00407CA6" w:rsidP="00407CA6">
            <w:pPr>
              <w:widowControl w:val="0"/>
              <w:spacing w:before="80" w:after="0" w:line="240" w:lineRule="auto"/>
              <w:ind w:left="243" w:right="9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0A067A6F" w14:textId="77777777" w:rsidR="00407CA6" w:rsidRPr="00407CA6" w:rsidRDefault="00407CA6" w:rsidP="00407CA6">
            <w:pPr>
              <w:widowControl w:val="0"/>
              <w:spacing w:before="80" w:after="0" w:line="240" w:lineRule="auto"/>
              <w:ind w:left="243" w:right="9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26.3</w:t>
            </w:r>
          </w:p>
        </w:tc>
        <w:tc>
          <w:tcPr>
            <w:tcW w:w="1850" w:type="dxa"/>
            <w:vMerge w:val="restart"/>
            <w:vAlign w:val="center"/>
          </w:tcPr>
          <w:p w14:paraId="3593A1F5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1.szintű, ren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d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kívül magas minőségű fed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e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zett kötvényekből álló biztosíték</w:t>
            </w:r>
          </w:p>
          <w:p w14:paraId="7BB8FF3B" w14:textId="77777777" w:rsidR="00407CA6" w:rsidRPr="00407CA6" w:rsidRDefault="00407CA6" w:rsidP="00407CA6">
            <w:pPr>
              <w:widowControl w:val="0"/>
              <w:spacing w:before="80" w:after="0" w:line="240" w:lineRule="auto"/>
              <w:ind w:right="9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324625D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25DE3ADD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300 sor, azon</w:t>
            </w:r>
            <w:r w:rsidRPr="00407CA6">
              <w:rPr>
                <w:rFonts w:eastAsia="Calibri" w:cs="Times New Roman"/>
                <w:sz w:val="20"/>
                <w:szCs w:val="20"/>
              </w:rPr>
              <w:t>o</w:t>
            </w:r>
            <w:r w:rsidRPr="00407CA6">
              <w:rPr>
                <w:rFonts w:eastAsia="Calibri" w:cs="Times New Roman"/>
                <w:sz w:val="20"/>
                <w:szCs w:val="20"/>
              </w:rPr>
              <w:t>sító 1.2.1.2</w:t>
            </w:r>
          </w:p>
        </w:tc>
      </w:tr>
      <w:tr w:rsidR="00407CA6" w:rsidRPr="00407CA6" w14:paraId="2856F357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5FBCF7FB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6F8237B7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71A05805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F5DB147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866B534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7425F82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26.4</w:t>
            </w:r>
          </w:p>
        </w:tc>
      </w:tr>
      <w:tr w:rsidR="00407CA6" w:rsidRPr="00407CA6" w14:paraId="718705CF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2AC226C6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75564F6C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0B31C5BE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26.4</w:t>
            </w:r>
          </w:p>
        </w:tc>
        <w:tc>
          <w:tcPr>
            <w:tcW w:w="1850" w:type="dxa"/>
            <w:vMerge w:val="restart"/>
            <w:vAlign w:val="center"/>
          </w:tcPr>
          <w:p w14:paraId="0F7BC5E5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2A. szintű b</w:t>
            </w:r>
            <w:r w:rsidRPr="00407CA6">
              <w:rPr>
                <w:rFonts w:eastAsia="Calibri" w:cs="Times New Roman"/>
                <w:sz w:val="20"/>
                <w:szCs w:val="20"/>
              </w:rPr>
              <w:t>i</w:t>
            </w:r>
            <w:r w:rsidRPr="00407CA6">
              <w:rPr>
                <w:rFonts w:eastAsia="Calibri" w:cs="Times New Roman"/>
                <w:sz w:val="20"/>
                <w:szCs w:val="20"/>
              </w:rPr>
              <w:t>ztosíték</w:t>
            </w:r>
          </w:p>
        </w:tc>
        <w:tc>
          <w:tcPr>
            <w:tcW w:w="1400" w:type="dxa"/>
            <w:vAlign w:val="center"/>
          </w:tcPr>
          <w:p w14:paraId="1A639AB1" w14:textId="77777777" w:rsidR="00407CA6" w:rsidRPr="00407CA6" w:rsidRDefault="00407CA6" w:rsidP="00407CA6">
            <w:pPr>
              <w:widowControl w:val="0"/>
              <w:spacing w:before="34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7A322A20" w14:textId="77777777" w:rsidR="00407CA6" w:rsidRPr="00407CA6" w:rsidRDefault="00407CA6" w:rsidP="00407CA6">
            <w:pPr>
              <w:widowControl w:val="0"/>
              <w:spacing w:before="34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310 sor, azon</w:t>
            </w:r>
            <w:r w:rsidRPr="00407CA6">
              <w:rPr>
                <w:rFonts w:eastAsia="Calibri" w:cs="Times New Roman"/>
                <w:sz w:val="20"/>
                <w:szCs w:val="20"/>
              </w:rPr>
              <w:t>o</w:t>
            </w:r>
            <w:r w:rsidRPr="00407CA6">
              <w:rPr>
                <w:rFonts w:eastAsia="Calibri" w:cs="Times New Roman"/>
                <w:sz w:val="20"/>
                <w:szCs w:val="20"/>
              </w:rPr>
              <w:t>sító 1.2.1.3</w:t>
            </w:r>
          </w:p>
        </w:tc>
      </w:tr>
      <w:tr w:rsidR="00407CA6" w:rsidRPr="00407CA6" w14:paraId="1E21B7EF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63F6BD8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0BD1AA1B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05777AEB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3B34A2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2031CB7C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315828CB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26.5</w:t>
            </w:r>
          </w:p>
        </w:tc>
      </w:tr>
      <w:tr w:rsidR="00407CA6" w:rsidRPr="00407CA6" w14:paraId="55751DEF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E9A0A8B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46932B3F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16EEE4EF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26.5</w:t>
            </w:r>
          </w:p>
        </w:tc>
        <w:tc>
          <w:tcPr>
            <w:tcW w:w="1850" w:type="dxa"/>
            <w:vMerge w:val="restart"/>
            <w:vAlign w:val="center"/>
          </w:tcPr>
          <w:p w14:paraId="65D15E84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2B. szintű e</w:t>
            </w:r>
            <w:r w:rsidRPr="00407CA6">
              <w:rPr>
                <w:rFonts w:eastAsia="Calibri" w:cs="Times New Roman"/>
                <w:sz w:val="20"/>
                <w:szCs w:val="20"/>
              </w:rPr>
              <w:t>s</w:t>
            </w:r>
            <w:r w:rsidRPr="00407CA6">
              <w:rPr>
                <w:rFonts w:eastAsia="Calibri" w:cs="Times New Roman"/>
                <w:sz w:val="20"/>
                <w:szCs w:val="20"/>
              </w:rPr>
              <w:t>zközfedezetű értékpapír (lakóingatlan vagy gépjármű) biztosíték</w:t>
            </w:r>
          </w:p>
        </w:tc>
        <w:tc>
          <w:tcPr>
            <w:tcW w:w="1400" w:type="dxa"/>
            <w:vAlign w:val="center"/>
          </w:tcPr>
          <w:p w14:paraId="2C23E8E9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78AB0F41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24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320 sor, azonosító 1.2.1.4</w:t>
            </w:r>
          </w:p>
        </w:tc>
      </w:tr>
      <w:tr w:rsidR="00407CA6" w:rsidRPr="00407CA6" w14:paraId="7FC43514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90A344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6783D165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4704EE7A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33D8F8B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BB89D71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447CB8A4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26.6</w:t>
            </w:r>
          </w:p>
        </w:tc>
      </w:tr>
      <w:tr w:rsidR="00407CA6" w:rsidRPr="00407CA6" w14:paraId="539CA305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253547BD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080DE0BA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1772E27D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26.6</w:t>
            </w:r>
          </w:p>
        </w:tc>
        <w:tc>
          <w:tcPr>
            <w:tcW w:w="1850" w:type="dxa"/>
            <w:vMerge w:val="restart"/>
            <w:vAlign w:val="center"/>
          </w:tcPr>
          <w:p w14:paraId="2D67A19D" w14:textId="77777777" w:rsidR="00407CA6" w:rsidRPr="00407CA6" w:rsidRDefault="00407CA6" w:rsidP="00407CA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2B. szintű magas minőségű fedezett kötvény biztosíték</w:t>
            </w:r>
          </w:p>
        </w:tc>
        <w:tc>
          <w:tcPr>
            <w:tcW w:w="1400" w:type="dxa"/>
            <w:vAlign w:val="center"/>
          </w:tcPr>
          <w:p w14:paraId="7BAFD375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23501E06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24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330 sor, azonosító 1.2.1.5</w:t>
            </w:r>
          </w:p>
        </w:tc>
      </w:tr>
      <w:tr w:rsidR="00407CA6" w:rsidRPr="00407CA6" w14:paraId="221251E5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3B26E4A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E1F0C2C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6822D99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1C02350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1BB8DF61" w14:textId="77777777" w:rsidR="00407CA6" w:rsidRPr="00407CA6" w:rsidRDefault="00407CA6" w:rsidP="00407CA6">
            <w:pPr>
              <w:widowControl w:val="0"/>
              <w:spacing w:before="125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1E5E488F" w14:textId="77777777" w:rsidR="00407CA6" w:rsidRPr="00407CA6" w:rsidRDefault="00407CA6" w:rsidP="00407CA6">
            <w:pPr>
              <w:widowControl w:val="0"/>
              <w:spacing w:before="34" w:after="0" w:line="240" w:lineRule="auto"/>
              <w:ind w:left="298" w:right="165" w:firstLine="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26.7</w:t>
            </w:r>
          </w:p>
        </w:tc>
      </w:tr>
      <w:tr w:rsidR="00407CA6" w:rsidRPr="00407CA6" w14:paraId="17842AA9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33DC7DA8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CCD6A1A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5F6C39A4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26.7</w:t>
            </w:r>
          </w:p>
        </w:tc>
        <w:tc>
          <w:tcPr>
            <w:tcW w:w="1850" w:type="dxa"/>
            <w:vMerge w:val="restart"/>
            <w:vAlign w:val="center"/>
          </w:tcPr>
          <w:p w14:paraId="55EC2C62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2B. szintű e</w:t>
            </w:r>
            <w:r w:rsidRPr="00407CA6">
              <w:rPr>
                <w:rFonts w:eastAsia="Calibri" w:cs="Times New Roman"/>
                <w:sz w:val="20"/>
                <w:szCs w:val="20"/>
              </w:rPr>
              <w:t>s</w:t>
            </w:r>
            <w:r w:rsidRPr="00407CA6">
              <w:rPr>
                <w:rFonts w:eastAsia="Calibri" w:cs="Times New Roman"/>
                <w:sz w:val="20"/>
                <w:szCs w:val="20"/>
              </w:rPr>
              <w:t>zközfedezetű értékpapír (vállalati vagy háztartási hitel) biztosíték</w:t>
            </w:r>
          </w:p>
        </w:tc>
        <w:tc>
          <w:tcPr>
            <w:tcW w:w="1400" w:type="dxa"/>
            <w:vAlign w:val="center"/>
          </w:tcPr>
          <w:p w14:paraId="606F8357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310E955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340 sor, azon</w:t>
            </w:r>
            <w:r w:rsidRPr="00407CA6">
              <w:rPr>
                <w:rFonts w:eastAsia="Calibri" w:cs="Times New Roman"/>
                <w:sz w:val="20"/>
                <w:szCs w:val="20"/>
              </w:rPr>
              <w:t>o</w:t>
            </w:r>
            <w:r w:rsidRPr="00407CA6">
              <w:rPr>
                <w:rFonts w:eastAsia="Calibri" w:cs="Times New Roman"/>
                <w:sz w:val="20"/>
                <w:szCs w:val="20"/>
              </w:rPr>
              <w:t>sító 1.2.1.6</w:t>
            </w:r>
          </w:p>
        </w:tc>
      </w:tr>
      <w:tr w:rsidR="00407CA6" w:rsidRPr="00407CA6" w14:paraId="0CD0AFD7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4465592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7F19289E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0338293E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1C92DBF5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90D14D5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15E4FD2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350 sor, azonosító 1.2.1.7</w:t>
            </w:r>
          </w:p>
        </w:tc>
      </w:tr>
      <w:tr w:rsidR="00407CA6" w:rsidRPr="00407CA6" w14:paraId="19E5CCAF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3CF6897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0" w:type="dxa"/>
            <w:vMerge w:val="restart"/>
            <w:vAlign w:val="center"/>
          </w:tcPr>
          <w:p w14:paraId="5903B90C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Likvid eszköznek nem számító b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i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ztosíték</w:t>
            </w:r>
          </w:p>
          <w:p w14:paraId="7EDEEB01" w14:textId="22E1DB13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32. cikk (3)</w:t>
            </w:r>
            <w:r w:rsidR="005B331B">
              <w:rPr>
                <w:rFonts w:eastAsia="Times New Roman" w:cs="Times New Roman"/>
                <w:sz w:val="20"/>
                <w:szCs w:val="20"/>
              </w:rPr>
              <w:t xml:space="preserve"> b</w:t>
            </w:r>
            <w:r w:rsidR="005B331B">
              <w:rPr>
                <w:rFonts w:eastAsia="Times New Roman" w:cs="Times New Roman"/>
                <w:sz w:val="20"/>
                <w:szCs w:val="20"/>
              </w:rPr>
              <w:t>e</w:t>
            </w:r>
            <w:r w:rsidR="005B331B">
              <w:rPr>
                <w:rFonts w:eastAsia="Times New Roman" w:cs="Times New Roman"/>
                <w:sz w:val="20"/>
                <w:szCs w:val="20"/>
              </w:rPr>
              <w:t xml:space="preserve">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(b)</w:t>
            </w:r>
            <w:r w:rsidR="005B331B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  <w:vMerge w:val="restart"/>
            <w:vAlign w:val="center"/>
          </w:tcPr>
          <w:p w14:paraId="48EA89E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850" w:type="dxa"/>
            <w:vMerge w:val="restart"/>
            <w:vAlign w:val="center"/>
          </w:tcPr>
          <w:p w14:paraId="68B995EB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letéti hitel: a fed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e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zet nem likvid</w:t>
            </w:r>
          </w:p>
        </w:tc>
        <w:tc>
          <w:tcPr>
            <w:tcW w:w="1400" w:type="dxa"/>
            <w:vAlign w:val="center"/>
          </w:tcPr>
          <w:p w14:paraId="32B95640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B2EB51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380 sor, azonosító 1.2.3.1</w:t>
            </w:r>
          </w:p>
        </w:tc>
      </w:tr>
      <w:tr w:rsidR="00407CA6" w:rsidRPr="00407CA6" w14:paraId="227569FF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1FEA1830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72AEAF45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3286CEFF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78BFD9E2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316BDB7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4A79170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27.2</w:t>
            </w:r>
          </w:p>
        </w:tc>
      </w:tr>
      <w:tr w:rsidR="00407CA6" w:rsidRPr="00407CA6" w14:paraId="2AEBE4D8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D70182F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05C6D90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14E3E06B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27.2</w:t>
            </w:r>
          </w:p>
        </w:tc>
        <w:tc>
          <w:tcPr>
            <w:tcW w:w="1850" w:type="dxa"/>
            <w:vMerge w:val="restart"/>
            <w:vAlign w:val="center"/>
          </w:tcPr>
          <w:p w14:paraId="052517B5" w14:textId="77777777" w:rsidR="00407CA6" w:rsidRPr="00407CA6" w:rsidRDefault="00407CA6" w:rsidP="00407CA6">
            <w:pPr>
              <w:widowControl w:val="0"/>
              <w:spacing w:after="0" w:line="240" w:lineRule="auto"/>
              <w:ind w:left="24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a fedezet nem likvid részvény</w:t>
            </w:r>
          </w:p>
        </w:tc>
        <w:tc>
          <w:tcPr>
            <w:tcW w:w="1400" w:type="dxa"/>
            <w:vAlign w:val="center"/>
          </w:tcPr>
          <w:p w14:paraId="7B0B1C05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743EDE87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24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390 sor, azonosító 1.2.3.2</w:t>
            </w:r>
          </w:p>
        </w:tc>
      </w:tr>
      <w:tr w:rsidR="00407CA6" w:rsidRPr="00407CA6" w14:paraId="6E514509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36B6F96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48BA4F7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1C444D75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035C3E0D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4C52336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19E481B9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400 sor, azon</w:t>
            </w:r>
            <w:r w:rsidRPr="00407CA6">
              <w:rPr>
                <w:rFonts w:eastAsia="Calibri" w:cs="Times New Roman"/>
                <w:sz w:val="20"/>
                <w:szCs w:val="20"/>
              </w:rPr>
              <w:t>o</w:t>
            </w:r>
            <w:r w:rsidRPr="00407CA6">
              <w:rPr>
                <w:rFonts w:eastAsia="Calibri" w:cs="Times New Roman"/>
                <w:sz w:val="20"/>
                <w:szCs w:val="20"/>
              </w:rPr>
              <w:t>sító 1.2.3.3</w:t>
            </w:r>
          </w:p>
        </w:tc>
      </w:tr>
    </w:tbl>
    <w:p w14:paraId="3ED25844" w14:textId="77777777" w:rsidR="00407CA6" w:rsidRPr="008B5718" w:rsidRDefault="00407CA6" w:rsidP="008B5718">
      <w:pPr>
        <w:pStyle w:val="Cmsor3"/>
        <w:spacing w:before="300" w:after="300"/>
        <w:rPr>
          <w:color w:val="auto"/>
        </w:rPr>
      </w:pPr>
      <w:r w:rsidRPr="008B5718">
        <w:rPr>
          <w:color w:val="auto"/>
        </w:rPr>
        <w:t>Döntési fa a XXIV. Melléklet C 74.00 tábla oszlopaihoz</w:t>
      </w:r>
    </w:p>
    <w:tbl>
      <w:tblPr>
        <w:tblStyle w:val="Rcsostblzat2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1850"/>
        <w:gridCol w:w="1850"/>
        <w:gridCol w:w="1850"/>
        <w:gridCol w:w="1400"/>
        <w:gridCol w:w="2127"/>
      </w:tblGrid>
      <w:tr w:rsidR="00407CA6" w:rsidRPr="00407CA6" w14:paraId="6A85E0C2" w14:textId="77777777" w:rsidTr="00EF2859">
        <w:trPr>
          <w:jc w:val="center"/>
        </w:trPr>
        <w:tc>
          <w:tcPr>
            <w:tcW w:w="529" w:type="dxa"/>
            <w:vAlign w:val="center"/>
          </w:tcPr>
          <w:p w14:paraId="2690F50F" w14:textId="77777777" w:rsidR="00407CA6" w:rsidRPr="00407CA6" w:rsidRDefault="00407CA6" w:rsidP="00407CA6">
            <w:pPr>
              <w:widowControl w:val="0"/>
              <w:spacing w:before="37" w:after="0" w:line="240" w:lineRule="auto"/>
              <w:ind w:left="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Calibri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5550" w:type="dxa"/>
            <w:gridSpan w:val="3"/>
            <w:vAlign w:val="center"/>
          </w:tcPr>
          <w:p w14:paraId="2215F773" w14:textId="77777777" w:rsidR="00407CA6" w:rsidRPr="00407CA6" w:rsidRDefault="00407CA6" w:rsidP="00407CA6">
            <w:pPr>
              <w:widowControl w:val="0"/>
              <w:spacing w:before="37" w:after="0" w:line="240" w:lineRule="auto"/>
              <w:ind w:left="14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Calibri" w:cs="Times New Roman"/>
                <w:b/>
                <w:spacing w:val="-1"/>
                <w:sz w:val="20"/>
                <w:szCs w:val="20"/>
              </w:rPr>
              <w:t>Tétel</w:t>
            </w:r>
          </w:p>
        </w:tc>
        <w:tc>
          <w:tcPr>
            <w:tcW w:w="1400" w:type="dxa"/>
            <w:vAlign w:val="center"/>
          </w:tcPr>
          <w:p w14:paraId="3FC2B6B1" w14:textId="77777777" w:rsidR="00407CA6" w:rsidRPr="00407CA6" w:rsidRDefault="00407CA6" w:rsidP="00407CA6">
            <w:pPr>
              <w:widowControl w:val="0"/>
              <w:spacing w:before="37" w:after="0" w:line="240" w:lineRule="auto"/>
              <w:ind w:left="26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Calibri" w:cs="Times New Roman"/>
                <w:b/>
                <w:spacing w:val="-1"/>
                <w:sz w:val="20"/>
                <w:szCs w:val="20"/>
              </w:rPr>
              <w:t>Döntés</w:t>
            </w:r>
          </w:p>
        </w:tc>
        <w:tc>
          <w:tcPr>
            <w:tcW w:w="2127" w:type="dxa"/>
            <w:vAlign w:val="center"/>
          </w:tcPr>
          <w:p w14:paraId="2BE77BD2" w14:textId="77777777" w:rsidR="00407CA6" w:rsidRPr="00407CA6" w:rsidRDefault="00407CA6" w:rsidP="00407CA6">
            <w:pPr>
              <w:widowControl w:val="0"/>
              <w:spacing w:before="37" w:after="0" w:line="240" w:lineRule="auto"/>
              <w:ind w:left="28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Calibri" w:cs="Times New Roman"/>
                <w:b/>
                <w:spacing w:val="-1"/>
                <w:sz w:val="20"/>
                <w:szCs w:val="20"/>
              </w:rPr>
              <w:t>Jelentés</w:t>
            </w:r>
          </w:p>
        </w:tc>
      </w:tr>
      <w:tr w:rsidR="00407CA6" w:rsidRPr="00407CA6" w14:paraId="22F4B1BF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2D0C588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4DAD1C04" w14:textId="77777777" w:rsidR="00407CA6" w:rsidRPr="00407CA6" w:rsidRDefault="00407CA6" w:rsidP="00407CA6">
            <w:pPr>
              <w:keepNext/>
              <w:spacing w:before="240" w:after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 xml:space="preserve">A beáramlás szerepel a XXIV. melléklet C 74.00 tábla 010-430 soraiban, összhangban a 32. 33. és 34. cikkekkel, megfelelve a 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de-DE"/>
              </w:rPr>
              <w:t xml:space="preserve">Döntési fa a XXIV. melléklet C 74.00 tábla soraihoz 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táblázatnak</w:t>
            </w:r>
          </w:p>
          <w:p w14:paraId="0518B1A7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1F64123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D1C54F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Nem jelentendő</w:t>
            </w:r>
          </w:p>
        </w:tc>
      </w:tr>
      <w:tr w:rsidR="00407CA6" w:rsidRPr="00407CA6" w14:paraId="2FE92723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2053A55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43FA898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D7A6C69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5C9DE1B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2</w:t>
            </w:r>
          </w:p>
        </w:tc>
      </w:tr>
      <w:tr w:rsidR="00407CA6" w:rsidRPr="00407CA6" w14:paraId="19312D33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1E8F34A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76E369FE" w14:textId="4A4753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Fedezett kölcsön ügyletből és tőkepiac-vezérelt ügyletekből eredő beáramlás, kivéve a származékos ügyleteket (32. cikk (3)</w:t>
            </w:r>
            <w:r w:rsidR="0078634D">
              <w:rPr>
                <w:rFonts w:eastAsia="Times New Roman" w:cs="Times New Roman"/>
                <w:sz w:val="20"/>
                <w:szCs w:val="20"/>
              </w:rPr>
              <w:t xml:space="preserve"> bekezdés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(b)-(c);(e)-(f)</w:t>
            </w:r>
            <w:r w:rsidR="0078634D">
              <w:rPr>
                <w:rFonts w:eastAsia="Times New Roman" w:cs="Times New Roman"/>
                <w:sz w:val="20"/>
                <w:szCs w:val="20"/>
              </w:rPr>
              <w:t xml:space="preserve"> pontja</w:t>
            </w:r>
            <w:r w:rsidR="00ED42C4">
              <w:rPr>
                <w:rFonts w:eastAsia="Times New Roman" w:cs="Times New Roman"/>
                <w:sz w:val="20"/>
                <w:szCs w:val="20"/>
              </w:rPr>
              <w:t>i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0D661D2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2178250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11</w:t>
            </w:r>
          </w:p>
        </w:tc>
      </w:tr>
      <w:tr w:rsidR="00407CA6" w:rsidRPr="00407CA6" w14:paraId="79ECAE67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0E9FC51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2258A26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3D5A1E5B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Calibri" w:cs="Times New Roman"/>
                <w:spacing w:val="-1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454B6EF6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3</w:t>
            </w:r>
          </w:p>
        </w:tc>
      </w:tr>
      <w:tr w:rsidR="00407CA6" w:rsidRPr="00407CA6" w14:paraId="42156993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07EB99D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747A4ABC" w14:textId="2D59CD01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Részleges mentesség a beáramlások felső korlátja alól (33. cikk (2)-(5)</w:t>
            </w:r>
            <w:r w:rsidR="004D4CB1">
              <w:rPr>
                <w:rFonts w:eastAsia="Times New Roman" w:cs="Times New Roman"/>
                <w:sz w:val="20"/>
                <w:szCs w:val="20"/>
              </w:rPr>
              <w:t xml:space="preserve"> bekezdései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129208E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76B7FE0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4</w:t>
            </w:r>
          </w:p>
        </w:tc>
      </w:tr>
      <w:tr w:rsidR="00407CA6" w:rsidRPr="00407CA6" w14:paraId="34CD34AD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4A8004E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2C488C8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643C785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214A272A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7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6</w:t>
            </w:r>
          </w:p>
        </w:tc>
      </w:tr>
      <w:tr w:rsidR="00407CA6" w:rsidRPr="00407CA6" w14:paraId="47963C9A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3F6A901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Merge w:val="restart"/>
            <w:vAlign w:val="center"/>
          </w:tcPr>
          <w:p w14:paraId="76268184" w14:textId="691A71DB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Részleges mente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s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ség a beáramlások felső korlátja alól (33. cikk (2)-(5)</w:t>
            </w:r>
            <w:r w:rsidR="003318B3">
              <w:rPr>
                <w:rFonts w:eastAsia="Times New Roman" w:cs="Times New Roman"/>
                <w:sz w:val="20"/>
                <w:szCs w:val="20"/>
              </w:rPr>
              <w:t xml:space="preserve"> bekezdései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  <w:vAlign w:val="center"/>
          </w:tcPr>
          <w:p w14:paraId="3E43A9E0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50" w:type="dxa"/>
            <w:vAlign w:val="center"/>
          </w:tcPr>
          <w:p w14:paraId="44D8D90E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beáramlások felső korlátja alól mentesített része</w:t>
            </w:r>
          </w:p>
        </w:tc>
        <w:tc>
          <w:tcPr>
            <w:tcW w:w="1400" w:type="dxa"/>
            <w:vAlign w:val="center"/>
          </w:tcPr>
          <w:p w14:paraId="4E0BD06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646722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5</w:t>
            </w:r>
          </w:p>
        </w:tc>
      </w:tr>
      <w:tr w:rsidR="00407CA6" w:rsidRPr="00407CA6" w14:paraId="6A8ACD10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699FB22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E81F2E2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A4F9FD8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50" w:type="dxa"/>
            <w:vAlign w:val="center"/>
          </w:tcPr>
          <w:p w14:paraId="6BB3EFD7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beáramlások felső korlátja alól </w:t>
            </w: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nem mentesített része </w:t>
            </w:r>
          </w:p>
        </w:tc>
        <w:tc>
          <w:tcPr>
            <w:tcW w:w="1400" w:type="dxa"/>
            <w:vAlign w:val="center"/>
          </w:tcPr>
          <w:p w14:paraId="71050B2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  <w:vAlign w:val="center"/>
          </w:tcPr>
          <w:p w14:paraId="6989E7B4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7</w:t>
            </w:r>
          </w:p>
        </w:tc>
      </w:tr>
      <w:tr w:rsidR="00407CA6" w:rsidRPr="00407CA6" w14:paraId="29B3252D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69E9D57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4AB05E8D" w14:textId="368EDE3D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mentesített a 75%-os felső korlát alól, és 90%-os beáramlás alkalmazható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(33. cikk (4) </w:t>
            </w:r>
            <w:r w:rsidR="00067DC3">
              <w:rPr>
                <w:rFonts w:eastAsia="Times New Roman" w:cs="Times New Roman"/>
                <w:bCs/>
                <w:sz w:val="20"/>
                <w:szCs w:val="20"/>
              </w:rPr>
              <w:t>bekezdése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 és 33. cikk (5)</w:t>
            </w:r>
            <w:r w:rsidR="00067DC3">
              <w:rPr>
                <w:rFonts w:eastAsia="Times New Roman" w:cs="Times New Roman"/>
                <w:bCs/>
                <w:sz w:val="20"/>
                <w:szCs w:val="20"/>
              </w:rPr>
              <w:t xml:space="preserve"> bekezdése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6B2812E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7B69ECE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9</w:t>
            </w:r>
          </w:p>
        </w:tc>
      </w:tr>
      <w:tr w:rsidR="00407CA6" w:rsidRPr="00407CA6" w14:paraId="02E62367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58A60A89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74EF05C7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10BDA599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6868D43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7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10</w:t>
            </w:r>
          </w:p>
        </w:tc>
      </w:tr>
      <w:tr w:rsidR="00407CA6" w:rsidRPr="00407CA6" w14:paraId="44AF6E55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51E8D4A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6C32C0EB" w14:textId="21F0916B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a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75%-os felső korlát alá tartozik (33. cikk (1)</w:t>
            </w:r>
            <w:r w:rsidR="000E50CD">
              <w:rPr>
                <w:rFonts w:eastAsia="Times New Roman" w:cs="Times New Roman"/>
                <w:bCs/>
                <w:sz w:val="20"/>
                <w:szCs w:val="20"/>
              </w:rPr>
              <w:t xml:space="preserve"> b</w:t>
            </w:r>
            <w:r w:rsidR="000E50CD">
              <w:rPr>
                <w:rFonts w:eastAsia="Times New Roman" w:cs="Times New Roman"/>
                <w:bCs/>
                <w:sz w:val="20"/>
                <w:szCs w:val="20"/>
              </w:rPr>
              <w:t>e</w:t>
            </w:r>
            <w:r w:rsidR="000E50CD">
              <w:rPr>
                <w:rFonts w:eastAsia="Times New Roman" w:cs="Times New Roman"/>
                <w:bCs/>
                <w:sz w:val="20"/>
                <w:szCs w:val="20"/>
              </w:rPr>
              <w:t>kezdése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721FD55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4A47EF2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7</w:t>
            </w:r>
          </w:p>
        </w:tc>
      </w:tr>
      <w:tr w:rsidR="00407CA6" w:rsidRPr="00407CA6" w14:paraId="31E06A84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19289CAE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460F84F8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5C6CFC0D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C0E7662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8</w:t>
            </w:r>
          </w:p>
        </w:tc>
      </w:tr>
      <w:tr w:rsidR="00407CA6" w:rsidRPr="00407CA6" w14:paraId="084A1A79" w14:textId="77777777" w:rsidTr="00EF2859">
        <w:trPr>
          <w:trHeight w:val="220"/>
          <w:jc w:val="center"/>
        </w:trPr>
        <w:tc>
          <w:tcPr>
            <w:tcW w:w="529" w:type="dxa"/>
            <w:vMerge w:val="restart"/>
            <w:vAlign w:val="center"/>
          </w:tcPr>
          <w:p w14:paraId="0963066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850" w:type="dxa"/>
            <w:vMerge w:val="restart"/>
            <w:vAlign w:val="center"/>
          </w:tcPr>
          <w:p w14:paraId="36FA271D" w14:textId="250785BF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a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75%-os felső korlát alá tartozik (33. cikk (1)</w:t>
            </w:r>
            <w:r w:rsidR="00C56584">
              <w:rPr>
                <w:rFonts w:eastAsia="Times New Roman" w:cs="Times New Roman"/>
                <w:bCs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50" w:type="dxa"/>
            <w:vAlign w:val="center"/>
          </w:tcPr>
          <w:p w14:paraId="35BB611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50" w:type="dxa"/>
            <w:vAlign w:val="center"/>
          </w:tcPr>
          <w:p w14:paraId="7089B714" w14:textId="7A12BD50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Esedékes/maximálisan lehívható összeg</w:t>
            </w:r>
          </w:p>
        </w:tc>
        <w:tc>
          <w:tcPr>
            <w:tcW w:w="1400" w:type="dxa"/>
            <w:vAlign w:val="center"/>
          </w:tcPr>
          <w:p w14:paraId="6E416BC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5ED0B8B0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010 oszlop</w:t>
            </w:r>
          </w:p>
        </w:tc>
      </w:tr>
      <w:tr w:rsidR="00407CA6" w:rsidRPr="00407CA6" w14:paraId="291A66D0" w14:textId="77777777" w:rsidTr="00EF2859">
        <w:trPr>
          <w:trHeight w:val="219"/>
          <w:jc w:val="center"/>
        </w:trPr>
        <w:tc>
          <w:tcPr>
            <w:tcW w:w="529" w:type="dxa"/>
            <w:vMerge/>
            <w:vAlign w:val="center"/>
          </w:tcPr>
          <w:p w14:paraId="1DE641F7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57D6870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71C640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1850" w:type="dxa"/>
            <w:vAlign w:val="center"/>
          </w:tcPr>
          <w:p w14:paraId="773579F7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Alkalmazandó súly</w:t>
            </w:r>
          </w:p>
        </w:tc>
        <w:tc>
          <w:tcPr>
            <w:tcW w:w="1400" w:type="dxa"/>
            <w:vAlign w:val="center"/>
          </w:tcPr>
          <w:p w14:paraId="5994DF6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F4A869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080 oszlop</w:t>
            </w:r>
          </w:p>
        </w:tc>
      </w:tr>
      <w:tr w:rsidR="00407CA6" w:rsidRPr="00407CA6" w14:paraId="38676B43" w14:textId="77777777" w:rsidTr="00EF2859">
        <w:trPr>
          <w:trHeight w:val="219"/>
          <w:jc w:val="center"/>
        </w:trPr>
        <w:tc>
          <w:tcPr>
            <w:tcW w:w="529" w:type="dxa"/>
            <w:vMerge/>
            <w:vAlign w:val="center"/>
          </w:tcPr>
          <w:p w14:paraId="74E6FB1F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C3CD1FD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450CF2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50" w:type="dxa"/>
            <w:vAlign w:val="center"/>
          </w:tcPr>
          <w:p w14:paraId="4B2892EA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Beáramlás</w:t>
            </w:r>
          </w:p>
        </w:tc>
        <w:tc>
          <w:tcPr>
            <w:tcW w:w="1400" w:type="dxa"/>
            <w:vAlign w:val="center"/>
          </w:tcPr>
          <w:p w14:paraId="6E99033B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7F1DE1AB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140 oszlop</w:t>
            </w:r>
          </w:p>
        </w:tc>
      </w:tr>
      <w:tr w:rsidR="00407CA6" w:rsidRPr="00407CA6" w14:paraId="1FEDC2D0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728AB2D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4DFBE993" w14:textId="3BF58F30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a 90%-os felső korlát alá tartozik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(33. cikk (4) </w:t>
            </w:r>
            <w:r w:rsidR="00C56584">
              <w:rPr>
                <w:rFonts w:eastAsia="Times New Roman" w:cs="Times New Roman"/>
                <w:bCs/>
                <w:sz w:val="20"/>
                <w:szCs w:val="20"/>
              </w:rPr>
              <w:t>b</w:t>
            </w:r>
            <w:r w:rsidR="00C56584">
              <w:rPr>
                <w:rFonts w:eastAsia="Times New Roman" w:cs="Times New Roman"/>
                <w:bCs/>
                <w:sz w:val="20"/>
                <w:szCs w:val="20"/>
              </w:rPr>
              <w:t>e</w:t>
            </w:r>
            <w:r w:rsidR="00C56584">
              <w:rPr>
                <w:rFonts w:eastAsia="Times New Roman" w:cs="Times New Roman"/>
                <w:bCs/>
                <w:sz w:val="20"/>
                <w:szCs w:val="20"/>
              </w:rPr>
              <w:t>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 és 33. cikk (5)</w:t>
            </w:r>
            <w:r w:rsidR="00C56584">
              <w:rPr>
                <w:rFonts w:eastAsia="Times New Roman" w:cs="Times New Roman"/>
                <w:bCs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543C95D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334CAF4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9</w:t>
            </w:r>
          </w:p>
        </w:tc>
      </w:tr>
      <w:tr w:rsidR="00407CA6" w:rsidRPr="00407CA6" w14:paraId="68573C63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7F5774FC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592FD61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1B342105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39E3844C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1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10</w:t>
            </w:r>
          </w:p>
        </w:tc>
      </w:tr>
      <w:tr w:rsidR="00407CA6" w:rsidRPr="00407CA6" w14:paraId="4B6B2EFB" w14:textId="77777777" w:rsidTr="00EF2859">
        <w:trPr>
          <w:trHeight w:val="220"/>
          <w:jc w:val="center"/>
        </w:trPr>
        <w:tc>
          <w:tcPr>
            <w:tcW w:w="529" w:type="dxa"/>
            <w:vMerge w:val="restart"/>
            <w:vAlign w:val="center"/>
          </w:tcPr>
          <w:p w14:paraId="75B4879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850" w:type="dxa"/>
            <w:vMerge w:val="restart"/>
            <w:vAlign w:val="center"/>
          </w:tcPr>
          <w:p w14:paraId="29C1AB35" w14:textId="5682F848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a 90%-os felső korlát alá tartozik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(33. cikk (4) </w:t>
            </w:r>
            <w:r w:rsidR="005A7721">
              <w:rPr>
                <w:rFonts w:eastAsia="Times New Roman" w:cs="Times New Roman"/>
                <w:bCs/>
                <w:sz w:val="20"/>
                <w:szCs w:val="20"/>
              </w:rPr>
              <w:t>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 és 33. cikk (5)</w:t>
            </w:r>
            <w:r w:rsidR="005A7721">
              <w:rPr>
                <w:rFonts w:eastAsia="Times New Roman" w:cs="Times New Roman"/>
                <w:bCs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50" w:type="dxa"/>
            <w:vAlign w:val="center"/>
          </w:tcPr>
          <w:p w14:paraId="05D1C88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9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1850" w:type="dxa"/>
            <w:vAlign w:val="center"/>
          </w:tcPr>
          <w:p w14:paraId="5C06A654" w14:textId="1C60865F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Esedékes/maximálisan lehívható összeg</w:t>
            </w:r>
          </w:p>
        </w:tc>
        <w:tc>
          <w:tcPr>
            <w:tcW w:w="1400" w:type="dxa"/>
            <w:vAlign w:val="center"/>
          </w:tcPr>
          <w:p w14:paraId="0627C2B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E65333B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020 oszlop</w:t>
            </w:r>
          </w:p>
        </w:tc>
      </w:tr>
      <w:tr w:rsidR="00407CA6" w:rsidRPr="00407CA6" w14:paraId="1D81A2B0" w14:textId="77777777" w:rsidTr="00EF2859">
        <w:trPr>
          <w:trHeight w:val="219"/>
          <w:jc w:val="center"/>
        </w:trPr>
        <w:tc>
          <w:tcPr>
            <w:tcW w:w="529" w:type="dxa"/>
            <w:vMerge/>
            <w:vAlign w:val="center"/>
          </w:tcPr>
          <w:p w14:paraId="69F63723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5AE1F65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3F72BD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9.2</w:t>
            </w:r>
          </w:p>
        </w:tc>
        <w:tc>
          <w:tcPr>
            <w:tcW w:w="1850" w:type="dxa"/>
            <w:vAlign w:val="center"/>
          </w:tcPr>
          <w:p w14:paraId="5C591817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Alkalmazandó súly</w:t>
            </w:r>
          </w:p>
        </w:tc>
        <w:tc>
          <w:tcPr>
            <w:tcW w:w="1400" w:type="dxa"/>
            <w:vAlign w:val="center"/>
          </w:tcPr>
          <w:p w14:paraId="60FE0D69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0D5553E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090 oszlop</w:t>
            </w:r>
          </w:p>
        </w:tc>
      </w:tr>
      <w:tr w:rsidR="00407CA6" w:rsidRPr="00407CA6" w14:paraId="3D8DDAC9" w14:textId="77777777" w:rsidTr="00EF2859">
        <w:trPr>
          <w:trHeight w:val="219"/>
          <w:jc w:val="center"/>
        </w:trPr>
        <w:tc>
          <w:tcPr>
            <w:tcW w:w="529" w:type="dxa"/>
            <w:vMerge/>
            <w:vAlign w:val="center"/>
          </w:tcPr>
          <w:p w14:paraId="114AE985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01ED53E9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08B8B4C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1850" w:type="dxa"/>
            <w:vAlign w:val="center"/>
          </w:tcPr>
          <w:p w14:paraId="30FC642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Beáramlás</w:t>
            </w:r>
          </w:p>
        </w:tc>
        <w:tc>
          <w:tcPr>
            <w:tcW w:w="1400" w:type="dxa"/>
            <w:vAlign w:val="center"/>
          </w:tcPr>
          <w:p w14:paraId="5D9A200B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7CCC1D5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150 oszlop</w:t>
            </w:r>
          </w:p>
        </w:tc>
      </w:tr>
      <w:tr w:rsidR="00407CA6" w:rsidRPr="00407CA6" w14:paraId="5121DE66" w14:textId="77777777" w:rsidTr="00EF2859">
        <w:trPr>
          <w:trHeight w:val="220"/>
          <w:jc w:val="center"/>
        </w:trPr>
        <w:tc>
          <w:tcPr>
            <w:tcW w:w="529" w:type="dxa"/>
            <w:vMerge w:val="restart"/>
            <w:vAlign w:val="center"/>
          </w:tcPr>
          <w:p w14:paraId="060F1E9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vMerge w:val="restart"/>
            <w:vAlign w:val="center"/>
          </w:tcPr>
          <w:p w14:paraId="0D14A0CE" w14:textId="3E0F9AD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beáramlások felső korlátja alól teljes egészében mentesített (33. cikk (2)-(3)</w:t>
            </w:r>
            <w:r w:rsidR="005A7721">
              <w:rPr>
                <w:rFonts w:eastAsia="Times New Roman" w:cs="Times New Roman"/>
                <w:sz w:val="20"/>
                <w:szCs w:val="20"/>
              </w:rPr>
              <w:t xml:space="preserve"> b</w:t>
            </w:r>
            <w:r w:rsidR="005A7721">
              <w:rPr>
                <w:rFonts w:eastAsia="Times New Roman" w:cs="Times New Roman"/>
                <w:sz w:val="20"/>
                <w:szCs w:val="20"/>
              </w:rPr>
              <w:t>e</w:t>
            </w:r>
            <w:r w:rsidR="005A7721">
              <w:rPr>
                <w:rFonts w:eastAsia="Times New Roman" w:cs="Times New Roman"/>
                <w:sz w:val="20"/>
                <w:szCs w:val="20"/>
              </w:rPr>
              <w:t>kezdések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  <w:vAlign w:val="center"/>
          </w:tcPr>
          <w:p w14:paraId="6B69C98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10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1850" w:type="dxa"/>
            <w:vAlign w:val="center"/>
          </w:tcPr>
          <w:p w14:paraId="546590A4" w14:textId="50F1021C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Esedékes/maximálisan lehívható összeg</w:t>
            </w:r>
          </w:p>
        </w:tc>
        <w:tc>
          <w:tcPr>
            <w:tcW w:w="1400" w:type="dxa"/>
            <w:vAlign w:val="center"/>
          </w:tcPr>
          <w:p w14:paraId="576AD7C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8E5560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030 oszlop</w:t>
            </w:r>
          </w:p>
        </w:tc>
      </w:tr>
      <w:tr w:rsidR="00407CA6" w:rsidRPr="00407CA6" w14:paraId="12C68145" w14:textId="77777777" w:rsidTr="00EF2859">
        <w:trPr>
          <w:trHeight w:val="219"/>
          <w:jc w:val="center"/>
        </w:trPr>
        <w:tc>
          <w:tcPr>
            <w:tcW w:w="529" w:type="dxa"/>
            <w:vMerge/>
            <w:vAlign w:val="center"/>
          </w:tcPr>
          <w:p w14:paraId="1B5DCE11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78B721F0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49DE42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850" w:type="dxa"/>
            <w:vAlign w:val="center"/>
          </w:tcPr>
          <w:p w14:paraId="5845AE10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Alkalmazandó súly</w:t>
            </w:r>
          </w:p>
        </w:tc>
        <w:tc>
          <w:tcPr>
            <w:tcW w:w="1400" w:type="dxa"/>
            <w:vAlign w:val="center"/>
          </w:tcPr>
          <w:p w14:paraId="0433811F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46ED258E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100 oszlop</w:t>
            </w:r>
          </w:p>
        </w:tc>
      </w:tr>
      <w:tr w:rsidR="00407CA6" w:rsidRPr="00407CA6" w14:paraId="31E423F6" w14:textId="77777777" w:rsidTr="00EF2859">
        <w:trPr>
          <w:trHeight w:val="219"/>
          <w:jc w:val="center"/>
        </w:trPr>
        <w:tc>
          <w:tcPr>
            <w:tcW w:w="529" w:type="dxa"/>
            <w:vMerge/>
            <w:vAlign w:val="center"/>
          </w:tcPr>
          <w:p w14:paraId="6459EEE2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692E447E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F06814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850" w:type="dxa"/>
            <w:vAlign w:val="center"/>
          </w:tcPr>
          <w:p w14:paraId="279B0D30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Beáramlás</w:t>
            </w:r>
          </w:p>
        </w:tc>
        <w:tc>
          <w:tcPr>
            <w:tcW w:w="1400" w:type="dxa"/>
            <w:vAlign w:val="center"/>
          </w:tcPr>
          <w:p w14:paraId="0255B658" w14:textId="77777777" w:rsidR="00407CA6" w:rsidRPr="00407CA6" w:rsidRDefault="00407CA6" w:rsidP="00407CA6">
            <w:pPr>
              <w:spacing w:before="40" w:after="4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2D41018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160 oszlop</w:t>
            </w:r>
          </w:p>
        </w:tc>
      </w:tr>
      <w:tr w:rsidR="00407CA6" w:rsidRPr="00407CA6" w14:paraId="6E89D2D0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18445A4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11481B54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Fedezett finanszírozási ügylet, ahol a biztosíték likvid eszköznek minősül</w:t>
            </w:r>
          </w:p>
        </w:tc>
        <w:tc>
          <w:tcPr>
            <w:tcW w:w="1400" w:type="dxa"/>
            <w:vAlign w:val="center"/>
          </w:tcPr>
          <w:p w14:paraId="164D2E9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2A0074B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407CA6" w:rsidRPr="00407CA6" w14:paraId="179C2619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386962F5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3E06325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0EC5E536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8F7058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30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07CA6" w:rsidRPr="00407CA6" w14:paraId="3573BA0D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5C6E51F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0F4A619F" w14:textId="48EAD11A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Részben mentesített a beáramlások felső korlátja alól (33. cikk (2)-(5)</w:t>
            </w:r>
            <w:r w:rsidR="00AC5E73">
              <w:rPr>
                <w:rFonts w:eastAsia="Times New Roman" w:cs="Times New Roman"/>
                <w:sz w:val="20"/>
                <w:szCs w:val="20"/>
              </w:rPr>
              <w:t xml:space="preserve"> bekezdés</w:t>
            </w:r>
            <w:r w:rsidR="003D2ED8">
              <w:rPr>
                <w:rFonts w:eastAsia="Times New Roman" w:cs="Times New Roman"/>
                <w:sz w:val="20"/>
                <w:szCs w:val="20"/>
              </w:rPr>
              <w:t>ek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338FC6C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2DC9E570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</w:tr>
      <w:tr w:rsidR="00407CA6" w:rsidRPr="00407CA6" w14:paraId="4DDF10CB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33B55FB0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5024AA0B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299C504C" w14:textId="77777777" w:rsidR="00407CA6" w:rsidRPr="00407CA6" w:rsidRDefault="00407CA6" w:rsidP="00407CA6">
            <w:pPr>
              <w:widowControl w:val="0"/>
              <w:spacing w:before="80" w:after="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6CC14774" w14:textId="77777777" w:rsidR="00407CA6" w:rsidRPr="00407CA6" w:rsidRDefault="00407CA6" w:rsidP="00407CA6">
            <w:pPr>
              <w:widowControl w:val="0"/>
              <w:spacing w:before="80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15</w:t>
            </w:r>
          </w:p>
        </w:tc>
      </w:tr>
      <w:tr w:rsidR="00407CA6" w:rsidRPr="00407CA6" w14:paraId="1B4DFDFF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01942BEB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0" w:type="dxa"/>
            <w:vMerge w:val="restart"/>
            <w:vAlign w:val="center"/>
          </w:tcPr>
          <w:p w14:paraId="2C6586A0" w14:textId="73649F9E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Részben me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n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tesített a beára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m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lások felső korlátja alól (33. cikk (2)-(5)</w:t>
            </w:r>
            <w:r w:rsidR="003D2ED8">
              <w:rPr>
                <w:rFonts w:eastAsia="Times New Roman" w:cs="Times New Roman"/>
                <w:sz w:val="20"/>
                <w:szCs w:val="20"/>
              </w:rPr>
              <w:t xml:space="preserve"> bekezdések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  <w:vAlign w:val="center"/>
          </w:tcPr>
          <w:p w14:paraId="4DEA811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13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1850" w:type="dxa"/>
            <w:vAlign w:val="center"/>
          </w:tcPr>
          <w:p w14:paraId="38663F75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beáramlások felső korlátja alól mentesített része</w:t>
            </w:r>
          </w:p>
        </w:tc>
        <w:tc>
          <w:tcPr>
            <w:tcW w:w="1400" w:type="dxa"/>
            <w:vAlign w:val="center"/>
          </w:tcPr>
          <w:p w14:paraId="459D384E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B85E92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407CA6" w:rsidRPr="00407CA6" w14:paraId="427875EC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1A15D30A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24DF156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13304DC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13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1850" w:type="dxa"/>
            <w:vAlign w:val="center"/>
          </w:tcPr>
          <w:p w14:paraId="3F23B2F7" w14:textId="77777777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beáramlások felső korlátja alól nem mentesített része </w:t>
            </w:r>
          </w:p>
        </w:tc>
        <w:tc>
          <w:tcPr>
            <w:tcW w:w="1400" w:type="dxa"/>
            <w:vAlign w:val="center"/>
          </w:tcPr>
          <w:p w14:paraId="57957D01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1CE96FF3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16</w:t>
            </w:r>
          </w:p>
        </w:tc>
      </w:tr>
      <w:tr w:rsidR="00407CA6" w:rsidRPr="00407CA6" w14:paraId="01681C3B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2250C4D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0F9D1BDE" w14:textId="764C740B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mentesített a 75%-os felső korlát alól, és 90%-os beáramlás alkalmazható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(33. cikk (4) </w:t>
            </w:r>
            <w:r w:rsidR="004761AA">
              <w:rPr>
                <w:rFonts w:eastAsia="Times New Roman" w:cs="Times New Roman"/>
                <w:bCs/>
                <w:sz w:val="20"/>
                <w:szCs w:val="20"/>
              </w:rPr>
              <w:t>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 és 33. cikk (5)</w:t>
            </w:r>
            <w:r w:rsidR="004761AA">
              <w:rPr>
                <w:rFonts w:eastAsia="Times New Roman" w:cs="Times New Roman"/>
                <w:bCs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1942D55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34000FB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</w:tr>
      <w:tr w:rsidR="00407CA6" w:rsidRPr="00407CA6" w14:paraId="0CB9A8A7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120FA5C1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7D5697EE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7E0F815A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33E253E8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</w:t>
            </w:r>
            <w:r w:rsidRPr="00407CA6">
              <w:rPr>
                <w:rFonts w:eastAsia="Calibri" w:cs="Times New Roman"/>
                <w:sz w:val="20"/>
                <w:szCs w:val="20"/>
              </w:rPr>
              <w:t>19</w:t>
            </w:r>
          </w:p>
        </w:tc>
      </w:tr>
      <w:tr w:rsidR="00407CA6" w:rsidRPr="00407CA6" w14:paraId="7460E641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4987B91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76D406C2" w14:textId="6E0CCFBE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a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75%-os felső korlát alá tartozik (33. cikk (1)</w:t>
            </w:r>
            <w:r w:rsidR="004761AA">
              <w:rPr>
                <w:rFonts w:eastAsia="Times New Roman" w:cs="Times New Roman"/>
                <w:bCs/>
                <w:sz w:val="20"/>
                <w:szCs w:val="20"/>
              </w:rPr>
              <w:t xml:space="preserve"> b</w:t>
            </w:r>
            <w:r w:rsidR="004761AA">
              <w:rPr>
                <w:rFonts w:eastAsia="Times New Roman" w:cs="Times New Roman"/>
                <w:bCs/>
                <w:sz w:val="20"/>
                <w:szCs w:val="20"/>
              </w:rPr>
              <w:t>e</w:t>
            </w:r>
            <w:r w:rsidR="004761AA">
              <w:rPr>
                <w:rFonts w:eastAsia="Times New Roman" w:cs="Times New Roman"/>
                <w:bCs/>
                <w:sz w:val="20"/>
                <w:szCs w:val="20"/>
              </w:rPr>
              <w:t>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3F14402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06EE05CB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16</w:t>
            </w:r>
          </w:p>
        </w:tc>
      </w:tr>
      <w:tr w:rsidR="00407CA6" w:rsidRPr="00407CA6" w14:paraId="716DC36B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446E3D94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543D3B3E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C16A99E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1C75E20D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17</w:t>
            </w:r>
          </w:p>
        </w:tc>
      </w:tr>
      <w:tr w:rsidR="00407CA6" w:rsidRPr="00407CA6" w14:paraId="2EC8FD31" w14:textId="77777777" w:rsidTr="00EF2859">
        <w:trPr>
          <w:trHeight w:val="134"/>
          <w:jc w:val="center"/>
        </w:trPr>
        <w:tc>
          <w:tcPr>
            <w:tcW w:w="529" w:type="dxa"/>
            <w:vMerge w:val="restart"/>
            <w:vAlign w:val="center"/>
          </w:tcPr>
          <w:p w14:paraId="1AEED0A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Merge w:val="restart"/>
            <w:vAlign w:val="center"/>
          </w:tcPr>
          <w:p w14:paraId="56C6E54A" w14:textId="7C8A8EB3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a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75%-os felső korlát alá tartozik (33. cikk (1)</w:t>
            </w:r>
            <w:r w:rsidR="004761AA">
              <w:rPr>
                <w:rFonts w:eastAsia="Times New Roman" w:cs="Times New Roman"/>
                <w:bCs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50" w:type="dxa"/>
            <w:vAlign w:val="center"/>
          </w:tcPr>
          <w:p w14:paraId="27572D30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16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1850" w:type="dxa"/>
            <w:vAlign w:val="center"/>
          </w:tcPr>
          <w:p w14:paraId="566D5417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Esedékes összeg</w:t>
            </w:r>
          </w:p>
        </w:tc>
        <w:tc>
          <w:tcPr>
            <w:tcW w:w="1400" w:type="dxa"/>
            <w:vAlign w:val="center"/>
          </w:tcPr>
          <w:p w14:paraId="3B3FE56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1D505B3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010 oszlop</w:t>
            </w:r>
          </w:p>
        </w:tc>
      </w:tr>
      <w:tr w:rsidR="00407CA6" w:rsidRPr="00407CA6" w14:paraId="5D85B7A1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6FA605F5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4F3F7AF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15C61D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16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1850" w:type="dxa"/>
            <w:vAlign w:val="center"/>
          </w:tcPr>
          <w:p w14:paraId="602168D7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Kapott fedezet piaci értéke</w:t>
            </w:r>
          </w:p>
        </w:tc>
        <w:tc>
          <w:tcPr>
            <w:tcW w:w="1400" w:type="dxa"/>
            <w:vAlign w:val="center"/>
          </w:tcPr>
          <w:p w14:paraId="7CBFD8BE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66EAECA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040 oszlop</w:t>
            </w:r>
          </w:p>
        </w:tc>
      </w:tr>
      <w:tr w:rsidR="00407CA6" w:rsidRPr="00407CA6" w14:paraId="7EFD7F99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6DE28A14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6D8255E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D1E439D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16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.3</w:t>
            </w:r>
          </w:p>
        </w:tc>
        <w:tc>
          <w:tcPr>
            <w:tcW w:w="1850" w:type="dxa"/>
            <w:vAlign w:val="center"/>
          </w:tcPr>
          <w:p w14:paraId="1D14CE48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Alkalmazandó súly</w:t>
            </w:r>
          </w:p>
        </w:tc>
        <w:tc>
          <w:tcPr>
            <w:tcW w:w="1400" w:type="dxa"/>
            <w:vAlign w:val="center"/>
          </w:tcPr>
          <w:p w14:paraId="423A576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5336F90E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080 oszlop</w:t>
            </w:r>
          </w:p>
        </w:tc>
      </w:tr>
      <w:tr w:rsidR="00407CA6" w:rsidRPr="00407CA6" w14:paraId="0AA54A8D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5E1517E7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6A42D467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0DB6B4E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16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.4</w:t>
            </w:r>
          </w:p>
        </w:tc>
        <w:tc>
          <w:tcPr>
            <w:tcW w:w="1850" w:type="dxa"/>
            <w:vAlign w:val="center"/>
          </w:tcPr>
          <w:p w14:paraId="1CB05ACB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kapott fedezet 9. cikk szerinti értéke</w:t>
            </w:r>
          </w:p>
        </w:tc>
        <w:tc>
          <w:tcPr>
            <w:tcW w:w="1400" w:type="dxa"/>
            <w:vAlign w:val="center"/>
          </w:tcPr>
          <w:p w14:paraId="3497CDD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EC0EF33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110 oszlop</w:t>
            </w:r>
          </w:p>
        </w:tc>
      </w:tr>
      <w:tr w:rsidR="00407CA6" w:rsidRPr="00407CA6" w14:paraId="2ED3FC41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0229C098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16CE31A2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F52BFFC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16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.5</w:t>
            </w:r>
          </w:p>
        </w:tc>
        <w:tc>
          <w:tcPr>
            <w:tcW w:w="1850" w:type="dxa"/>
            <w:vAlign w:val="center"/>
          </w:tcPr>
          <w:p w14:paraId="249C16DE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Beáramlás</w:t>
            </w:r>
          </w:p>
        </w:tc>
        <w:tc>
          <w:tcPr>
            <w:tcW w:w="1400" w:type="dxa"/>
            <w:vAlign w:val="center"/>
          </w:tcPr>
          <w:p w14:paraId="132600EB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3FDE8A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140 oszlop</w:t>
            </w:r>
          </w:p>
        </w:tc>
      </w:tr>
      <w:tr w:rsidR="00407CA6" w:rsidRPr="00407CA6" w14:paraId="0BD282F6" w14:textId="77777777" w:rsidTr="00EF2859">
        <w:trPr>
          <w:jc w:val="center"/>
        </w:trPr>
        <w:tc>
          <w:tcPr>
            <w:tcW w:w="529" w:type="dxa"/>
            <w:vMerge w:val="restart"/>
            <w:vAlign w:val="center"/>
          </w:tcPr>
          <w:p w14:paraId="1581276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0" w:type="dxa"/>
            <w:gridSpan w:val="3"/>
            <w:vMerge w:val="restart"/>
            <w:vAlign w:val="center"/>
          </w:tcPr>
          <w:p w14:paraId="16D243F6" w14:textId="6A9171C5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a 90%-os felső korlát alá tartozik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(33. cikk (4) </w:t>
            </w:r>
            <w:r w:rsidR="00185855">
              <w:rPr>
                <w:rFonts w:eastAsia="Times New Roman" w:cs="Times New Roman"/>
                <w:bCs/>
                <w:sz w:val="20"/>
                <w:szCs w:val="20"/>
              </w:rPr>
              <w:t>b</w:t>
            </w:r>
            <w:r w:rsidR="00185855">
              <w:rPr>
                <w:rFonts w:eastAsia="Times New Roman" w:cs="Times New Roman"/>
                <w:bCs/>
                <w:sz w:val="20"/>
                <w:szCs w:val="20"/>
              </w:rPr>
              <w:t>e</w:t>
            </w:r>
            <w:r w:rsidR="00185855">
              <w:rPr>
                <w:rFonts w:eastAsia="Times New Roman" w:cs="Times New Roman"/>
                <w:bCs/>
                <w:sz w:val="20"/>
                <w:szCs w:val="20"/>
              </w:rPr>
              <w:t>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 és 33. cikk (5)</w:t>
            </w:r>
            <w:r w:rsidR="00185855">
              <w:rPr>
                <w:rFonts w:eastAsia="Times New Roman" w:cs="Times New Roman"/>
                <w:bCs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1B85F32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127" w:type="dxa"/>
            <w:vAlign w:val="center"/>
          </w:tcPr>
          <w:p w14:paraId="7CCE279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18</w:t>
            </w:r>
          </w:p>
        </w:tc>
      </w:tr>
      <w:tr w:rsidR="00407CA6" w:rsidRPr="00407CA6" w14:paraId="38B6D984" w14:textId="77777777" w:rsidTr="00EF2859">
        <w:trPr>
          <w:jc w:val="center"/>
        </w:trPr>
        <w:tc>
          <w:tcPr>
            <w:tcW w:w="529" w:type="dxa"/>
            <w:vMerge/>
            <w:vAlign w:val="center"/>
          </w:tcPr>
          <w:p w14:paraId="25F6D170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vMerge/>
            <w:vAlign w:val="center"/>
          </w:tcPr>
          <w:p w14:paraId="08CD86C3" w14:textId="77777777" w:rsidR="00407CA6" w:rsidRPr="00407CA6" w:rsidRDefault="00407CA6" w:rsidP="00407CA6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4FB7AED8" w14:textId="77777777" w:rsidR="00407CA6" w:rsidRPr="00407CA6" w:rsidRDefault="00407CA6" w:rsidP="00407CA6">
            <w:pPr>
              <w:widowControl w:val="0"/>
              <w:spacing w:before="32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sz w:val="20"/>
                <w:szCs w:val="20"/>
              </w:rPr>
              <w:t>Nem</w:t>
            </w:r>
          </w:p>
        </w:tc>
        <w:tc>
          <w:tcPr>
            <w:tcW w:w="2127" w:type="dxa"/>
            <w:vAlign w:val="center"/>
          </w:tcPr>
          <w:p w14:paraId="54BB83A9" w14:textId="77777777" w:rsidR="00407CA6" w:rsidRPr="00407CA6" w:rsidRDefault="00407CA6" w:rsidP="00407CA6">
            <w:pPr>
              <w:widowControl w:val="0"/>
              <w:spacing w:before="32" w:after="0" w:line="240" w:lineRule="auto"/>
              <w:ind w:left="49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Calibri" w:cs="Times New Roman"/>
                <w:color w:val="000000"/>
                <w:sz w:val="20"/>
                <w:szCs w:val="20"/>
              </w:rPr>
              <w:t># 19</w:t>
            </w:r>
          </w:p>
        </w:tc>
      </w:tr>
      <w:tr w:rsidR="00407CA6" w:rsidRPr="00407CA6" w14:paraId="55270A61" w14:textId="77777777" w:rsidTr="00EF2859">
        <w:trPr>
          <w:trHeight w:val="134"/>
          <w:jc w:val="center"/>
        </w:trPr>
        <w:tc>
          <w:tcPr>
            <w:tcW w:w="529" w:type="dxa"/>
            <w:vMerge w:val="restart"/>
            <w:vAlign w:val="center"/>
          </w:tcPr>
          <w:p w14:paraId="59C35EB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0" w:type="dxa"/>
            <w:vMerge w:val="restart"/>
            <w:vAlign w:val="center"/>
          </w:tcPr>
          <w:p w14:paraId="371664EF" w14:textId="68C67F6F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 xml:space="preserve">A beáramlás a 90%-os felső korlát alá tartozik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 xml:space="preserve">(33. cikk (4) </w:t>
            </w:r>
            <w:r w:rsidR="00C4519E">
              <w:rPr>
                <w:rFonts w:eastAsia="Times New Roman" w:cs="Times New Roman"/>
                <w:bCs/>
                <w:sz w:val="20"/>
                <w:szCs w:val="20"/>
              </w:rPr>
              <w:t xml:space="preserve">bekezdés 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és 33. cikk (5)</w:t>
            </w:r>
            <w:r w:rsidR="00C4519E">
              <w:rPr>
                <w:rFonts w:eastAsia="Times New Roman" w:cs="Times New Roman"/>
                <w:bCs/>
                <w:sz w:val="20"/>
                <w:szCs w:val="20"/>
              </w:rPr>
              <w:t xml:space="preserve"> bekezdés</w:t>
            </w: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50" w:type="dxa"/>
            <w:vAlign w:val="center"/>
          </w:tcPr>
          <w:p w14:paraId="712AEA5B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18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1850" w:type="dxa"/>
            <w:vAlign w:val="center"/>
          </w:tcPr>
          <w:p w14:paraId="166D947B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Esedékes összeg</w:t>
            </w:r>
          </w:p>
        </w:tc>
        <w:tc>
          <w:tcPr>
            <w:tcW w:w="1400" w:type="dxa"/>
            <w:vAlign w:val="center"/>
          </w:tcPr>
          <w:p w14:paraId="04E5EA0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0350FDD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020 oszlop</w:t>
            </w:r>
          </w:p>
        </w:tc>
      </w:tr>
      <w:tr w:rsidR="00407CA6" w:rsidRPr="00407CA6" w14:paraId="51D5B390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55C60CF2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9EB8B5D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C4E3465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18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1850" w:type="dxa"/>
            <w:vAlign w:val="center"/>
          </w:tcPr>
          <w:p w14:paraId="6F3CD6B6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kapott fedezet piaci értéke</w:t>
            </w:r>
          </w:p>
        </w:tc>
        <w:tc>
          <w:tcPr>
            <w:tcW w:w="1400" w:type="dxa"/>
            <w:vAlign w:val="center"/>
          </w:tcPr>
          <w:p w14:paraId="0C060406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5DD5100D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050 oszlop</w:t>
            </w:r>
          </w:p>
        </w:tc>
      </w:tr>
      <w:tr w:rsidR="00407CA6" w:rsidRPr="00407CA6" w14:paraId="5792D49C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0E568A49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903C65F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10DDF8AA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18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.3</w:t>
            </w:r>
          </w:p>
        </w:tc>
        <w:tc>
          <w:tcPr>
            <w:tcW w:w="1850" w:type="dxa"/>
            <w:vAlign w:val="center"/>
          </w:tcPr>
          <w:p w14:paraId="2E99568B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Alkalmazandó súly</w:t>
            </w:r>
          </w:p>
        </w:tc>
        <w:tc>
          <w:tcPr>
            <w:tcW w:w="1400" w:type="dxa"/>
            <w:vAlign w:val="center"/>
          </w:tcPr>
          <w:p w14:paraId="4B99E29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6996C1B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090 oszlop</w:t>
            </w:r>
          </w:p>
        </w:tc>
      </w:tr>
      <w:tr w:rsidR="00407CA6" w:rsidRPr="00407CA6" w14:paraId="552DF4DD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36F34EEC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F277CF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18F0EECA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18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.4</w:t>
            </w:r>
          </w:p>
        </w:tc>
        <w:tc>
          <w:tcPr>
            <w:tcW w:w="1850" w:type="dxa"/>
            <w:vAlign w:val="center"/>
          </w:tcPr>
          <w:p w14:paraId="6E056890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kapott fedezet 9. cikk szerinti értéke</w:t>
            </w:r>
          </w:p>
        </w:tc>
        <w:tc>
          <w:tcPr>
            <w:tcW w:w="1400" w:type="dxa"/>
            <w:vAlign w:val="center"/>
          </w:tcPr>
          <w:p w14:paraId="60894A75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0DFA44CC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120 oszlop</w:t>
            </w:r>
          </w:p>
        </w:tc>
      </w:tr>
      <w:tr w:rsidR="00407CA6" w:rsidRPr="00407CA6" w14:paraId="5EDF628E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5F17A94F" w14:textId="77777777" w:rsidR="00407CA6" w:rsidRPr="00407CA6" w:rsidRDefault="00407CA6" w:rsidP="00407CA6">
            <w:pPr>
              <w:widowControl w:val="0"/>
              <w:spacing w:after="0" w:line="240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9C7328A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9EA8EC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18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.5</w:t>
            </w:r>
          </w:p>
        </w:tc>
        <w:tc>
          <w:tcPr>
            <w:tcW w:w="1850" w:type="dxa"/>
            <w:vAlign w:val="center"/>
          </w:tcPr>
          <w:p w14:paraId="16736BEA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Beáramlás</w:t>
            </w:r>
          </w:p>
        </w:tc>
        <w:tc>
          <w:tcPr>
            <w:tcW w:w="1400" w:type="dxa"/>
            <w:vAlign w:val="center"/>
          </w:tcPr>
          <w:p w14:paraId="64FFB5C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40ECFE2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150 oszlop</w:t>
            </w:r>
          </w:p>
        </w:tc>
      </w:tr>
      <w:tr w:rsidR="00407CA6" w:rsidRPr="00407CA6" w14:paraId="043CE233" w14:textId="77777777" w:rsidTr="00EF2859">
        <w:trPr>
          <w:trHeight w:val="134"/>
          <w:jc w:val="center"/>
        </w:trPr>
        <w:tc>
          <w:tcPr>
            <w:tcW w:w="529" w:type="dxa"/>
            <w:vMerge w:val="restart"/>
            <w:vAlign w:val="center"/>
          </w:tcPr>
          <w:p w14:paraId="3AD4BE7F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0" w:type="dxa"/>
            <w:vMerge w:val="restart"/>
            <w:vAlign w:val="center"/>
          </w:tcPr>
          <w:p w14:paraId="0E9CF0F8" w14:textId="2213C29B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beáramlások felső korlátja alól teljes egészében mentesített beáramlás (33. cikk (2)-(3)</w:t>
            </w:r>
            <w:r w:rsidR="00DC50AF">
              <w:rPr>
                <w:rFonts w:eastAsia="Times New Roman" w:cs="Times New Roman"/>
                <w:sz w:val="20"/>
                <w:szCs w:val="20"/>
              </w:rPr>
              <w:t xml:space="preserve"> bekezdések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35D523F9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CD1E50B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19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.1</w:t>
            </w:r>
          </w:p>
        </w:tc>
        <w:tc>
          <w:tcPr>
            <w:tcW w:w="1850" w:type="dxa"/>
            <w:vAlign w:val="center"/>
          </w:tcPr>
          <w:p w14:paraId="2B4CABD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Esedékes összeg</w:t>
            </w:r>
          </w:p>
        </w:tc>
        <w:tc>
          <w:tcPr>
            <w:tcW w:w="1400" w:type="dxa"/>
            <w:vAlign w:val="center"/>
          </w:tcPr>
          <w:p w14:paraId="37683C14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4D5AC39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030 oszlop</w:t>
            </w:r>
          </w:p>
        </w:tc>
      </w:tr>
      <w:tr w:rsidR="00407CA6" w:rsidRPr="00407CA6" w14:paraId="2192A933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2EBE69B0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59E95064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66BDE2CB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19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1850" w:type="dxa"/>
            <w:vAlign w:val="center"/>
          </w:tcPr>
          <w:p w14:paraId="1DB2771D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kapott fedezet piaci értéke</w:t>
            </w:r>
          </w:p>
        </w:tc>
        <w:tc>
          <w:tcPr>
            <w:tcW w:w="1400" w:type="dxa"/>
            <w:vAlign w:val="center"/>
          </w:tcPr>
          <w:p w14:paraId="6290668E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58BB3950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060 oszlop</w:t>
            </w:r>
          </w:p>
        </w:tc>
      </w:tr>
      <w:tr w:rsidR="00407CA6" w:rsidRPr="00407CA6" w14:paraId="6B930D49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1271DC0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3512AB7F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849EE65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19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.3</w:t>
            </w:r>
          </w:p>
        </w:tc>
        <w:tc>
          <w:tcPr>
            <w:tcW w:w="1850" w:type="dxa"/>
            <w:vAlign w:val="center"/>
          </w:tcPr>
          <w:p w14:paraId="374B6891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Alkalmazandó súly</w:t>
            </w:r>
          </w:p>
        </w:tc>
        <w:tc>
          <w:tcPr>
            <w:tcW w:w="1400" w:type="dxa"/>
            <w:vAlign w:val="center"/>
          </w:tcPr>
          <w:p w14:paraId="62F74E4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4482DE32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100 oszlop</w:t>
            </w:r>
          </w:p>
        </w:tc>
      </w:tr>
      <w:tr w:rsidR="00407CA6" w:rsidRPr="00407CA6" w14:paraId="035F1EE1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0371A3A8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39A01A5B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E1FE2FC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19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.4</w:t>
            </w:r>
          </w:p>
        </w:tc>
        <w:tc>
          <w:tcPr>
            <w:tcW w:w="1850" w:type="dxa"/>
            <w:vAlign w:val="center"/>
          </w:tcPr>
          <w:p w14:paraId="3853B3CA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A kapott fedezet 9. cikk szerinti értéke</w:t>
            </w:r>
          </w:p>
        </w:tc>
        <w:tc>
          <w:tcPr>
            <w:tcW w:w="1400" w:type="dxa"/>
            <w:vAlign w:val="center"/>
          </w:tcPr>
          <w:p w14:paraId="7E2528D7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729CC5D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130 oszlop</w:t>
            </w:r>
          </w:p>
        </w:tc>
      </w:tr>
      <w:tr w:rsidR="00407CA6" w:rsidRPr="00407CA6" w14:paraId="0258383B" w14:textId="77777777" w:rsidTr="00EF2859">
        <w:trPr>
          <w:trHeight w:val="131"/>
          <w:jc w:val="center"/>
        </w:trPr>
        <w:tc>
          <w:tcPr>
            <w:tcW w:w="529" w:type="dxa"/>
            <w:vMerge/>
            <w:vAlign w:val="center"/>
          </w:tcPr>
          <w:p w14:paraId="733059C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vAlign w:val="center"/>
          </w:tcPr>
          <w:p w14:paraId="20F02DE9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391E1398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color w:val="000000"/>
                <w:sz w:val="20"/>
                <w:szCs w:val="20"/>
              </w:rPr>
              <w:t># 19</w:t>
            </w:r>
            <w:r w:rsidRPr="00407CA6">
              <w:rPr>
                <w:rFonts w:eastAsia="Times New Roman" w:cs="Times New Roman"/>
                <w:sz w:val="20"/>
                <w:szCs w:val="20"/>
              </w:rPr>
              <w:t>.5</w:t>
            </w:r>
          </w:p>
        </w:tc>
        <w:tc>
          <w:tcPr>
            <w:tcW w:w="1850" w:type="dxa"/>
            <w:vAlign w:val="center"/>
          </w:tcPr>
          <w:p w14:paraId="51E280CA" w14:textId="77777777" w:rsidR="00407CA6" w:rsidRPr="00407CA6" w:rsidRDefault="00407CA6" w:rsidP="00407CA6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Beáramlás</w:t>
            </w:r>
          </w:p>
        </w:tc>
        <w:tc>
          <w:tcPr>
            <w:tcW w:w="1400" w:type="dxa"/>
            <w:vAlign w:val="center"/>
          </w:tcPr>
          <w:p w14:paraId="7973A5AA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64A75441" w14:textId="77777777" w:rsidR="00407CA6" w:rsidRPr="00407CA6" w:rsidRDefault="00407CA6" w:rsidP="00407CA6">
            <w:pPr>
              <w:spacing w:before="40" w:after="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b/>
                <w:sz w:val="20"/>
                <w:szCs w:val="20"/>
              </w:rPr>
              <w:t>160 oszlop</w:t>
            </w:r>
          </w:p>
        </w:tc>
      </w:tr>
    </w:tbl>
    <w:p w14:paraId="0D71D128" w14:textId="77777777" w:rsidR="00407CA6" w:rsidRPr="008B5718" w:rsidRDefault="00407CA6" w:rsidP="00101DCF">
      <w:pPr>
        <w:pStyle w:val="Cmsor2"/>
        <w:numPr>
          <w:ilvl w:val="1"/>
          <w:numId w:val="31"/>
        </w:numPr>
        <w:rPr>
          <w:color w:val="auto"/>
        </w:rPr>
      </w:pPr>
      <w:r w:rsidRPr="008B5718">
        <w:rPr>
          <w:color w:val="auto"/>
        </w:rPr>
        <w:t>Beáramlások altábla</w:t>
      </w:r>
    </w:p>
    <w:p w14:paraId="627194F8" w14:textId="77777777" w:rsidR="00407CA6" w:rsidRPr="008B5718" w:rsidRDefault="00407CA6" w:rsidP="008B5718">
      <w:pPr>
        <w:pStyle w:val="Cmsor3"/>
        <w:spacing w:before="300" w:after="300"/>
        <w:rPr>
          <w:color w:val="auto"/>
        </w:rPr>
      </w:pPr>
      <w:r w:rsidRPr="008B5718">
        <w:rPr>
          <w:color w:val="auto"/>
        </w:rPr>
        <w:t>Az oszlopokra vonatkozó iránymutatások</w:t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1100"/>
        <w:gridCol w:w="8640"/>
      </w:tblGrid>
      <w:tr w:rsidR="00407CA6" w:rsidRPr="00407CA6" w14:paraId="31C3E7E7" w14:textId="77777777" w:rsidTr="00B43698">
        <w:tc>
          <w:tcPr>
            <w:tcW w:w="1100" w:type="dxa"/>
            <w:shd w:val="clear" w:color="auto" w:fill="auto"/>
          </w:tcPr>
          <w:p w14:paraId="3A6CC9BB" w14:textId="77777777" w:rsidR="00407CA6" w:rsidRPr="0035465A" w:rsidRDefault="00407CA6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</w:pPr>
            <w:r w:rsidRPr="0035465A"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  <w:t>Oszlop</w:t>
            </w:r>
          </w:p>
        </w:tc>
        <w:tc>
          <w:tcPr>
            <w:tcW w:w="8640" w:type="dxa"/>
            <w:shd w:val="clear" w:color="auto" w:fill="auto"/>
          </w:tcPr>
          <w:p w14:paraId="7A83EA64" w14:textId="6B1D82C2" w:rsidR="00407CA6" w:rsidRPr="0035465A" w:rsidRDefault="00407CA6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ind w:left="176" w:right="168"/>
              <w:contextualSpacing w:val="0"/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</w:pPr>
            <w:r w:rsidRPr="0035465A"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  <w:t xml:space="preserve">Jogi hivatkozások és </w:t>
            </w:r>
            <w:r w:rsidR="006813D0" w:rsidRPr="0035465A"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  <w:t>iránymutatások</w:t>
            </w:r>
          </w:p>
        </w:tc>
      </w:tr>
      <w:tr w:rsidR="00407CA6" w:rsidRPr="00407CA6" w14:paraId="7958F7C9" w14:textId="77777777" w:rsidTr="0035465A">
        <w:tc>
          <w:tcPr>
            <w:tcW w:w="1100" w:type="dxa"/>
            <w:vAlign w:val="center"/>
          </w:tcPr>
          <w:p w14:paraId="43A46036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010</w:t>
            </w:r>
          </w:p>
        </w:tc>
        <w:tc>
          <w:tcPr>
            <w:tcW w:w="8640" w:type="dxa"/>
          </w:tcPr>
          <w:p w14:paraId="140BC28C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Összeg - 75%-os felső korlát hatálya alá tartozó</w:t>
            </w:r>
          </w:p>
          <w:p w14:paraId="223340EA" w14:textId="2FBA8B1C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Bizottság (EU) 2015/61 felhatalmazáson alapuló rendeletének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5772A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234E127F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</w:t>
            </w:r>
            <w:proofErr w:type="gramStart"/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,{</w:t>
            </w:r>
            <w:proofErr w:type="gramEnd"/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060}-{090},{120}-{130},{150}-{260},{290}-{360},{380}-{400},{440}-{450} és {470}-{520} sorok. A hitelintézetnek a 010 oszlopban kell jelenteni azon eszközök/esedékes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zösszegek/lehívható pénzösszegek teljes összegét, amelyek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záson alapuló rendeletének</w:t>
            </w:r>
            <w:r w:rsidRPr="00407CA6" w:rsidDel="00AC21B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cikkének (1) bekezdése szerint a kiáramlások 75%-ában kerülnek korlátozásra, és megfelelnek az alábbi utasításoknak.</w:t>
            </w:r>
          </w:p>
          <w:p w14:paraId="0528628A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illetékes hatóság által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 w:rsidDel="002D0E8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cikkének (2) bekezdése szerint adott mentesítés esetén a mentesített összeg a 020 vagy 030 os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lopokban, a nem mentesített összeg pedig a 010 oszlopban jelentendő.</w:t>
            </w:r>
          </w:p>
        </w:tc>
      </w:tr>
      <w:tr w:rsidR="00407CA6" w:rsidRPr="00407CA6" w14:paraId="5B7CE9F8" w14:textId="77777777" w:rsidTr="0035465A">
        <w:tc>
          <w:tcPr>
            <w:tcW w:w="1100" w:type="dxa"/>
            <w:vAlign w:val="center"/>
          </w:tcPr>
          <w:p w14:paraId="6526C7F0" w14:textId="77777777" w:rsidR="00407CA6" w:rsidRPr="00407CA6" w:rsidRDefault="00407CA6" w:rsidP="00407CA6">
            <w:pPr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020</w:t>
            </w:r>
          </w:p>
        </w:tc>
        <w:tc>
          <w:tcPr>
            <w:tcW w:w="8640" w:type="dxa"/>
          </w:tcPr>
          <w:p w14:paraId="1BD12E03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Összeg – A 90%-os felső korlát hatálya alá tartozó</w:t>
            </w:r>
          </w:p>
          <w:p w14:paraId="42DEEB2D" w14:textId="22778AF0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D7402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5772A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7CF0FF20" w14:textId="662E2D22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</w:t>
            </w:r>
            <w:proofErr w:type="gramStart"/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,{</w:t>
            </w:r>
            <w:proofErr w:type="gramEnd"/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060}-{090},{120}-{130},{150}-{260},{290}-{360},{380}-{400},{440}-{450} és {470}-{520} sorok. A hitelintézetnek a 020 oszlopban kell jelenteni azon eszközök/esedékes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zösszegek/lehívható pénzösszegek teljes összegét, amelyek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záson alapuló rendeletének</w:t>
            </w:r>
            <w:r w:rsidRPr="00407CA6" w:rsidDel="00961AB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cikke (4) és 33. cikk (5) bekezdése szerint a 90%-os beáramlási ko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r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lát alá tartoznak és megfelelnek az alábbi utasításoknak.</w:t>
            </w:r>
          </w:p>
          <w:p w14:paraId="44787067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Az illetékes hatóság által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 (2) bekezdése szerint adott mentesítés esetén a mentesített összeg a 020 vagy 030 oszlopokban jelentendő, a nem mentesített összeg pedig a 010 oszlopban.</w:t>
            </w:r>
          </w:p>
        </w:tc>
      </w:tr>
      <w:tr w:rsidR="00407CA6" w:rsidRPr="00407CA6" w14:paraId="284DE02F" w14:textId="77777777" w:rsidTr="0035465A">
        <w:tc>
          <w:tcPr>
            <w:tcW w:w="1100" w:type="dxa"/>
            <w:vAlign w:val="center"/>
          </w:tcPr>
          <w:p w14:paraId="6228C507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lastRenderedPageBreak/>
              <w:t>030</w:t>
            </w:r>
          </w:p>
        </w:tc>
        <w:tc>
          <w:tcPr>
            <w:tcW w:w="8640" w:type="dxa"/>
          </w:tcPr>
          <w:p w14:paraId="511B9A00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Összeg – A beáramlások felső korlátja aló mentesített</w:t>
            </w:r>
          </w:p>
          <w:p w14:paraId="2AEFC087" w14:textId="5F19E3E4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2D75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82337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4AB9BC4E" w14:textId="00D6D344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</w:t>
            </w:r>
            <w:proofErr w:type="gramStart"/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,{</w:t>
            </w:r>
            <w:proofErr w:type="gramEnd"/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060}-{090},{120}-{130},{150}-{260},{290}-{360},{380}-{400},{440}-{450} </w:t>
            </w:r>
            <w:r w:rsidR="00810E9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és</w:t>
            </w:r>
            <w:r w:rsidR="00810E94"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{470}-{520} sorok. A hitelintézetnek a 030 oszlopban kell jelenteni azon eszközök/esedékes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zösszegek/lehívható pénzösszegek teljes összegét, amelyek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32. cikk (2), 33. cikk (3) és a 33. cikk (5) bekezdése</w:t>
            </w:r>
            <w:r w:rsidR="00A304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szerint a beára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lások felső korlátja alól teljes egészében mentesítettek, és megfelelnek az alábbi utasításoknak.</w:t>
            </w:r>
          </w:p>
          <w:p w14:paraId="5279DE31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illetékes hatóság által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 (2) bekezdése szerint adott mentesítése esetén a mentesített összeg a 020 vagy 030 oszlopokban jelentendő, a nem mentesített összeg pedig a 010 oszlopban. </w:t>
            </w:r>
          </w:p>
        </w:tc>
      </w:tr>
      <w:tr w:rsidR="00407CA6" w:rsidRPr="00407CA6" w14:paraId="6213E8DE" w14:textId="77777777" w:rsidTr="0035465A">
        <w:tc>
          <w:tcPr>
            <w:tcW w:w="1100" w:type="dxa"/>
            <w:vAlign w:val="center"/>
          </w:tcPr>
          <w:p w14:paraId="4E9E3182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040</w:t>
            </w:r>
          </w:p>
        </w:tc>
        <w:tc>
          <w:tcPr>
            <w:tcW w:w="8640" w:type="dxa"/>
          </w:tcPr>
          <w:p w14:paraId="25DE182D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Kapott fedezet piaci értéke – A 75%-os felső korlát hatálya alá tartozó</w:t>
            </w:r>
          </w:p>
          <w:p w14:paraId="545248EB" w14:textId="001A29DB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0269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1C5FF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73C43FA7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{290}-{350} és {490} sorok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esetén 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040 oszlopban kell jelenteni a hitelintézetnek azon fedezett kölcsönügyletek és tőkepiac-vezérelt ügyletek kapcsán kapott fedezetek piaci értékét, amely ügyl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 w:rsidDel="006B1B2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(1) bekezdése érte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mében a 75%-os felső korlát hatálya alá tartoznak.</w:t>
            </w:r>
          </w:p>
          <w:p w14:paraId="4ACAD32B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illetékes hatóság által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 w:rsidDel="007A347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(2) bekezdése szerint adott mentesítés esetén a fedezett kölcsönügyletek és tőkepiac-vezérelt ügyletek kapcsán kapott fedezetek piaci értékből a mentesített összeg a 050 és 060 oszlopokban jelentendő, a nem mentesített összeg pedig a 040 oszlopban.</w:t>
            </w:r>
          </w:p>
        </w:tc>
      </w:tr>
      <w:tr w:rsidR="00407CA6" w:rsidRPr="00407CA6" w14:paraId="69B38200" w14:textId="77777777" w:rsidTr="0035465A">
        <w:tc>
          <w:tcPr>
            <w:tcW w:w="1100" w:type="dxa"/>
            <w:vAlign w:val="center"/>
          </w:tcPr>
          <w:p w14:paraId="30D97B18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050</w:t>
            </w:r>
          </w:p>
        </w:tc>
        <w:tc>
          <w:tcPr>
            <w:tcW w:w="8640" w:type="dxa"/>
          </w:tcPr>
          <w:p w14:paraId="22541785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Kapott fedezet piaci értéke – A 90%-os felső korlát hatálya alá tartozó</w:t>
            </w:r>
          </w:p>
          <w:p w14:paraId="0F170DF4" w14:textId="06C477C0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290A4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ED53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27F0BCE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{290}-{350} és {490} sorok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esetén 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050 oszlopban kell jelenteni a hitelintézetnek azon fedezett kölcsönügyletek és tőkepiac-vezérelt ügyletek kapcsán kapott fedezetek piaci értékét, amely ügyl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 w:rsidDel="00AD59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(4) és a 33. cikk (5) b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kezdése értelmében a 90%-os felső korlát hatálya alá tartoznak. </w:t>
            </w:r>
          </w:p>
          <w:p w14:paraId="5EF4A039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illetékes hatóság által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 w:rsidDel="003E5C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(2) bekezdés szerint adott mentesítés esetén a fedezett kölcsönügyletek és tőkepiac-vezérelt ügyl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tek kapcsán kapott fedezetek piaci értékből a mentesített összeg a 050 és 060 oszlopokban jele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tendő, a nem mentesített összeg pedig a 040 oszlopban. </w:t>
            </w:r>
          </w:p>
        </w:tc>
      </w:tr>
      <w:tr w:rsidR="00407CA6" w:rsidRPr="00407CA6" w14:paraId="40A970F2" w14:textId="77777777" w:rsidTr="0035465A">
        <w:tc>
          <w:tcPr>
            <w:tcW w:w="1100" w:type="dxa"/>
            <w:vAlign w:val="center"/>
          </w:tcPr>
          <w:p w14:paraId="268F1BEF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060</w:t>
            </w:r>
          </w:p>
        </w:tc>
        <w:tc>
          <w:tcPr>
            <w:tcW w:w="8640" w:type="dxa"/>
          </w:tcPr>
          <w:p w14:paraId="5B2F62CF" w14:textId="4C73996A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Kapott fedezet piaci értéke </w:t>
            </w:r>
            <w:r w:rsidR="00F57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–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A beáramlások felső korlátja aló mentesített</w:t>
            </w:r>
          </w:p>
          <w:p w14:paraId="43EE87E0" w14:textId="4661334F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7C02C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8F00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0DF6CB3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{290}-{350} és {490} sorok 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esetén a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060 oszlopban kell jelenteni a hitelintézetnek azon fedezett kölcsönügyletek és tőkepiac-vezérelt ügyletek kapcsán kapott fedezetek piaci értékét, amely ügyl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 w:rsidDel="00FE120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(2), (3) és (5) b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kezdése értelmében a beáramlások felső korlátja alól teljes egészében mentesítettek.</w:t>
            </w:r>
          </w:p>
          <w:p w14:paraId="0659DE15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illetékes hatóság által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 w:rsidDel="001974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(2) bekezdés szerint adott mentesítés esetén a fedezett kölcsönügyletek és tőkepiac-vezérelt ügyl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tek kapcsán kapott fedezetek piaci értékből a mentesített összeg a 050 és 060 oszlopokban jele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tendő, a nem mentesített összeg pedig a 040 oszlopban.</w:t>
            </w:r>
          </w:p>
        </w:tc>
      </w:tr>
      <w:tr w:rsidR="00407CA6" w:rsidRPr="00407CA6" w14:paraId="7F790FAE" w14:textId="77777777" w:rsidTr="0035465A">
        <w:tc>
          <w:tcPr>
            <w:tcW w:w="1100" w:type="dxa"/>
            <w:vAlign w:val="center"/>
          </w:tcPr>
          <w:p w14:paraId="3F5EB8EC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lastRenderedPageBreak/>
              <w:t>070</w:t>
            </w:r>
          </w:p>
        </w:tc>
        <w:tc>
          <w:tcPr>
            <w:tcW w:w="8640" w:type="dxa"/>
          </w:tcPr>
          <w:p w14:paraId="2FE91ABD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Standard súly</w:t>
            </w:r>
          </w:p>
          <w:p w14:paraId="1CB398CF" w14:textId="19FA360B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32., 33., és 34. cikke</w:t>
            </w:r>
            <w:r w:rsidR="003A291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0F9F000" w14:textId="27DD92A3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standard súlyok a 070 oszlopban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</w:t>
            </w:r>
            <w:r w:rsidR="001D2C8E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</w:t>
            </w:r>
            <w:r w:rsidRPr="00407CA6" w:rsidDel="00992D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szerint alapértelmezettek, illetve tájékoztató jellegűek.</w:t>
            </w:r>
          </w:p>
        </w:tc>
      </w:tr>
      <w:tr w:rsidR="00407CA6" w:rsidRPr="00407CA6" w14:paraId="622E050B" w14:textId="77777777" w:rsidTr="0035465A">
        <w:tc>
          <w:tcPr>
            <w:tcW w:w="1100" w:type="dxa"/>
            <w:vAlign w:val="center"/>
          </w:tcPr>
          <w:p w14:paraId="625B84B0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080</w:t>
            </w:r>
          </w:p>
        </w:tc>
        <w:tc>
          <w:tcPr>
            <w:tcW w:w="8640" w:type="dxa"/>
          </w:tcPr>
          <w:p w14:paraId="6BFE4527" w14:textId="13AAF230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Alkalmazandó súly</w:t>
            </w:r>
            <w:r w:rsidR="00F57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–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A 75%-os felső korlát hatálya alá tartozó</w:t>
            </w:r>
          </w:p>
          <w:p w14:paraId="14AFD49E" w14:textId="503BDD3D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32., 33., és 34. cikke</w:t>
            </w:r>
            <w:r w:rsidR="00D02D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87C7702" w14:textId="519B6546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alkalmazandó súlyok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 w:rsidDel="008C19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32.- 34.</w:t>
            </w:r>
            <w:r w:rsidR="00EA324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cikkeiben kerültek meghatározásra.</w:t>
            </w:r>
            <w:r w:rsidRPr="00407CA6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Az alkalmazandó súlyok súlyozott átlagértékként alakulhatnak ki, és tizedesként kell jelenteni (azaz 1.00 alkalmazandó súly megfelel 100</w:t>
            </w:r>
            <w:r w:rsidR="00CE73CF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százalék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nak, vagy 0.50 alkalmazandó súly megfelel 50</w:t>
            </w:r>
            <w:r w:rsidR="00CE73CF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százalék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nak). Az alkalmazandó súlyokat </w:t>
            </w:r>
            <w:r w:rsidR="00487B9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nem kizárólagosan befoly</w:t>
            </w:r>
            <w:r w:rsidR="00487B9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á</w:t>
            </w:r>
            <w:r w:rsidR="00487B9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solhatják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az intézményi</w:t>
            </w:r>
            <w:r w:rsidR="00487B90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sajátosságok és a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nemzeti diszkréciók.</w:t>
            </w:r>
          </w:p>
          <w:p w14:paraId="19EE57C1" w14:textId="233F4C38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{040},{060}-{090},{120}-{130},{150}-{260},{450},{470}-{480} és {500}-{510} sorok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esetén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, a 080 oszlopban kell jelenteni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ük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a hitelintézeteknek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 (1) bekezdése szerint 75%-os felső korlát hatálya alá tartozó eszközök, esedékes/maximálisan lehívható összegek esetén alkalmazott átlagos súlyokat. A {060} – {090} és {170} sorokon a 080 oszlopban jelentett alkalmazott súly, mint a 140 és 010 oszlopok hányadosa jelentendő.</w:t>
            </w:r>
          </w:p>
          <w:p w14:paraId="67A93A4A" w14:textId="55232326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{290}-{360}, {380}–{400} és {490} sorok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esetén 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080 oszlopban a hitelintézeteknek jelenteniük kell</w:t>
            </w:r>
            <w:r w:rsidR="00EA730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alkalmazott átlagos súlyt a fedezett kölcsönügyletek és tőkepiac-vezérelt ügyletek kapcsán kapott fedezetek piaci értékéhez, amely ügyletek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="002313D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(1) bekezdés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értelmében a 75%-os felső korlát hatálya alá tartoznak. </w:t>
            </w:r>
          </w:p>
        </w:tc>
      </w:tr>
      <w:tr w:rsidR="00407CA6" w:rsidRPr="00407CA6" w14:paraId="2EF36E33" w14:textId="77777777" w:rsidTr="0035465A">
        <w:tc>
          <w:tcPr>
            <w:tcW w:w="1100" w:type="dxa"/>
            <w:vAlign w:val="center"/>
          </w:tcPr>
          <w:p w14:paraId="1A8460DF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090</w:t>
            </w:r>
          </w:p>
        </w:tc>
        <w:tc>
          <w:tcPr>
            <w:tcW w:w="8640" w:type="dxa"/>
          </w:tcPr>
          <w:p w14:paraId="638517BD" w14:textId="1816E3EF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Alkalmazandó súly</w:t>
            </w:r>
            <w:r w:rsidR="00F57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–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A 90%-os felső korlát hatálya alá tartozó</w:t>
            </w:r>
          </w:p>
          <w:p w14:paraId="03EC8781" w14:textId="5F468375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A07FA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38374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24170B2D" w14:textId="3DA31278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alkalmazandó súlyok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32.- 34. cikkeiben kerültek meghatározásra.</w:t>
            </w:r>
            <w:r w:rsidRPr="00407CA6">
              <w:rPr>
                <w:rFonts w:eastAsia="Times New Roman" w:cs="Times New Roman"/>
                <w:color w:val="000000"/>
                <w:spacing w:val="45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Az alkalmazandó súlyok súlyozott átlagértékként alakulhatnak ki, és tizedesként kell jelenteni (azaz 1.00 alkalmazandó súly megfelel 100</w:t>
            </w:r>
            <w:r w:rsidR="00174F97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százlék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nak</w:t>
            </w:r>
            <w:r w:rsidR="00174F97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vagy 0.50 a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kalmazandó súly megfelel 50</w:t>
            </w:r>
            <w:r w:rsidR="00174F97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százalék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nak). </w:t>
            </w:r>
            <w:r w:rsidR="008B6AB4"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Az alkalmazandó súlyokat </w:t>
            </w:r>
            <w:r w:rsidR="008B6AB4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nem kizárólagosan befoly</w:t>
            </w:r>
            <w:r w:rsidR="008B6AB4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á</w:t>
            </w:r>
            <w:r w:rsidR="008B6AB4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solhatják</w:t>
            </w:r>
            <w:r w:rsidR="008B6AB4"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az intézményi</w:t>
            </w:r>
            <w:r w:rsidR="008B6AB4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sajátosságok és a</w:t>
            </w:r>
            <w:r w:rsidR="008B6AB4"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nemzeti diszkréciók.</w:t>
            </w:r>
          </w:p>
          <w:p w14:paraId="23147060" w14:textId="4E5E731E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{040},{060}-{090},{120}-{130},{150}-{260},{450},{470}-{480} és {500}-{510} sorok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esetén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a 090 oszlopban kell jelenteni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 (4) és (5) bekezdése szerinti 90%-os felső korlát hatálya alá tartozó eszközök, esedékes/maximálisan lehívható összegek esetén alkalmazott átlagos súlyokat. A {060} – {090} és {170} sorokon a 090 os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lopban jelentett alkalmazott súly, mint a 150 és 020 oszlopok hányadosa jelentendő.</w:t>
            </w:r>
          </w:p>
          <w:p w14:paraId="6227E119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{290}-{350}, {380}–{400} és {490} sor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esetén 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090 oszlopban hitelintézetek jelentik az alkalm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zott átlagos súlyt a fedezett kölcsönügyletek és tőkepiac-vezérelt ügyletek kapcsán kapott fedez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tek piaci értékéhez, amely ügyletek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 (4) és (5) bekezdése értelmében a 90%-os felső korlát hatálya alá tartoznak. </w:t>
            </w:r>
          </w:p>
        </w:tc>
      </w:tr>
      <w:tr w:rsidR="00407CA6" w:rsidRPr="00407CA6" w14:paraId="0D40E8EE" w14:textId="77777777" w:rsidTr="0035465A">
        <w:tc>
          <w:tcPr>
            <w:tcW w:w="1100" w:type="dxa"/>
            <w:vAlign w:val="center"/>
          </w:tcPr>
          <w:p w14:paraId="4BD76681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640" w:type="dxa"/>
          </w:tcPr>
          <w:p w14:paraId="218443BF" w14:textId="1873341F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Alkalmazott súly</w:t>
            </w:r>
            <w:r w:rsidR="00F578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–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A beáramlások felső korlátja aló mentesített</w:t>
            </w:r>
          </w:p>
          <w:p w14:paraId="6A27CAE7" w14:textId="4714B972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C9245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6C3E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139FFBED" w14:textId="562E01B2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alkalmazandó súlyok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="00C9245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32.- 34. cikkeiben kerültek meghatározásra.</w:t>
            </w:r>
            <w:r w:rsidRPr="00407CA6">
              <w:rPr>
                <w:rFonts w:eastAsia="Times New Roman" w:cs="Times New Roman"/>
                <w:color w:val="000000"/>
                <w:spacing w:val="45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Az alkalmazandó súlyok súlyozott átlagértékként alakulhatnak ki, és tizedesként kell jelenteni (azaz 1.00 alkalmazandó súly megfelel 100</w:t>
            </w:r>
            <w:r w:rsidR="00413D8A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százalék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nak</w:t>
            </w:r>
            <w:r w:rsidR="00413D8A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vagy 0.50 a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l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kalmazandó súly megfelel 50</w:t>
            </w:r>
            <w:r w:rsidR="00413D8A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százalék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nak). Az alkalmazandó súlyok az nem kizárólagosan befoly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á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solják az intézményi sajátosságok, nemzeti diszkréciók.</w:t>
            </w:r>
          </w:p>
          <w:p w14:paraId="7B907E2C" w14:textId="25D32EC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{040},{060}-{090},{120}-{130},{150}-{260},{450},{470}-{480} és {500}-{510} sorokban a 100 os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lopban kell jelenteni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 (2) (3) és (5) bekezdés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szerint, a felső korlát hatálya alól teljes egészében mentesített eszközök, esedékes/maximálisan lehívható összegek esetén alkalmazott átlagos súlyokat. A {060} – {090} és {170} sorokon a 100 oszlopban jelentett súly, mint a 160 és 030 oszlopok hányadosa jelentendő.</w:t>
            </w:r>
          </w:p>
          <w:p w14:paraId="71455E55" w14:textId="2BB30CC3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{290}-{350}, {380}–{400} </w:t>
            </w:r>
            <w:r w:rsidR="00287B8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és</w:t>
            </w:r>
            <w:r w:rsidR="00287B8A"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{490} sor</w:t>
            </w:r>
            <w:r w:rsidR="002313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esetén 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100 oszlopban hitelintézetek jelentik az alkalm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zott átlagos súlyt a fedezett kölcsönügyletek és tőkepiac-vezérelt ügyletek kapcsán kapott fedez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tek piaci értékéhez, amely ügyletek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="002313D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(2), (3) és (5) bekezdése értelmében a felső korlát hatálya alól teljes egészében mentesíte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tek. </w:t>
            </w:r>
          </w:p>
        </w:tc>
      </w:tr>
      <w:tr w:rsidR="00407CA6" w:rsidRPr="00407CA6" w14:paraId="2E4C1454" w14:textId="77777777" w:rsidTr="0035465A">
        <w:tc>
          <w:tcPr>
            <w:tcW w:w="1100" w:type="dxa"/>
            <w:vAlign w:val="center"/>
          </w:tcPr>
          <w:p w14:paraId="0E34A44B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110</w:t>
            </w:r>
          </w:p>
        </w:tc>
        <w:tc>
          <w:tcPr>
            <w:tcW w:w="8640" w:type="dxa"/>
          </w:tcPr>
          <w:p w14:paraId="148F7CB5" w14:textId="0EFD6A69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A kapott fedezet 9. cikk szerinti értéke </w:t>
            </w:r>
            <w:r w:rsidR="00605C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–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A 75%-os felső korlát hatálya alá tartozó</w:t>
            </w:r>
          </w:p>
          <w:p w14:paraId="5FAFECB7" w14:textId="21AB55BA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9F558D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6C3E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7B1914D3" w14:textId="24C24E6D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{290}-{350} és {490} sor 110 oszlopban jelenti a hitelintézet a fedezett kölcsönügyletek és tőkep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ac-vezérelt ügyletek kapcsán kapott fedezet 9. cikk szerinti értékét, amely ügyletek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="00E62F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(1) bekezdése értelmében a 75%-os felső korlát hatálya alá tartoznak.</w:t>
            </w:r>
          </w:p>
          <w:p w14:paraId="0C40D585" w14:textId="7F9E2889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illetékes hatóság által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="00E62F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33. cikk (2) bekezdése szerint adott mentesítés esetén a fedezett kölcsönügyletek és tőkepiac-vezérelt ügyletek kapcsán kapott fedezetek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9. cikke szerinti értékből a mentesített összeg a 120 és 130 oszlopokban jelentendő, a nem me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tesített összeg pedig a 110 oszlopban.</w:t>
            </w:r>
          </w:p>
        </w:tc>
      </w:tr>
      <w:tr w:rsidR="00407CA6" w:rsidRPr="00407CA6" w14:paraId="2BF5C216" w14:textId="77777777" w:rsidTr="0035465A">
        <w:tc>
          <w:tcPr>
            <w:tcW w:w="1100" w:type="dxa"/>
            <w:vAlign w:val="center"/>
          </w:tcPr>
          <w:p w14:paraId="37B49928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120</w:t>
            </w:r>
          </w:p>
        </w:tc>
        <w:tc>
          <w:tcPr>
            <w:tcW w:w="8640" w:type="dxa"/>
          </w:tcPr>
          <w:p w14:paraId="266467AD" w14:textId="718608DA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A kapott fedezet 9. cikk szerinti értéke </w:t>
            </w:r>
            <w:r w:rsidR="00605C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–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A 90%-os felső korlát hatálya alá tartozó</w:t>
            </w:r>
          </w:p>
          <w:p w14:paraId="74EA3102" w14:textId="3278D8C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32., 33., és 34. cikke</w:t>
            </w:r>
            <w:r w:rsidR="00960C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57671FC6" w14:textId="7A570E9A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{290}-{350} és {490} sor 120 oszlopban jelenti a hitelintézet a fedezett kölcsönügyletek és tőkep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ac-vezérelt ügyletek kapcsán kapott fedezet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deletének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9. cikke szerinti értékét, amely ügyletek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puló rendeletének</w:t>
            </w:r>
            <w:r w:rsidR="00E62F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cikkének (4) és (5) bekezdése értelmében a 90%-os felső</w:t>
            </w:r>
            <w:r w:rsidR="00283B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korlát hatálya alá tartoznak.</w:t>
            </w:r>
          </w:p>
          <w:p w14:paraId="2A3AC71F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Az illetékes hatóság által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 (2) bekezdése szerint adott mentesítés esetén a fedezett kölcsönügyletek és tőkepiac-vezérelt ügyletek kapcsán kapott fedezetek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Bizottság (EU) 2015/61 felhatalmazáson alapuló rendeletének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9. cikke szerinti értékből a mentesített összeg a 120 vagy 130 oszlopokban jelentendő, a nem me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tesített összeg pedig a 110 oszlopban.</w:t>
            </w:r>
          </w:p>
        </w:tc>
      </w:tr>
      <w:tr w:rsidR="00407CA6" w:rsidRPr="00407CA6" w14:paraId="70DE9441" w14:textId="77777777" w:rsidTr="0035465A">
        <w:tc>
          <w:tcPr>
            <w:tcW w:w="1100" w:type="dxa"/>
            <w:vAlign w:val="center"/>
          </w:tcPr>
          <w:p w14:paraId="0E2386F5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lastRenderedPageBreak/>
              <w:t>130</w:t>
            </w:r>
          </w:p>
        </w:tc>
        <w:tc>
          <w:tcPr>
            <w:tcW w:w="8640" w:type="dxa"/>
          </w:tcPr>
          <w:p w14:paraId="03FD2AFE" w14:textId="67323012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A kapott fedezet 9. cikk szerinti értéke </w:t>
            </w:r>
            <w:r w:rsidR="005458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–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A beáramlások felső korlátja alól mentesített </w:t>
            </w:r>
          </w:p>
          <w:p w14:paraId="2266F86A" w14:textId="23CB169E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B77E3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5B41D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354BF71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{290}-{350} és {490} sor 130 oszlopban jelenti a hitelintézet a fedezett kölcsönügyletek és tőkep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ac-vezérelt ügyletek kapcsán kapott fedezet 9. cikk szerinti értékét, amely ügyletek Bizottság (EU) 2015/61 felhatalmazáson alapuló rendeletének</w:t>
            </w:r>
            <w:r w:rsidRPr="00407CA6" w:rsidDel="001360C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cikkének (2) (3) és (5) bekezdése értelmében a beáramlások felső korlátja alól teljes egészében mentesítettek.</w:t>
            </w:r>
          </w:p>
          <w:p w14:paraId="45413016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Az illetékes hatóság által a Bizottság (EU) 2015/61 felhatalmazáson alapuló rendeletének 33. cikke (2) bekezdése szerint adott mentesítés esetén a fedezett kölcsönügyletek és tőkepiac-vezérelt ügyletek kapcsán kapott fedezetek 9. cikk szerinti értékből a mentesített összeg a 120 vagy 130 oszlopokban jelentendő, a nem mentesített összeg pedig a 110 oszlopban.</w:t>
            </w:r>
          </w:p>
        </w:tc>
      </w:tr>
      <w:tr w:rsidR="00407CA6" w:rsidRPr="00407CA6" w14:paraId="5998C053" w14:textId="77777777" w:rsidTr="0035465A">
        <w:tc>
          <w:tcPr>
            <w:tcW w:w="1100" w:type="dxa"/>
            <w:vAlign w:val="center"/>
          </w:tcPr>
          <w:p w14:paraId="25EA80C5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140</w:t>
            </w:r>
          </w:p>
        </w:tc>
        <w:tc>
          <w:tcPr>
            <w:tcW w:w="8640" w:type="dxa"/>
          </w:tcPr>
          <w:p w14:paraId="305AC27C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Beáramlás – A 75%-os felső korlát hatálya alá tartozó</w:t>
            </w:r>
          </w:p>
          <w:p w14:paraId="24E3DC60" w14:textId="16016163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62229E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B64FD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548A13BC" w14:textId="0EF4CE58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{040},{120}-{130},{150}-{160},{180}-{260},{380}-{400},{450},{470}-{480} és {500}-{510} sor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ok es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tén 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140 oszlopban jelenti a hitelintézet a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Bizottság (EU) 2015/61 felhatalmazáson alapuló re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 (1) bekezdése szerinti 75%-os felső korlát hatálya alá tartozó beáramlásait, melyet a teljes összeget tartalmazó 010 oszlop és az alkalmazandó súlyt tartalmazó 080 oszlop szorzataként kell meghatározni.</w:t>
            </w:r>
          </w:p>
          <w:p w14:paraId="5023EA5D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{060}-{090} sorok esetén a következő eljárást kell követni:</w:t>
            </w:r>
          </w:p>
          <w:p w14:paraId="0CE2CE2D" w14:textId="768067B9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Amennyiben nincs szerződéses kötelezettség, vagy az ilyen típusú ügyfelek szerződéses 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ö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telezettsége kevesebb, mint 50%, a 010 oszlopot csökkenteni kell 50%-al, és ezt az eredményt kell jelenteni a 140 oszlopban. Ebben az esetben nincs jelentési kötelezettség a XXIV.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elléklet C 73.00 táblában.</w:t>
            </w:r>
          </w:p>
          <w:p w14:paraId="740C4666" w14:textId="323FB8A7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Amennyiben a szerződéses kötelezettség nagyobb, vagy egyenlő 50%, de nem haladja meg a 010 oszlopban jelentett pénzeszköz 100%-át, az értéket csökkenteni kell a megfelelő ügyféltípus felé fennálló kötelezettséggel, és az eredményt kell feltüntetni a 140 oszlopban. Ebben az esetben nincs jelentési kötelezettség a XXIV.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elléklet C 73.00 táblában.</w:t>
            </w:r>
          </w:p>
          <w:p w14:paraId="15F59DC9" w14:textId="78D831DD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Amennyiben a szerződéses kötelezettség magasabb, mint a 010 oszlopban jelentett pénze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zköz 100%-a, a 140 oszlopban „0”-t kell feltüntetni, és a 010 oszlop értéke és a szerződéses kötel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zettség különbségét jelenteni kell függő finanszírozási kötelezettségként a XXIV. melléklet C 73.00 tábla 1.1.6.6.1.1, 1.1.6.6.1.2, 1.1.6.6.1.3 vagy 1.1.6.6.1.4 azonosítójú celláiban.</w:t>
            </w:r>
          </w:p>
          <w:p w14:paraId="0AB2DCB3" w14:textId="77777777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biztosítania kell, hogy ezeket a tételeket nem veszik duplán számításba a XXIV. melléklet C 73.00 táblában.</w:t>
            </w:r>
          </w:p>
          <w:p w14:paraId="0AC966BE" w14:textId="600886AE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{170} sor 140 oszlopban akkor kell jelenteni a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Bizottság (EU) 2015/61 felhatalmazáson alapuló rendeletének</w:t>
            </w:r>
            <w:r w:rsidR="00E62F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 (1) bekezdése szerint 75%-os felső korlát hatálya alá tartozó beáramlást, ha a hitelintézet megkapta a kötelezettséget, ami engedélyezi számára a végső felhasználó felé a ke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d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vezményes kölcsön folyósítását vagy hasonló elkötelezettséget kapott multilaterális fejlesztési banktól, vagy közszektorbeli intézménytől.</w:t>
            </w:r>
          </w:p>
          <w:p w14:paraId="6B7744D6" w14:textId="5DA4F30A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{290}-{350} és {490} sor 140 oszlopban kell jelenteni a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Bizottság (EU) 2015/61 felhatalmazáson alapuló rendeletének</w:t>
            </w:r>
            <w:r w:rsidR="00E62F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33. cikk (1) szerint 75%-os felső korlát hatálya alá tartozó beáramlásokat, úgy, hogy a 010 oszlop értékéből le kell vonni a 110 oszlop értékét.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p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ozitív eredmény értékét a 140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oszlopban kell jelenteni, negatív eredmény esetén ugyanitt „0”-t kell feltüntetni.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407CA6" w:rsidRPr="00407CA6" w14:paraId="0B3CEDB7" w14:textId="77777777" w:rsidTr="0035465A">
        <w:tc>
          <w:tcPr>
            <w:tcW w:w="1100" w:type="dxa"/>
            <w:vAlign w:val="center"/>
          </w:tcPr>
          <w:p w14:paraId="54171049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8640" w:type="dxa"/>
          </w:tcPr>
          <w:p w14:paraId="13D89C16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Beáramlás – A 90%-os felső korlát hatálya alá tartozó</w:t>
            </w:r>
          </w:p>
          <w:p w14:paraId="77E8AA1E" w14:textId="2C46EA31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456EF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0E3E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33D32E98" w14:textId="2048C4C5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{040},{120}-{130},{150}-{160},{180}-{260},{380}-{400},{450},{470},{480} és {500}-{510} sor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ok es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tén 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150 oszlopban jelenti a hitelintézet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cikkének (4) és (5) bekezdése szerinti 90%-os felső korlát hatálya alá tartozó beára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lásait, melyet a teljes összeget tartalmazó 020 oszlop és az alkalmazandó súlyt tartalmazó 090 os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lop szorzataként kell meghatározni.</w:t>
            </w:r>
          </w:p>
          <w:p w14:paraId="47AF540F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{060}-{090} sorok esetén a következő eljárást kell követni:</w:t>
            </w:r>
          </w:p>
          <w:p w14:paraId="2C38B14C" w14:textId="0B4C7533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Amennyiben nincs szerződéses kötelezettség vagy az ilyen típusú ügyfelek szerződéses 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ö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telezettsége kevesebb, mint 50%, a 020 oszlopot csökkenteni kell 50%-al, és ezt az eredményt kell jelenteni a 150 oszlopban. Ebben az esetben nincs jelentési kötelezettség a XXIV.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elléklet C 73.00 táblában.</w:t>
            </w:r>
          </w:p>
          <w:p w14:paraId="15F66F07" w14:textId="1176FDB9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Amennyiben a szerződéses kötelezettség nagyobb, vagy egyenlő 50%, de nem haladja meg a 020 oszlopban jelentett pénzeszköz 100%-át, az értéket csökkenteni kell az ügyféltípusnak me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g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felelően, és az eredményt kell feltüntetni a 150 oszlopban. Ebben az esetben nincs jelentési kötel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zettség a XXIV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elléklet C 73.00 táblában.</w:t>
            </w:r>
          </w:p>
          <w:p w14:paraId="2A0E1EC9" w14:textId="18FDD829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Amennyiben a szerződéses kötelezettség magasabb, mint a 020 oszlopban jelentett pénze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zköz 100%-a, a 150 oszlopban „0”-t kell feltüntetni, és a 020 oszlop értéke és a szerződéses kötel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zettség különbségét jelenteni kell függő finanszírozási kötelezettségként a XXIV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73.00 tábla 1.1.6.6.1.1, 1.1.6.6.1.2, 1.1.6.6.1.3 vagy 1.1.6.6.1.4 azonosítójú celláiban.</w:t>
            </w:r>
          </w:p>
          <w:p w14:paraId="7ABFC42E" w14:textId="77777777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biztosítania kell, hogy ezeket a tételeket nem veszik duplán számításba a XXIV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73.00 táblában.</w:t>
            </w:r>
          </w:p>
          <w:p w14:paraId="29D61DA3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{170} sor 150 oszlopban akkor kell jelenteni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cikkének (4) és (5) bekezdése szerint 90%-os felső korlát hatálya alá tartozó beáramlást, ha a hitelintézet megkapta a kötelezettséget, ami engedélyezi számára a végső felha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ználó felé a kedvezményes kölcsön folyósítását, vagy hasonló elkötelezettséget kapott multilat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rális fejlesztési banktól, vagy közszektorbeli intézménytől.</w:t>
            </w:r>
          </w:p>
          <w:p w14:paraId="163BB289" w14:textId="416D4A22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{290}-{350} és {490} sor 150 oszlopban kell jelenteni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="00E62F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cikkének (4) és (5) bekezdése szerint 90%-os felső korlát hatálya alá tart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o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zó beáramlásokat, úgy, hogy a 020 oszlop értékéből le kell vonni a 120 oszlop értékét.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p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ozitív eredmény értékét a 150 oszlopban kell jelenteni, negatív eredmény esetén ugyanitt </w:t>
            </w:r>
            <w:r w:rsidR="00C57F7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„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</w:t>
            </w:r>
            <w:r w:rsidR="00C57F7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“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-t kell fe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tüntetni.</w:t>
            </w:r>
          </w:p>
        </w:tc>
      </w:tr>
      <w:tr w:rsidR="00407CA6" w:rsidRPr="00407CA6" w14:paraId="5395B741" w14:textId="77777777" w:rsidTr="0035465A">
        <w:tc>
          <w:tcPr>
            <w:tcW w:w="1100" w:type="dxa"/>
            <w:vAlign w:val="center"/>
          </w:tcPr>
          <w:p w14:paraId="3B7844F2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160</w:t>
            </w:r>
          </w:p>
        </w:tc>
        <w:tc>
          <w:tcPr>
            <w:tcW w:w="8640" w:type="dxa"/>
          </w:tcPr>
          <w:p w14:paraId="0FF9CBFD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Beáramlás – A beáramlások felső korlátja alól mentesített</w:t>
            </w:r>
          </w:p>
          <w:p w14:paraId="7D1354BD" w14:textId="5FAE2532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A16E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EA48F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9A6E0D3" w14:textId="4333B589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{040},{120}-{130},{150}-{160},{180}-{260},{380}-{400},{450},{470}-{480} és {500}-{510} sor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ok es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tén 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160 oszlopban jelenti a hitelintézet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deletének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33. cikkének (2), (3) és (5) bekezdése szerinti, a beáramlások felső korlátja alól me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tesített beáramlásait, amelyet a teljes összeget tartalmazó 030 oszlop és az alkalmazandó súlyt ta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r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talmazó 100 oszlop szorzataként kell meghatározni. </w:t>
            </w:r>
          </w:p>
          <w:p w14:paraId="420BFCC2" w14:textId="77777777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A {060}-{090} sorok esetén a következő eljárást kell követni:</w:t>
            </w:r>
          </w:p>
          <w:p w14:paraId="60EC6CDA" w14:textId="64801C61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Amennyiben nincs szerződéses kötelezettség, vagy az ilyen típusú ügyfelek szerződéses 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ö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telezettsége kevesebb, mint 50%, a 030 oszlopot csökkenteni kell 50%-al, és ezt az eredményt kell jelenteni a 160 oszlopban. Ebben az esetben nincs jelentési kötelezettség a XXIV.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elléklet C 73.00 táblában.</w:t>
            </w:r>
          </w:p>
          <w:p w14:paraId="6918C0E2" w14:textId="21CD9AEB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Amennyiben a szerződéses kötelezettség nagyobb, vagy egyenlő 50%, de nem haladja meg a 030 oszlopban jelentett pénzeszköz 100%-át, az értéket csökkenteni kell az ügyféltípusnak me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g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felelően, és az eredményt kell feltüntetni a 160 oszlopban. Ebben az esetben nincs jelentési kötel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zettség a XXIV. </w:t>
            </w:r>
            <w:r w:rsidR="00E62F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elléklet C 73.00 táblában.</w:t>
            </w:r>
          </w:p>
          <w:p w14:paraId="75AC8832" w14:textId="5D5A4D86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Amennyiben a szerződéses kötelezettség magasabb, mint a 030 oszlopban jelentett pénze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zköz 100%-a, a 160 oszlopban </w:t>
            </w:r>
            <w:r w:rsidR="003050E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„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</w:t>
            </w:r>
            <w:r w:rsidR="003050E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“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-t kell feltüntetni, és a 030 oszlop értéke és a szerződéses kötel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zettség különbségét jelenteni kell függő finanszírozási kötelezettségként a XXIV. melléklet C 73.00 tábla 1.1.6.6.1.1, 1.1.6.6.1.2, 1.1.6.6.1.3 vagy 1.1.6.6.1.4 azonosítójú celláiban.</w:t>
            </w:r>
          </w:p>
          <w:p w14:paraId="76F1EE28" w14:textId="77777777" w:rsidR="00407CA6" w:rsidRPr="00407CA6" w:rsidRDefault="00407CA6" w:rsidP="00101DCF">
            <w:pPr>
              <w:numPr>
                <w:ilvl w:val="0"/>
                <w:numId w:val="23"/>
              </w:numPr>
              <w:spacing w:before="240" w:after="240" w:line="240" w:lineRule="auto"/>
              <w:ind w:left="176" w:right="168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biztosítania kell, hogy ezeket a tételeket nem veszik duplán számításba a XXIV. melléklet C 73.00 táblában.</w:t>
            </w:r>
          </w:p>
          <w:p w14:paraId="3A4A6872" w14:textId="57A0C443" w:rsidR="00407CA6" w:rsidRPr="00407CA6" w:rsidRDefault="00407CA6" w:rsidP="0035465A">
            <w:pPr>
              <w:spacing w:before="240" w:after="240" w:line="240" w:lineRule="auto"/>
              <w:ind w:left="176" w:right="16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{170} sor 160 oszlopban akkor kell jelenteni a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Bizottság (EU) 2015/61 felhatalmazáson alapuló rendeletének</w:t>
            </w:r>
            <w:r w:rsidR="00E62F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cikkének (2), (3) és (5) bekezdése szerinti beáramlások felső korlátja alól me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tesített beáramlást, ha a hitelintézet megkapta a kötelezettséget, ami engedélyezi számára a végső felhasználó felé a kedvezményes kölcsön folyósítását, vagy hasonló elkötelezettséget kapott mult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laterális fejlesztési banktól, vagy közszektorbeli intézménytől. A {290}-{350} és {490} sor 160 os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lopban kell jelenteni </w:t>
            </w:r>
            <w:r w:rsidRPr="00407CA6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E62F1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33. cikkének (2), (3) és (5) bekezdése szerinti a beáramlások felső korlátja alól mentesített beáramlásokat, úgy, hogy a 030 oszlop értékéből le kell vonni a 130 oszlop értékét. Pozitív eredmény értékét a 160 os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lopban kell jelenteni, negatív eredmény esetén ugyanitt </w:t>
            </w:r>
            <w:r w:rsidR="009F40A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„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</w:t>
            </w:r>
            <w:r w:rsidR="009F40A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“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-t kell feltüntetni.</w:t>
            </w:r>
          </w:p>
        </w:tc>
      </w:tr>
    </w:tbl>
    <w:p w14:paraId="7D2B6BE8" w14:textId="77777777" w:rsidR="00407CA6" w:rsidRPr="008B5718" w:rsidRDefault="00407CA6" w:rsidP="0035465A">
      <w:pPr>
        <w:pStyle w:val="Cmsor3"/>
        <w:spacing w:before="300" w:after="300"/>
        <w:rPr>
          <w:color w:val="auto"/>
        </w:rPr>
      </w:pPr>
      <w:r w:rsidRPr="008B5718">
        <w:rPr>
          <w:color w:val="auto"/>
        </w:rPr>
        <w:lastRenderedPageBreak/>
        <w:t>Az egyes sorokra vonatkozó iránymutatások</w:t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713"/>
        <w:gridCol w:w="8529"/>
      </w:tblGrid>
      <w:tr w:rsidR="00407CA6" w:rsidRPr="00407CA6" w14:paraId="7B1BBD97" w14:textId="77777777" w:rsidTr="00B43698">
        <w:tc>
          <w:tcPr>
            <w:tcW w:w="713" w:type="dxa"/>
            <w:shd w:val="clear" w:color="auto" w:fill="auto"/>
          </w:tcPr>
          <w:p w14:paraId="3AEA11C4" w14:textId="77777777" w:rsidR="00407CA6" w:rsidRPr="00B43698" w:rsidRDefault="00407CA6" w:rsidP="00B43698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</w:pPr>
            <w:r w:rsidRPr="00B43698"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  <w:t>Sor</w:t>
            </w:r>
          </w:p>
        </w:tc>
        <w:tc>
          <w:tcPr>
            <w:tcW w:w="8529" w:type="dxa"/>
            <w:shd w:val="clear" w:color="auto" w:fill="auto"/>
          </w:tcPr>
          <w:p w14:paraId="40B8582E" w14:textId="77777777" w:rsidR="00407CA6" w:rsidRPr="00B43698" w:rsidRDefault="00407CA6" w:rsidP="00B43698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</w:pPr>
            <w:r w:rsidRPr="00B43698">
              <w:rPr>
                <w:rFonts w:asciiTheme="majorHAnsi" w:hAnsiTheme="majorHAnsi" w:cs="Arial"/>
                <w:sz w:val="20"/>
                <w:szCs w:val="20"/>
                <w:u w:val="single"/>
                <w:lang w:val="hu-HU" w:eastAsia="hu-HU"/>
              </w:rPr>
              <w:t>Jogi hivatkozások és útmutatók</w:t>
            </w:r>
          </w:p>
        </w:tc>
      </w:tr>
      <w:tr w:rsidR="00407CA6" w:rsidRPr="00407CA6" w14:paraId="01072F02" w14:textId="77777777" w:rsidTr="00EF2859">
        <w:tc>
          <w:tcPr>
            <w:tcW w:w="713" w:type="dxa"/>
            <w:vAlign w:val="center"/>
          </w:tcPr>
          <w:p w14:paraId="724544BC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010</w:t>
            </w:r>
          </w:p>
        </w:tc>
        <w:tc>
          <w:tcPr>
            <w:tcW w:w="8529" w:type="dxa"/>
          </w:tcPr>
          <w:p w14:paraId="666ADC4D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1 ÖSSZES BEÁRAMLÁS</w:t>
            </w:r>
          </w:p>
          <w:p w14:paraId="2C92677E" w14:textId="68E1A86E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32., 33., és 34. cikke</w:t>
            </w:r>
            <w:r w:rsidR="00EA48F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0799075F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hitelintézetnek a XXIV. melléklet C 74.00 tábla 010 sorában kell jelenteniük </w:t>
            </w:r>
          </w:p>
          <w:p w14:paraId="14BC7CA4" w14:textId="12BA27EB" w:rsidR="00407CA6" w:rsidRPr="00407CA6" w:rsidRDefault="00407CA6" w:rsidP="00101DCF">
            <w:pPr>
              <w:numPr>
                <w:ilvl w:val="0"/>
                <w:numId w:val="24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010, 020 és 030 oszlopban kell jelenteni összegezve a fedezetlen ügyletekből, betétekből, fedezett kölcsönügyletekből és tőkepiac-vezérelt ügyletekből származó eszközöket, esedékes/maximálisan lehívható összegeket;</w:t>
            </w:r>
          </w:p>
          <w:p w14:paraId="1E064ABD" w14:textId="77777777" w:rsidR="00407CA6" w:rsidRPr="00407CA6" w:rsidRDefault="00407CA6" w:rsidP="00101DCF">
            <w:pPr>
              <w:numPr>
                <w:ilvl w:val="0"/>
                <w:numId w:val="24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140 oszlopban kell jelenteni összegezve a fedezetlen ügyletekből, betétekből, fedezett kölcsönügyletekből és tőkepiac-vezérelt ügyletekből, valamint a biztosítéki csereügyletekből eredő súlyozott beáramlások és súlyozott kiáramlások különbségét, melyek olyan harmadik országból származnak, ahol deviza kiviteli-behozatali korlátozást alkalmaznak, illetve nem konvertibilis pénznemben denomináltak és </w:t>
            </w:r>
          </w:p>
          <w:p w14:paraId="726E001C" w14:textId="77777777" w:rsidR="00407CA6" w:rsidRPr="00407CA6" w:rsidRDefault="00407CA6" w:rsidP="00101DCF">
            <w:pPr>
              <w:numPr>
                <w:ilvl w:val="0"/>
                <w:numId w:val="24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150 és 160 oszlopban kell jelenteni összegezve a fedezetlen ügyletekből, betétekből, fed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zett kölcsönügyletekből és tőkepiac-vezérelt ügyletekből, valamint a biztosítéki csereügyl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tekből eredő súlyozott beáramlásokat továbbá azoknak a beáramlásoknak és súlyozott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kiáramlások különbségét, melyek olyan harmadik országból származnak, ahol deviza kiviteli-behozatali korlátozást alkalmaznak, illetve nem konvertibilis pénznemben denomináltak, kivéve a Bizottság (EU) 2015/61 felhatalmazáson alapuló rendeletének 2. cikke (3) b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kezdésének (e) pontjában és 33. cikke (6) bekezdésében meghatározott szakosított h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telintézet többlet-beáramlásait.</w:t>
            </w:r>
          </w:p>
        </w:tc>
      </w:tr>
      <w:tr w:rsidR="00407CA6" w:rsidRPr="00407CA6" w14:paraId="36E5E1D4" w14:textId="77777777" w:rsidTr="00EF2859">
        <w:tc>
          <w:tcPr>
            <w:tcW w:w="713" w:type="dxa"/>
            <w:vAlign w:val="center"/>
          </w:tcPr>
          <w:p w14:paraId="0BA3045F" w14:textId="77777777" w:rsidR="00407CA6" w:rsidRPr="00407CA6" w:rsidRDefault="00407CA6" w:rsidP="00407CA6">
            <w:pPr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lastRenderedPageBreak/>
              <w:t>020</w:t>
            </w:r>
          </w:p>
        </w:tc>
        <w:tc>
          <w:tcPr>
            <w:tcW w:w="8529" w:type="dxa"/>
          </w:tcPr>
          <w:p w14:paraId="07EB5D2D" w14:textId="0A9A2D8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1.1 Fedezetlen ügyletekből</w:t>
            </w:r>
            <w:r w:rsidR="00BE3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/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betétekből való beáramlások</w:t>
            </w:r>
          </w:p>
          <w:p w14:paraId="6B6229DA" w14:textId="1BBE630E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5423C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32., 33., és 34. cikke</w:t>
            </w:r>
            <w:r w:rsidR="00EA48F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2FEC6F9E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a XXIV. melléklet C 74.00 tábla 020 sorában kell jelenteni</w:t>
            </w:r>
          </w:p>
          <w:p w14:paraId="1C82D359" w14:textId="13C29EB5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010, 020 és 030 oszlopban a fedezetlen ügyletekből és betétekből eredő eszközöket, esedékes/maximálisan lehívható összegeket, és </w:t>
            </w:r>
          </w:p>
          <w:p w14:paraId="61F2B3BA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oszlopban a fedezetlen ügyletekből és betétekből eredő teljes beáramlást.</w:t>
            </w:r>
          </w:p>
        </w:tc>
      </w:tr>
      <w:tr w:rsidR="00407CA6" w:rsidRPr="00407CA6" w14:paraId="420345DF" w14:textId="77777777" w:rsidTr="00EF2859">
        <w:tc>
          <w:tcPr>
            <w:tcW w:w="713" w:type="dxa"/>
            <w:vAlign w:val="center"/>
          </w:tcPr>
          <w:p w14:paraId="2C155423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030</w:t>
            </w:r>
          </w:p>
        </w:tc>
        <w:tc>
          <w:tcPr>
            <w:tcW w:w="8529" w:type="dxa"/>
          </w:tcPr>
          <w:p w14:paraId="49499F8D" w14:textId="4087A086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 </w:t>
            </w:r>
            <w:r w:rsidR="00884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N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em pénzügyi ügyfelektől esedékes pénzösszegek (kivéve </w:t>
            </w:r>
            <w:r w:rsidR="00871A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a 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központi bankokat)</w:t>
            </w:r>
          </w:p>
          <w:p w14:paraId="287AC016" w14:textId="71EAC129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7D1A1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(3) bekezdésének (a) pontja</w:t>
            </w:r>
            <w:r w:rsidR="004C3E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0827D9FF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a XXIV</w:t>
            </w:r>
            <w:r w:rsidR="008849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030 sorában kell jelenteniük</w:t>
            </w:r>
          </w:p>
          <w:p w14:paraId="7BE2C27B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010, 020 és 030 oszlopban a nem pénzügyi ügyfelektől (kivéve központi bankok) származó pénzösszegeket (nem pénzügyi ügyfelektől esedékes nem tőketörlesztési célú és egyéb esedékes pénzösszegeket), és </w:t>
            </w:r>
          </w:p>
          <w:p w14:paraId="454BE763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oszlopban a nem pénzügyi ügyfelektől (kivéve központi bankok) származó beáramlásokat (nem pénzügyi ügyfelektől esedékes nem tőketörlesztési célú és egyéb beáramlásokat).</w:t>
            </w:r>
          </w:p>
          <w:p w14:paraId="0BF8A0CD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nem pénzügyi ügyfelek fedezett kölcsönügyleteiből és tőkepiac-vezérelt ügyleteiből származó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zösszegek, mely ügyletek a Bizottság (EU) 2015/61 felhatalmazáson alapuló rendeletének II. címe szerinti likvid eszközökkel fedezettek, amely ügyletek az 575/2013/EU rendelet 192. cikke (2) és (3) bekezdésének megfelelőek a tábla 1.2. részében jelentendők, és nem kell jelenteni a tábla 1.1.1. rés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ben. Az ilyen tranzakciókból eredő pénzeszközök, melyek transzferálhatóak, de nem a Bizottság (EU) 2015/61 felhatalmazáson alapuló rendeletének II. címe szerinti likvid eszközökkel fedezettek, a tábla 1.2. részében jelentendők, nem pedig az 1.1.1. részben. A nem pénzügyi ügyfelekkel kötött ilyen típusú ügyletekből eredő pénzösszegek, melyek nem transzferálható és nem a Bizottság (EU) 2015/61 felhatalmazáson alapuló rendeletének II. címe szerinti likvid eszközökkel fedezettek a tábla 1.1.1. részében jelentendők.</w:t>
            </w:r>
          </w:p>
          <w:p w14:paraId="5C3D9829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központi bankoktól esedékes pénzösszegeket a tábla 1.1.2. részében kell jelenteni és nem ezen a soron.</w:t>
            </w:r>
          </w:p>
        </w:tc>
      </w:tr>
      <w:tr w:rsidR="00407CA6" w:rsidRPr="00407CA6" w14:paraId="18A7BFCF" w14:textId="77777777" w:rsidTr="00EF2859">
        <w:tc>
          <w:tcPr>
            <w:tcW w:w="713" w:type="dxa"/>
            <w:vAlign w:val="center"/>
          </w:tcPr>
          <w:p w14:paraId="129C41D9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040</w:t>
            </w:r>
          </w:p>
        </w:tc>
        <w:tc>
          <w:tcPr>
            <w:tcW w:w="8529" w:type="dxa"/>
          </w:tcPr>
          <w:p w14:paraId="0F96E067" w14:textId="0BA127FC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1.1.1.1 </w:t>
            </w:r>
            <w:r w:rsidR="008849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N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em pénzügyi ügyfelektől esedékes, nem tőketörlesztési célú pénzösszegek (kivéve </w:t>
            </w:r>
            <w:r w:rsidR="00871A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a 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központi bankokat)</w:t>
            </w:r>
          </w:p>
          <w:p w14:paraId="2A2B763C" w14:textId="5601411F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7D1A1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(3) bekezdésének (a) pontja</w:t>
            </w:r>
            <w:r w:rsidR="002808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606392B8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Nem pénzügyi ügyfelektől (kivéve központi bankokat) kapott, nem tőketörlesztési célú pénzeszközök. Ezek a beáramlások tartalmazzák a nem pénzügyi ügyfelektől (kivéve központi bankok) származó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kamat- és egyéb díj jellegű összegeket.</w:t>
            </w:r>
          </w:p>
          <w:p w14:paraId="67007C27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központi bankoktól származó nem tőketörlesztési célú pénzösszegeket nem ezen a soron, hanem az 1.1.2. részben kell jelenteni.</w:t>
            </w:r>
          </w:p>
        </w:tc>
      </w:tr>
      <w:tr w:rsidR="00407CA6" w:rsidRPr="00407CA6" w14:paraId="69DC24BA" w14:textId="77777777" w:rsidTr="00EF2859">
        <w:tc>
          <w:tcPr>
            <w:tcW w:w="713" w:type="dxa"/>
            <w:vAlign w:val="center"/>
          </w:tcPr>
          <w:p w14:paraId="7676214B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lastRenderedPageBreak/>
              <w:t>050</w:t>
            </w:r>
          </w:p>
        </w:tc>
        <w:tc>
          <w:tcPr>
            <w:tcW w:w="8529" w:type="dxa"/>
          </w:tcPr>
          <w:p w14:paraId="2CE823D2" w14:textId="05EAEBC6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1.1.1.2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gyéb, nem pénzügyi ügyfelektől esedékes pénzösszegek (kivéve</w:t>
            </w:r>
            <w:r w:rsidR="00871A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a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központi bankokat)</w:t>
            </w:r>
          </w:p>
          <w:p w14:paraId="60B30694" w14:textId="092C2C70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(a) pontja</w:t>
            </w:r>
            <w:r w:rsidR="004B733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4F104D0E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a XXIV</w:t>
            </w:r>
            <w:r w:rsidR="008849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050 sorában kell jelenteni</w:t>
            </w:r>
          </w:p>
          <w:p w14:paraId="3F690480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010, 020 és 030 oszlopban kell összegezni az ügyfélcsoportonként részletezett, nem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zügyi ügyfelektől (kivéve központi bankok) származó egyéb pénzösszegeket, és</w:t>
            </w:r>
          </w:p>
          <w:p w14:paraId="3ADE8A5A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oszlopokban kell jelenteni az ügyfélcsoportonként részletezett nem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zügyi ügyfelektől (kivéve központi bankok) származó egyéb beáramlásokat.</w:t>
            </w:r>
          </w:p>
          <w:p w14:paraId="066E6F19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nem pénzügyi ügyfelektől (kivéve központi bankok) származó, nem tőketörlesztési célú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zösszegeket nem ezen a soron, hanem az 1.1.1.1. részben kell jelenteni.</w:t>
            </w:r>
          </w:p>
          <w:p w14:paraId="55A8C1BC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Az egyéb, központi bankoktól származó pénzösszegeket nem ezen a soron, hanem az 1.1.2. részben kell jelenteni.</w:t>
            </w:r>
          </w:p>
          <w:p w14:paraId="461D3737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31. cikke (9) bekezdése szerinti ke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d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vezményes hitelek nyújtásával kapcsolatos kiáramlásokkal kapcsolatos beáramlásokat nem ezen a soron, hanem az 1.1.3. részben kell jelenteni.</w:t>
            </w:r>
          </w:p>
        </w:tc>
      </w:tr>
      <w:tr w:rsidR="00407CA6" w:rsidRPr="00407CA6" w14:paraId="3020100F" w14:textId="77777777" w:rsidTr="00EF2859">
        <w:tc>
          <w:tcPr>
            <w:tcW w:w="713" w:type="dxa"/>
            <w:vAlign w:val="center"/>
          </w:tcPr>
          <w:p w14:paraId="3D79D50D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060</w:t>
            </w:r>
          </w:p>
        </w:tc>
        <w:tc>
          <w:tcPr>
            <w:tcW w:w="8529" w:type="dxa"/>
          </w:tcPr>
          <w:p w14:paraId="05EF39A1" w14:textId="464FDE45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1.1.1.2.1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L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akossági ügyfelektől esedékesek pénzösszegek</w:t>
            </w:r>
          </w:p>
          <w:p w14:paraId="45828A2A" w14:textId="7B91FB7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(a) pontja</w:t>
            </w:r>
            <w:r w:rsidR="002D0E1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BFB3B55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Lakossági ügyfelektől esedékes pénzösszegek.</w:t>
            </w:r>
          </w:p>
        </w:tc>
      </w:tr>
      <w:tr w:rsidR="00407CA6" w:rsidRPr="00407CA6" w14:paraId="11647171" w14:textId="77777777" w:rsidTr="00EF2859">
        <w:tc>
          <w:tcPr>
            <w:tcW w:w="713" w:type="dxa"/>
            <w:vAlign w:val="center"/>
          </w:tcPr>
          <w:p w14:paraId="5914E3AB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070</w:t>
            </w:r>
          </w:p>
        </w:tc>
        <w:tc>
          <w:tcPr>
            <w:tcW w:w="8529" w:type="dxa"/>
          </w:tcPr>
          <w:p w14:paraId="116EF742" w14:textId="2F2F6CC9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1.1.1.2.2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N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em pénzügyi vállalkozásoktól esedékes pénzösszegek</w:t>
            </w:r>
          </w:p>
          <w:p w14:paraId="6910542C" w14:textId="3F4F9304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</w:t>
            </w:r>
            <w:r w:rsidR="0029423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bekezdésének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(a) pontja</w:t>
            </w:r>
            <w:r w:rsidR="002D0E1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327A1AD7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Nem pénzügyi vállalkozásoktól esedékes pénzösszegek.</w:t>
            </w:r>
          </w:p>
        </w:tc>
      </w:tr>
      <w:tr w:rsidR="00407CA6" w:rsidRPr="00407CA6" w14:paraId="0E242607" w14:textId="77777777" w:rsidTr="00EF2859">
        <w:tc>
          <w:tcPr>
            <w:tcW w:w="713" w:type="dxa"/>
            <w:vAlign w:val="center"/>
          </w:tcPr>
          <w:p w14:paraId="5560AC87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080</w:t>
            </w:r>
          </w:p>
        </w:tc>
        <w:tc>
          <w:tcPr>
            <w:tcW w:w="8529" w:type="dxa"/>
          </w:tcPr>
          <w:p w14:paraId="78C7A4E2" w14:textId="7B5892B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1.1.1.2.3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ormányzattól, multilaterális fejlesztési bankoktól és közszektorbeli intézményektől esedékes pénzösszegek</w:t>
            </w:r>
          </w:p>
          <w:p w14:paraId="1E0D7D3F" w14:textId="7AB7428C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(a) pontja</w:t>
            </w:r>
            <w:r w:rsidR="00E87C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068A9934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Kormányzattól, multilaterális fejlesztési bankoktól és közszektorbeli intézményektől esedékes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zösszegek.</w:t>
            </w:r>
          </w:p>
        </w:tc>
      </w:tr>
      <w:tr w:rsidR="00407CA6" w:rsidRPr="00407CA6" w14:paraId="6655FEBB" w14:textId="77777777" w:rsidTr="00EF2859">
        <w:tc>
          <w:tcPr>
            <w:tcW w:w="713" w:type="dxa"/>
            <w:vAlign w:val="center"/>
          </w:tcPr>
          <w:p w14:paraId="1BD38E9F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090</w:t>
            </w:r>
          </w:p>
        </w:tc>
        <w:tc>
          <w:tcPr>
            <w:tcW w:w="8529" w:type="dxa"/>
          </w:tcPr>
          <w:p w14:paraId="1E132675" w14:textId="0A202A2F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1.1.1.2.4</w:t>
            </w:r>
            <w:r w:rsidRPr="00407CA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gyéb jogi személyektől eredő pénzösszegek</w:t>
            </w:r>
          </w:p>
          <w:p w14:paraId="5FB70EEC" w14:textId="671D4756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(a) pontja</w:t>
            </w:r>
            <w:r w:rsidR="00E87C6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CC46B53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Egyéb jogi személyektől eredő, feljebb nem szereplő pénzösszegek.</w:t>
            </w:r>
          </w:p>
        </w:tc>
      </w:tr>
      <w:tr w:rsidR="00407CA6" w:rsidRPr="00407CA6" w14:paraId="2A931D8E" w14:textId="77777777" w:rsidTr="00EF2859">
        <w:tc>
          <w:tcPr>
            <w:tcW w:w="713" w:type="dxa"/>
            <w:vAlign w:val="center"/>
          </w:tcPr>
          <w:p w14:paraId="0C1A32E3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9" w:type="dxa"/>
            <w:vAlign w:val="center"/>
          </w:tcPr>
          <w:p w14:paraId="641EF7F8" w14:textId="0EFF092C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1.1.2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Központi bank</w:t>
            </w:r>
            <w:r w:rsidR="009C13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ok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tól és pénzügyi ügyfelektől esedékes pénzöszegek</w:t>
            </w:r>
          </w:p>
          <w:p w14:paraId="131BC634" w14:textId="54BC5E52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(a) pontja</w:t>
            </w:r>
            <w:r w:rsidR="00495A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2B8F7BF4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a XXIV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100 sorában kell jelenteni</w:t>
            </w:r>
          </w:p>
          <w:p w14:paraId="3A9308EC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010, 020 és 030 oszlopban kell jelenteni a központi banktól és pénzügyi ügyfelektől szárm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zó pénzösszegeket (beleértve az operatív és nem operatív betétnek minősülő betéteket) és</w:t>
            </w:r>
          </w:p>
          <w:p w14:paraId="35CA11F0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oszlopban kell jelenteni a központi banktól és pénzügyi ügyfelektől szárm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zó beáramlásokat (beleértve az operatív és nem operatív betétnek minősülő betéteket).</w:t>
            </w:r>
          </w:p>
          <w:p w14:paraId="241EF39D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itt kell jelenteni azokat a központi bankoktól és pénzügyi ügyfelektől az elkövetkező 30 napban esedékes pénzösszegeket, melyek még nem késedelmesek, és az intézménynek a 30 napos időszakban nincs oka nem teljesítést feltételezni.</w:t>
            </w:r>
          </w:p>
          <w:p w14:paraId="52749631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központi bankoktól és pénzügyi ügyfelektől esedékes nem tőketörlesztési célú pénzösszegeket a vonatkozó részekben kell jelenteni.</w:t>
            </w:r>
          </w:p>
          <w:p w14:paraId="5DB2AC91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27. cikkének (3) bekezdésében említett a központi hitelintézetnél elhelyezett betéteket nem beáramlásként kell jelenteni.</w:t>
            </w:r>
          </w:p>
        </w:tc>
      </w:tr>
      <w:tr w:rsidR="00407CA6" w:rsidRPr="00407CA6" w14:paraId="137FB844" w14:textId="77777777" w:rsidTr="00EF2859">
        <w:tc>
          <w:tcPr>
            <w:tcW w:w="713" w:type="dxa"/>
            <w:vAlign w:val="center"/>
          </w:tcPr>
          <w:p w14:paraId="68E1931F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407CA6">
              <w:rPr>
                <w:rFonts w:eastAsia="Times New Roman" w:cs="Arial"/>
                <w:sz w:val="20"/>
                <w:szCs w:val="20"/>
              </w:rPr>
              <w:t>110</w:t>
            </w:r>
          </w:p>
        </w:tc>
        <w:tc>
          <w:tcPr>
            <w:tcW w:w="8529" w:type="dxa"/>
            <w:vAlign w:val="center"/>
          </w:tcPr>
          <w:p w14:paraId="30D5F17E" w14:textId="1348A60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1.1.2.1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P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énzügyi ügyfelektől esedékes, operatív betétként számon tartott pénzösszegek</w:t>
            </w:r>
          </w:p>
          <w:p w14:paraId="1A9E3176" w14:textId="6D312FB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0A6CC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(2) bekezdésének (a) pontja együttesen a 27. cikkel</w:t>
            </w:r>
            <w:r w:rsidR="009522D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41DC48AB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a XXIV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110 sorában kell jelenteni</w:t>
            </w:r>
          </w:p>
          <w:p w14:paraId="3ADCA8EE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010, 020 és 030 oszlopban kell jelenteni a pénzügyi ügyfelek operatív betéteiből eredő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zösszegeket (függetlenül attól, hogy a hitelintézet szimmetrikus beáramlási rátát alkalmaz, vagy sem) és </w:t>
            </w:r>
          </w:p>
          <w:p w14:paraId="3E498003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oszlopban kell jelenteni a pénzügyi ügyfelek operatív betéteiből eredő beáramlásokat (függetlenül attól, hogy a hitelintézet szimmetrikus beáramlási rátát alkalmaz, vagy sem).</w:t>
            </w:r>
          </w:p>
          <w:p w14:paraId="24C0CCDB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itt kell jelentenie pénzügyi ügyfelektől származó, a Bizottság (EU) 2015/61 felh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talmazáson alapuló rendeletének 27. cikke szerinti klíring-, letéti és készpénzmenedzsment szolgá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tatásokkal összefüggésben elhelyezett pénzösszegeket. </w:t>
            </w:r>
          </w:p>
        </w:tc>
      </w:tr>
      <w:tr w:rsidR="00407CA6" w:rsidRPr="00407CA6" w14:paraId="0DB9AB56" w14:textId="77777777" w:rsidTr="00EF2859">
        <w:tc>
          <w:tcPr>
            <w:tcW w:w="713" w:type="dxa"/>
            <w:vAlign w:val="center"/>
          </w:tcPr>
          <w:p w14:paraId="25CCBFDA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29" w:type="dxa"/>
          </w:tcPr>
          <w:p w14:paraId="3AE8DC0C" w14:textId="65156DAC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1.1.2.1.1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P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énzügyi ügyfelektől esedékes, operatív betétként számon tartott pénzösszegek, amelyek esetében a hitelintézet megfelelő szimmetrikus beáramlási arányt alkalmaz</w:t>
            </w:r>
          </w:p>
          <w:p w14:paraId="124E87A3" w14:textId="130061F0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F47B8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32. cikkének (3) bekezdésének 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(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d)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pontja együttesen a 27. cikkel</w:t>
            </w:r>
            <w:r w:rsidR="006D58A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69B6326F" w14:textId="021D3C40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Pénzügyi ügyfelektől esedékes, a Bizottság (EU) 2015/61 felhatalmazáson alapuló rendeletének 27. cikke szerinti klíring-, letéti és készpénzmenedzsment szolgáltatásokkal összefüggésben elhelyezett, operatív betétként számon tartott pénzösszegek, amelyek esetében a hitelintézet megfelelő szimme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rikus beáramlási arányt képes alkalmaz</w:t>
            </w:r>
            <w:r w:rsidR="000F403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407CA6" w:rsidRPr="00407CA6" w14:paraId="065DAA70" w14:textId="77777777" w:rsidTr="00EF2859">
        <w:tc>
          <w:tcPr>
            <w:tcW w:w="713" w:type="dxa"/>
            <w:vAlign w:val="center"/>
          </w:tcPr>
          <w:p w14:paraId="26EEC202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8529" w:type="dxa"/>
          </w:tcPr>
          <w:p w14:paraId="3095904F" w14:textId="369D11C8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1.1.2.1.2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P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énzügyi ügyfelektől esedékes, operatív betétként számon tartott pénzösszegek, amelyek esetében a hitelintézet nem alkalmaz megfelelő szimmetrikus beáramlási arányt</w:t>
            </w:r>
          </w:p>
          <w:p w14:paraId="74CDE869" w14:textId="4ADBC9AF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Pr="00407CA6" w:rsidDel="00F47B8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32. cikkének (3) bekezdésének 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(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d) pontja együttesen a 27. cikkel</w:t>
            </w:r>
            <w:r w:rsidR="007311C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1A59E973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Pénzügyi ügyfelektől esedékes, a Bizottság (EU) 2015/61 felhatalmazáson alapuló rendeletének 27. cikke szerinti klíring-, letéti és készpénzmenedzsment szolgáltatásokkal összefüggésben elhelyezett, operatív betétként számon tartott pénzösszegek, amelyek esetében a hitelintézet nem alkalmaz me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g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felelő szimmetrikus beáramlási arányt. Ezekhez a tételekhez 5% beáramlási arányt kell alkalmazni.</w:t>
            </w:r>
          </w:p>
        </w:tc>
      </w:tr>
      <w:tr w:rsidR="00407CA6" w:rsidRPr="00407CA6" w14:paraId="79016D67" w14:textId="77777777" w:rsidTr="00EF2859">
        <w:tc>
          <w:tcPr>
            <w:tcW w:w="713" w:type="dxa"/>
            <w:vAlign w:val="center"/>
          </w:tcPr>
          <w:p w14:paraId="52602D01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29" w:type="dxa"/>
          </w:tcPr>
          <w:p w14:paraId="4EAB608B" w14:textId="42BFF7C8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1.1.2.2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özponti bankoktól és pénzügyi ügyfelektől esedékes pénzösszegek, amelyek nem minősü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l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nek operatív betétnek</w:t>
            </w:r>
          </w:p>
          <w:p w14:paraId="1FA3A4E4" w14:textId="6CD51184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(2) bekezdésének (a) pontja</w:t>
            </w:r>
            <w:r w:rsidR="00BF2FF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3F983FC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a XXIV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140 sorában kell jelenteni</w:t>
            </w:r>
          </w:p>
          <w:p w14:paraId="76494D7C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010, 020 és 030 oszlopban a központi bankoktól és pénzügyi ügyfelektől esedékes pé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zösszegeket, melyek nem minősülnek operatív betétnek, és </w:t>
            </w:r>
          </w:p>
          <w:p w14:paraId="752E804F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oszlopban a központi bankoktól és pénzügyi ügyfelektől származó beára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lásokat, melyek nem minősülnek operatív betétnek.</w:t>
            </w:r>
          </w:p>
          <w:p w14:paraId="13FD570E" w14:textId="17F228A2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nek ezen a soron kell jelenteni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ük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azokat a központi bankoktól és pénzügyi ügyfelektől származó pénzösszegeket, amelyeket a Bizottság (EU) 2015/61 felhatalmazáson alapuló rendeletének 27. cikke és 32. cikke (3) bekezdésének (d) pontja nem operatív betétként kezel.</w:t>
            </w:r>
          </w:p>
        </w:tc>
      </w:tr>
      <w:tr w:rsidR="00407CA6" w:rsidRPr="00407CA6" w14:paraId="6EBEF804" w14:textId="77777777" w:rsidTr="00EF2859">
        <w:tc>
          <w:tcPr>
            <w:tcW w:w="713" w:type="dxa"/>
            <w:vAlign w:val="center"/>
          </w:tcPr>
          <w:p w14:paraId="46CF06E6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29" w:type="dxa"/>
          </w:tcPr>
          <w:p w14:paraId="0F487069" w14:textId="61CC1C7F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1.1.2.2.1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özponti bankoktól esedékes pénzösszegek</w:t>
            </w:r>
          </w:p>
          <w:p w14:paraId="690D313A" w14:textId="6CB41DD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(2) bekezdésének (a) pontja</w:t>
            </w:r>
            <w:r w:rsidR="00D437E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3A266A0B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Központi bankoktól esedékes pénzösszegek.</w:t>
            </w:r>
          </w:p>
        </w:tc>
      </w:tr>
      <w:tr w:rsidR="00407CA6" w:rsidRPr="00407CA6" w14:paraId="35289948" w14:textId="77777777" w:rsidTr="00EF2859">
        <w:tc>
          <w:tcPr>
            <w:tcW w:w="713" w:type="dxa"/>
            <w:vAlign w:val="center"/>
          </w:tcPr>
          <w:p w14:paraId="2F3DB15B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29" w:type="dxa"/>
          </w:tcPr>
          <w:p w14:paraId="6CC9CC4B" w14:textId="6E6E180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1.1.2.2.2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P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énzügyi ügyfelektől esedékes pénzösszegek </w:t>
            </w:r>
          </w:p>
          <w:p w14:paraId="14AF4A17" w14:textId="05B9F6EF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(2) bekezdésének (a) pontja</w:t>
            </w:r>
            <w:r w:rsidR="00D437E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23BA1CF7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Pénzügyi ügyfelektől eredő, a Bizottság (EU) 2015/61 felhatalmazáson alapuló rendeletének 32. cikke (3) bekezdésének (d) pontja és a 27. cikke alapján operatív betétnek nem minősülő pénzösszegek.</w:t>
            </w:r>
          </w:p>
          <w:p w14:paraId="35F5E395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Bizottság (EU) 2015/61 felhatalmazáson alapuló rendeletének 31. cikkének (9) bekezdése szerinti kedvezményes hitelek folyósításhoz kapcsolódó beáramlásokat nem itt, hanem az 1.1.3. részben kell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jelenteni.</w:t>
            </w:r>
          </w:p>
        </w:tc>
      </w:tr>
      <w:tr w:rsidR="00407CA6" w:rsidRPr="00407CA6" w14:paraId="55A87315" w14:textId="77777777" w:rsidTr="00EF2859">
        <w:tc>
          <w:tcPr>
            <w:tcW w:w="713" w:type="dxa"/>
            <w:vAlign w:val="center"/>
          </w:tcPr>
          <w:p w14:paraId="718D23F0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529" w:type="dxa"/>
            <w:vAlign w:val="center"/>
          </w:tcPr>
          <w:p w14:paraId="4EA8A4A6" w14:textId="109C302A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1.1.3 </w:t>
            </w:r>
            <w:r w:rsidR="000C58E1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Bizottság (EU) 2015/61 felhatalmazáson alapuló rendeletének 31. cikkének (9) b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e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kezdésében említett kedvezményes hitelkeret alapján a kiáramlásoknak megfeleltetett beára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m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lások</w:t>
            </w:r>
          </w:p>
          <w:p w14:paraId="36C154E3" w14:textId="5C157C6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(3) bekezdésének (a) pontja</w:t>
            </w:r>
            <w:r w:rsidR="0006509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31E2677A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31. cikke (9) bekezdésében említett kedvezményes hitelkeret alapján a kiáramlásoknak megfeleltetett beáramlások.</w:t>
            </w:r>
          </w:p>
        </w:tc>
      </w:tr>
      <w:tr w:rsidR="00407CA6" w:rsidRPr="00407CA6" w14:paraId="61EBCC98" w14:textId="77777777" w:rsidTr="00EF2859">
        <w:tc>
          <w:tcPr>
            <w:tcW w:w="713" w:type="dxa"/>
            <w:vAlign w:val="center"/>
          </w:tcPr>
          <w:p w14:paraId="3A53DC93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29" w:type="dxa"/>
            <w:vAlign w:val="center"/>
          </w:tcPr>
          <w:p w14:paraId="3E41B51D" w14:textId="52F0858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1.1.4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ereskedelemfinanszírozásból esedékes pénzösszegek</w:t>
            </w:r>
          </w:p>
          <w:p w14:paraId="79CDFED6" w14:textId="703ECCA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5C29B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32. cikk (2) 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bekezdés (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a)</w:t>
            </w:r>
            <w:r w:rsidR="00C83DD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pont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(ii)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a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pontja</w:t>
            </w:r>
            <w:r w:rsidR="007020A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6EB647C2" w14:textId="4AF582FD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32. cikk (2) 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bekezdés (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a)</w:t>
            </w:r>
            <w:r w:rsidR="00C83DD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pont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(ii) 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pontja szerinti, 30 napnál rövidebb hátralévő futamidejű kereskedelemfinanszírozási ügyletből eredő pénzösszegek.</w:t>
            </w:r>
          </w:p>
        </w:tc>
      </w:tr>
      <w:tr w:rsidR="00407CA6" w:rsidRPr="00407CA6" w14:paraId="215817AA" w14:textId="77777777" w:rsidTr="00EF2859">
        <w:tc>
          <w:tcPr>
            <w:tcW w:w="713" w:type="dxa"/>
            <w:vAlign w:val="center"/>
          </w:tcPr>
          <w:p w14:paraId="2E14CB72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29" w:type="dxa"/>
            <w:vAlign w:val="center"/>
          </w:tcPr>
          <w:p w14:paraId="6ECDA14A" w14:textId="77777777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  <w:t>1.1.5 30 napon belül lejáró értékpapírokból esedékes pénzösszegek</w:t>
            </w:r>
          </w:p>
          <w:p w14:paraId="61B17BA8" w14:textId="2FF2BD74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(2) bekezdésének (a) pontjának (i) alpontja</w:t>
            </w:r>
            <w:r w:rsidR="00D231B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70E1CBE6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cikke (2) bekezdésének (a) po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tjának (i) alpontja szerint 30 napon belül lejáró értékpapírokból származó pénzösszegek.</w:t>
            </w:r>
          </w:p>
        </w:tc>
      </w:tr>
      <w:tr w:rsidR="00407CA6" w:rsidRPr="00407CA6" w14:paraId="2052A870" w14:textId="77777777" w:rsidTr="00EF2859">
        <w:tc>
          <w:tcPr>
            <w:tcW w:w="713" w:type="dxa"/>
            <w:vAlign w:val="center"/>
          </w:tcPr>
          <w:p w14:paraId="4B9097D1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29" w:type="dxa"/>
            <w:vAlign w:val="center"/>
          </w:tcPr>
          <w:p w14:paraId="051D1C93" w14:textId="47AEFA3A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1.1.6 </w:t>
            </w:r>
            <w:r w:rsidR="003035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szközök határozatlan szerződéses lejárati idővel </w:t>
            </w:r>
          </w:p>
          <w:p w14:paraId="48DDD93E" w14:textId="0E5AD014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(3) bekezdésének (i) pontja</w:t>
            </w:r>
            <w:r w:rsidR="008B5CE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1E3EEF4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Azon eszközök, melyeknek a Bizottság (EU) 2015/61 felhatalmazáson alapuló rendeletének 32. cikkének (3) bekezdésének (i) pontja szerinti szerződéses zárónapja nincs meghatározva. A beáramlás csak akkor vehető figyelembe, ha a szerződés lehetővé teszi az elállást, vagy a 30 napon belüli kifiz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tés kérését. Az ügyfélszámlát terhelő 30 napon belüli kamat, vagy minimum díj fizetését az itt jelentett összegnek tartalmaznia kell. A szerződéses lejárat nélküli eszközök kamat és minimum kifizetésből 30 napon belül szerződés szerint esedékes pénzáramlását a 32. cikknek megfelelően a vonatkozó sor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o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kon kell jelenteni. A hitelintézet nem jelenti az adott időszakra járó egyéb kamatokat, ha azok nem kerülnek az ügyfélszámlán jóváírásra, és nem növelik a 30 napon belüli beáramlásokat.</w:t>
            </w:r>
          </w:p>
        </w:tc>
      </w:tr>
      <w:tr w:rsidR="00407CA6" w:rsidRPr="00407CA6" w14:paraId="5F42CB1B" w14:textId="77777777" w:rsidTr="00EF2859">
        <w:tc>
          <w:tcPr>
            <w:tcW w:w="713" w:type="dxa"/>
            <w:vAlign w:val="center"/>
          </w:tcPr>
          <w:p w14:paraId="1E148119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29" w:type="dxa"/>
            <w:vAlign w:val="center"/>
          </w:tcPr>
          <w:p w14:paraId="13A94D3D" w14:textId="0ACD9868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1.1.7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J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elentős</w:t>
            </w:r>
            <w:r w:rsidR="005353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</w:t>
            </w:r>
            <w:r w:rsidR="00BE3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indexekben lévő részvény jellegű eszközökben artott pozíciókból esedékes összegek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, </w:t>
            </w:r>
            <w:r w:rsidR="00BE3F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feltéve, ha</w:t>
            </w:r>
            <w:r w:rsidR="00BE3F17"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nincs a likvid eszközökkel való többszörös figyelembevétel</w:t>
            </w:r>
          </w:p>
          <w:p w14:paraId="6104D6A1" w14:textId="563F84AA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(2) bekezdésének (b) pontja</w:t>
            </w:r>
            <w:r w:rsidR="00414E1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11AAC48B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Jelentős tőzsdeindexben található részvény jellegű eszközökből esedékes pénzösszegek, amennyiben nincs a Bizottság (EU) 2015/61 felhatalmazáson alapuló rendeletének 32. cikkének (2) bekezdésének (b) pontja szerinti likvid eszközökkel való többszörös figyelembevétel. A pénzösszeg magában foglalja a szerződés szerint 30 napon belül esedékessé váló pénzösszegeket, például a főbb index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részvényekből származó készpénz osztalékot, a már értékesített, de el nem számolt részvények után járó készpénzt, feltéve hogy ezek az eszközök nem kerültek figyelembevételre a Bizottság (EU) 2015/61 felhatalmazáson alapuló rendeletének II. címe szerinti likvid eszközökként.</w:t>
            </w:r>
          </w:p>
        </w:tc>
      </w:tr>
      <w:tr w:rsidR="00407CA6" w:rsidRPr="00407CA6" w14:paraId="64CE52C3" w14:textId="77777777" w:rsidTr="00EF2859">
        <w:tc>
          <w:tcPr>
            <w:tcW w:w="713" w:type="dxa"/>
            <w:vAlign w:val="center"/>
          </w:tcPr>
          <w:p w14:paraId="2076B702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8529" w:type="dxa"/>
            <w:vAlign w:val="center"/>
          </w:tcPr>
          <w:p w14:paraId="0557864C" w14:textId="162A9392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1.1.8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özponti banki hitelkeretből, vagy likviditási hitelkeretből esedékes pénzösszegek, amenny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ben nincs a likvid eszközökkel való többszörös figyelembevétel</w:t>
            </w:r>
          </w:p>
          <w:p w14:paraId="09C7B86D" w14:textId="5DD15A7A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(3) bekezdésének (g) pontja</w:t>
            </w:r>
            <w:r w:rsidR="001D40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4DFAE485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cikke (3) bekezdésének (g) pontja szerinti, nem lehívott központi banki hitelkeretből, vagy likviditási hitelkeretből eredő beáramlások, amennyiben nincs a likvid eszközökkel való többszörös figyelembevétel.</w:t>
            </w:r>
          </w:p>
          <w:p w14:paraId="2D1DA1A0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34. cikke szerinti beáramlásokat, valamint a le nem hívott hitelkeretekből vagy likviditási keretekből eredő beáramlásokat és a központi bankon kívüli szervezettől kapott egyéb kötelezettségvállalásokat nem lehet figyelembe venni. A központi bankoktól származó le nem hívott folyósítási kötelezettséggel járó hitelkereteket, és egyéb központi kötelezettség vállalásokat, amelyek a Bizottság (EU) 2015/61 felhatalmazáson alapuló re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deletének 14. cikke szerint likvid eszköznek minősülnek, nem lehet figyelembe venni beáramlásként.</w:t>
            </w:r>
          </w:p>
        </w:tc>
      </w:tr>
      <w:tr w:rsidR="00407CA6" w:rsidRPr="00407CA6" w14:paraId="1406A414" w14:textId="77777777" w:rsidTr="00EF2859">
        <w:tc>
          <w:tcPr>
            <w:tcW w:w="713" w:type="dxa"/>
            <w:vAlign w:val="center"/>
          </w:tcPr>
          <w:p w14:paraId="5A49E24C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29" w:type="dxa"/>
            <w:vAlign w:val="center"/>
          </w:tcPr>
          <w:p w14:paraId="5F7B672F" w14:textId="7A6C0148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1.1.9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Ü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gyfelek kereskedési eszközeinek védelmére vonatkozó szabályozói követelményekkel öss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z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hangban elkülönített számlákon tartott egyenlegek felszabadításából származó beáramlások</w:t>
            </w:r>
          </w:p>
          <w:p w14:paraId="1C324D4B" w14:textId="4388E9AA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(4) bekezdése</w:t>
            </w:r>
            <w:r w:rsidR="008140A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50CBFA35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0C58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(4) bekezdése szerint, az ügyfelek kereskedési eszközeinek védelmére vonatkozó szabályozói követelményekkel összhangban elkülönített számlákon tartott egyenlegek felszabadításából származó beáramlások.</w:t>
            </w:r>
          </w:p>
          <w:p w14:paraId="3C4A936D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Ezek a beáramlások csak akkor vehetők figyelembe, ha ezeket az egyenlegeket a Bizottság (EU) 2015/61 felhatalmazáson alapuló rendeletének II. címében meghatározott likvid eszközökben tartják.</w:t>
            </w:r>
          </w:p>
        </w:tc>
      </w:tr>
      <w:tr w:rsidR="00407CA6" w:rsidRPr="00407CA6" w14:paraId="1E5C7F42" w14:textId="77777777" w:rsidTr="00EF2859">
        <w:tc>
          <w:tcPr>
            <w:tcW w:w="713" w:type="dxa"/>
            <w:vAlign w:val="center"/>
          </w:tcPr>
          <w:p w14:paraId="5DD140D2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29" w:type="dxa"/>
            <w:vAlign w:val="center"/>
          </w:tcPr>
          <w:p w14:paraId="3FB0A2EA" w14:textId="13F7552C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1.1.10 </w:t>
            </w:r>
            <w:r w:rsidR="000C58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B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eáramlás származtatott eszközökből </w:t>
            </w:r>
          </w:p>
          <w:p w14:paraId="7666B0B0" w14:textId="196D1CB0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(5) bekezdése</w:t>
            </w:r>
            <w:r w:rsidR="008234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5C954D4B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Az 575/2013/EU rendelet II. mellékletében felsorolt ügyletekből eredő, 30 nap alatt várható nettó beáramlás összege.</w:t>
            </w:r>
          </w:p>
          <w:p w14:paraId="66C30BBD" w14:textId="128B44AA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</w:t>
            </w:r>
            <w:r w:rsidR="00C126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nek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a 30 nap alatt várható ki- és beáramlást partnerenként nettósítva kell ki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zámítaniuk, az 575/2013/EU rendelet 295. cikke szerinti nettósítási megállapodások figyelembe vét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lével.</w:t>
            </w:r>
          </w:p>
          <w:p w14:paraId="63A6352A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nettó alap, az ügyletben kapott biztosíték figyelembevételével számított összeg, feltéve hogy a 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pott biztosíték a Bizottság (EU) 2015/61 felhatalmazáson alapuló rendeletének II. címe szerinti likvid eszköznek minősül.</w:t>
            </w:r>
          </w:p>
          <w:p w14:paraId="7A526E7C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Az egyidejű (vagy azonos napon belüli) névérték cseréjével járó deviza származékos ügyletekből eredő készpénz ki- és beáramlásokat nettó módon kell kiszámítani akkor is, ha az ügyletre nem terjed ki a kétoldalú nettósítási megállapodás.</w:t>
            </w:r>
          </w:p>
          <w:p w14:paraId="47659045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jelentős devizákban történő jelentés esetén az ügyletekből származó ki- és beáramlást a megfelelő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devizanemben kell jelenteni. Partnerkockázati nettósítást csak az azonos devizákban lehet alkalmazni.</w:t>
            </w:r>
          </w:p>
        </w:tc>
      </w:tr>
      <w:tr w:rsidR="00407CA6" w:rsidRPr="00407CA6" w14:paraId="348FEBD8" w14:textId="77777777" w:rsidTr="00EF2859">
        <w:tc>
          <w:tcPr>
            <w:tcW w:w="713" w:type="dxa"/>
            <w:vAlign w:val="center"/>
          </w:tcPr>
          <w:p w14:paraId="5D8AD8CC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8529" w:type="dxa"/>
            <w:vAlign w:val="center"/>
          </w:tcPr>
          <w:p w14:paraId="32ABF170" w14:textId="41CF2E35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1.1.11 </w:t>
            </w:r>
            <w:r w:rsidR="00C126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C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soport vagy intézményvédelmi rendszer tagja által nyújtott, le nem hívott hitel- vagy likvid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i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táskeretből eredő beáramlások, amennyiben az illetékes hatóságok engedélyezték a magasabb beáramlási arány alkalmazását</w:t>
            </w:r>
          </w:p>
          <w:p w14:paraId="095A1BAD" w14:textId="26597D1D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C126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34. cikke</w:t>
            </w:r>
            <w:r w:rsidR="0058496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60E461FC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Beáramlás, amely a Bizottság (EU) 2015/61 felhatalmazáson alapuló rendeletének 34. cikke szerinti, csoport vagy intézményvédelmi rendszer tagja által nyújtott, le nem hívott hitel- vagy likviditáskere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ből eredő beáramlások, amennyiben az illetékes hatóságok engedélyezték a magasabb beáramlási arány alkalmazását.</w:t>
            </w:r>
          </w:p>
        </w:tc>
      </w:tr>
      <w:tr w:rsidR="00407CA6" w:rsidRPr="00407CA6" w14:paraId="2246BBDC" w14:textId="77777777" w:rsidTr="00EF2859">
        <w:tc>
          <w:tcPr>
            <w:tcW w:w="713" w:type="dxa"/>
            <w:vAlign w:val="center"/>
          </w:tcPr>
          <w:p w14:paraId="10579B82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29" w:type="dxa"/>
            <w:vAlign w:val="center"/>
          </w:tcPr>
          <w:p w14:paraId="0BF57C22" w14:textId="442C7B66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1.1.12 </w:t>
            </w:r>
            <w:r w:rsidR="00C126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gyéb beáramlások</w:t>
            </w:r>
          </w:p>
          <w:p w14:paraId="63A7D6C7" w14:textId="52217C94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32. cikkének (2) bekezdése</w:t>
            </w:r>
            <w:r w:rsidR="003B1D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38E77380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5B128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cikkével összefüggő minden egyéb beáramlás, amely a táblában máshol nem került jelentésre.</w:t>
            </w:r>
          </w:p>
        </w:tc>
      </w:tr>
      <w:tr w:rsidR="00407CA6" w:rsidRPr="00407CA6" w14:paraId="5095D26D" w14:textId="77777777" w:rsidTr="00EF2859">
        <w:tc>
          <w:tcPr>
            <w:tcW w:w="713" w:type="dxa"/>
            <w:vAlign w:val="center"/>
          </w:tcPr>
          <w:p w14:paraId="0EA1AFE8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29" w:type="dxa"/>
            <w:vAlign w:val="center"/>
          </w:tcPr>
          <w:p w14:paraId="6BE6079C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de-DE"/>
              </w:rPr>
              <w:t>1.2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Fedezett kölcsönügyletekből és tőkepiac-vezérelt ügyletekből eredő beáramlások</w:t>
            </w:r>
          </w:p>
          <w:p w14:paraId="72BECB94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Fedezett kölcsönügyletekből és tőkepiac-vezérelt ügyletekből eredő beáramlások a Bizottság (EU) 2015/61 felhatalmazáson alapuló rendeletének 32. cikkének (3) bekezdésének (b), 32. cikkének (3) bekezdésének (c) és 32. cikkének (3) bekezdésének (f) pontja szerint.</w:t>
            </w:r>
          </w:p>
          <w:p w14:paraId="1C94D9CA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a XXIV</w:t>
            </w:r>
            <w:r w:rsidR="00C126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270 sorában kell jelenteniük</w:t>
            </w:r>
          </w:p>
          <w:p w14:paraId="1573D8F3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010, 020 és 030 oszlopban a fedezett kölcsönügyletekből és tőkepiac-vezérelt ügyletekből származó pénzösszegeket (függetlenül attól, hogy a biztosíték likvdi eszköznek minősül, vagy sem) és</w:t>
            </w:r>
          </w:p>
          <w:p w14:paraId="1856AF75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oszlopban a fedezett kölcsönügyletekből és tőkepiac-vezérelt ügyletekből származó beáramlásokat (függetlenül attól, hogy a biztosíték likvdi eszköznek minősül, vagy sem).</w:t>
            </w:r>
          </w:p>
        </w:tc>
      </w:tr>
      <w:tr w:rsidR="00407CA6" w:rsidRPr="00407CA6" w14:paraId="3DDA02FB" w14:textId="77777777" w:rsidTr="00EF2859">
        <w:tc>
          <w:tcPr>
            <w:tcW w:w="713" w:type="dxa"/>
            <w:vAlign w:val="center"/>
          </w:tcPr>
          <w:p w14:paraId="1EB67EE9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29" w:type="dxa"/>
            <w:vAlign w:val="center"/>
          </w:tcPr>
          <w:p w14:paraId="5A2F65EB" w14:textId="13D06EB8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1.2.1 </w:t>
            </w:r>
            <w:r w:rsidR="00C126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L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ikvid eszköznek </w:t>
            </w:r>
            <w:r w:rsidR="00596E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minősülő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biztosíték</w:t>
            </w:r>
          </w:p>
          <w:p w14:paraId="6765C7D4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a XXIV</w:t>
            </w:r>
            <w:r w:rsidR="00C126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280 sorában kell jelenteniük</w:t>
            </w:r>
          </w:p>
          <w:p w14:paraId="46AFF997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010, 020 és 030 oszlopban a fedezett kölcsönügyletekből és tőkepiac-vezérelt ügyletekből származó pénzösszegeket, ahol a fedezetként kapott eszköz likvid eszköznek minősül. A fed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zett kölcsönügyletekből és tőkepiac-vezérelt ügyletekből származó pénzösszegeket a b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ztosítékok típusa szerint kell összegezni.</w:t>
            </w:r>
          </w:p>
          <w:p w14:paraId="6806ED12" w14:textId="7C06B1BB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040, 050 és 060 oszlopban kell jelenteni a fedezett kölcsönügyletek és tőkepiac-vezérelt ügyletek </w:t>
            </w:r>
            <w:r w:rsidR="00C126E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során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kapott biztosíték piaci értékét, ahol a biztosíték likvid eszköznek minősül, és az összegzés a biztosítékok típusa szerint történik;</w:t>
            </w:r>
          </w:p>
          <w:p w14:paraId="6CC1B5DC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110, 120 és 130 oszlopban kell jelenteni a fedezett kölcsönügyletekhez és tőkepiac-vezérelt ügyletekhez kacsolódóan kapott fedezetek teljes, a Bizottság (EU) 2015/61 felhatalmazáson alapuló rendeletének 9. cikke szerinti értékét. Ezen likvid eszköznek minősülő biztosítékok értékének összegzése a Bizottság (EU) 2015/61 felhatalmazáson alapuló rendeletének 9. ci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k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ke szerint, fedezettípusonként történik, és</w:t>
            </w:r>
          </w:p>
          <w:p w14:paraId="5E6AAF75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oszlopokban kell jelenteni a fedezett kölcsönügyletek és tőkepiac-vezérelt ügyletek kapott biztosítékából származó beáramlást, ahol a biztosíték likvid eszköznek minősül, és az összegzés a biztosítékok típusa szerint történt.</w:t>
            </w:r>
          </w:p>
        </w:tc>
      </w:tr>
      <w:tr w:rsidR="00407CA6" w:rsidRPr="00407CA6" w14:paraId="311D9236" w14:textId="77777777" w:rsidTr="00EF2859">
        <w:tc>
          <w:tcPr>
            <w:tcW w:w="713" w:type="dxa"/>
            <w:vAlign w:val="center"/>
          </w:tcPr>
          <w:p w14:paraId="6FB12B1A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8529" w:type="dxa"/>
            <w:vAlign w:val="center"/>
          </w:tcPr>
          <w:p w14:paraId="7ACF6F11" w14:textId="77777777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1.2.1.1 1. szintű biztosíték a rendkívül magas minőségű fedezett kötvényeket kivéve</w:t>
            </w:r>
          </w:p>
          <w:p w14:paraId="02E4CB4D" w14:textId="63816A2F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5336A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(3) bekezdésének (b) pontja</w:t>
            </w:r>
            <w:r w:rsidR="0060714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1E5800A6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1. szintű biztosíték a rendkívül magas minőségű fedezett kötvényeket kivéve.</w:t>
            </w:r>
          </w:p>
        </w:tc>
      </w:tr>
      <w:tr w:rsidR="00407CA6" w:rsidRPr="00407CA6" w14:paraId="4AB36E68" w14:textId="77777777" w:rsidTr="00EF2859">
        <w:tc>
          <w:tcPr>
            <w:tcW w:w="713" w:type="dxa"/>
            <w:vAlign w:val="center"/>
          </w:tcPr>
          <w:p w14:paraId="567EEB0C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29" w:type="dxa"/>
            <w:vAlign w:val="center"/>
          </w:tcPr>
          <w:p w14:paraId="5E0C057F" w14:textId="1981E54B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1.2.1.2 1. szintű, rendkívül magas minőségű fedezett kötvényekből álló biztosíték</w:t>
            </w:r>
          </w:p>
          <w:p w14:paraId="0E3BC6AF" w14:textId="76D3812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5336A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(3) bekezdésének (b) pontja</w:t>
            </w:r>
            <w:r w:rsidR="0016343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2641F07B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1. szintű, rendkívül magas minőségű fedezett kötvényekből álló biztosíték.</w:t>
            </w:r>
          </w:p>
        </w:tc>
      </w:tr>
      <w:tr w:rsidR="00407CA6" w:rsidRPr="00407CA6" w14:paraId="152BA8B1" w14:textId="77777777" w:rsidTr="00EF2859">
        <w:tc>
          <w:tcPr>
            <w:tcW w:w="713" w:type="dxa"/>
            <w:vAlign w:val="center"/>
          </w:tcPr>
          <w:p w14:paraId="609F6FCF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29" w:type="dxa"/>
            <w:vAlign w:val="center"/>
          </w:tcPr>
          <w:p w14:paraId="5F9144D8" w14:textId="752EA521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1.2.1.3 2A. szintű biztosíték</w:t>
            </w:r>
          </w:p>
          <w:p w14:paraId="630AFAD8" w14:textId="2B0E036B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(b) pontja</w:t>
            </w:r>
            <w:r w:rsidR="0016343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7460B48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2A. szintű biztosíték, minden típus.</w:t>
            </w:r>
          </w:p>
        </w:tc>
      </w:tr>
      <w:tr w:rsidR="00407CA6" w:rsidRPr="00407CA6" w14:paraId="09230779" w14:textId="77777777" w:rsidTr="00EF2859">
        <w:tc>
          <w:tcPr>
            <w:tcW w:w="713" w:type="dxa"/>
            <w:vAlign w:val="center"/>
          </w:tcPr>
          <w:p w14:paraId="46F3587B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29" w:type="dxa"/>
            <w:vAlign w:val="center"/>
          </w:tcPr>
          <w:p w14:paraId="009639C9" w14:textId="77777777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1.2.1.4 2B. szintű eszközfedezetű értékpapír (lakóingatlan vagy gépjármű) biztosíték</w:t>
            </w:r>
          </w:p>
          <w:p w14:paraId="1E3371FE" w14:textId="53A5E255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6E722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(3) bekezdésének (b) pontja</w:t>
            </w:r>
            <w:r w:rsidR="00327A6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36A8E9ED" w14:textId="04468642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2B. szintű eszközfedezetű értékpapír, ahol a mögöttes eszköz a Bizottság (EU) 2015/61 felhatalm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záson alapuló rendeletének</w:t>
            </w:r>
            <w:r w:rsidR="000724D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13. cikke (2) bekezdésének (g) pontjának (i-iii) alpontjaiban leírt hi</w:t>
            </w:r>
            <w:r w:rsidR="00283B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tel, amely megfelel a rendelet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13. cikkének vonatkozó előírásainak.</w:t>
            </w:r>
          </w:p>
        </w:tc>
      </w:tr>
      <w:tr w:rsidR="00407CA6" w:rsidRPr="00407CA6" w14:paraId="178928B8" w14:textId="77777777" w:rsidTr="00EF2859">
        <w:tc>
          <w:tcPr>
            <w:tcW w:w="713" w:type="dxa"/>
            <w:vAlign w:val="center"/>
          </w:tcPr>
          <w:p w14:paraId="1FE26B13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29" w:type="dxa"/>
            <w:vAlign w:val="center"/>
          </w:tcPr>
          <w:p w14:paraId="4C3281A2" w14:textId="77777777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1.2.1.5 2B. szintű magas minőségű fedezett kötvény biztosíték</w:t>
            </w:r>
          </w:p>
          <w:p w14:paraId="48A3F380" w14:textId="1DE8B524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(b) pontja</w:t>
            </w:r>
            <w:r w:rsidR="00B53C9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54C1528F" w14:textId="77777777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07CA6">
              <w:rPr>
                <w:rFonts w:eastAsia="Times New Roman" w:cs="Times New Roman"/>
                <w:bCs/>
                <w:sz w:val="20"/>
                <w:szCs w:val="20"/>
              </w:rPr>
              <w:t>2B. szintű biztosíték, ahol a fedezet magas minőségű kötvény.</w:t>
            </w:r>
          </w:p>
        </w:tc>
      </w:tr>
      <w:tr w:rsidR="00407CA6" w:rsidRPr="00407CA6" w14:paraId="3BD9BE75" w14:textId="77777777" w:rsidTr="00EF2859">
        <w:tc>
          <w:tcPr>
            <w:tcW w:w="713" w:type="dxa"/>
            <w:vAlign w:val="center"/>
          </w:tcPr>
          <w:p w14:paraId="03EBDC7C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29" w:type="dxa"/>
            <w:vAlign w:val="center"/>
          </w:tcPr>
          <w:p w14:paraId="0A763906" w14:textId="3E343DAB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1.2.1.6 2B. szintű eszközfedezetű értékpapír (vállalati vagy háztartási) biztosíték</w:t>
            </w:r>
          </w:p>
          <w:p w14:paraId="74764297" w14:textId="0379ECE4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(b) pontja</w:t>
            </w:r>
            <w:r w:rsidR="007638C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77E58985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2B. szintű eszközzel fedezett értékpapír, ahol a mögöttes eszköz a Bizottság (EU) 2015/61 felhatalm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záson alapuló rendeletének 13. cikke (2) bekezdésének (g) pontjának (iv-v) alpontjaiban leírt hitel, amely megfelel a rendelet 13. cikkének vonatkozó előírásainak.</w:t>
            </w:r>
          </w:p>
        </w:tc>
      </w:tr>
      <w:tr w:rsidR="00407CA6" w:rsidRPr="00407CA6" w14:paraId="4018B2B7" w14:textId="77777777" w:rsidTr="00EF2859">
        <w:tc>
          <w:tcPr>
            <w:tcW w:w="713" w:type="dxa"/>
            <w:vAlign w:val="center"/>
          </w:tcPr>
          <w:p w14:paraId="2B6C742F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29" w:type="dxa"/>
            <w:vAlign w:val="center"/>
          </w:tcPr>
          <w:p w14:paraId="7AB1F534" w14:textId="55AC19DA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1.2.1.7 2B. szintű biztosíték, amely</w:t>
            </w:r>
            <w:r w:rsidR="00871A8A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et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az 1.2.1.4, 1.2.1.5 vagy 1.2.1.6 sorokon nem szerepeltetett</w:t>
            </w:r>
          </w:p>
          <w:p w14:paraId="1818CCB2" w14:textId="27DD4B1F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A Bizottság (EU) 2015/61 felhatalmazáson alapuló rendeletének</w:t>
            </w:r>
            <w:r w:rsidR="00C9601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(3) bekezdésének (b)</w:t>
            </w:r>
            <w:r w:rsidR="004E20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0A71856F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 w:rsidDel="007F2B5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2B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 szintű biztosíték, amely feljebb nem szerepel.</w:t>
            </w:r>
          </w:p>
        </w:tc>
      </w:tr>
      <w:tr w:rsidR="00407CA6" w:rsidRPr="00407CA6" w14:paraId="32867AEA" w14:textId="77777777" w:rsidTr="00EF2859">
        <w:tc>
          <w:tcPr>
            <w:tcW w:w="713" w:type="dxa"/>
            <w:vAlign w:val="center"/>
          </w:tcPr>
          <w:p w14:paraId="0E8CE396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360</w:t>
            </w:r>
          </w:p>
        </w:tc>
        <w:tc>
          <w:tcPr>
            <w:tcW w:w="8529" w:type="dxa"/>
            <w:vAlign w:val="center"/>
          </w:tcPr>
          <w:p w14:paraId="4E03A172" w14:textId="6F97A539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1.2.2 </w:t>
            </w:r>
            <w:r w:rsidR="00C87917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biztosíték rövid pozíció fedezésére használt</w:t>
            </w:r>
          </w:p>
          <w:p w14:paraId="7C5575D7" w14:textId="27AA680E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C879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(3) bekezdésének (b) pontja</w:t>
            </w:r>
            <w:r w:rsidR="00187B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7596BABA" w14:textId="20994D52" w:rsidR="00407CA6" w:rsidRPr="00407CA6" w:rsidRDefault="00407CA6" w:rsidP="00283B87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Minden rövid pozíció fedezésére szolgáló biztosíték. Ezen a soron (és nem feljebb) kell jelenteni mi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den típusú biztosítékot, amennyiben rövid pozíciót fedez, a kettős beszámítás elkerülésével.</w:t>
            </w:r>
          </w:p>
        </w:tc>
      </w:tr>
      <w:tr w:rsidR="00407CA6" w:rsidRPr="00407CA6" w14:paraId="2B8CDA55" w14:textId="77777777" w:rsidTr="00EF2859">
        <w:tc>
          <w:tcPr>
            <w:tcW w:w="713" w:type="dxa"/>
            <w:vAlign w:val="center"/>
          </w:tcPr>
          <w:p w14:paraId="6C263AE5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29" w:type="dxa"/>
            <w:vAlign w:val="center"/>
          </w:tcPr>
          <w:p w14:paraId="11AE65DF" w14:textId="3123FE88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1.2.3 </w:t>
            </w:r>
            <w:r w:rsidR="00C879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L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ikvid eszköznek nem számító biztosíték</w:t>
            </w:r>
          </w:p>
          <w:p w14:paraId="6A86C718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a XXIV</w:t>
            </w:r>
            <w:r w:rsidR="00C879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370 sorában kell jelenteni</w:t>
            </w:r>
          </w:p>
          <w:p w14:paraId="4F90CE91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010, 020 és 030 oszlopban a fedezett kölcsönügyletekből és tőkepiac-vezérelt ügyletekből származó pénzösszegeket, ahol a fedezetként kapott eszköz nem minősül likvid eszköznek. Összegezni kell a nem likvid eszközzel fedezett letéti hitelből eredő pénzösszegeket, a fed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zett kölcsönügyletekből és tőkepiac-vezérelt ügyletekből származó pénzösszegeket, ahol a fedezetként kapott eszköz nem likvid részvény, és az egyéb nem likvid eszközökkel biztosított fedezett kölcsönügyletekből és tőkepiac-vezérelt ügyletekből származó pénzösszegeket, és</w:t>
            </w:r>
          </w:p>
          <w:p w14:paraId="01516B45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oszlopokban a fedezett kölcsönügyletekből és tőkepiac-vezérelt ügyl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tekből származó beáramlásokat, ahol a fedezetként kapott eszköz nem minősül likvid eszkö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nek. Összegezni kell a nem likvid eszközzel fedezett letéti hitelből eredő beáramlásokat, a f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dezett kölcsönügyletekből és tőkepiac-vezérelt ügyletekből származó beáramlásokat, ahol a fedezetként kapott eszköz nem likvid részvény, és az egyéb nem likvid eszközökkel biztosított fedezett kölcsönügyletekből és tőkepiac-vezérelt ügyletekből származó beáramlásokat. </w:t>
            </w:r>
          </w:p>
        </w:tc>
      </w:tr>
      <w:tr w:rsidR="00407CA6" w:rsidRPr="00407CA6" w14:paraId="3A1A7CC0" w14:textId="77777777" w:rsidTr="00EF2859">
        <w:tc>
          <w:tcPr>
            <w:tcW w:w="713" w:type="dxa"/>
            <w:vAlign w:val="center"/>
          </w:tcPr>
          <w:p w14:paraId="55A0C56C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8529" w:type="dxa"/>
            <w:vAlign w:val="center"/>
          </w:tcPr>
          <w:p w14:paraId="13C29DB6" w14:textId="0E17E68C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1.2.3.1 </w:t>
            </w:r>
            <w:r w:rsidR="00C87917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L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etéti hitel: a biztosíték nem likvid</w:t>
            </w:r>
          </w:p>
          <w:p w14:paraId="2C290657" w14:textId="40789F3E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</w:t>
            </w:r>
            <w:r w:rsidR="00DD52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32. cikkének (3) bekezdésének (c) pontja</w:t>
            </w:r>
            <w:r w:rsidR="003916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CE50C6D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Nem likvid eszköz fedezettel szembeni letéti hitel, ahol a hitelintézet nem használja rövid pozíció f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dezésére a kapott biztosítékot, a Bizottság (EU) 2015/61 felhatalmazáson alapuló rendeletének 32. cikke (3) bekezdésének (c) pontjában leírtaknak megfelelően.</w:t>
            </w:r>
          </w:p>
        </w:tc>
      </w:tr>
      <w:tr w:rsidR="00407CA6" w:rsidRPr="00407CA6" w14:paraId="6E2A1207" w14:textId="77777777" w:rsidTr="00EF2859">
        <w:tc>
          <w:tcPr>
            <w:tcW w:w="713" w:type="dxa"/>
            <w:vAlign w:val="center"/>
          </w:tcPr>
          <w:p w14:paraId="2530B2B6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29" w:type="dxa"/>
            <w:vAlign w:val="center"/>
          </w:tcPr>
          <w:p w14:paraId="5844A53D" w14:textId="3F98BE35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1.2.3.2 </w:t>
            </w:r>
            <w:r w:rsidR="003035B3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B</w:t>
            </w:r>
            <w:r w:rsidR="00C651E2"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iztosíték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nem likvid részvény</w:t>
            </w:r>
          </w:p>
          <w:p w14:paraId="5C840D0B" w14:textId="4E70692E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(c) pontja</w:t>
            </w:r>
            <w:r w:rsidR="00753F3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50F550D0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biztosíték nem likvid részvény.</w:t>
            </w:r>
          </w:p>
        </w:tc>
      </w:tr>
      <w:tr w:rsidR="00407CA6" w:rsidRPr="00407CA6" w14:paraId="3E5DF6C6" w14:textId="77777777" w:rsidTr="00EF2859">
        <w:tc>
          <w:tcPr>
            <w:tcW w:w="713" w:type="dxa"/>
            <w:vAlign w:val="center"/>
          </w:tcPr>
          <w:p w14:paraId="5F0287E8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29" w:type="dxa"/>
            <w:vAlign w:val="center"/>
          </w:tcPr>
          <w:p w14:paraId="7F24C8BD" w14:textId="61C5C361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1.2.3.3 </w:t>
            </w:r>
            <w:r w:rsidR="003035B3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M</w:t>
            </w: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inden egyéb nem likvid biztosíték</w:t>
            </w:r>
          </w:p>
          <w:p w14:paraId="4135E55C" w14:textId="05E6AB5F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32. cikkének (3) bekezdésének (c) pontja</w:t>
            </w:r>
            <w:r w:rsidR="00905B1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4BACC713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Minden egyéb, fenti sorokban nem jelentett nem likvid biztosíték.</w:t>
            </w:r>
          </w:p>
        </w:tc>
      </w:tr>
      <w:tr w:rsidR="00407CA6" w:rsidRPr="00407CA6" w14:paraId="5A79AB7F" w14:textId="77777777" w:rsidTr="00EF2859">
        <w:tc>
          <w:tcPr>
            <w:tcW w:w="713" w:type="dxa"/>
            <w:vAlign w:val="center"/>
          </w:tcPr>
          <w:p w14:paraId="35D0DFB9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410</w:t>
            </w:r>
          </w:p>
        </w:tc>
        <w:tc>
          <w:tcPr>
            <w:tcW w:w="8529" w:type="dxa"/>
            <w:vAlign w:val="center"/>
          </w:tcPr>
          <w:p w14:paraId="29239539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1.3 Összes beáramlás a biztosítéki csereügyletekből</w:t>
            </w:r>
          </w:p>
          <w:p w14:paraId="55207D74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itt kell jelenteni XXIV. melléklet C 75.00 tábla alapján számított biztosítéki csereügyletekből származó összes beáramlást.</w:t>
            </w:r>
          </w:p>
        </w:tc>
      </w:tr>
      <w:tr w:rsidR="00407CA6" w:rsidRPr="00407CA6" w14:paraId="6D7CC23C" w14:textId="77777777" w:rsidTr="00EF2859">
        <w:tc>
          <w:tcPr>
            <w:tcW w:w="713" w:type="dxa"/>
            <w:vAlign w:val="center"/>
          </w:tcPr>
          <w:p w14:paraId="08B5179C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420</w:t>
            </w:r>
          </w:p>
        </w:tc>
        <w:tc>
          <w:tcPr>
            <w:tcW w:w="8529" w:type="dxa"/>
            <w:vAlign w:val="center"/>
          </w:tcPr>
          <w:p w14:paraId="26576170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1.4 Az összes súlyozott beáramlás és az összes súlyozott kiáramlás különbsége, amelyek olyan ha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r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madik országból erednek, ahol devizakiviteli/-behozatali korlátozásokat alkalmaznak, vagy amelyek nem konvertibilis pénznemben denomináltak</w:t>
            </w:r>
          </w:p>
          <w:p w14:paraId="0141CE26" w14:textId="7D490219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 (8) bekezdése</w:t>
            </w:r>
            <w:r w:rsidR="00D91E6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548E2DB8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megfelelő 140, 150 és 160 oszlopban kell jelenteni azokat a súlyozott beáramlásokat, amelyek olyan harmadik országból erednek, ahol devizakiviteli/-behozatali korlátozásokat alkalmaznak, vagy amelyek nem konvertibilis pénznemben denomináltak. A beáramlásokat csökkenteni kell a C 73.00 tábla 1380 sor 60 oszlop cellában jelentett kiáramlással, és amennyiben a kapott összeg negatív, „0”-t kell jele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teni.</w:t>
            </w:r>
          </w:p>
        </w:tc>
      </w:tr>
      <w:tr w:rsidR="00407CA6" w:rsidRPr="00407CA6" w14:paraId="1E0A7DFB" w14:textId="77777777" w:rsidTr="00EF2859"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6346DA8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14:paraId="045FBB99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1.5 Többlet beáramlások egy kapcsolódó szakosított hitelintézettől</w:t>
            </w:r>
          </w:p>
          <w:p w14:paraId="67AC8FD5" w14:textId="74E267D3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Bizottság (EU) 2015/61 felhatalmazáson alapuló rendeletének 2. cikkének (3) bekezdésének (e) pontja és 33. cikkének (6) bekezdése</w:t>
            </w:r>
            <w:r w:rsidR="001C38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14:paraId="6216C182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hitelintézet konszolidált adatokat jelent a 140, 150 és 160 oszlopok megfelelőjében a szakosított hitelintézetektől származó, ugyanazon szakosított hitelintézet felé jelentett kiáramlásait meghaladó beáramlásairól, a Bizottság (EU) 2015/61 felhatalmazáson alapuló rendeletének 33. cikkének (3) és (4) bekezdése szerint. </w:t>
            </w:r>
          </w:p>
        </w:tc>
      </w:tr>
      <w:tr w:rsidR="00407CA6" w:rsidRPr="00407CA6" w14:paraId="0FA96DD7" w14:textId="77777777" w:rsidTr="00EF2859"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38FD34A" w14:textId="77777777" w:rsidR="00407CA6" w:rsidRPr="00407CA6" w:rsidRDefault="00407CA6" w:rsidP="00407CA6">
            <w:pPr>
              <w:spacing w:before="120" w:after="12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07CA6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TÁJÉKOZTATÓ ADATOK</w:t>
            </w:r>
          </w:p>
        </w:tc>
      </w:tr>
      <w:tr w:rsidR="00407CA6" w:rsidRPr="00407CA6" w14:paraId="6A3B2E92" w14:textId="77777777" w:rsidTr="00EF2859">
        <w:tc>
          <w:tcPr>
            <w:tcW w:w="713" w:type="dxa"/>
            <w:vAlign w:val="center"/>
          </w:tcPr>
          <w:p w14:paraId="71E78E2B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29" w:type="dxa"/>
            <w:vAlign w:val="center"/>
          </w:tcPr>
          <w:p w14:paraId="5B46093F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2 Kölcsönös függőségi viszonyban lévő beáramlások</w:t>
            </w:r>
          </w:p>
          <w:p w14:paraId="28DD98DE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itt kell jelenteni tájékoztató adatként azokat a függő beáramlásokat, amelyek nem szerepelnek a tábal első részében, mert kiáramlással szemben nettósításra kerültek. Minden beára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lás, amely nem került nettósításra kiáramlással szemben, a tábla első részének megfelelő sorában jelentendő.</w:t>
            </w:r>
          </w:p>
          <w:p w14:paraId="583E5477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Figyelemmel kell lenni arra, hogy ne történjen kettős számbavétel a kiáramlás tábla tartalmával.</w:t>
            </w:r>
          </w:p>
        </w:tc>
      </w:tr>
      <w:tr w:rsidR="00407CA6" w:rsidRPr="00407CA6" w14:paraId="6E36302C" w14:textId="77777777" w:rsidTr="00EF2859">
        <w:tc>
          <w:tcPr>
            <w:tcW w:w="713" w:type="dxa"/>
            <w:vAlign w:val="center"/>
          </w:tcPr>
          <w:p w14:paraId="7B7692F8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29" w:type="dxa"/>
            <w:vAlign w:val="center"/>
          </w:tcPr>
          <w:p w14:paraId="0EF11E92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3 Deviza beáramlások</w:t>
            </w:r>
          </w:p>
          <w:p w14:paraId="532E7EDC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Ezeket a tájékoztató adatokat devizánkénti adatszolgáltatás esetén kell tölteni.</w:t>
            </w:r>
          </w:p>
          <w:p w14:paraId="39C5A420" w14:textId="7AE54F0E" w:rsidR="00407CA6" w:rsidRPr="00407CA6" w:rsidRDefault="00407CA6" w:rsidP="00407CA6">
            <w:pPr>
              <w:spacing w:before="240" w:after="240" w:line="240" w:lineRule="auto"/>
              <w:rPr>
                <w:rFonts w:eastAsia="Calibri" w:cs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Jelentős deviza esetén töltendő, ahol a hitelintézetnek jelenteni kell a származékos ügyletekből eredő beáramlásokat (C 74.00 1.1.10 sor), amelyek a jelentős devizanemben kötött kétdevizás kamatcsere ügyletekből, deviza azonnali és határidős ügyletekből származnak a következő 30 napban. Szerződéses nettósítás csak ugyanazon deviza esetén lehetséges.</w:t>
            </w:r>
          </w:p>
        </w:tc>
      </w:tr>
      <w:tr w:rsidR="00407CA6" w:rsidRPr="00407CA6" w14:paraId="0F06DAC8" w14:textId="77777777" w:rsidTr="00EF2859">
        <w:tc>
          <w:tcPr>
            <w:tcW w:w="713" w:type="dxa"/>
            <w:vAlign w:val="center"/>
          </w:tcPr>
          <w:p w14:paraId="2FE2EBF1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29" w:type="dxa"/>
            <w:vAlign w:val="center"/>
          </w:tcPr>
          <w:p w14:paraId="2F823BDE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4 Csoporton vagy intézményvédelmi rendszeren belüli beáramlások</w:t>
            </w:r>
          </w:p>
          <w:p w14:paraId="323F79C8" w14:textId="66E02778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A hitelintézetnek ebben a sorban kell tájékoztató adatokat jelenteni az első részben jelentett olyan tranzakciókról (kivéve az 1.1.11. sor), amelyek esetében a partner leányvállalat vagy anyaintézmény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vagy csoporttag, vagy ugyanazon anyaintézmény másik leánycége, vagy a 83/349/EGK irányelv 12. cikk (1) </w:t>
            </w:r>
            <w:r w:rsidR="00C879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bekezdése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szerinti kapc</w:t>
            </w:r>
            <w:r w:rsidR="00283B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solatban állnak, vagy ugyanazon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113. cikkének (7) bekezdése szerinti intézményvédelmi rendszer tagjai, vagy központi intézménye, vagy kapcsolt hitelintézete az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10. cikke szerinti hálózatnak vagy szövetkezeti csoportnak.</w:t>
            </w:r>
          </w:p>
          <w:p w14:paraId="482FC818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hitelintézetnek a XXIV</w:t>
            </w:r>
            <w:r w:rsidR="00C879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melléklet C 74.00 tábla 460 sorában kell jelenteni</w:t>
            </w:r>
          </w:p>
          <w:p w14:paraId="6C1C23C6" w14:textId="3C007682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010, 020 és 030 oszlopban kell jelenteni a csoporton vagy intézményvédelmi rendszeren belüli esedékes pénzösszegeket/maximálisan lehívható összegeket, amelyek a csoporton vagy intézményvédelmi rendszeren belül ügylettípusonkénti és partnerenkénti pénzösszegek összegzése, és</w:t>
            </w:r>
          </w:p>
          <w:p w14:paraId="0E9541B8" w14:textId="77777777" w:rsidR="00407CA6" w:rsidRPr="00407CA6" w:rsidRDefault="00407CA6" w:rsidP="00101DCF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140, 150 és 160 oszlopban kell jelenteni a csoporton vagy intézményrendszeren belüli összes beáramlást, mely összegzés az ügylet- és partnertípusonkénti beáramlások össze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g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zése.</w:t>
            </w:r>
          </w:p>
        </w:tc>
      </w:tr>
      <w:tr w:rsidR="00407CA6" w:rsidRPr="00407CA6" w14:paraId="7A09FA93" w14:textId="77777777" w:rsidTr="00EF2859">
        <w:tc>
          <w:tcPr>
            <w:tcW w:w="713" w:type="dxa"/>
            <w:vAlign w:val="center"/>
          </w:tcPr>
          <w:p w14:paraId="1503E135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470</w:t>
            </w:r>
          </w:p>
        </w:tc>
        <w:tc>
          <w:tcPr>
            <w:tcW w:w="8529" w:type="dxa"/>
            <w:vAlign w:val="center"/>
          </w:tcPr>
          <w:p w14:paraId="50E36AB8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4.1 Nem pénzügyi ügyfelektől esedékes pénzösszegek (kivéve a központi bankokat)</w:t>
            </w:r>
          </w:p>
          <w:p w14:paraId="3F820516" w14:textId="68E00425" w:rsidR="00407CA6" w:rsidRPr="00407CA6" w:rsidRDefault="00407CA6" w:rsidP="002F7E8E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ezen a soron kell jelenteniük minden pénzösszeget, amelyek az 1.1.1 soron jele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tett nem pénzügyi ügyfelektől eredő pénzösszegként, és amelyek esetében a partner anyaintézmény vagy csoporttag, vagy ugyanazon anyaintézmény másik leánycége, vagy a 83/349/EGK irányelv 12. cikkének (1) bekezdése szerinti kapcsolatban állnak, vagy ugyanazon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113. cikkének (7) bekezdése szerinti intézményvédelmi rendszer tagjai, vagy központi intézmén</w:t>
            </w:r>
            <w:r w:rsidR="00283B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ye, vagy kapcsolt hitelintézete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az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</w:t>
            </w:r>
            <w:r w:rsidR="00DD529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10. cikke szerinti hálózatnak vagy szövetkezeti cs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o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portnak. </w:t>
            </w:r>
          </w:p>
        </w:tc>
      </w:tr>
      <w:tr w:rsidR="00407CA6" w:rsidRPr="00407CA6" w14:paraId="4D5375EA" w14:textId="77777777" w:rsidTr="00EF2859">
        <w:tc>
          <w:tcPr>
            <w:tcW w:w="713" w:type="dxa"/>
            <w:vAlign w:val="center"/>
          </w:tcPr>
          <w:p w14:paraId="6BDED495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29" w:type="dxa"/>
            <w:vAlign w:val="center"/>
          </w:tcPr>
          <w:p w14:paraId="5E8E49A5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4.2 Pénzügyi ügyfelektől esedékes pénzösszegek</w:t>
            </w:r>
          </w:p>
          <w:p w14:paraId="13AC1FFA" w14:textId="63FFE0CA" w:rsidR="00407CA6" w:rsidRPr="00407CA6" w:rsidRDefault="00407CA6" w:rsidP="002F7E8E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ezen a soron kell jelenteniük minden pénzösszeget, amelyek az 1.1.2 soron jele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tett pénzügyi ügyfelektől eredő pénzösszegként, és amelyek esetében a partner anyaintézmény vagy csoporttag, vagy ugyanazon anyaintézmény másik leánycége, vagy a 83/349/EGK irányelv 12. cikkének (1) bekezdése szerinti kapcsolatban állnak, vagy ugyanazon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113. cikkének (7) bekezdése szerinti intézményvédelmi rendszer tagjai, vagy központi intézménye, vagy kapcsolt h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="00283B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telintézete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az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</w:t>
            </w:r>
            <w:r w:rsidR="008B0E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10. cikke szerinti hálózatnak vagy szövetkezeti csoportnak. </w:t>
            </w:r>
          </w:p>
        </w:tc>
      </w:tr>
      <w:tr w:rsidR="00407CA6" w:rsidRPr="00407CA6" w14:paraId="3C2ADD2E" w14:textId="77777777" w:rsidTr="00EF2859">
        <w:tc>
          <w:tcPr>
            <w:tcW w:w="713" w:type="dxa"/>
            <w:vAlign w:val="center"/>
          </w:tcPr>
          <w:p w14:paraId="15DF5F69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29" w:type="dxa"/>
            <w:vAlign w:val="center"/>
          </w:tcPr>
          <w:p w14:paraId="355C0AF9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4.3 Fedezett ügyletek</w:t>
            </w:r>
          </w:p>
          <w:p w14:paraId="271DC568" w14:textId="755D6522" w:rsidR="00407CA6" w:rsidRPr="00407CA6" w:rsidRDefault="00407CA6" w:rsidP="002F7E8E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ezen a soron kell jelenteniük minden pénzösszeget, amely fedezett kölcsönügyletből vagy tőkepiac-vezérelt ügyletből származik, valamint a kapott biztosítékok teljes piaci értékét, melyeket az 1.2 részben már jelentett a Bizottság (EU) 2015/61 felhatalmazáson alapuló rendeletének 9.cikke szerinti értéken a 110-130 oszlopban és a partner anyaintézmény vagy csopor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tag, vagy ugyanazon anyaintézmény másik leánycége, vagy a 83/349/EGK irányelv 12. cikkének (1) bekezdése szerinti kapc</w:t>
            </w:r>
            <w:r w:rsidR="00283B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solatban állnak, vagy ugyanazon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113. cikkének (7) b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kezdése szerinti intézményvédelmi rendszer tagjai, vagy központi intézménye, vagy kapcsolt h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te</w:t>
            </w:r>
            <w:r w:rsidR="00283B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lintézete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az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10. cikke szerinti hálózatnak vagy szövetkezeti csoportnak</w:t>
            </w:r>
          </w:p>
        </w:tc>
      </w:tr>
      <w:tr w:rsidR="00407CA6" w:rsidRPr="00407CA6" w14:paraId="18E1DBF9" w14:textId="77777777" w:rsidTr="00EF2859">
        <w:tc>
          <w:tcPr>
            <w:tcW w:w="713" w:type="dxa"/>
            <w:vAlign w:val="center"/>
          </w:tcPr>
          <w:p w14:paraId="5374029B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29" w:type="dxa"/>
            <w:vAlign w:val="center"/>
          </w:tcPr>
          <w:p w14:paraId="2494C66F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4.4 30 napon belül lejáró értékpapírokból esedékes pénzösszegek</w:t>
            </w:r>
          </w:p>
          <w:p w14:paraId="7A8D46CB" w14:textId="11D464AC" w:rsidR="00407CA6" w:rsidRPr="00407CA6" w:rsidRDefault="00407CA6" w:rsidP="00283B87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ezen a soron kell jelenteniük minden pénzösszeget, amely az 1.1.5 soron jelentett, 30 napon belül lejáró értékpapírokból esedékes pénzösszeg, és az értékpapír kibocsátója any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intézmény vagy csoporttag, vagy ugyanazon anyaintézmény másik leánycége, vagy a 83/349/EGK irányelv 12. cikkének (1) bekezdése szerinti kapcsolatban állnak, vagy ugyanazon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let 113. cikkének (7) bekezdése szerinti intézményvédelmi rendszer tagjai, vagy központi intézménye, 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vagy kapcsolt hitelintézete az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10. cikke szerinti hálózatnak vagy szövetkezeti csoportnak.</w:t>
            </w:r>
          </w:p>
        </w:tc>
      </w:tr>
      <w:tr w:rsidR="00407CA6" w:rsidRPr="00407CA6" w14:paraId="023EBA0D" w14:textId="77777777" w:rsidTr="00EF2859">
        <w:tc>
          <w:tcPr>
            <w:tcW w:w="713" w:type="dxa"/>
            <w:vAlign w:val="center"/>
          </w:tcPr>
          <w:p w14:paraId="2BC0AD75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8529" w:type="dxa"/>
            <w:vAlign w:val="center"/>
          </w:tcPr>
          <w:p w14:paraId="19CB3EB8" w14:textId="1AEA8F68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4.5 Bármely más beáramlás csoporton vagy intézményvédelmi rendszeren belül</w:t>
            </w:r>
          </w:p>
          <w:p w14:paraId="2531CAD3" w14:textId="1C26C9D7" w:rsidR="00407CA6" w:rsidRPr="00407CA6" w:rsidRDefault="00407CA6" w:rsidP="00283B87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 hitelintézeteknek ezen a soron kell jelenteniük minden csoporton vagy intézményvédelmi rendsz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ren belüli egyéb beáramlást, melyet jelentett az 1.1.3 – 1.1.12 sorokon (kivéve 1.1.5 és 1.1.11) és a partner anyaintézmény vagy csoporttag, vagy ugyanazon anyaintézmény másik leánycége, vagy a 83/349/EGK irányelv 12. cikkének (1) bekezdése szerinti kapcsolatban állnak, vagy ugyanazon 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113. cikkének (7) bekezdése szerinti intézményvédelmi rendszer tagjai, vagy központi intézménye, vagy kapcsolt hitelintézete az 575/2013</w:t>
            </w:r>
            <w:r w:rsidR="002F7E8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/EU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 rendelet 10. cikke szerinti hálóza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nak vagy szövetkezeti csoportnak.</w:t>
            </w:r>
          </w:p>
        </w:tc>
      </w:tr>
      <w:tr w:rsidR="00407CA6" w:rsidRPr="00407CA6" w14:paraId="6BB39316" w14:textId="77777777" w:rsidTr="00EF2859">
        <w:tc>
          <w:tcPr>
            <w:tcW w:w="713" w:type="dxa"/>
            <w:vAlign w:val="center"/>
          </w:tcPr>
          <w:p w14:paraId="3B743D72" w14:textId="77777777" w:rsidR="00407CA6" w:rsidRPr="00407CA6" w:rsidRDefault="00407CA6" w:rsidP="00407CA6">
            <w:pPr>
              <w:keepLines/>
              <w:spacing w:before="120" w:after="12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07CA6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29" w:type="dxa"/>
            <w:vAlign w:val="center"/>
          </w:tcPr>
          <w:p w14:paraId="75660525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4.6 Csoport vagy intézményvédelmi rendszer tagja által nyújtott, le nem hívott hitel- vagy likviditá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s</w:t>
            </w:r>
            <w:r w:rsidRPr="00407C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keretből eredő beáramlások, amennyiben az illetékes hatóságok nem engedélyezték a magasabb beáramlási arány alkalmazását</w:t>
            </w:r>
          </w:p>
          <w:p w14:paraId="65E05F44" w14:textId="77777777" w:rsidR="00407CA6" w:rsidRPr="00407CA6" w:rsidRDefault="00407CA6" w:rsidP="00407CA6">
            <w:pPr>
              <w:spacing w:before="240" w:after="24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Csoport vagy intézményvédelmi rendszer tagja által nyújtott, le nem hívott hitel- vagy likviditáskere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t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ből eredő beáramlások, amennyiben az illetékes hatóságok a Bizottság (EU) 2015/61 felhatalmazáson alapuló rendeletének 34. cikke alapján nem engedélyezték a magasabb beáramlási arány alkalm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407CA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zását</w:t>
            </w:r>
            <w:r w:rsidR="00C879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</w:tbl>
    <w:p w14:paraId="631E9599" w14:textId="77777777" w:rsidR="00407CA6" w:rsidRDefault="00407CA6" w:rsidP="00BE06B5">
      <w:pPr>
        <w:spacing w:before="320" w:afterLines="200" w:after="480"/>
        <w:rPr>
          <w:rFonts w:asciiTheme="majorHAnsi" w:hAnsiTheme="majorHAnsi" w:cs="Arial"/>
          <w:szCs w:val="20"/>
        </w:rPr>
      </w:pPr>
    </w:p>
    <w:p w14:paraId="275DE9EC" w14:textId="77777777" w:rsidR="00407CA6" w:rsidRDefault="00407CA6" w:rsidP="00407CA6">
      <w:r>
        <w:br w:type="page"/>
      </w:r>
    </w:p>
    <w:p w14:paraId="58E3C652" w14:textId="77777777" w:rsidR="00EF2859" w:rsidRPr="00EF2859" w:rsidRDefault="00EF2859" w:rsidP="00EF2859">
      <w:pPr>
        <w:spacing w:before="120" w:after="120" w:line="240" w:lineRule="auto"/>
        <w:jc w:val="center"/>
        <w:rPr>
          <w:rFonts w:eastAsia="PMingLiU" w:cs="Times New Roman"/>
          <w:b/>
          <w:sz w:val="24"/>
          <w:szCs w:val="20"/>
          <w:lang w:eastAsia="de-DE"/>
        </w:rPr>
      </w:pPr>
      <w:bookmarkStart w:id="3" w:name="_Toc310414964"/>
      <w:r w:rsidRPr="00EF2859">
        <w:rPr>
          <w:rFonts w:eastAsia="PMingLiU" w:cs="Times New Roman"/>
          <w:b/>
          <w:sz w:val="24"/>
          <w:szCs w:val="20"/>
          <w:lang w:eastAsia="de-DE"/>
        </w:rPr>
        <w:lastRenderedPageBreak/>
        <w:t>4. RÉSZ: BIZTOSÍTÉKI CSEREÜGYLETEK</w:t>
      </w:r>
    </w:p>
    <w:bookmarkEnd w:id="3"/>
    <w:p w14:paraId="353C0B7C" w14:textId="77777777" w:rsidR="00EF2859" w:rsidRPr="008B5718" w:rsidRDefault="00EF2859" w:rsidP="00101DCF">
      <w:pPr>
        <w:pStyle w:val="Cmsor1"/>
        <w:numPr>
          <w:ilvl w:val="0"/>
          <w:numId w:val="35"/>
        </w:numPr>
        <w:rPr>
          <w:color w:val="auto"/>
        </w:rPr>
      </w:pPr>
      <w:r w:rsidRPr="008B5718">
        <w:rPr>
          <w:color w:val="auto"/>
        </w:rPr>
        <w:t>Biztosítéki csereügyletek</w:t>
      </w:r>
    </w:p>
    <w:p w14:paraId="5B9169C3" w14:textId="77777777" w:rsidR="00EF2859" w:rsidRPr="008B5718" w:rsidRDefault="00EF2859" w:rsidP="008B5718">
      <w:pPr>
        <w:pStyle w:val="Cmsor2"/>
        <w:rPr>
          <w:color w:val="auto"/>
        </w:rPr>
      </w:pPr>
      <w:r w:rsidRPr="008B5718">
        <w:rPr>
          <w:color w:val="auto"/>
        </w:rPr>
        <w:t>Általános rendelkezések</w:t>
      </w:r>
    </w:p>
    <w:p w14:paraId="7493563F" w14:textId="7777777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>Minden olyan 30 napon belül lejáró tranzakciót ebben a táblázatban kell jelenteni, melyek során nem-készpénz eszközök cseréje történik nem-készpénz eszközökre. Szürkével vannak jelölve azok a tételek, am</w:t>
      </w:r>
      <w:r w:rsidRPr="004E14F5">
        <w:rPr>
          <w:rFonts w:asciiTheme="majorHAnsi" w:hAnsiTheme="majorHAnsi" w:cs="Arial"/>
          <w:szCs w:val="20"/>
        </w:rPr>
        <w:t>e</w:t>
      </w:r>
      <w:r w:rsidRPr="004E14F5">
        <w:rPr>
          <w:rFonts w:asciiTheme="majorHAnsi" w:hAnsiTheme="majorHAnsi" w:cs="Arial"/>
          <w:szCs w:val="20"/>
        </w:rPr>
        <w:t>lyeket nem kell a hitelintézeteknek kitölteniük.</w:t>
      </w:r>
    </w:p>
    <w:p w14:paraId="5360AB1E" w14:textId="7777777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>A 30 napon belül lejáró biztosítéki csereügyletek kölcsönvett eszközeinek likviditási értékét a hitelezett es</w:t>
      </w:r>
      <w:r w:rsidRPr="004E14F5">
        <w:rPr>
          <w:rFonts w:asciiTheme="majorHAnsi" w:hAnsiTheme="majorHAnsi" w:cs="Arial"/>
          <w:szCs w:val="20"/>
        </w:rPr>
        <w:t>z</w:t>
      </w:r>
      <w:r w:rsidRPr="004E14F5">
        <w:rPr>
          <w:rFonts w:asciiTheme="majorHAnsi" w:hAnsiTheme="majorHAnsi" w:cs="Arial"/>
          <w:szCs w:val="20"/>
        </w:rPr>
        <w:t>közök likviditási értékén felül kiáramlásként kell figyelembe venni, kivéve központi bankkal való szerződés esetén.</w:t>
      </w:r>
    </w:p>
    <w:p w14:paraId="3E917DE2" w14:textId="7777777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>A 30 napon belül lejáró biztosítéki csereügyletek hitelezett eszközeinek a kölcsönvett likviditási eszközein f</w:t>
      </w:r>
      <w:r w:rsidRPr="004E14F5">
        <w:rPr>
          <w:rFonts w:asciiTheme="majorHAnsi" w:hAnsiTheme="majorHAnsi" w:cs="Arial"/>
          <w:szCs w:val="20"/>
        </w:rPr>
        <w:t>e</w:t>
      </w:r>
      <w:r w:rsidRPr="004E14F5">
        <w:rPr>
          <w:rFonts w:asciiTheme="majorHAnsi" w:hAnsiTheme="majorHAnsi" w:cs="Arial"/>
          <w:szCs w:val="20"/>
        </w:rPr>
        <w:t>lüli értékét beáramlásként kell figyelembe venni, kivéve, ha a szerzett biztosíték újra elkülönítésre kerül a rövid pozíciók fedezésére, melyek 30 napon túl meghosszabbíthatók.</w:t>
      </w:r>
    </w:p>
    <w:p w14:paraId="6E9714BA" w14:textId="7777777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>Likvid eszközök likviditási értéke a 9. Cikk alapján kerül meghatározásra, a nem likvid eszközök likviditási é</w:t>
      </w:r>
      <w:r w:rsidRPr="004E14F5">
        <w:rPr>
          <w:rFonts w:asciiTheme="majorHAnsi" w:hAnsiTheme="majorHAnsi" w:cs="Arial"/>
          <w:szCs w:val="20"/>
        </w:rPr>
        <w:t>r</w:t>
      </w:r>
      <w:r w:rsidRPr="004E14F5">
        <w:rPr>
          <w:rFonts w:asciiTheme="majorHAnsi" w:hAnsiTheme="majorHAnsi" w:cs="Arial"/>
          <w:szCs w:val="20"/>
        </w:rPr>
        <w:t>téke nulla.</w:t>
      </w:r>
    </w:p>
    <w:p w14:paraId="3503044E" w14:textId="7777777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>Minden egyes biztosítéki csereügylet külön értékelendő valamint az áramlások - kiáramlás és beáramlás es</w:t>
      </w:r>
      <w:r w:rsidRPr="004E14F5">
        <w:rPr>
          <w:rFonts w:asciiTheme="majorHAnsi" w:hAnsiTheme="majorHAnsi" w:cs="Arial"/>
          <w:szCs w:val="20"/>
        </w:rPr>
        <w:t>e</w:t>
      </w:r>
      <w:r w:rsidRPr="004E14F5">
        <w:rPr>
          <w:rFonts w:asciiTheme="majorHAnsi" w:hAnsiTheme="majorHAnsi" w:cs="Arial"/>
          <w:szCs w:val="20"/>
        </w:rPr>
        <w:t>tén is - (tranzakciónként) a megfelelő sorban jelentendők. Ha egy ügylethez többféle biztosíték tartozik (pl. fedezeti portfólió), akkor a jelentésben részekre kell bontani a táblázat sorainak megfelelően, és eszerint kell őket figyelembe venni.</w:t>
      </w:r>
    </w:p>
    <w:p w14:paraId="4FC8EAFE" w14:textId="7777777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>Jelentős devizanemekben történő jelentés esetén a jelentett egyenleg csak a vonatkozó devizákban den</w:t>
      </w:r>
      <w:r w:rsidRPr="004E14F5">
        <w:rPr>
          <w:rFonts w:asciiTheme="majorHAnsi" w:hAnsiTheme="majorHAnsi" w:cs="Arial"/>
          <w:szCs w:val="20"/>
        </w:rPr>
        <w:t>o</w:t>
      </w:r>
      <w:r w:rsidRPr="004E14F5">
        <w:rPr>
          <w:rFonts w:asciiTheme="majorHAnsi" w:hAnsiTheme="majorHAnsi" w:cs="Arial"/>
          <w:szCs w:val="20"/>
        </w:rPr>
        <w:t>mináltakat tartalmazhatja, ezáltal biztosítva, hogy a deviza gapek helyesen jelenjenek meg. Ez azt jelentheti, hogy az adott tranzakciónak csak az egyik iránya kerül jelentésre a vonatkozó devizák sablonon, megfelelő hatással a többlet likviditás értékére.</w:t>
      </w:r>
    </w:p>
    <w:p w14:paraId="69EBF720" w14:textId="2640FE0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 xml:space="preserve">A hitelintézeteknek a táblázatot a Bizottság (EU) 2015/61 felhatalmazáson alapuló rendeletének 4. cikkének </w:t>
      </w:r>
      <w:r w:rsidR="00CA42CB" w:rsidRPr="008B5718">
        <w:rPr>
          <w:rFonts w:asciiTheme="majorHAnsi" w:hAnsiTheme="majorHAnsi" w:cs="Arial"/>
          <w:szCs w:val="20"/>
        </w:rPr>
        <w:t>(</w:t>
      </w:r>
      <w:r w:rsidRPr="004E14F5">
        <w:rPr>
          <w:rFonts w:asciiTheme="majorHAnsi" w:hAnsiTheme="majorHAnsi" w:cs="Arial"/>
          <w:szCs w:val="20"/>
        </w:rPr>
        <w:t>5</w:t>
      </w:r>
      <w:r w:rsidR="00CA42CB" w:rsidRPr="008B5718">
        <w:rPr>
          <w:rFonts w:asciiTheme="majorHAnsi" w:hAnsiTheme="majorHAnsi" w:cs="Arial"/>
          <w:szCs w:val="20"/>
        </w:rPr>
        <w:t>)</w:t>
      </w:r>
      <w:r w:rsidRPr="004E14F5">
        <w:rPr>
          <w:rFonts w:asciiTheme="majorHAnsi" w:hAnsiTheme="majorHAnsi" w:cs="Arial"/>
          <w:szCs w:val="20"/>
        </w:rPr>
        <w:t xml:space="preserve"> bekezdésével összhangban a megfelelő devizákban kell jelenteniük.</w:t>
      </w:r>
    </w:p>
    <w:p w14:paraId="1C747333" w14:textId="7777777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ind w:left="714" w:hanging="357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>30 napon belüli csak biztosítékkal fedezett derivatív ügyletekből eredő áramlásokat a tábla 090-120 oszl</w:t>
      </w:r>
      <w:r w:rsidRPr="004E14F5">
        <w:rPr>
          <w:rFonts w:asciiTheme="majorHAnsi" w:hAnsiTheme="majorHAnsi" w:cs="Arial"/>
          <w:szCs w:val="20"/>
        </w:rPr>
        <w:t>o</w:t>
      </w:r>
      <w:r w:rsidRPr="004E14F5">
        <w:rPr>
          <w:rFonts w:asciiTheme="majorHAnsi" w:hAnsiTheme="majorHAnsi" w:cs="Arial"/>
          <w:szCs w:val="20"/>
        </w:rPr>
        <w:t>pában kell jelenteni, nem pedig a 010-080 oszlopokban.</w:t>
      </w:r>
    </w:p>
    <w:p w14:paraId="3A742692" w14:textId="16546D30" w:rsidR="00EF2859" w:rsidRPr="008B5718" w:rsidRDefault="00EF2859" w:rsidP="008B5718">
      <w:pPr>
        <w:pStyle w:val="Cmsor2"/>
        <w:rPr>
          <w:color w:val="auto"/>
        </w:rPr>
      </w:pPr>
      <w:r w:rsidRPr="008B5718">
        <w:rPr>
          <w:color w:val="auto"/>
        </w:rPr>
        <w:t>Speciális rendelkezések</w:t>
      </w:r>
    </w:p>
    <w:p w14:paraId="14F88DFA" w14:textId="472F7C46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 xml:space="preserve">Az intézményeknek csak a II. </w:t>
      </w:r>
      <w:r w:rsidR="0063391A" w:rsidRPr="004E14F5">
        <w:rPr>
          <w:rFonts w:asciiTheme="majorHAnsi" w:hAnsiTheme="majorHAnsi" w:cs="Arial"/>
          <w:szCs w:val="20"/>
        </w:rPr>
        <w:t>c</w:t>
      </w:r>
      <w:r w:rsidRPr="004E14F5">
        <w:rPr>
          <w:rFonts w:asciiTheme="majorHAnsi" w:hAnsiTheme="majorHAnsi" w:cs="Arial"/>
          <w:szCs w:val="20"/>
        </w:rPr>
        <w:t>ím szerint likvid eszköznek minősülő 1</w:t>
      </w:r>
      <w:proofErr w:type="gramStart"/>
      <w:r w:rsidRPr="004E14F5">
        <w:rPr>
          <w:rFonts w:asciiTheme="majorHAnsi" w:hAnsiTheme="majorHAnsi" w:cs="Arial"/>
          <w:szCs w:val="20"/>
        </w:rPr>
        <w:t>.,</w:t>
      </w:r>
      <w:proofErr w:type="gramEnd"/>
      <w:r w:rsidRPr="004E14F5">
        <w:rPr>
          <w:rFonts w:asciiTheme="majorHAnsi" w:hAnsiTheme="majorHAnsi" w:cs="Arial"/>
          <w:szCs w:val="20"/>
        </w:rPr>
        <w:t xml:space="preserve"> 2A. és 2B. szintű eszközöket kell jele</w:t>
      </w:r>
      <w:r w:rsidRPr="004E14F5">
        <w:rPr>
          <w:rFonts w:asciiTheme="majorHAnsi" w:hAnsiTheme="majorHAnsi" w:cs="Arial"/>
          <w:szCs w:val="20"/>
        </w:rPr>
        <w:t>n</w:t>
      </w:r>
      <w:r w:rsidRPr="004E14F5">
        <w:rPr>
          <w:rFonts w:asciiTheme="majorHAnsi" w:hAnsiTheme="majorHAnsi" w:cs="Arial"/>
          <w:szCs w:val="20"/>
        </w:rPr>
        <w:t xml:space="preserve">tenie. Biztosítéki kölcsönöknél ez olyan eszközökre vonatkozik, melyek lejáratkor a II. </w:t>
      </w:r>
      <w:r w:rsidR="0063391A" w:rsidRPr="004E14F5">
        <w:rPr>
          <w:rFonts w:asciiTheme="majorHAnsi" w:hAnsiTheme="majorHAnsi" w:cs="Arial"/>
          <w:szCs w:val="20"/>
        </w:rPr>
        <w:t>c</w:t>
      </w:r>
      <w:r w:rsidRPr="004E14F5">
        <w:rPr>
          <w:rFonts w:asciiTheme="majorHAnsi" w:hAnsiTheme="majorHAnsi" w:cs="Arial"/>
          <w:szCs w:val="20"/>
        </w:rPr>
        <w:t xml:space="preserve">ímmel összhangban likvid eszköznek minősülnek, beleértve a </w:t>
      </w:r>
      <w:r w:rsidR="002415DE" w:rsidRPr="008B5718">
        <w:rPr>
          <w:rFonts w:asciiTheme="majorHAnsi" w:hAnsiTheme="majorHAnsi" w:cs="Arial"/>
          <w:szCs w:val="20"/>
        </w:rPr>
        <w:t xml:space="preserve">Bizottság (EU) 2015/61 felhatalmazáson alapuló rendeletének </w:t>
      </w:r>
      <w:r w:rsidRPr="004E14F5">
        <w:rPr>
          <w:rFonts w:asciiTheme="majorHAnsi" w:hAnsiTheme="majorHAnsi" w:cs="Arial"/>
          <w:szCs w:val="20"/>
        </w:rPr>
        <w:t>7. és 8. cikkében meghatározott általános és operatív követelményeket.</w:t>
      </w:r>
    </w:p>
    <w:p w14:paraId="1E6B689E" w14:textId="52173938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 xml:space="preserve">Abban az esetben, ha a biztosíték megfelel a </w:t>
      </w:r>
      <w:r w:rsidR="0024043B" w:rsidRPr="008B5718">
        <w:rPr>
          <w:rFonts w:asciiTheme="majorHAnsi" w:hAnsiTheme="majorHAnsi" w:cs="Arial"/>
          <w:szCs w:val="20"/>
        </w:rPr>
        <w:t xml:space="preserve">Bizottság (EU) 2015/61 felhatalmazáson alapuló rendeletének </w:t>
      </w:r>
      <w:r w:rsidRPr="004E14F5">
        <w:rPr>
          <w:rFonts w:asciiTheme="majorHAnsi" w:hAnsiTheme="majorHAnsi" w:cs="Arial"/>
          <w:szCs w:val="20"/>
        </w:rPr>
        <w:t xml:space="preserve">10-19. cikkében megfogalmazott 1., 2A. vagy 2B. szintű kritériumoknak, de a II. </w:t>
      </w:r>
      <w:r w:rsidR="0063391A" w:rsidRPr="004E14F5">
        <w:rPr>
          <w:rFonts w:asciiTheme="majorHAnsi" w:hAnsiTheme="majorHAnsi" w:cs="Arial"/>
          <w:szCs w:val="20"/>
        </w:rPr>
        <w:t>c</w:t>
      </w:r>
      <w:r w:rsidRPr="004E14F5">
        <w:rPr>
          <w:rFonts w:asciiTheme="majorHAnsi" w:hAnsiTheme="majorHAnsi" w:cs="Arial"/>
          <w:szCs w:val="20"/>
        </w:rPr>
        <w:t>ím szerint nem minősül li</w:t>
      </w:r>
      <w:r w:rsidRPr="004E14F5">
        <w:rPr>
          <w:rFonts w:asciiTheme="majorHAnsi" w:hAnsiTheme="majorHAnsi" w:cs="Arial"/>
          <w:szCs w:val="20"/>
        </w:rPr>
        <w:t>k</w:t>
      </w:r>
      <w:r w:rsidRPr="004E14F5">
        <w:rPr>
          <w:rFonts w:asciiTheme="majorHAnsi" w:hAnsiTheme="majorHAnsi" w:cs="Arial"/>
          <w:szCs w:val="20"/>
        </w:rPr>
        <w:t xml:space="preserve">vid eszköznek, beleértve </w:t>
      </w:r>
      <w:proofErr w:type="gramStart"/>
      <w:r w:rsidRPr="004E14F5">
        <w:rPr>
          <w:rFonts w:asciiTheme="majorHAnsi" w:hAnsiTheme="majorHAnsi" w:cs="Arial"/>
          <w:szCs w:val="20"/>
        </w:rPr>
        <w:t>ezen</w:t>
      </w:r>
      <w:proofErr w:type="gramEnd"/>
      <w:r w:rsidRPr="004E14F5">
        <w:rPr>
          <w:rFonts w:asciiTheme="majorHAnsi" w:hAnsiTheme="majorHAnsi" w:cs="Arial"/>
          <w:szCs w:val="20"/>
        </w:rPr>
        <w:t xml:space="preserve"> rendelet 7. és 8. cikkében meghatározott általános és operatív követelm</w:t>
      </w:r>
      <w:r w:rsidRPr="004E14F5">
        <w:rPr>
          <w:rFonts w:asciiTheme="majorHAnsi" w:hAnsiTheme="majorHAnsi" w:cs="Arial"/>
          <w:szCs w:val="20"/>
        </w:rPr>
        <w:t>é</w:t>
      </w:r>
      <w:r w:rsidRPr="004E14F5">
        <w:rPr>
          <w:rFonts w:asciiTheme="majorHAnsi" w:hAnsiTheme="majorHAnsi" w:cs="Arial"/>
          <w:szCs w:val="20"/>
        </w:rPr>
        <w:t>nyeket, akkor a biztosíték nem tekinthető likvidnek. Hasonlóképpen, amikor egy intézmény deviza részv</w:t>
      </w:r>
      <w:r w:rsidRPr="004E14F5">
        <w:rPr>
          <w:rFonts w:asciiTheme="majorHAnsi" w:hAnsiTheme="majorHAnsi" w:cs="Arial"/>
          <w:szCs w:val="20"/>
        </w:rPr>
        <w:t>é</w:t>
      </w:r>
      <w:r w:rsidRPr="004E14F5">
        <w:rPr>
          <w:rFonts w:asciiTheme="majorHAnsi" w:hAnsiTheme="majorHAnsi" w:cs="Arial"/>
          <w:szCs w:val="20"/>
        </w:rPr>
        <w:lastRenderedPageBreak/>
        <w:t>nyeinek, vagy devizában lévő központi kormányzattól vagy banktól származó eszközeinek, vagy hazai dev</w:t>
      </w:r>
      <w:r w:rsidRPr="004E14F5">
        <w:rPr>
          <w:rFonts w:asciiTheme="majorHAnsi" w:hAnsiTheme="majorHAnsi" w:cs="Arial"/>
          <w:szCs w:val="20"/>
        </w:rPr>
        <w:t>i</w:t>
      </w:r>
      <w:r w:rsidRPr="004E14F5">
        <w:rPr>
          <w:rFonts w:asciiTheme="majorHAnsi" w:hAnsiTheme="majorHAnsi" w:cs="Arial"/>
          <w:szCs w:val="20"/>
        </w:rPr>
        <w:t>zában lévő központi kormányzattól vagy központi banktól származó eszközeinek csak egy részét veheti figy</w:t>
      </w:r>
      <w:r w:rsidRPr="004E14F5">
        <w:rPr>
          <w:rFonts w:asciiTheme="majorHAnsi" w:hAnsiTheme="majorHAnsi" w:cs="Arial"/>
          <w:szCs w:val="20"/>
        </w:rPr>
        <w:t>e</w:t>
      </w:r>
      <w:r w:rsidRPr="004E14F5">
        <w:rPr>
          <w:rFonts w:asciiTheme="majorHAnsi" w:hAnsiTheme="majorHAnsi" w:cs="Arial"/>
          <w:szCs w:val="20"/>
        </w:rPr>
        <w:t>lembe magas minőségű likvid eszközeiben, akkor csak a figyelembe vehető részt kell jelenteni az 1</w:t>
      </w:r>
      <w:proofErr w:type="gramStart"/>
      <w:r w:rsidRPr="004E14F5">
        <w:rPr>
          <w:rFonts w:asciiTheme="majorHAnsi" w:hAnsiTheme="majorHAnsi" w:cs="Arial"/>
          <w:szCs w:val="20"/>
        </w:rPr>
        <w:t>.,</w:t>
      </w:r>
      <w:proofErr w:type="gramEnd"/>
      <w:r w:rsidRPr="004E14F5">
        <w:rPr>
          <w:rFonts w:asciiTheme="majorHAnsi" w:hAnsiTheme="majorHAnsi" w:cs="Arial"/>
          <w:szCs w:val="20"/>
        </w:rPr>
        <w:t xml:space="preserve"> 2A. és 2B. szintű sorokban (lásd 12. cikk (1 c i-től iii-ig) és 10. cikk (1 </w:t>
      </w:r>
      <w:r w:rsidR="00BF4DF2">
        <w:rPr>
          <w:rFonts w:asciiTheme="majorHAnsi" w:hAnsiTheme="majorHAnsi" w:cs="Arial"/>
          <w:szCs w:val="20"/>
        </w:rPr>
        <w:t>(</w:t>
      </w:r>
      <w:r w:rsidRPr="004E14F5">
        <w:rPr>
          <w:rFonts w:asciiTheme="majorHAnsi" w:hAnsiTheme="majorHAnsi" w:cs="Arial"/>
          <w:szCs w:val="20"/>
        </w:rPr>
        <w:t>d)). Ahol az adott eszközt biztosítékként has</w:t>
      </w:r>
      <w:r w:rsidRPr="004E14F5">
        <w:rPr>
          <w:rFonts w:asciiTheme="majorHAnsi" w:hAnsiTheme="majorHAnsi" w:cs="Arial"/>
          <w:szCs w:val="20"/>
        </w:rPr>
        <w:t>z</w:t>
      </w:r>
      <w:r w:rsidRPr="004E14F5">
        <w:rPr>
          <w:rFonts w:asciiTheme="majorHAnsi" w:hAnsiTheme="majorHAnsi" w:cs="Arial"/>
          <w:szCs w:val="20"/>
        </w:rPr>
        <w:t>nálják, azonban az meghaladja a likvid eszközként figyelembe vehető értéket, a többlet értéket a nem likvid eszközök részben kell jelenteni.</w:t>
      </w:r>
    </w:p>
    <w:p w14:paraId="1999431A" w14:textId="77777777" w:rsidR="00EF2859" w:rsidRPr="004E14F5" w:rsidRDefault="00EF2859" w:rsidP="00101DCF">
      <w:pPr>
        <w:pStyle w:val="Listaszerbekezds"/>
        <w:numPr>
          <w:ilvl w:val="0"/>
          <w:numId w:val="36"/>
        </w:numPr>
        <w:spacing w:before="320" w:afterLines="100" w:after="240"/>
        <w:contextualSpacing w:val="0"/>
        <w:rPr>
          <w:rFonts w:asciiTheme="majorHAnsi" w:hAnsiTheme="majorHAnsi" w:cs="Arial"/>
          <w:szCs w:val="20"/>
        </w:rPr>
      </w:pPr>
      <w:r w:rsidRPr="004E14F5">
        <w:rPr>
          <w:rFonts w:asciiTheme="majorHAnsi" w:hAnsiTheme="majorHAnsi" w:cs="Arial"/>
          <w:szCs w:val="20"/>
        </w:rPr>
        <w:t>Azok a biztosítéki csereügyletek, melyek 2-es szintű eszközöket tartalmaznak, a megfelelő 2A. eszközök so</w:t>
      </w:r>
      <w:r w:rsidRPr="004E14F5">
        <w:rPr>
          <w:rFonts w:asciiTheme="majorHAnsi" w:hAnsiTheme="majorHAnsi" w:cs="Arial"/>
          <w:szCs w:val="20"/>
        </w:rPr>
        <w:t>r</w:t>
      </w:r>
      <w:r w:rsidRPr="004E14F5">
        <w:rPr>
          <w:rFonts w:asciiTheme="majorHAnsi" w:hAnsiTheme="majorHAnsi" w:cs="Arial"/>
          <w:szCs w:val="20"/>
        </w:rPr>
        <w:t>ban jelentendők, akkor is, ha követik az Alternatív Likviditási Megközelítést (pl. ne kerüljön át 2A. szintű es</w:t>
      </w:r>
      <w:r w:rsidRPr="004E14F5">
        <w:rPr>
          <w:rFonts w:asciiTheme="majorHAnsi" w:hAnsiTheme="majorHAnsi" w:cs="Arial"/>
          <w:szCs w:val="20"/>
        </w:rPr>
        <w:t>z</w:t>
      </w:r>
      <w:r w:rsidRPr="004E14F5">
        <w:rPr>
          <w:rFonts w:asciiTheme="majorHAnsi" w:hAnsiTheme="majorHAnsi" w:cs="Arial"/>
          <w:szCs w:val="20"/>
        </w:rPr>
        <w:t>köz az 1-es szintűbe a biztosítéki csereügyletek jelentésben)</w:t>
      </w:r>
    </w:p>
    <w:p w14:paraId="27AFFDC9" w14:textId="77777777" w:rsidR="00EF2859" w:rsidRPr="00D32842" w:rsidRDefault="00EF2859" w:rsidP="00D32842">
      <w:pPr>
        <w:spacing w:before="320" w:afterLines="100" w:after="240"/>
        <w:rPr>
          <w:rFonts w:asciiTheme="majorHAnsi" w:hAnsiTheme="majorHAnsi" w:cs="Arial"/>
          <w:b/>
          <w:sz w:val="22"/>
        </w:rPr>
      </w:pPr>
      <w:r w:rsidRPr="00D32842">
        <w:rPr>
          <w:rFonts w:asciiTheme="majorHAnsi" w:hAnsiTheme="majorHAnsi" w:cs="Arial"/>
          <w:b/>
          <w:sz w:val="22"/>
        </w:rPr>
        <w:t>Biztosítéki csereügyletek altábla</w:t>
      </w:r>
    </w:p>
    <w:p w14:paraId="25A7CA7C" w14:textId="5FFAFC9F" w:rsidR="00EF2859" w:rsidRPr="00D32842" w:rsidRDefault="00EF2859" w:rsidP="00D32842">
      <w:pPr>
        <w:spacing w:before="320" w:afterLines="100" w:after="240"/>
        <w:rPr>
          <w:rFonts w:asciiTheme="majorHAnsi" w:hAnsiTheme="majorHAnsi" w:cs="Arial"/>
          <w:b/>
          <w:sz w:val="22"/>
        </w:rPr>
      </w:pPr>
      <w:r w:rsidRPr="00D32842">
        <w:rPr>
          <w:rFonts w:asciiTheme="majorHAnsi" w:hAnsiTheme="majorHAnsi" w:cs="Arial"/>
          <w:b/>
          <w:sz w:val="22"/>
        </w:rPr>
        <w:t xml:space="preserve">Az egyes oszlopokhoz tartozó </w:t>
      </w:r>
      <w:r w:rsidR="002E5098" w:rsidRPr="00D32842">
        <w:rPr>
          <w:rFonts w:asciiTheme="majorHAnsi" w:hAnsiTheme="majorHAnsi" w:cs="Arial"/>
          <w:b/>
          <w:sz w:val="22"/>
        </w:rPr>
        <w:t>iránymutatások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EF2859" w:rsidRPr="00EF2859" w14:paraId="2E3AC5A3" w14:textId="77777777" w:rsidTr="00B43698">
        <w:tc>
          <w:tcPr>
            <w:tcW w:w="1135" w:type="dxa"/>
            <w:shd w:val="clear" w:color="auto" w:fill="auto"/>
          </w:tcPr>
          <w:p w14:paraId="310FAEF2" w14:textId="77777777" w:rsidR="00EF2859" w:rsidRPr="0035465A" w:rsidRDefault="00EF2859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  <w:u w:val="single"/>
              </w:rPr>
            </w:pPr>
            <w:r w:rsidRPr="0035465A">
              <w:rPr>
                <w:rFonts w:asciiTheme="majorHAnsi" w:hAnsiTheme="majorHAnsi" w:cs="Arial"/>
                <w:szCs w:val="20"/>
                <w:u w:val="single"/>
              </w:rPr>
              <w:t>Oszlop</w:t>
            </w:r>
          </w:p>
        </w:tc>
        <w:tc>
          <w:tcPr>
            <w:tcW w:w="8505" w:type="dxa"/>
            <w:shd w:val="clear" w:color="auto" w:fill="auto"/>
          </w:tcPr>
          <w:p w14:paraId="41B740B9" w14:textId="77777777" w:rsidR="00EF2859" w:rsidRPr="0035465A" w:rsidRDefault="00EF2859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ind w:left="175" w:right="176"/>
              <w:contextualSpacing w:val="0"/>
              <w:rPr>
                <w:rFonts w:asciiTheme="majorHAnsi" w:hAnsiTheme="majorHAnsi" w:cs="Arial"/>
                <w:szCs w:val="20"/>
                <w:u w:val="single"/>
              </w:rPr>
            </w:pPr>
            <w:r w:rsidRPr="0035465A">
              <w:rPr>
                <w:rFonts w:asciiTheme="majorHAnsi" w:hAnsiTheme="majorHAnsi" w:cs="Arial"/>
                <w:szCs w:val="20"/>
                <w:u w:val="single"/>
              </w:rPr>
              <w:t>Jogi hivatkozások és iránymutatások</w:t>
            </w:r>
          </w:p>
        </w:tc>
      </w:tr>
      <w:tr w:rsidR="00EF2859" w:rsidRPr="00EF2859" w14:paraId="20C508D9" w14:textId="77777777" w:rsidTr="00EF2859">
        <w:tc>
          <w:tcPr>
            <w:tcW w:w="1135" w:type="dxa"/>
            <w:shd w:val="clear" w:color="auto" w:fill="auto"/>
            <w:vAlign w:val="center"/>
          </w:tcPr>
          <w:p w14:paraId="1FBCBC2F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010</w:t>
            </w:r>
          </w:p>
        </w:tc>
        <w:tc>
          <w:tcPr>
            <w:tcW w:w="8505" w:type="dxa"/>
            <w:shd w:val="clear" w:color="auto" w:fill="auto"/>
          </w:tcPr>
          <w:p w14:paraId="268C12DE" w14:textId="77777777" w:rsidR="00EF2859" w:rsidRPr="00C652B5" w:rsidRDefault="00EF2859" w:rsidP="0035465A">
            <w:pPr>
              <w:spacing w:after="0" w:line="240" w:lineRule="auto"/>
              <w:ind w:left="175" w:right="176"/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</w:pPr>
            <w:r w:rsidRPr="00C652B5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 xml:space="preserve">Hitelezett biztosíték piaci értéke </w:t>
            </w:r>
          </w:p>
          <w:p w14:paraId="3B755EDD" w14:textId="60124D5C" w:rsidR="00EF2859" w:rsidRPr="00C652B5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Calibri"/>
                <w:bCs/>
                <w:szCs w:val="20"/>
                <w:lang w:eastAsia="de-DE"/>
              </w:rPr>
            </w:pPr>
            <w:r w:rsidRPr="00C652B5">
              <w:rPr>
                <w:rFonts w:eastAsia="PMingLiU" w:cs="Calibri"/>
                <w:bCs/>
                <w:szCs w:val="20"/>
                <w:lang w:eastAsia="de-DE"/>
              </w:rPr>
              <w:t>A hitelezett biztosíték piaci értékét a 010-es oszlopban kell jelenteni. A piaci értéknek tükröznie kell az aktuális piaci értéket, haircut alkalmazása előtt, de beleértve a kapcsolódó fedezeti ügyl</w:t>
            </w:r>
            <w:r w:rsidRPr="00C652B5">
              <w:rPr>
                <w:rFonts w:eastAsia="PMingLiU" w:cs="Calibri"/>
                <w:bCs/>
                <w:szCs w:val="20"/>
                <w:lang w:eastAsia="de-DE"/>
              </w:rPr>
              <w:t>e</w:t>
            </w:r>
            <w:r w:rsidRPr="00C652B5">
              <w:rPr>
                <w:rFonts w:eastAsia="PMingLiU" w:cs="Calibri"/>
                <w:bCs/>
                <w:szCs w:val="20"/>
                <w:lang w:eastAsia="de-DE"/>
              </w:rPr>
              <w:t>tek lezárásából adódó áramlásokat</w:t>
            </w:r>
            <w:r w:rsidR="0035465A" w:rsidRPr="00C652B5">
              <w:rPr>
                <w:rFonts w:eastAsia="PMingLiU" w:cs="Calibri"/>
                <w:bCs/>
                <w:szCs w:val="20"/>
                <w:lang w:eastAsia="de-DE"/>
              </w:rPr>
              <w:t xml:space="preserve"> [8. cikk (5) </w:t>
            </w:r>
            <w:r w:rsidR="0035465A" w:rsidRPr="00C652B5">
              <w:rPr>
                <w:rFonts w:asciiTheme="majorHAnsi" w:eastAsia="Times New Roman" w:hAnsiTheme="majorHAnsi" w:cs="Times New Roman"/>
                <w:szCs w:val="20"/>
              </w:rPr>
              <w:t>bekezdés</w:t>
            </w:r>
            <w:r w:rsidR="0035465A" w:rsidRPr="00C652B5">
              <w:rPr>
                <w:rFonts w:eastAsia="PMingLiU" w:cs="Calibri"/>
                <w:bCs/>
                <w:szCs w:val="20"/>
                <w:lang w:eastAsia="de-DE"/>
              </w:rPr>
              <w:t>].</w:t>
            </w:r>
          </w:p>
        </w:tc>
      </w:tr>
      <w:tr w:rsidR="00EF2859" w:rsidRPr="00EF2859" w14:paraId="2327CD82" w14:textId="77777777" w:rsidTr="00EF2859">
        <w:tc>
          <w:tcPr>
            <w:tcW w:w="1135" w:type="dxa"/>
            <w:vAlign w:val="center"/>
          </w:tcPr>
          <w:p w14:paraId="41F12807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020</w:t>
            </w:r>
          </w:p>
        </w:tc>
        <w:tc>
          <w:tcPr>
            <w:tcW w:w="8505" w:type="dxa"/>
            <w:shd w:val="clear" w:color="auto" w:fill="auto"/>
          </w:tcPr>
          <w:p w14:paraId="5B995B0D" w14:textId="77777777" w:rsidR="00EF2859" w:rsidRPr="00EF2859" w:rsidRDefault="00EF2859" w:rsidP="0035465A">
            <w:pPr>
              <w:spacing w:after="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 xml:space="preserve">Hitelezett biztosíték likviditási értéke </w:t>
            </w:r>
          </w:p>
          <w:p w14:paraId="3E461F33" w14:textId="2B3844D1" w:rsidR="00EF2859" w:rsidRPr="0035465A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hitelezett biztosíték likviditási értékét a 020-as oszlopban kell jelenteni. Likvid eszközök esetén a likviditási értéknek tükröznie kell az eszköz haircut-tal csökkentett értékét. A súlynak kapcs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lódnia kell adott eszköz esetén a XXIV. melléklet C</w:t>
            </w:r>
            <w:r w:rsidR="00F73E32"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72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.00 táblázatban lévő, megfelelő eszköz t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pusnál alkalmazott súlyhoz/haircut-hoz. Az intézménynek a II. </w:t>
            </w:r>
            <w:r w:rsidR="0063391A"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ímben az adott eszközökre vona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kozó minimum irányadó súlyokat figyelembe véve kell </w:t>
            </w:r>
            <w:r w:rsidR="0035465A"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meghatároznia a használt súlyt.</w:t>
            </w:r>
          </w:p>
        </w:tc>
      </w:tr>
      <w:tr w:rsidR="00EF2859" w:rsidRPr="00EF2859" w14:paraId="37C557F2" w14:textId="77777777" w:rsidTr="00EF2859">
        <w:tc>
          <w:tcPr>
            <w:tcW w:w="1135" w:type="dxa"/>
            <w:vAlign w:val="center"/>
          </w:tcPr>
          <w:p w14:paraId="4903AFDF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030</w:t>
            </w:r>
          </w:p>
        </w:tc>
        <w:tc>
          <w:tcPr>
            <w:tcW w:w="8505" w:type="dxa"/>
          </w:tcPr>
          <w:p w14:paraId="2D7EC7F8" w14:textId="77777777" w:rsidR="00EF2859" w:rsidRPr="00EF2859" w:rsidRDefault="00EF2859" w:rsidP="0035465A">
            <w:pPr>
              <w:spacing w:before="120" w:after="120" w:line="240" w:lineRule="auto"/>
              <w:ind w:left="175" w:right="176"/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Kölcsönvett biztosíték piaci értéke</w:t>
            </w:r>
          </w:p>
          <w:p w14:paraId="2F1E4838" w14:textId="392EA9C0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Arial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kölcsönvett biztosíték piaci értékét a 030-as oszlopban kell jelenteni. A piaci értéknek tükröznie kell az aktuális piaci értéket, haircut alkalmazása előtt, de beleértve a kapcsolódó nettó áramlás</w:t>
            </w:r>
            <w:r w:rsidR="00BF4DF2"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t, ezáltal eredményezve a kapcsolódó fedezeti ügyletek zárásából adódó áramlásokat [8. cikk (5) bekezdés].</w:t>
            </w:r>
          </w:p>
        </w:tc>
      </w:tr>
      <w:tr w:rsidR="00EF2859" w:rsidRPr="00EF2859" w14:paraId="1D326A4C" w14:textId="77777777" w:rsidTr="00EF2859">
        <w:tc>
          <w:tcPr>
            <w:tcW w:w="1135" w:type="dxa"/>
            <w:vAlign w:val="center"/>
          </w:tcPr>
          <w:p w14:paraId="28CBC352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040</w:t>
            </w:r>
          </w:p>
        </w:tc>
        <w:tc>
          <w:tcPr>
            <w:tcW w:w="8505" w:type="dxa"/>
          </w:tcPr>
          <w:p w14:paraId="2C10E38D" w14:textId="77777777" w:rsidR="00EF2859" w:rsidRPr="00EF2859" w:rsidRDefault="00EF2859" w:rsidP="0035465A">
            <w:pPr>
              <w:spacing w:before="120" w:after="12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Kölcsönvett biztosíték likviditási értéke</w:t>
            </w:r>
          </w:p>
          <w:p w14:paraId="6E99CBF5" w14:textId="10814210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Times New Roman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kölcsönvett biztosíték likviditási értékét a 040-es oszlopban kell jelenteni. Likvid eszközök es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 a likviditási értéknek tükröznie kell az eszköz haircut-tal csökkentett értékét. A súlynak ka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p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csolódnia kell adott eszköz esetén a XXIV. melléklet C72.00 táblázatban lévő, megfelelő eszköz típusnál alkalmazott súlyhoz/haircut-hoz. Az intézménynek a II. </w:t>
            </w:r>
            <w:r w:rsidR="0063391A"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ímben az adott eszközökre v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natkozó minimum irányadó súlyok figyelembe vételével kell meghatároznia a használt súlyt.</w:t>
            </w:r>
          </w:p>
        </w:tc>
      </w:tr>
      <w:tr w:rsidR="00EF2859" w:rsidRPr="00EF2859" w14:paraId="4964C1F2" w14:textId="77777777" w:rsidTr="00EF2859">
        <w:tc>
          <w:tcPr>
            <w:tcW w:w="1135" w:type="dxa"/>
            <w:vAlign w:val="center"/>
          </w:tcPr>
          <w:p w14:paraId="3224957D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050</w:t>
            </w:r>
          </w:p>
        </w:tc>
        <w:tc>
          <w:tcPr>
            <w:tcW w:w="8505" w:type="dxa"/>
          </w:tcPr>
          <w:p w14:paraId="4087B8DF" w14:textId="77777777" w:rsidR="00EF2859" w:rsidRPr="00EF2859" w:rsidRDefault="00EF2859" w:rsidP="0035465A">
            <w:pPr>
              <w:spacing w:before="120" w:after="12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Kiáramlások</w:t>
            </w:r>
          </w:p>
          <w:p w14:paraId="7F505F4B" w14:textId="49D0262B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Times New Roman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 a 040-es oszlop értéke nagyobb, mint a 020-as oszlopé (tranzakciónként), a különbséget a 050-es oszlopban (kiáramlások) kell jelenteni, kivéve, ha az ügyfél a központi bank, amely esetben nulla kiáramlást kell jelenteni.</w:t>
            </w:r>
          </w:p>
        </w:tc>
      </w:tr>
      <w:tr w:rsidR="00EF2859" w:rsidRPr="00EF2859" w14:paraId="38CB8979" w14:textId="77777777" w:rsidTr="00EF2859">
        <w:tc>
          <w:tcPr>
            <w:tcW w:w="1135" w:type="dxa"/>
            <w:vAlign w:val="center"/>
          </w:tcPr>
          <w:p w14:paraId="39714AF0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060</w:t>
            </w:r>
          </w:p>
        </w:tc>
        <w:tc>
          <w:tcPr>
            <w:tcW w:w="8505" w:type="dxa"/>
          </w:tcPr>
          <w:p w14:paraId="4A54B3DA" w14:textId="77777777" w:rsidR="00EF2859" w:rsidRPr="00EF2859" w:rsidRDefault="00EF2859" w:rsidP="0035465A">
            <w:pPr>
              <w:spacing w:before="120" w:after="12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75%-os beáramlási korlát alá eső beáramlások</w:t>
            </w:r>
          </w:p>
          <w:p w14:paraId="2E8483CB" w14:textId="77777777" w:rsidR="00EF2859" w:rsidRPr="0035465A" w:rsidRDefault="00EF2859" w:rsidP="0035465A">
            <w:pPr>
              <w:spacing w:beforeLines="100" w:before="240" w:after="0" w:line="240" w:lineRule="auto"/>
              <w:ind w:left="175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Ha a 020-as oszlop értéke nagyobb, mint a 040-es oszlopé (tranzakciónként), a különbséget a 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060/070/080 (beáramlások) oszlopban kell jelenteni, kivéve, ha a szerzett biztosíték újra elkülön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tésre kerül a rövid pozíciók fedezésére, ami meghosszabbítható 30 napon túlra, amely esetben nulla kiáramlást kell jelenteni.</w:t>
            </w:r>
          </w:p>
          <w:p w14:paraId="7CBEA4F7" w14:textId="77777777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060-as oszlopot abban az esetben kell használni, ha az ügylet 75%-os beáramlási korlát alá esik.</w:t>
            </w:r>
          </w:p>
        </w:tc>
      </w:tr>
      <w:tr w:rsidR="00EF2859" w:rsidRPr="00EF2859" w14:paraId="3BAD30C7" w14:textId="77777777" w:rsidTr="00EF2859">
        <w:tc>
          <w:tcPr>
            <w:tcW w:w="1135" w:type="dxa"/>
            <w:vAlign w:val="center"/>
          </w:tcPr>
          <w:p w14:paraId="7365B674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lastRenderedPageBreak/>
              <w:t>070</w:t>
            </w:r>
          </w:p>
        </w:tc>
        <w:tc>
          <w:tcPr>
            <w:tcW w:w="8505" w:type="dxa"/>
          </w:tcPr>
          <w:p w14:paraId="201575A1" w14:textId="77777777" w:rsidR="00EF2859" w:rsidRPr="00EF2859" w:rsidRDefault="00EF2859" w:rsidP="0035465A">
            <w:pPr>
              <w:spacing w:before="120" w:after="12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90%-os beáramlási korlát alá eső beáramlások</w:t>
            </w:r>
          </w:p>
          <w:p w14:paraId="724E7422" w14:textId="77777777" w:rsidR="00EF2859" w:rsidRPr="0035465A" w:rsidRDefault="00EF2859" w:rsidP="0035465A">
            <w:pPr>
              <w:spacing w:beforeLines="100" w:before="240" w:after="0" w:line="240" w:lineRule="auto"/>
              <w:ind w:left="175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 a 020-as oszlop értéke nagyobb, mint a 040-es oszlopé (tranzakciónként), a különbséget a 060/070/080 (beáramlások) oszlopban kell jelenteni, kivéve, ha a szerzett biztosíték újra elkülön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tésre kerül a rövid pozíciók fedezésére, ami meghosszabbítható 30 napon túlra, amely esetben nulla kiáramlást kell jelenteni.</w:t>
            </w:r>
          </w:p>
          <w:p w14:paraId="53C4B053" w14:textId="32C78BAF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Times New Roman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070-as oszlopot abban az esetben kell használni, ha az ügylet 90%-os beáramlási korlát alá esik.</w:t>
            </w:r>
          </w:p>
        </w:tc>
      </w:tr>
      <w:tr w:rsidR="00EF2859" w:rsidRPr="00EF2859" w14:paraId="50833BB3" w14:textId="77777777" w:rsidTr="00EF2859">
        <w:trPr>
          <w:trHeight w:val="50"/>
        </w:trPr>
        <w:tc>
          <w:tcPr>
            <w:tcW w:w="1135" w:type="dxa"/>
            <w:vAlign w:val="center"/>
          </w:tcPr>
          <w:p w14:paraId="7E3506D9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080</w:t>
            </w:r>
          </w:p>
        </w:tc>
        <w:tc>
          <w:tcPr>
            <w:tcW w:w="8505" w:type="dxa"/>
          </w:tcPr>
          <w:p w14:paraId="5354BAC0" w14:textId="77777777" w:rsidR="00EF2859" w:rsidRPr="00EF2859" w:rsidRDefault="00EF2859" w:rsidP="0035465A">
            <w:pPr>
              <w:spacing w:before="120" w:after="12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Beáramlási korlát alól mentesített beáramlások</w:t>
            </w:r>
          </w:p>
          <w:p w14:paraId="748D449E" w14:textId="77777777" w:rsidR="00EF2859" w:rsidRPr="0035465A" w:rsidRDefault="00EF2859" w:rsidP="0035465A">
            <w:pPr>
              <w:spacing w:beforeLines="100" w:before="240" w:after="0" w:line="240" w:lineRule="auto"/>
              <w:ind w:left="175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Ha a 020-as oszlop értéke nagyobb, mint a 040-es oszlopé (tranzakciónként), a különbséget a 060/070/080 (beáramlások) oszlopban kell jelenteni, kivéve, ha a szerzett biztosíték újra elkülön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tésre kerül a rövid pozíciók fedezésére, ami meghosszabbítható 30 napon túlra, amely esetben nulla kiáramlást kell jelenteni.</w:t>
            </w:r>
          </w:p>
          <w:p w14:paraId="24D9BF0E" w14:textId="736C5F24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Times New Roman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080-as oszlopot abban az esetben kell használni, ha az ügylet mentesített a beáramlási korlát alól.</w:t>
            </w:r>
          </w:p>
        </w:tc>
      </w:tr>
      <w:tr w:rsidR="00EF2859" w:rsidRPr="00EF2859" w14:paraId="783C2633" w14:textId="77777777" w:rsidTr="00EF2859">
        <w:tc>
          <w:tcPr>
            <w:tcW w:w="1135" w:type="dxa"/>
            <w:vAlign w:val="center"/>
          </w:tcPr>
          <w:p w14:paraId="55962408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090</w:t>
            </w:r>
          </w:p>
        </w:tc>
        <w:tc>
          <w:tcPr>
            <w:tcW w:w="8505" w:type="dxa"/>
          </w:tcPr>
          <w:p w14:paraId="7BF13738" w14:textId="77777777" w:rsidR="00EF2859" w:rsidRPr="00EF2859" w:rsidRDefault="00EF2859" w:rsidP="0035465A">
            <w:pPr>
              <w:spacing w:after="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Kizárólag biztosítékkal fedezett származtatott termékek: Hitelezett biztosíték piaci értéke</w:t>
            </w:r>
          </w:p>
          <w:p w14:paraId="7253143C" w14:textId="1F8AD51A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Times New Roman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hitelezett biztosítékok piaci értékét a 090-es oszlopban kell jelenteni. A piaci értéknek tükröznie kell az aktuális piaci értéket, teljes haircut-tal, a kapcsolódó fedezeti ügyletek lehívásából eredő áramlásokkal nettósítva [8. cikk (5) bekezdés].</w:t>
            </w:r>
          </w:p>
        </w:tc>
      </w:tr>
      <w:tr w:rsidR="00EF2859" w:rsidRPr="00EF2859" w14:paraId="50E3D84F" w14:textId="77777777" w:rsidTr="00EF2859">
        <w:tc>
          <w:tcPr>
            <w:tcW w:w="1135" w:type="dxa"/>
            <w:vAlign w:val="center"/>
          </w:tcPr>
          <w:p w14:paraId="36925BA7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100</w:t>
            </w:r>
          </w:p>
        </w:tc>
        <w:tc>
          <w:tcPr>
            <w:tcW w:w="8505" w:type="dxa"/>
          </w:tcPr>
          <w:p w14:paraId="27D2E984" w14:textId="77777777" w:rsidR="00EF2859" w:rsidRPr="00EF2859" w:rsidRDefault="00EF2859" w:rsidP="0035465A">
            <w:pPr>
              <w:spacing w:after="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Kizárólag biztosítékkal fedezett származtatott termékek: Hitelezett biztosíték likviditási értéke</w:t>
            </w:r>
          </w:p>
          <w:p w14:paraId="60B668EB" w14:textId="2C1E0503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Times New Roman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hitelezett biztosíték likviditási értékét a 100-as oszlopban kell jelenteni. Likvid eszközök esetén a likviditási értéknek tükröznie kell az eszköz haircut-tal csökkentett értékét. Az alkalmazott súl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y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nak kapcsolódnia kell adott eszköz esetén a XXIV. melléklet C</w:t>
            </w:r>
            <w:r w:rsidR="00F73E32"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72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.00 táblázatban lévő, megfelelő eszköz típusnál alkalmazott súlyhoz/haircut-hoz. Az intézménynek a II. </w:t>
            </w:r>
            <w:r w:rsidR="0063391A"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ímben az adott eszközö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re vonatkozó minimum irányadó súlyokat figyelembe véve kell meghatároznia a használt súlyt.</w:t>
            </w:r>
          </w:p>
        </w:tc>
      </w:tr>
      <w:tr w:rsidR="00EF2859" w:rsidRPr="00EF2859" w14:paraId="521694F6" w14:textId="77777777" w:rsidTr="00EF2859">
        <w:tc>
          <w:tcPr>
            <w:tcW w:w="1135" w:type="dxa"/>
            <w:shd w:val="clear" w:color="auto" w:fill="auto"/>
            <w:vAlign w:val="center"/>
          </w:tcPr>
          <w:p w14:paraId="4FEE3FD7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110</w:t>
            </w:r>
          </w:p>
        </w:tc>
        <w:tc>
          <w:tcPr>
            <w:tcW w:w="8505" w:type="dxa"/>
            <w:shd w:val="clear" w:color="auto" w:fill="auto"/>
          </w:tcPr>
          <w:p w14:paraId="0213FF97" w14:textId="77777777" w:rsidR="00EF2859" w:rsidRPr="00EF2859" w:rsidRDefault="00EF2859" w:rsidP="0035465A">
            <w:pPr>
              <w:autoSpaceDE w:val="0"/>
              <w:autoSpaceDN w:val="0"/>
              <w:adjustRightInd w:val="0"/>
              <w:spacing w:after="0" w:line="240" w:lineRule="auto"/>
              <w:ind w:left="175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Kizárólag biztosítékkal fedezett származtatott termékek: Kölcsönvett biztosíték piaci értéke</w:t>
            </w:r>
          </w:p>
          <w:p w14:paraId="07B8A820" w14:textId="16B31145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Times New Roman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kölcsönvett biztosíték piaci értékét a 110-es oszlopban kell jelenteni. A piaci értéknek tükröznie kell az aktuális piaci értéket, teljes haircut-tal, a kapcsolódó fedezeti ügyletek lehívásából eredő áramlásokkal nettósítva [8. cikk (5)].</w:t>
            </w:r>
          </w:p>
        </w:tc>
      </w:tr>
      <w:tr w:rsidR="00EF2859" w:rsidRPr="00EF2859" w14:paraId="584C365C" w14:textId="77777777" w:rsidTr="00EF2859">
        <w:tc>
          <w:tcPr>
            <w:tcW w:w="1135" w:type="dxa"/>
            <w:vAlign w:val="center"/>
          </w:tcPr>
          <w:p w14:paraId="475D8A31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120</w:t>
            </w:r>
          </w:p>
        </w:tc>
        <w:tc>
          <w:tcPr>
            <w:tcW w:w="8505" w:type="dxa"/>
          </w:tcPr>
          <w:p w14:paraId="6A8B580F" w14:textId="77777777" w:rsidR="00EF2859" w:rsidRPr="00EF2859" w:rsidRDefault="00EF2859" w:rsidP="0035465A">
            <w:pPr>
              <w:autoSpaceDE w:val="0"/>
              <w:autoSpaceDN w:val="0"/>
              <w:adjustRightInd w:val="0"/>
              <w:spacing w:after="0" w:line="240" w:lineRule="auto"/>
              <w:ind w:left="175" w:right="176"/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Kizárólag biztosítékkal fedezett származtatott termékek: Kölcsönvett biztosíték likviditási ért</w:t>
            </w: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é</w:t>
            </w: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ke</w:t>
            </w:r>
          </w:p>
          <w:p w14:paraId="270079C5" w14:textId="6EAA3AFC" w:rsidR="00EF2859" w:rsidRPr="00EF2859" w:rsidRDefault="00EF2859" w:rsidP="0035465A">
            <w:pPr>
              <w:spacing w:beforeLines="100" w:before="240" w:after="0" w:line="240" w:lineRule="auto"/>
              <w:ind w:left="175" w:right="176"/>
              <w:rPr>
                <w:rFonts w:eastAsia="PMingLiU" w:cs="Arial"/>
                <w:szCs w:val="20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kölcsönvett biztosíték likviditási értékét a 120-as oszlopban kell jelenteni. Likvid eszközök es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tén a likviditási értéknek tükröznie kell az eszköz haircut-tal csökkentett értékét. A súlynak ka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p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csolódnia kell adott eszköz esetén a XXIV. melléklet C72.00 táblázatban lévő, megfelelő eszköz típusnál alkalmazott súlyhoz/haircut-hoz. Az intézménynek a II. </w:t>
            </w:r>
            <w:r w:rsidR="0063391A"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c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ímben az adott eszközökre v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natkozó minimum irányadó súlyokat figyelembe véve kell meghatároznia a használt súlyt.</w:t>
            </w:r>
          </w:p>
        </w:tc>
      </w:tr>
    </w:tbl>
    <w:p w14:paraId="2AF9458B" w14:textId="77777777" w:rsidR="0035465A" w:rsidRDefault="0035465A" w:rsidP="0035465A">
      <w:pPr>
        <w:spacing w:before="300" w:after="300"/>
        <w:rPr>
          <w:rFonts w:asciiTheme="majorHAnsi" w:hAnsiTheme="majorHAnsi" w:cs="Arial"/>
          <w:b/>
          <w:sz w:val="22"/>
        </w:rPr>
      </w:pPr>
    </w:p>
    <w:p w14:paraId="35F1E201" w14:textId="77777777" w:rsidR="0035465A" w:rsidRDefault="0035465A">
      <w:pPr>
        <w:spacing w:after="0" w:line="240" w:lineRule="auto"/>
        <w:jc w:val="left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br w:type="page"/>
      </w:r>
    </w:p>
    <w:p w14:paraId="78CA8052" w14:textId="37EDB97E" w:rsidR="00EF2859" w:rsidRPr="00D32842" w:rsidRDefault="00EF2859" w:rsidP="0035465A">
      <w:pPr>
        <w:spacing w:before="300" w:after="300"/>
        <w:rPr>
          <w:rFonts w:asciiTheme="majorHAnsi" w:hAnsiTheme="majorHAnsi" w:cs="Arial"/>
          <w:b/>
          <w:sz w:val="22"/>
        </w:rPr>
      </w:pPr>
      <w:r w:rsidRPr="00D32842">
        <w:rPr>
          <w:rFonts w:asciiTheme="majorHAnsi" w:hAnsiTheme="majorHAnsi" w:cs="Arial"/>
          <w:b/>
          <w:sz w:val="22"/>
        </w:rPr>
        <w:lastRenderedPageBreak/>
        <w:t>A speciális sorokra vonatkozó iránymutatások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40"/>
      </w:tblGrid>
      <w:tr w:rsidR="00EF2859" w:rsidRPr="00EF2859" w14:paraId="6EB153C5" w14:textId="77777777" w:rsidTr="00B43698">
        <w:tc>
          <w:tcPr>
            <w:tcW w:w="1100" w:type="dxa"/>
            <w:shd w:val="clear" w:color="auto" w:fill="auto"/>
          </w:tcPr>
          <w:p w14:paraId="0883ABCF" w14:textId="77777777" w:rsidR="00EF2859" w:rsidRPr="0035465A" w:rsidRDefault="00EF2859" w:rsidP="0035465A">
            <w:pPr>
              <w:pStyle w:val="Listaszerbekezds"/>
              <w:numPr>
                <w:ilvl w:val="0"/>
                <w:numId w:val="0"/>
              </w:numPr>
              <w:spacing w:before="320" w:afterLines="100" w:after="240"/>
              <w:contextualSpacing w:val="0"/>
              <w:rPr>
                <w:rFonts w:asciiTheme="majorHAnsi" w:hAnsiTheme="majorHAnsi" w:cs="Arial"/>
                <w:szCs w:val="20"/>
                <w:u w:val="single"/>
              </w:rPr>
            </w:pPr>
            <w:r w:rsidRPr="0035465A">
              <w:rPr>
                <w:rFonts w:asciiTheme="majorHAnsi" w:hAnsiTheme="majorHAnsi" w:cs="Arial"/>
                <w:szCs w:val="20"/>
                <w:u w:val="single"/>
              </w:rPr>
              <w:t>Sor</w:t>
            </w:r>
          </w:p>
        </w:tc>
        <w:tc>
          <w:tcPr>
            <w:tcW w:w="8540" w:type="dxa"/>
            <w:shd w:val="clear" w:color="auto" w:fill="auto"/>
          </w:tcPr>
          <w:p w14:paraId="3E62C877" w14:textId="77777777" w:rsidR="00EF2859" w:rsidRPr="0035465A" w:rsidRDefault="00EF2859" w:rsidP="00B43698">
            <w:pPr>
              <w:pStyle w:val="Listaszerbekezds"/>
              <w:numPr>
                <w:ilvl w:val="0"/>
                <w:numId w:val="0"/>
              </w:numPr>
              <w:tabs>
                <w:tab w:val="left" w:pos="8669"/>
              </w:tabs>
              <w:spacing w:before="320" w:afterLines="100" w:after="240"/>
              <w:ind w:left="210" w:right="176"/>
              <w:contextualSpacing w:val="0"/>
              <w:rPr>
                <w:rFonts w:asciiTheme="majorHAnsi" w:hAnsiTheme="majorHAnsi" w:cs="Arial"/>
                <w:szCs w:val="20"/>
                <w:u w:val="single"/>
              </w:rPr>
            </w:pPr>
            <w:r w:rsidRPr="0035465A">
              <w:rPr>
                <w:rFonts w:asciiTheme="majorHAnsi" w:hAnsiTheme="majorHAnsi" w:cs="Arial"/>
                <w:szCs w:val="20"/>
                <w:u w:val="single"/>
              </w:rPr>
              <w:t>Jogi hivatkozások és iránymutatások</w:t>
            </w:r>
          </w:p>
        </w:tc>
      </w:tr>
      <w:tr w:rsidR="00EF2859" w:rsidRPr="00EF2859" w14:paraId="705437A3" w14:textId="77777777" w:rsidTr="0035465A">
        <w:tc>
          <w:tcPr>
            <w:tcW w:w="1100" w:type="dxa"/>
            <w:shd w:val="clear" w:color="auto" w:fill="auto"/>
            <w:vAlign w:val="center"/>
          </w:tcPr>
          <w:p w14:paraId="23E7A4E7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010</w:t>
            </w:r>
          </w:p>
        </w:tc>
        <w:tc>
          <w:tcPr>
            <w:tcW w:w="8540" w:type="dxa"/>
            <w:shd w:val="clear" w:color="auto" w:fill="auto"/>
          </w:tcPr>
          <w:p w14:paraId="08AE00D2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</w:pPr>
            <w:r w:rsidRPr="0035465A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 xml:space="preserve">1 </w:t>
            </w: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 xml:space="preserve">ÖSSZES BIZTOSÍTÉKI CSEREÜGYLET </w:t>
            </w:r>
            <w:proofErr w:type="gramStart"/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ÉS</w:t>
            </w:r>
            <w:proofErr w:type="gramEnd"/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 xml:space="preserve"> BIZTOSÍTÉKKAL FEDEZETT SZÁRMAZTATOTT TERMÉK</w:t>
            </w:r>
          </w:p>
          <w:p w14:paraId="50BF9E28" w14:textId="77777777" w:rsidR="00EF2859" w:rsidRPr="0035465A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rendeletének 28. cikkének 4. és 32. cikkének 3. bekezdése.</w:t>
            </w:r>
          </w:p>
          <w:p w14:paraId="2CA92744" w14:textId="3CDC0B99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bCs/>
                <w:szCs w:val="20"/>
                <w:highlight w:val="yellow"/>
                <w:lang w:eastAsia="de-DE"/>
              </w:rPr>
            </w:pPr>
            <w:r w:rsidRPr="0035465A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jelenteniük, oszloponként, a biztosítéki csereügyletek és a biztosítékkal fedezett származtatott termékek teljes értékét.</w:t>
            </w:r>
          </w:p>
        </w:tc>
      </w:tr>
      <w:tr w:rsidR="00EF2859" w:rsidRPr="00EF2859" w14:paraId="3CA9DB2F" w14:textId="77777777" w:rsidTr="0035465A">
        <w:tc>
          <w:tcPr>
            <w:tcW w:w="1100" w:type="dxa"/>
            <w:vAlign w:val="center"/>
          </w:tcPr>
          <w:p w14:paraId="69E7638B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020</w:t>
            </w:r>
          </w:p>
        </w:tc>
        <w:tc>
          <w:tcPr>
            <w:tcW w:w="8540" w:type="dxa"/>
            <w:shd w:val="clear" w:color="auto" w:fill="auto"/>
          </w:tcPr>
          <w:p w14:paraId="6CE2CAF2" w14:textId="6BB57742" w:rsidR="00EF2859" w:rsidRPr="00EF2859" w:rsidRDefault="00EF2859" w:rsidP="00B43698">
            <w:pPr>
              <w:tabs>
                <w:tab w:val="left" w:pos="8669"/>
              </w:tabs>
              <w:spacing w:before="120" w:after="120" w:line="240" w:lineRule="auto"/>
              <w:ind w:left="210" w:right="176"/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szCs w:val="20"/>
                <w:u w:val="single"/>
                <w:lang w:eastAsia="en-US"/>
              </w:rPr>
              <w:t xml:space="preserve">1.1 </w:t>
            </w: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Összes tranzakció, amelyben 1. szintű (kivéve rendkívül magas hitelminőségű fedezett kö</w:t>
            </w: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t</w:t>
            </w: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vények) eszközök hitelezése és a következő biztosítékok kölcsönvétele történt</w:t>
            </w:r>
            <w:r w:rsidR="00B06D15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:</w:t>
            </w:r>
          </w:p>
          <w:p w14:paraId="6F168082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rendeletének 28. cikkének 4. és 32. cikkének 3. bekezdése.</w:t>
            </w:r>
          </w:p>
          <w:p w14:paraId="4B9560A8" w14:textId="717A5014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bCs/>
                <w:szCs w:val="20"/>
                <w:highlight w:val="yellow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jelenteniük, oszloponként, a biztosítéki csereügyletek és a biztosítékkal fedezett származtatott termékek teljes értékét, azokra a tranzakciókra, melyek során 1-es szintű eszközöket (kivéve rendkívül magas minőségű fedezett kötvények) hiteleznek.</w:t>
            </w:r>
          </w:p>
        </w:tc>
      </w:tr>
      <w:tr w:rsidR="00EF2859" w:rsidRPr="00EF2859" w14:paraId="3873B020" w14:textId="77777777" w:rsidTr="0035465A">
        <w:tc>
          <w:tcPr>
            <w:tcW w:w="1100" w:type="dxa"/>
            <w:vAlign w:val="center"/>
          </w:tcPr>
          <w:p w14:paraId="5B4A5EDB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030</w:t>
            </w:r>
          </w:p>
        </w:tc>
        <w:tc>
          <w:tcPr>
            <w:tcW w:w="8540" w:type="dxa"/>
          </w:tcPr>
          <w:p w14:paraId="4F25EE05" w14:textId="34FA2DC1" w:rsidR="00EF2859" w:rsidRPr="00EF2859" w:rsidRDefault="00EF2859" w:rsidP="00B43698">
            <w:pPr>
              <w:tabs>
                <w:tab w:val="left" w:pos="8669"/>
              </w:tabs>
              <w:spacing w:before="120" w:after="120" w:line="240" w:lineRule="auto"/>
              <w:ind w:left="210" w:right="176"/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szCs w:val="20"/>
                <w:u w:val="single"/>
                <w:lang w:eastAsia="en-US"/>
              </w:rPr>
              <w:t>1.1.1 1</w:t>
            </w:r>
            <w:r w:rsidR="00B06D15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>.</w:t>
            </w:r>
            <w:r w:rsidRPr="00EF2859">
              <w:rPr>
                <w:rFonts w:eastAsia="PMingLiU" w:cs="Times New Roman"/>
                <w:b/>
                <w:bCs/>
                <w:szCs w:val="20"/>
                <w:u w:val="single"/>
                <w:lang w:eastAsia="de-DE"/>
              </w:rPr>
              <w:t xml:space="preserve"> szintű eszközök (kivéve rendkívül magas minőségű fedezett kötvény)</w:t>
            </w:r>
          </w:p>
          <w:p w14:paraId="2C4A4632" w14:textId="7C5F08B9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Arial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1-es szintű eszközöket (kivéve rendkívül magas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nőségű fedezett kötvények) (adott) cserélt 1-es szintű eszközre (kivéve rendkívül magas minős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gű fedezett kötvények) (kapott).</w:t>
            </w:r>
          </w:p>
        </w:tc>
      </w:tr>
      <w:tr w:rsidR="00EF2859" w:rsidRPr="00EF2859" w14:paraId="06DC013F" w14:textId="77777777" w:rsidTr="0035465A">
        <w:tc>
          <w:tcPr>
            <w:tcW w:w="1100" w:type="dxa"/>
            <w:vAlign w:val="center"/>
          </w:tcPr>
          <w:p w14:paraId="49388BCC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040</w:t>
            </w:r>
          </w:p>
        </w:tc>
        <w:tc>
          <w:tcPr>
            <w:tcW w:w="8540" w:type="dxa"/>
          </w:tcPr>
          <w:p w14:paraId="1957F897" w14:textId="7CBA1B5A" w:rsidR="00EF2859" w:rsidRPr="004E14F5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4E14F5">
              <w:rPr>
                <w:rFonts w:eastAsia="PMingLiU" w:cs="Calibri"/>
                <w:b/>
                <w:bCs/>
                <w:szCs w:val="20"/>
                <w:lang w:eastAsia="de-DE"/>
              </w:rPr>
              <w:t xml:space="preserve">1.1.2 </w:t>
            </w:r>
            <w:r w:rsidRPr="004E14F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</w:t>
            </w:r>
            <w:r w:rsidR="00CB6F8B" w:rsidRPr="004E14F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.</w:t>
            </w:r>
            <w:r w:rsidRPr="004E14F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 xml:space="preserve"> szintű: rendkívül magas minőségű fedezett kötvények</w:t>
            </w:r>
          </w:p>
          <w:p w14:paraId="66FCAF3F" w14:textId="64DE8BFA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1-es szintű eszközöket (kivéve rendkívül magas mindőségű fedezett kötvények) (adott) cserélt rendkívül magas minőségű 1-es szintű eszközökre (kapott).</w:t>
            </w:r>
          </w:p>
        </w:tc>
      </w:tr>
      <w:tr w:rsidR="00EF2859" w:rsidRPr="00EF2859" w14:paraId="4980989F" w14:textId="77777777" w:rsidTr="0035465A">
        <w:tc>
          <w:tcPr>
            <w:tcW w:w="1100" w:type="dxa"/>
            <w:vAlign w:val="center"/>
          </w:tcPr>
          <w:p w14:paraId="41287CF1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050</w:t>
            </w:r>
          </w:p>
        </w:tc>
        <w:tc>
          <w:tcPr>
            <w:tcW w:w="8540" w:type="dxa"/>
          </w:tcPr>
          <w:p w14:paraId="494E0616" w14:textId="77777777" w:rsidR="00EF2859" w:rsidRPr="004E14F5" w:rsidRDefault="00EF2859" w:rsidP="00B43698">
            <w:pPr>
              <w:tabs>
                <w:tab w:val="left" w:pos="8669"/>
              </w:tabs>
              <w:spacing w:before="120" w:after="120" w:line="240" w:lineRule="auto"/>
              <w:ind w:left="210" w:right="176"/>
              <w:rPr>
                <w:rFonts w:ascii="Verdana" w:eastAsia="PMingLiU" w:hAnsi="Verdana" w:cs="Times New Roman"/>
                <w:b/>
                <w:szCs w:val="24"/>
                <w:u w:val="single"/>
                <w:lang w:eastAsia="en-US"/>
              </w:rPr>
            </w:pPr>
            <w:r w:rsidRPr="00EF2859">
              <w:rPr>
                <w:rFonts w:eastAsia="PMingLiU" w:cs="Calibri"/>
                <w:b/>
                <w:szCs w:val="20"/>
                <w:u w:val="single"/>
                <w:lang w:eastAsia="en-US"/>
              </w:rPr>
              <w:t>1.1.3 2A. szintű eszközök</w:t>
            </w:r>
          </w:p>
          <w:p w14:paraId="2980B3DB" w14:textId="48ACEFE1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Azon tranzakciók, melyek során az intézmény 1-es szintű eszközöket (kivéve rendkívül magas mindőságű fedezett kötvények) (adott) cserélt 2A. szintű eszközökre (kapott). </w:t>
            </w:r>
          </w:p>
        </w:tc>
      </w:tr>
      <w:tr w:rsidR="00EF2859" w:rsidRPr="00EF2859" w14:paraId="7D731F12" w14:textId="77777777" w:rsidTr="0035465A">
        <w:tc>
          <w:tcPr>
            <w:tcW w:w="1100" w:type="dxa"/>
            <w:vAlign w:val="center"/>
          </w:tcPr>
          <w:p w14:paraId="656BF136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060</w:t>
            </w:r>
          </w:p>
        </w:tc>
        <w:tc>
          <w:tcPr>
            <w:tcW w:w="8540" w:type="dxa"/>
          </w:tcPr>
          <w:p w14:paraId="7911A292" w14:textId="0AB84E86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1.1.4 2B. szint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eszközfedezetű értékpapírok (lakóingatlan vagy gépjármű, 1. hitelminőségi b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sorolás)</w:t>
            </w:r>
          </w:p>
          <w:p w14:paraId="4A6E1D9E" w14:textId="2D7B607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1-es szintű eszközöket (kivéve rendkívül magas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nőségű fedezett kötvények) (adott) cserélt 2B. szintű eszköz fedezetű értékpapírra (lakóingatlan vagy gépjármű, 1. hitelminőségi besorolás). </w:t>
            </w:r>
          </w:p>
        </w:tc>
      </w:tr>
      <w:tr w:rsidR="00EF2859" w:rsidRPr="00EF2859" w14:paraId="2701ACA8" w14:textId="77777777" w:rsidTr="0035465A">
        <w:tc>
          <w:tcPr>
            <w:tcW w:w="1100" w:type="dxa"/>
            <w:vAlign w:val="center"/>
          </w:tcPr>
          <w:p w14:paraId="447BEC3A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070</w:t>
            </w:r>
          </w:p>
        </w:tc>
        <w:tc>
          <w:tcPr>
            <w:tcW w:w="8540" w:type="dxa"/>
          </w:tcPr>
          <w:p w14:paraId="61223C1E" w14:textId="5BA923D9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1.1.5 2B. szint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magas minőségű fedezett kötvények</w:t>
            </w:r>
          </w:p>
          <w:p w14:paraId="065C8908" w14:textId="71303A8C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1-es szintű eszközöket (kivéve rendkivül magas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nőségű fedezett kötvények) (adott) cserélt 2B. szintű magas minőségű fedezett kötvényekre (k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pott). </w:t>
            </w:r>
          </w:p>
        </w:tc>
      </w:tr>
      <w:tr w:rsidR="00EF2859" w:rsidRPr="00EF2859" w14:paraId="24872772" w14:textId="77777777" w:rsidTr="0035465A">
        <w:trPr>
          <w:trHeight w:val="50"/>
        </w:trPr>
        <w:tc>
          <w:tcPr>
            <w:tcW w:w="1100" w:type="dxa"/>
            <w:vAlign w:val="center"/>
          </w:tcPr>
          <w:p w14:paraId="06497E14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080</w:t>
            </w:r>
          </w:p>
        </w:tc>
        <w:tc>
          <w:tcPr>
            <w:tcW w:w="8540" w:type="dxa"/>
          </w:tcPr>
          <w:p w14:paraId="4C767EF6" w14:textId="02D12C61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1.1.6 2B. szint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eszközfedezetű értékpapírok (vállalati vagy háztartási hitel, tagállam, 1. hite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l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minőségi besorolás)</w:t>
            </w:r>
          </w:p>
          <w:p w14:paraId="612A0824" w14:textId="62430917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1-es szintű eszközöket (kivéve rendkívül magas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nőségű fedezett kötvények) (adott) cserélt 2B. szintű eszköz fedezetű értékpapírokra (vállalati vagy háztartási hitel, tagállam, 1. hitelminőségi besorolás) (kapott).</w:t>
            </w:r>
            <w:r w:rsidRPr="00EF2859">
              <w:rPr>
                <w:rFonts w:eastAsia="PMingLiU" w:cs="Times New Roman"/>
                <w:szCs w:val="20"/>
                <w:lang w:eastAsia="de-DE"/>
              </w:rPr>
              <w:t xml:space="preserve"> </w:t>
            </w:r>
          </w:p>
        </w:tc>
      </w:tr>
    </w:tbl>
    <w:p w14:paraId="06BAF2C8" w14:textId="77777777" w:rsidR="00B43698" w:rsidRDefault="00B43698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40"/>
      </w:tblGrid>
      <w:tr w:rsidR="00EF2859" w:rsidRPr="00EF2859" w14:paraId="5493702A" w14:textId="77777777" w:rsidTr="0035465A">
        <w:tc>
          <w:tcPr>
            <w:tcW w:w="1100" w:type="dxa"/>
            <w:vAlign w:val="center"/>
          </w:tcPr>
          <w:p w14:paraId="7000F623" w14:textId="1E06D235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lastRenderedPageBreak/>
              <w:t>090</w:t>
            </w:r>
          </w:p>
        </w:tc>
        <w:tc>
          <w:tcPr>
            <w:tcW w:w="8540" w:type="dxa"/>
          </w:tcPr>
          <w:p w14:paraId="6FEF7F9E" w14:textId="7914622A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1.1.7 Egyéb 2B. szintű</w:t>
            </w:r>
          </w:p>
          <w:p w14:paraId="089844C8" w14:textId="40C09757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1-es szintű eszközöket (kivéve rendkívül magas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nőségű fedezett kötvények) (adott) cserélt egyéb 2B. szintű eszközökre (kapott). </w:t>
            </w:r>
          </w:p>
        </w:tc>
      </w:tr>
      <w:tr w:rsidR="00EF2859" w:rsidRPr="00EF2859" w14:paraId="1955AC9F" w14:textId="77777777" w:rsidTr="0035465A">
        <w:tc>
          <w:tcPr>
            <w:tcW w:w="1100" w:type="dxa"/>
            <w:vAlign w:val="center"/>
          </w:tcPr>
          <w:p w14:paraId="3742EE59" w14:textId="77777777" w:rsidR="00EF2859" w:rsidRPr="00EF2859" w:rsidRDefault="00EF2859" w:rsidP="00EF2859">
            <w:pPr>
              <w:spacing w:before="120" w:after="120" w:line="240" w:lineRule="auto"/>
              <w:jc w:val="left"/>
              <w:rPr>
                <w:rFonts w:eastAsia="PMingLiU" w:cs="Arial"/>
                <w:szCs w:val="20"/>
                <w:lang w:eastAsia="en-US"/>
              </w:rPr>
            </w:pPr>
            <w:r w:rsidRPr="00EF2859">
              <w:rPr>
                <w:rFonts w:eastAsia="PMingLiU" w:cs="Arial"/>
                <w:szCs w:val="20"/>
                <w:lang w:eastAsia="en-US"/>
              </w:rPr>
              <w:t>100</w:t>
            </w:r>
          </w:p>
        </w:tc>
        <w:tc>
          <w:tcPr>
            <w:tcW w:w="8540" w:type="dxa"/>
          </w:tcPr>
          <w:p w14:paraId="1DBEA62C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1.1.8 Nem likvid eszközök</w:t>
            </w:r>
          </w:p>
          <w:p w14:paraId="62FCDA75" w14:textId="4D00869F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1-es szintű eszközöket (kivéve rendkívül magas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nőségű fedezett kötvények) (adott) cserélt nem likvid eszközökre (kapott). </w:t>
            </w:r>
          </w:p>
        </w:tc>
      </w:tr>
      <w:tr w:rsidR="00EF2859" w:rsidRPr="00EF2859" w14:paraId="22350623" w14:textId="77777777" w:rsidTr="0035465A">
        <w:tc>
          <w:tcPr>
            <w:tcW w:w="1100" w:type="dxa"/>
            <w:shd w:val="clear" w:color="auto" w:fill="auto"/>
            <w:vAlign w:val="center"/>
          </w:tcPr>
          <w:p w14:paraId="06CC1BBE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110</w:t>
            </w:r>
          </w:p>
        </w:tc>
        <w:tc>
          <w:tcPr>
            <w:tcW w:w="8540" w:type="dxa"/>
            <w:shd w:val="clear" w:color="auto" w:fill="auto"/>
          </w:tcPr>
          <w:p w14:paraId="5F51028A" w14:textId="3FB92C99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 Összes tranzakció, amelyben 1. szintű: rendkívül magas minőségű fedezett kötvény</w:t>
            </w:r>
            <w:r w:rsidR="0063245F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ek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 xml:space="preserve"> hit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lezése és a következő biztosítékok kölcsönvétele történt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</w:t>
            </w:r>
          </w:p>
          <w:p w14:paraId="18726619" w14:textId="75A9E1CB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 Bizottság (EU) 2015/61 felhatalmazáson alapuló rendeletének 28. cikkének </w:t>
            </w:r>
            <w:r w:rsidR="00853713"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(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4</w:t>
            </w:r>
            <w:r w:rsidR="00853713"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)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és 32. cikkének </w:t>
            </w:r>
            <w:r w:rsidR="00853713"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(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3</w:t>
            </w:r>
            <w:r w:rsidR="00853713"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)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bekezdése.</w:t>
            </w:r>
          </w:p>
          <w:p w14:paraId="25B136E3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oszloponként a biztosítéki csereügyletek és a biztosítékkal fedezett származtatott termékek teljes értékét, azokra a tranzakciókra, melyek során rendkívül magas minőségű 1-es szintű fedezett kötvényt adtak kölcsön.</w:t>
            </w:r>
          </w:p>
          <w:p w14:paraId="1A935BCA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</w:p>
        </w:tc>
      </w:tr>
      <w:tr w:rsidR="00EF2859" w:rsidRPr="00EF2859" w14:paraId="6FD2492D" w14:textId="77777777" w:rsidTr="0035465A">
        <w:tc>
          <w:tcPr>
            <w:tcW w:w="1100" w:type="dxa"/>
            <w:vAlign w:val="center"/>
          </w:tcPr>
          <w:p w14:paraId="67393791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120</w:t>
            </w:r>
          </w:p>
        </w:tc>
        <w:tc>
          <w:tcPr>
            <w:tcW w:w="8540" w:type="dxa"/>
          </w:tcPr>
          <w:p w14:paraId="1915A120" w14:textId="14109560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1.2.1 1. szintű eszközök (</w:t>
            </w:r>
            <w:r w:rsidR="00B06D15"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kiv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.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 xml:space="preserve"> rendkívül magas minőségű fedezett kötvények)</w:t>
            </w:r>
          </w:p>
          <w:p w14:paraId="2C91C8D4" w14:textId="283962CC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Arial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rendkívül magas minőségű 1-es szintű fedezett kö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vényt (adott) cserélt 1-es szintű eszközökre (kivéve rendkívül magas minőségű fedezett kötv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nyek) (kapott). </w:t>
            </w:r>
          </w:p>
        </w:tc>
      </w:tr>
      <w:tr w:rsidR="00EF2859" w:rsidRPr="00EF2859" w14:paraId="36254FFE" w14:textId="77777777" w:rsidTr="0035465A">
        <w:tc>
          <w:tcPr>
            <w:tcW w:w="1100" w:type="dxa"/>
            <w:vAlign w:val="center"/>
          </w:tcPr>
          <w:p w14:paraId="714E2D38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130</w:t>
            </w:r>
          </w:p>
        </w:tc>
        <w:tc>
          <w:tcPr>
            <w:tcW w:w="8540" w:type="dxa"/>
          </w:tcPr>
          <w:p w14:paraId="5F29B082" w14:textId="5B3F4210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1.2.2 1. szint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rendkívül magas minőségű fedezett kötvények</w:t>
            </w:r>
          </w:p>
          <w:p w14:paraId="1225A2B2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rendkívül magas minőségű 1-es szintű fedezett kö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vényt (adott) cserélt rendkívül magas minőségű 1-es szintű fedezett kötvényekre (kapott).</w:t>
            </w:r>
          </w:p>
          <w:p w14:paraId="48DF35F2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</w:p>
        </w:tc>
      </w:tr>
      <w:tr w:rsidR="00EF2859" w:rsidRPr="00EF2859" w14:paraId="21C33AAB" w14:textId="77777777" w:rsidTr="0035465A">
        <w:tc>
          <w:tcPr>
            <w:tcW w:w="1100" w:type="dxa"/>
            <w:vAlign w:val="center"/>
          </w:tcPr>
          <w:p w14:paraId="507A9D43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140</w:t>
            </w:r>
          </w:p>
        </w:tc>
        <w:tc>
          <w:tcPr>
            <w:tcW w:w="8540" w:type="dxa"/>
          </w:tcPr>
          <w:p w14:paraId="0AEFF2F4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1.2.3 2A. szintű eszközök</w:t>
            </w:r>
          </w:p>
          <w:p w14:paraId="2106ED1D" w14:textId="3C8FE834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rendkívül magas minőségű 1-es szintű fedezett kö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vényt (adott) cserélt 2A. eszközökre (kapott).</w:t>
            </w:r>
          </w:p>
        </w:tc>
      </w:tr>
      <w:tr w:rsidR="00EF2859" w:rsidRPr="00EF2859" w14:paraId="16F0022E" w14:textId="77777777" w:rsidTr="0035465A">
        <w:tc>
          <w:tcPr>
            <w:tcW w:w="1100" w:type="dxa"/>
            <w:vAlign w:val="center"/>
          </w:tcPr>
          <w:p w14:paraId="59AE7063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150</w:t>
            </w:r>
          </w:p>
        </w:tc>
        <w:tc>
          <w:tcPr>
            <w:tcW w:w="8540" w:type="dxa"/>
          </w:tcPr>
          <w:p w14:paraId="141A5DA2" w14:textId="24D656E0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1.2.4 2B. szint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eszközfedezetű értékpapírok (lakóingatlan vagy gépjármű, 1. hitelminőségi b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sorolás)</w:t>
            </w:r>
          </w:p>
          <w:p w14:paraId="14AEF4BF" w14:textId="77CBE04A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rendkívül magas minőségű 1-es szintű fedezett kö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vényt (adott) cserélt 2B. szintű eszköz fedezetű értékpapírokra (lakóingatlan vagy gépjármű, 1. h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telminőségi besorolás) (kapott).</w:t>
            </w:r>
          </w:p>
        </w:tc>
      </w:tr>
      <w:tr w:rsidR="00EF2859" w:rsidRPr="00EF2859" w14:paraId="57E40B26" w14:textId="77777777" w:rsidTr="0035465A">
        <w:tc>
          <w:tcPr>
            <w:tcW w:w="1100" w:type="dxa"/>
            <w:vAlign w:val="center"/>
          </w:tcPr>
          <w:p w14:paraId="10905A6F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160</w:t>
            </w:r>
          </w:p>
        </w:tc>
        <w:tc>
          <w:tcPr>
            <w:tcW w:w="8540" w:type="dxa"/>
          </w:tcPr>
          <w:p w14:paraId="0CE9FEE3" w14:textId="4DCF9AE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1.2.5 2B. szint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magas minőségű fedezett kötvények</w:t>
            </w:r>
          </w:p>
          <w:p w14:paraId="6E554279" w14:textId="63686912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rendkívül magas minőségű 1-es szintű fedezett kö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vényt (adott) cserélt 2B. szintű magas minőségű fedezett kötvényekre (kapott). </w:t>
            </w:r>
          </w:p>
        </w:tc>
      </w:tr>
      <w:tr w:rsidR="00EF2859" w:rsidRPr="00EF2859" w14:paraId="41E1B530" w14:textId="77777777" w:rsidTr="0035465A">
        <w:tc>
          <w:tcPr>
            <w:tcW w:w="1100" w:type="dxa"/>
            <w:vAlign w:val="center"/>
          </w:tcPr>
          <w:p w14:paraId="628C9FEC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170</w:t>
            </w:r>
          </w:p>
        </w:tc>
        <w:tc>
          <w:tcPr>
            <w:tcW w:w="8540" w:type="dxa"/>
          </w:tcPr>
          <w:p w14:paraId="47E008E2" w14:textId="30766D5B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1.2.6 2B. szint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eszközfedezetű értékpapírok (vállalati vagy háztartási hitel, tagállam, 1. hite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l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minőségi besorolás)</w:t>
            </w:r>
          </w:p>
          <w:p w14:paraId="1A68CF34" w14:textId="3793D0D9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rendkívül magas minőségű 1-es fedezett kötvényt (adott) cserélt 2B. szintű eszköz fedezetű értékpapírokra (vállalati vagy háztartási hitel, tagállam, 1. hitelminőségi besorolás) (kapott).</w:t>
            </w:r>
            <w:r w:rsidRPr="00EF2859">
              <w:rPr>
                <w:rFonts w:eastAsia="PMingLiU" w:cs="Times New Roman"/>
                <w:szCs w:val="20"/>
                <w:lang w:eastAsia="de-DE"/>
              </w:rPr>
              <w:t xml:space="preserve"> </w:t>
            </w:r>
          </w:p>
        </w:tc>
      </w:tr>
      <w:tr w:rsidR="00EF2859" w:rsidRPr="00EF2859" w14:paraId="0DF2024E" w14:textId="77777777" w:rsidTr="0035465A">
        <w:tc>
          <w:tcPr>
            <w:tcW w:w="1100" w:type="dxa"/>
            <w:vAlign w:val="center"/>
          </w:tcPr>
          <w:p w14:paraId="0AF0CE3A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180</w:t>
            </w:r>
          </w:p>
        </w:tc>
        <w:tc>
          <w:tcPr>
            <w:tcW w:w="8540" w:type="dxa"/>
          </w:tcPr>
          <w:p w14:paraId="53244E1A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1.2.7 Egyéb 2B. szintű</w:t>
            </w:r>
          </w:p>
          <w:p w14:paraId="71D18541" w14:textId="3CBFF198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rendkívül magas minőségű 1-es szintű fedezett kö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vényt (adott) cserélt egyéb 2B. szintű eszközökre (kapott).</w:t>
            </w:r>
          </w:p>
        </w:tc>
      </w:tr>
      <w:tr w:rsidR="00EF2859" w:rsidRPr="00EF2859" w14:paraId="288BF0F0" w14:textId="77777777" w:rsidTr="0035465A">
        <w:tc>
          <w:tcPr>
            <w:tcW w:w="1100" w:type="dxa"/>
            <w:vAlign w:val="center"/>
          </w:tcPr>
          <w:p w14:paraId="184F2F33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190</w:t>
            </w:r>
          </w:p>
        </w:tc>
        <w:tc>
          <w:tcPr>
            <w:tcW w:w="8540" w:type="dxa"/>
          </w:tcPr>
          <w:p w14:paraId="30D2683B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1.2.8 Nem likvid eszközök</w:t>
            </w:r>
          </w:p>
          <w:p w14:paraId="71AD831D" w14:textId="2AA4291D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rendkívül magas minőségű 1-es szintű fedezett kö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vényt (adott) cserélt nem likvid eszközökre (kapott).</w:t>
            </w:r>
            <w:r w:rsidRPr="00EF2859">
              <w:rPr>
                <w:rFonts w:eastAsia="PMingLiU" w:cs="Times New Roman"/>
                <w:szCs w:val="20"/>
                <w:lang w:eastAsia="de-DE"/>
              </w:rPr>
              <w:t xml:space="preserve"> </w:t>
            </w:r>
          </w:p>
        </w:tc>
      </w:tr>
      <w:tr w:rsidR="00EF2859" w:rsidRPr="00EF2859" w14:paraId="1387E359" w14:textId="77777777" w:rsidTr="0035465A">
        <w:tc>
          <w:tcPr>
            <w:tcW w:w="1100" w:type="dxa"/>
            <w:shd w:val="clear" w:color="auto" w:fill="auto"/>
            <w:vAlign w:val="center"/>
          </w:tcPr>
          <w:p w14:paraId="1BA6F557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8540" w:type="dxa"/>
            <w:shd w:val="clear" w:color="auto" w:fill="auto"/>
          </w:tcPr>
          <w:p w14:paraId="6F1ECF63" w14:textId="2A1D8ECC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 Összes tranzakció, amelyben 2A. szintű eszközök hitelezése és a következő biztosítékok kö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l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csönvétele történt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</w:t>
            </w:r>
          </w:p>
          <w:p w14:paraId="0381D92F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rendeletének 28. cikkének 4. és 32. cikkének 3. bekezdése.</w:t>
            </w:r>
          </w:p>
          <w:p w14:paraId="2F420A0A" w14:textId="76CA0FA7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oszloponként a biztosítéki csereügyletek és a biztosítékkal fedezett származtatott termékek teljes értékét, azokra a tranzakciókra, melyek során 2A. szintű eszközöket hiteleznek.</w:t>
            </w:r>
          </w:p>
        </w:tc>
      </w:tr>
      <w:tr w:rsidR="00EF2859" w:rsidRPr="00EF2859" w14:paraId="52303553" w14:textId="77777777" w:rsidTr="0035465A">
        <w:tc>
          <w:tcPr>
            <w:tcW w:w="1100" w:type="dxa"/>
            <w:vAlign w:val="center"/>
          </w:tcPr>
          <w:p w14:paraId="5F298C45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210</w:t>
            </w:r>
          </w:p>
        </w:tc>
        <w:tc>
          <w:tcPr>
            <w:tcW w:w="8540" w:type="dxa"/>
          </w:tcPr>
          <w:p w14:paraId="57F72315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1.3.1 1. szintű eszközök (kivéve rendkívül magas minőségű fedezett kötvények)</w:t>
            </w:r>
          </w:p>
          <w:p w14:paraId="638A7826" w14:textId="40C77CDE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Arial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2A. szintű eszközöket (adott) cserélt 1-es szintű eszközökre (kivéve rendkívül magas minőségű fedezett kötvények) (kapott).</w:t>
            </w:r>
          </w:p>
        </w:tc>
      </w:tr>
      <w:tr w:rsidR="00EF2859" w:rsidRPr="00EF2859" w14:paraId="4756B7D0" w14:textId="77777777" w:rsidTr="0035465A">
        <w:tc>
          <w:tcPr>
            <w:tcW w:w="1100" w:type="dxa"/>
            <w:vAlign w:val="center"/>
          </w:tcPr>
          <w:p w14:paraId="1E7AA418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220</w:t>
            </w:r>
          </w:p>
        </w:tc>
        <w:tc>
          <w:tcPr>
            <w:tcW w:w="8540" w:type="dxa"/>
          </w:tcPr>
          <w:p w14:paraId="61F5F89F" w14:textId="4A4E02F1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1.3.2 1. szint</w:t>
            </w:r>
            <w:r w:rsidR="00B06D15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rendkívül magas minőségű fedezett kötvények</w:t>
            </w:r>
          </w:p>
          <w:p w14:paraId="2B85CEAE" w14:textId="400E2C96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2A. szintű eszközöket (adott) cserélt rendkívül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gas minőségű 1-es szintű fedezett kötvényekre (kapott).</w:t>
            </w:r>
          </w:p>
        </w:tc>
      </w:tr>
      <w:tr w:rsidR="00EF2859" w:rsidRPr="00EF2859" w14:paraId="3561ED38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64D66ECB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230</w:t>
            </w:r>
          </w:p>
        </w:tc>
        <w:tc>
          <w:tcPr>
            <w:tcW w:w="8540" w:type="dxa"/>
            <w:shd w:val="clear" w:color="auto" w:fill="FFFFFF" w:themeFill="background1"/>
          </w:tcPr>
          <w:p w14:paraId="11653F7C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1.3.3 2A. szintű eszközök</w:t>
            </w:r>
          </w:p>
          <w:p w14:paraId="13D6E027" w14:textId="0918D201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2A. szintű eszközöket (adott) cserélt 2A. szintű es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közökre (kapott).</w:t>
            </w:r>
            <w:r w:rsidRPr="00EF2859">
              <w:rPr>
                <w:rFonts w:eastAsia="PMingLiU" w:cs="Times New Roman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EF2859" w:rsidRPr="00EF2859" w14:paraId="7345DE9A" w14:textId="77777777" w:rsidTr="0035465A">
        <w:tc>
          <w:tcPr>
            <w:tcW w:w="1100" w:type="dxa"/>
            <w:vAlign w:val="center"/>
          </w:tcPr>
          <w:p w14:paraId="08D647E7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240</w:t>
            </w:r>
          </w:p>
        </w:tc>
        <w:tc>
          <w:tcPr>
            <w:tcW w:w="8540" w:type="dxa"/>
            <w:shd w:val="clear" w:color="auto" w:fill="auto"/>
          </w:tcPr>
          <w:p w14:paraId="1F911221" w14:textId="2DD3AAF3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1.3.4 2B. szint</w:t>
            </w:r>
            <w:r w:rsidR="00F215E4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eszközfedezetű értékpapírok (lakóingatlan vagy gépjármű, 1. hitelminőségi b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sorolás)</w:t>
            </w:r>
          </w:p>
          <w:p w14:paraId="3199C5CC" w14:textId="183D12FC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2A. szintű eszközöket (adott) cserélt 2B. szintű es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köz fedezetű értékpapírokra (lakóingatlan vagy gépjármű, 1. hitelminőségi besorolás) (kapott).</w:t>
            </w:r>
            <w:r w:rsidRPr="00EF2859">
              <w:rPr>
                <w:rFonts w:eastAsia="PMingLiU" w:cs="Times New Roman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EF2859" w:rsidRPr="00EF2859" w14:paraId="283CE4AA" w14:textId="77777777" w:rsidTr="0035465A">
        <w:tc>
          <w:tcPr>
            <w:tcW w:w="1100" w:type="dxa"/>
            <w:vAlign w:val="center"/>
          </w:tcPr>
          <w:p w14:paraId="5A799C53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250</w:t>
            </w:r>
          </w:p>
        </w:tc>
        <w:tc>
          <w:tcPr>
            <w:tcW w:w="8540" w:type="dxa"/>
            <w:shd w:val="clear" w:color="auto" w:fill="auto"/>
          </w:tcPr>
          <w:p w14:paraId="066F0907" w14:textId="2C51E620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Cs/>
                <w:szCs w:val="20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1.3.5 2B. szint</w:t>
            </w:r>
            <w:r w:rsidR="00F215E4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magas minőségű fedezett kötvények</w:t>
            </w:r>
          </w:p>
          <w:p w14:paraId="14980D24" w14:textId="7A0DFDDF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2A. szintű eszközöket (adott) cserélt 2B. szintű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gas minőségű fedezett kötvényekre (kapott). </w:t>
            </w:r>
          </w:p>
        </w:tc>
      </w:tr>
      <w:tr w:rsidR="00EF2859" w:rsidRPr="00EF2859" w14:paraId="24784680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431D0548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260</w:t>
            </w:r>
          </w:p>
        </w:tc>
        <w:tc>
          <w:tcPr>
            <w:tcW w:w="8540" w:type="dxa"/>
            <w:shd w:val="clear" w:color="auto" w:fill="FFFFFF" w:themeFill="background1"/>
          </w:tcPr>
          <w:p w14:paraId="4B60657C" w14:textId="5CF615CA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1.3.6 2B. szint</w:t>
            </w:r>
            <w:r w:rsidR="00F215E4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eszközfedezetű értékpapírok (vállalati vagy háztartási hitel, tagállam, 1. hite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l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minőségi besorolás)</w:t>
            </w:r>
          </w:p>
          <w:p w14:paraId="61EEE29B" w14:textId="05D15A49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2A. szintű eszközöket (adott) cserélt 2B. szintű es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köz fedezetű értékpapírokra (vállalati vagy háztartási hitel, tagállam, 1. hitelminőségi besorolás) (kapott).</w:t>
            </w:r>
          </w:p>
        </w:tc>
      </w:tr>
      <w:tr w:rsidR="00EF2859" w:rsidRPr="00EF2859" w14:paraId="64245C27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35356F72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270</w:t>
            </w:r>
          </w:p>
        </w:tc>
        <w:tc>
          <w:tcPr>
            <w:tcW w:w="8540" w:type="dxa"/>
            <w:shd w:val="clear" w:color="auto" w:fill="FFFFFF" w:themeFill="background1"/>
          </w:tcPr>
          <w:p w14:paraId="5E01452C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1.3.7 Egyéb 2B. szintű</w:t>
            </w:r>
          </w:p>
          <w:p w14:paraId="502986C7" w14:textId="4B81692D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2A. szintű eszközöket (adott) cserélt egyéb 2B. szi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tű eszközökre (kapott).</w:t>
            </w:r>
          </w:p>
        </w:tc>
      </w:tr>
      <w:tr w:rsidR="00EF2859" w:rsidRPr="00EF2859" w14:paraId="6375B9BC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61F03888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280</w:t>
            </w:r>
          </w:p>
        </w:tc>
        <w:tc>
          <w:tcPr>
            <w:tcW w:w="8540" w:type="dxa"/>
            <w:shd w:val="clear" w:color="auto" w:fill="FFFFFF" w:themeFill="background1"/>
          </w:tcPr>
          <w:p w14:paraId="57B5969E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1.3.8 Nem likvid eszközök</w:t>
            </w:r>
          </w:p>
          <w:p w14:paraId="4D196CF4" w14:textId="3EACC834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2A. szintű eszközöket (adott) cserélt nem likvid es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közökre (kapott).</w:t>
            </w:r>
          </w:p>
        </w:tc>
      </w:tr>
      <w:tr w:rsidR="00EF2859" w:rsidRPr="00EF2859" w14:paraId="7A85F1D2" w14:textId="77777777" w:rsidTr="0035465A">
        <w:tc>
          <w:tcPr>
            <w:tcW w:w="1100" w:type="dxa"/>
            <w:shd w:val="clear" w:color="auto" w:fill="auto"/>
            <w:vAlign w:val="center"/>
          </w:tcPr>
          <w:p w14:paraId="36634D1F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290</w:t>
            </w:r>
          </w:p>
        </w:tc>
        <w:tc>
          <w:tcPr>
            <w:tcW w:w="8540" w:type="dxa"/>
            <w:shd w:val="clear" w:color="auto" w:fill="auto"/>
          </w:tcPr>
          <w:p w14:paraId="1A92605A" w14:textId="7A66D3E6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1.4 Összes tranzakció, amelyben 2B. szintű: eszközfedezetű értékpapírok (lakóingatlan vagy gépjármű, 1. hitelminőségi besorolás) hitelezése és a következő biztosítékok kölcsönvétele tö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r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tént</w:t>
            </w:r>
            <w:r w:rsidR="00F215E4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</w:t>
            </w:r>
          </w:p>
          <w:p w14:paraId="65B4EBF2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rendeletének 28. cikkének 4. és 32. cikkének 3. bekezdése.</w:t>
            </w:r>
          </w:p>
          <w:p w14:paraId="1C3363BC" w14:textId="2B224F9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bCs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oszloponként a biztosítéki csereügyletek és a biztosítékkal fedezett származtatott termékek teljes értékét, azokra a tranzakciókra, melyek során 2B. szintű eszköz fedezetű értékpapírokat hiteleznek (lakóingatlan vagy gépjármű, 1. hitelminőségi besor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lás).</w:t>
            </w:r>
            <w:r w:rsidR="00B43698" w:rsidRPr="00EF2859">
              <w:rPr>
                <w:rFonts w:eastAsia="PMingLiU" w:cs="Times New Roman"/>
                <w:bCs/>
                <w:szCs w:val="20"/>
                <w:lang w:eastAsia="de-DE"/>
              </w:rPr>
              <w:t xml:space="preserve"> </w:t>
            </w:r>
          </w:p>
        </w:tc>
      </w:tr>
    </w:tbl>
    <w:p w14:paraId="0BF4ED63" w14:textId="77777777" w:rsidR="00B43698" w:rsidRDefault="00B43698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40"/>
      </w:tblGrid>
      <w:tr w:rsidR="00EF2859" w:rsidRPr="00EF2859" w14:paraId="46BA6ACE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7F9AECE9" w14:textId="05F465E0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lastRenderedPageBreak/>
              <w:t>300</w:t>
            </w:r>
          </w:p>
        </w:tc>
        <w:tc>
          <w:tcPr>
            <w:tcW w:w="8540" w:type="dxa"/>
            <w:shd w:val="clear" w:color="auto" w:fill="FFFFFF" w:themeFill="background1"/>
          </w:tcPr>
          <w:p w14:paraId="757FAEF0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1.4.1 1. szintű eszközök (kivéve rendkívül magas minőségű fedezett kötvények)</w:t>
            </w:r>
          </w:p>
          <w:p w14:paraId="5F5B257F" w14:textId="51DC27EC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Arial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(lakói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gatlan vagy gépjármű, 1. hitelminőségi besorolás) (adott) cserélt 1-es szintű eszközökre (kivéve rendkívül magas minőségű fedezett kötvények) (kapott). </w:t>
            </w:r>
          </w:p>
        </w:tc>
      </w:tr>
      <w:tr w:rsidR="00EF2859" w:rsidRPr="00EF2859" w14:paraId="326543FB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78A0295D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310</w:t>
            </w:r>
          </w:p>
        </w:tc>
        <w:tc>
          <w:tcPr>
            <w:tcW w:w="8540" w:type="dxa"/>
            <w:shd w:val="clear" w:color="auto" w:fill="FFFFFF" w:themeFill="background1"/>
          </w:tcPr>
          <w:p w14:paraId="335FCE65" w14:textId="67AEE11D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b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1.4.2 1. szint</w:t>
            </w:r>
            <w:r w:rsidR="00F215E4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: rendkívül magas minőségű fedezett kötvények</w:t>
            </w:r>
          </w:p>
          <w:p w14:paraId="6A03E496" w14:textId="4E43AC7B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(lakói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gatlan vagy gépjármű, 1. hitelminőségi besorolás) (adott) cserélt rendkívül magas minőségű 1-es szintű fedezett kötvényekre (kapott). </w:t>
            </w:r>
          </w:p>
        </w:tc>
      </w:tr>
      <w:tr w:rsidR="00EF2859" w:rsidRPr="00EF2859" w14:paraId="618B018A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71EDC6D4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320</w:t>
            </w:r>
          </w:p>
        </w:tc>
        <w:tc>
          <w:tcPr>
            <w:tcW w:w="8540" w:type="dxa"/>
            <w:shd w:val="clear" w:color="auto" w:fill="FFFFFF" w:themeFill="background1"/>
          </w:tcPr>
          <w:p w14:paraId="49F19A44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 xml:space="preserve">1.4.3 </w:t>
            </w:r>
            <w:r w:rsidRPr="00EF2859">
              <w:rPr>
                <w:rFonts w:eastAsia="PMingLiU" w:cs="Times New Roman"/>
                <w:b/>
                <w:szCs w:val="20"/>
                <w:u w:val="single"/>
                <w:lang w:eastAsia="de-DE"/>
              </w:rPr>
              <w:t>2A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. szintű eszközök</w:t>
            </w:r>
          </w:p>
          <w:p w14:paraId="28CD282D" w14:textId="153CC96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(lakói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gatlan vagy gépjármű, 1. hitelminőségi besorolás) (adott) cserélt 2A. szintű eszközökre (kapott). </w:t>
            </w:r>
          </w:p>
        </w:tc>
      </w:tr>
      <w:tr w:rsidR="00EF2859" w:rsidRPr="00EF2859" w14:paraId="11592DC3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2CC6F801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330</w:t>
            </w:r>
          </w:p>
        </w:tc>
        <w:tc>
          <w:tcPr>
            <w:tcW w:w="8540" w:type="dxa"/>
            <w:shd w:val="clear" w:color="auto" w:fill="FFFFFF" w:themeFill="background1"/>
          </w:tcPr>
          <w:p w14:paraId="68251547" w14:textId="3AFF039B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1.4.4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(lakóingatlan vagy gépjármű, 1. hitelminőségi b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sorolás)</w:t>
            </w:r>
          </w:p>
          <w:p w14:paraId="3C0B1CB5" w14:textId="5806F1F2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(lakói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gatlan vagy gépjármű, 1. hitelminőségi besorolás) (adott) cserélt 2B. szintű eszköz fedezetű é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tékpapírokra (lakóingatlan vagy gépjármű, 1. hitelminőségi besorolás) (kapott).</w:t>
            </w:r>
          </w:p>
        </w:tc>
      </w:tr>
      <w:tr w:rsidR="00EF2859" w:rsidRPr="00EF2859" w14:paraId="5BE104EC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253D5BCC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340</w:t>
            </w:r>
          </w:p>
        </w:tc>
        <w:tc>
          <w:tcPr>
            <w:tcW w:w="8540" w:type="dxa"/>
            <w:shd w:val="clear" w:color="auto" w:fill="FFFFFF" w:themeFill="background1"/>
          </w:tcPr>
          <w:p w14:paraId="3DF75F4D" w14:textId="643A24A1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1.4.5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magas minőségű fedezett kötvények</w:t>
            </w:r>
          </w:p>
          <w:p w14:paraId="5D59DF86" w14:textId="1D7CAAFB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(lakói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gatlan vagy gépjármű, 1. hitelminőségi besorolás) (adott) cserélt 2B. szintű magas minőségű f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dezett kötvényekre (kapott).</w:t>
            </w:r>
          </w:p>
        </w:tc>
      </w:tr>
      <w:tr w:rsidR="00EF2859" w:rsidRPr="00EF2859" w14:paraId="651E21B3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6286CB7E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350</w:t>
            </w:r>
          </w:p>
        </w:tc>
        <w:tc>
          <w:tcPr>
            <w:tcW w:w="8540" w:type="dxa"/>
            <w:shd w:val="clear" w:color="auto" w:fill="FFFFFF" w:themeFill="background1"/>
          </w:tcPr>
          <w:p w14:paraId="683980FB" w14:textId="259C0DBB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1.4.6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(vállalati vagy háztartási hitel, tagállam, 1. hite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l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minőségi besorolás)</w:t>
            </w:r>
          </w:p>
          <w:p w14:paraId="4AD4E9E7" w14:textId="52B81F6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(lakói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gatlan vagy gépjármű, 1. hitelminőségi besorolás) (adott) cserélt 2B. szintű eszköz fedezetű é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r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tékpapírokra (vállalati vagy háztartási hitel, tagállam, 1. hitelminőségi besorolás) (kapott).</w:t>
            </w:r>
            <w:r w:rsidRPr="00EF2859">
              <w:rPr>
                <w:rFonts w:eastAsia="PMingLiU" w:cs="Times New Roman"/>
                <w:szCs w:val="20"/>
                <w:lang w:eastAsia="de-DE"/>
              </w:rPr>
              <w:t xml:space="preserve"> </w:t>
            </w:r>
          </w:p>
        </w:tc>
      </w:tr>
      <w:tr w:rsidR="00EF2859" w:rsidRPr="00EF2859" w14:paraId="4747E141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4FFFC79D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360</w:t>
            </w:r>
          </w:p>
        </w:tc>
        <w:tc>
          <w:tcPr>
            <w:tcW w:w="8540" w:type="dxa"/>
            <w:shd w:val="clear" w:color="auto" w:fill="FFFFFF" w:themeFill="background1"/>
          </w:tcPr>
          <w:p w14:paraId="2299A7FB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1.4.7 Egyéb 2B. szintű</w:t>
            </w:r>
          </w:p>
          <w:p w14:paraId="0F944C82" w14:textId="7C995914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(lakói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gatlan vagy gépjármű, 1. hitelminőségi besorolás) (adott) cserélt egyéb 2B. szintű eszközökre (k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pott).</w:t>
            </w:r>
          </w:p>
        </w:tc>
      </w:tr>
      <w:tr w:rsidR="00EF2859" w:rsidRPr="00EF2859" w14:paraId="6D720250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2B996623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370</w:t>
            </w:r>
          </w:p>
        </w:tc>
        <w:tc>
          <w:tcPr>
            <w:tcW w:w="8540" w:type="dxa"/>
            <w:shd w:val="clear" w:color="auto" w:fill="FFFFFF" w:themeFill="background1"/>
          </w:tcPr>
          <w:p w14:paraId="36F0194B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1.4.8 Nem likvid eszközök</w:t>
            </w:r>
          </w:p>
          <w:p w14:paraId="2E43787C" w14:textId="21FB49FB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(lakói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gatlan vagy gépjármű, 1. hitelminőségi besorolás) (adott) cserélt nem likvid eszközökre (kapott).</w:t>
            </w:r>
          </w:p>
        </w:tc>
      </w:tr>
      <w:tr w:rsidR="00EF2859" w:rsidRPr="00EF2859" w14:paraId="076DAB2E" w14:textId="77777777" w:rsidTr="0035465A">
        <w:tc>
          <w:tcPr>
            <w:tcW w:w="1100" w:type="dxa"/>
            <w:shd w:val="clear" w:color="auto" w:fill="auto"/>
            <w:vAlign w:val="center"/>
          </w:tcPr>
          <w:p w14:paraId="49CFAC06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380</w:t>
            </w:r>
          </w:p>
        </w:tc>
        <w:tc>
          <w:tcPr>
            <w:tcW w:w="8540" w:type="dxa"/>
            <w:shd w:val="clear" w:color="auto" w:fill="auto"/>
          </w:tcPr>
          <w:p w14:paraId="3F0750D9" w14:textId="184A542F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 Összes tranzakció, amelyben 2B. szintű: magas minőségű fedezett kötvény</w:t>
            </w:r>
            <w:r w:rsidR="0063245F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ek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 xml:space="preserve"> hitelezése és a következő biztosítékok kölcsönvétele történt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</w:t>
            </w:r>
          </w:p>
          <w:p w14:paraId="01336812" w14:textId="4051E372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rendeletének 28. cikkének 4. és 32. cikkének 3. bekezdése.</w:t>
            </w:r>
          </w:p>
          <w:p w14:paraId="3694D9A0" w14:textId="208F6E46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oszloponként a biztosítéki csereügyletek és a biztosítékkal fedezett származtatott termékek teljes értékét, azokra a tranzakciókra, melyek során 2B. szintű magas minőségű fedezett kötvényeket hiteleznek.</w:t>
            </w:r>
          </w:p>
        </w:tc>
      </w:tr>
      <w:tr w:rsidR="00EF2859" w:rsidRPr="00EF2859" w14:paraId="6E3B7E60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154CA9A1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390</w:t>
            </w:r>
          </w:p>
        </w:tc>
        <w:tc>
          <w:tcPr>
            <w:tcW w:w="8540" w:type="dxa"/>
            <w:shd w:val="clear" w:color="auto" w:fill="FFFFFF" w:themeFill="background1"/>
          </w:tcPr>
          <w:p w14:paraId="39143585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1.5.1 1. szintű eszközök (kivéve rendkívül magas minőségű fedezett kötvények)</w:t>
            </w:r>
          </w:p>
          <w:p w14:paraId="2FF1E719" w14:textId="39862F73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magas minőségű fedezett kötvényeket (adott) cserélt 1-es szintű eszközökre (kivéve rendkívül magas minőségű fedezett kötvények) (k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pott).</w:t>
            </w:r>
          </w:p>
        </w:tc>
      </w:tr>
      <w:tr w:rsidR="00EF2859" w:rsidRPr="00EF2859" w14:paraId="4201D8F5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7B6C0FF9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400</w:t>
            </w:r>
          </w:p>
        </w:tc>
        <w:tc>
          <w:tcPr>
            <w:tcW w:w="8540" w:type="dxa"/>
            <w:shd w:val="clear" w:color="auto" w:fill="FFFFFF" w:themeFill="background1"/>
          </w:tcPr>
          <w:p w14:paraId="7BADC142" w14:textId="6EC77F38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1.5.2 1.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rendkívül magas minőségű fedezett kötvények</w:t>
            </w:r>
          </w:p>
          <w:p w14:paraId="3678592D" w14:textId="6BD7153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Azon tranzakciók, melyek során az intézmény 2B. szintű magas minőségű fedezett kötvényeket 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(adott) cserélt rendkívül magas minőségű 1-es szintű fedezett kötvényekre (kapott).</w:t>
            </w:r>
            <w:r w:rsidRPr="00EF2859">
              <w:rPr>
                <w:rFonts w:eastAsia="PMingLiU" w:cs="Times New Roman"/>
                <w:szCs w:val="20"/>
                <w:lang w:eastAsia="de-DE"/>
              </w:rPr>
              <w:t xml:space="preserve"> </w:t>
            </w:r>
          </w:p>
        </w:tc>
      </w:tr>
      <w:tr w:rsidR="00EF2859" w:rsidRPr="00EF2859" w14:paraId="58C7883A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5BECFF07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lastRenderedPageBreak/>
              <w:t>410</w:t>
            </w:r>
          </w:p>
        </w:tc>
        <w:tc>
          <w:tcPr>
            <w:tcW w:w="8540" w:type="dxa"/>
            <w:shd w:val="clear" w:color="auto" w:fill="FFFFFF" w:themeFill="background1"/>
          </w:tcPr>
          <w:p w14:paraId="2E008915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1.5.3 2A. szintű eszközök</w:t>
            </w:r>
          </w:p>
          <w:p w14:paraId="6E1939B3" w14:textId="35558891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magas minőségű fedezett kötvényeket (adott) cserélt 2A. szintű eszközökre (kapott).</w:t>
            </w:r>
          </w:p>
        </w:tc>
      </w:tr>
      <w:tr w:rsidR="00EF2859" w:rsidRPr="00EF2859" w14:paraId="090C88EB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79C2112D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420</w:t>
            </w:r>
          </w:p>
        </w:tc>
        <w:tc>
          <w:tcPr>
            <w:tcW w:w="8540" w:type="dxa"/>
            <w:shd w:val="clear" w:color="auto" w:fill="FFFFFF" w:themeFill="background1"/>
          </w:tcPr>
          <w:p w14:paraId="2519F212" w14:textId="766881B3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1.5.4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(lakóingatlan vagy gépjármű, 1. hitelminőségi b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sorolás)</w:t>
            </w:r>
          </w:p>
          <w:p w14:paraId="2FDB3EFF" w14:textId="2D64F553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magas minőségű fedezett kötvényeket (adott) cserélt 2B. szintű eszköz fedezetű értékpapírokra (lakóingatlan vagy gépjármű, 1. hitelm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nőségi besorolás) (kapott).</w:t>
            </w:r>
          </w:p>
        </w:tc>
      </w:tr>
      <w:tr w:rsidR="00EF2859" w:rsidRPr="00EF2859" w14:paraId="164D6819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40ED4F67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430</w:t>
            </w:r>
          </w:p>
        </w:tc>
        <w:tc>
          <w:tcPr>
            <w:tcW w:w="8540" w:type="dxa"/>
            <w:shd w:val="clear" w:color="auto" w:fill="FFFFFF" w:themeFill="background1"/>
          </w:tcPr>
          <w:p w14:paraId="6B0BE673" w14:textId="2244A1B2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1.5.5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magas minőségű fedezett kötvények</w:t>
            </w:r>
          </w:p>
          <w:p w14:paraId="0D266DC2" w14:textId="1524320B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Azon tranzakciók, melyek során az intézmény 2B. szintű magas minőségű fedezett kötvényeket (adott) cserélt 2B. szintű magas minőségű fedezett kötvényekre (kapott). </w:t>
            </w:r>
          </w:p>
        </w:tc>
      </w:tr>
      <w:tr w:rsidR="00EF2859" w:rsidRPr="00EF2859" w14:paraId="233200CA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329F3889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440</w:t>
            </w:r>
          </w:p>
        </w:tc>
        <w:tc>
          <w:tcPr>
            <w:tcW w:w="8540" w:type="dxa"/>
            <w:shd w:val="clear" w:color="auto" w:fill="FFFFFF" w:themeFill="background1"/>
          </w:tcPr>
          <w:p w14:paraId="2148B51D" w14:textId="3DFBF245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1.5.6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(vállalati vagy háztartási hitel, tagállam, 1. hite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l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minőségi besorolás)</w:t>
            </w:r>
          </w:p>
          <w:p w14:paraId="534BEF8E" w14:textId="28A08F03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magas minőségű fedezett kötvényeket (adott) cserélt 2B. szintű eszköz fedezetű értékpapírokra (vállalati vagy háztartási hitel, tagállam, 1. hitelminőségi besorolás) (kapott).</w:t>
            </w:r>
          </w:p>
        </w:tc>
      </w:tr>
      <w:tr w:rsidR="00EF2859" w:rsidRPr="00EF2859" w14:paraId="4D93BA44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505515EE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450</w:t>
            </w:r>
          </w:p>
        </w:tc>
        <w:tc>
          <w:tcPr>
            <w:tcW w:w="8540" w:type="dxa"/>
            <w:shd w:val="clear" w:color="auto" w:fill="FFFFFF" w:themeFill="background1"/>
          </w:tcPr>
          <w:p w14:paraId="6B372F6A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1.5.7 Egyéb 2B. szintű</w:t>
            </w:r>
          </w:p>
          <w:p w14:paraId="1B1D495A" w14:textId="329B36B7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magas minőségű fedezett kötvényeket (adott) cserélt egyéb 2B. szintű eszközökre (kapott).</w:t>
            </w:r>
          </w:p>
        </w:tc>
      </w:tr>
      <w:tr w:rsidR="00EF2859" w:rsidRPr="00EF2859" w14:paraId="23D29B0C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375DA1DD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460</w:t>
            </w:r>
          </w:p>
        </w:tc>
        <w:tc>
          <w:tcPr>
            <w:tcW w:w="8540" w:type="dxa"/>
            <w:shd w:val="clear" w:color="auto" w:fill="FFFFFF" w:themeFill="background1"/>
          </w:tcPr>
          <w:p w14:paraId="1E1768FD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1.5.8 Nem likvid eszközök</w:t>
            </w:r>
          </w:p>
          <w:p w14:paraId="3338C461" w14:textId="078ECF0B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magas minőségű fedezett kötvényeket (adott) cserélt nem likvid eszközökre (kapott).</w:t>
            </w:r>
          </w:p>
        </w:tc>
      </w:tr>
      <w:tr w:rsidR="00EF2859" w:rsidRPr="00EF2859" w14:paraId="1A8B7C81" w14:textId="77777777" w:rsidTr="0035465A">
        <w:tc>
          <w:tcPr>
            <w:tcW w:w="1100" w:type="dxa"/>
            <w:shd w:val="clear" w:color="auto" w:fill="auto"/>
            <w:vAlign w:val="center"/>
          </w:tcPr>
          <w:p w14:paraId="6192D713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470</w:t>
            </w:r>
          </w:p>
        </w:tc>
        <w:tc>
          <w:tcPr>
            <w:tcW w:w="8540" w:type="dxa"/>
            <w:shd w:val="clear" w:color="auto" w:fill="auto"/>
          </w:tcPr>
          <w:p w14:paraId="5951EB30" w14:textId="27897C91" w:rsidR="00EF2859" w:rsidRPr="00EF2859" w:rsidRDefault="0053538F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 Összes tranzakció, amely</w:t>
            </w:r>
            <w:r w:rsidR="00EF2859"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ben 2B. szintű: eszközfedezetű értékpapírok (vállalati vagy házta</w:t>
            </w:r>
            <w:r w:rsidR="00EF2859"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r</w:t>
            </w:r>
            <w:r w:rsidR="00EF2859"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tási hitel, tagállam, 1. hitelminőségi besorolás) hitelezése és a következő biztosítékok kölcsö</w:t>
            </w:r>
            <w:r w:rsidR="00EF2859"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n</w:t>
            </w:r>
            <w:r w:rsidR="00EF2859"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vétele történt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</w:t>
            </w:r>
          </w:p>
          <w:p w14:paraId="0943D000" w14:textId="0CA99431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rendeletének 28. cikkének 4. és 32. cikkének 3. bekezdése.</w:t>
            </w:r>
          </w:p>
          <w:p w14:paraId="5B4FAC22" w14:textId="60A6E24E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oszloponként a biztosítéki csereügyletek és a biztosítékkal fedezett származtatott termékek teljes értékét, azokra a tranzakciókra, melyek során 2B. szintű eszköz fedezetű értékpapírokat (vállalati vagy háztartási hitel, tagállam, 1. hitelminőségi besor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lás) hiteleznek.</w:t>
            </w:r>
          </w:p>
        </w:tc>
      </w:tr>
      <w:tr w:rsidR="00EF2859" w:rsidRPr="00EF2859" w14:paraId="2CE8F889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743426C5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480</w:t>
            </w:r>
          </w:p>
        </w:tc>
        <w:tc>
          <w:tcPr>
            <w:tcW w:w="8540" w:type="dxa"/>
            <w:shd w:val="clear" w:color="auto" w:fill="FFFFFF" w:themeFill="background1"/>
          </w:tcPr>
          <w:p w14:paraId="0FC03F77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1.6.1 szintű eszközök (kivéve rendkívül magas minőségű fedezett kötvények)</w:t>
            </w:r>
          </w:p>
          <w:p w14:paraId="2FF6DF80" w14:textId="7D44C79D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Arial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(vállalati vagy háztartási hitel, tagállam, 1. hitelminőségi besorolás) (adott) cserélt 1-es szintű eszközökre (kivéve rendkívül magas minőségű fedezett kötvények) (kapott).</w:t>
            </w:r>
          </w:p>
        </w:tc>
      </w:tr>
      <w:tr w:rsidR="00EF2859" w:rsidRPr="00EF2859" w14:paraId="11E05B21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00935ABE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490</w:t>
            </w:r>
          </w:p>
        </w:tc>
        <w:tc>
          <w:tcPr>
            <w:tcW w:w="8540" w:type="dxa"/>
            <w:shd w:val="clear" w:color="auto" w:fill="FFFFFF" w:themeFill="background1"/>
          </w:tcPr>
          <w:p w14:paraId="300CDCA1" w14:textId="058A1B49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1.6.2 1.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rendkívül magas minőségű fedezett kötvények</w:t>
            </w:r>
          </w:p>
          <w:p w14:paraId="6706FB37" w14:textId="52AAC6D9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(vállalati vagy háztartási hitel, tagállam, 1. hitelminőségi besorolás) (adott) cserélt rendkívül magas min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ő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ségű 1-es szintű fedezett kötvényekre (kapott).</w:t>
            </w:r>
          </w:p>
        </w:tc>
      </w:tr>
      <w:tr w:rsidR="00EF2859" w:rsidRPr="00EF2859" w14:paraId="1255FCB0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6714B4E9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500</w:t>
            </w:r>
          </w:p>
        </w:tc>
        <w:tc>
          <w:tcPr>
            <w:tcW w:w="8540" w:type="dxa"/>
            <w:shd w:val="clear" w:color="auto" w:fill="FFFFFF" w:themeFill="background1"/>
          </w:tcPr>
          <w:p w14:paraId="206D4A21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1.6.3 2A. szintű eszközök</w:t>
            </w:r>
          </w:p>
          <w:p w14:paraId="36FC9111" w14:textId="7C9B5390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Azon tranzakciók, melyek során az intézmény 2B. szintű eszköz fedezetű értékpapírokat (vállalati vagy háztartási hitel, tagállam, 1. hitelminőségi besorolás) (adott) cserélt 2A. szintű eszközökre (kapott). </w:t>
            </w:r>
          </w:p>
        </w:tc>
      </w:tr>
    </w:tbl>
    <w:p w14:paraId="0A4CEDB1" w14:textId="77777777" w:rsidR="00B43698" w:rsidRDefault="00B43698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40"/>
      </w:tblGrid>
      <w:tr w:rsidR="00EF2859" w:rsidRPr="00EF2859" w14:paraId="309D557B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07CBB8AB" w14:textId="0500C9DE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lastRenderedPageBreak/>
              <w:t>510</w:t>
            </w:r>
          </w:p>
        </w:tc>
        <w:tc>
          <w:tcPr>
            <w:tcW w:w="8540" w:type="dxa"/>
            <w:shd w:val="clear" w:color="auto" w:fill="FFFFFF" w:themeFill="background1"/>
          </w:tcPr>
          <w:p w14:paraId="2D782B99" w14:textId="1E45674F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1.6.4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(lakóingatlan vagy gépjármű, 1. hitelminőségi b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sorolás)</w:t>
            </w:r>
          </w:p>
          <w:p w14:paraId="36B09DAA" w14:textId="6DE1A841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(vállalati vagy háztartási hitel, tagállam, 1. hitelminőségi besorolás) (adott) cserélt 2B. szintű eszköz fed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zetű értékpapírokra (lakóingatlan vagy gépjármű, 1. hitelminőségi besorolás) (kapott).</w:t>
            </w:r>
          </w:p>
        </w:tc>
      </w:tr>
      <w:tr w:rsidR="00EF2859" w:rsidRPr="00EF2859" w14:paraId="21371484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1EE5178B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520</w:t>
            </w:r>
          </w:p>
        </w:tc>
        <w:tc>
          <w:tcPr>
            <w:tcW w:w="8540" w:type="dxa"/>
            <w:shd w:val="clear" w:color="auto" w:fill="FFFFFF" w:themeFill="background1"/>
          </w:tcPr>
          <w:p w14:paraId="55C4EA64" w14:textId="6799067B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1.6.5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magas minőségű fedezett kötvények</w:t>
            </w:r>
          </w:p>
          <w:p w14:paraId="5A163689" w14:textId="444760F0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(vállalati vagy háztartási hitel, tagállam, 1. hitelminőségi besorolás) (adott) cserélt 2B. szintű magas min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ő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ségű fedezett kötvényekre (kapott).</w:t>
            </w:r>
          </w:p>
        </w:tc>
      </w:tr>
      <w:tr w:rsidR="00EF2859" w:rsidRPr="00EF2859" w14:paraId="47D09377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591AD143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530</w:t>
            </w:r>
          </w:p>
        </w:tc>
        <w:tc>
          <w:tcPr>
            <w:tcW w:w="8540" w:type="dxa"/>
            <w:shd w:val="clear" w:color="auto" w:fill="FFFFFF" w:themeFill="background1"/>
          </w:tcPr>
          <w:p w14:paraId="74DAD1DA" w14:textId="749A9324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1.6.6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(vállalati vagy háztartási hitel, tagállam, 1. hite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l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minőségi besorolás)</w:t>
            </w:r>
          </w:p>
          <w:p w14:paraId="407AF332" w14:textId="015EB587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(vállalati vagy háztartási hitel, tagállam, 1. hitelminőségi besorolás) (adott) cserélt 2B. szintű eszköz fed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e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zetű értékpapírokra (vállalati vagy háztartási hitel, tagállam, 1. hitelminőségi besorolás) (kapott).</w:t>
            </w:r>
          </w:p>
        </w:tc>
      </w:tr>
      <w:tr w:rsidR="00EF2859" w:rsidRPr="00EF2859" w14:paraId="0D6CC78F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27B60EF4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540</w:t>
            </w:r>
          </w:p>
        </w:tc>
        <w:tc>
          <w:tcPr>
            <w:tcW w:w="8540" w:type="dxa"/>
            <w:shd w:val="clear" w:color="auto" w:fill="FFFFFF" w:themeFill="background1"/>
          </w:tcPr>
          <w:p w14:paraId="0E686E80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1.6.7 Egyéb 2B. szintű</w:t>
            </w:r>
          </w:p>
          <w:p w14:paraId="546DA556" w14:textId="2966A37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(vállalati vagy háztartási hitel, tagállam, 1. hitelminőségi besorolás) (adott) cserélt egyéb 2B. szintű eszk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ö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zökre (kapott).</w:t>
            </w:r>
          </w:p>
        </w:tc>
      </w:tr>
      <w:tr w:rsidR="00EF2859" w:rsidRPr="00EF2859" w14:paraId="6D594CCF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21308155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550</w:t>
            </w:r>
          </w:p>
        </w:tc>
        <w:tc>
          <w:tcPr>
            <w:tcW w:w="8540" w:type="dxa"/>
            <w:shd w:val="clear" w:color="auto" w:fill="FFFFFF" w:themeFill="background1"/>
          </w:tcPr>
          <w:p w14:paraId="5CDE5F30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1.6.8 Nem likvid eszközök</w:t>
            </w:r>
          </w:p>
          <w:p w14:paraId="69E766A2" w14:textId="619987CF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2B. szintű eszköz fedezetű értékpapírokat (vállalati vagy háztartási hitel, tagállam, 1. hitelminőségi besorolás) (adott) cserélt nem likvid eszközökre (kapott).</w:t>
            </w:r>
            <w:r w:rsidRPr="00EF2859">
              <w:rPr>
                <w:rFonts w:eastAsia="PMingLiU" w:cs="Times New Roman"/>
                <w:szCs w:val="20"/>
                <w:lang w:eastAsia="de-DE"/>
              </w:rPr>
              <w:t xml:space="preserve"> </w:t>
            </w:r>
          </w:p>
        </w:tc>
      </w:tr>
      <w:tr w:rsidR="00EF2859" w:rsidRPr="00EF2859" w14:paraId="5EF33456" w14:textId="77777777" w:rsidTr="0035465A">
        <w:tc>
          <w:tcPr>
            <w:tcW w:w="1100" w:type="dxa"/>
            <w:shd w:val="clear" w:color="auto" w:fill="auto"/>
            <w:vAlign w:val="center"/>
          </w:tcPr>
          <w:p w14:paraId="15E499FD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560</w:t>
            </w:r>
          </w:p>
        </w:tc>
        <w:tc>
          <w:tcPr>
            <w:tcW w:w="8540" w:type="dxa"/>
            <w:shd w:val="clear" w:color="auto" w:fill="auto"/>
          </w:tcPr>
          <w:p w14:paraId="7DF42AE4" w14:textId="1F57E7EE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 Összes tranzakció, amelyben egyéb 2B. szintű eszközök hitelezése és a következő biztosít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é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kok kölcsönvétele történt</w:t>
            </w:r>
          </w:p>
          <w:p w14:paraId="771ED689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rendeletének 28. cikkének 4. és 32. cikkének 3. bekezdése.</w:t>
            </w:r>
          </w:p>
          <w:p w14:paraId="67C72C16" w14:textId="59FC0067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oszloponként a biztosítéki csereügyletek és a biztosítékkal fedezett származtatott termékek teljes értékét, azokra a tranzakciókra, melyek során egyéb 2B. szintű eszközöket hiteleznek.</w:t>
            </w:r>
          </w:p>
        </w:tc>
      </w:tr>
      <w:tr w:rsidR="00EF2859" w:rsidRPr="00EF2859" w14:paraId="0DBCCC47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332BBA1C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570</w:t>
            </w:r>
          </w:p>
        </w:tc>
        <w:tc>
          <w:tcPr>
            <w:tcW w:w="8540" w:type="dxa"/>
            <w:shd w:val="clear" w:color="auto" w:fill="FFFFFF" w:themeFill="background1"/>
          </w:tcPr>
          <w:p w14:paraId="2F8F891B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1.7.1 1. szintű eszközök (kivéve rendkívül magas minőségű fedezett kötvények)</w:t>
            </w:r>
          </w:p>
          <w:p w14:paraId="79BF6CBB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Azon tranzakciók, melyek során az intézmény egyéb 2B. szintű eszközöket (adott) cserélt 1-es szintű eszközökre (kivéve rendkívül magas minőségű fedezett kötvények) (kapott). </w:t>
            </w:r>
          </w:p>
          <w:p w14:paraId="3FBB4116" w14:textId="77777777" w:rsidR="00EF2859" w:rsidRPr="00EF2859" w:rsidRDefault="00EF2859" w:rsidP="00B43698">
            <w:pPr>
              <w:tabs>
                <w:tab w:val="left" w:pos="8669"/>
              </w:tabs>
              <w:autoSpaceDE w:val="0"/>
              <w:autoSpaceDN w:val="0"/>
              <w:adjustRightInd w:val="0"/>
              <w:spacing w:after="0" w:line="240" w:lineRule="auto"/>
              <w:ind w:left="210" w:right="176"/>
              <w:rPr>
                <w:rFonts w:eastAsia="PMingLiU" w:cs="Arial"/>
                <w:szCs w:val="20"/>
                <w:lang w:eastAsia="de-DE"/>
              </w:rPr>
            </w:pPr>
          </w:p>
        </w:tc>
      </w:tr>
      <w:tr w:rsidR="00EF2859" w:rsidRPr="00EF2859" w14:paraId="6A6EB281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1EF566C2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580</w:t>
            </w:r>
          </w:p>
        </w:tc>
        <w:tc>
          <w:tcPr>
            <w:tcW w:w="8540" w:type="dxa"/>
            <w:shd w:val="clear" w:color="auto" w:fill="FFFFFF" w:themeFill="background1"/>
          </w:tcPr>
          <w:p w14:paraId="4773E556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1.7.2 1. szint: rendkívül magas minőségű fedezett kötvények</w:t>
            </w:r>
          </w:p>
          <w:p w14:paraId="4A1D1216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egyéb 2B. szintű eszközöket (adott) cserélt rendk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í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vül magas minőségű 1-es szintű fedezett kötvényekre (kapott). </w:t>
            </w:r>
          </w:p>
          <w:p w14:paraId="584BAE68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</w:p>
        </w:tc>
      </w:tr>
      <w:tr w:rsidR="00EF2859" w:rsidRPr="00EF2859" w14:paraId="68BE7F56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33C30031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590</w:t>
            </w:r>
          </w:p>
        </w:tc>
        <w:tc>
          <w:tcPr>
            <w:tcW w:w="8540" w:type="dxa"/>
            <w:shd w:val="clear" w:color="auto" w:fill="FFFFFF" w:themeFill="background1"/>
          </w:tcPr>
          <w:p w14:paraId="5AEB1EE8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1.7.3 2A. szintű eszközök</w:t>
            </w:r>
          </w:p>
          <w:p w14:paraId="68BD31F9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egyéb 2B. szintű eszközöket (adott) cserélt 2A. szi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tű eszközökre (kapott).</w:t>
            </w:r>
          </w:p>
          <w:p w14:paraId="3D33011D" w14:textId="77777777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Times New Roman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EF2859" w:rsidRPr="00EF2859" w14:paraId="460721A9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6F280338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600</w:t>
            </w:r>
          </w:p>
        </w:tc>
        <w:tc>
          <w:tcPr>
            <w:tcW w:w="8540" w:type="dxa"/>
            <w:shd w:val="clear" w:color="auto" w:fill="FFFFFF" w:themeFill="background1"/>
          </w:tcPr>
          <w:p w14:paraId="6D107AA5" w14:textId="690BD2F2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1.7.4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(lakóingatlan vagy gépjármű, 1. hitelminőségi b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sorolás)</w:t>
            </w:r>
            <w:r w:rsidRPr="00EF2859">
              <w:rPr>
                <w:rFonts w:eastAsia="PMingLiU" w:cs="Times New Roman"/>
                <w:szCs w:val="20"/>
                <w:u w:val="single"/>
                <w:lang w:eastAsia="de-DE"/>
              </w:rPr>
              <w:t xml:space="preserve"> </w:t>
            </w:r>
          </w:p>
          <w:p w14:paraId="031E8CAB" w14:textId="33A85CBD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egyéb 2B. szintű eszközöket (adott) cserélt 2B. szi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tű eszköz fedezetű értékpapírokra (lakóingatlan vagy gépjármű, 1. hitelminőségi besorolás) (k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lastRenderedPageBreak/>
              <w:t>pott).</w:t>
            </w:r>
          </w:p>
        </w:tc>
      </w:tr>
      <w:tr w:rsidR="00EF2859" w:rsidRPr="00EF2859" w14:paraId="073673F5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1AA32A50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lastRenderedPageBreak/>
              <w:t>610</w:t>
            </w:r>
          </w:p>
        </w:tc>
        <w:tc>
          <w:tcPr>
            <w:tcW w:w="8540" w:type="dxa"/>
            <w:shd w:val="clear" w:color="auto" w:fill="FFFFFF" w:themeFill="background1"/>
          </w:tcPr>
          <w:p w14:paraId="009B0859" w14:textId="05A88C52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1.7.5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magas minőségű fedezett kötvények</w:t>
            </w:r>
          </w:p>
          <w:p w14:paraId="062CFEC5" w14:textId="5CFA9906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egyéb 2B. szintű eszközöket (adott) cserélt 2B. szi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tű magas minőségű fedezett kötvényekre (kapott). </w:t>
            </w:r>
          </w:p>
        </w:tc>
      </w:tr>
      <w:tr w:rsidR="00EF2859" w:rsidRPr="00EF2859" w14:paraId="44164976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4F0B2DCF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620</w:t>
            </w:r>
          </w:p>
        </w:tc>
        <w:tc>
          <w:tcPr>
            <w:tcW w:w="8540" w:type="dxa"/>
            <w:shd w:val="clear" w:color="auto" w:fill="FFFFFF" w:themeFill="background1"/>
          </w:tcPr>
          <w:p w14:paraId="7AE933B0" w14:textId="2E1BE9AD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1.7.6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(vállalati vagy háztartási hitel), tagállam, 1. h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i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telminőségi besorolás)</w:t>
            </w:r>
          </w:p>
          <w:p w14:paraId="5976F809" w14:textId="14CD574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egyéb 2B. szintű eszközöket (adott) cserélt 2B. szi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n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tű eszköz fedezetű értékpapírokra (vállalati vagy háztartási hitel, tagállam, 1. hitelminőségi bes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o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rolás) (kapott).</w:t>
            </w:r>
          </w:p>
        </w:tc>
      </w:tr>
      <w:tr w:rsidR="00EF2859" w:rsidRPr="00EF2859" w14:paraId="30CA9A95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260D05B1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630</w:t>
            </w:r>
          </w:p>
        </w:tc>
        <w:tc>
          <w:tcPr>
            <w:tcW w:w="8540" w:type="dxa"/>
            <w:shd w:val="clear" w:color="auto" w:fill="FFFFFF" w:themeFill="background1"/>
          </w:tcPr>
          <w:p w14:paraId="5CA01843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1.7.7 Egyéb 2B. szintű</w:t>
            </w:r>
          </w:p>
          <w:p w14:paraId="35664DFC" w14:textId="2499AE9C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Azon tranzakciók, melyek során az intézmény egyéb 2B. szintű eszközöket (adott) cserélt egyéb 2B. szintű eszközökre. </w:t>
            </w:r>
          </w:p>
        </w:tc>
      </w:tr>
      <w:tr w:rsidR="00EF2859" w:rsidRPr="00EF2859" w14:paraId="7BC5308F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67991E64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640</w:t>
            </w:r>
          </w:p>
        </w:tc>
        <w:tc>
          <w:tcPr>
            <w:tcW w:w="8540" w:type="dxa"/>
            <w:shd w:val="clear" w:color="auto" w:fill="FFFFFF" w:themeFill="background1"/>
          </w:tcPr>
          <w:p w14:paraId="782FE17A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1.7.8 Nem likvid eszközök</w:t>
            </w:r>
          </w:p>
          <w:p w14:paraId="0002856C" w14:textId="36CC678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egyéb 2B. szintű eszközöket (adott) cserélt nem li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k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vid eszközökre (kapott).</w:t>
            </w:r>
          </w:p>
        </w:tc>
      </w:tr>
      <w:tr w:rsidR="00EF2859" w:rsidRPr="00EF2859" w14:paraId="27F09313" w14:textId="77777777" w:rsidTr="0035465A">
        <w:tc>
          <w:tcPr>
            <w:tcW w:w="1100" w:type="dxa"/>
            <w:shd w:val="clear" w:color="auto" w:fill="auto"/>
            <w:vAlign w:val="center"/>
          </w:tcPr>
          <w:p w14:paraId="56E4E439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650</w:t>
            </w:r>
          </w:p>
        </w:tc>
        <w:tc>
          <w:tcPr>
            <w:tcW w:w="8540" w:type="dxa"/>
            <w:shd w:val="clear" w:color="auto" w:fill="auto"/>
          </w:tcPr>
          <w:p w14:paraId="26143327" w14:textId="2D4DDE5A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 Összes tranzakció, amelyben nem likvid eszközök hitelezése és a következő biztosítékok kölcsönvétele történt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</w:t>
            </w:r>
          </w:p>
          <w:p w14:paraId="121A86AC" w14:textId="77777777" w:rsidR="00EF2859" w:rsidRPr="00B43698" w:rsidRDefault="00EF2859" w:rsidP="00B43698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rendeletének 28. cikkének 4. és 32. cikkének 3. bekezdése.</w:t>
            </w:r>
          </w:p>
          <w:p w14:paraId="0446B73F" w14:textId="5AAC32C8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hitelintézeteknek itt kell jelenteniük oszloponként a biztosítéki csereügyletek és a biztosítékkal fedezett származtatott termékek teljes értékét, azokra a tranzakciókra, melyek során nem likvid eszközöket hiteleznek.</w:t>
            </w:r>
          </w:p>
        </w:tc>
      </w:tr>
      <w:tr w:rsidR="00EF2859" w:rsidRPr="00EF2859" w14:paraId="21D40F00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534719AA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660</w:t>
            </w:r>
          </w:p>
        </w:tc>
        <w:tc>
          <w:tcPr>
            <w:tcW w:w="8540" w:type="dxa"/>
            <w:shd w:val="clear" w:color="auto" w:fill="FFFFFF" w:themeFill="background1"/>
          </w:tcPr>
          <w:p w14:paraId="69B07FD3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1.8.1 1. szintű eszközök (kivéve rendkívül magas minőségű fedezett kötvények)</w:t>
            </w:r>
          </w:p>
          <w:p w14:paraId="18DAED73" w14:textId="1B24F7DA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Arial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nem likvid eszközöket (adott) cserélt 1-es szintű eszközökre (kivéve rendkívül magas minőségű fedezett kötvények) (kapott).</w:t>
            </w:r>
          </w:p>
        </w:tc>
      </w:tr>
      <w:tr w:rsidR="00EF2859" w:rsidRPr="00EF2859" w14:paraId="1B4D347F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5F502BA5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670</w:t>
            </w:r>
          </w:p>
        </w:tc>
        <w:tc>
          <w:tcPr>
            <w:tcW w:w="8540" w:type="dxa"/>
            <w:shd w:val="clear" w:color="auto" w:fill="FFFFFF" w:themeFill="background1"/>
          </w:tcPr>
          <w:p w14:paraId="21A73F12" w14:textId="7FE05B0D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1.8.2 1.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rendkívül magas minőségű fedezett kötvények</w:t>
            </w:r>
          </w:p>
          <w:p w14:paraId="75D8DAC2" w14:textId="2CBF55B4" w:rsidR="00EF2859" w:rsidRPr="00EF2859" w:rsidRDefault="00EF2859" w:rsidP="00CF54F6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bCs/>
                <w:color w:val="000000"/>
                <w:szCs w:val="20"/>
                <w:lang w:eastAsia="en-GB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Azon tranzakciók, melyek során az intézmény </w:t>
            </w:r>
            <w:r w:rsidR="00CF54F6">
              <w:rPr>
                <w:rFonts w:asciiTheme="majorHAnsi" w:eastAsia="Times New Roman" w:hAnsiTheme="majorHAnsi" w:cs="Times New Roman"/>
                <w:color w:val="000000"/>
                <w:szCs w:val="20"/>
              </w:rPr>
              <w:t>likvid eszköznek nem minősülő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eszközöket (adott) cserélt rendkívül magas minőségű 1-es szintű fedezett kötvényekre (kapott).</w:t>
            </w:r>
          </w:p>
        </w:tc>
      </w:tr>
      <w:tr w:rsidR="00EF2859" w:rsidRPr="00EF2859" w14:paraId="63763EC8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7BE3B4E4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680</w:t>
            </w:r>
          </w:p>
        </w:tc>
        <w:tc>
          <w:tcPr>
            <w:tcW w:w="8540" w:type="dxa"/>
            <w:shd w:val="clear" w:color="auto" w:fill="FFFFFF" w:themeFill="background1"/>
          </w:tcPr>
          <w:p w14:paraId="699F76FA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1.8.3 2A. szintű eszközök</w:t>
            </w:r>
          </w:p>
          <w:p w14:paraId="2EF0B5AB" w14:textId="1CFBEA5F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nem likvid eszközöket (adott) cserélt 2A. szintű es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közökre (kapott).</w:t>
            </w:r>
            <w:r w:rsidRPr="00EF2859">
              <w:rPr>
                <w:rFonts w:eastAsia="PMingLiU" w:cs="Times New Roman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EF2859" w:rsidRPr="00EF2859" w14:paraId="0F803BE9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4A535A71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690</w:t>
            </w:r>
          </w:p>
        </w:tc>
        <w:tc>
          <w:tcPr>
            <w:tcW w:w="8540" w:type="dxa"/>
            <w:shd w:val="clear" w:color="auto" w:fill="FFFFFF" w:themeFill="background1"/>
          </w:tcPr>
          <w:p w14:paraId="7AC18E71" w14:textId="5D11ED51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1.8.4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(lakóingatlan vagy gépjármű, 1. hitelminőségi b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sorolás)</w:t>
            </w:r>
          </w:p>
          <w:p w14:paraId="3AB366EC" w14:textId="075AF596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u w:val="single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nem likvid eszközöket (adott) cserélt 2B. szintű es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köz fedezetű értékpapírokra (lakóingatlan vagy gépjármű, 1. hitelminőségi besorolás) (kapott).</w:t>
            </w:r>
            <w:r w:rsidRPr="00EF2859">
              <w:rPr>
                <w:rFonts w:eastAsia="PMingLiU" w:cs="Times New Roman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EF2859" w:rsidRPr="00EF2859" w14:paraId="1A14B971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45871AC2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700</w:t>
            </w:r>
          </w:p>
        </w:tc>
        <w:tc>
          <w:tcPr>
            <w:tcW w:w="8540" w:type="dxa"/>
            <w:shd w:val="clear" w:color="auto" w:fill="FFFFFF" w:themeFill="background1"/>
          </w:tcPr>
          <w:p w14:paraId="6B1A5865" w14:textId="13CA3656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1.8.5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magas minőségű fedezett kötvények</w:t>
            </w:r>
          </w:p>
          <w:p w14:paraId="0B997B1D" w14:textId="478C4260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nem likvid eszközöket (adott) cserélt 2B. szintű m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gas minőségű fedezett kötvényekre (kapott).</w:t>
            </w:r>
          </w:p>
        </w:tc>
      </w:tr>
      <w:tr w:rsidR="00EF2859" w:rsidRPr="00EF2859" w14:paraId="03A6F84D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281AD67B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710</w:t>
            </w:r>
          </w:p>
        </w:tc>
        <w:tc>
          <w:tcPr>
            <w:tcW w:w="8540" w:type="dxa"/>
            <w:shd w:val="clear" w:color="auto" w:fill="FFFFFF" w:themeFill="background1"/>
          </w:tcPr>
          <w:p w14:paraId="28A2E987" w14:textId="4F934906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1.8.6 2B. szint</w:t>
            </w:r>
            <w:r w:rsidR="00F215E4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ű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: eszközfedezetű értékpapírok (vállalati vagy háztartási hitel, tagállam, 1. hite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l</w:t>
            </w: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minőségi besorolás)</w:t>
            </w:r>
          </w:p>
          <w:p w14:paraId="2A89CDC0" w14:textId="6ADB304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nem likvid eszközöket (adott) cserélt 2B. szintű es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z</w:t>
            </w: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köz fedezetű értékpapírokra (vállalati vagy háztartási hitel, tagállam, 1. hitelminőségi besorolás) (kapott).</w:t>
            </w:r>
          </w:p>
        </w:tc>
      </w:tr>
      <w:tr w:rsidR="00EF2859" w:rsidRPr="00EF2859" w14:paraId="2DA29C6C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37904245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lastRenderedPageBreak/>
              <w:t>720</w:t>
            </w:r>
          </w:p>
        </w:tc>
        <w:tc>
          <w:tcPr>
            <w:tcW w:w="8540" w:type="dxa"/>
            <w:shd w:val="clear" w:color="auto" w:fill="FFFFFF" w:themeFill="background1"/>
          </w:tcPr>
          <w:p w14:paraId="344B0F8F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1.8.7 Egyéb 2B. szintű</w:t>
            </w:r>
          </w:p>
          <w:p w14:paraId="1E93F820" w14:textId="75D7A745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nem likvid eszközöket (adott) cserélt egyéb 2B. szintű eszközökre (kapott).</w:t>
            </w:r>
          </w:p>
        </w:tc>
      </w:tr>
      <w:tr w:rsidR="00EF2859" w:rsidRPr="00EF2859" w14:paraId="16BC34C1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5257A8EF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730</w:t>
            </w:r>
          </w:p>
        </w:tc>
        <w:tc>
          <w:tcPr>
            <w:tcW w:w="8540" w:type="dxa"/>
            <w:shd w:val="clear" w:color="auto" w:fill="FFFFFF" w:themeFill="background1"/>
          </w:tcPr>
          <w:p w14:paraId="07F8C087" w14:textId="77777777" w:rsidR="00EF2859" w:rsidRPr="00EF2859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EF2859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1.8.8 Nem likvid eszközök</w:t>
            </w:r>
          </w:p>
          <w:p w14:paraId="65E17E6E" w14:textId="3220AC20" w:rsidR="00EF2859" w:rsidRPr="00EF2859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B43698">
              <w:rPr>
                <w:rFonts w:asciiTheme="majorHAnsi" w:eastAsia="Times New Roman" w:hAnsiTheme="majorHAnsi" w:cs="Times New Roman"/>
                <w:color w:val="000000"/>
                <w:szCs w:val="20"/>
              </w:rPr>
              <w:t>Azon tranzakciók, melyek során az intézmény nem likvid eszközöket (adott) cserélt nem likvid eszközökre (kapott).</w:t>
            </w:r>
            <w:r w:rsidRPr="00EF2859">
              <w:rPr>
                <w:rFonts w:eastAsia="PMingLiU" w:cs="Times New Roman"/>
                <w:szCs w:val="20"/>
                <w:lang w:eastAsia="de-DE"/>
              </w:rPr>
              <w:t xml:space="preserve"> </w:t>
            </w:r>
          </w:p>
        </w:tc>
      </w:tr>
      <w:tr w:rsidR="00B43698" w:rsidRPr="00EF2859" w14:paraId="4097776C" w14:textId="77777777" w:rsidTr="00B43698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4D408E14" w14:textId="27137FF5" w:rsidR="00B43698" w:rsidRPr="00EF2859" w:rsidRDefault="00B43698" w:rsidP="00EF2859">
            <w:pPr>
              <w:spacing w:before="120" w:after="120" w:line="240" w:lineRule="auto"/>
              <w:rPr>
                <w:rFonts w:eastAsia="PMingLiU" w:cs="Calibri"/>
                <w:bCs/>
                <w:szCs w:val="20"/>
                <w:lang w:eastAsia="en-US"/>
              </w:rPr>
            </w:pPr>
            <w:r w:rsidRPr="00EF2859">
              <w:rPr>
                <w:rFonts w:eastAsia="PMingLiU" w:cs="Calibri"/>
                <w:b/>
                <w:szCs w:val="20"/>
                <w:u w:val="single"/>
                <w:lang w:eastAsia="en-US"/>
              </w:rPr>
              <w:t>TÁJÉKOZTATÓ ADATOK</w:t>
            </w:r>
          </w:p>
        </w:tc>
      </w:tr>
      <w:tr w:rsidR="00EF2859" w:rsidRPr="00EF2859" w14:paraId="4DF19A16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0DCD4221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740</w:t>
            </w:r>
          </w:p>
        </w:tc>
        <w:tc>
          <w:tcPr>
            <w:tcW w:w="8540" w:type="dxa"/>
            <w:shd w:val="clear" w:color="auto" w:fill="FFFFFF" w:themeFill="background1"/>
          </w:tcPr>
          <w:p w14:paraId="166EA1F1" w14:textId="77777777" w:rsidR="00EF2859" w:rsidRPr="00283B87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283B87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2 Összes biztosítéki csereügylet (minden ügyfél), amelyben a kölcsönvett biztosíték rövid poz</w:t>
            </w:r>
            <w:r w:rsidRPr="00283B87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í</w:t>
            </w:r>
            <w:r w:rsidRPr="00283B87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ciók fedezésére szolgált</w:t>
            </w:r>
          </w:p>
          <w:p w14:paraId="1FE92308" w14:textId="5E1B9EBA" w:rsidR="00EF2859" w:rsidRPr="00283B87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bCs/>
                <w:szCs w:val="20"/>
                <w:lang w:eastAsia="en-US"/>
              </w:rPr>
            </w:pPr>
            <w:r w:rsidRPr="00283B87">
              <w:rPr>
                <w:rFonts w:asciiTheme="majorHAnsi" w:eastAsia="Times New Roman" w:hAnsiTheme="majorHAnsi" w:cs="Times New Roman"/>
                <w:szCs w:val="20"/>
              </w:rPr>
              <w:t>Az intézményeknek itt kell jelenteniük a fenti sorokban riportált biztosítéki csereügyletek össz</w:t>
            </w:r>
            <w:r w:rsidRPr="00283B87">
              <w:rPr>
                <w:rFonts w:asciiTheme="majorHAnsi" w:eastAsia="Times New Roman" w:hAnsiTheme="majorHAnsi" w:cs="Times New Roman"/>
                <w:szCs w:val="20"/>
              </w:rPr>
              <w:t>e</w:t>
            </w:r>
            <w:r w:rsidRPr="00283B87">
              <w:rPr>
                <w:rFonts w:asciiTheme="majorHAnsi" w:eastAsia="Times New Roman" w:hAnsiTheme="majorHAnsi" w:cs="Times New Roman"/>
                <w:szCs w:val="20"/>
              </w:rPr>
              <w:t>gét (minden ügyfélre), amelyben a kölcsönvett biztosítékot rövid</w:t>
            </w:r>
            <w:r w:rsidRPr="00283B87">
              <w:rPr>
                <w:rFonts w:eastAsia="PMingLiU" w:cs="Times New Roman"/>
                <w:szCs w:val="20"/>
                <w:lang w:eastAsia="de-DE"/>
              </w:rPr>
              <w:t xml:space="preserve"> pozíciók fedezésére használták, amely esetben 0%-os kiáramlási arányt alkalmaztak.</w:t>
            </w:r>
          </w:p>
        </w:tc>
      </w:tr>
      <w:tr w:rsidR="00EF2859" w:rsidRPr="00EF2859" w14:paraId="4CA40005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48B10FF7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750</w:t>
            </w:r>
          </w:p>
        </w:tc>
        <w:tc>
          <w:tcPr>
            <w:tcW w:w="8540" w:type="dxa"/>
            <w:shd w:val="clear" w:color="auto" w:fill="FFFFFF" w:themeFill="background1"/>
          </w:tcPr>
          <w:p w14:paraId="4BBE45A1" w14:textId="77777777" w:rsidR="00EF2859" w:rsidRPr="00283B87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283B87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3 Összes biztosítéki csereügylet csoporton belüli ügyfelekkel</w:t>
            </w:r>
          </w:p>
          <w:p w14:paraId="5EA720D9" w14:textId="64A539EF" w:rsidR="00EF2859" w:rsidRPr="00283B87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283B87">
              <w:rPr>
                <w:rFonts w:asciiTheme="majorHAnsi" w:eastAsia="Times New Roman" w:hAnsiTheme="majorHAnsi" w:cs="Times New Roman"/>
                <w:szCs w:val="20"/>
              </w:rPr>
              <w:t>Az intézményeknek itt kell jelenteniük az összes fenti sorban riportált csoporton belüli ügyfele</w:t>
            </w:r>
            <w:r w:rsidRPr="00283B87">
              <w:rPr>
                <w:rFonts w:asciiTheme="majorHAnsi" w:eastAsia="Times New Roman" w:hAnsiTheme="majorHAnsi" w:cs="Times New Roman"/>
                <w:szCs w:val="20"/>
              </w:rPr>
              <w:t>k</w:t>
            </w:r>
            <w:r w:rsidRPr="00283B87">
              <w:rPr>
                <w:rFonts w:asciiTheme="majorHAnsi" w:eastAsia="Times New Roman" w:hAnsiTheme="majorHAnsi" w:cs="Times New Roman"/>
                <w:szCs w:val="20"/>
              </w:rPr>
              <w:t>kel kötött biztosítéki csereügyletet.</w:t>
            </w:r>
          </w:p>
        </w:tc>
      </w:tr>
      <w:tr w:rsidR="00EF2859" w:rsidRPr="00EF2859" w14:paraId="6D9429D2" w14:textId="77777777" w:rsidTr="0035465A">
        <w:tc>
          <w:tcPr>
            <w:tcW w:w="1100" w:type="dxa"/>
            <w:shd w:val="clear" w:color="auto" w:fill="FFFFFF" w:themeFill="background1"/>
            <w:vAlign w:val="center"/>
          </w:tcPr>
          <w:p w14:paraId="4AA19BD4" w14:textId="77777777" w:rsidR="00EF2859" w:rsidRPr="00EF2859" w:rsidRDefault="00EF2859" w:rsidP="00EF2859">
            <w:pPr>
              <w:spacing w:before="120" w:after="120" w:line="240" w:lineRule="auto"/>
              <w:rPr>
                <w:rFonts w:eastAsia="PMingLiU" w:cs="Calibri"/>
                <w:szCs w:val="20"/>
                <w:lang w:eastAsia="en-US"/>
              </w:rPr>
            </w:pPr>
            <w:r w:rsidRPr="00EF2859">
              <w:rPr>
                <w:rFonts w:eastAsia="PMingLiU" w:cs="Calibri"/>
                <w:szCs w:val="20"/>
                <w:lang w:eastAsia="en-US"/>
              </w:rPr>
              <w:t>760</w:t>
            </w:r>
          </w:p>
        </w:tc>
        <w:tc>
          <w:tcPr>
            <w:tcW w:w="8540" w:type="dxa"/>
            <w:shd w:val="clear" w:color="auto" w:fill="FFFFFF" w:themeFill="background1"/>
          </w:tcPr>
          <w:p w14:paraId="34E3EFF4" w14:textId="77777777" w:rsidR="00EF2859" w:rsidRPr="00283B87" w:rsidRDefault="00EF2859" w:rsidP="00B43698">
            <w:pPr>
              <w:tabs>
                <w:tab w:val="left" w:pos="8669"/>
              </w:tabs>
              <w:spacing w:after="0" w:line="240" w:lineRule="auto"/>
              <w:ind w:left="210" w:right="176"/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</w:pPr>
            <w:r w:rsidRPr="00283B87">
              <w:rPr>
                <w:rFonts w:eastAsia="PMingLiU" w:cs="Calibri"/>
                <w:b/>
                <w:bCs/>
                <w:szCs w:val="20"/>
                <w:u w:val="single"/>
                <w:lang w:eastAsia="de-DE"/>
              </w:rPr>
              <w:t>4 Összes biztosítéki csereügylet központi bankokkal</w:t>
            </w:r>
          </w:p>
          <w:p w14:paraId="1C4DBE8F" w14:textId="31AC6309" w:rsidR="00EF2859" w:rsidRPr="00283B87" w:rsidRDefault="00EF2859" w:rsidP="00B43698">
            <w:pPr>
              <w:spacing w:beforeLines="100" w:before="240" w:after="0" w:line="240" w:lineRule="auto"/>
              <w:ind w:left="210" w:right="176"/>
              <w:rPr>
                <w:rFonts w:eastAsia="PMingLiU" w:cs="Times New Roman"/>
                <w:szCs w:val="20"/>
                <w:lang w:eastAsia="de-DE"/>
              </w:rPr>
            </w:pPr>
            <w:r w:rsidRPr="00283B87">
              <w:rPr>
                <w:rFonts w:eastAsia="PMingLiU" w:cs="Times New Roman"/>
                <w:szCs w:val="20"/>
                <w:lang w:eastAsia="de-DE"/>
              </w:rPr>
              <w:t xml:space="preserve">Az </w:t>
            </w:r>
            <w:r w:rsidRPr="00283B87">
              <w:rPr>
                <w:rFonts w:eastAsia="PMingLiU" w:cs="Times New Roman"/>
                <w:bCs/>
                <w:szCs w:val="20"/>
                <w:lang w:eastAsia="de-DE"/>
              </w:rPr>
              <w:t>intézményeknek itt kell jelenteniük a fenti sorokban riportált központi bankokkal kötött bizt</w:t>
            </w:r>
            <w:r w:rsidRPr="00283B87">
              <w:rPr>
                <w:rFonts w:eastAsia="PMingLiU" w:cs="Times New Roman"/>
                <w:bCs/>
                <w:szCs w:val="20"/>
                <w:lang w:eastAsia="de-DE"/>
              </w:rPr>
              <w:t>o</w:t>
            </w:r>
            <w:r w:rsidRPr="00283B87">
              <w:rPr>
                <w:rFonts w:eastAsia="PMingLiU" w:cs="Times New Roman"/>
                <w:bCs/>
                <w:szCs w:val="20"/>
                <w:lang w:eastAsia="de-DE"/>
              </w:rPr>
              <w:t xml:space="preserve">sítéki </w:t>
            </w:r>
            <w:r w:rsidRPr="00283B87">
              <w:rPr>
                <w:rFonts w:asciiTheme="majorHAnsi" w:eastAsia="Times New Roman" w:hAnsiTheme="majorHAnsi" w:cs="Times New Roman"/>
                <w:szCs w:val="20"/>
              </w:rPr>
              <w:t>csereügyletek</w:t>
            </w:r>
            <w:r w:rsidRPr="00283B87">
              <w:rPr>
                <w:rFonts w:eastAsia="PMingLiU" w:cs="Times New Roman"/>
                <w:bCs/>
                <w:szCs w:val="20"/>
                <w:lang w:eastAsia="de-DE"/>
              </w:rPr>
              <w:t xml:space="preserve"> összegét, </w:t>
            </w:r>
            <w:r w:rsidRPr="00283B87">
              <w:rPr>
                <w:rFonts w:eastAsia="PMingLiU" w:cs="Times New Roman"/>
                <w:szCs w:val="20"/>
                <w:lang w:eastAsia="de-DE"/>
              </w:rPr>
              <w:t>amely esetben 0%-os kiáramlási arányt alkalmaztak.</w:t>
            </w:r>
          </w:p>
        </w:tc>
      </w:tr>
    </w:tbl>
    <w:p w14:paraId="68154E21" w14:textId="77777777" w:rsidR="00EF2859" w:rsidRDefault="00EF2859" w:rsidP="00EF2859">
      <w:pPr>
        <w:spacing w:before="120" w:after="120" w:line="240" w:lineRule="auto"/>
        <w:rPr>
          <w:rFonts w:eastAsia="PMingLiU" w:cs="Times New Roman"/>
          <w:szCs w:val="20"/>
          <w:lang w:eastAsia="en-US"/>
        </w:rPr>
      </w:pPr>
    </w:p>
    <w:p w14:paraId="146336F6" w14:textId="77777777" w:rsidR="00EF2859" w:rsidRDefault="00EF2859" w:rsidP="00EF2859">
      <w:pPr>
        <w:rPr>
          <w:lang w:eastAsia="en-US"/>
        </w:rPr>
      </w:pPr>
      <w:r>
        <w:rPr>
          <w:lang w:eastAsia="en-US"/>
        </w:rPr>
        <w:br w:type="page"/>
      </w:r>
    </w:p>
    <w:p w14:paraId="3D402F38" w14:textId="3A4757CA" w:rsidR="00ED215E" w:rsidRPr="006C1B01" w:rsidRDefault="006C1B01" w:rsidP="006C1B01">
      <w:pPr>
        <w:spacing w:before="120" w:after="120" w:line="240" w:lineRule="auto"/>
        <w:jc w:val="center"/>
        <w:rPr>
          <w:rFonts w:eastAsia="PMingLiU" w:cs="Times New Roman"/>
          <w:b/>
          <w:sz w:val="24"/>
          <w:szCs w:val="20"/>
          <w:lang w:eastAsia="de-DE"/>
        </w:rPr>
      </w:pPr>
      <w:r w:rsidRPr="006C1B01">
        <w:rPr>
          <w:rFonts w:eastAsia="PMingLiU" w:cs="Times New Roman"/>
          <w:b/>
          <w:sz w:val="24"/>
          <w:szCs w:val="20"/>
          <w:lang w:eastAsia="de-DE"/>
        </w:rPr>
        <w:lastRenderedPageBreak/>
        <w:t>5.</w:t>
      </w:r>
      <w:r>
        <w:rPr>
          <w:rFonts w:eastAsia="PMingLiU" w:cs="Times New Roman"/>
          <w:b/>
          <w:sz w:val="24"/>
          <w:szCs w:val="20"/>
          <w:lang w:eastAsia="de-DE"/>
        </w:rPr>
        <w:t xml:space="preserve"> </w:t>
      </w:r>
      <w:r w:rsidR="00ED215E" w:rsidRPr="006C1B01">
        <w:rPr>
          <w:rFonts w:eastAsia="PMingLiU" w:cs="Times New Roman"/>
          <w:b/>
          <w:sz w:val="24"/>
          <w:szCs w:val="20"/>
          <w:lang w:eastAsia="de-DE"/>
        </w:rPr>
        <w:t>RÉSZ: A MUTATÓ SZÁMÍTÁSA</w:t>
      </w:r>
    </w:p>
    <w:p w14:paraId="5DFFC10A" w14:textId="7D7B95A8" w:rsidR="006C1B01" w:rsidRPr="00761D19" w:rsidRDefault="006C1B01" w:rsidP="00101DCF">
      <w:pPr>
        <w:pStyle w:val="Cmsor1"/>
        <w:numPr>
          <w:ilvl w:val="0"/>
          <w:numId w:val="37"/>
        </w:numPr>
        <w:rPr>
          <w:color w:val="auto"/>
        </w:rPr>
      </w:pPr>
      <w:r w:rsidRPr="00761D19">
        <w:rPr>
          <w:color w:val="auto"/>
        </w:rPr>
        <w:t xml:space="preserve"> Számítások </w:t>
      </w:r>
    </w:p>
    <w:p w14:paraId="379D829C" w14:textId="77777777" w:rsidR="006C1B01" w:rsidRPr="00761D19" w:rsidRDefault="006C1B01" w:rsidP="006C1B01">
      <w:pPr>
        <w:pStyle w:val="InstructionsText2"/>
        <w:numPr>
          <w:ilvl w:val="0"/>
          <w:numId w:val="0"/>
        </w:numPr>
        <w:rPr>
          <w:rFonts w:asciiTheme="majorHAnsi" w:hAnsiTheme="majorHAnsi"/>
          <w:b/>
          <w:szCs w:val="20"/>
          <w:lang w:val="hu-HU"/>
        </w:rPr>
      </w:pPr>
      <w:r w:rsidRPr="00761D19">
        <w:rPr>
          <w:rFonts w:asciiTheme="majorHAnsi" w:hAnsiTheme="majorHAnsi"/>
          <w:szCs w:val="20"/>
          <w:lang w:val="hu-HU"/>
        </w:rPr>
        <w:t xml:space="preserve">1.1 Általános megjegyzések </w:t>
      </w:r>
    </w:p>
    <w:p w14:paraId="30A87CAE" w14:textId="77777777" w:rsidR="006C1B01" w:rsidRPr="00761D19" w:rsidRDefault="006C1B01" w:rsidP="006C1B01">
      <w:pPr>
        <w:pStyle w:val="InstructionsText2"/>
        <w:numPr>
          <w:ilvl w:val="0"/>
          <w:numId w:val="0"/>
        </w:numPr>
        <w:rPr>
          <w:rFonts w:asciiTheme="majorHAnsi" w:hAnsiTheme="majorHAnsi"/>
          <w:b/>
          <w:szCs w:val="20"/>
          <w:lang w:val="hu-HU"/>
        </w:rPr>
      </w:pPr>
      <w:r w:rsidRPr="00761D19">
        <w:rPr>
          <w:rFonts w:asciiTheme="majorHAnsi" w:hAnsiTheme="majorHAnsi"/>
          <w:szCs w:val="20"/>
          <w:lang w:val="hu-HU"/>
        </w:rPr>
        <w:t>Ez egy összesítő táblázat, amely információkat szolgáltat a Bizottság (EU) 2015/61 felhatalmazáson alapuló rendel</w:t>
      </w:r>
      <w:r w:rsidRPr="00761D19">
        <w:rPr>
          <w:rFonts w:asciiTheme="majorHAnsi" w:hAnsiTheme="majorHAnsi"/>
          <w:szCs w:val="20"/>
          <w:lang w:val="hu-HU"/>
        </w:rPr>
        <w:t>e</w:t>
      </w:r>
      <w:r w:rsidRPr="00761D19">
        <w:rPr>
          <w:rFonts w:asciiTheme="majorHAnsi" w:hAnsiTheme="majorHAnsi"/>
          <w:szCs w:val="20"/>
          <w:lang w:val="hu-HU"/>
        </w:rPr>
        <w:t>tében</w:t>
      </w:r>
      <w:r w:rsidRPr="00761D19" w:rsidDel="0030176A">
        <w:rPr>
          <w:rFonts w:asciiTheme="majorHAnsi" w:hAnsiTheme="majorHAnsi"/>
          <w:szCs w:val="20"/>
          <w:lang w:val="hu-HU"/>
        </w:rPr>
        <w:t xml:space="preserve"> </w:t>
      </w:r>
      <w:r w:rsidRPr="00761D19">
        <w:rPr>
          <w:rFonts w:asciiTheme="majorHAnsi" w:hAnsiTheme="majorHAnsi"/>
          <w:szCs w:val="20"/>
          <w:lang w:val="hu-HU"/>
        </w:rPr>
        <w:t>meghatározott likviditás fedezeti mutató számításáról. Szürkével vannak jelölve azok a tételek, amelyeket nem kell a hitelintézeteknek kitölteni.</w:t>
      </w:r>
    </w:p>
    <w:p w14:paraId="4AC3E92A" w14:textId="77777777" w:rsidR="006C1B01" w:rsidRPr="00761D19" w:rsidRDefault="006C1B01" w:rsidP="006C1B01">
      <w:pPr>
        <w:pStyle w:val="InstructionsText2"/>
        <w:numPr>
          <w:ilvl w:val="0"/>
          <w:numId w:val="0"/>
        </w:numPr>
        <w:rPr>
          <w:rFonts w:asciiTheme="majorHAnsi" w:hAnsiTheme="majorHAnsi"/>
          <w:b/>
          <w:szCs w:val="20"/>
          <w:lang w:val="hu-HU"/>
        </w:rPr>
      </w:pPr>
      <w:r w:rsidRPr="00761D19">
        <w:rPr>
          <w:rFonts w:asciiTheme="majorHAnsi" w:hAnsiTheme="majorHAnsi"/>
          <w:szCs w:val="20"/>
          <w:lang w:val="hu-HU"/>
        </w:rPr>
        <w:t xml:space="preserve">1.2 Speciális megjegyzések </w:t>
      </w:r>
    </w:p>
    <w:p w14:paraId="58D4D4CF" w14:textId="77777777" w:rsidR="006C1B01" w:rsidRPr="00761D19" w:rsidRDefault="006C1B01" w:rsidP="006C1B01">
      <w:pPr>
        <w:pStyle w:val="InstructionsText2"/>
        <w:numPr>
          <w:ilvl w:val="0"/>
          <w:numId w:val="0"/>
        </w:numPr>
        <w:rPr>
          <w:rFonts w:asciiTheme="majorHAnsi" w:hAnsiTheme="majorHAnsi"/>
          <w:b/>
          <w:szCs w:val="20"/>
          <w:lang w:val="hu-HU"/>
        </w:rPr>
      </w:pPr>
      <w:r w:rsidRPr="00761D19">
        <w:rPr>
          <w:rFonts w:asciiTheme="majorHAnsi" w:hAnsiTheme="majorHAnsi"/>
          <w:szCs w:val="20"/>
          <w:lang w:val="hu-HU"/>
        </w:rPr>
        <w:t xml:space="preserve">A </w:t>
      </w:r>
      <w:proofErr w:type="gramStart"/>
      <w:r w:rsidRPr="00761D19">
        <w:rPr>
          <w:rFonts w:asciiTheme="majorHAnsi" w:hAnsiTheme="majorHAnsi"/>
          <w:szCs w:val="20"/>
          <w:lang w:val="hu-HU"/>
        </w:rPr>
        <w:t>cella hivatkozások</w:t>
      </w:r>
      <w:proofErr w:type="gramEnd"/>
      <w:r w:rsidRPr="00761D19">
        <w:rPr>
          <w:rFonts w:asciiTheme="majorHAnsi" w:hAnsiTheme="majorHAnsi"/>
          <w:szCs w:val="20"/>
          <w:lang w:val="hu-HU"/>
        </w:rPr>
        <w:t xml:space="preserve"> az alábbi formában adottak: táblázat, sor, oszlop. Például {C 72.00; r130; c040} cella a Likvid eszközök táblázat 130-as sorának 040-es oszlopában szereplő tételt jelöli.</w:t>
      </w:r>
    </w:p>
    <w:p w14:paraId="77F50042" w14:textId="77777777" w:rsidR="006C1B01" w:rsidRPr="00E52A7F" w:rsidRDefault="006C1B01" w:rsidP="006C1B01">
      <w:pPr>
        <w:pStyle w:val="Instructionsberschrift2"/>
        <w:numPr>
          <w:ilvl w:val="0"/>
          <w:numId w:val="0"/>
        </w:numPr>
        <w:rPr>
          <w:rFonts w:asciiTheme="majorHAnsi" w:hAnsiTheme="majorHAnsi" w:cs="Times New Roman"/>
          <w:b/>
          <w:szCs w:val="20"/>
          <w:u w:val="none"/>
          <w:lang w:val="hu-HU"/>
        </w:rPr>
      </w:pPr>
      <w:r w:rsidRPr="00E52A7F">
        <w:rPr>
          <w:rFonts w:asciiTheme="majorHAnsi" w:hAnsiTheme="majorHAnsi" w:cs="Times New Roman"/>
          <w:b/>
          <w:szCs w:val="20"/>
          <w:u w:val="none"/>
          <w:lang w:val="hu-HU"/>
        </w:rPr>
        <w:t xml:space="preserve"> A mutató számítása elnevezésű segédtábla</w:t>
      </w:r>
    </w:p>
    <w:p w14:paraId="0D17D5DF" w14:textId="77777777" w:rsidR="006C1B01" w:rsidRPr="00E52A7F" w:rsidRDefault="006C1B01" w:rsidP="006C1B01">
      <w:pPr>
        <w:pStyle w:val="Instructionsberschrift2"/>
        <w:numPr>
          <w:ilvl w:val="0"/>
          <w:numId w:val="0"/>
        </w:numPr>
        <w:rPr>
          <w:rFonts w:asciiTheme="majorHAnsi" w:hAnsiTheme="majorHAnsi" w:cs="Times New Roman"/>
          <w:b/>
          <w:szCs w:val="20"/>
          <w:u w:val="none"/>
          <w:lang w:val="hu-HU"/>
        </w:rPr>
      </w:pPr>
      <w:r w:rsidRPr="00E52A7F">
        <w:rPr>
          <w:rFonts w:asciiTheme="majorHAnsi" w:hAnsiTheme="majorHAnsi" w:cs="Times New Roman"/>
          <w:b/>
          <w:szCs w:val="20"/>
          <w:u w:val="none"/>
          <w:lang w:val="hu-HU"/>
        </w:rPr>
        <w:t xml:space="preserve"> Az egyes sorokhoz kapcsolódó iránymutatások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541"/>
      </w:tblGrid>
      <w:tr w:rsidR="006C1B01" w:rsidRPr="00761D19" w14:paraId="05E2C9C6" w14:textId="77777777" w:rsidTr="00CF6D10">
        <w:tc>
          <w:tcPr>
            <w:tcW w:w="1099" w:type="dxa"/>
            <w:shd w:val="clear" w:color="auto" w:fill="E6E6E6"/>
            <w:vAlign w:val="center"/>
          </w:tcPr>
          <w:p w14:paraId="66748315" w14:textId="77777777" w:rsidR="006C1B01" w:rsidRPr="00761D19" w:rsidRDefault="006C1B01" w:rsidP="00BA5F57">
            <w:pPr>
              <w:jc w:val="left"/>
              <w:rPr>
                <w:rFonts w:asciiTheme="majorHAnsi" w:hAnsiTheme="majorHAnsi" w:cs="Calibri"/>
                <w:b/>
                <w:bCs/>
                <w:szCs w:val="20"/>
              </w:rPr>
            </w:pPr>
            <w:r w:rsidRPr="00761D19">
              <w:rPr>
                <w:rFonts w:asciiTheme="majorHAnsi" w:hAnsiTheme="majorHAnsi" w:cs="Calibri"/>
                <w:b/>
                <w:bCs/>
                <w:szCs w:val="20"/>
              </w:rPr>
              <w:t xml:space="preserve"> Sor</w:t>
            </w:r>
          </w:p>
        </w:tc>
        <w:tc>
          <w:tcPr>
            <w:tcW w:w="8541" w:type="dxa"/>
            <w:shd w:val="clear" w:color="auto" w:fill="E6E6E6"/>
            <w:vAlign w:val="center"/>
          </w:tcPr>
          <w:p w14:paraId="1ED5A9E0" w14:textId="77777777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Text"/>
                <w:rFonts w:asciiTheme="majorHAnsi" w:eastAsiaTheme="minorEastAsia" w:hAnsiTheme="majorHAnsi"/>
                <w:b/>
                <w:bCs w:val="0"/>
              </w:rPr>
            </w:pPr>
            <w:r w:rsidRPr="00761D19">
              <w:rPr>
                <w:rStyle w:val="InstructionsTabelleText"/>
                <w:rFonts w:asciiTheme="majorHAnsi" w:hAnsiTheme="majorHAnsi"/>
                <w:b/>
              </w:rPr>
              <w:t xml:space="preserve"> Jogi hivatkozások és iránymutatások</w:t>
            </w:r>
          </w:p>
        </w:tc>
      </w:tr>
      <w:tr w:rsidR="006C1B01" w:rsidRPr="00761D19" w14:paraId="49041076" w14:textId="77777777" w:rsidTr="00CF6D10">
        <w:tc>
          <w:tcPr>
            <w:tcW w:w="9640" w:type="dxa"/>
            <w:gridSpan w:val="2"/>
            <w:shd w:val="clear" w:color="auto" w:fill="E6E6E6"/>
            <w:vAlign w:val="center"/>
          </w:tcPr>
          <w:p w14:paraId="68636AC6" w14:textId="77777777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 xml:space="preserve"> A mutató számítása</w:t>
            </w:r>
          </w:p>
        </w:tc>
      </w:tr>
      <w:tr w:rsidR="006C1B01" w:rsidRPr="00761D19" w14:paraId="0B46A1F9" w14:textId="77777777" w:rsidTr="00CF6D10">
        <w:tc>
          <w:tcPr>
            <w:tcW w:w="9640" w:type="dxa"/>
            <w:gridSpan w:val="2"/>
            <w:shd w:val="clear" w:color="auto" w:fill="E6E6E6"/>
            <w:vAlign w:val="center"/>
          </w:tcPr>
          <w:p w14:paraId="3BF8533D" w14:textId="77777777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Számláló, Nevező, Mutató</w:t>
            </w:r>
          </w:p>
          <w:p w14:paraId="409E12DE" w14:textId="77777777" w:rsidR="006C1B01" w:rsidRPr="00761D19" w:rsidRDefault="006C1B01" w:rsidP="00CF6D10">
            <w:pPr>
              <w:tabs>
                <w:tab w:val="left" w:pos="8145"/>
              </w:tabs>
              <w:spacing w:after="0" w:line="360" w:lineRule="auto"/>
              <w:ind w:left="211" w:right="176"/>
              <w:rPr>
                <w:rFonts w:asciiTheme="majorHAnsi" w:hAnsiTheme="majorHAnsi"/>
                <w:szCs w:val="20"/>
                <w:lang w:eastAsia="de-DE"/>
              </w:rPr>
            </w:pPr>
            <w:r w:rsidRPr="00761D19">
              <w:rPr>
                <w:rFonts w:asciiTheme="majorHAnsi" w:hAnsiTheme="majorHAnsi"/>
                <w:szCs w:val="20"/>
              </w:rPr>
              <w:t xml:space="preserve">A </w:t>
            </w:r>
            <w:r w:rsidRPr="00761D19">
              <w:rPr>
                <w:rFonts w:asciiTheme="majorHAnsi" w:hAnsiTheme="majorHAnsi" w:cs="Calibri"/>
                <w:szCs w:val="20"/>
              </w:rPr>
              <w:t xml:space="preserve">Bizottság (EU) </w:t>
            </w:r>
            <w:r w:rsidRPr="00761D19">
              <w:rPr>
                <w:rFonts w:asciiTheme="majorHAnsi" w:hAnsiTheme="majorHAnsi"/>
                <w:szCs w:val="20"/>
              </w:rPr>
              <w:t>2015/61</w:t>
            </w:r>
            <w:r w:rsidRPr="00761D19">
              <w:rPr>
                <w:rFonts w:asciiTheme="majorHAnsi" w:hAnsiTheme="majorHAnsi" w:cs="Calibri"/>
                <w:szCs w:val="20"/>
              </w:rPr>
              <w:t xml:space="preserve"> felhatalmazáson alapuló rendeletének</w:t>
            </w:r>
            <w:r w:rsidRPr="00761D19" w:rsidDel="00632C0F">
              <w:rPr>
                <w:rFonts w:asciiTheme="majorHAnsi" w:hAnsiTheme="majorHAnsi"/>
                <w:szCs w:val="20"/>
                <w:lang w:eastAsia="de-DE"/>
              </w:rPr>
              <w:t xml:space="preserve"> </w:t>
            </w:r>
            <w:r w:rsidRPr="00761D19">
              <w:rPr>
                <w:rFonts w:asciiTheme="majorHAnsi" w:hAnsiTheme="majorHAnsi"/>
                <w:szCs w:val="20"/>
                <w:lang w:eastAsia="de-DE"/>
              </w:rPr>
              <w:t>4. cikke szerinti likviditásfedezeti ráta száml</w:t>
            </w:r>
            <w:r w:rsidRPr="00761D19">
              <w:rPr>
                <w:rFonts w:asciiTheme="majorHAnsi" w:hAnsiTheme="majorHAnsi"/>
                <w:szCs w:val="20"/>
                <w:lang w:eastAsia="de-DE"/>
              </w:rPr>
              <w:t>á</w:t>
            </w:r>
            <w:r w:rsidRPr="00761D19">
              <w:rPr>
                <w:rFonts w:asciiTheme="majorHAnsi" w:hAnsiTheme="majorHAnsi"/>
                <w:szCs w:val="20"/>
                <w:lang w:eastAsia="de-DE"/>
              </w:rPr>
              <w:t>lóját, nevezőjét és a mutató értékét az adott sorok 010-es oszlopában kérjük jelenteni.</w:t>
            </w:r>
          </w:p>
        </w:tc>
      </w:tr>
      <w:tr w:rsidR="006C1B01" w:rsidRPr="00761D19" w14:paraId="7F82BF03" w14:textId="77777777" w:rsidTr="00CF6D10">
        <w:tc>
          <w:tcPr>
            <w:tcW w:w="1099" w:type="dxa"/>
            <w:vAlign w:val="center"/>
          </w:tcPr>
          <w:p w14:paraId="2FC08056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010</w:t>
            </w:r>
          </w:p>
        </w:tc>
        <w:tc>
          <w:tcPr>
            <w:tcW w:w="8541" w:type="dxa"/>
          </w:tcPr>
          <w:p w14:paraId="07082389" w14:textId="171A0F28" w:rsidR="006C1B01" w:rsidRPr="009A4540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 w:val="0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1. </w:t>
            </w:r>
            <w:r w:rsidRPr="009A4540">
              <w:rPr>
                <w:rStyle w:val="InstructionsTabelleberschrift"/>
                <w:rFonts w:asciiTheme="majorHAnsi" w:hAnsiTheme="majorHAnsi"/>
              </w:rPr>
              <w:t>Likviditási puffer</w:t>
            </w:r>
          </w:p>
          <w:p w14:paraId="58B6FFDE" w14:textId="7B7B4C14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  <w:szCs w:val="20"/>
              </w:rPr>
              <w:t xml:space="preserve">A 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{C 76.00; r290; c010} cellához tartozó érték.</w:t>
            </w:r>
          </w:p>
        </w:tc>
      </w:tr>
      <w:tr w:rsidR="006C1B01" w:rsidRPr="00761D19" w14:paraId="27B28FBA" w14:textId="77777777" w:rsidTr="00CF6D10">
        <w:tc>
          <w:tcPr>
            <w:tcW w:w="1099" w:type="dxa"/>
            <w:vAlign w:val="center"/>
          </w:tcPr>
          <w:p w14:paraId="55E6CE59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020</w:t>
            </w:r>
          </w:p>
        </w:tc>
        <w:tc>
          <w:tcPr>
            <w:tcW w:w="8541" w:type="dxa"/>
          </w:tcPr>
          <w:p w14:paraId="12871AB4" w14:textId="5DC42109" w:rsidR="006C1B01" w:rsidRPr="00CF6D10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2. </w:t>
            </w:r>
            <w:r w:rsidRPr="00761D19">
              <w:rPr>
                <w:rStyle w:val="InstructionsTabelleberschrift"/>
                <w:rFonts w:asciiTheme="majorHAnsi" w:hAnsiTheme="majorHAnsi"/>
              </w:rPr>
              <w:t>Nettó likviditáskiáramlás</w:t>
            </w:r>
          </w:p>
          <w:p w14:paraId="5D949204" w14:textId="44229134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  <w:szCs w:val="20"/>
              </w:rPr>
              <w:t xml:space="preserve">A 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{C 76.00; r370; c010} cellához tartozó érték.</w:t>
            </w:r>
          </w:p>
        </w:tc>
      </w:tr>
      <w:tr w:rsidR="006C1B01" w:rsidRPr="00761D19" w14:paraId="38270D8A" w14:textId="77777777" w:rsidTr="00CF6D10">
        <w:tc>
          <w:tcPr>
            <w:tcW w:w="1099" w:type="dxa"/>
            <w:vAlign w:val="center"/>
          </w:tcPr>
          <w:p w14:paraId="0840981C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030</w:t>
            </w:r>
          </w:p>
        </w:tc>
        <w:tc>
          <w:tcPr>
            <w:tcW w:w="8541" w:type="dxa"/>
          </w:tcPr>
          <w:p w14:paraId="31180CDD" w14:textId="48343641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3. </w:t>
            </w:r>
            <w:r w:rsidRPr="00761D19">
              <w:rPr>
                <w:rStyle w:val="InstructionsTabelleberschrift"/>
                <w:rFonts w:asciiTheme="majorHAnsi" w:hAnsiTheme="majorHAnsi"/>
              </w:rPr>
              <w:t>Likviditásfedezeti ráta (%)</w:t>
            </w:r>
          </w:p>
          <w:p w14:paraId="0EE4BAB4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asciiTheme="majorHAnsi" w:eastAsia="Times New Roman" w:hAnsiTheme="majorHAnsi" w:cs="Times New Roman"/>
                <w:color w:val="000000"/>
                <w:szCs w:val="20"/>
              </w:rPr>
            </w:pP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A Bizottság (EU) 2015/61 felhatalmazáson alapuló rendeletében</w:t>
            </w:r>
            <w:r w:rsidRPr="00CF6D10" w:rsidDel="004A373C">
              <w:rPr>
                <w:rFonts w:asciiTheme="majorHAnsi" w:eastAsia="Times New Roman" w:hAnsiTheme="majorHAnsi" w:cs="Times New Roman"/>
                <w:color w:val="000000"/>
                <w:szCs w:val="20"/>
              </w:rPr>
              <w:t xml:space="preserve"> 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4. cikk (1) bekezdésében megh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a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tározott mutatót kérjük itt jelenteni.</w:t>
            </w:r>
          </w:p>
          <w:p w14:paraId="33F5F192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bCs/>
                <w:color w:val="000000"/>
              </w:rPr>
            </w:pPr>
            <w:r w:rsidRPr="00CF6D10">
              <w:rPr>
                <w:rFonts w:eastAsia="Times New Roman"/>
                <w:bCs/>
                <w:color w:val="000000"/>
              </w:rPr>
              <w:t>A likviditásfedezeti ráta egyenlő a hitelintézet likviditási pufferének a hitelintézet 30 naptári n</w:t>
            </w:r>
            <w:r w:rsidRPr="00CF6D10">
              <w:rPr>
                <w:rFonts w:eastAsia="Times New Roman"/>
                <w:bCs/>
                <w:color w:val="000000"/>
              </w:rPr>
              <w:t>a</w:t>
            </w:r>
            <w:r w:rsidRPr="00CF6D10">
              <w:rPr>
                <w:rFonts w:eastAsia="Times New Roman"/>
                <w:bCs/>
                <w:color w:val="000000"/>
              </w:rPr>
              <w:t>pos stresszidőszak alatti nettó likviditáskiáramlásához viszonyított arányával, százalékos form</w:t>
            </w:r>
            <w:r w:rsidRPr="00CF6D10">
              <w:rPr>
                <w:rFonts w:eastAsia="Times New Roman"/>
                <w:bCs/>
                <w:color w:val="000000"/>
              </w:rPr>
              <w:t>á</w:t>
            </w:r>
            <w:r w:rsidRPr="00CF6D10">
              <w:rPr>
                <w:rFonts w:eastAsia="Times New Roman"/>
                <w:bCs/>
                <w:color w:val="000000"/>
              </w:rPr>
              <w:t xml:space="preserve">ban kifejezve. </w:t>
            </w:r>
          </w:p>
          <w:p w14:paraId="5E6A896D" w14:textId="7D294DFB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  <w:szCs w:val="20"/>
              </w:rPr>
              <w:t xml:space="preserve">Ha a 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{C 76.00; r020; c010} cella értéke nulla, a mutató értéke a végtelenbe tart; itt 999999 ért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é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ket kérünk jelenteni.</w:t>
            </w:r>
          </w:p>
        </w:tc>
      </w:tr>
      <w:tr w:rsidR="006C1B01" w:rsidRPr="00761D19" w14:paraId="1C935AEE" w14:textId="77777777" w:rsidTr="00CF6D10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4D3F3309" w14:textId="77777777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Számláló kiszámítása</w:t>
            </w:r>
          </w:p>
          <w:p w14:paraId="671475B6" w14:textId="77777777" w:rsidR="006C1B01" w:rsidRPr="00761D19" w:rsidRDefault="006C1B01" w:rsidP="00CF6D10">
            <w:pPr>
              <w:tabs>
                <w:tab w:val="left" w:pos="8145"/>
              </w:tabs>
              <w:spacing w:after="0" w:line="360" w:lineRule="auto"/>
              <w:ind w:left="211" w:right="176"/>
              <w:rPr>
                <w:rFonts w:asciiTheme="majorHAnsi" w:hAnsiTheme="majorHAnsi"/>
                <w:szCs w:val="20"/>
                <w:lang w:eastAsia="de-DE"/>
              </w:rPr>
            </w:pPr>
            <w:r w:rsidRPr="00761D19">
              <w:rPr>
                <w:rFonts w:asciiTheme="majorHAnsi" w:hAnsiTheme="majorHAnsi"/>
                <w:szCs w:val="20"/>
                <w:lang w:eastAsia="de-DE"/>
              </w:rPr>
              <w:t xml:space="preserve"> A </w:t>
            </w:r>
            <w:r w:rsidRPr="00761D19">
              <w:rPr>
                <w:rFonts w:asciiTheme="majorHAnsi" w:hAnsiTheme="majorHAnsi" w:cs="Calibri"/>
                <w:szCs w:val="20"/>
              </w:rPr>
              <w:t xml:space="preserve">Bizottság (EU) </w:t>
            </w:r>
            <w:r w:rsidRPr="00761D19">
              <w:rPr>
                <w:rFonts w:asciiTheme="majorHAnsi" w:hAnsiTheme="majorHAnsi"/>
                <w:szCs w:val="20"/>
              </w:rPr>
              <w:t>2015/61</w:t>
            </w:r>
            <w:r w:rsidRPr="00761D19">
              <w:rPr>
                <w:rFonts w:asciiTheme="majorHAnsi" w:hAnsiTheme="majorHAnsi" w:cs="Calibri"/>
                <w:szCs w:val="20"/>
              </w:rPr>
              <w:t xml:space="preserve"> felhatalmazáson alapuló rendeletének</w:t>
            </w:r>
            <w:r w:rsidRPr="00761D19" w:rsidDel="004A373C">
              <w:rPr>
                <w:rFonts w:asciiTheme="majorHAnsi" w:hAnsiTheme="majorHAnsi"/>
                <w:szCs w:val="20"/>
              </w:rPr>
              <w:t xml:space="preserve"> </w:t>
            </w:r>
            <w:r w:rsidRPr="00761D19">
              <w:rPr>
                <w:rFonts w:asciiTheme="majorHAnsi" w:hAnsiTheme="majorHAnsi"/>
                <w:szCs w:val="20"/>
                <w:lang w:eastAsia="de-DE"/>
              </w:rPr>
              <w:t>17</w:t>
            </w:r>
            <w:proofErr w:type="gramStart"/>
            <w:r w:rsidRPr="00761D19">
              <w:rPr>
                <w:rFonts w:asciiTheme="majorHAnsi" w:hAnsiTheme="majorHAnsi"/>
                <w:szCs w:val="20"/>
                <w:lang w:eastAsia="de-DE"/>
              </w:rPr>
              <w:t>.cikke</w:t>
            </w:r>
            <w:proofErr w:type="gramEnd"/>
            <w:r w:rsidRPr="00761D19">
              <w:rPr>
                <w:rFonts w:asciiTheme="majorHAnsi" w:hAnsiTheme="majorHAnsi"/>
                <w:szCs w:val="20"/>
                <w:lang w:eastAsia="de-DE"/>
              </w:rPr>
              <w:t xml:space="preserve"> és I. melléklete szerint a likviditási puffer összetételének meghatározására alkalmazandó képletek.</w:t>
            </w:r>
          </w:p>
          <w:p w14:paraId="46E00E5A" w14:textId="34A18B13" w:rsidR="006C1B01" w:rsidRPr="00761D19" w:rsidRDefault="006C1B01" w:rsidP="00CF6D10">
            <w:pPr>
              <w:tabs>
                <w:tab w:val="left" w:pos="8145"/>
              </w:tabs>
              <w:spacing w:after="0" w:line="360" w:lineRule="auto"/>
              <w:ind w:left="211" w:right="176"/>
              <w:rPr>
                <w:rFonts w:asciiTheme="majorHAnsi" w:hAnsiTheme="majorHAnsi"/>
                <w:szCs w:val="20"/>
                <w:lang w:eastAsia="de-DE"/>
              </w:rPr>
            </w:pPr>
            <w:r w:rsidRPr="00761D19">
              <w:rPr>
                <w:rFonts w:asciiTheme="majorHAnsi" w:hAnsiTheme="majorHAnsi"/>
                <w:szCs w:val="20"/>
                <w:lang w:eastAsia="de-DE"/>
              </w:rPr>
              <w:t xml:space="preserve"> Minden - alábbi sorokban szereplő - tételt a 010-es oszlopban kérjük szerepeltetni.</w:t>
            </w:r>
          </w:p>
        </w:tc>
      </w:tr>
      <w:tr w:rsidR="006C1B01" w:rsidRPr="00761D19" w14:paraId="51888D54" w14:textId="77777777" w:rsidTr="00CF6D10">
        <w:tc>
          <w:tcPr>
            <w:tcW w:w="1099" w:type="dxa"/>
            <w:vAlign w:val="center"/>
          </w:tcPr>
          <w:p w14:paraId="5C1413D5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040</w:t>
            </w:r>
          </w:p>
        </w:tc>
        <w:tc>
          <w:tcPr>
            <w:tcW w:w="8541" w:type="dxa"/>
          </w:tcPr>
          <w:p w14:paraId="0949B523" w14:textId="1A4A3E27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4. </w:t>
            </w:r>
            <w:r w:rsidRPr="00761D19">
              <w:rPr>
                <w:rStyle w:val="InstructionsTabelleberschrift"/>
                <w:rFonts w:asciiTheme="majorHAnsi" w:hAnsiTheme="majorHAnsi"/>
              </w:rPr>
              <w:t>1. szintű eszközök a rendkívül magas minőségű fedezett kötvényeken kívül (9. cikk szerinti</w:t>
            </w:r>
            <w:r w:rsidR="00CF54F6">
              <w:rPr>
                <w:rStyle w:val="InstructionsTabelleberschrift"/>
                <w:rFonts w:asciiTheme="majorHAnsi" w:hAnsiTheme="majorHAnsi"/>
              </w:rPr>
              <w:t xml:space="preserve"> értéken):</w:t>
            </w:r>
            <w:r w:rsidRPr="00761D19">
              <w:rPr>
                <w:rStyle w:val="InstructionsTabelleberschrift"/>
                <w:rFonts w:asciiTheme="majorHAnsi" w:hAnsiTheme="majorHAnsi"/>
              </w:rPr>
              <w:t xml:space="preserve"> kiigazít</w:t>
            </w:r>
            <w:r w:rsidR="00CF54F6">
              <w:rPr>
                <w:rStyle w:val="InstructionsTabelleberschrift"/>
                <w:rFonts w:asciiTheme="majorHAnsi" w:hAnsiTheme="majorHAnsi"/>
              </w:rPr>
              <w:t>ások előtt</w:t>
            </w:r>
          </w:p>
          <w:p w14:paraId="2DCAA0D3" w14:textId="3461192A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  <w:szCs w:val="20"/>
              </w:rPr>
              <w:t xml:space="preserve">A </w:t>
            </w:r>
            <w:r w:rsidRPr="00CF6D10">
              <w:rPr>
                <w:rFonts w:asciiTheme="majorHAnsi" w:eastAsia="Times New Roman" w:hAnsiTheme="majorHAnsi" w:cs="Times New Roman"/>
                <w:color w:val="000000"/>
                <w:szCs w:val="20"/>
              </w:rPr>
              <w:t>{C 72.00; r030; c040} cellához tartozó érték</w:t>
            </w:r>
            <w:r w:rsidRPr="00CF6D10">
              <w:rPr>
                <w:rFonts w:eastAsia="Times New Roman"/>
                <w:bCs/>
                <w:color w:val="000000"/>
                <w:szCs w:val="20"/>
              </w:rPr>
              <w:t>.</w:t>
            </w:r>
          </w:p>
        </w:tc>
      </w:tr>
      <w:tr w:rsidR="006C1B01" w:rsidRPr="00761D19" w14:paraId="1C72758A" w14:textId="77777777" w:rsidTr="00CF6D10">
        <w:trPr>
          <w:trHeight w:val="1827"/>
        </w:trPr>
        <w:tc>
          <w:tcPr>
            <w:tcW w:w="1099" w:type="dxa"/>
            <w:vAlign w:val="center"/>
          </w:tcPr>
          <w:p w14:paraId="7EA29EB6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lastRenderedPageBreak/>
              <w:t>050</w:t>
            </w:r>
          </w:p>
        </w:tc>
        <w:tc>
          <w:tcPr>
            <w:tcW w:w="8541" w:type="dxa"/>
          </w:tcPr>
          <w:p w14:paraId="3FAFAC18" w14:textId="1612293E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5. </w:t>
            </w:r>
            <w:r w:rsidRPr="00761D19">
              <w:rPr>
                <w:rStyle w:val="InstructionsTabelleberschrift"/>
                <w:rFonts w:asciiTheme="majorHAnsi" w:hAnsiTheme="majorHAnsi"/>
              </w:rPr>
              <w:t xml:space="preserve">30 napon belül lejáró fedezett ügyletek keretében visszaszolgáltatandó 1. szintű biztosíték, </w:t>
            </w:r>
            <w:r w:rsidRPr="00283B87">
              <w:rPr>
                <w:rStyle w:val="InstructionsTabelleberschrift"/>
                <w:rFonts w:asciiTheme="majorHAnsi" w:hAnsiTheme="majorHAnsi"/>
              </w:rPr>
              <w:t>fedezet</w:t>
            </w:r>
            <w:r w:rsidRPr="008B0B61">
              <w:rPr>
                <w:rStyle w:val="InstructionsTabelleberschrift"/>
                <w:rFonts w:asciiTheme="majorHAnsi" w:hAnsiTheme="majorHAnsi"/>
              </w:rPr>
              <w:t>t kötvény nélkül</w:t>
            </w:r>
          </w:p>
          <w:p w14:paraId="28ECB898" w14:textId="0C0F421E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szCs w:val="20"/>
              </w:rPr>
            </w:pPr>
            <w:r w:rsidRPr="00CF6D10">
              <w:rPr>
                <w:rFonts w:eastAsia="Times New Roman"/>
                <w:bCs/>
                <w:color w:val="000000"/>
              </w:rPr>
              <w:t>Az adatszolgáltatás vonatkozási napját követő 30 naptári napon belül lejáró azon tételeket kérjük jelenteni, melyek 1. szintű likvid értékpapírok - (rendkívül magas minőségű fedezett kötvények k</w:t>
            </w:r>
            <w:r w:rsidRPr="00CF6D10">
              <w:rPr>
                <w:rFonts w:eastAsia="Times New Roman"/>
                <w:bCs/>
                <w:color w:val="000000"/>
              </w:rPr>
              <w:t>i</w:t>
            </w:r>
            <w:r w:rsidRPr="00CF6D10">
              <w:rPr>
                <w:rFonts w:eastAsia="Times New Roman"/>
                <w:bCs/>
                <w:color w:val="000000"/>
              </w:rPr>
              <w:t>vételével) bármely fedezett finanszírozási-, fedezett kölcsön-ügyletből, eszközcseréből vagy fed</w:t>
            </w:r>
            <w:r w:rsidRPr="00CF6D10">
              <w:rPr>
                <w:rFonts w:eastAsia="Times New Roman"/>
                <w:bCs/>
                <w:color w:val="000000"/>
              </w:rPr>
              <w:t>e</w:t>
            </w:r>
            <w:r w:rsidRPr="00CF6D10">
              <w:rPr>
                <w:rFonts w:eastAsia="Times New Roman"/>
                <w:bCs/>
                <w:color w:val="000000"/>
              </w:rPr>
              <w:t xml:space="preserve">zett származékos ügyletekből adódó - kiáramlását jelenti. </w:t>
            </w:r>
          </w:p>
        </w:tc>
      </w:tr>
      <w:tr w:rsidR="006C1B01" w:rsidRPr="00761D19" w14:paraId="3BF163DB" w14:textId="77777777" w:rsidTr="00CF6D10">
        <w:tc>
          <w:tcPr>
            <w:tcW w:w="1099" w:type="dxa"/>
            <w:vAlign w:val="center"/>
          </w:tcPr>
          <w:p w14:paraId="6E13EC32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060</w:t>
            </w:r>
          </w:p>
        </w:tc>
        <w:tc>
          <w:tcPr>
            <w:tcW w:w="8541" w:type="dxa"/>
          </w:tcPr>
          <w:p w14:paraId="0D593BCB" w14:textId="51C4E9E4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6. </w:t>
            </w:r>
            <w:r w:rsidRPr="00761D19">
              <w:rPr>
                <w:rStyle w:val="InstructionsTabelleberschrift"/>
                <w:rFonts w:asciiTheme="majorHAnsi" w:hAnsiTheme="majorHAnsi"/>
              </w:rPr>
              <w:t>30</w:t>
            </w:r>
            <w:r w:rsidR="008B0B61">
              <w:rPr>
                <w:rStyle w:val="InstructionsTabelleberschrift"/>
                <w:rFonts w:asciiTheme="majorHAnsi" w:hAnsiTheme="majorHAnsi"/>
              </w:rPr>
              <w:t xml:space="preserve"> </w:t>
            </w:r>
            <w:r w:rsidRPr="00761D19">
              <w:rPr>
                <w:rStyle w:val="InstructionsTabelleberschrift"/>
                <w:rFonts w:asciiTheme="majorHAnsi" w:hAnsiTheme="majorHAnsi"/>
              </w:rPr>
              <w:t>napon belül lejáró fedezett ügyletek keretében visszakapott 1. szintű biztosíték fedezett kötvény nélkül</w:t>
            </w:r>
          </w:p>
          <w:p w14:paraId="6D359711" w14:textId="406834EB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  <w:szCs w:val="20"/>
              </w:rPr>
            </w:pPr>
            <w:r w:rsidRPr="00CF6D10">
              <w:rPr>
                <w:rFonts w:eastAsia="Times New Roman"/>
                <w:bCs/>
                <w:color w:val="000000"/>
              </w:rPr>
              <w:t>Az adatszolgáltatás vonatkozási napját követő 30 naptári napon belül lejáró, azon tételeket kérjük jelenteni, melyek 1. szintű likvid értékpapírok - (rendkívül magas minőségű fedezett kötvények k</w:t>
            </w:r>
            <w:r w:rsidRPr="00CF6D10">
              <w:rPr>
                <w:rFonts w:eastAsia="Times New Roman"/>
                <w:bCs/>
                <w:color w:val="000000"/>
              </w:rPr>
              <w:t>i</w:t>
            </w:r>
            <w:r w:rsidRPr="00CF6D10">
              <w:rPr>
                <w:rFonts w:eastAsia="Times New Roman"/>
                <w:bCs/>
                <w:color w:val="000000"/>
              </w:rPr>
              <w:t>vételével) bármely fedezett finanszírozási-, fedezett kölcsön-ügyletből, eszközcseréből vagy fed</w:t>
            </w:r>
            <w:r w:rsidRPr="00CF6D10">
              <w:rPr>
                <w:rFonts w:eastAsia="Times New Roman"/>
                <w:bCs/>
                <w:color w:val="000000"/>
              </w:rPr>
              <w:t>e</w:t>
            </w:r>
            <w:r w:rsidRPr="00CF6D10">
              <w:rPr>
                <w:rFonts w:eastAsia="Times New Roman"/>
                <w:bCs/>
                <w:color w:val="000000"/>
              </w:rPr>
              <w:t xml:space="preserve">zett származékos ügyletekből adódó - beáramlását jelenti. </w:t>
            </w:r>
          </w:p>
        </w:tc>
      </w:tr>
      <w:tr w:rsidR="006C1B01" w:rsidRPr="00761D19" w14:paraId="3543D7FA" w14:textId="77777777" w:rsidTr="00CF6D10">
        <w:tc>
          <w:tcPr>
            <w:tcW w:w="1099" w:type="dxa"/>
            <w:vAlign w:val="center"/>
          </w:tcPr>
          <w:p w14:paraId="3690ABFD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070</w:t>
            </w:r>
          </w:p>
        </w:tc>
        <w:tc>
          <w:tcPr>
            <w:tcW w:w="8541" w:type="dxa"/>
          </w:tcPr>
          <w:p w14:paraId="6722E42C" w14:textId="0A4DBCC7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>7.</w:t>
            </w:r>
            <w:r w:rsidRPr="00761D19">
              <w:rPr>
                <w:rStyle w:val="InstructionsTabelleberschrift"/>
                <w:rFonts w:asciiTheme="majorHAnsi" w:hAnsiTheme="majorHAnsi"/>
              </w:rPr>
              <w:t xml:space="preserve"> Fedezett ügyletek 30 napon belüli kiáramlásai</w:t>
            </w:r>
          </w:p>
          <w:p w14:paraId="12FAA976" w14:textId="675D6BC8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</w:rPr>
              <w:t>Az adatszolgáltatás vonatkozási napját követő 30 naptári napon belül lejáró, azon tételeket kérjük jelenteni, melyek készpénz (1. szintű eszköz) kiáramlásokat jelentenek bármely fedezett finansz</w:t>
            </w:r>
            <w:r w:rsidRPr="00CF6D10">
              <w:rPr>
                <w:rFonts w:eastAsia="Times New Roman"/>
                <w:bCs/>
                <w:color w:val="000000"/>
              </w:rPr>
              <w:t>í</w:t>
            </w:r>
            <w:r w:rsidRPr="00CF6D10">
              <w:rPr>
                <w:rFonts w:eastAsia="Times New Roman"/>
                <w:bCs/>
                <w:color w:val="000000"/>
              </w:rPr>
              <w:t>rozási-, fedezett kölcsön-ügyletből, eszközcseréből vagy fedezett származékos ügyletekből ad</w:t>
            </w:r>
            <w:r w:rsidRPr="00CF6D10">
              <w:rPr>
                <w:rFonts w:eastAsia="Times New Roman"/>
                <w:bCs/>
                <w:color w:val="000000"/>
              </w:rPr>
              <w:t>ó</w:t>
            </w:r>
            <w:r w:rsidRPr="00CF6D10">
              <w:rPr>
                <w:rFonts w:eastAsia="Times New Roman"/>
                <w:bCs/>
                <w:color w:val="000000"/>
              </w:rPr>
              <w:t xml:space="preserve">dóan. </w:t>
            </w:r>
          </w:p>
        </w:tc>
      </w:tr>
      <w:tr w:rsidR="006C1B01" w:rsidRPr="00761D19" w14:paraId="5E1FA221" w14:textId="77777777" w:rsidTr="00CF6D10">
        <w:tc>
          <w:tcPr>
            <w:tcW w:w="1099" w:type="dxa"/>
            <w:vAlign w:val="center"/>
          </w:tcPr>
          <w:p w14:paraId="06C16FEF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080</w:t>
            </w:r>
          </w:p>
        </w:tc>
        <w:tc>
          <w:tcPr>
            <w:tcW w:w="8541" w:type="dxa"/>
          </w:tcPr>
          <w:p w14:paraId="45EFDCB2" w14:textId="634FD5D0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8. </w:t>
            </w:r>
            <w:r w:rsidRPr="00761D19">
              <w:rPr>
                <w:rStyle w:val="InstructionsTabelleberschrift"/>
                <w:rFonts w:asciiTheme="majorHAnsi" w:hAnsiTheme="majorHAnsi"/>
              </w:rPr>
              <w:t>Fedezett ügyletek 30 napon belüli beáramlásai</w:t>
            </w:r>
          </w:p>
          <w:p w14:paraId="11FE26B5" w14:textId="05FCD0AB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</w:rPr>
              <w:t>Az adatszolgáltatás vonatkozási napját követő 30 naptári napon belül lejáró azon tételeket kérjük jelenteni, melyek készpénz (1. szintű eszköz) beáramlásokat jelentenek bármely fedezett finansz</w:t>
            </w:r>
            <w:r w:rsidRPr="00CF6D10">
              <w:rPr>
                <w:rFonts w:eastAsia="Times New Roman"/>
                <w:bCs/>
                <w:color w:val="000000"/>
              </w:rPr>
              <w:t>í</w:t>
            </w:r>
            <w:r w:rsidRPr="00CF6D10">
              <w:rPr>
                <w:rFonts w:eastAsia="Times New Roman"/>
                <w:bCs/>
                <w:color w:val="000000"/>
              </w:rPr>
              <w:t>rozási-, fedezett kölcsön-ügyletből, eszközcseréből vagy fedezett származékos ügyletekből ad</w:t>
            </w:r>
            <w:r w:rsidRPr="00CF6D10">
              <w:rPr>
                <w:rFonts w:eastAsia="Times New Roman"/>
                <w:bCs/>
                <w:color w:val="000000"/>
              </w:rPr>
              <w:t>ó</w:t>
            </w:r>
            <w:r w:rsidRPr="00CF6D10">
              <w:rPr>
                <w:rFonts w:eastAsia="Times New Roman"/>
                <w:bCs/>
                <w:color w:val="000000"/>
              </w:rPr>
              <w:t>dóan.</w:t>
            </w:r>
          </w:p>
        </w:tc>
      </w:tr>
      <w:tr w:rsidR="006C1B01" w:rsidRPr="00761D19" w14:paraId="0727461C" w14:textId="77777777" w:rsidTr="00CF6D10">
        <w:tc>
          <w:tcPr>
            <w:tcW w:w="1099" w:type="dxa"/>
            <w:vAlign w:val="center"/>
          </w:tcPr>
          <w:p w14:paraId="7E9BA48D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090</w:t>
            </w:r>
          </w:p>
        </w:tc>
        <w:tc>
          <w:tcPr>
            <w:tcW w:w="8541" w:type="dxa"/>
          </w:tcPr>
          <w:p w14:paraId="3404A9E3" w14:textId="08B57264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 w:val="0"/>
                <w:szCs w:val="20"/>
                <w:lang w:eastAsia="de-D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9. </w:t>
            </w:r>
            <w:r w:rsidRPr="00761D19">
              <w:rPr>
                <w:rStyle w:val="InstructionsTabelleberschrift"/>
                <w:rFonts w:asciiTheme="majorHAnsi" w:hAnsiTheme="majorHAnsi"/>
                <w:szCs w:val="20"/>
                <w:lang w:eastAsia="de-DE"/>
              </w:rPr>
              <w:t xml:space="preserve">1. szintű eszközök fedezett kötvények nélkül </w:t>
            </w:r>
            <w:r w:rsidR="00A67BAA" w:rsidRPr="00A67BAA">
              <w:rPr>
                <w:rStyle w:val="InstructionsTabelleberschrift"/>
                <w:rFonts w:asciiTheme="majorHAnsi" w:hAnsiTheme="majorHAnsi"/>
                <w:szCs w:val="20"/>
                <w:lang w:eastAsia="de-DE"/>
              </w:rPr>
              <w:t>kiigazított, korlát alkalmazása előtti összege</w:t>
            </w:r>
          </w:p>
          <w:p w14:paraId="4E72A52A" w14:textId="110E1569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Az I.</w:t>
            </w:r>
            <w:r w:rsidR="00294232">
              <w:rPr>
                <w:rFonts w:eastAsia="Times New Roman"/>
                <w:color w:val="000000"/>
              </w:rPr>
              <w:t xml:space="preserve"> melléklet 5. bekezdésének (a) </w:t>
            </w:r>
            <w:r w:rsidRPr="00CF6D10">
              <w:rPr>
                <w:rFonts w:eastAsia="Times New Roman"/>
                <w:color w:val="000000"/>
              </w:rPr>
              <w:t>pontjában meghatározott érték</w:t>
            </w:r>
          </w:p>
          <w:p w14:paraId="1F371965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Itt kell jelenteni a nem fedezett, 1. szintű kötvények kiigazított összegét a felső korlát alkalmazása előtt.</w:t>
            </w:r>
          </w:p>
          <w:p w14:paraId="11766C59" w14:textId="50B057BA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  <w:bCs w:val="0"/>
                <w:szCs w:val="20"/>
              </w:rPr>
            </w:pPr>
            <w:r w:rsidRPr="00CF6D10">
              <w:rPr>
                <w:rFonts w:eastAsia="Times New Roman"/>
                <w:color w:val="000000"/>
              </w:rPr>
              <w:t>A kiigazított érték figyelembe veszi az adatszolgáltatás vonatkozási napját követő 30 naptári n</w:t>
            </w:r>
            <w:r w:rsidRPr="00CF6D10">
              <w:rPr>
                <w:rFonts w:eastAsia="Times New Roman"/>
                <w:color w:val="000000"/>
              </w:rPr>
              <w:t>a</w:t>
            </w:r>
            <w:r w:rsidRPr="00CF6D10">
              <w:rPr>
                <w:rFonts w:eastAsia="Times New Roman"/>
                <w:color w:val="000000"/>
              </w:rPr>
              <w:t>pon belül lejáró a fedezett finanszírozási-, fedezett kölcsön-ügyletből, eszközcseréből vagy fed</w:t>
            </w:r>
            <w:r w:rsidRPr="00CF6D10">
              <w:rPr>
                <w:rFonts w:eastAsia="Times New Roman"/>
                <w:color w:val="000000"/>
              </w:rPr>
              <w:t>e</w:t>
            </w:r>
            <w:r w:rsidRPr="00CF6D10">
              <w:rPr>
                <w:rFonts w:eastAsia="Times New Roman"/>
                <w:color w:val="000000"/>
              </w:rPr>
              <w:t>zett származékos ügyletekből adódó eszközváltozásokat.</w:t>
            </w:r>
          </w:p>
        </w:tc>
      </w:tr>
      <w:tr w:rsidR="006C1B01" w:rsidRPr="00761D19" w14:paraId="37B8E61F" w14:textId="77777777" w:rsidTr="00CF6D10">
        <w:tc>
          <w:tcPr>
            <w:tcW w:w="1099" w:type="dxa"/>
            <w:vAlign w:val="center"/>
          </w:tcPr>
          <w:p w14:paraId="08B9675C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100</w:t>
            </w:r>
          </w:p>
        </w:tc>
        <w:tc>
          <w:tcPr>
            <w:tcW w:w="8541" w:type="dxa"/>
          </w:tcPr>
          <w:p w14:paraId="4BBED6F7" w14:textId="441667B5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10. </w:t>
            </w:r>
            <w:r w:rsidRPr="00761D19">
              <w:rPr>
                <w:rStyle w:val="InstructionsTabelleberschrift"/>
                <w:rFonts w:asciiTheme="majorHAnsi" w:hAnsiTheme="majorHAnsi"/>
              </w:rPr>
              <w:t xml:space="preserve">1. szintű rendkívül magas minőségű fedezett kötvények </w:t>
            </w:r>
            <w:r w:rsidR="00CF54F6" w:rsidRPr="00761D19">
              <w:rPr>
                <w:rStyle w:val="InstructionsTabelleberschrift"/>
                <w:rFonts w:asciiTheme="majorHAnsi" w:hAnsiTheme="majorHAnsi"/>
              </w:rPr>
              <w:t>(9. cikk szerinti</w:t>
            </w:r>
            <w:r w:rsidR="00CF54F6">
              <w:rPr>
                <w:rStyle w:val="InstructionsTabelleberschrift"/>
                <w:rFonts w:asciiTheme="majorHAnsi" w:hAnsiTheme="majorHAnsi"/>
              </w:rPr>
              <w:t xml:space="preserve"> értéken):</w:t>
            </w:r>
            <w:r w:rsidR="00CF54F6" w:rsidRPr="00761D19">
              <w:rPr>
                <w:rStyle w:val="InstructionsTabelleberschrift"/>
                <w:rFonts w:asciiTheme="majorHAnsi" w:hAnsiTheme="majorHAnsi"/>
              </w:rPr>
              <w:t xml:space="preserve"> kiigazít</w:t>
            </w:r>
            <w:r w:rsidR="00CF54F6">
              <w:rPr>
                <w:rStyle w:val="InstructionsTabelleberschrift"/>
                <w:rFonts w:asciiTheme="majorHAnsi" w:hAnsiTheme="majorHAnsi"/>
              </w:rPr>
              <w:t>á</w:t>
            </w:r>
            <w:r w:rsidR="00CF54F6">
              <w:rPr>
                <w:rStyle w:val="InstructionsTabelleberschrift"/>
                <w:rFonts w:asciiTheme="majorHAnsi" w:hAnsiTheme="majorHAnsi"/>
              </w:rPr>
              <w:t>sok előtt</w:t>
            </w:r>
          </w:p>
          <w:p w14:paraId="6C41E9F2" w14:textId="766964B2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color w:val="000000"/>
              </w:rPr>
              <w:t>A {C 72.00; r180; c040} cellához tartozó érték.</w:t>
            </w:r>
          </w:p>
        </w:tc>
      </w:tr>
      <w:tr w:rsidR="006C1B01" w:rsidRPr="00761D19" w14:paraId="19AD5599" w14:textId="77777777" w:rsidTr="00CF6D10">
        <w:tc>
          <w:tcPr>
            <w:tcW w:w="1099" w:type="dxa"/>
            <w:vAlign w:val="center"/>
          </w:tcPr>
          <w:p w14:paraId="4B60FAD1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110</w:t>
            </w:r>
          </w:p>
        </w:tc>
        <w:tc>
          <w:tcPr>
            <w:tcW w:w="8541" w:type="dxa"/>
          </w:tcPr>
          <w:p w14:paraId="62830FAC" w14:textId="75637096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11. </w:t>
            </w:r>
            <w:r w:rsidRPr="00761D19">
              <w:rPr>
                <w:rStyle w:val="InstructionsTabelleberschrift"/>
                <w:rFonts w:asciiTheme="majorHAnsi" w:hAnsiTheme="majorHAnsi"/>
              </w:rPr>
              <w:t>1. szintű fedezett kötvényekkel fedezett ügyletek 30 napon belüli kiáramlása</w:t>
            </w:r>
            <w:r w:rsidR="008B0B61">
              <w:rPr>
                <w:rStyle w:val="InstructionsTabelleberschrift"/>
                <w:rFonts w:asciiTheme="majorHAnsi" w:hAnsiTheme="majorHAnsi"/>
              </w:rPr>
              <w:t>i</w:t>
            </w:r>
          </w:p>
          <w:p w14:paraId="6C0868E7" w14:textId="3DD02C1F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  <w:szCs w:val="20"/>
              </w:rPr>
            </w:pPr>
            <w:r w:rsidRPr="00CF6D10">
              <w:rPr>
                <w:rFonts w:eastAsia="Times New Roman"/>
                <w:color w:val="000000"/>
              </w:rPr>
              <w:t xml:space="preserve">Az adatszolgáltatás vonatkozási napját követő 30 naptári napon belül lejáró azon tételeket kérjük jelenteni, melyek 1. szintű különösen magas hitelminőségű fedezett kötvények - bármely fedezett finanszírozási-, fedezett kölcsön-ügyletből, eszközcseréből vagy fedezett származékos ügyletekből adódó - kiáramlását jelenti. </w:t>
            </w:r>
          </w:p>
        </w:tc>
      </w:tr>
      <w:tr w:rsidR="006C1B01" w:rsidRPr="00761D19" w14:paraId="0A0C5954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29B9838F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120</w:t>
            </w:r>
          </w:p>
        </w:tc>
        <w:tc>
          <w:tcPr>
            <w:tcW w:w="8541" w:type="dxa"/>
            <w:shd w:val="clear" w:color="auto" w:fill="FFFFFF" w:themeFill="background1"/>
          </w:tcPr>
          <w:p w14:paraId="4CF8C889" w14:textId="02E31FAF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12. </w:t>
            </w:r>
            <w:r w:rsidRPr="00761D19">
              <w:rPr>
                <w:rStyle w:val="InstructionsTabelleberschrift"/>
                <w:rFonts w:asciiTheme="majorHAnsi" w:hAnsiTheme="majorHAnsi"/>
              </w:rPr>
              <w:t>1. szintű fedezett kötvényekkel fedezett ügyletek 30 napon belüli beáramlása</w:t>
            </w:r>
            <w:r w:rsidR="008B0B61">
              <w:rPr>
                <w:rStyle w:val="InstructionsTabelleberschrift"/>
                <w:rFonts w:asciiTheme="majorHAnsi" w:hAnsiTheme="majorHAnsi"/>
              </w:rPr>
              <w:t>i</w:t>
            </w:r>
          </w:p>
          <w:p w14:paraId="3CBBC1F3" w14:textId="77777777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  <w:szCs w:val="20"/>
              </w:rPr>
            </w:pPr>
            <w:r w:rsidRPr="00CF6D10">
              <w:rPr>
                <w:rFonts w:eastAsia="Times New Roman"/>
                <w:color w:val="000000"/>
              </w:rPr>
              <w:t>Az adatszolgáltatás vonatkozási napját követő 30 naptári napon belül lejáró azon tételeket kérjük jelenteni, melyek 1. szintű különösen magas hitelminőségű fedezett kötvények - bármely fedezett finanszírozási-, fedezett kölcsön-ügyletből, eszközcseréből vagy fedezett származékos ügyletekből adódó - beáramlását jelenti.</w:t>
            </w:r>
          </w:p>
        </w:tc>
      </w:tr>
      <w:tr w:rsidR="006C1B01" w:rsidRPr="00761D19" w14:paraId="6E26C1B4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16CB9B06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130</w:t>
            </w:r>
          </w:p>
        </w:tc>
        <w:tc>
          <w:tcPr>
            <w:tcW w:w="8541" w:type="dxa"/>
            <w:shd w:val="clear" w:color="auto" w:fill="FFFFFF" w:themeFill="background1"/>
          </w:tcPr>
          <w:p w14:paraId="1C06EECD" w14:textId="5E433358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FormatvorlageInstructionsTabelleText"/>
                <w:rFonts w:asciiTheme="majorHAnsi" w:hAnsiTheme="majorHAnsi"/>
                <w:b/>
                <w:bCs/>
                <w:u w:val="single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13. </w:t>
            </w:r>
            <w:r w:rsidRPr="008B0B61">
              <w:rPr>
                <w:rStyle w:val="InstructionsTabelleberschrift"/>
                <w:rFonts w:asciiTheme="majorHAnsi" w:hAnsiTheme="majorHAnsi"/>
              </w:rPr>
              <w:t>1. szintű</w:t>
            </w:r>
            <w:r w:rsidRPr="00CF6D10">
              <w:rPr>
                <w:rStyle w:val="InstructionsTabelleberschrift"/>
                <w:rFonts w:asciiTheme="majorHAnsi" w:hAnsiTheme="majorHAnsi"/>
                <w:b w:val="0"/>
              </w:rPr>
              <w:t xml:space="preserve"> </w:t>
            </w:r>
            <w:r w:rsidRPr="00761D19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>fedezett kötvények kiigazít</w:t>
            </w:r>
            <w:r w:rsidR="00CF54F6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>ott</w:t>
            </w:r>
            <w:r w:rsidRPr="00761D19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>, korlát alkalmazása előtti összege</w:t>
            </w:r>
          </w:p>
          <w:p w14:paraId="20EB2BD1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Az I. melléklet 5. bekezdésének (b) pontjában meghatározott érték</w:t>
            </w:r>
          </w:p>
          <w:p w14:paraId="1218D41D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lastRenderedPageBreak/>
              <w:t>Itt kell jelenteni a fedezett, 1. szintű kötvények kiigazított összegét a felső korlát alkalmazása előtt.</w:t>
            </w:r>
          </w:p>
          <w:p w14:paraId="7D98E8C5" w14:textId="7639836A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/>
                <w:u w:val="single"/>
              </w:rPr>
            </w:pPr>
            <w:r w:rsidRPr="00CF6D10">
              <w:rPr>
                <w:rFonts w:eastAsia="Times New Roman"/>
                <w:color w:val="000000"/>
              </w:rPr>
              <w:t>A kiigazított érték figyelembe veszi az adatszolgáltatás vonatkozási napját követő 30 naptári n</w:t>
            </w:r>
            <w:r w:rsidRPr="00CF6D10">
              <w:rPr>
                <w:rFonts w:eastAsia="Times New Roman"/>
                <w:color w:val="000000"/>
              </w:rPr>
              <w:t>a</w:t>
            </w:r>
            <w:r w:rsidRPr="00CF6D10">
              <w:rPr>
                <w:rFonts w:eastAsia="Times New Roman"/>
                <w:color w:val="000000"/>
              </w:rPr>
              <w:t>pon belül lejáró a fedezett finanszírozási-, fedezett kölcsön-ügyletből, eszközcseréből vagy fed</w:t>
            </w:r>
            <w:r w:rsidRPr="00CF6D10">
              <w:rPr>
                <w:rFonts w:eastAsia="Times New Roman"/>
                <w:color w:val="000000"/>
              </w:rPr>
              <w:t>e</w:t>
            </w:r>
            <w:r w:rsidRPr="00CF6D10">
              <w:rPr>
                <w:rFonts w:eastAsia="Times New Roman"/>
                <w:color w:val="000000"/>
              </w:rPr>
              <w:t>zett származékos ügyletekből adódó eszközváltozásokat</w:t>
            </w:r>
          </w:p>
        </w:tc>
      </w:tr>
      <w:tr w:rsidR="006C1B01" w:rsidRPr="00761D19" w14:paraId="0C98143C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5FE20535" w14:textId="6B8A4538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lastRenderedPageBreak/>
              <w:t>140</w:t>
            </w:r>
          </w:p>
        </w:tc>
        <w:tc>
          <w:tcPr>
            <w:tcW w:w="8541" w:type="dxa"/>
            <w:shd w:val="clear" w:color="auto" w:fill="FFFFFF" w:themeFill="background1"/>
          </w:tcPr>
          <w:p w14:paraId="7CEEB4F7" w14:textId="77777777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14. </w:t>
            </w:r>
            <w:r w:rsidRPr="00761D19">
              <w:rPr>
                <w:rStyle w:val="InstructionsTabelleberschrift"/>
                <w:rFonts w:asciiTheme="majorHAnsi" w:hAnsiTheme="majorHAnsi"/>
              </w:rPr>
              <w:t>1. szintű fedezett kötvények beszámítható értéke</w:t>
            </w:r>
          </w:p>
          <w:p w14:paraId="07A42792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Az I. melléklet 5. bekezdésének (b”) pontjában meghatározott érték</w:t>
            </w:r>
          </w:p>
          <w:p w14:paraId="4AB1E675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b” alatt, itt kérjük jelenteni a fedezett, 1. szintű kötvények kiigazított összegét a felső korlát a</w:t>
            </w:r>
            <w:r w:rsidRPr="00CF6D10">
              <w:rPr>
                <w:rFonts w:eastAsia="Times New Roman"/>
                <w:color w:val="000000"/>
              </w:rPr>
              <w:t>l</w:t>
            </w:r>
            <w:r w:rsidRPr="00CF6D10">
              <w:rPr>
                <w:rFonts w:eastAsia="Times New Roman"/>
                <w:color w:val="000000"/>
              </w:rPr>
              <w:t>kalmazása után =</w:t>
            </w:r>
          </w:p>
          <w:p w14:paraId="25E2F8D0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 xml:space="preserve">= </w:t>
            </w:r>
            <w:proofErr w:type="gramStart"/>
            <w:r w:rsidRPr="00CF6D10">
              <w:rPr>
                <w:rFonts w:eastAsia="Times New Roman"/>
                <w:color w:val="000000"/>
              </w:rPr>
              <w:t>MIN(</w:t>
            </w:r>
            <w:proofErr w:type="gramEnd"/>
            <w:r w:rsidRPr="00CF6D10">
              <w:rPr>
                <w:rFonts w:eastAsia="Times New Roman"/>
                <w:color w:val="000000"/>
              </w:rPr>
              <w:t>b, a70/30)</w:t>
            </w:r>
          </w:p>
          <w:p w14:paraId="5730F79D" w14:textId="740D10C5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color w:val="000000"/>
              </w:rPr>
              <w:t xml:space="preserve"> ahol b=, 1. szintű fedezett kötvények kiigazított összege a felső korlát alkalmazása előtt.</w:t>
            </w:r>
          </w:p>
        </w:tc>
      </w:tr>
      <w:tr w:rsidR="006C1B01" w:rsidRPr="00761D19" w14:paraId="6E6F315D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414CFF3D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150</w:t>
            </w:r>
          </w:p>
        </w:tc>
        <w:tc>
          <w:tcPr>
            <w:tcW w:w="8541" w:type="dxa"/>
            <w:shd w:val="clear" w:color="auto" w:fill="FFFFFF" w:themeFill="background1"/>
          </w:tcPr>
          <w:p w14:paraId="41E89EE7" w14:textId="77777777" w:rsidR="006C1B01" w:rsidRPr="00CF6D10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15. </w:t>
            </w:r>
            <w:r w:rsidRPr="00761D19">
              <w:rPr>
                <w:rStyle w:val="InstructionsTabelleberschrift"/>
                <w:rFonts w:asciiTheme="majorHAnsi" w:hAnsiTheme="majorHAnsi"/>
              </w:rPr>
              <w:t>1. szintű fedezett kötvények be nem számítható összege, “többlete”</w:t>
            </w:r>
          </w:p>
          <w:p w14:paraId="34279AEC" w14:textId="344956E5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color w:val="000000"/>
              </w:rPr>
              <w:t xml:space="preserve"> Az I. melléklet 5. bekezdésében meghatározott b és b” közötti különbséget kérjük jelenteni. </w:t>
            </w:r>
          </w:p>
        </w:tc>
      </w:tr>
      <w:tr w:rsidR="006C1B01" w:rsidRPr="00761D19" w14:paraId="11844668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3AC5B0A0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160</w:t>
            </w:r>
          </w:p>
        </w:tc>
        <w:tc>
          <w:tcPr>
            <w:tcW w:w="8541" w:type="dxa"/>
            <w:shd w:val="clear" w:color="auto" w:fill="FFFFFF" w:themeFill="background1"/>
          </w:tcPr>
          <w:p w14:paraId="4D15BD12" w14:textId="55A7B522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16. </w:t>
            </w:r>
            <w:r w:rsidRPr="00761D19">
              <w:rPr>
                <w:rStyle w:val="InstructionsTabelleberschrift"/>
                <w:rFonts w:asciiTheme="majorHAnsi" w:hAnsiTheme="majorHAnsi"/>
              </w:rPr>
              <w:t xml:space="preserve">2A. szintű eszközök </w:t>
            </w:r>
            <w:r w:rsidR="00CF54F6" w:rsidRPr="00761D19">
              <w:rPr>
                <w:rStyle w:val="InstructionsTabelleberschrift"/>
                <w:rFonts w:asciiTheme="majorHAnsi" w:hAnsiTheme="majorHAnsi"/>
              </w:rPr>
              <w:t>(9. cikk szerinti</w:t>
            </w:r>
            <w:r w:rsidR="00CF54F6">
              <w:rPr>
                <w:rStyle w:val="InstructionsTabelleberschrift"/>
                <w:rFonts w:asciiTheme="majorHAnsi" w:hAnsiTheme="majorHAnsi"/>
              </w:rPr>
              <w:t xml:space="preserve"> értéken):</w:t>
            </w:r>
            <w:r w:rsidR="00CF54F6" w:rsidRPr="00761D19">
              <w:rPr>
                <w:rStyle w:val="InstructionsTabelleberschrift"/>
                <w:rFonts w:asciiTheme="majorHAnsi" w:hAnsiTheme="majorHAnsi"/>
              </w:rPr>
              <w:t xml:space="preserve"> kiigazít</w:t>
            </w:r>
            <w:r w:rsidR="00CF54F6">
              <w:rPr>
                <w:rStyle w:val="InstructionsTabelleberschrift"/>
                <w:rFonts w:asciiTheme="majorHAnsi" w:hAnsiTheme="majorHAnsi"/>
              </w:rPr>
              <w:t>ások előtt</w:t>
            </w:r>
          </w:p>
          <w:p w14:paraId="41DB34C5" w14:textId="7C97564C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color w:val="000000"/>
              </w:rPr>
              <w:t>A {C 72.00; r230; c040} cellához tartozó érték.</w:t>
            </w:r>
          </w:p>
        </w:tc>
      </w:tr>
      <w:tr w:rsidR="006C1B01" w:rsidRPr="00761D19" w14:paraId="78CB0373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1A8DB948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170</w:t>
            </w:r>
          </w:p>
        </w:tc>
        <w:tc>
          <w:tcPr>
            <w:tcW w:w="8541" w:type="dxa"/>
            <w:shd w:val="clear" w:color="auto" w:fill="FFFFFF" w:themeFill="background1"/>
          </w:tcPr>
          <w:p w14:paraId="4A09CD28" w14:textId="1DDCC34D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17. </w:t>
            </w:r>
            <w:r w:rsidRPr="00761D19">
              <w:rPr>
                <w:rStyle w:val="InstructionsTabelleberschrift"/>
                <w:rFonts w:asciiTheme="majorHAnsi" w:hAnsiTheme="majorHAnsi"/>
              </w:rPr>
              <w:t>2A. szintű eszközökkel fedezett ügyletek 30 napon belüli kiáramlása</w:t>
            </w:r>
            <w:r w:rsidR="008B0B61">
              <w:rPr>
                <w:rStyle w:val="InstructionsTabelleberschrift"/>
                <w:rFonts w:asciiTheme="majorHAnsi" w:hAnsiTheme="majorHAnsi"/>
              </w:rPr>
              <w:t>i</w:t>
            </w:r>
          </w:p>
          <w:p w14:paraId="3EF9309E" w14:textId="54D689E9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color w:val="000000"/>
              </w:rPr>
              <w:t>Az adatszolgáltatás vonatkozási napját követő 30 naptári napon belül lejáró azon tételeket kérjük jelenteni, melyek 2A. szintű likvid értékpapírok- bármely fedezett finanszírozási-, fedezett kö</w:t>
            </w:r>
            <w:r w:rsidRPr="00CF6D10">
              <w:rPr>
                <w:rFonts w:eastAsia="Times New Roman"/>
                <w:color w:val="000000"/>
              </w:rPr>
              <w:t>l</w:t>
            </w:r>
            <w:r w:rsidRPr="00CF6D10">
              <w:rPr>
                <w:rFonts w:eastAsia="Times New Roman"/>
                <w:color w:val="000000"/>
              </w:rPr>
              <w:t>csön-ügyletből, eszközcseréből vagy fedezett származékos ügyletekből adódó - kiáramlását jelenti</w:t>
            </w:r>
          </w:p>
        </w:tc>
      </w:tr>
      <w:tr w:rsidR="006C1B01" w:rsidRPr="00761D19" w14:paraId="5DEB8CF3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1F503BC1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180</w:t>
            </w:r>
          </w:p>
        </w:tc>
        <w:tc>
          <w:tcPr>
            <w:tcW w:w="8541" w:type="dxa"/>
            <w:shd w:val="clear" w:color="auto" w:fill="FFFFFF" w:themeFill="background1"/>
          </w:tcPr>
          <w:p w14:paraId="64112105" w14:textId="393D34AB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18. </w:t>
            </w:r>
            <w:r w:rsidRPr="00761D19">
              <w:rPr>
                <w:rStyle w:val="InstructionsTabelleberschrift"/>
                <w:rFonts w:asciiTheme="majorHAnsi" w:hAnsiTheme="majorHAnsi"/>
              </w:rPr>
              <w:t>2A. szintű eszközökkel fedezett ügyletek 30 napon belüli beáramlása</w:t>
            </w:r>
            <w:r w:rsidR="008B0B61">
              <w:rPr>
                <w:rStyle w:val="InstructionsTabelleberschrift"/>
                <w:rFonts w:asciiTheme="majorHAnsi" w:hAnsiTheme="majorHAnsi"/>
              </w:rPr>
              <w:t>i</w:t>
            </w:r>
          </w:p>
          <w:p w14:paraId="540EFC22" w14:textId="4A766449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color w:val="000000"/>
              </w:rPr>
              <w:t>Az adatszolgáltatás vonatkozási napját követő 30 naptári napon belül lejáró azon tételeket kérjük jelenteni, melyek 2A. szintű likvid értékpapírok- bármely fedezett finanszírozási-, fedezett kö</w:t>
            </w:r>
            <w:r w:rsidRPr="00CF6D10">
              <w:rPr>
                <w:rFonts w:eastAsia="Times New Roman"/>
                <w:color w:val="000000"/>
              </w:rPr>
              <w:t>l</w:t>
            </w:r>
            <w:r w:rsidRPr="00CF6D10">
              <w:rPr>
                <w:rFonts w:eastAsia="Times New Roman"/>
                <w:color w:val="000000"/>
              </w:rPr>
              <w:t>csön-ügyletből, eszközcseréből vagy fedezett származékos ügyletekből adódó - beáramlását j</w:t>
            </w:r>
            <w:r w:rsidRPr="00CF6D10">
              <w:rPr>
                <w:rFonts w:eastAsia="Times New Roman"/>
                <w:color w:val="000000"/>
              </w:rPr>
              <w:t>e</w:t>
            </w:r>
            <w:r w:rsidRPr="00CF6D10">
              <w:rPr>
                <w:rFonts w:eastAsia="Times New Roman"/>
                <w:color w:val="000000"/>
              </w:rPr>
              <w:t>lenti</w:t>
            </w:r>
          </w:p>
        </w:tc>
      </w:tr>
      <w:tr w:rsidR="006C1B01" w:rsidRPr="00761D19" w14:paraId="65ED2A18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308B35FF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190</w:t>
            </w:r>
          </w:p>
        </w:tc>
        <w:tc>
          <w:tcPr>
            <w:tcW w:w="8541" w:type="dxa"/>
            <w:shd w:val="clear" w:color="auto" w:fill="FFFFFF" w:themeFill="background1"/>
          </w:tcPr>
          <w:p w14:paraId="67A34ACE" w14:textId="1A186EC3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19. </w:t>
            </w:r>
            <w:r w:rsidRPr="00761D19">
              <w:rPr>
                <w:rStyle w:val="InstructionsTabelleberschrift"/>
                <w:rFonts w:asciiTheme="majorHAnsi" w:hAnsiTheme="majorHAnsi"/>
              </w:rPr>
              <w:t>2A. szintű eszközök</w:t>
            </w:r>
            <w:r w:rsidR="008B0B61">
              <w:rPr>
                <w:rStyle w:val="InstructionsTabelleberschrift"/>
                <w:rFonts w:asciiTheme="majorHAnsi" w:hAnsiTheme="majorHAnsi"/>
              </w:rPr>
              <w:t xml:space="preserve"> </w:t>
            </w:r>
            <w:r w:rsidR="00A67BAA" w:rsidRPr="00A67BAA">
              <w:rPr>
                <w:rStyle w:val="InstructionsTabelleberschrift"/>
                <w:rFonts w:asciiTheme="majorHAnsi" w:hAnsiTheme="majorHAnsi"/>
              </w:rPr>
              <w:t xml:space="preserve">kiigazított, korlát alkalmazása előtti összege </w:t>
            </w:r>
          </w:p>
          <w:p w14:paraId="1DC1C765" w14:textId="6458211A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Az I. melléklet 5. bekezdésének (c</w:t>
            </w:r>
            <w:r w:rsidR="00294232">
              <w:rPr>
                <w:rFonts w:eastAsia="Times New Roman"/>
                <w:color w:val="000000"/>
              </w:rPr>
              <w:t>)</w:t>
            </w:r>
            <w:r w:rsidRPr="00CF6D10">
              <w:rPr>
                <w:rFonts w:eastAsia="Times New Roman"/>
                <w:color w:val="000000"/>
              </w:rPr>
              <w:t xml:space="preserve"> pontjában meghatározott érték</w:t>
            </w:r>
          </w:p>
          <w:p w14:paraId="6EC2B846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Itt kell jelenteni a 2A. szintű eszközök kiigazított összegét a felső korlát alkalmazása előtt.</w:t>
            </w:r>
          </w:p>
          <w:p w14:paraId="0B58BA3B" w14:textId="3AF22900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</w:rPr>
            </w:pPr>
            <w:r w:rsidRPr="00CF6D10">
              <w:rPr>
                <w:rFonts w:eastAsia="Times New Roman"/>
                <w:color w:val="000000"/>
              </w:rPr>
              <w:t>A kiigazított érték figyelembe veszi az adatszolgáltatás vonatkozási napját követő 30 naptári n</w:t>
            </w:r>
            <w:r w:rsidRPr="00CF6D10">
              <w:rPr>
                <w:rFonts w:eastAsia="Times New Roman"/>
                <w:color w:val="000000"/>
              </w:rPr>
              <w:t>a</w:t>
            </w:r>
            <w:r w:rsidRPr="00CF6D10">
              <w:rPr>
                <w:rFonts w:eastAsia="Times New Roman"/>
                <w:color w:val="000000"/>
              </w:rPr>
              <w:t>pon belül lejáró a fedezett finanszírozási-, fedezett kölcsön-ügyletből, eszközcseréből vagy fed</w:t>
            </w:r>
            <w:r w:rsidRPr="00CF6D10">
              <w:rPr>
                <w:rFonts w:eastAsia="Times New Roman"/>
                <w:color w:val="000000"/>
              </w:rPr>
              <w:t>e</w:t>
            </w:r>
            <w:r w:rsidRPr="00CF6D10">
              <w:rPr>
                <w:rFonts w:eastAsia="Times New Roman"/>
                <w:color w:val="000000"/>
              </w:rPr>
              <w:t>zett származékos ügyletekből adódó eszközváltozásokat.</w:t>
            </w:r>
          </w:p>
        </w:tc>
      </w:tr>
      <w:tr w:rsidR="006C1B01" w:rsidRPr="00761D19" w14:paraId="510D7B3C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5674D18E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200</w:t>
            </w:r>
          </w:p>
        </w:tc>
        <w:tc>
          <w:tcPr>
            <w:tcW w:w="8541" w:type="dxa"/>
            <w:shd w:val="clear" w:color="auto" w:fill="FFFFFF" w:themeFill="background1"/>
          </w:tcPr>
          <w:p w14:paraId="5A981192" w14:textId="39BB6305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20. </w:t>
            </w:r>
            <w:r w:rsidRPr="00761D19">
              <w:rPr>
                <w:rStyle w:val="InstructionsTabelleberschrift"/>
                <w:rFonts w:asciiTheme="majorHAnsi" w:hAnsiTheme="majorHAnsi"/>
              </w:rPr>
              <w:t>2A. szintű eszközök beszámítható értéke</w:t>
            </w:r>
          </w:p>
          <w:p w14:paraId="35BEB8DD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Az I. melléklet 5. bekezdésének (c”) pontjában meghatározott érték</w:t>
            </w:r>
          </w:p>
          <w:p w14:paraId="4296560F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 xml:space="preserve">c” alatt, itt kérjük jelenteni a 2A. szintű eszközök kiigazított összegét a felső korlát alkalmazása után </w:t>
            </w:r>
          </w:p>
          <w:p w14:paraId="1C706740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 xml:space="preserve">= </w:t>
            </w:r>
            <w:proofErr w:type="gramStart"/>
            <w:r w:rsidRPr="00CF6D10">
              <w:rPr>
                <w:rFonts w:eastAsia="Times New Roman"/>
                <w:color w:val="000000"/>
              </w:rPr>
              <w:t>MIN( c</w:t>
            </w:r>
            <w:proofErr w:type="gramEnd"/>
            <w:r w:rsidRPr="00CF6D10">
              <w:rPr>
                <w:rFonts w:eastAsia="Times New Roman"/>
                <w:color w:val="000000"/>
              </w:rPr>
              <w:t>, (a+b")40/60, MAX(a70/30-b", 0) )</w:t>
            </w:r>
          </w:p>
          <w:p w14:paraId="6D46D2AF" w14:textId="771BAEBA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  <w:bCs w:val="0"/>
                <w:szCs w:val="20"/>
              </w:rPr>
            </w:pPr>
            <w:r w:rsidRPr="00CF6D10">
              <w:rPr>
                <w:rFonts w:eastAsia="Times New Roman"/>
                <w:color w:val="000000"/>
              </w:rPr>
              <w:t xml:space="preserve"> ahol c= a 2A. szintű eszközök kiigazított összege a felső korlát alkalmazása előtt.</w:t>
            </w:r>
          </w:p>
        </w:tc>
      </w:tr>
      <w:tr w:rsidR="006C1B01" w:rsidRPr="00761D19" w14:paraId="7C5024A6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0D3D89C9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210</w:t>
            </w:r>
          </w:p>
        </w:tc>
        <w:tc>
          <w:tcPr>
            <w:tcW w:w="8541" w:type="dxa"/>
            <w:shd w:val="clear" w:color="auto" w:fill="FFFFFF" w:themeFill="background1"/>
          </w:tcPr>
          <w:p w14:paraId="0CDBA775" w14:textId="77777777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FormatvorlageInstructionsTabelleText"/>
                <w:rFonts w:asciiTheme="majorHAnsi" w:hAnsiTheme="majorHAnsi"/>
                <w:b/>
                <w:bCs/>
                <w:u w:val="single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>21. 2A</w:t>
            </w:r>
            <w:r w:rsidRPr="00CF6D10">
              <w:rPr>
                <w:rStyle w:val="FormatvorlageInstructionsTabelleText"/>
                <w:rFonts w:asciiTheme="majorHAnsi" w:hAnsiTheme="majorHAnsi"/>
                <w:u w:val="single"/>
              </w:rPr>
              <w:t>.</w:t>
            </w:r>
            <w:r w:rsidRPr="00CF6D10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 xml:space="preserve"> szintű eszközök</w:t>
            </w:r>
            <w:r w:rsidRPr="00761D19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 xml:space="preserve"> be nem számítható értéke, “többlete”</w:t>
            </w:r>
          </w:p>
          <w:p w14:paraId="14C247FB" w14:textId="4EC83044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u w:val="single"/>
              </w:rPr>
            </w:pPr>
            <w:r w:rsidRPr="00CF6D10">
              <w:rPr>
                <w:rFonts w:eastAsia="Times New Roman"/>
                <w:color w:val="000000"/>
              </w:rPr>
              <w:t>Az I. melléklet 5. bekezdésében meghatározott c és c” közötti különbséget kérjük jelenteni.</w:t>
            </w:r>
          </w:p>
        </w:tc>
      </w:tr>
      <w:tr w:rsidR="006C1B01" w:rsidRPr="00761D19" w14:paraId="2FE7CD06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299AE48D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lastRenderedPageBreak/>
              <w:t>220</w:t>
            </w:r>
          </w:p>
        </w:tc>
        <w:tc>
          <w:tcPr>
            <w:tcW w:w="8541" w:type="dxa"/>
            <w:shd w:val="clear" w:color="auto" w:fill="FFFFFF" w:themeFill="background1"/>
          </w:tcPr>
          <w:p w14:paraId="363EAC98" w14:textId="4F5E128A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22. </w:t>
            </w:r>
            <w:r w:rsidRPr="00761D19">
              <w:rPr>
                <w:rStyle w:val="InstructionsTabelleberschrift"/>
                <w:rFonts w:asciiTheme="majorHAnsi" w:hAnsiTheme="majorHAnsi"/>
              </w:rPr>
              <w:t>2B. szintű eszközök (9. cikk szerinti</w:t>
            </w:r>
            <w:r w:rsidR="00CF54F6">
              <w:rPr>
                <w:rStyle w:val="InstructionsTabelleberschrift"/>
                <w:rFonts w:asciiTheme="majorHAnsi" w:hAnsiTheme="majorHAnsi"/>
              </w:rPr>
              <w:t xml:space="preserve"> értéken):</w:t>
            </w:r>
            <w:r w:rsidRPr="00761D19">
              <w:rPr>
                <w:rStyle w:val="InstructionsTabelleberschrift"/>
                <w:rFonts w:asciiTheme="majorHAnsi" w:hAnsiTheme="majorHAnsi"/>
              </w:rPr>
              <w:t xml:space="preserve"> kiigazít</w:t>
            </w:r>
            <w:r w:rsidR="00CF54F6">
              <w:rPr>
                <w:rStyle w:val="InstructionsTabelleberschrift"/>
                <w:rFonts w:asciiTheme="majorHAnsi" w:hAnsiTheme="majorHAnsi"/>
              </w:rPr>
              <w:t>ások előtt</w:t>
            </w:r>
            <w:r w:rsidRPr="00761D19">
              <w:rPr>
                <w:rStyle w:val="InstructionsTabelleberschrift"/>
                <w:rFonts w:asciiTheme="majorHAnsi" w:hAnsiTheme="majorHAnsi"/>
              </w:rPr>
              <w:t>)</w:t>
            </w:r>
          </w:p>
          <w:p w14:paraId="743BA9A3" w14:textId="4E780DDA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</w:rPr>
              <w:t>A {C 72.00; r310; c040} cellához tartozó érték.</w:t>
            </w:r>
          </w:p>
        </w:tc>
      </w:tr>
      <w:tr w:rsidR="006C1B01" w:rsidRPr="00761D19" w14:paraId="090F92E1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6AB12DED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230</w:t>
            </w:r>
          </w:p>
        </w:tc>
        <w:tc>
          <w:tcPr>
            <w:tcW w:w="8541" w:type="dxa"/>
            <w:shd w:val="clear" w:color="auto" w:fill="FFFFFF" w:themeFill="background1"/>
          </w:tcPr>
          <w:p w14:paraId="2A3BD9A1" w14:textId="5315AEB5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23. </w:t>
            </w:r>
            <w:r w:rsidRPr="00761D19">
              <w:rPr>
                <w:rStyle w:val="InstructionsTabelleberschrift"/>
                <w:rFonts w:asciiTheme="majorHAnsi" w:hAnsiTheme="majorHAnsi"/>
              </w:rPr>
              <w:t>2B. szintű eszközökkel fedezett ügyletek 30 napon belüli kiáramlása</w:t>
            </w:r>
            <w:r w:rsidR="008B0B61">
              <w:rPr>
                <w:rStyle w:val="InstructionsTabelleberschrift"/>
                <w:rFonts w:asciiTheme="majorHAnsi" w:hAnsiTheme="majorHAnsi"/>
              </w:rPr>
              <w:t>i</w:t>
            </w:r>
          </w:p>
          <w:p w14:paraId="7494BC7A" w14:textId="7365E24F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</w:rPr>
              <w:t>Az adatszolgáltatás vonatkozási napját követő 30 naptári napon belül lejáró azon tételeket kérjük jelenteni, melyek 2B. szintű likvid értékpapírok- bármely fedezett finanszírozási-, fedezett kö</w:t>
            </w:r>
            <w:r w:rsidRPr="00CF6D10">
              <w:rPr>
                <w:rFonts w:eastAsia="Times New Roman"/>
                <w:bCs/>
                <w:color w:val="000000"/>
              </w:rPr>
              <w:t>l</w:t>
            </w:r>
            <w:r w:rsidRPr="00CF6D10">
              <w:rPr>
                <w:rFonts w:eastAsia="Times New Roman"/>
                <w:bCs/>
                <w:color w:val="000000"/>
              </w:rPr>
              <w:t>csön-ügyletből, eszközcseréből vagy fedezett származékos ügyletekből adódó - kiáramlását jele</w:t>
            </w:r>
            <w:r w:rsidRPr="00CF6D10">
              <w:rPr>
                <w:rFonts w:eastAsia="Times New Roman"/>
                <w:bCs/>
                <w:color w:val="000000"/>
              </w:rPr>
              <w:t>n</w:t>
            </w:r>
            <w:r w:rsidRPr="00CF6D10">
              <w:rPr>
                <w:rFonts w:eastAsia="Times New Roman"/>
                <w:bCs/>
                <w:color w:val="000000"/>
              </w:rPr>
              <w:t>ti</w:t>
            </w:r>
            <w:r w:rsidR="00CF6D10">
              <w:rPr>
                <w:rFonts w:eastAsia="Times New Roman"/>
                <w:bCs/>
                <w:color w:val="000000"/>
              </w:rPr>
              <w:t>.</w:t>
            </w:r>
          </w:p>
        </w:tc>
      </w:tr>
      <w:tr w:rsidR="006C1B01" w:rsidRPr="00761D19" w14:paraId="27C89A3F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35826D46" w14:textId="4C18E141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240</w:t>
            </w:r>
          </w:p>
        </w:tc>
        <w:tc>
          <w:tcPr>
            <w:tcW w:w="8541" w:type="dxa"/>
            <w:shd w:val="clear" w:color="auto" w:fill="FFFFFF" w:themeFill="background1"/>
          </w:tcPr>
          <w:p w14:paraId="67A6DE5C" w14:textId="71BF0854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InstructionsTabelleberschrift"/>
                <w:rFonts w:asciiTheme="majorHAnsi" w:hAnsiTheme="majorHAnsi"/>
                <w:bCs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24. </w:t>
            </w:r>
            <w:r w:rsidRPr="00761D19">
              <w:rPr>
                <w:rStyle w:val="InstructionsTabelleberschrift"/>
                <w:rFonts w:asciiTheme="majorHAnsi" w:hAnsiTheme="majorHAnsi"/>
              </w:rPr>
              <w:t>2B. szintű eszközökkel fedezett ügyletek 30 napon belül beáramlása</w:t>
            </w:r>
            <w:r w:rsidR="008B0B61">
              <w:rPr>
                <w:rStyle w:val="InstructionsTabelleberschrift"/>
                <w:rFonts w:asciiTheme="majorHAnsi" w:hAnsiTheme="majorHAnsi"/>
              </w:rPr>
              <w:t>i</w:t>
            </w:r>
          </w:p>
          <w:p w14:paraId="5D4128D7" w14:textId="14775710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CF6D10">
              <w:rPr>
                <w:rFonts w:eastAsia="Times New Roman"/>
                <w:bCs/>
                <w:color w:val="000000"/>
              </w:rPr>
              <w:t>Az adatszolgáltatás vonatkozási napját követő 30 naptári napon belül lejáró azon tételeket kérjük jelenteni, melyek 2B. szintű likvid értékpapírok- bármely fedezett finanszírozási-, fedezett kö</w:t>
            </w:r>
            <w:r w:rsidRPr="00CF6D10">
              <w:rPr>
                <w:rFonts w:eastAsia="Times New Roman"/>
                <w:bCs/>
                <w:color w:val="000000"/>
              </w:rPr>
              <w:t>l</w:t>
            </w:r>
            <w:r w:rsidRPr="00CF6D10">
              <w:rPr>
                <w:rFonts w:eastAsia="Times New Roman"/>
                <w:bCs/>
                <w:color w:val="000000"/>
              </w:rPr>
              <w:t>csön-ügyletből, eszközcseréből vagy fedezett származékos ügyletekből adódó - beáramlását j</w:t>
            </w:r>
            <w:r w:rsidRPr="00CF6D10">
              <w:rPr>
                <w:rFonts w:eastAsia="Times New Roman"/>
                <w:bCs/>
                <w:color w:val="000000"/>
              </w:rPr>
              <w:t>e</w:t>
            </w:r>
            <w:r w:rsidRPr="00CF6D10">
              <w:rPr>
                <w:rFonts w:eastAsia="Times New Roman"/>
                <w:bCs/>
                <w:color w:val="000000"/>
              </w:rPr>
              <w:t>lenti</w:t>
            </w:r>
            <w:r w:rsidR="00CF6D10" w:rsidRPr="00CF6D10">
              <w:rPr>
                <w:rFonts w:eastAsia="Times New Roman"/>
                <w:bCs/>
                <w:color w:val="000000"/>
              </w:rPr>
              <w:t>.</w:t>
            </w:r>
          </w:p>
        </w:tc>
      </w:tr>
      <w:tr w:rsidR="006C1B01" w:rsidRPr="00761D19" w14:paraId="3ACE61D1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55D22A11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250</w:t>
            </w:r>
          </w:p>
        </w:tc>
        <w:tc>
          <w:tcPr>
            <w:tcW w:w="8541" w:type="dxa"/>
            <w:shd w:val="clear" w:color="auto" w:fill="FFFFFF" w:themeFill="background1"/>
          </w:tcPr>
          <w:p w14:paraId="61BE7821" w14:textId="03A05A78" w:rsidR="00A67BAA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eastAsia="PMingLiU" w:hAnsiTheme="majorHAnsi"/>
                <w:bCs w:val="0"/>
                <w:szCs w:val="20"/>
                <w:lang w:eastAsia="de-DE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25. </w:t>
            </w:r>
            <w:r w:rsidRPr="00761D19">
              <w:rPr>
                <w:rStyle w:val="InstructionsTabelleberschrift"/>
                <w:rFonts w:asciiTheme="majorHAnsi" w:hAnsiTheme="majorHAnsi"/>
              </w:rPr>
              <w:t>2B. szintű eszközök</w:t>
            </w:r>
            <w:r w:rsidR="00E87BDD">
              <w:rPr>
                <w:rStyle w:val="InstructionsTabelleberschrift"/>
                <w:rFonts w:asciiTheme="majorHAnsi" w:hAnsiTheme="majorHAnsi"/>
              </w:rPr>
              <w:t xml:space="preserve"> </w:t>
            </w:r>
            <w:r w:rsidR="00A67BAA" w:rsidRPr="00A67BAA">
              <w:rPr>
                <w:rStyle w:val="InstructionsTabelleberschrift"/>
                <w:rFonts w:asciiTheme="majorHAnsi" w:eastAsia="PMingLiU" w:hAnsiTheme="majorHAnsi"/>
                <w:bCs w:val="0"/>
                <w:szCs w:val="20"/>
                <w:lang w:eastAsia="de-DE"/>
              </w:rPr>
              <w:t xml:space="preserve">kiigazított, korlát alkalmazása előtti összege </w:t>
            </w:r>
          </w:p>
          <w:p w14:paraId="52CDB8BE" w14:textId="631370F0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bCs/>
                <w:color w:val="000000"/>
              </w:rPr>
            </w:pPr>
            <w:r w:rsidRPr="00CF6D10">
              <w:rPr>
                <w:rFonts w:eastAsia="Times New Roman"/>
                <w:bCs/>
                <w:color w:val="000000"/>
              </w:rPr>
              <w:t>Az I. melléklet 5. bekezdésének (d”) pontjában meghatározott érték.</w:t>
            </w:r>
          </w:p>
          <w:p w14:paraId="69AD5CCF" w14:textId="46A5051C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InstructionsTabelleberschrift"/>
                <w:rFonts w:asciiTheme="majorHAnsi" w:hAnsiTheme="majorHAnsi"/>
              </w:rPr>
            </w:pPr>
            <w:r w:rsidRPr="00CF6D10">
              <w:rPr>
                <w:rFonts w:eastAsia="Times New Roman"/>
                <w:bCs/>
                <w:color w:val="000000"/>
              </w:rPr>
              <w:t>Itt kell jelenteni a 2B. szintű eszközök kiigazított összegét a felső korlát alkalmazása előtt. A kiig</w:t>
            </w:r>
            <w:r w:rsidRPr="00CF6D10">
              <w:rPr>
                <w:rFonts w:eastAsia="Times New Roman"/>
                <w:bCs/>
                <w:color w:val="000000"/>
              </w:rPr>
              <w:t>a</w:t>
            </w:r>
            <w:r w:rsidRPr="00CF6D10">
              <w:rPr>
                <w:rFonts w:eastAsia="Times New Roman"/>
                <w:bCs/>
                <w:color w:val="000000"/>
              </w:rPr>
              <w:t>zított érték figyelembe veszi az adatszolgáltatás vonatkozási napját követő 30 naptári napon belül lejáró a fedezett finanszírozási-, fedezett kölcsön-ügyletből, eszközcseréből vagy fedezett szárm</w:t>
            </w:r>
            <w:r w:rsidRPr="00CF6D10">
              <w:rPr>
                <w:rFonts w:eastAsia="Times New Roman"/>
                <w:bCs/>
                <w:color w:val="000000"/>
              </w:rPr>
              <w:t>a</w:t>
            </w:r>
            <w:r w:rsidRPr="00CF6D10">
              <w:rPr>
                <w:rFonts w:eastAsia="Times New Roman"/>
                <w:bCs/>
                <w:color w:val="000000"/>
              </w:rPr>
              <w:t>zékos ügyletekből adódó eszközváltozásokat</w:t>
            </w:r>
            <w:r w:rsidR="00CF6D10">
              <w:rPr>
                <w:rFonts w:eastAsia="Times New Roman"/>
                <w:bCs/>
                <w:color w:val="000000"/>
              </w:rPr>
              <w:t>.</w:t>
            </w:r>
          </w:p>
        </w:tc>
      </w:tr>
      <w:tr w:rsidR="006C1B01" w:rsidRPr="00761D19" w14:paraId="5A3D5A3F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1A8B68FE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260</w:t>
            </w:r>
          </w:p>
        </w:tc>
        <w:tc>
          <w:tcPr>
            <w:tcW w:w="8541" w:type="dxa"/>
            <w:shd w:val="clear" w:color="auto" w:fill="FFFFFF" w:themeFill="background1"/>
          </w:tcPr>
          <w:p w14:paraId="7147987C" w14:textId="77777777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FormatvorlageInstructionsTabelleText"/>
                <w:rFonts w:asciiTheme="majorHAnsi" w:hAnsiTheme="majorHAnsi"/>
                <w:b/>
                <w:bCs/>
                <w:u w:val="single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26. </w:t>
            </w:r>
            <w:r w:rsidRPr="00761D19">
              <w:rPr>
                <w:rStyle w:val="InstructionsTabelleberschrift"/>
                <w:rFonts w:asciiTheme="majorHAnsi" w:hAnsiTheme="majorHAnsi"/>
              </w:rPr>
              <w:t>2B. szintű eszközök beszámítható értéke</w:t>
            </w:r>
          </w:p>
          <w:p w14:paraId="58305809" w14:textId="50457C5E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bCs/>
                <w:color w:val="000000"/>
              </w:rPr>
            </w:pPr>
            <w:r w:rsidRPr="00CF6D10">
              <w:rPr>
                <w:rFonts w:eastAsia="Times New Roman"/>
                <w:bCs/>
                <w:color w:val="000000"/>
              </w:rPr>
              <w:t>Az I. melléklet 5. bekezdésének (d”) pontjában meghatározott érték.</w:t>
            </w:r>
          </w:p>
          <w:p w14:paraId="17A1C3DA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bCs/>
                <w:color w:val="000000"/>
              </w:rPr>
            </w:pPr>
            <w:r w:rsidRPr="00CF6D10">
              <w:rPr>
                <w:rFonts w:eastAsia="Times New Roman"/>
                <w:bCs/>
                <w:color w:val="000000"/>
              </w:rPr>
              <w:t>d” alatt, itt kérjük jelenteni a 2B. szintű eszközök kiigazított összegét a felső korlát alkalmazása után</w:t>
            </w:r>
          </w:p>
          <w:p w14:paraId="3157B916" w14:textId="77777777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bCs/>
                <w:color w:val="000000"/>
              </w:rPr>
            </w:pPr>
            <w:r w:rsidRPr="00CF6D10">
              <w:rPr>
                <w:rFonts w:eastAsia="Times New Roman"/>
                <w:bCs/>
                <w:color w:val="000000"/>
              </w:rPr>
              <w:t>= MIN (d, (a+b"+c"</w:t>
            </w:r>
            <w:proofErr w:type="gramStart"/>
            <w:r w:rsidRPr="00CF6D10">
              <w:rPr>
                <w:rFonts w:eastAsia="Times New Roman"/>
                <w:bCs/>
                <w:color w:val="000000"/>
              </w:rPr>
              <w:t>)15</w:t>
            </w:r>
            <w:proofErr w:type="gramEnd"/>
            <w:r w:rsidRPr="00CF6D10">
              <w:rPr>
                <w:rFonts w:eastAsia="Times New Roman"/>
                <w:bCs/>
                <w:color w:val="000000"/>
              </w:rPr>
              <w:t>/85, MAX((a+b")40/60-c",0), MAX(70/30a-b"-c",0))</w:t>
            </w:r>
          </w:p>
          <w:p w14:paraId="0D6441CF" w14:textId="77777777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/>
                <w:bCs w:val="0"/>
                <w:u w:val="single"/>
              </w:rPr>
            </w:pPr>
            <w:r w:rsidRPr="00CF6D10">
              <w:rPr>
                <w:rFonts w:eastAsia="Times New Roman"/>
                <w:bCs/>
                <w:color w:val="000000"/>
              </w:rPr>
              <w:t xml:space="preserve"> ahol d= a 2B. szintű eszközök kiigazított összege a felső korlát alkalmazása előtt).</w:t>
            </w:r>
          </w:p>
        </w:tc>
      </w:tr>
      <w:tr w:rsidR="006C1B01" w:rsidRPr="00761D19" w14:paraId="0AD85FF9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7EBBF7A1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270</w:t>
            </w:r>
          </w:p>
        </w:tc>
        <w:tc>
          <w:tcPr>
            <w:tcW w:w="8541" w:type="dxa"/>
            <w:shd w:val="clear" w:color="auto" w:fill="FFFFFF" w:themeFill="background1"/>
          </w:tcPr>
          <w:p w14:paraId="0C17C60A" w14:textId="77777777" w:rsidR="006C1B01" w:rsidRPr="00761D19" w:rsidRDefault="006C1B01" w:rsidP="00CF6D10">
            <w:pPr>
              <w:pStyle w:val="InstructionsText"/>
              <w:tabs>
                <w:tab w:val="left" w:pos="8145"/>
              </w:tabs>
              <w:ind w:left="211" w:right="176"/>
              <w:rPr>
                <w:rStyle w:val="FormatvorlageInstructionsTabelleText"/>
                <w:rFonts w:asciiTheme="majorHAnsi" w:hAnsiTheme="majorHAnsi"/>
                <w:b/>
                <w:bCs/>
                <w:u w:val="single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27. 2B. szintű </w:t>
            </w:r>
            <w:r w:rsidRPr="00CF6D10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>eszközök</w:t>
            </w:r>
            <w:r w:rsidRPr="00761D19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 xml:space="preserve"> be nem számítható értéke, “többlete”</w:t>
            </w:r>
          </w:p>
          <w:p w14:paraId="3890173D" w14:textId="43C1E5A1" w:rsidR="006C1B01" w:rsidRPr="00761D19" w:rsidRDefault="006C1B01" w:rsidP="00CF6D10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/>
                <w:bCs w:val="0"/>
                <w:u w:val="single"/>
              </w:rPr>
            </w:pPr>
            <w:r w:rsidRPr="00CF6D10">
              <w:rPr>
                <w:rFonts w:eastAsia="Times New Roman"/>
                <w:bCs/>
                <w:color w:val="000000"/>
              </w:rPr>
              <w:t xml:space="preserve"> A d és d” közötti különbséget kérjük jelenteni.</w:t>
            </w:r>
          </w:p>
        </w:tc>
      </w:tr>
      <w:tr w:rsidR="006C1B01" w:rsidRPr="00761D19" w14:paraId="2F81D660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29E67AA5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280</w:t>
            </w:r>
          </w:p>
        </w:tc>
        <w:tc>
          <w:tcPr>
            <w:tcW w:w="8541" w:type="dxa"/>
            <w:shd w:val="clear" w:color="auto" w:fill="FFFFFF" w:themeFill="background1"/>
          </w:tcPr>
          <w:p w14:paraId="09FBE5B6" w14:textId="73DB41E1" w:rsidR="006C1B01" w:rsidRPr="00761D19" w:rsidRDefault="006C1B01" w:rsidP="00CF6D10">
            <w:pPr>
              <w:pStyle w:val="InstructionsText"/>
              <w:tabs>
                <w:tab w:val="left" w:pos="636"/>
              </w:tabs>
              <w:ind w:left="211" w:right="176"/>
              <w:rPr>
                <w:rStyle w:val="FormatvorlageInstructionsTabelleText"/>
                <w:rFonts w:asciiTheme="majorHAnsi" w:hAnsiTheme="majorHAnsi"/>
                <w:b/>
                <w:bCs/>
                <w:u w:val="single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 xml:space="preserve">28. </w:t>
            </w:r>
            <w:r w:rsidR="00A67BAA">
              <w:rPr>
                <w:rStyle w:val="InstructionsTabelleberschrift"/>
                <w:rFonts w:asciiTheme="majorHAnsi" w:hAnsiTheme="majorHAnsi"/>
              </w:rPr>
              <w:t>Likvid</w:t>
            </w:r>
            <w:r w:rsidR="00A67BAA" w:rsidRPr="00CF6D10">
              <w:rPr>
                <w:rStyle w:val="InstructionsTabelleberschrift"/>
                <w:rFonts w:asciiTheme="majorHAnsi" w:hAnsiTheme="majorHAnsi"/>
              </w:rPr>
              <w:t xml:space="preserve"> </w:t>
            </w:r>
            <w:r w:rsidR="00A67BAA" w:rsidRPr="00CF6D10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>eszközök</w:t>
            </w:r>
            <w:r w:rsidR="00A67BAA" w:rsidRPr="00761D19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 xml:space="preserve"> be nem számítható értéke, “többlete”</w:t>
            </w:r>
          </w:p>
          <w:p w14:paraId="55AEC27B" w14:textId="77777777" w:rsid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color w:val="000000"/>
              </w:rPr>
              <w:t>Az I. melléklet 4. bekezd</w:t>
            </w:r>
            <w:r w:rsidR="00CF6D10">
              <w:rPr>
                <w:rFonts w:eastAsia="Times New Roman"/>
                <w:color w:val="000000"/>
              </w:rPr>
              <w:t>ésében meghatározottak szerint.</w:t>
            </w:r>
          </w:p>
          <w:p w14:paraId="76CD879B" w14:textId="2C67C9F1" w:rsidR="006C1B01" w:rsidRPr="00CF6D10" w:rsidRDefault="006C1B01" w:rsidP="00CF6D10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CF6D10">
              <w:rPr>
                <w:rFonts w:eastAsia="Times New Roman"/>
                <w:bCs/>
                <w:color w:val="000000"/>
              </w:rPr>
              <w:t>E soron kérjük jelenteni a “</w:t>
            </w:r>
            <w:r w:rsidRPr="00CF6D10">
              <w:rPr>
                <w:rFonts w:eastAsia="Times New Roman"/>
                <w:color w:val="000000"/>
              </w:rPr>
              <w:t>likvideszköztöbblet</w:t>
            </w:r>
            <w:r w:rsidRPr="00CF6D10">
              <w:rPr>
                <w:rFonts w:eastAsia="Times New Roman"/>
                <w:bCs/>
                <w:color w:val="000000"/>
              </w:rPr>
              <w:t>” összegét, mely egyenlő:</w:t>
            </w:r>
          </w:p>
          <w:p w14:paraId="45D84C41" w14:textId="77777777" w:rsidR="006C1B01" w:rsidRPr="00761D19" w:rsidRDefault="006C1B01" w:rsidP="00101DCF">
            <w:pPr>
              <w:pStyle w:val="Listaszerbekezds"/>
              <w:numPr>
                <w:ilvl w:val="0"/>
                <w:numId w:val="26"/>
              </w:numPr>
              <w:tabs>
                <w:tab w:val="left" w:pos="636"/>
              </w:tabs>
              <w:autoSpaceDE w:val="0"/>
              <w:autoSpaceDN w:val="0"/>
              <w:adjustRightInd w:val="0"/>
              <w:spacing w:before="100"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a nem fedezett kötvény, 1. szintű eszközök kiigazított összege; plusz</w:t>
            </w:r>
          </w:p>
          <w:p w14:paraId="15F238B3" w14:textId="77777777" w:rsidR="006C1B01" w:rsidRPr="00761D19" w:rsidRDefault="006C1B01" w:rsidP="00101DCF">
            <w:pPr>
              <w:pStyle w:val="Listaszerbekezds"/>
              <w:numPr>
                <w:ilvl w:val="0"/>
                <w:numId w:val="26"/>
              </w:numPr>
              <w:tabs>
                <w:tab w:val="left" w:pos="636"/>
              </w:tabs>
              <w:autoSpaceDE w:val="0"/>
              <w:autoSpaceDN w:val="0"/>
              <w:adjustRightInd w:val="0"/>
              <w:spacing w:before="100"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a fedezett, 1. szintű kötvények kiigazított összege; plusz</w:t>
            </w:r>
          </w:p>
          <w:p w14:paraId="0875F1C3" w14:textId="77777777" w:rsidR="006C1B01" w:rsidRPr="00761D19" w:rsidRDefault="006C1B01" w:rsidP="00101DCF">
            <w:pPr>
              <w:pStyle w:val="Listaszerbekezds"/>
              <w:numPr>
                <w:ilvl w:val="0"/>
                <w:numId w:val="26"/>
              </w:numPr>
              <w:tabs>
                <w:tab w:val="left" w:pos="636"/>
              </w:tabs>
              <w:autoSpaceDE w:val="0"/>
              <w:autoSpaceDN w:val="0"/>
              <w:adjustRightInd w:val="0"/>
              <w:spacing w:before="100"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a 2A. szintű eszközök kiigazított összege; plusz</w:t>
            </w:r>
          </w:p>
          <w:p w14:paraId="2FC88B4D" w14:textId="77777777" w:rsidR="006C1B01" w:rsidRPr="00761D19" w:rsidRDefault="006C1B01" w:rsidP="00101DCF">
            <w:pPr>
              <w:pStyle w:val="Listaszerbekezds"/>
              <w:numPr>
                <w:ilvl w:val="0"/>
                <w:numId w:val="26"/>
              </w:numPr>
              <w:tabs>
                <w:tab w:val="left" w:pos="636"/>
              </w:tabs>
              <w:autoSpaceDE w:val="0"/>
              <w:autoSpaceDN w:val="0"/>
              <w:adjustRightInd w:val="0"/>
              <w:spacing w:before="100"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a 2B. szintű eszközök kiigazított összege; csökkentve az alábbiak közül a kisebb összegűvel:</w:t>
            </w:r>
          </w:p>
          <w:p w14:paraId="3B94CB0F" w14:textId="77777777" w:rsidR="006C1B01" w:rsidRPr="00761D19" w:rsidRDefault="006C1B01" w:rsidP="00101DCF">
            <w:pPr>
              <w:pStyle w:val="Listaszerbekezds"/>
              <w:numPr>
                <w:ilvl w:val="0"/>
                <w:numId w:val="26"/>
              </w:numPr>
              <w:tabs>
                <w:tab w:val="left" w:pos="636"/>
              </w:tabs>
              <w:autoSpaceDE w:val="0"/>
              <w:autoSpaceDN w:val="0"/>
              <w:adjustRightInd w:val="0"/>
              <w:spacing w:before="100"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(a), (b), (c) és (d) összege;</w:t>
            </w:r>
          </w:p>
          <w:p w14:paraId="563EE03B" w14:textId="77777777" w:rsidR="006C1B01" w:rsidRPr="00761D19" w:rsidRDefault="006C1B01" w:rsidP="00101DCF">
            <w:pPr>
              <w:pStyle w:val="Listaszerbekezds"/>
              <w:numPr>
                <w:ilvl w:val="0"/>
                <w:numId w:val="26"/>
              </w:numPr>
              <w:tabs>
                <w:tab w:val="left" w:pos="636"/>
              </w:tabs>
              <w:autoSpaceDE w:val="0"/>
              <w:autoSpaceDN w:val="0"/>
              <w:adjustRightInd w:val="0"/>
              <w:spacing w:before="100"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100/30 x (a);</w:t>
            </w:r>
          </w:p>
          <w:p w14:paraId="452D12D9" w14:textId="77777777" w:rsidR="006C1B01" w:rsidRPr="00761D19" w:rsidRDefault="006C1B01" w:rsidP="00101DCF">
            <w:pPr>
              <w:pStyle w:val="Listaszerbekezds"/>
              <w:numPr>
                <w:ilvl w:val="0"/>
                <w:numId w:val="26"/>
              </w:numPr>
              <w:tabs>
                <w:tab w:val="left" w:pos="636"/>
              </w:tabs>
              <w:autoSpaceDE w:val="0"/>
              <w:autoSpaceDN w:val="0"/>
              <w:adjustRightInd w:val="0"/>
              <w:spacing w:before="100"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100/60 x (a) és (b) összege;</w:t>
            </w:r>
          </w:p>
          <w:p w14:paraId="38F87A8A" w14:textId="4DE6E73E" w:rsidR="006C1B01" w:rsidRPr="00761D19" w:rsidRDefault="006C1B01" w:rsidP="00101DCF">
            <w:pPr>
              <w:pStyle w:val="Listaszerbekezds"/>
              <w:numPr>
                <w:ilvl w:val="0"/>
                <w:numId w:val="26"/>
              </w:numPr>
              <w:tabs>
                <w:tab w:val="left" w:pos="636"/>
              </w:tabs>
              <w:autoSpaceDE w:val="0"/>
              <w:autoSpaceDN w:val="0"/>
              <w:adjustRightInd w:val="0"/>
              <w:spacing w:before="100"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100/85 x (a), (b) és (c) összege.</w:t>
            </w:r>
          </w:p>
        </w:tc>
      </w:tr>
      <w:tr w:rsidR="006C1B01" w:rsidRPr="00761D19" w14:paraId="00AF61DE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2309FD57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290</w:t>
            </w:r>
          </w:p>
        </w:tc>
        <w:tc>
          <w:tcPr>
            <w:tcW w:w="8541" w:type="dxa"/>
            <w:shd w:val="clear" w:color="auto" w:fill="FFFFFF" w:themeFill="background1"/>
          </w:tcPr>
          <w:p w14:paraId="5148ABA0" w14:textId="77777777" w:rsidR="006C1B01" w:rsidRPr="00761D19" w:rsidRDefault="006C1B01" w:rsidP="00CF6D10">
            <w:pPr>
              <w:pStyle w:val="InstructionsText"/>
              <w:tabs>
                <w:tab w:val="left" w:pos="636"/>
              </w:tabs>
              <w:ind w:left="211" w:right="176"/>
              <w:rPr>
                <w:rStyle w:val="FormatvorlageInstructionsTabelleText"/>
                <w:rFonts w:asciiTheme="majorHAnsi" w:hAnsiTheme="majorHAnsi"/>
                <w:b/>
                <w:bCs/>
                <w:u w:val="single"/>
              </w:rPr>
            </w:pPr>
            <w:r w:rsidRPr="00CF6D10">
              <w:rPr>
                <w:rStyle w:val="InstructionsTabelleberschrift"/>
                <w:rFonts w:asciiTheme="majorHAnsi" w:hAnsiTheme="majorHAnsi"/>
              </w:rPr>
              <w:t>29</w:t>
            </w:r>
            <w:r w:rsidRPr="00101DCF">
              <w:rPr>
                <w:rStyle w:val="InstructionsTabelleberschrift"/>
                <w:rFonts w:asciiTheme="majorHAnsi" w:hAnsiTheme="majorHAnsi"/>
              </w:rPr>
              <w:t xml:space="preserve">. Likviditási </w:t>
            </w:r>
            <w:r w:rsidRPr="00101DCF">
              <w:rPr>
                <w:rStyle w:val="FormatvorlageInstructionsTabelleText"/>
                <w:rFonts w:asciiTheme="majorHAnsi" w:hAnsiTheme="majorHAnsi"/>
                <w:b/>
                <w:u w:val="single"/>
              </w:rPr>
              <w:t>puffer</w:t>
            </w:r>
          </w:p>
          <w:p w14:paraId="01B71118" w14:textId="0E3B3079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</w:pPr>
            <w:r w:rsidRPr="00761D19">
              <w:lastRenderedPageBreak/>
              <w:t xml:space="preserve"> </w:t>
            </w:r>
            <w:r w:rsidR="00101DCF">
              <w:rPr>
                <w:rFonts w:eastAsia="Times New Roman"/>
                <w:color w:val="000000"/>
              </w:rPr>
              <w:t xml:space="preserve">Az </w:t>
            </w:r>
            <w:r w:rsidRPr="00101DCF">
              <w:rPr>
                <w:rFonts w:eastAsia="Times New Roman"/>
                <w:color w:val="000000"/>
              </w:rPr>
              <w:t xml:space="preserve">I. melléklet 2. bekezdésében meghatározottak </w:t>
            </w:r>
          </w:p>
          <w:p w14:paraId="67177A17" w14:textId="77777777" w:rsidR="006C1B01" w:rsidRPr="00761D19" w:rsidRDefault="006C1B01" w:rsidP="00CF6D10">
            <w:pPr>
              <w:tabs>
                <w:tab w:val="left" w:pos="636"/>
              </w:tabs>
              <w:autoSpaceDE w:val="0"/>
              <w:autoSpaceDN w:val="0"/>
              <w:adjustRightInd w:val="0"/>
              <w:spacing w:after="0" w:line="360" w:lineRule="auto"/>
              <w:ind w:left="211" w:right="176"/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E soron kérjük jelenteni a “likviditási puffer” összegét, mely egyenlő:</w:t>
            </w:r>
          </w:p>
          <w:p w14:paraId="0AB3C34A" w14:textId="77777777" w:rsidR="006C1B01" w:rsidRPr="00761D19" w:rsidRDefault="006C1B01" w:rsidP="00101DCF">
            <w:pPr>
              <w:pStyle w:val="Listaszerbekezds"/>
              <w:numPr>
                <w:ilvl w:val="0"/>
                <w:numId w:val="27"/>
              </w:numPr>
              <w:tabs>
                <w:tab w:val="left" w:pos="636"/>
              </w:tabs>
              <w:autoSpaceDE w:val="0"/>
              <w:autoSpaceDN w:val="0"/>
              <w:adjustRightInd w:val="0"/>
              <w:spacing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az 1. szintű eszközök összegével; plusz</w:t>
            </w:r>
          </w:p>
          <w:p w14:paraId="2D57ACD3" w14:textId="77777777" w:rsidR="006C1B01" w:rsidRPr="00761D19" w:rsidRDefault="006C1B01" w:rsidP="00101DCF">
            <w:pPr>
              <w:pStyle w:val="Listaszerbekezds"/>
              <w:numPr>
                <w:ilvl w:val="0"/>
                <w:numId w:val="27"/>
              </w:numPr>
              <w:tabs>
                <w:tab w:val="left" w:pos="636"/>
              </w:tabs>
              <w:autoSpaceDE w:val="0"/>
              <w:autoSpaceDN w:val="0"/>
              <w:adjustRightInd w:val="0"/>
              <w:spacing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a 2A. szintű eszközök összegével; plusz</w:t>
            </w:r>
          </w:p>
          <w:p w14:paraId="178DE44F" w14:textId="77777777" w:rsidR="006C1B01" w:rsidRPr="00761D19" w:rsidRDefault="006C1B01" w:rsidP="00101DCF">
            <w:pPr>
              <w:pStyle w:val="Listaszerbekezds"/>
              <w:numPr>
                <w:ilvl w:val="0"/>
                <w:numId w:val="27"/>
              </w:numPr>
              <w:tabs>
                <w:tab w:val="left" w:pos="636"/>
              </w:tabs>
              <w:autoSpaceDE w:val="0"/>
              <w:autoSpaceDN w:val="0"/>
              <w:adjustRightInd w:val="0"/>
              <w:spacing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a 2B. szintű eszközök összegével; csökkentve az alábbiak közül a kisebb összegűvel:</w:t>
            </w:r>
          </w:p>
          <w:p w14:paraId="397C7361" w14:textId="77777777" w:rsidR="006C1B01" w:rsidRPr="00761D19" w:rsidRDefault="006C1B01" w:rsidP="00101DCF">
            <w:pPr>
              <w:pStyle w:val="Listaszerbekezds"/>
              <w:numPr>
                <w:ilvl w:val="0"/>
                <w:numId w:val="27"/>
              </w:numPr>
              <w:tabs>
                <w:tab w:val="left" w:pos="636"/>
              </w:tabs>
              <w:autoSpaceDE w:val="0"/>
              <w:autoSpaceDN w:val="0"/>
              <w:adjustRightInd w:val="0"/>
              <w:spacing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>(a), (b) és (c) összege; vagy</w:t>
            </w:r>
          </w:p>
          <w:p w14:paraId="7FA1E3DC" w14:textId="64B43FCB" w:rsidR="006C1B01" w:rsidRPr="00761D19" w:rsidRDefault="006C1B01" w:rsidP="00101DCF">
            <w:pPr>
              <w:pStyle w:val="Listaszerbekezds"/>
              <w:numPr>
                <w:ilvl w:val="0"/>
                <w:numId w:val="27"/>
              </w:numPr>
              <w:tabs>
                <w:tab w:val="left" w:pos="636"/>
              </w:tabs>
              <w:autoSpaceDE w:val="0"/>
              <w:autoSpaceDN w:val="0"/>
              <w:adjustRightInd w:val="0"/>
              <w:spacing w:after="0" w:line="360" w:lineRule="auto"/>
              <w:ind w:left="211" w:right="176" w:firstLine="0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761D19">
              <w:rPr>
                <w:rStyle w:val="FormatvorlageInstructionsTabelleText"/>
                <w:rFonts w:asciiTheme="majorHAnsi" w:hAnsiTheme="majorHAnsi"/>
                <w:szCs w:val="20"/>
                <w:lang w:eastAsia="de-DE"/>
              </w:rPr>
              <w:t xml:space="preserve"> a likvideszköztöbblet összege.</w:t>
            </w:r>
          </w:p>
        </w:tc>
      </w:tr>
      <w:tr w:rsidR="006C1B01" w:rsidRPr="00761D19" w14:paraId="23FBC7DE" w14:textId="77777777" w:rsidTr="00CF6D10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34A2756" w14:textId="77777777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lastRenderedPageBreak/>
              <w:t>Nevező kiszámítása</w:t>
            </w:r>
          </w:p>
          <w:p w14:paraId="1494D295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A Bizottság (EU) 2015/61 felhatalmazáson alapuló rendeletének II. számú melléklete szerint</w:t>
            </w:r>
          </w:p>
          <w:p w14:paraId="63C40B32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 xml:space="preserve"> A nettó likviditáskiáramlás kiszámítására alkalmazandó képlet,</w:t>
            </w:r>
          </w:p>
          <w:p w14:paraId="72EE7BDD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 xml:space="preserve">melyben, </w:t>
            </w:r>
          </w:p>
          <w:p w14:paraId="4212D368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NLO =</w:t>
            </w:r>
            <w:proofErr w:type="gramStart"/>
            <w:r w:rsidRPr="00101DCF">
              <w:rPr>
                <w:rFonts w:eastAsia="Times New Roman"/>
                <w:color w:val="000000"/>
              </w:rPr>
              <w:t>   Nettó</w:t>
            </w:r>
            <w:proofErr w:type="gramEnd"/>
            <w:r w:rsidRPr="00101DCF">
              <w:rPr>
                <w:rFonts w:eastAsia="Times New Roman"/>
                <w:color w:val="000000"/>
              </w:rPr>
              <w:t xml:space="preserve"> likviditáskiáramlás</w:t>
            </w:r>
          </w:p>
          <w:p w14:paraId="67451C03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TO =     Összes kiáramlás</w:t>
            </w:r>
          </w:p>
          <w:p w14:paraId="61509A1F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 xml:space="preserve">TI =      Összes beáramlás </w:t>
            </w:r>
          </w:p>
          <w:p w14:paraId="6C357AD7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 xml:space="preserve">FEI =    Teljes egészükben </w:t>
            </w:r>
            <w:proofErr w:type="gramStart"/>
            <w:r w:rsidRPr="00101DCF">
              <w:rPr>
                <w:rFonts w:eastAsia="Times New Roman"/>
                <w:color w:val="000000"/>
              </w:rPr>
              <w:t>mentesített</w:t>
            </w:r>
            <w:proofErr w:type="gramEnd"/>
            <w:r w:rsidRPr="00101DCF">
              <w:rPr>
                <w:rFonts w:eastAsia="Times New Roman"/>
                <w:color w:val="000000"/>
              </w:rPr>
              <w:t xml:space="preserve"> beáramlások</w:t>
            </w:r>
          </w:p>
          <w:p w14:paraId="5AB6734E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IHC =   Beáramlások a kiáramlások 90 %-ának megfelelő, magasabb felső korláttal</w:t>
            </w:r>
          </w:p>
          <w:p w14:paraId="24725213" w14:textId="01DC2A4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IC =     Beáramlások a kiáramlások 75 %-ának megfelelő felső korláttal.</w:t>
            </w:r>
          </w:p>
          <w:p w14:paraId="077EBBEB" w14:textId="7E603A7C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Style w:val="FormatvorlageInstructionsTabelleText"/>
                <w:rFonts w:asciiTheme="majorHAnsi" w:hAnsiTheme="majorHAnsi"/>
                <w:bCs w:val="0"/>
              </w:rPr>
            </w:pPr>
            <w:r w:rsidRPr="00101DCF">
              <w:rPr>
                <w:rFonts w:eastAsia="Times New Roman"/>
                <w:color w:val="000000"/>
              </w:rPr>
              <w:t>Az alábbi sorokhoz tartozó adatokat a 010-es oszlopban kérjük</w:t>
            </w:r>
            <w:r w:rsidRPr="00761D19">
              <w:rPr>
                <w:rFonts w:asciiTheme="majorHAnsi" w:hAnsiTheme="majorHAnsi"/>
                <w:szCs w:val="20"/>
                <w:lang w:eastAsia="de-DE"/>
              </w:rPr>
              <w:t xml:space="preserve"> feltüntetni.</w:t>
            </w:r>
          </w:p>
        </w:tc>
      </w:tr>
      <w:tr w:rsidR="006C1B01" w:rsidRPr="00761D19" w14:paraId="06B7593E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0D2F4A8C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300</w:t>
            </w:r>
          </w:p>
        </w:tc>
        <w:tc>
          <w:tcPr>
            <w:tcW w:w="8541" w:type="dxa"/>
            <w:shd w:val="clear" w:color="auto" w:fill="FFFFFF" w:themeFill="background1"/>
          </w:tcPr>
          <w:p w14:paraId="6A4B877E" w14:textId="77777777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30. </w:t>
            </w: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Összes kiáramlás</w:t>
            </w:r>
          </w:p>
          <w:p w14:paraId="6E99D42C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TO = Összes kiáramlás, a Kiáramlások táblázat szerint</w:t>
            </w:r>
          </w:p>
          <w:p w14:paraId="6C1F456D" w14:textId="4CB09AF6" w:rsidR="006C1B01" w:rsidRPr="00761D19" w:rsidRDefault="006C1B01" w:rsidP="00101DCF">
            <w:pPr>
              <w:spacing w:beforeLines="100" w:before="240" w:after="0" w:line="240" w:lineRule="auto"/>
              <w:ind w:left="210" w:right="176"/>
            </w:pPr>
            <w:r w:rsidRPr="00101DCF">
              <w:rPr>
                <w:rFonts w:eastAsia="Times New Roman"/>
                <w:bCs/>
                <w:color w:val="000000"/>
              </w:rPr>
              <w:t>A {C 73.00; r010; c060} cellához tartozó érték.</w:t>
            </w:r>
          </w:p>
        </w:tc>
      </w:tr>
      <w:tr w:rsidR="006C1B01" w:rsidRPr="00761D19" w14:paraId="26E44C20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42E74FB4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310</w:t>
            </w:r>
          </w:p>
        </w:tc>
        <w:tc>
          <w:tcPr>
            <w:tcW w:w="8541" w:type="dxa"/>
            <w:shd w:val="clear" w:color="auto" w:fill="FFFFFF" w:themeFill="background1"/>
            <w:vAlign w:val="center"/>
          </w:tcPr>
          <w:p w14:paraId="3EE97E5D" w14:textId="77777777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31. </w:t>
            </w: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 xml:space="preserve">Teljesen </w:t>
            </w:r>
            <w:proofErr w:type="gramStart"/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mentesített</w:t>
            </w:r>
            <w:proofErr w:type="gramEnd"/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 xml:space="preserve"> beáramlások</w:t>
            </w:r>
          </w:p>
          <w:p w14:paraId="1EA184B0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 xml:space="preserve">FEI =Teljes egészükben </w:t>
            </w:r>
            <w:proofErr w:type="gramStart"/>
            <w:r w:rsidRPr="00101DCF">
              <w:rPr>
                <w:rFonts w:eastAsia="Times New Roman"/>
                <w:color w:val="000000"/>
              </w:rPr>
              <w:t>mentesített</w:t>
            </w:r>
            <w:proofErr w:type="gramEnd"/>
            <w:r w:rsidRPr="00101DCF">
              <w:rPr>
                <w:rFonts w:eastAsia="Times New Roman"/>
                <w:color w:val="000000"/>
              </w:rPr>
              <w:t xml:space="preserve"> beáramlások, a Beáramlások táblázat szerint</w:t>
            </w:r>
          </w:p>
          <w:p w14:paraId="0DEF0D77" w14:textId="2E35A935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Fonts w:cs="Times New Roman"/>
              </w:rPr>
            </w:pPr>
            <w:r w:rsidRPr="00101DCF">
              <w:rPr>
                <w:rFonts w:eastAsia="Times New Roman"/>
                <w:bCs/>
                <w:color w:val="000000"/>
              </w:rPr>
              <w:t>A {C 74.00; r010; c160} cellához tartozó érték.</w:t>
            </w:r>
            <w:r w:rsidRPr="00761D19">
              <w:t xml:space="preserve"> </w:t>
            </w:r>
          </w:p>
        </w:tc>
      </w:tr>
      <w:tr w:rsidR="006C1B01" w:rsidRPr="00761D19" w14:paraId="13F35091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1F491C74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320</w:t>
            </w:r>
          </w:p>
        </w:tc>
        <w:tc>
          <w:tcPr>
            <w:tcW w:w="8541" w:type="dxa"/>
            <w:shd w:val="clear" w:color="auto" w:fill="FFFFFF" w:themeFill="background1"/>
            <w:vAlign w:val="center"/>
          </w:tcPr>
          <w:p w14:paraId="52D543CA" w14:textId="7645A8E8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32. </w:t>
            </w: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A 90%-os felső korlát hatálya alá tartozó beáramlások</w:t>
            </w:r>
          </w:p>
          <w:p w14:paraId="5992B6C2" w14:textId="5BA927ED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IHC = Beáramlások a kiáramlások 90 %-ának megfelelő, magasabb felső korláttal a Beáramlások táblázat szerint</w:t>
            </w:r>
          </w:p>
          <w:p w14:paraId="20CDD865" w14:textId="036D887E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Fonts w:cs="Times New Roman"/>
              </w:rPr>
            </w:pPr>
            <w:r w:rsidRPr="00101DCF">
              <w:rPr>
                <w:rFonts w:eastAsia="Times New Roman"/>
                <w:bCs/>
                <w:color w:val="000000"/>
              </w:rPr>
              <w:t>A {C 74.00; r010; c150} cellához tartozó érték.</w:t>
            </w:r>
            <w:r w:rsidRPr="00761D19">
              <w:t xml:space="preserve"> </w:t>
            </w:r>
          </w:p>
        </w:tc>
      </w:tr>
      <w:tr w:rsidR="006C1B01" w:rsidRPr="00761D19" w14:paraId="731B50D7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78669527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330</w:t>
            </w:r>
          </w:p>
        </w:tc>
        <w:tc>
          <w:tcPr>
            <w:tcW w:w="8541" w:type="dxa"/>
            <w:shd w:val="clear" w:color="auto" w:fill="FFFFFF" w:themeFill="background1"/>
            <w:vAlign w:val="center"/>
          </w:tcPr>
          <w:p w14:paraId="1274E824" w14:textId="696DC12B" w:rsidR="006C1B01" w:rsidRPr="00761D19" w:rsidRDefault="006C1B01" w:rsidP="00CF6D10">
            <w:pPr>
              <w:tabs>
                <w:tab w:val="left" w:pos="8145"/>
              </w:tabs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33. </w:t>
            </w: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A 75%-os felső korlát hatálya alá tartozó beáramlások</w:t>
            </w:r>
          </w:p>
          <w:p w14:paraId="0568387C" w14:textId="1C19F1A3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IC = Beáramlások a kiáramlások 75 %-ának megfelelő felső korláttal, a Beáramlások és a biztosít</w:t>
            </w:r>
            <w:r w:rsidRPr="00101DCF">
              <w:rPr>
                <w:rFonts w:eastAsia="Times New Roman"/>
                <w:color w:val="000000"/>
              </w:rPr>
              <w:t>é</w:t>
            </w:r>
            <w:r w:rsidRPr="00101DCF">
              <w:rPr>
                <w:rFonts w:eastAsia="Times New Roman"/>
                <w:color w:val="000000"/>
              </w:rPr>
              <w:t>ki csereügyletek táblázat szerint</w:t>
            </w:r>
          </w:p>
          <w:p w14:paraId="1453EF98" w14:textId="2A57C5F8" w:rsidR="006C1B01" w:rsidRPr="00761D19" w:rsidRDefault="006C1B01" w:rsidP="00101DCF">
            <w:pPr>
              <w:spacing w:beforeLines="100" w:before="240" w:after="0" w:line="240" w:lineRule="auto"/>
              <w:ind w:left="210" w:right="176"/>
            </w:pPr>
            <w:r w:rsidRPr="00101DCF">
              <w:rPr>
                <w:rFonts w:eastAsia="Times New Roman"/>
                <w:bCs/>
                <w:color w:val="000000"/>
              </w:rPr>
              <w:t>A {C 74.00; r010; c140} cellához tartozó érték.</w:t>
            </w:r>
          </w:p>
        </w:tc>
      </w:tr>
      <w:tr w:rsidR="006C1B01" w:rsidRPr="00761D19" w14:paraId="6A5D9104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79F931E7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340</w:t>
            </w:r>
          </w:p>
        </w:tc>
        <w:tc>
          <w:tcPr>
            <w:tcW w:w="8541" w:type="dxa"/>
            <w:shd w:val="clear" w:color="auto" w:fill="FFFFFF" w:themeFill="background1"/>
            <w:vAlign w:val="center"/>
          </w:tcPr>
          <w:p w14:paraId="67FC570A" w14:textId="32987640" w:rsidR="006C1B01" w:rsidRPr="00761D19" w:rsidRDefault="006C1B01" w:rsidP="00CF6D10">
            <w:pPr>
              <w:tabs>
                <w:tab w:val="left" w:pos="8145"/>
              </w:tabs>
              <w:spacing w:after="0"/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34. </w:t>
            </w:r>
            <w:proofErr w:type="gramStart"/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Mentesített</w:t>
            </w:r>
            <w:proofErr w:type="gramEnd"/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 xml:space="preserve"> beáramlások miatti csökkentés</w:t>
            </w:r>
          </w:p>
          <w:p w14:paraId="6B879062" w14:textId="77777777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Fonts w:asciiTheme="majorHAnsi" w:hAnsiTheme="majorHAnsi" w:cs="Calibri"/>
                <w:bCs/>
                <w:szCs w:val="20"/>
              </w:rPr>
            </w:pPr>
            <w:r w:rsidRPr="00761D19">
              <w:rPr>
                <w:rFonts w:asciiTheme="majorHAnsi" w:hAnsiTheme="majorHAnsi" w:cs="Calibri"/>
                <w:bCs/>
                <w:szCs w:val="20"/>
              </w:rPr>
              <w:lastRenderedPageBreak/>
              <w:t xml:space="preserve"> E </w:t>
            </w:r>
            <w:r w:rsidRPr="00101DCF">
              <w:rPr>
                <w:rFonts w:eastAsia="Times New Roman"/>
                <w:color w:val="000000"/>
              </w:rPr>
              <w:t>soron</w:t>
            </w:r>
            <w:r w:rsidRPr="00761D19">
              <w:rPr>
                <w:rFonts w:asciiTheme="majorHAnsi" w:hAnsiTheme="majorHAnsi" w:cs="Calibri"/>
                <w:bCs/>
                <w:szCs w:val="20"/>
              </w:rPr>
              <w:t xml:space="preserve"> kérjük jelenteni a Nettó likviditáskiáramlás számítás alábbi összetevőjét:</w:t>
            </w:r>
          </w:p>
          <w:p w14:paraId="02CC1566" w14:textId="1ABB0094" w:rsidR="006C1B01" w:rsidRPr="00761D19" w:rsidRDefault="00101DCF" w:rsidP="00101DCF">
            <w:pPr>
              <w:spacing w:beforeLines="100" w:before="240" w:after="0" w:line="240" w:lineRule="auto"/>
              <w:ind w:left="210" w:right="176"/>
              <w:rPr>
                <w:rFonts w:asciiTheme="majorHAnsi" w:hAnsiTheme="majorHAnsi" w:cs="Calibri"/>
                <w:bCs/>
                <w:szCs w:val="20"/>
              </w:rPr>
            </w:pPr>
            <w:r>
              <w:rPr>
                <w:rFonts w:asciiTheme="majorHAnsi" w:hAnsiTheme="majorHAnsi" w:cs="Calibri"/>
                <w:bCs/>
                <w:szCs w:val="20"/>
              </w:rPr>
              <w:t>= MIN (FEI, TO).</w:t>
            </w:r>
          </w:p>
        </w:tc>
      </w:tr>
      <w:tr w:rsidR="006C1B01" w:rsidRPr="00761D19" w14:paraId="5EA37FAE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229131AE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lastRenderedPageBreak/>
              <w:t>350</w:t>
            </w:r>
          </w:p>
        </w:tc>
        <w:tc>
          <w:tcPr>
            <w:tcW w:w="8541" w:type="dxa"/>
            <w:shd w:val="clear" w:color="auto" w:fill="FFFFFF" w:themeFill="background1"/>
            <w:vAlign w:val="center"/>
          </w:tcPr>
          <w:p w14:paraId="372BA7EB" w14:textId="1DFD30BF" w:rsidR="006C1B01" w:rsidRPr="00761D19" w:rsidRDefault="006C1B01" w:rsidP="00CF6D10">
            <w:pPr>
              <w:tabs>
                <w:tab w:val="left" w:pos="8145"/>
              </w:tabs>
              <w:spacing w:after="0"/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35. </w:t>
            </w: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A 90%-os felső korlát hatálya alá tartozó beáramlások miatti csökkentés</w:t>
            </w:r>
          </w:p>
          <w:p w14:paraId="41A8208A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>E soron kérjük jelenteni a Nettó likviditáskiáramlás számítás alábbi összetevőjét:</w:t>
            </w:r>
          </w:p>
          <w:p w14:paraId="7EF6D703" w14:textId="1311FE04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101DCF">
              <w:rPr>
                <w:rFonts w:eastAsia="Times New Roman"/>
                <w:color w:val="000000"/>
              </w:rPr>
              <w:t>= MIN (IHC, 0.9*</w:t>
            </w:r>
            <w:proofErr w:type="gramStart"/>
            <w:r w:rsidRPr="00101DCF">
              <w:rPr>
                <w:rFonts w:eastAsia="Times New Roman"/>
                <w:color w:val="000000"/>
              </w:rPr>
              <w:t>MAX(</w:t>
            </w:r>
            <w:proofErr w:type="gramEnd"/>
            <w:r w:rsidRPr="00101DCF">
              <w:rPr>
                <w:rFonts w:eastAsia="Times New Roman"/>
                <w:color w:val="000000"/>
              </w:rPr>
              <w:t>TO-FEI, 0)).</w:t>
            </w:r>
          </w:p>
        </w:tc>
      </w:tr>
      <w:tr w:rsidR="006C1B01" w:rsidRPr="00761D19" w14:paraId="11D3468E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41661E23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360</w:t>
            </w:r>
          </w:p>
        </w:tc>
        <w:tc>
          <w:tcPr>
            <w:tcW w:w="8541" w:type="dxa"/>
            <w:shd w:val="clear" w:color="auto" w:fill="FFFFFF" w:themeFill="background1"/>
            <w:vAlign w:val="center"/>
          </w:tcPr>
          <w:p w14:paraId="059EFC16" w14:textId="1543CB68" w:rsidR="006C1B01" w:rsidRPr="00761D19" w:rsidRDefault="006C1B01" w:rsidP="00CF6D10">
            <w:pPr>
              <w:tabs>
                <w:tab w:val="left" w:pos="8145"/>
              </w:tabs>
              <w:spacing w:after="0"/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36. </w:t>
            </w: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>A 75%-os felső korlát hatálya alá tartozó beáramlások miatti csökkentés</w:t>
            </w:r>
          </w:p>
          <w:p w14:paraId="1C7799FA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 xml:space="preserve"> E soron kérjük jelenteni a Nettó likviditáskiáramlás számítás alábbi összetevőjét:</w:t>
            </w:r>
          </w:p>
          <w:p w14:paraId="3D917F73" w14:textId="344AA789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101DCF">
              <w:rPr>
                <w:rFonts w:eastAsia="Times New Roman"/>
                <w:color w:val="000000"/>
              </w:rPr>
              <w:t>= MIN (IC, 0.75*</w:t>
            </w:r>
            <w:proofErr w:type="gramStart"/>
            <w:r w:rsidRPr="00101DCF">
              <w:rPr>
                <w:rFonts w:eastAsia="Times New Roman"/>
                <w:color w:val="000000"/>
              </w:rPr>
              <w:t>MAX(</w:t>
            </w:r>
            <w:proofErr w:type="gramEnd"/>
            <w:r w:rsidRPr="00101DCF">
              <w:rPr>
                <w:rFonts w:eastAsia="Times New Roman"/>
                <w:color w:val="000000"/>
              </w:rPr>
              <w:t>TO-FEI-IHC/0.9, 0)).</w:t>
            </w:r>
          </w:p>
        </w:tc>
      </w:tr>
      <w:tr w:rsidR="006C1B01" w:rsidRPr="00761D19" w14:paraId="2BC10F6F" w14:textId="77777777" w:rsidTr="00CF6D10">
        <w:tc>
          <w:tcPr>
            <w:tcW w:w="1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67F03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370</w:t>
            </w:r>
          </w:p>
        </w:tc>
        <w:tc>
          <w:tcPr>
            <w:tcW w:w="8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39698" w14:textId="5E23DCED" w:rsidR="006C1B01" w:rsidRPr="00761D19" w:rsidRDefault="00283B87" w:rsidP="00CF6D10">
            <w:pPr>
              <w:tabs>
                <w:tab w:val="left" w:pos="8145"/>
              </w:tabs>
              <w:spacing w:after="0"/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>
              <w:rPr>
                <w:rFonts w:asciiTheme="majorHAnsi" w:hAnsiTheme="majorHAnsi" w:cs="Calibri"/>
                <w:b/>
                <w:szCs w:val="20"/>
                <w:u w:val="single"/>
              </w:rPr>
              <w:t>37.</w:t>
            </w:r>
            <w:r w:rsidR="006C1B01"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 xml:space="preserve"> Nettó likviditáskiáramlás</w:t>
            </w:r>
          </w:p>
          <w:p w14:paraId="2D2C7432" w14:textId="77777777" w:rsidR="006C1B01" w:rsidRPr="00101DCF" w:rsidRDefault="006C1B01" w:rsidP="00101DCF">
            <w:pPr>
              <w:spacing w:beforeLines="100" w:before="240" w:after="0" w:line="240" w:lineRule="auto"/>
              <w:ind w:left="210" w:right="176"/>
              <w:rPr>
                <w:rFonts w:eastAsia="Times New Roman"/>
                <w:color w:val="000000"/>
              </w:rPr>
            </w:pPr>
            <w:r w:rsidRPr="00101DCF">
              <w:rPr>
                <w:rFonts w:eastAsia="Times New Roman"/>
                <w:color w:val="000000"/>
              </w:rPr>
              <w:t xml:space="preserve">E soron kérjük jelenteni a nettó likviditáskiáramlás összegét, amely egyenlő az összes kiáramlás összege mínusz a teljes egészükben </w:t>
            </w:r>
            <w:proofErr w:type="gramStart"/>
            <w:r w:rsidRPr="00101DCF">
              <w:rPr>
                <w:rFonts w:eastAsia="Times New Roman"/>
                <w:color w:val="000000"/>
              </w:rPr>
              <w:t>mentesített</w:t>
            </w:r>
            <w:proofErr w:type="gramEnd"/>
            <w:r w:rsidRPr="00101DCF">
              <w:rPr>
                <w:rFonts w:eastAsia="Times New Roman"/>
                <w:color w:val="000000"/>
              </w:rPr>
              <w:t xml:space="preserve"> beáramlások, a 90 %-os felső korlát hatálya alá tartozó beáramlások, és a 75%-os felső korlát hatálya alá tartozó beáramlások miatti csökkentés összege.</w:t>
            </w:r>
            <w:r w:rsidRPr="00101DCF" w:rsidDel="005A2CDF">
              <w:rPr>
                <w:rFonts w:eastAsia="Times New Roman"/>
                <w:color w:val="000000"/>
              </w:rPr>
              <w:t xml:space="preserve"> </w:t>
            </w:r>
          </w:p>
          <w:p w14:paraId="49E9DC9B" w14:textId="2F0A0292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101DCF">
              <w:rPr>
                <w:rFonts w:eastAsia="Times New Roman"/>
                <w:color w:val="000000"/>
              </w:rPr>
              <w:t xml:space="preserve">NLO= TO - </w:t>
            </w:r>
            <w:proofErr w:type="gramStart"/>
            <w:r w:rsidRPr="00101DCF">
              <w:rPr>
                <w:rFonts w:eastAsia="Times New Roman"/>
                <w:color w:val="000000"/>
              </w:rPr>
              <w:t>MIN(</w:t>
            </w:r>
            <w:proofErr w:type="gramEnd"/>
            <w:r w:rsidRPr="00101DCF">
              <w:rPr>
                <w:rFonts w:eastAsia="Times New Roman"/>
                <w:color w:val="000000"/>
              </w:rPr>
              <w:t>FEI, TO) - MIN(IHC, 0.9*MAX(TO-FEI, 0)) - MIN(IC, 0.75*MAX(T0-FEI-IHC/0.9,0))</w:t>
            </w:r>
          </w:p>
        </w:tc>
      </w:tr>
      <w:tr w:rsidR="006C1B01" w:rsidRPr="00761D19" w14:paraId="67F01A67" w14:textId="77777777" w:rsidTr="00CF6D10">
        <w:tc>
          <w:tcPr>
            <w:tcW w:w="9640" w:type="dxa"/>
            <w:gridSpan w:val="2"/>
            <w:shd w:val="pct20" w:color="auto" w:fill="FFFFFF" w:themeFill="background1"/>
            <w:vAlign w:val="center"/>
          </w:tcPr>
          <w:p w14:paraId="2879E919" w14:textId="77777777" w:rsidR="006C1B01" w:rsidRPr="00761D19" w:rsidRDefault="006C1B01" w:rsidP="00CF6D10">
            <w:pPr>
              <w:tabs>
                <w:tab w:val="left" w:pos="8145"/>
              </w:tabs>
              <w:spacing w:after="0"/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 xml:space="preserve"> 2. pillér</w:t>
            </w:r>
          </w:p>
        </w:tc>
      </w:tr>
      <w:tr w:rsidR="006C1B01" w:rsidRPr="00761D19" w14:paraId="7B0962EB" w14:textId="77777777" w:rsidTr="00CF6D10">
        <w:tc>
          <w:tcPr>
            <w:tcW w:w="1099" w:type="dxa"/>
            <w:shd w:val="clear" w:color="auto" w:fill="FFFFFF" w:themeFill="background1"/>
            <w:vAlign w:val="center"/>
          </w:tcPr>
          <w:p w14:paraId="0131D5B6" w14:textId="77777777" w:rsidR="006C1B01" w:rsidRPr="00761D19" w:rsidRDefault="006C1B01" w:rsidP="00BA5F57">
            <w:pPr>
              <w:rPr>
                <w:rFonts w:asciiTheme="majorHAnsi" w:hAnsiTheme="majorHAnsi" w:cs="Calibri"/>
                <w:szCs w:val="20"/>
              </w:rPr>
            </w:pPr>
            <w:r w:rsidRPr="00761D19">
              <w:rPr>
                <w:rFonts w:asciiTheme="majorHAnsi" w:hAnsiTheme="majorHAnsi" w:cs="Calibri"/>
                <w:szCs w:val="20"/>
              </w:rPr>
              <w:t>380</w:t>
            </w:r>
          </w:p>
        </w:tc>
        <w:tc>
          <w:tcPr>
            <w:tcW w:w="8541" w:type="dxa"/>
            <w:shd w:val="clear" w:color="auto" w:fill="FFFFFF" w:themeFill="background1"/>
            <w:vAlign w:val="center"/>
          </w:tcPr>
          <w:p w14:paraId="6FE056FE" w14:textId="77777777" w:rsidR="006C1B01" w:rsidRPr="00761D19" w:rsidRDefault="006C1B01" w:rsidP="00CF6D10">
            <w:pPr>
              <w:tabs>
                <w:tab w:val="left" w:pos="8145"/>
              </w:tabs>
              <w:spacing w:after="0"/>
              <w:ind w:left="211" w:right="176"/>
              <w:rPr>
                <w:rFonts w:asciiTheme="majorHAnsi" w:hAnsiTheme="majorHAnsi" w:cs="Calibri"/>
                <w:b/>
                <w:bCs/>
                <w:szCs w:val="20"/>
                <w:u w:val="single"/>
              </w:rPr>
            </w:pPr>
            <w:r w:rsidRPr="00761D19">
              <w:rPr>
                <w:rFonts w:asciiTheme="majorHAnsi" w:hAnsiTheme="majorHAnsi" w:cs="Calibri"/>
                <w:b/>
                <w:szCs w:val="20"/>
                <w:u w:val="single"/>
              </w:rPr>
              <w:t xml:space="preserve">38. </w:t>
            </w:r>
            <w:r w:rsidRPr="00761D19">
              <w:rPr>
                <w:rFonts w:asciiTheme="majorHAnsi" w:hAnsiTheme="majorHAnsi" w:cs="Calibri"/>
                <w:b/>
                <w:bCs/>
                <w:szCs w:val="20"/>
                <w:u w:val="single"/>
              </w:rPr>
              <w:t xml:space="preserve">2. pilléres követelmény a CRD 105. cikke alapján </w:t>
            </w:r>
          </w:p>
          <w:p w14:paraId="32121702" w14:textId="77777777" w:rsidR="006C1B01" w:rsidRPr="00761D19" w:rsidRDefault="006C1B01" w:rsidP="00101DCF">
            <w:pPr>
              <w:spacing w:beforeLines="100" w:before="240" w:after="0" w:line="240" w:lineRule="auto"/>
              <w:ind w:left="210" w:right="176"/>
              <w:rPr>
                <w:rFonts w:asciiTheme="majorHAnsi" w:hAnsiTheme="majorHAnsi" w:cs="Calibri"/>
                <w:bCs/>
                <w:szCs w:val="20"/>
              </w:rPr>
            </w:pPr>
            <w:r w:rsidRPr="00101DCF">
              <w:rPr>
                <w:rFonts w:eastAsia="Times New Roman"/>
                <w:color w:val="000000"/>
              </w:rPr>
              <w:t>E soron kérjük jelenteni a CRD 105. cikkében foglaltak alapján meghatározott 2. pillér szerinti k</w:t>
            </w:r>
            <w:r w:rsidRPr="00101DCF">
              <w:rPr>
                <w:rFonts w:eastAsia="Times New Roman"/>
                <w:color w:val="000000"/>
              </w:rPr>
              <w:t>ö</w:t>
            </w:r>
            <w:r w:rsidRPr="00101DCF">
              <w:rPr>
                <w:rFonts w:eastAsia="Times New Roman"/>
                <w:color w:val="000000"/>
              </w:rPr>
              <w:t>vetelményt.</w:t>
            </w:r>
          </w:p>
        </w:tc>
      </w:tr>
    </w:tbl>
    <w:p w14:paraId="06A97AF5" w14:textId="77777777" w:rsidR="006C1B01" w:rsidRPr="00761D19" w:rsidRDefault="006C1B01" w:rsidP="00101DCF">
      <w:pPr>
        <w:rPr>
          <w:rFonts w:asciiTheme="majorHAnsi" w:hAnsiTheme="majorHAnsi"/>
          <w:szCs w:val="20"/>
          <w:lang w:eastAsia="de-DE"/>
        </w:rPr>
      </w:pPr>
    </w:p>
    <w:sectPr w:rsidR="006C1B01" w:rsidRPr="00761D19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2439" w14:textId="77777777" w:rsidR="00D53E09" w:rsidRDefault="00D53E09">
      <w:r>
        <w:separator/>
      </w:r>
    </w:p>
  </w:endnote>
  <w:endnote w:type="continuationSeparator" w:id="0">
    <w:p w14:paraId="13A0E413" w14:textId="77777777" w:rsidR="00D53E09" w:rsidRDefault="00D53E09">
      <w:r>
        <w:continuationSeparator/>
      </w:r>
    </w:p>
  </w:endnote>
  <w:endnote w:type="continuationNotice" w:id="1">
    <w:p w14:paraId="0C55993B" w14:textId="77777777" w:rsidR="00D53E09" w:rsidRDefault="00D53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BC08A" w14:textId="77777777" w:rsidR="00587AB3" w:rsidRPr="00AC6950" w:rsidRDefault="00587AB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A866D1">
      <w:rPr>
        <w:noProof/>
        <w:sz w:val="18"/>
        <w:szCs w:val="18"/>
      </w:rPr>
      <w:t>88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A866D1">
      <w:rPr>
        <w:noProof/>
        <w:sz w:val="18"/>
        <w:szCs w:val="18"/>
      </w:rPr>
      <w:t>88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F201" w14:textId="77777777" w:rsidR="00D53E09" w:rsidRDefault="00D53E09">
      <w:r>
        <w:separator/>
      </w:r>
    </w:p>
  </w:footnote>
  <w:footnote w:type="continuationSeparator" w:id="0">
    <w:p w14:paraId="02DF7300" w14:textId="77777777" w:rsidR="00D53E09" w:rsidRDefault="00D53E09">
      <w:r>
        <w:continuationSeparator/>
      </w:r>
    </w:p>
  </w:footnote>
  <w:footnote w:type="continuationNotice" w:id="1">
    <w:p w14:paraId="576CEE94" w14:textId="77777777" w:rsidR="00D53E09" w:rsidRDefault="00D53E09">
      <w:pPr>
        <w:spacing w:after="0" w:line="240" w:lineRule="auto"/>
      </w:pPr>
    </w:p>
  </w:footnote>
  <w:footnote w:id="2">
    <w:p w14:paraId="197533E8" w14:textId="77777777" w:rsidR="00587AB3" w:rsidRPr="00A63414" w:rsidRDefault="00587AB3" w:rsidP="00A63414">
      <w:pPr>
        <w:pStyle w:val="Lbjegyzetszveg"/>
        <w:spacing w:after="0"/>
        <w:rPr>
          <w:sz w:val="20"/>
        </w:rPr>
      </w:pPr>
      <w:r w:rsidRPr="00A63414">
        <w:rPr>
          <w:rStyle w:val="Lbjegyzet-hivatkozs"/>
          <w:rFonts w:asciiTheme="majorHAnsi" w:hAnsiTheme="majorHAnsi"/>
          <w:sz w:val="20"/>
          <w:szCs w:val="20"/>
          <w:vertAlign w:val="superscript"/>
        </w:rPr>
        <w:footnoteRef/>
      </w:r>
      <w:r w:rsidRPr="00A63414">
        <w:rPr>
          <w:sz w:val="20"/>
        </w:rPr>
        <w:t xml:space="preserve"> </w:t>
      </w:r>
      <w:r w:rsidRPr="00A63414">
        <w:rPr>
          <w:rFonts w:asciiTheme="majorHAnsi" w:hAnsiTheme="majorHAnsi" w:cs="Arial"/>
          <w:sz w:val="20"/>
        </w:rPr>
        <w:t>A Bizottság (EU) 2015/61 felhatalmazáson alapuló rendelete</w:t>
      </w:r>
    </w:p>
  </w:footnote>
  <w:footnote w:id="3">
    <w:p w14:paraId="0B520B54" w14:textId="35CD3831" w:rsidR="00587AB3" w:rsidRPr="00593DE6" w:rsidRDefault="00587AB3" w:rsidP="00407CA6">
      <w:pPr>
        <w:pStyle w:val="Lbjegyzetszveg"/>
        <w:rPr>
          <w:rFonts w:ascii="Times New Roman" w:hAnsi="Times New Roman"/>
          <w:sz w:val="12"/>
          <w:szCs w:val="12"/>
          <w:lang w:val="en-US"/>
        </w:rPr>
      </w:pPr>
      <w:r w:rsidRPr="00593DE6">
        <w:rPr>
          <w:rStyle w:val="Lbjegyzet-hivatkozs"/>
          <w:rFonts w:ascii="Times New Roman" w:hAnsi="Times New Roman"/>
        </w:rPr>
        <w:footnoteRef/>
      </w:r>
      <w:r w:rsidRPr="00593DE6">
        <w:rPr>
          <w:rFonts w:ascii="Times New Roman" w:hAnsi="Times New Roman"/>
          <w:sz w:val="12"/>
          <w:szCs w:val="12"/>
        </w:rPr>
        <w:t xml:space="preserve"> </w:t>
      </w:r>
      <w:proofErr w:type="gramStart"/>
      <w:r w:rsidR="00283B87">
        <w:rPr>
          <w:rFonts w:ascii="Times New Roman" w:hAnsi="Times New Roman"/>
          <w:sz w:val="12"/>
          <w:szCs w:val="12"/>
          <w:lang w:val="en-US"/>
        </w:rPr>
        <w:t>a</w:t>
      </w:r>
      <w:proofErr w:type="gramEnd"/>
      <w:r w:rsidR="00283B87">
        <w:rPr>
          <w:rFonts w:ascii="Times New Roman" w:hAnsi="Times New Roman"/>
          <w:sz w:val="12"/>
          <w:szCs w:val="12"/>
          <w:lang w:val="en-US"/>
        </w:rPr>
        <w:t xml:space="preserve"> biztosítéki csereügyleteket a</w:t>
      </w:r>
      <w:r w:rsidRPr="00593DE6">
        <w:rPr>
          <w:rFonts w:ascii="Times New Roman" w:hAnsi="Times New Roman"/>
          <w:sz w:val="12"/>
          <w:szCs w:val="12"/>
          <w:lang w:val="en-US"/>
        </w:rPr>
        <w:t xml:space="preserve"> </w:t>
      </w:r>
      <w:r w:rsidRPr="004C2734">
        <w:rPr>
          <w:rFonts w:ascii="Times New Roman" w:hAnsi="Times New Roman"/>
          <w:sz w:val="12"/>
          <w:szCs w:val="12"/>
          <w:lang w:val="en-US"/>
        </w:rPr>
        <w:t>XXIV</w:t>
      </w:r>
      <w:r>
        <w:rPr>
          <w:rFonts w:ascii="Times New Roman" w:hAnsi="Times New Roman"/>
          <w:sz w:val="12"/>
          <w:szCs w:val="12"/>
          <w:lang w:val="en-US"/>
        </w:rPr>
        <w:t xml:space="preserve"> melléklet</w:t>
      </w:r>
      <w:r w:rsidRPr="00593DE6">
        <w:rPr>
          <w:rFonts w:ascii="Times New Roman" w:hAnsi="Times New Roman"/>
          <w:sz w:val="12"/>
          <w:szCs w:val="12"/>
          <w:lang w:val="en-US"/>
        </w:rPr>
        <w:t xml:space="preserve"> C</w:t>
      </w:r>
      <w:r>
        <w:rPr>
          <w:rFonts w:ascii="Times New Roman" w:hAnsi="Times New Roman"/>
          <w:sz w:val="12"/>
          <w:szCs w:val="12"/>
          <w:lang w:val="en-US"/>
        </w:rPr>
        <w:t> 75</w:t>
      </w:r>
      <w:r w:rsidRPr="00593DE6">
        <w:rPr>
          <w:rFonts w:ascii="Times New Roman" w:hAnsi="Times New Roman"/>
          <w:sz w:val="12"/>
          <w:szCs w:val="12"/>
          <w:lang w:val="en-US"/>
        </w:rPr>
        <w:t xml:space="preserve">.00 </w:t>
      </w:r>
      <w:r>
        <w:rPr>
          <w:rFonts w:ascii="Times New Roman" w:hAnsi="Times New Roman"/>
          <w:sz w:val="12"/>
          <w:szCs w:val="12"/>
          <w:lang w:val="en-US"/>
        </w:rPr>
        <w:t>táblájában is jelenteni kell</w:t>
      </w:r>
      <w:r w:rsidRPr="00593DE6">
        <w:rPr>
          <w:rFonts w:ascii="Times New Roman" w:hAnsi="Times New Roman"/>
          <w:sz w:val="12"/>
          <w:szCs w:val="1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4E4F" w14:textId="77777777" w:rsidR="00587AB3" w:rsidRPr="00AC6950" w:rsidRDefault="00587AB3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E94"/>
    <w:multiLevelType w:val="hybridMultilevel"/>
    <w:tmpl w:val="AA448040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283D6C"/>
    <w:multiLevelType w:val="hybridMultilevel"/>
    <w:tmpl w:val="FACC30D8"/>
    <w:lvl w:ilvl="0" w:tplc="236EA62C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05">
      <w:start w:val="1"/>
      <w:numFmt w:val="lowerRoman"/>
      <w:lvlText w:val="%3."/>
      <w:lvlJc w:val="right"/>
      <w:pPr>
        <w:ind w:left="2160" w:hanging="180"/>
      </w:pPr>
    </w:lvl>
    <w:lvl w:ilvl="3" w:tplc="7392241E">
      <w:start w:val="33"/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0D67"/>
    <w:multiLevelType w:val="hybridMultilevel"/>
    <w:tmpl w:val="36F8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91F"/>
    <w:multiLevelType w:val="hybridMultilevel"/>
    <w:tmpl w:val="4280AEB2"/>
    <w:lvl w:ilvl="0" w:tplc="040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1186656A"/>
    <w:multiLevelType w:val="hybridMultilevel"/>
    <w:tmpl w:val="91E4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1">
    <w:nsid w:val="2B2736CB"/>
    <w:multiLevelType w:val="hybridMultilevel"/>
    <w:tmpl w:val="1DF6F024"/>
    <w:lvl w:ilvl="0" w:tplc="EFF419E0">
      <w:start w:val="1"/>
      <w:numFmt w:val="lowerLetter"/>
      <w:lvlText w:val="(%1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>
    <w:nsid w:val="2C002613"/>
    <w:multiLevelType w:val="hybridMultilevel"/>
    <w:tmpl w:val="91E4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52B2B"/>
    <w:multiLevelType w:val="multilevel"/>
    <w:tmpl w:val="D35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F17290"/>
    <w:multiLevelType w:val="multilevel"/>
    <w:tmpl w:val="78EA3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057CB8"/>
    <w:multiLevelType w:val="hybridMultilevel"/>
    <w:tmpl w:val="B1687E70"/>
    <w:lvl w:ilvl="0" w:tplc="236EA62C">
      <w:start w:val="1"/>
      <w:numFmt w:val="decimal"/>
      <w:pStyle w:val="InstructionsText2"/>
      <w:lvlText w:val="%1."/>
      <w:lvlJc w:val="left"/>
      <w:pPr>
        <w:ind w:left="720" w:hanging="360"/>
      </w:pPr>
    </w:lvl>
    <w:lvl w:ilvl="1" w:tplc="DABE38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05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F74C4"/>
    <w:multiLevelType w:val="hybridMultilevel"/>
    <w:tmpl w:val="989E655A"/>
    <w:lvl w:ilvl="0" w:tplc="42E24356">
      <w:start w:val="1"/>
      <w:numFmt w:val="lowerLetter"/>
      <w:lvlText w:val="(%1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>
    <w:nsid w:val="4C8434FD"/>
    <w:multiLevelType w:val="multilevel"/>
    <w:tmpl w:val="BDE21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BC4C89"/>
    <w:multiLevelType w:val="hybridMultilevel"/>
    <w:tmpl w:val="4846F77C"/>
    <w:lvl w:ilvl="0" w:tplc="BFFCA77E">
      <w:start w:val="3"/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8575038"/>
    <w:multiLevelType w:val="multilevel"/>
    <w:tmpl w:val="9A867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1">
    <w:nsid w:val="5AF12ABF"/>
    <w:multiLevelType w:val="hybridMultilevel"/>
    <w:tmpl w:val="49B8AB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694D"/>
    <w:multiLevelType w:val="hybridMultilevel"/>
    <w:tmpl w:val="8BCC71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65169"/>
    <w:multiLevelType w:val="hybridMultilevel"/>
    <w:tmpl w:val="5ACCB93E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10B2D77"/>
    <w:multiLevelType w:val="hybridMultilevel"/>
    <w:tmpl w:val="36F8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A4142"/>
    <w:multiLevelType w:val="hybridMultilevel"/>
    <w:tmpl w:val="7C6CDB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17E23"/>
    <w:multiLevelType w:val="hybridMultilevel"/>
    <w:tmpl w:val="96CA353A"/>
    <w:lvl w:ilvl="0" w:tplc="9FF0586C">
      <w:start w:val="1"/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>
    <w:nsid w:val="66CA2C8C"/>
    <w:multiLevelType w:val="hybridMultilevel"/>
    <w:tmpl w:val="5BF2CFE0"/>
    <w:lvl w:ilvl="0" w:tplc="4BB6D85C">
      <w:start w:val="1"/>
      <w:numFmt w:val="decimal"/>
      <w:pStyle w:val="Instructionsberschrift2"/>
      <w:lvlText w:val="%1.1"/>
      <w:lvlJc w:val="left"/>
      <w:pPr>
        <w:ind w:left="720" w:hanging="360"/>
      </w:pPr>
      <w:rPr>
        <w:rFonts w:hint="default"/>
      </w:rPr>
    </w:lvl>
    <w:lvl w:ilvl="1" w:tplc="E7565B6A">
      <w:start w:val="1"/>
      <w:numFmt w:val="lowerLetter"/>
      <w:lvlText w:val="%2."/>
      <w:lvlJc w:val="left"/>
      <w:pPr>
        <w:ind w:left="1440" w:hanging="360"/>
      </w:pPr>
    </w:lvl>
    <w:lvl w:ilvl="2" w:tplc="67A6A44A" w:tentative="1">
      <w:start w:val="1"/>
      <w:numFmt w:val="lowerRoman"/>
      <w:lvlText w:val="%3."/>
      <w:lvlJc w:val="right"/>
      <w:pPr>
        <w:ind w:left="2160" w:hanging="180"/>
      </w:pPr>
    </w:lvl>
    <w:lvl w:ilvl="3" w:tplc="21C6EF3C" w:tentative="1">
      <w:start w:val="1"/>
      <w:numFmt w:val="decimal"/>
      <w:lvlText w:val="%4."/>
      <w:lvlJc w:val="left"/>
      <w:pPr>
        <w:ind w:left="2880" w:hanging="360"/>
      </w:pPr>
    </w:lvl>
    <w:lvl w:ilvl="4" w:tplc="6C185750" w:tentative="1">
      <w:start w:val="1"/>
      <w:numFmt w:val="lowerLetter"/>
      <w:lvlText w:val="%5."/>
      <w:lvlJc w:val="left"/>
      <w:pPr>
        <w:ind w:left="3600" w:hanging="360"/>
      </w:pPr>
    </w:lvl>
    <w:lvl w:ilvl="5" w:tplc="FA46F0F4" w:tentative="1">
      <w:start w:val="1"/>
      <w:numFmt w:val="lowerRoman"/>
      <w:lvlText w:val="%6."/>
      <w:lvlJc w:val="right"/>
      <w:pPr>
        <w:ind w:left="4320" w:hanging="180"/>
      </w:pPr>
    </w:lvl>
    <w:lvl w:ilvl="6" w:tplc="84CCF45A" w:tentative="1">
      <w:start w:val="1"/>
      <w:numFmt w:val="decimal"/>
      <w:lvlText w:val="%7."/>
      <w:lvlJc w:val="left"/>
      <w:pPr>
        <w:ind w:left="5040" w:hanging="360"/>
      </w:pPr>
    </w:lvl>
    <w:lvl w:ilvl="7" w:tplc="E2FA2386" w:tentative="1">
      <w:start w:val="1"/>
      <w:numFmt w:val="lowerLetter"/>
      <w:lvlText w:val="%8."/>
      <w:lvlJc w:val="left"/>
      <w:pPr>
        <w:ind w:left="5760" w:hanging="360"/>
      </w:pPr>
    </w:lvl>
    <w:lvl w:ilvl="8" w:tplc="1E3AE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6943"/>
    <w:multiLevelType w:val="hybridMultilevel"/>
    <w:tmpl w:val="36F8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8E3E68"/>
    <w:multiLevelType w:val="multilevel"/>
    <w:tmpl w:val="187457F4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C82B36"/>
    <w:multiLevelType w:val="multilevel"/>
    <w:tmpl w:val="9D7E8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29"/>
  </w:num>
  <w:num w:numId="8">
    <w:abstractNumId w:val="16"/>
    <w:lvlOverride w:ilvl="0">
      <w:startOverride w:val="1"/>
    </w:lvlOverride>
  </w:num>
  <w:num w:numId="9">
    <w:abstractNumId w:val="12"/>
  </w:num>
  <w:num w:numId="10">
    <w:abstractNumId w:val="18"/>
  </w:num>
  <w:num w:numId="11">
    <w:abstractNumId w:val="19"/>
  </w:num>
  <w:num w:numId="12">
    <w:abstractNumId w:val="14"/>
  </w:num>
  <w:num w:numId="13">
    <w:abstractNumId w:val="20"/>
  </w:num>
  <w:num w:numId="14">
    <w:abstractNumId w:val="26"/>
  </w:num>
  <w:num w:numId="15">
    <w:abstractNumId w:val="30"/>
  </w:num>
  <w:num w:numId="16">
    <w:abstractNumId w:val="31"/>
  </w:num>
  <w:num w:numId="17">
    <w:abstractNumId w:val="5"/>
  </w:num>
  <w:num w:numId="18">
    <w:abstractNumId w:val="27"/>
  </w:num>
  <w:num w:numId="19">
    <w:abstractNumId w:val="15"/>
  </w:num>
  <w:num w:numId="20">
    <w:abstractNumId w:val="2"/>
  </w:num>
  <w:num w:numId="21">
    <w:abstractNumId w:val="23"/>
  </w:num>
  <w:num w:numId="22">
    <w:abstractNumId w:val="21"/>
  </w:num>
  <w:num w:numId="23">
    <w:abstractNumId w:val="0"/>
  </w:num>
  <w:num w:numId="24">
    <w:abstractNumId w:val="22"/>
  </w:num>
  <w:num w:numId="25">
    <w:abstractNumId w:val="25"/>
  </w:num>
  <w:num w:numId="26">
    <w:abstractNumId w:val="11"/>
  </w:num>
  <w:num w:numId="27">
    <w:abstractNumId w:val="17"/>
  </w:num>
  <w:num w:numId="28">
    <w:abstractNumId w:val="4"/>
  </w:num>
  <w:num w:numId="29">
    <w:abstractNumId w:val="1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C"/>
    <w:rsid w:val="0000273C"/>
    <w:rsid w:val="0000407E"/>
    <w:rsid w:val="000177AB"/>
    <w:rsid w:val="00017B1B"/>
    <w:rsid w:val="000215DF"/>
    <w:rsid w:val="00024320"/>
    <w:rsid w:val="0002498B"/>
    <w:rsid w:val="000250E6"/>
    <w:rsid w:val="00025D9E"/>
    <w:rsid w:val="00027695"/>
    <w:rsid w:val="00027B62"/>
    <w:rsid w:val="0003316C"/>
    <w:rsid w:val="00033357"/>
    <w:rsid w:val="00033A3C"/>
    <w:rsid w:val="00034BAF"/>
    <w:rsid w:val="000350B1"/>
    <w:rsid w:val="00035697"/>
    <w:rsid w:val="00043AE8"/>
    <w:rsid w:val="00050999"/>
    <w:rsid w:val="00051EF5"/>
    <w:rsid w:val="00053AD6"/>
    <w:rsid w:val="0005577F"/>
    <w:rsid w:val="0005586B"/>
    <w:rsid w:val="000559C4"/>
    <w:rsid w:val="00060148"/>
    <w:rsid w:val="00061B5D"/>
    <w:rsid w:val="00063216"/>
    <w:rsid w:val="0006374F"/>
    <w:rsid w:val="0006431A"/>
    <w:rsid w:val="000644F7"/>
    <w:rsid w:val="00064546"/>
    <w:rsid w:val="00064726"/>
    <w:rsid w:val="00064C0E"/>
    <w:rsid w:val="00065073"/>
    <w:rsid w:val="0006509B"/>
    <w:rsid w:val="00066C0D"/>
    <w:rsid w:val="00067BE2"/>
    <w:rsid w:val="00067C0C"/>
    <w:rsid w:val="00067DC3"/>
    <w:rsid w:val="000724DD"/>
    <w:rsid w:val="00073EA7"/>
    <w:rsid w:val="000759ED"/>
    <w:rsid w:val="00076EAA"/>
    <w:rsid w:val="0008131E"/>
    <w:rsid w:val="00081934"/>
    <w:rsid w:val="000831EC"/>
    <w:rsid w:val="00083528"/>
    <w:rsid w:val="000869A6"/>
    <w:rsid w:val="00087E97"/>
    <w:rsid w:val="00090E4A"/>
    <w:rsid w:val="00090EB3"/>
    <w:rsid w:val="000926DD"/>
    <w:rsid w:val="0009283B"/>
    <w:rsid w:val="00093367"/>
    <w:rsid w:val="00094C01"/>
    <w:rsid w:val="000961EF"/>
    <w:rsid w:val="000A008B"/>
    <w:rsid w:val="000A1E2A"/>
    <w:rsid w:val="000A2189"/>
    <w:rsid w:val="000A3A63"/>
    <w:rsid w:val="000A524C"/>
    <w:rsid w:val="000A5393"/>
    <w:rsid w:val="000A71F3"/>
    <w:rsid w:val="000B0C66"/>
    <w:rsid w:val="000B2DC6"/>
    <w:rsid w:val="000B5155"/>
    <w:rsid w:val="000B7B7C"/>
    <w:rsid w:val="000C2918"/>
    <w:rsid w:val="000C445F"/>
    <w:rsid w:val="000C4DC5"/>
    <w:rsid w:val="000C5648"/>
    <w:rsid w:val="000C58E1"/>
    <w:rsid w:val="000C6275"/>
    <w:rsid w:val="000C701E"/>
    <w:rsid w:val="000C701F"/>
    <w:rsid w:val="000D04EF"/>
    <w:rsid w:val="000D0643"/>
    <w:rsid w:val="000D1C8B"/>
    <w:rsid w:val="000D1E44"/>
    <w:rsid w:val="000D3715"/>
    <w:rsid w:val="000D40AE"/>
    <w:rsid w:val="000D4F61"/>
    <w:rsid w:val="000D5980"/>
    <w:rsid w:val="000D5F26"/>
    <w:rsid w:val="000E160F"/>
    <w:rsid w:val="000E2515"/>
    <w:rsid w:val="000E2CBD"/>
    <w:rsid w:val="000E3E0B"/>
    <w:rsid w:val="000E4EE3"/>
    <w:rsid w:val="000E50CD"/>
    <w:rsid w:val="000E649A"/>
    <w:rsid w:val="000E7705"/>
    <w:rsid w:val="000F2858"/>
    <w:rsid w:val="000F2AE0"/>
    <w:rsid w:val="000F30B8"/>
    <w:rsid w:val="000F4033"/>
    <w:rsid w:val="000F68FE"/>
    <w:rsid w:val="00101654"/>
    <w:rsid w:val="00101DCF"/>
    <w:rsid w:val="0010447E"/>
    <w:rsid w:val="0010496C"/>
    <w:rsid w:val="00106A07"/>
    <w:rsid w:val="00106AB7"/>
    <w:rsid w:val="00107DDD"/>
    <w:rsid w:val="00110303"/>
    <w:rsid w:val="00110868"/>
    <w:rsid w:val="00113008"/>
    <w:rsid w:val="00113320"/>
    <w:rsid w:val="00113C88"/>
    <w:rsid w:val="001142FF"/>
    <w:rsid w:val="001163DB"/>
    <w:rsid w:val="00117AD0"/>
    <w:rsid w:val="001237E9"/>
    <w:rsid w:val="0012448B"/>
    <w:rsid w:val="001246BA"/>
    <w:rsid w:val="001255A4"/>
    <w:rsid w:val="00131DFD"/>
    <w:rsid w:val="00132260"/>
    <w:rsid w:val="00132C61"/>
    <w:rsid w:val="00133A51"/>
    <w:rsid w:val="0013480C"/>
    <w:rsid w:val="001356A6"/>
    <w:rsid w:val="001357D0"/>
    <w:rsid w:val="00136260"/>
    <w:rsid w:val="00141F09"/>
    <w:rsid w:val="001421CC"/>
    <w:rsid w:val="00143691"/>
    <w:rsid w:val="00143786"/>
    <w:rsid w:val="00144850"/>
    <w:rsid w:val="00145659"/>
    <w:rsid w:val="00150045"/>
    <w:rsid w:val="001524D8"/>
    <w:rsid w:val="00152DBF"/>
    <w:rsid w:val="00153B9E"/>
    <w:rsid w:val="00160035"/>
    <w:rsid w:val="001608B4"/>
    <w:rsid w:val="00161729"/>
    <w:rsid w:val="0016343F"/>
    <w:rsid w:val="00163C03"/>
    <w:rsid w:val="00164BE9"/>
    <w:rsid w:val="00164FE0"/>
    <w:rsid w:val="00166F6C"/>
    <w:rsid w:val="00167C78"/>
    <w:rsid w:val="00170BDF"/>
    <w:rsid w:val="00171B47"/>
    <w:rsid w:val="001747F6"/>
    <w:rsid w:val="00174F97"/>
    <w:rsid w:val="00175D4E"/>
    <w:rsid w:val="0018211A"/>
    <w:rsid w:val="00183118"/>
    <w:rsid w:val="0018359E"/>
    <w:rsid w:val="00184BCB"/>
    <w:rsid w:val="00184F6B"/>
    <w:rsid w:val="00185855"/>
    <w:rsid w:val="0018619A"/>
    <w:rsid w:val="001870A7"/>
    <w:rsid w:val="00187B98"/>
    <w:rsid w:val="00192612"/>
    <w:rsid w:val="00195895"/>
    <w:rsid w:val="001964E4"/>
    <w:rsid w:val="00197350"/>
    <w:rsid w:val="001A2067"/>
    <w:rsid w:val="001A25C7"/>
    <w:rsid w:val="001A2BAA"/>
    <w:rsid w:val="001A687B"/>
    <w:rsid w:val="001B1545"/>
    <w:rsid w:val="001B1E9D"/>
    <w:rsid w:val="001B285C"/>
    <w:rsid w:val="001B3486"/>
    <w:rsid w:val="001B3A54"/>
    <w:rsid w:val="001B4E73"/>
    <w:rsid w:val="001C0C38"/>
    <w:rsid w:val="001C0FAA"/>
    <w:rsid w:val="001C2026"/>
    <w:rsid w:val="001C24F1"/>
    <w:rsid w:val="001C3879"/>
    <w:rsid w:val="001C466F"/>
    <w:rsid w:val="001C4F3C"/>
    <w:rsid w:val="001C5C33"/>
    <w:rsid w:val="001C5FF3"/>
    <w:rsid w:val="001C63A5"/>
    <w:rsid w:val="001D28B4"/>
    <w:rsid w:val="001D28F2"/>
    <w:rsid w:val="001D2C8E"/>
    <w:rsid w:val="001D3D70"/>
    <w:rsid w:val="001D400D"/>
    <w:rsid w:val="001D402A"/>
    <w:rsid w:val="001D4211"/>
    <w:rsid w:val="001D5611"/>
    <w:rsid w:val="001D592B"/>
    <w:rsid w:val="001D5999"/>
    <w:rsid w:val="001D59FD"/>
    <w:rsid w:val="001D60A8"/>
    <w:rsid w:val="001D6FE8"/>
    <w:rsid w:val="001D7401"/>
    <w:rsid w:val="001E0DD8"/>
    <w:rsid w:val="001E1039"/>
    <w:rsid w:val="001E34FF"/>
    <w:rsid w:val="001E4231"/>
    <w:rsid w:val="001E618D"/>
    <w:rsid w:val="001E621D"/>
    <w:rsid w:val="001E6277"/>
    <w:rsid w:val="001F0E5D"/>
    <w:rsid w:val="001F1610"/>
    <w:rsid w:val="001F18A4"/>
    <w:rsid w:val="001F6788"/>
    <w:rsid w:val="001F6917"/>
    <w:rsid w:val="002012AD"/>
    <w:rsid w:val="00203882"/>
    <w:rsid w:val="002058A2"/>
    <w:rsid w:val="00206642"/>
    <w:rsid w:val="00207DBE"/>
    <w:rsid w:val="00214230"/>
    <w:rsid w:val="0021484C"/>
    <w:rsid w:val="00216A28"/>
    <w:rsid w:val="0022056B"/>
    <w:rsid w:val="0022443B"/>
    <w:rsid w:val="00224BF4"/>
    <w:rsid w:val="00224DB4"/>
    <w:rsid w:val="0022500E"/>
    <w:rsid w:val="00227205"/>
    <w:rsid w:val="0022764E"/>
    <w:rsid w:val="0023081A"/>
    <w:rsid w:val="0023099B"/>
    <w:rsid w:val="0023100A"/>
    <w:rsid w:val="002313D5"/>
    <w:rsid w:val="00232B0D"/>
    <w:rsid w:val="0023304E"/>
    <w:rsid w:val="00234FC2"/>
    <w:rsid w:val="00235024"/>
    <w:rsid w:val="00240259"/>
    <w:rsid w:val="0024043B"/>
    <w:rsid w:val="00240C97"/>
    <w:rsid w:val="002415DE"/>
    <w:rsid w:val="0024525F"/>
    <w:rsid w:val="00247011"/>
    <w:rsid w:val="002508A6"/>
    <w:rsid w:val="0025169B"/>
    <w:rsid w:val="002522F1"/>
    <w:rsid w:val="002535AB"/>
    <w:rsid w:val="00253F55"/>
    <w:rsid w:val="00253F5F"/>
    <w:rsid w:val="00255C2B"/>
    <w:rsid w:val="00257B46"/>
    <w:rsid w:val="002602F5"/>
    <w:rsid w:val="00260DF9"/>
    <w:rsid w:val="002611AE"/>
    <w:rsid w:val="0026180A"/>
    <w:rsid w:val="002636C0"/>
    <w:rsid w:val="00266EBA"/>
    <w:rsid w:val="00270724"/>
    <w:rsid w:val="002707B2"/>
    <w:rsid w:val="002710D3"/>
    <w:rsid w:val="00271371"/>
    <w:rsid w:val="00271F9B"/>
    <w:rsid w:val="00273052"/>
    <w:rsid w:val="0027402D"/>
    <w:rsid w:val="002808AF"/>
    <w:rsid w:val="002835FE"/>
    <w:rsid w:val="00283B87"/>
    <w:rsid w:val="002866DE"/>
    <w:rsid w:val="00287B8A"/>
    <w:rsid w:val="00287D15"/>
    <w:rsid w:val="00290D47"/>
    <w:rsid w:val="00292177"/>
    <w:rsid w:val="002931A3"/>
    <w:rsid w:val="00294232"/>
    <w:rsid w:val="002964C1"/>
    <w:rsid w:val="00296D28"/>
    <w:rsid w:val="002A0405"/>
    <w:rsid w:val="002A2EFC"/>
    <w:rsid w:val="002A3024"/>
    <w:rsid w:val="002A3B0E"/>
    <w:rsid w:val="002A48D4"/>
    <w:rsid w:val="002B0800"/>
    <w:rsid w:val="002B1CFF"/>
    <w:rsid w:val="002B3383"/>
    <w:rsid w:val="002B3674"/>
    <w:rsid w:val="002B4D45"/>
    <w:rsid w:val="002B614E"/>
    <w:rsid w:val="002B6B78"/>
    <w:rsid w:val="002B6D25"/>
    <w:rsid w:val="002B7319"/>
    <w:rsid w:val="002B78E0"/>
    <w:rsid w:val="002C0484"/>
    <w:rsid w:val="002C2560"/>
    <w:rsid w:val="002C3DE1"/>
    <w:rsid w:val="002C728F"/>
    <w:rsid w:val="002C7AB8"/>
    <w:rsid w:val="002C7D4D"/>
    <w:rsid w:val="002C7DD0"/>
    <w:rsid w:val="002D05B1"/>
    <w:rsid w:val="002D0B34"/>
    <w:rsid w:val="002D0E14"/>
    <w:rsid w:val="002D121F"/>
    <w:rsid w:val="002D149A"/>
    <w:rsid w:val="002D5E55"/>
    <w:rsid w:val="002D688D"/>
    <w:rsid w:val="002E351D"/>
    <w:rsid w:val="002E5098"/>
    <w:rsid w:val="002E7118"/>
    <w:rsid w:val="002F1E9A"/>
    <w:rsid w:val="002F2154"/>
    <w:rsid w:val="002F34ED"/>
    <w:rsid w:val="002F5CAC"/>
    <w:rsid w:val="002F602F"/>
    <w:rsid w:val="002F7E8E"/>
    <w:rsid w:val="00300EE3"/>
    <w:rsid w:val="00302136"/>
    <w:rsid w:val="003035B3"/>
    <w:rsid w:val="003050E0"/>
    <w:rsid w:val="00313246"/>
    <w:rsid w:val="00315CAE"/>
    <w:rsid w:val="00316450"/>
    <w:rsid w:val="003203FA"/>
    <w:rsid w:val="003231ED"/>
    <w:rsid w:val="0032680F"/>
    <w:rsid w:val="00327A64"/>
    <w:rsid w:val="00327A74"/>
    <w:rsid w:val="00330DBA"/>
    <w:rsid w:val="003318A1"/>
    <w:rsid w:val="003318B3"/>
    <w:rsid w:val="0033307F"/>
    <w:rsid w:val="003349D9"/>
    <w:rsid w:val="00335A01"/>
    <w:rsid w:val="00335E50"/>
    <w:rsid w:val="00335F46"/>
    <w:rsid w:val="00336284"/>
    <w:rsid w:val="00341A2A"/>
    <w:rsid w:val="00341BB5"/>
    <w:rsid w:val="00342CE5"/>
    <w:rsid w:val="00343614"/>
    <w:rsid w:val="00344830"/>
    <w:rsid w:val="003459B2"/>
    <w:rsid w:val="00350AD3"/>
    <w:rsid w:val="0035153B"/>
    <w:rsid w:val="003523E3"/>
    <w:rsid w:val="003524A6"/>
    <w:rsid w:val="003538F4"/>
    <w:rsid w:val="0035465A"/>
    <w:rsid w:val="003548F7"/>
    <w:rsid w:val="00356041"/>
    <w:rsid w:val="003609DE"/>
    <w:rsid w:val="00360D66"/>
    <w:rsid w:val="00360F9D"/>
    <w:rsid w:val="003618C3"/>
    <w:rsid w:val="00362B91"/>
    <w:rsid w:val="00364D04"/>
    <w:rsid w:val="003701D4"/>
    <w:rsid w:val="003704B1"/>
    <w:rsid w:val="003728FE"/>
    <w:rsid w:val="00373BD2"/>
    <w:rsid w:val="00375112"/>
    <w:rsid w:val="003763AA"/>
    <w:rsid w:val="003763B5"/>
    <w:rsid w:val="0037696F"/>
    <w:rsid w:val="003770A9"/>
    <w:rsid w:val="003779AF"/>
    <w:rsid w:val="00380232"/>
    <w:rsid w:val="003802DB"/>
    <w:rsid w:val="00380435"/>
    <w:rsid w:val="00380643"/>
    <w:rsid w:val="00381F52"/>
    <w:rsid w:val="003824BF"/>
    <w:rsid w:val="003827F0"/>
    <w:rsid w:val="0038374D"/>
    <w:rsid w:val="003859CE"/>
    <w:rsid w:val="003878CC"/>
    <w:rsid w:val="003916B5"/>
    <w:rsid w:val="00391B59"/>
    <w:rsid w:val="00393373"/>
    <w:rsid w:val="00393A31"/>
    <w:rsid w:val="00395615"/>
    <w:rsid w:val="00395B14"/>
    <w:rsid w:val="00395D13"/>
    <w:rsid w:val="00395EB4"/>
    <w:rsid w:val="00396305"/>
    <w:rsid w:val="00396C83"/>
    <w:rsid w:val="00397F34"/>
    <w:rsid w:val="003A2918"/>
    <w:rsid w:val="003A53F8"/>
    <w:rsid w:val="003A70B6"/>
    <w:rsid w:val="003B12B2"/>
    <w:rsid w:val="003B1DF2"/>
    <w:rsid w:val="003B3372"/>
    <w:rsid w:val="003B46BE"/>
    <w:rsid w:val="003C0268"/>
    <w:rsid w:val="003C0D0F"/>
    <w:rsid w:val="003C161A"/>
    <w:rsid w:val="003C29A2"/>
    <w:rsid w:val="003C5699"/>
    <w:rsid w:val="003C6535"/>
    <w:rsid w:val="003D04DD"/>
    <w:rsid w:val="003D2ED8"/>
    <w:rsid w:val="003D40C1"/>
    <w:rsid w:val="003D4C6C"/>
    <w:rsid w:val="003D52BC"/>
    <w:rsid w:val="003E0A72"/>
    <w:rsid w:val="003E3045"/>
    <w:rsid w:val="003E37CB"/>
    <w:rsid w:val="003E3CF0"/>
    <w:rsid w:val="003E4B28"/>
    <w:rsid w:val="003E5496"/>
    <w:rsid w:val="003F128A"/>
    <w:rsid w:val="003F4035"/>
    <w:rsid w:val="003F470E"/>
    <w:rsid w:val="003F7811"/>
    <w:rsid w:val="00404514"/>
    <w:rsid w:val="00405776"/>
    <w:rsid w:val="00407CA6"/>
    <w:rsid w:val="00413D8A"/>
    <w:rsid w:val="0041484F"/>
    <w:rsid w:val="00414C71"/>
    <w:rsid w:val="00414E11"/>
    <w:rsid w:val="00415294"/>
    <w:rsid w:val="00421005"/>
    <w:rsid w:val="00423D50"/>
    <w:rsid w:val="00424AAA"/>
    <w:rsid w:val="00426167"/>
    <w:rsid w:val="0043276D"/>
    <w:rsid w:val="00432994"/>
    <w:rsid w:val="004330EA"/>
    <w:rsid w:val="00434DC6"/>
    <w:rsid w:val="00435843"/>
    <w:rsid w:val="004403F4"/>
    <w:rsid w:val="00442ABF"/>
    <w:rsid w:val="00444D0D"/>
    <w:rsid w:val="004451FE"/>
    <w:rsid w:val="0045133E"/>
    <w:rsid w:val="00451509"/>
    <w:rsid w:val="00453087"/>
    <w:rsid w:val="0045526A"/>
    <w:rsid w:val="0045536B"/>
    <w:rsid w:val="00455A38"/>
    <w:rsid w:val="00456EF9"/>
    <w:rsid w:val="004600B4"/>
    <w:rsid w:val="00462084"/>
    <w:rsid w:val="00462F9A"/>
    <w:rsid w:val="00464E61"/>
    <w:rsid w:val="00465939"/>
    <w:rsid w:val="00466307"/>
    <w:rsid w:val="00466B59"/>
    <w:rsid w:val="0047029F"/>
    <w:rsid w:val="0047130F"/>
    <w:rsid w:val="004729CE"/>
    <w:rsid w:val="004735A4"/>
    <w:rsid w:val="00474131"/>
    <w:rsid w:val="004761AA"/>
    <w:rsid w:val="0047798B"/>
    <w:rsid w:val="0048183A"/>
    <w:rsid w:val="00482D37"/>
    <w:rsid w:val="00484AB9"/>
    <w:rsid w:val="00487B90"/>
    <w:rsid w:val="004911A7"/>
    <w:rsid w:val="00491483"/>
    <w:rsid w:val="004919C2"/>
    <w:rsid w:val="004941A8"/>
    <w:rsid w:val="00494C89"/>
    <w:rsid w:val="00495A0B"/>
    <w:rsid w:val="00497072"/>
    <w:rsid w:val="004A28E6"/>
    <w:rsid w:val="004A44C1"/>
    <w:rsid w:val="004A58E3"/>
    <w:rsid w:val="004A5F09"/>
    <w:rsid w:val="004B1A68"/>
    <w:rsid w:val="004B225F"/>
    <w:rsid w:val="004B2797"/>
    <w:rsid w:val="004B4967"/>
    <w:rsid w:val="004B4C3C"/>
    <w:rsid w:val="004B6527"/>
    <w:rsid w:val="004B7332"/>
    <w:rsid w:val="004C3E4F"/>
    <w:rsid w:val="004C5466"/>
    <w:rsid w:val="004D270F"/>
    <w:rsid w:val="004D4346"/>
    <w:rsid w:val="004D455D"/>
    <w:rsid w:val="004D4CB1"/>
    <w:rsid w:val="004D4EB2"/>
    <w:rsid w:val="004D54BC"/>
    <w:rsid w:val="004D5B78"/>
    <w:rsid w:val="004D6A02"/>
    <w:rsid w:val="004D7635"/>
    <w:rsid w:val="004D78D3"/>
    <w:rsid w:val="004E0AC5"/>
    <w:rsid w:val="004E13AD"/>
    <w:rsid w:val="004E14F5"/>
    <w:rsid w:val="004E206B"/>
    <w:rsid w:val="004E2BA2"/>
    <w:rsid w:val="004E2CD3"/>
    <w:rsid w:val="004F189D"/>
    <w:rsid w:val="004F1BAA"/>
    <w:rsid w:val="004F42D5"/>
    <w:rsid w:val="004F4EB2"/>
    <w:rsid w:val="004F6FB1"/>
    <w:rsid w:val="004F72B9"/>
    <w:rsid w:val="0050045B"/>
    <w:rsid w:val="00500B71"/>
    <w:rsid w:val="00501172"/>
    <w:rsid w:val="00501A20"/>
    <w:rsid w:val="00503A99"/>
    <w:rsid w:val="0050657B"/>
    <w:rsid w:val="005075C6"/>
    <w:rsid w:val="00510916"/>
    <w:rsid w:val="00510ACD"/>
    <w:rsid w:val="00510B28"/>
    <w:rsid w:val="00512A14"/>
    <w:rsid w:val="00513B1F"/>
    <w:rsid w:val="0051486A"/>
    <w:rsid w:val="005149CD"/>
    <w:rsid w:val="00515532"/>
    <w:rsid w:val="00516455"/>
    <w:rsid w:val="005166E9"/>
    <w:rsid w:val="00517847"/>
    <w:rsid w:val="00520438"/>
    <w:rsid w:val="0052056C"/>
    <w:rsid w:val="00522EA8"/>
    <w:rsid w:val="0052546E"/>
    <w:rsid w:val="0052584F"/>
    <w:rsid w:val="00525CA2"/>
    <w:rsid w:val="005312FD"/>
    <w:rsid w:val="00533019"/>
    <w:rsid w:val="005336AD"/>
    <w:rsid w:val="0053538F"/>
    <w:rsid w:val="00537BF5"/>
    <w:rsid w:val="00537F95"/>
    <w:rsid w:val="00542564"/>
    <w:rsid w:val="00544934"/>
    <w:rsid w:val="00545158"/>
    <w:rsid w:val="00545841"/>
    <w:rsid w:val="0054726C"/>
    <w:rsid w:val="0054758C"/>
    <w:rsid w:val="005479B8"/>
    <w:rsid w:val="00554173"/>
    <w:rsid w:val="00554894"/>
    <w:rsid w:val="00554BD5"/>
    <w:rsid w:val="00557A68"/>
    <w:rsid w:val="00561133"/>
    <w:rsid w:val="00561175"/>
    <w:rsid w:val="0056309F"/>
    <w:rsid w:val="0056414A"/>
    <w:rsid w:val="005648EE"/>
    <w:rsid w:val="00564A23"/>
    <w:rsid w:val="00567138"/>
    <w:rsid w:val="0057008F"/>
    <w:rsid w:val="00571915"/>
    <w:rsid w:val="00571C3C"/>
    <w:rsid w:val="005727A6"/>
    <w:rsid w:val="00573CEF"/>
    <w:rsid w:val="005763C5"/>
    <w:rsid w:val="005772A0"/>
    <w:rsid w:val="00581D24"/>
    <w:rsid w:val="00582144"/>
    <w:rsid w:val="00583731"/>
    <w:rsid w:val="0058459E"/>
    <w:rsid w:val="0058496D"/>
    <w:rsid w:val="00585784"/>
    <w:rsid w:val="00586D4D"/>
    <w:rsid w:val="00587AB3"/>
    <w:rsid w:val="0059009D"/>
    <w:rsid w:val="0059221B"/>
    <w:rsid w:val="00596E6F"/>
    <w:rsid w:val="005A011E"/>
    <w:rsid w:val="005A0A50"/>
    <w:rsid w:val="005A23DF"/>
    <w:rsid w:val="005A3531"/>
    <w:rsid w:val="005A3DDE"/>
    <w:rsid w:val="005A5C18"/>
    <w:rsid w:val="005A6495"/>
    <w:rsid w:val="005A6C43"/>
    <w:rsid w:val="005A6F5F"/>
    <w:rsid w:val="005A7721"/>
    <w:rsid w:val="005A788E"/>
    <w:rsid w:val="005B0A26"/>
    <w:rsid w:val="005B1286"/>
    <w:rsid w:val="005B2E2F"/>
    <w:rsid w:val="005B319C"/>
    <w:rsid w:val="005B331B"/>
    <w:rsid w:val="005B41D0"/>
    <w:rsid w:val="005B6233"/>
    <w:rsid w:val="005C1E4A"/>
    <w:rsid w:val="005C29B1"/>
    <w:rsid w:val="005C3536"/>
    <w:rsid w:val="005C3F73"/>
    <w:rsid w:val="005C498A"/>
    <w:rsid w:val="005C5BB7"/>
    <w:rsid w:val="005C6A85"/>
    <w:rsid w:val="005D0901"/>
    <w:rsid w:val="005D1032"/>
    <w:rsid w:val="005D11E9"/>
    <w:rsid w:val="005D1A2C"/>
    <w:rsid w:val="005D345D"/>
    <w:rsid w:val="005D57EA"/>
    <w:rsid w:val="005D5B31"/>
    <w:rsid w:val="005E4FF0"/>
    <w:rsid w:val="005F0B30"/>
    <w:rsid w:val="005F2AE9"/>
    <w:rsid w:val="005F3818"/>
    <w:rsid w:val="005F3A75"/>
    <w:rsid w:val="005F3E3D"/>
    <w:rsid w:val="005F3F82"/>
    <w:rsid w:val="005F4C27"/>
    <w:rsid w:val="005F5DC8"/>
    <w:rsid w:val="005F6258"/>
    <w:rsid w:val="005F6281"/>
    <w:rsid w:val="00600D18"/>
    <w:rsid w:val="00602F0C"/>
    <w:rsid w:val="00603723"/>
    <w:rsid w:val="00605C8C"/>
    <w:rsid w:val="00606BD0"/>
    <w:rsid w:val="00606C1C"/>
    <w:rsid w:val="0060714E"/>
    <w:rsid w:val="00610E45"/>
    <w:rsid w:val="0061131F"/>
    <w:rsid w:val="00615B7C"/>
    <w:rsid w:val="006175AC"/>
    <w:rsid w:val="00621FAE"/>
    <w:rsid w:val="0062229E"/>
    <w:rsid w:val="00623F11"/>
    <w:rsid w:val="00627BFA"/>
    <w:rsid w:val="006306F5"/>
    <w:rsid w:val="00630C0A"/>
    <w:rsid w:val="0063245F"/>
    <w:rsid w:val="0063391A"/>
    <w:rsid w:val="0064035B"/>
    <w:rsid w:val="00642A07"/>
    <w:rsid w:val="00643529"/>
    <w:rsid w:val="00643CB4"/>
    <w:rsid w:val="006441B9"/>
    <w:rsid w:val="00644BE4"/>
    <w:rsid w:val="00644EE7"/>
    <w:rsid w:val="00646A31"/>
    <w:rsid w:val="00654E51"/>
    <w:rsid w:val="00656827"/>
    <w:rsid w:val="006602D5"/>
    <w:rsid w:val="00661798"/>
    <w:rsid w:val="00667A42"/>
    <w:rsid w:val="006711AC"/>
    <w:rsid w:val="00672E76"/>
    <w:rsid w:val="0067403C"/>
    <w:rsid w:val="0067570F"/>
    <w:rsid w:val="00681108"/>
    <w:rsid w:val="0068136E"/>
    <w:rsid w:val="006813D0"/>
    <w:rsid w:val="0068191C"/>
    <w:rsid w:val="00685E03"/>
    <w:rsid w:val="00687EC9"/>
    <w:rsid w:val="0069073E"/>
    <w:rsid w:val="00690C97"/>
    <w:rsid w:val="0069409A"/>
    <w:rsid w:val="0069441B"/>
    <w:rsid w:val="00695ED3"/>
    <w:rsid w:val="00697CDC"/>
    <w:rsid w:val="006A411D"/>
    <w:rsid w:val="006A54BA"/>
    <w:rsid w:val="006A66EB"/>
    <w:rsid w:val="006B0392"/>
    <w:rsid w:val="006B2726"/>
    <w:rsid w:val="006B3ABF"/>
    <w:rsid w:val="006B5EE2"/>
    <w:rsid w:val="006B762E"/>
    <w:rsid w:val="006C1B01"/>
    <w:rsid w:val="006C2C3D"/>
    <w:rsid w:val="006C38DE"/>
    <w:rsid w:val="006C3AF9"/>
    <w:rsid w:val="006C3D72"/>
    <w:rsid w:val="006C3E1F"/>
    <w:rsid w:val="006C4871"/>
    <w:rsid w:val="006C588C"/>
    <w:rsid w:val="006C700F"/>
    <w:rsid w:val="006D0881"/>
    <w:rsid w:val="006D3867"/>
    <w:rsid w:val="006D4839"/>
    <w:rsid w:val="006D58AC"/>
    <w:rsid w:val="006D5CEA"/>
    <w:rsid w:val="006D5D1F"/>
    <w:rsid w:val="006E1FCD"/>
    <w:rsid w:val="006E2D42"/>
    <w:rsid w:val="006E30AA"/>
    <w:rsid w:val="006E3FDD"/>
    <w:rsid w:val="006E4059"/>
    <w:rsid w:val="006E45F8"/>
    <w:rsid w:val="006E56F9"/>
    <w:rsid w:val="006E5F78"/>
    <w:rsid w:val="006E7224"/>
    <w:rsid w:val="006E752F"/>
    <w:rsid w:val="006F0376"/>
    <w:rsid w:val="006F1138"/>
    <w:rsid w:val="006F2B14"/>
    <w:rsid w:val="006F32C0"/>
    <w:rsid w:val="006F3433"/>
    <w:rsid w:val="006F39C8"/>
    <w:rsid w:val="006F3D98"/>
    <w:rsid w:val="006F5D02"/>
    <w:rsid w:val="006F6144"/>
    <w:rsid w:val="007020A5"/>
    <w:rsid w:val="00702E90"/>
    <w:rsid w:val="00703E97"/>
    <w:rsid w:val="00704182"/>
    <w:rsid w:val="00704E04"/>
    <w:rsid w:val="00707C38"/>
    <w:rsid w:val="0071149A"/>
    <w:rsid w:val="00711BF3"/>
    <w:rsid w:val="00711F7B"/>
    <w:rsid w:val="00713BB6"/>
    <w:rsid w:val="007177CD"/>
    <w:rsid w:val="00717AC6"/>
    <w:rsid w:val="00717EBF"/>
    <w:rsid w:val="00723323"/>
    <w:rsid w:val="007236B8"/>
    <w:rsid w:val="0072398E"/>
    <w:rsid w:val="007250DC"/>
    <w:rsid w:val="0072623D"/>
    <w:rsid w:val="00730E08"/>
    <w:rsid w:val="007311C2"/>
    <w:rsid w:val="00732D87"/>
    <w:rsid w:val="00734528"/>
    <w:rsid w:val="0073613F"/>
    <w:rsid w:val="0073658D"/>
    <w:rsid w:val="00737660"/>
    <w:rsid w:val="007376E0"/>
    <w:rsid w:val="00740889"/>
    <w:rsid w:val="00743290"/>
    <w:rsid w:val="00743DB7"/>
    <w:rsid w:val="00744A1F"/>
    <w:rsid w:val="00744F54"/>
    <w:rsid w:val="0074576D"/>
    <w:rsid w:val="00746D82"/>
    <w:rsid w:val="007474DD"/>
    <w:rsid w:val="00750A2D"/>
    <w:rsid w:val="00751977"/>
    <w:rsid w:val="00753F3A"/>
    <w:rsid w:val="00754595"/>
    <w:rsid w:val="00754A11"/>
    <w:rsid w:val="00754B9C"/>
    <w:rsid w:val="00755E1B"/>
    <w:rsid w:val="0076052B"/>
    <w:rsid w:val="00761B96"/>
    <w:rsid w:val="00761D19"/>
    <w:rsid w:val="0076342E"/>
    <w:rsid w:val="007638C4"/>
    <w:rsid w:val="007645CA"/>
    <w:rsid w:val="00764DAF"/>
    <w:rsid w:val="0076503C"/>
    <w:rsid w:val="0076523F"/>
    <w:rsid w:val="00766807"/>
    <w:rsid w:val="00767838"/>
    <w:rsid w:val="00767D3F"/>
    <w:rsid w:val="007727CB"/>
    <w:rsid w:val="00774306"/>
    <w:rsid w:val="00774F4E"/>
    <w:rsid w:val="00775BF2"/>
    <w:rsid w:val="00777CD0"/>
    <w:rsid w:val="00782B80"/>
    <w:rsid w:val="007832EF"/>
    <w:rsid w:val="0078634D"/>
    <w:rsid w:val="00786846"/>
    <w:rsid w:val="00786EF4"/>
    <w:rsid w:val="00786F2E"/>
    <w:rsid w:val="0079037C"/>
    <w:rsid w:val="00791092"/>
    <w:rsid w:val="007913EE"/>
    <w:rsid w:val="00791F56"/>
    <w:rsid w:val="00792C7B"/>
    <w:rsid w:val="0079578E"/>
    <w:rsid w:val="007A2BE7"/>
    <w:rsid w:val="007A41D5"/>
    <w:rsid w:val="007A748E"/>
    <w:rsid w:val="007B1174"/>
    <w:rsid w:val="007B39B9"/>
    <w:rsid w:val="007B629A"/>
    <w:rsid w:val="007B6AAA"/>
    <w:rsid w:val="007B7FC8"/>
    <w:rsid w:val="007C0BA2"/>
    <w:rsid w:val="007C1861"/>
    <w:rsid w:val="007C217D"/>
    <w:rsid w:val="007C2363"/>
    <w:rsid w:val="007C4AD7"/>
    <w:rsid w:val="007D07CA"/>
    <w:rsid w:val="007D4578"/>
    <w:rsid w:val="007D458E"/>
    <w:rsid w:val="007D48A3"/>
    <w:rsid w:val="007D67A3"/>
    <w:rsid w:val="007D7D14"/>
    <w:rsid w:val="007D7E92"/>
    <w:rsid w:val="007E0286"/>
    <w:rsid w:val="007E2383"/>
    <w:rsid w:val="007E6B31"/>
    <w:rsid w:val="007E7DCB"/>
    <w:rsid w:val="007F0C62"/>
    <w:rsid w:val="007F197C"/>
    <w:rsid w:val="007F1D57"/>
    <w:rsid w:val="007F3EF7"/>
    <w:rsid w:val="007F44D7"/>
    <w:rsid w:val="007F4708"/>
    <w:rsid w:val="007F4A5D"/>
    <w:rsid w:val="007F7E59"/>
    <w:rsid w:val="008012E8"/>
    <w:rsid w:val="00801781"/>
    <w:rsid w:val="00803C60"/>
    <w:rsid w:val="008054CF"/>
    <w:rsid w:val="00810E94"/>
    <w:rsid w:val="008140A1"/>
    <w:rsid w:val="00814A5C"/>
    <w:rsid w:val="008172B0"/>
    <w:rsid w:val="00823374"/>
    <w:rsid w:val="00823430"/>
    <w:rsid w:val="00823B49"/>
    <w:rsid w:val="00823B7E"/>
    <w:rsid w:val="0082499C"/>
    <w:rsid w:val="0083252A"/>
    <w:rsid w:val="008331F8"/>
    <w:rsid w:val="00834796"/>
    <w:rsid w:val="008349B3"/>
    <w:rsid w:val="0083509D"/>
    <w:rsid w:val="008370C0"/>
    <w:rsid w:val="00837594"/>
    <w:rsid w:val="00840065"/>
    <w:rsid w:val="00842B9C"/>
    <w:rsid w:val="00843D99"/>
    <w:rsid w:val="00844283"/>
    <w:rsid w:val="0084582F"/>
    <w:rsid w:val="00847C0A"/>
    <w:rsid w:val="008504AF"/>
    <w:rsid w:val="008512C4"/>
    <w:rsid w:val="008528A0"/>
    <w:rsid w:val="00853713"/>
    <w:rsid w:val="00860124"/>
    <w:rsid w:val="00860131"/>
    <w:rsid w:val="00860860"/>
    <w:rsid w:val="00860DC5"/>
    <w:rsid w:val="00861444"/>
    <w:rsid w:val="00864468"/>
    <w:rsid w:val="00866547"/>
    <w:rsid w:val="00866757"/>
    <w:rsid w:val="008677A1"/>
    <w:rsid w:val="00870358"/>
    <w:rsid w:val="00871A8A"/>
    <w:rsid w:val="0087203A"/>
    <w:rsid w:val="0087307F"/>
    <w:rsid w:val="0087448C"/>
    <w:rsid w:val="00874497"/>
    <w:rsid w:val="00875224"/>
    <w:rsid w:val="00882665"/>
    <w:rsid w:val="00882A18"/>
    <w:rsid w:val="00882EE1"/>
    <w:rsid w:val="00884950"/>
    <w:rsid w:val="008919A4"/>
    <w:rsid w:val="008935BD"/>
    <w:rsid w:val="008936DF"/>
    <w:rsid w:val="00893832"/>
    <w:rsid w:val="00895345"/>
    <w:rsid w:val="008A1C40"/>
    <w:rsid w:val="008A3314"/>
    <w:rsid w:val="008A3D8F"/>
    <w:rsid w:val="008A3FDA"/>
    <w:rsid w:val="008B0B61"/>
    <w:rsid w:val="008B0D04"/>
    <w:rsid w:val="008B0E8C"/>
    <w:rsid w:val="008B2F06"/>
    <w:rsid w:val="008B44B6"/>
    <w:rsid w:val="008B5718"/>
    <w:rsid w:val="008B5CEF"/>
    <w:rsid w:val="008B61E3"/>
    <w:rsid w:val="008B6AB4"/>
    <w:rsid w:val="008B7B66"/>
    <w:rsid w:val="008C265B"/>
    <w:rsid w:val="008C33B4"/>
    <w:rsid w:val="008C474C"/>
    <w:rsid w:val="008C56D8"/>
    <w:rsid w:val="008C5DF4"/>
    <w:rsid w:val="008C5ED2"/>
    <w:rsid w:val="008C5FB5"/>
    <w:rsid w:val="008C7C1D"/>
    <w:rsid w:val="008D11A6"/>
    <w:rsid w:val="008D1546"/>
    <w:rsid w:val="008D3305"/>
    <w:rsid w:val="008D3955"/>
    <w:rsid w:val="008D42B4"/>
    <w:rsid w:val="008D568C"/>
    <w:rsid w:val="008D6221"/>
    <w:rsid w:val="008E207B"/>
    <w:rsid w:val="008E26F2"/>
    <w:rsid w:val="008E27D0"/>
    <w:rsid w:val="008E2E4C"/>
    <w:rsid w:val="008E3579"/>
    <w:rsid w:val="008E5518"/>
    <w:rsid w:val="008E672C"/>
    <w:rsid w:val="008F00F1"/>
    <w:rsid w:val="008F62E5"/>
    <w:rsid w:val="008F7570"/>
    <w:rsid w:val="0090066A"/>
    <w:rsid w:val="00903AC3"/>
    <w:rsid w:val="00905B1E"/>
    <w:rsid w:val="00905CDF"/>
    <w:rsid w:val="00907987"/>
    <w:rsid w:val="00910983"/>
    <w:rsid w:val="00917635"/>
    <w:rsid w:val="00920600"/>
    <w:rsid w:val="009228DF"/>
    <w:rsid w:val="00924CD5"/>
    <w:rsid w:val="00925712"/>
    <w:rsid w:val="00926EA9"/>
    <w:rsid w:val="00930F98"/>
    <w:rsid w:val="00931D4F"/>
    <w:rsid w:val="00933E50"/>
    <w:rsid w:val="00934193"/>
    <w:rsid w:val="00934355"/>
    <w:rsid w:val="00934F6E"/>
    <w:rsid w:val="00937A0B"/>
    <w:rsid w:val="00940489"/>
    <w:rsid w:val="00942168"/>
    <w:rsid w:val="0094233D"/>
    <w:rsid w:val="00944C5C"/>
    <w:rsid w:val="00944FBC"/>
    <w:rsid w:val="009463D3"/>
    <w:rsid w:val="00946925"/>
    <w:rsid w:val="009470CD"/>
    <w:rsid w:val="00950ACA"/>
    <w:rsid w:val="009522D0"/>
    <w:rsid w:val="009577FE"/>
    <w:rsid w:val="00957F22"/>
    <w:rsid w:val="00960508"/>
    <w:rsid w:val="00960CDD"/>
    <w:rsid w:val="00961111"/>
    <w:rsid w:val="00961F15"/>
    <w:rsid w:val="00962FE4"/>
    <w:rsid w:val="0096300A"/>
    <w:rsid w:val="009634E5"/>
    <w:rsid w:val="00964187"/>
    <w:rsid w:val="009659A7"/>
    <w:rsid w:val="009665AC"/>
    <w:rsid w:val="009667BC"/>
    <w:rsid w:val="00970636"/>
    <w:rsid w:val="009713C6"/>
    <w:rsid w:val="0097597A"/>
    <w:rsid w:val="00977375"/>
    <w:rsid w:val="00981DA6"/>
    <w:rsid w:val="00984DC1"/>
    <w:rsid w:val="009866EA"/>
    <w:rsid w:val="00986743"/>
    <w:rsid w:val="009868BE"/>
    <w:rsid w:val="009873C3"/>
    <w:rsid w:val="00990B04"/>
    <w:rsid w:val="00990B18"/>
    <w:rsid w:val="00991FE9"/>
    <w:rsid w:val="009920E1"/>
    <w:rsid w:val="00992C11"/>
    <w:rsid w:val="00996F17"/>
    <w:rsid w:val="009A2397"/>
    <w:rsid w:val="009A4540"/>
    <w:rsid w:val="009A4F0C"/>
    <w:rsid w:val="009B06DB"/>
    <w:rsid w:val="009B0D57"/>
    <w:rsid w:val="009B1526"/>
    <w:rsid w:val="009B165A"/>
    <w:rsid w:val="009B16F4"/>
    <w:rsid w:val="009B18A0"/>
    <w:rsid w:val="009B1B5C"/>
    <w:rsid w:val="009B2208"/>
    <w:rsid w:val="009B3769"/>
    <w:rsid w:val="009B7F1B"/>
    <w:rsid w:val="009C09A6"/>
    <w:rsid w:val="009C1373"/>
    <w:rsid w:val="009C3A29"/>
    <w:rsid w:val="009C6632"/>
    <w:rsid w:val="009D0800"/>
    <w:rsid w:val="009D1076"/>
    <w:rsid w:val="009D1272"/>
    <w:rsid w:val="009D2629"/>
    <w:rsid w:val="009D3B3D"/>
    <w:rsid w:val="009D4156"/>
    <w:rsid w:val="009D4707"/>
    <w:rsid w:val="009D5E20"/>
    <w:rsid w:val="009E3A57"/>
    <w:rsid w:val="009E7231"/>
    <w:rsid w:val="009E7AC9"/>
    <w:rsid w:val="009E7F32"/>
    <w:rsid w:val="009F40A8"/>
    <w:rsid w:val="009F413A"/>
    <w:rsid w:val="009F558D"/>
    <w:rsid w:val="00A00F2A"/>
    <w:rsid w:val="00A023D2"/>
    <w:rsid w:val="00A03212"/>
    <w:rsid w:val="00A04699"/>
    <w:rsid w:val="00A057F1"/>
    <w:rsid w:val="00A077EA"/>
    <w:rsid w:val="00A07FA1"/>
    <w:rsid w:val="00A105F8"/>
    <w:rsid w:val="00A10D23"/>
    <w:rsid w:val="00A16867"/>
    <w:rsid w:val="00A16E10"/>
    <w:rsid w:val="00A17909"/>
    <w:rsid w:val="00A2173F"/>
    <w:rsid w:val="00A21EA4"/>
    <w:rsid w:val="00A244C7"/>
    <w:rsid w:val="00A25DD6"/>
    <w:rsid w:val="00A26654"/>
    <w:rsid w:val="00A26ED3"/>
    <w:rsid w:val="00A30424"/>
    <w:rsid w:val="00A3105B"/>
    <w:rsid w:val="00A33232"/>
    <w:rsid w:val="00A34F95"/>
    <w:rsid w:val="00A35C90"/>
    <w:rsid w:val="00A37971"/>
    <w:rsid w:val="00A44C60"/>
    <w:rsid w:val="00A5096A"/>
    <w:rsid w:val="00A51869"/>
    <w:rsid w:val="00A53ADC"/>
    <w:rsid w:val="00A56BCD"/>
    <w:rsid w:val="00A56F43"/>
    <w:rsid w:val="00A57D44"/>
    <w:rsid w:val="00A60012"/>
    <w:rsid w:val="00A6331F"/>
    <w:rsid w:val="00A63414"/>
    <w:rsid w:val="00A66A4A"/>
    <w:rsid w:val="00A67458"/>
    <w:rsid w:val="00A67BAA"/>
    <w:rsid w:val="00A703FB"/>
    <w:rsid w:val="00A72124"/>
    <w:rsid w:val="00A76E0E"/>
    <w:rsid w:val="00A77604"/>
    <w:rsid w:val="00A800A3"/>
    <w:rsid w:val="00A8152A"/>
    <w:rsid w:val="00A8159C"/>
    <w:rsid w:val="00A81B6F"/>
    <w:rsid w:val="00A81F21"/>
    <w:rsid w:val="00A832E8"/>
    <w:rsid w:val="00A843A5"/>
    <w:rsid w:val="00A8495F"/>
    <w:rsid w:val="00A849E0"/>
    <w:rsid w:val="00A852E6"/>
    <w:rsid w:val="00A866D1"/>
    <w:rsid w:val="00A86DDF"/>
    <w:rsid w:val="00A87A1F"/>
    <w:rsid w:val="00A917E0"/>
    <w:rsid w:val="00A94022"/>
    <w:rsid w:val="00A946EA"/>
    <w:rsid w:val="00A94C01"/>
    <w:rsid w:val="00A9692B"/>
    <w:rsid w:val="00AA2E2F"/>
    <w:rsid w:val="00AA2E51"/>
    <w:rsid w:val="00AA3BB5"/>
    <w:rsid w:val="00AA5067"/>
    <w:rsid w:val="00AA7085"/>
    <w:rsid w:val="00AA7AC2"/>
    <w:rsid w:val="00AA7D28"/>
    <w:rsid w:val="00AB0586"/>
    <w:rsid w:val="00AB08F5"/>
    <w:rsid w:val="00AB2AE2"/>
    <w:rsid w:val="00AB2F50"/>
    <w:rsid w:val="00AB3D15"/>
    <w:rsid w:val="00AB3E83"/>
    <w:rsid w:val="00AB5B26"/>
    <w:rsid w:val="00AB7400"/>
    <w:rsid w:val="00AB775A"/>
    <w:rsid w:val="00AB7DBF"/>
    <w:rsid w:val="00AC012D"/>
    <w:rsid w:val="00AC3230"/>
    <w:rsid w:val="00AC4B49"/>
    <w:rsid w:val="00AC51C3"/>
    <w:rsid w:val="00AC5E73"/>
    <w:rsid w:val="00AC67C4"/>
    <w:rsid w:val="00AC6950"/>
    <w:rsid w:val="00AD0439"/>
    <w:rsid w:val="00AD19AD"/>
    <w:rsid w:val="00AD6340"/>
    <w:rsid w:val="00AE3CD1"/>
    <w:rsid w:val="00AE41D5"/>
    <w:rsid w:val="00AE4D73"/>
    <w:rsid w:val="00AE6EAE"/>
    <w:rsid w:val="00AE775E"/>
    <w:rsid w:val="00AF1C92"/>
    <w:rsid w:val="00AF4753"/>
    <w:rsid w:val="00AF4898"/>
    <w:rsid w:val="00AF4F27"/>
    <w:rsid w:val="00AF79FA"/>
    <w:rsid w:val="00AF7B9B"/>
    <w:rsid w:val="00B0081D"/>
    <w:rsid w:val="00B069AE"/>
    <w:rsid w:val="00B06D15"/>
    <w:rsid w:val="00B06F8B"/>
    <w:rsid w:val="00B10D6E"/>
    <w:rsid w:val="00B11244"/>
    <w:rsid w:val="00B11A7D"/>
    <w:rsid w:val="00B1286C"/>
    <w:rsid w:val="00B13D61"/>
    <w:rsid w:val="00B14BCB"/>
    <w:rsid w:val="00B15880"/>
    <w:rsid w:val="00B15F73"/>
    <w:rsid w:val="00B165D9"/>
    <w:rsid w:val="00B20352"/>
    <w:rsid w:val="00B22244"/>
    <w:rsid w:val="00B23C83"/>
    <w:rsid w:val="00B25C26"/>
    <w:rsid w:val="00B25C4F"/>
    <w:rsid w:val="00B261BA"/>
    <w:rsid w:val="00B3064A"/>
    <w:rsid w:val="00B31BAC"/>
    <w:rsid w:val="00B33728"/>
    <w:rsid w:val="00B34553"/>
    <w:rsid w:val="00B3473A"/>
    <w:rsid w:val="00B35966"/>
    <w:rsid w:val="00B35ADB"/>
    <w:rsid w:val="00B36705"/>
    <w:rsid w:val="00B36AAF"/>
    <w:rsid w:val="00B37787"/>
    <w:rsid w:val="00B40BF3"/>
    <w:rsid w:val="00B41599"/>
    <w:rsid w:val="00B4230E"/>
    <w:rsid w:val="00B42C83"/>
    <w:rsid w:val="00B42D5E"/>
    <w:rsid w:val="00B435EC"/>
    <w:rsid w:val="00B43698"/>
    <w:rsid w:val="00B43C3E"/>
    <w:rsid w:val="00B447BC"/>
    <w:rsid w:val="00B4506F"/>
    <w:rsid w:val="00B45D0C"/>
    <w:rsid w:val="00B46F92"/>
    <w:rsid w:val="00B4727E"/>
    <w:rsid w:val="00B506E7"/>
    <w:rsid w:val="00B50FFE"/>
    <w:rsid w:val="00B51E64"/>
    <w:rsid w:val="00B53205"/>
    <w:rsid w:val="00B53C3B"/>
    <w:rsid w:val="00B53C9B"/>
    <w:rsid w:val="00B54ADA"/>
    <w:rsid w:val="00B54E70"/>
    <w:rsid w:val="00B55827"/>
    <w:rsid w:val="00B56865"/>
    <w:rsid w:val="00B57266"/>
    <w:rsid w:val="00B602C9"/>
    <w:rsid w:val="00B61528"/>
    <w:rsid w:val="00B62845"/>
    <w:rsid w:val="00B63547"/>
    <w:rsid w:val="00B63825"/>
    <w:rsid w:val="00B64835"/>
    <w:rsid w:val="00B64FDF"/>
    <w:rsid w:val="00B66A7E"/>
    <w:rsid w:val="00B702D5"/>
    <w:rsid w:val="00B723C6"/>
    <w:rsid w:val="00B72C66"/>
    <w:rsid w:val="00B73A89"/>
    <w:rsid w:val="00B77E30"/>
    <w:rsid w:val="00B800CB"/>
    <w:rsid w:val="00B80686"/>
    <w:rsid w:val="00B8074B"/>
    <w:rsid w:val="00B8101A"/>
    <w:rsid w:val="00B847A2"/>
    <w:rsid w:val="00B8583E"/>
    <w:rsid w:val="00B861AB"/>
    <w:rsid w:val="00B87D78"/>
    <w:rsid w:val="00B9143C"/>
    <w:rsid w:val="00B94F40"/>
    <w:rsid w:val="00B9591A"/>
    <w:rsid w:val="00BA0B38"/>
    <w:rsid w:val="00BA164C"/>
    <w:rsid w:val="00BA20B5"/>
    <w:rsid w:val="00BA2A45"/>
    <w:rsid w:val="00BA3722"/>
    <w:rsid w:val="00BA5499"/>
    <w:rsid w:val="00BA5F57"/>
    <w:rsid w:val="00BA6C48"/>
    <w:rsid w:val="00BB27C2"/>
    <w:rsid w:val="00BB28DE"/>
    <w:rsid w:val="00BB64B2"/>
    <w:rsid w:val="00BB7D50"/>
    <w:rsid w:val="00BC0C23"/>
    <w:rsid w:val="00BC2F64"/>
    <w:rsid w:val="00BC3099"/>
    <w:rsid w:val="00BC34AF"/>
    <w:rsid w:val="00BC35F2"/>
    <w:rsid w:val="00BC6AC4"/>
    <w:rsid w:val="00BC6EC8"/>
    <w:rsid w:val="00BD0575"/>
    <w:rsid w:val="00BD12AC"/>
    <w:rsid w:val="00BD189F"/>
    <w:rsid w:val="00BD29BB"/>
    <w:rsid w:val="00BD4254"/>
    <w:rsid w:val="00BD63A5"/>
    <w:rsid w:val="00BD6E86"/>
    <w:rsid w:val="00BD75B8"/>
    <w:rsid w:val="00BD779E"/>
    <w:rsid w:val="00BD7DD8"/>
    <w:rsid w:val="00BE06B5"/>
    <w:rsid w:val="00BE125E"/>
    <w:rsid w:val="00BE2424"/>
    <w:rsid w:val="00BE26A0"/>
    <w:rsid w:val="00BE3F17"/>
    <w:rsid w:val="00BE5440"/>
    <w:rsid w:val="00BE5843"/>
    <w:rsid w:val="00BE5902"/>
    <w:rsid w:val="00BE5BCE"/>
    <w:rsid w:val="00BE5C84"/>
    <w:rsid w:val="00BE6031"/>
    <w:rsid w:val="00BF0209"/>
    <w:rsid w:val="00BF0359"/>
    <w:rsid w:val="00BF12C4"/>
    <w:rsid w:val="00BF187E"/>
    <w:rsid w:val="00BF26EC"/>
    <w:rsid w:val="00BF2BC7"/>
    <w:rsid w:val="00BF2FF0"/>
    <w:rsid w:val="00BF3AF0"/>
    <w:rsid w:val="00BF4DF2"/>
    <w:rsid w:val="00BF6342"/>
    <w:rsid w:val="00BF7F23"/>
    <w:rsid w:val="00C0048A"/>
    <w:rsid w:val="00C01515"/>
    <w:rsid w:val="00C01AC6"/>
    <w:rsid w:val="00C01E8F"/>
    <w:rsid w:val="00C0501F"/>
    <w:rsid w:val="00C06F2F"/>
    <w:rsid w:val="00C07885"/>
    <w:rsid w:val="00C118DF"/>
    <w:rsid w:val="00C126E8"/>
    <w:rsid w:val="00C136F8"/>
    <w:rsid w:val="00C146F6"/>
    <w:rsid w:val="00C1563C"/>
    <w:rsid w:val="00C17469"/>
    <w:rsid w:val="00C20799"/>
    <w:rsid w:val="00C22FB8"/>
    <w:rsid w:val="00C23336"/>
    <w:rsid w:val="00C24C41"/>
    <w:rsid w:val="00C25B8D"/>
    <w:rsid w:val="00C26250"/>
    <w:rsid w:val="00C30D31"/>
    <w:rsid w:val="00C31F64"/>
    <w:rsid w:val="00C40998"/>
    <w:rsid w:val="00C4291F"/>
    <w:rsid w:val="00C43AC5"/>
    <w:rsid w:val="00C44903"/>
    <w:rsid w:val="00C4519E"/>
    <w:rsid w:val="00C4529E"/>
    <w:rsid w:val="00C454B6"/>
    <w:rsid w:val="00C46366"/>
    <w:rsid w:val="00C522BD"/>
    <w:rsid w:val="00C55B3A"/>
    <w:rsid w:val="00C56584"/>
    <w:rsid w:val="00C57F72"/>
    <w:rsid w:val="00C63F2A"/>
    <w:rsid w:val="00C64F11"/>
    <w:rsid w:val="00C651E2"/>
    <w:rsid w:val="00C652B5"/>
    <w:rsid w:val="00C666B0"/>
    <w:rsid w:val="00C74ABD"/>
    <w:rsid w:val="00C75688"/>
    <w:rsid w:val="00C761B0"/>
    <w:rsid w:val="00C76B82"/>
    <w:rsid w:val="00C76D97"/>
    <w:rsid w:val="00C807E9"/>
    <w:rsid w:val="00C83DDE"/>
    <w:rsid w:val="00C87917"/>
    <w:rsid w:val="00C87BF9"/>
    <w:rsid w:val="00C907C0"/>
    <w:rsid w:val="00C9245B"/>
    <w:rsid w:val="00C93837"/>
    <w:rsid w:val="00C95B41"/>
    <w:rsid w:val="00C96015"/>
    <w:rsid w:val="00C97EA5"/>
    <w:rsid w:val="00CA2C7D"/>
    <w:rsid w:val="00CA398B"/>
    <w:rsid w:val="00CA42CB"/>
    <w:rsid w:val="00CA6419"/>
    <w:rsid w:val="00CB1B2F"/>
    <w:rsid w:val="00CB1D00"/>
    <w:rsid w:val="00CB47BF"/>
    <w:rsid w:val="00CB6721"/>
    <w:rsid w:val="00CB6F8B"/>
    <w:rsid w:val="00CC17DF"/>
    <w:rsid w:val="00CC19DB"/>
    <w:rsid w:val="00CC2567"/>
    <w:rsid w:val="00CC4CB1"/>
    <w:rsid w:val="00CD0405"/>
    <w:rsid w:val="00CD2423"/>
    <w:rsid w:val="00CD36BC"/>
    <w:rsid w:val="00CD4589"/>
    <w:rsid w:val="00CD53BE"/>
    <w:rsid w:val="00CD6E8D"/>
    <w:rsid w:val="00CD724F"/>
    <w:rsid w:val="00CE188C"/>
    <w:rsid w:val="00CE2DFB"/>
    <w:rsid w:val="00CE5BB6"/>
    <w:rsid w:val="00CE5C31"/>
    <w:rsid w:val="00CE6DF9"/>
    <w:rsid w:val="00CE73CF"/>
    <w:rsid w:val="00CF033D"/>
    <w:rsid w:val="00CF148C"/>
    <w:rsid w:val="00CF2C56"/>
    <w:rsid w:val="00CF2E7D"/>
    <w:rsid w:val="00CF3FB3"/>
    <w:rsid w:val="00CF46D9"/>
    <w:rsid w:val="00CF54F6"/>
    <w:rsid w:val="00CF5D37"/>
    <w:rsid w:val="00CF6D10"/>
    <w:rsid w:val="00CF6DFC"/>
    <w:rsid w:val="00D00066"/>
    <w:rsid w:val="00D00D53"/>
    <w:rsid w:val="00D02170"/>
    <w:rsid w:val="00D022D7"/>
    <w:rsid w:val="00D02D74"/>
    <w:rsid w:val="00D02DF5"/>
    <w:rsid w:val="00D03058"/>
    <w:rsid w:val="00D043E7"/>
    <w:rsid w:val="00D06288"/>
    <w:rsid w:val="00D0775C"/>
    <w:rsid w:val="00D11D8B"/>
    <w:rsid w:val="00D123D0"/>
    <w:rsid w:val="00D12868"/>
    <w:rsid w:val="00D12D4D"/>
    <w:rsid w:val="00D12EA5"/>
    <w:rsid w:val="00D144FA"/>
    <w:rsid w:val="00D1615A"/>
    <w:rsid w:val="00D20B1A"/>
    <w:rsid w:val="00D21043"/>
    <w:rsid w:val="00D231B1"/>
    <w:rsid w:val="00D2452E"/>
    <w:rsid w:val="00D24730"/>
    <w:rsid w:val="00D265EF"/>
    <w:rsid w:val="00D2761D"/>
    <w:rsid w:val="00D30E37"/>
    <w:rsid w:val="00D3232B"/>
    <w:rsid w:val="00D32842"/>
    <w:rsid w:val="00D34BF9"/>
    <w:rsid w:val="00D370FF"/>
    <w:rsid w:val="00D41C12"/>
    <w:rsid w:val="00D43006"/>
    <w:rsid w:val="00D434A8"/>
    <w:rsid w:val="00D437E6"/>
    <w:rsid w:val="00D45A80"/>
    <w:rsid w:val="00D463F1"/>
    <w:rsid w:val="00D473F3"/>
    <w:rsid w:val="00D510FF"/>
    <w:rsid w:val="00D524BB"/>
    <w:rsid w:val="00D531F1"/>
    <w:rsid w:val="00D53B9A"/>
    <w:rsid w:val="00D53E09"/>
    <w:rsid w:val="00D561C8"/>
    <w:rsid w:val="00D57CCE"/>
    <w:rsid w:val="00D611DA"/>
    <w:rsid w:val="00D62250"/>
    <w:rsid w:val="00D633A7"/>
    <w:rsid w:val="00D63F7F"/>
    <w:rsid w:val="00D65E8E"/>
    <w:rsid w:val="00D66B78"/>
    <w:rsid w:val="00D66B84"/>
    <w:rsid w:val="00D6703D"/>
    <w:rsid w:val="00D70052"/>
    <w:rsid w:val="00D70197"/>
    <w:rsid w:val="00D717DA"/>
    <w:rsid w:val="00D726F0"/>
    <w:rsid w:val="00D72D2E"/>
    <w:rsid w:val="00D7323A"/>
    <w:rsid w:val="00D739AA"/>
    <w:rsid w:val="00D74172"/>
    <w:rsid w:val="00D74936"/>
    <w:rsid w:val="00D752A0"/>
    <w:rsid w:val="00D7659E"/>
    <w:rsid w:val="00D815CF"/>
    <w:rsid w:val="00D8235D"/>
    <w:rsid w:val="00D8250E"/>
    <w:rsid w:val="00D84BA5"/>
    <w:rsid w:val="00D91E6F"/>
    <w:rsid w:val="00D929F0"/>
    <w:rsid w:val="00D931D0"/>
    <w:rsid w:val="00D93858"/>
    <w:rsid w:val="00D946B0"/>
    <w:rsid w:val="00DA2679"/>
    <w:rsid w:val="00DA3039"/>
    <w:rsid w:val="00DA3F13"/>
    <w:rsid w:val="00DA52F7"/>
    <w:rsid w:val="00DA6B88"/>
    <w:rsid w:val="00DA73B6"/>
    <w:rsid w:val="00DB10E2"/>
    <w:rsid w:val="00DB127D"/>
    <w:rsid w:val="00DB1495"/>
    <w:rsid w:val="00DB1E80"/>
    <w:rsid w:val="00DB314D"/>
    <w:rsid w:val="00DB34CC"/>
    <w:rsid w:val="00DC50AF"/>
    <w:rsid w:val="00DC6E87"/>
    <w:rsid w:val="00DC7A59"/>
    <w:rsid w:val="00DD15AC"/>
    <w:rsid w:val="00DD1B6D"/>
    <w:rsid w:val="00DD47B6"/>
    <w:rsid w:val="00DD4F62"/>
    <w:rsid w:val="00DD529C"/>
    <w:rsid w:val="00DD543E"/>
    <w:rsid w:val="00DD62AD"/>
    <w:rsid w:val="00DD7153"/>
    <w:rsid w:val="00DE0146"/>
    <w:rsid w:val="00DE1CD9"/>
    <w:rsid w:val="00DE20D4"/>
    <w:rsid w:val="00DE3501"/>
    <w:rsid w:val="00DE7878"/>
    <w:rsid w:val="00DF1896"/>
    <w:rsid w:val="00DF2D4A"/>
    <w:rsid w:val="00DF3761"/>
    <w:rsid w:val="00DF4F58"/>
    <w:rsid w:val="00DF5792"/>
    <w:rsid w:val="00DF6317"/>
    <w:rsid w:val="00DF6ED1"/>
    <w:rsid w:val="00DF7E6B"/>
    <w:rsid w:val="00E017EF"/>
    <w:rsid w:val="00E01936"/>
    <w:rsid w:val="00E03BF5"/>
    <w:rsid w:val="00E11F2F"/>
    <w:rsid w:val="00E12952"/>
    <w:rsid w:val="00E12956"/>
    <w:rsid w:val="00E13A3A"/>
    <w:rsid w:val="00E14816"/>
    <w:rsid w:val="00E14CD2"/>
    <w:rsid w:val="00E212FD"/>
    <w:rsid w:val="00E2251C"/>
    <w:rsid w:val="00E22A1B"/>
    <w:rsid w:val="00E23521"/>
    <w:rsid w:val="00E2388E"/>
    <w:rsid w:val="00E301AE"/>
    <w:rsid w:val="00E31052"/>
    <w:rsid w:val="00E31339"/>
    <w:rsid w:val="00E315BC"/>
    <w:rsid w:val="00E33610"/>
    <w:rsid w:val="00E35139"/>
    <w:rsid w:val="00E379A1"/>
    <w:rsid w:val="00E405E0"/>
    <w:rsid w:val="00E413A0"/>
    <w:rsid w:val="00E44555"/>
    <w:rsid w:val="00E4526A"/>
    <w:rsid w:val="00E46A04"/>
    <w:rsid w:val="00E479AB"/>
    <w:rsid w:val="00E50608"/>
    <w:rsid w:val="00E5165B"/>
    <w:rsid w:val="00E520A8"/>
    <w:rsid w:val="00E52A7F"/>
    <w:rsid w:val="00E52ABA"/>
    <w:rsid w:val="00E5314F"/>
    <w:rsid w:val="00E539CC"/>
    <w:rsid w:val="00E540A8"/>
    <w:rsid w:val="00E55889"/>
    <w:rsid w:val="00E56A94"/>
    <w:rsid w:val="00E6278D"/>
    <w:rsid w:val="00E62F10"/>
    <w:rsid w:val="00E653E3"/>
    <w:rsid w:val="00E66AEE"/>
    <w:rsid w:val="00E67521"/>
    <w:rsid w:val="00E700DA"/>
    <w:rsid w:val="00E70FF5"/>
    <w:rsid w:val="00E736A7"/>
    <w:rsid w:val="00E77D86"/>
    <w:rsid w:val="00E80577"/>
    <w:rsid w:val="00E82B32"/>
    <w:rsid w:val="00E831B1"/>
    <w:rsid w:val="00E849B8"/>
    <w:rsid w:val="00E84D9A"/>
    <w:rsid w:val="00E87BDD"/>
    <w:rsid w:val="00E87C26"/>
    <w:rsid w:val="00E87C65"/>
    <w:rsid w:val="00E90139"/>
    <w:rsid w:val="00E9088B"/>
    <w:rsid w:val="00EA01AC"/>
    <w:rsid w:val="00EA1321"/>
    <w:rsid w:val="00EA1601"/>
    <w:rsid w:val="00EA2361"/>
    <w:rsid w:val="00EA3247"/>
    <w:rsid w:val="00EA48FF"/>
    <w:rsid w:val="00EA7304"/>
    <w:rsid w:val="00EB033D"/>
    <w:rsid w:val="00EB044C"/>
    <w:rsid w:val="00EB073E"/>
    <w:rsid w:val="00EB11D4"/>
    <w:rsid w:val="00EB2886"/>
    <w:rsid w:val="00EB398E"/>
    <w:rsid w:val="00EB3B66"/>
    <w:rsid w:val="00EB57AE"/>
    <w:rsid w:val="00EB6412"/>
    <w:rsid w:val="00EB6B8C"/>
    <w:rsid w:val="00EC10E7"/>
    <w:rsid w:val="00EC3D63"/>
    <w:rsid w:val="00EC4096"/>
    <w:rsid w:val="00EC429C"/>
    <w:rsid w:val="00EC5491"/>
    <w:rsid w:val="00EC6A51"/>
    <w:rsid w:val="00ED05AC"/>
    <w:rsid w:val="00ED10E2"/>
    <w:rsid w:val="00ED16EF"/>
    <w:rsid w:val="00ED215E"/>
    <w:rsid w:val="00ED2E76"/>
    <w:rsid w:val="00ED42C4"/>
    <w:rsid w:val="00ED5350"/>
    <w:rsid w:val="00EE0619"/>
    <w:rsid w:val="00EE25B4"/>
    <w:rsid w:val="00EE4050"/>
    <w:rsid w:val="00EE4149"/>
    <w:rsid w:val="00EE7526"/>
    <w:rsid w:val="00EF1819"/>
    <w:rsid w:val="00EF2859"/>
    <w:rsid w:val="00F00AE9"/>
    <w:rsid w:val="00F01592"/>
    <w:rsid w:val="00F0369C"/>
    <w:rsid w:val="00F048A6"/>
    <w:rsid w:val="00F04E3E"/>
    <w:rsid w:val="00F068D1"/>
    <w:rsid w:val="00F10771"/>
    <w:rsid w:val="00F13A62"/>
    <w:rsid w:val="00F14B7A"/>
    <w:rsid w:val="00F20327"/>
    <w:rsid w:val="00F205E5"/>
    <w:rsid w:val="00F20D66"/>
    <w:rsid w:val="00F215E4"/>
    <w:rsid w:val="00F231A3"/>
    <w:rsid w:val="00F258E1"/>
    <w:rsid w:val="00F3033F"/>
    <w:rsid w:val="00F35F77"/>
    <w:rsid w:val="00F47D84"/>
    <w:rsid w:val="00F47DE6"/>
    <w:rsid w:val="00F47E34"/>
    <w:rsid w:val="00F50995"/>
    <w:rsid w:val="00F5106B"/>
    <w:rsid w:val="00F512A3"/>
    <w:rsid w:val="00F51AB4"/>
    <w:rsid w:val="00F523A8"/>
    <w:rsid w:val="00F54723"/>
    <w:rsid w:val="00F549D6"/>
    <w:rsid w:val="00F557D3"/>
    <w:rsid w:val="00F5666A"/>
    <w:rsid w:val="00F5718D"/>
    <w:rsid w:val="00F57359"/>
    <w:rsid w:val="00F578AA"/>
    <w:rsid w:val="00F57AF5"/>
    <w:rsid w:val="00F57DD7"/>
    <w:rsid w:val="00F60A86"/>
    <w:rsid w:val="00F60FCB"/>
    <w:rsid w:val="00F60FD3"/>
    <w:rsid w:val="00F623EF"/>
    <w:rsid w:val="00F62B87"/>
    <w:rsid w:val="00F65208"/>
    <w:rsid w:val="00F66C67"/>
    <w:rsid w:val="00F67AAA"/>
    <w:rsid w:val="00F67BE6"/>
    <w:rsid w:val="00F702E1"/>
    <w:rsid w:val="00F71D7E"/>
    <w:rsid w:val="00F73E32"/>
    <w:rsid w:val="00F74043"/>
    <w:rsid w:val="00F7450E"/>
    <w:rsid w:val="00F777D6"/>
    <w:rsid w:val="00F8167F"/>
    <w:rsid w:val="00F83726"/>
    <w:rsid w:val="00F8481F"/>
    <w:rsid w:val="00F84C31"/>
    <w:rsid w:val="00F857E1"/>
    <w:rsid w:val="00F85C9F"/>
    <w:rsid w:val="00F86B33"/>
    <w:rsid w:val="00F91C17"/>
    <w:rsid w:val="00F949B1"/>
    <w:rsid w:val="00F955EF"/>
    <w:rsid w:val="00F95841"/>
    <w:rsid w:val="00F958EE"/>
    <w:rsid w:val="00F96926"/>
    <w:rsid w:val="00F96EEB"/>
    <w:rsid w:val="00F96F8A"/>
    <w:rsid w:val="00F9761F"/>
    <w:rsid w:val="00FA0D1C"/>
    <w:rsid w:val="00FA102C"/>
    <w:rsid w:val="00FA15D2"/>
    <w:rsid w:val="00FA1A15"/>
    <w:rsid w:val="00FA5FED"/>
    <w:rsid w:val="00FA6195"/>
    <w:rsid w:val="00FB3124"/>
    <w:rsid w:val="00FB40B2"/>
    <w:rsid w:val="00FB75AB"/>
    <w:rsid w:val="00FB7B89"/>
    <w:rsid w:val="00FB7D83"/>
    <w:rsid w:val="00FC5616"/>
    <w:rsid w:val="00FC666D"/>
    <w:rsid w:val="00FC6A4A"/>
    <w:rsid w:val="00FC6F49"/>
    <w:rsid w:val="00FD328C"/>
    <w:rsid w:val="00FD3905"/>
    <w:rsid w:val="00FD53B8"/>
    <w:rsid w:val="00FD7299"/>
    <w:rsid w:val="00FE1D74"/>
    <w:rsid w:val="00FE2094"/>
    <w:rsid w:val="00FE7630"/>
    <w:rsid w:val="00FE764B"/>
    <w:rsid w:val="00FF03D6"/>
    <w:rsid w:val="00FF0A29"/>
    <w:rsid w:val="00FF3639"/>
    <w:rsid w:val="00FF6F5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E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footnote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D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A866D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866D1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866D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866D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866D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866D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866D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866D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866D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866D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866D1"/>
  </w:style>
  <w:style w:type="table" w:customStyle="1" w:styleId="tblzat-mtrix">
    <w:name w:val="táblázat - mátrix"/>
    <w:basedOn w:val="Normltblzat"/>
    <w:uiPriority w:val="2"/>
    <w:qFormat/>
    <w:rsid w:val="00A866D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866D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866D1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A866D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866D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866D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6D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866D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6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66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66D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A866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66D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866D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866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866D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866D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866D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A866D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866D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866D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866D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866D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866D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866D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866D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866D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866D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866D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866D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866D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ußnote, Char"/>
    <w:basedOn w:val="Norml"/>
    <w:link w:val="LbjegyzetszvegChar"/>
    <w:uiPriority w:val="99"/>
    <w:unhideWhenUsed/>
    <w:qFormat/>
    <w:rsid w:val="00A866D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aliases w:val="Fußnote Char1, Char Char"/>
    <w:basedOn w:val="Bekezdsalapbettpusa"/>
    <w:link w:val="Lbjegyzetszveg"/>
    <w:uiPriority w:val="99"/>
    <w:rsid w:val="00A866D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866D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866D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866D1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866D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866D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866D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866D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866D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866D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866D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866D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866D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866D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866D1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866D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866D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866D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866D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866D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866D1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866D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A866D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A866D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866D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866D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866D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866D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866D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866D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866D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866D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866D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866D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866D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866D1"/>
    <w:rPr>
      <w:rFonts w:ascii="Calibri" w:hAnsi="Calibri"/>
    </w:rPr>
  </w:style>
  <w:style w:type="character" w:styleId="Kiemels2">
    <w:name w:val="Strong"/>
    <w:basedOn w:val="Bekezdsalapbettpusa"/>
    <w:uiPriority w:val="22"/>
    <w:rsid w:val="00A866D1"/>
    <w:rPr>
      <w:b/>
      <w:bCs/>
    </w:rPr>
  </w:style>
  <w:style w:type="character" w:styleId="Kiemels">
    <w:name w:val="Emphasis"/>
    <w:basedOn w:val="Bekezdsalapbettpusa"/>
    <w:uiPriority w:val="6"/>
    <w:qFormat/>
    <w:rsid w:val="00A866D1"/>
    <w:rPr>
      <w:i/>
      <w:iCs/>
    </w:rPr>
  </w:style>
  <w:style w:type="paragraph" w:styleId="Nincstrkz">
    <w:name w:val="No Spacing"/>
    <w:basedOn w:val="Norml"/>
    <w:uiPriority w:val="1"/>
    <w:rsid w:val="00A866D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866D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866D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866D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866D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866D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866D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866D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866D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customStyle="1" w:styleId="Style2">
    <w:name w:val="Style2"/>
    <w:basedOn w:val="Rcsostblzat8"/>
    <w:uiPriority w:val="99"/>
    <w:rsid w:val="005B6233"/>
    <w:pPr>
      <w:jc w:val="center"/>
    </w:p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B6233"/>
    <w:pPr>
      <w:spacing w:after="15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basedOn w:val="Bekezdsalapbettpusa"/>
    <w:uiPriority w:val="99"/>
    <w:unhideWhenUsed/>
    <w:rsid w:val="00D370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370F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370F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D370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370FF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CE5C31"/>
    <w:rPr>
      <w:rFonts w:ascii="Calibri" w:hAnsi="Calibri"/>
    </w:rPr>
  </w:style>
  <w:style w:type="paragraph" w:customStyle="1" w:styleId="InstructionsText">
    <w:name w:val="Instructions Text"/>
    <w:basedOn w:val="Norml"/>
    <w:link w:val="InstructionsTextChar"/>
    <w:autoRedefine/>
    <w:rsid w:val="00C666B0"/>
    <w:pPr>
      <w:spacing w:after="0" w:line="240" w:lineRule="auto"/>
      <w:ind w:left="28"/>
    </w:pPr>
    <w:rPr>
      <w:rFonts w:asciiTheme="majorHAnsi" w:eastAsia="PMingLiU" w:hAnsiTheme="majorHAnsi" w:cs="Calibri"/>
      <w:bCs/>
      <w:szCs w:val="20"/>
      <w:lang w:eastAsia="de-DE"/>
    </w:rPr>
  </w:style>
  <w:style w:type="character" w:customStyle="1" w:styleId="InstructionsTextChar">
    <w:name w:val="Instructions Text Char"/>
    <w:link w:val="InstructionsText"/>
    <w:locked/>
    <w:rsid w:val="00C666B0"/>
    <w:rPr>
      <w:rFonts w:asciiTheme="majorHAnsi" w:eastAsia="PMingLiU" w:hAnsiTheme="majorHAnsi" w:cs="Calibri"/>
      <w:bCs/>
      <w:szCs w:val="20"/>
      <w:lang w:eastAsia="de-DE"/>
    </w:rPr>
  </w:style>
  <w:style w:type="character" w:customStyle="1" w:styleId="InstructionsTabelleText">
    <w:name w:val="Instructions Tabelle Text"/>
    <w:rsid w:val="00DD47B6"/>
    <w:rPr>
      <w:rFonts w:ascii="Verdana" w:hAnsi="Verdana" w:cs="Times New Roman"/>
      <w:sz w:val="20"/>
    </w:rPr>
  </w:style>
  <w:style w:type="paragraph" w:customStyle="1" w:styleId="Default">
    <w:name w:val="Default"/>
    <w:rsid w:val="00BE06B5"/>
    <w:pPr>
      <w:autoSpaceDE w:val="0"/>
      <w:autoSpaceDN w:val="0"/>
      <w:adjustRightInd w:val="0"/>
    </w:pPr>
    <w:rPr>
      <w:rFonts w:cs="Verdana"/>
      <w:color w:val="000000"/>
      <w:sz w:val="24"/>
      <w:szCs w:val="24"/>
      <w:lang w:val="en-US"/>
    </w:rPr>
  </w:style>
  <w:style w:type="paragraph" w:customStyle="1" w:styleId="Instructionsberschrift2">
    <w:name w:val="Instructions Überschrift 2"/>
    <w:basedOn w:val="Cmsor2"/>
    <w:rsid w:val="00407CA6"/>
    <w:pPr>
      <w:keepNext/>
      <w:numPr>
        <w:ilvl w:val="0"/>
        <w:numId w:val="18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Verdana" w:eastAsia="Times New Roman" w:hAnsi="Verdana" w:cs="Arial"/>
      <w:b w:val="0"/>
      <w:color w:val="auto"/>
      <w:szCs w:val="24"/>
      <w:u w:val="single"/>
      <w:lang w:val="en-GB" w:eastAsia="en-US"/>
    </w:rPr>
  </w:style>
  <w:style w:type="paragraph" w:customStyle="1" w:styleId="InstructionsText2">
    <w:name w:val="Instructions Text 2"/>
    <w:basedOn w:val="Norml"/>
    <w:qFormat/>
    <w:rsid w:val="00407CA6"/>
    <w:pPr>
      <w:numPr>
        <w:numId w:val="19"/>
      </w:numPr>
      <w:spacing w:before="240" w:after="240" w:line="240" w:lineRule="auto"/>
    </w:pPr>
    <w:rPr>
      <w:rFonts w:ascii="Times New Roman" w:eastAsia="Times New Roman" w:hAnsi="Times New Roman" w:cs="Times New Roman"/>
      <w:color w:val="000000" w:themeColor="text1"/>
      <w:szCs w:val="17"/>
      <w:lang w:val="en-GB" w:eastAsia="de-DE"/>
    </w:rPr>
  </w:style>
  <w:style w:type="character" w:styleId="Lbjegyzet-hivatkozs">
    <w:name w:val="footnote reference"/>
    <w:basedOn w:val="Bekezdsalapbettpusa"/>
    <w:rsid w:val="00407CA6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table" w:customStyle="1" w:styleId="Rcsostblzat1">
    <w:name w:val="Rácsos táblázat1"/>
    <w:basedOn w:val="Normltblzat"/>
    <w:next w:val="Rcsostblzat"/>
    <w:uiPriority w:val="59"/>
    <w:rsid w:val="00407CA6"/>
    <w:rPr>
      <w:rFonts w:ascii="Cambria" w:hAnsi="Cambria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407CA6"/>
    <w:rPr>
      <w:rFonts w:ascii="Cambria" w:hAnsi="Cambria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407CA6"/>
  </w:style>
  <w:style w:type="table" w:customStyle="1" w:styleId="Rcsostblzat3">
    <w:name w:val="Rácsos táblázat3"/>
    <w:basedOn w:val="Normltblzat"/>
    <w:next w:val="Rcsostblzat"/>
    <w:uiPriority w:val="59"/>
    <w:rsid w:val="00407CA6"/>
    <w:rPr>
      <w:rFonts w:ascii="Cambria" w:hAnsi="Cambria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1">
    <w:name w:val="Szövegtörzs1"/>
    <w:basedOn w:val="Norml"/>
    <w:next w:val="Szvegtrzs"/>
    <w:link w:val="SzvegtrzsChar"/>
    <w:uiPriority w:val="1"/>
    <w:qFormat/>
    <w:rsid w:val="00407CA6"/>
    <w:pPr>
      <w:widowControl w:val="0"/>
      <w:spacing w:after="0" w:line="240" w:lineRule="auto"/>
      <w:ind w:left="822" w:hanging="360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1"/>
    <w:uiPriority w:val="1"/>
    <w:rsid w:val="00407CA6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l"/>
    <w:uiPriority w:val="1"/>
    <w:qFormat/>
    <w:rsid w:val="00407CA6"/>
    <w:pPr>
      <w:widowControl w:val="0"/>
      <w:spacing w:after="0" w:line="240" w:lineRule="auto"/>
      <w:jc w:val="left"/>
    </w:pPr>
    <w:rPr>
      <w:sz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07CA6"/>
    <w:pPr>
      <w:widowControl w:val="0"/>
    </w:pPr>
    <w:rPr>
      <w:rFonts w:ascii="Calibri" w:hAnsi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structionsTabelleberschrift">
    <w:name w:val="Instructions Tabelle Überschrift"/>
    <w:basedOn w:val="Bekezdsalapbettpusa"/>
    <w:qFormat/>
    <w:rsid w:val="00407CA6"/>
    <w:rPr>
      <w:rFonts w:ascii="Verdana" w:hAnsi="Verdana" w:cs="Times New Roman"/>
      <w:b/>
      <w:bCs/>
      <w:sz w:val="20"/>
      <w:u w:val="single"/>
    </w:rPr>
  </w:style>
  <w:style w:type="character" w:customStyle="1" w:styleId="FormatvorlageInstructionsTabelleText">
    <w:name w:val="Formatvorlage Instructions Tabelle Text"/>
    <w:basedOn w:val="Bekezdsalapbettpusa"/>
    <w:qFormat/>
    <w:rsid w:val="00407CA6"/>
    <w:rPr>
      <w:rFonts w:ascii="Verdana" w:hAnsi="Verdana" w:cs="Times New Roman"/>
      <w:bCs/>
      <w:sz w:val="20"/>
      <w:u w:val="none"/>
    </w:rPr>
  </w:style>
  <w:style w:type="paragraph" w:styleId="Szvegtrzs">
    <w:name w:val="Body Text"/>
    <w:basedOn w:val="Norml"/>
    <w:link w:val="SzvegtrzsChar1"/>
    <w:uiPriority w:val="99"/>
    <w:semiHidden/>
    <w:unhideWhenUsed/>
    <w:rsid w:val="00407CA6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407CA6"/>
    <w:rPr>
      <w:rFonts w:ascii="Calibri" w:hAnsi="Calibri"/>
    </w:rPr>
  </w:style>
  <w:style w:type="numbering" w:customStyle="1" w:styleId="Nemlista2">
    <w:name w:val="Nem lista2"/>
    <w:next w:val="Nemlista"/>
    <w:uiPriority w:val="99"/>
    <w:semiHidden/>
    <w:unhideWhenUsed/>
    <w:rsid w:val="00EF2859"/>
  </w:style>
  <w:style w:type="paragraph" w:customStyle="1" w:styleId="Paragraph">
    <w:name w:val="Paragraph"/>
    <w:basedOn w:val="Norml"/>
    <w:link w:val="ParagraphChar"/>
    <w:rsid w:val="00EF2859"/>
    <w:pPr>
      <w:spacing w:after="240" w:line="240" w:lineRule="auto"/>
    </w:pPr>
    <w:rPr>
      <w:rFonts w:ascii="Arial" w:eastAsia="PMingLiU" w:hAnsi="Arial" w:cs="Times New Roman"/>
      <w:sz w:val="22"/>
      <w:szCs w:val="20"/>
      <w:lang w:val="en-GB" w:eastAsia="en-US"/>
    </w:rPr>
  </w:style>
  <w:style w:type="character" w:customStyle="1" w:styleId="ParagraphChar">
    <w:name w:val="Paragraph Char"/>
    <w:link w:val="Paragraph"/>
    <w:rsid w:val="00EF2859"/>
    <w:rPr>
      <w:rFonts w:ascii="Arial" w:eastAsia="PMingLiU" w:hAnsi="Arial" w:cs="Times New Roman"/>
      <w:sz w:val="22"/>
      <w:szCs w:val="20"/>
      <w:lang w:val="en-GB" w:eastAsia="en-US"/>
    </w:rPr>
  </w:style>
  <w:style w:type="character" w:customStyle="1" w:styleId="FunoteChar">
    <w:name w:val="Fußnote Char"/>
    <w:aliases w:val=" Char Char Char"/>
    <w:semiHidden/>
    <w:rsid w:val="00EF2859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l"/>
    <w:link w:val="BulletsChar"/>
    <w:rsid w:val="00EF2859"/>
    <w:pPr>
      <w:tabs>
        <w:tab w:val="num" w:pos="851"/>
      </w:tabs>
      <w:spacing w:after="120" w:line="240" w:lineRule="auto"/>
      <w:ind w:left="851" w:hanging="851"/>
    </w:pPr>
    <w:rPr>
      <w:rFonts w:ascii="Arial" w:eastAsia="MS Mincho" w:hAnsi="Arial" w:cs="Times New Roman"/>
      <w:sz w:val="22"/>
      <w:szCs w:val="20"/>
      <w:lang w:val="en-GB" w:eastAsia="ja-JP"/>
    </w:rPr>
  </w:style>
  <w:style w:type="character" w:customStyle="1" w:styleId="BulletsChar">
    <w:name w:val="Bullets Char"/>
    <w:link w:val="Bullets"/>
    <w:locked/>
    <w:rsid w:val="00EF2859"/>
    <w:rPr>
      <w:rFonts w:ascii="Arial" w:eastAsia="MS Mincho" w:hAnsi="Arial" w:cs="Times New Roman"/>
      <w:sz w:val="22"/>
      <w:szCs w:val="20"/>
      <w:lang w:val="en-GB" w:eastAsia="ja-JP"/>
    </w:rPr>
  </w:style>
  <w:style w:type="paragraph" w:customStyle="1" w:styleId="TableText">
    <w:name w:val="TableText"/>
    <w:basedOn w:val="Norml"/>
    <w:rsid w:val="00EF2859"/>
    <w:pPr>
      <w:keepNext/>
      <w:spacing w:before="60" w:after="60" w:line="240" w:lineRule="auto"/>
      <w:jc w:val="left"/>
    </w:pPr>
    <w:rPr>
      <w:rFonts w:ascii="Arial" w:eastAsia="PMingLiU" w:hAnsi="Arial" w:cs="Times New Roman"/>
      <w:szCs w:val="20"/>
      <w:lang w:val="en-GB" w:eastAsia="en-US"/>
    </w:rPr>
  </w:style>
  <w:style w:type="paragraph" w:customStyle="1" w:styleId="ReferenceText">
    <w:name w:val="Reference Text"/>
    <w:basedOn w:val="Norml"/>
    <w:next w:val="InstructionsText"/>
    <w:qFormat/>
    <w:rsid w:val="00EF2859"/>
    <w:pPr>
      <w:framePr w:w="3976" w:h="1381" w:wrap="notBeside" w:vAnchor="page" w:hAnchor="page" w:x="6526" w:y="946" w:anchorLock="1"/>
      <w:tabs>
        <w:tab w:val="center" w:pos="4153"/>
        <w:tab w:val="right" w:pos="9072"/>
      </w:tabs>
      <w:spacing w:after="0" w:line="300" w:lineRule="exact"/>
      <w:jc w:val="right"/>
    </w:pPr>
    <w:rPr>
      <w:rFonts w:eastAsia="PMingLiU" w:cs="Times New Roman"/>
      <w:color w:val="C0504D"/>
      <w:szCs w:val="20"/>
      <w:lang w:val="en-GB" w:eastAsia="en-US"/>
    </w:rPr>
  </w:style>
  <w:style w:type="character" w:customStyle="1" w:styleId="DeltaViewInsertion">
    <w:name w:val="DeltaView Insertion"/>
    <w:uiPriority w:val="99"/>
    <w:rsid w:val="00EF2859"/>
    <w:rPr>
      <w:b/>
      <w:bCs/>
      <w:i/>
      <w:iCs/>
      <w:spacing w:val="0"/>
    </w:rPr>
  </w:style>
  <w:style w:type="character" w:customStyle="1" w:styleId="DeltaViewDeletion">
    <w:name w:val="DeltaView Deletion"/>
    <w:rsid w:val="00EF2859"/>
    <w:rPr>
      <w:strike/>
      <w:spacing w:val="0"/>
    </w:rPr>
  </w:style>
  <w:style w:type="paragraph" w:customStyle="1" w:styleId="Point1">
    <w:name w:val="Point 1"/>
    <w:basedOn w:val="Norml"/>
    <w:link w:val="Point1Char"/>
    <w:rsid w:val="00EF2859"/>
    <w:pPr>
      <w:suppressAutoHyphens/>
      <w:autoSpaceDE w:val="0"/>
      <w:autoSpaceDN w:val="0"/>
      <w:adjustRightInd w:val="0"/>
      <w:spacing w:before="120" w:after="120" w:line="240" w:lineRule="auto"/>
      <w:ind w:left="1417" w:hanging="567"/>
    </w:pPr>
    <w:rPr>
      <w:rFonts w:ascii="Times New Roman" w:eastAsia="PMingLiU" w:hAnsi="Times New Roman" w:cs="Times New Roman"/>
      <w:sz w:val="24"/>
      <w:szCs w:val="24"/>
      <w:lang w:val="en-GB" w:eastAsia="fr-BE"/>
    </w:rPr>
  </w:style>
  <w:style w:type="character" w:customStyle="1" w:styleId="Point1Char">
    <w:name w:val="Point 1 Char"/>
    <w:basedOn w:val="Bekezdsalapbettpusa"/>
    <w:link w:val="Point1"/>
    <w:locked/>
    <w:rsid w:val="00EF2859"/>
    <w:rPr>
      <w:rFonts w:ascii="Times New Roman" w:eastAsia="PMingLiU" w:hAnsi="Times New Roman" w:cs="Times New Roman"/>
      <w:sz w:val="24"/>
      <w:szCs w:val="24"/>
      <w:lang w:val="en-GB" w:eastAsia="fr-BE"/>
    </w:rPr>
  </w:style>
  <w:style w:type="paragraph" w:customStyle="1" w:styleId="CarCarCharCarCarCharCharCharChar">
    <w:name w:val="Car Car Char Car Car Char Char Char Char"/>
    <w:basedOn w:val="Norml"/>
    <w:rsid w:val="00EF2859"/>
    <w:pPr>
      <w:spacing w:after="0" w:line="240" w:lineRule="auto"/>
      <w:jc w:val="left"/>
    </w:pPr>
    <w:rPr>
      <w:rFonts w:ascii="Times New Roman" w:eastAsia="PMingLiU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footnote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D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A866D1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866D1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866D1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866D1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866D1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866D1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866D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866D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866D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866D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866D1"/>
  </w:style>
  <w:style w:type="table" w:customStyle="1" w:styleId="tblzat-mtrix">
    <w:name w:val="táblázat - mátrix"/>
    <w:basedOn w:val="Normltblzat"/>
    <w:uiPriority w:val="2"/>
    <w:qFormat/>
    <w:rsid w:val="00A866D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866D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866D1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A866D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866D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866D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6D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866D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6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66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66D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A866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66D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866D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866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866D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866D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866D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A866D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866D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866D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866D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866D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866D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866D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866D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866D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866D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866D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866D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866D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ußnote, Char"/>
    <w:basedOn w:val="Norml"/>
    <w:link w:val="LbjegyzetszvegChar"/>
    <w:uiPriority w:val="99"/>
    <w:unhideWhenUsed/>
    <w:qFormat/>
    <w:rsid w:val="00A866D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aliases w:val="Fußnote Char1, Char Char"/>
    <w:basedOn w:val="Bekezdsalapbettpusa"/>
    <w:link w:val="Lbjegyzetszveg"/>
    <w:uiPriority w:val="99"/>
    <w:rsid w:val="00A866D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866D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866D1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866D1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866D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866D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866D1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866D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866D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866D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866D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866D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866D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866D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866D1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866D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866D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866D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866D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866D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866D1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866D1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A866D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A866D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866D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866D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866D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866D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866D1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866D1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866D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866D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866D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866D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866D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866D1"/>
    <w:rPr>
      <w:rFonts w:ascii="Calibri" w:hAnsi="Calibri"/>
    </w:rPr>
  </w:style>
  <w:style w:type="character" w:styleId="Kiemels2">
    <w:name w:val="Strong"/>
    <w:basedOn w:val="Bekezdsalapbettpusa"/>
    <w:uiPriority w:val="22"/>
    <w:rsid w:val="00A866D1"/>
    <w:rPr>
      <w:b/>
      <w:bCs/>
    </w:rPr>
  </w:style>
  <w:style w:type="character" w:styleId="Kiemels">
    <w:name w:val="Emphasis"/>
    <w:basedOn w:val="Bekezdsalapbettpusa"/>
    <w:uiPriority w:val="6"/>
    <w:qFormat/>
    <w:rsid w:val="00A866D1"/>
    <w:rPr>
      <w:i/>
      <w:iCs/>
    </w:rPr>
  </w:style>
  <w:style w:type="paragraph" w:styleId="Nincstrkz">
    <w:name w:val="No Spacing"/>
    <w:basedOn w:val="Norml"/>
    <w:uiPriority w:val="1"/>
    <w:rsid w:val="00A866D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866D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866D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866D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866D1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866D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866D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866D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866D1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customStyle="1" w:styleId="Style2">
    <w:name w:val="Style2"/>
    <w:basedOn w:val="Rcsostblzat8"/>
    <w:uiPriority w:val="99"/>
    <w:rsid w:val="005B6233"/>
    <w:pPr>
      <w:jc w:val="center"/>
    </w:p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B6233"/>
    <w:pPr>
      <w:spacing w:after="15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basedOn w:val="Bekezdsalapbettpusa"/>
    <w:uiPriority w:val="99"/>
    <w:unhideWhenUsed/>
    <w:rsid w:val="00D370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370F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370F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D370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370FF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CE5C31"/>
    <w:rPr>
      <w:rFonts w:ascii="Calibri" w:hAnsi="Calibri"/>
    </w:rPr>
  </w:style>
  <w:style w:type="paragraph" w:customStyle="1" w:styleId="InstructionsText">
    <w:name w:val="Instructions Text"/>
    <w:basedOn w:val="Norml"/>
    <w:link w:val="InstructionsTextChar"/>
    <w:autoRedefine/>
    <w:rsid w:val="00C666B0"/>
    <w:pPr>
      <w:spacing w:after="0" w:line="240" w:lineRule="auto"/>
      <w:ind w:left="28"/>
    </w:pPr>
    <w:rPr>
      <w:rFonts w:asciiTheme="majorHAnsi" w:eastAsia="PMingLiU" w:hAnsiTheme="majorHAnsi" w:cs="Calibri"/>
      <w:bCs/>
      <w:szCs w:val="20"/>
      <w:lang w:eastAsia="de-DE"/>
    </w:rPr>
  </w:style>
  <w:style w:type="character" w:customStyle="1" w:styleId="InstructionsTextChar">
    <w:name w:val="Instructions Text Char"/>
    <w:link w:val="InstructionsText"/>
    <w:locked/>
    <w:rsid w:val="00C666B0"/>
    <w:rPr>
      <w:rFonts w:asciiTheme="majorHAnsi" w:eastAsia="PMingLiU" w:hAnsiTheme="majorHAnsi" w:cs="Calibri"/>
      <w:bCs/>
      <w:szCs w:val="20"/>
      <w:lang w:eastAsia="de-DE"/>
    </w:rPr>
  </w:style>
  <w:style w:type="character" w:customStyle="1" w:styleId="InstructionsTabelleText">
    <w:name w:val="Instructions Tabelle Text"/>
    <w:rsid w:val="00DD47B6"/>
    <w:rPr>
      <w:rFonts w:ascii="Verdana" w:hAnsi="Verdana" w:cs="Times New Roman"/>
      <w:sz w:val="20"/>
    </w:rPr>
  </w:style>
  <w:style w:type="paragraph" w:customStyle="1" w:styleId="Default">
    <w:name w:val="Default"/>
    <w:rsid w:val="00BE06B5"/>
    <w:pPr>
      <w:autoSpaceDE w:val="0"/>
      <w:autoSpaceDN w:val="0"/>
      <w:adjustRightInd w:val="0"/>
    </w:pPr>
    <w:rPr>
      <w:rFonts w:cs="Verdana"/>
      <w:color w:val="000000"/>
      <w:sz w:val="24"/>
      <w:szCs w:val="24"/>
      <w:lang w:val="en-US"/>
    </w:rPr>
  </w:style>
  <w:style w:type="paragraph" w:customStyle="1" w:styleId="Instructionsberschrift2">
    <w:name w:val="Instructions Überschrift 2"/>
    <w:basedOn w:val="Cmsor2"/>
    <w:rsid w:val="00407CA6"/>
    <w:pPr>
      <w:keepNext/>
      <w:numPr>
        <w:ilvl w:val="0"/>
        <w:numId w:val="18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Verdana" w:eastAsia="Times New Roman" w:hAnsi="Verdana" w:cs="Arial"/>
      <w:b w:val="0"/>
      <w:color w:val="auto"/>
      <w:szCs w:val="24"/>
      <w:u w:val="single"/>
      <w:lang w:val="en-GB" w:eastAsia="en-US"/>
    </w:rPr>
  </w:style>
  <w:style w:type="paragraph" w:customStyle="1" w:styleId="InstructionsText2">
    <w:name w:val="Instructions Text 2"/>
    <w:basedOn w:val="Norml"/>
    <w:qFormat/>
    <w:rsid w:val="00407CA6"/>
    <w:pPr>
      <w:numPr>
        <w:numId w:val="19"/>
      </w:numPr>
      <w:spacing w:before="240" w:after="240" w:line="240" w:lineRule="auto"/>
    </w:pPr>
    <w:rPr>
      <w:rFonts w:ascii="Times New Roman" w:eastAsia="Times New Roman" w:hAnsi="Times New Roman" w:cs="Times New Roman"/>
      <w:color w:val="000000" w:themeColor="text1"/>
      <w:szCs w:val="17"/>
      <w:lang w:val="en-GB" w:eastAsia="de-DE"/>
    </w:rPr>
  </w:style>
  <w:style w:type="character" w:styleId="Lbjegyzet-hivatkozs">
    <w:name w:val="footnote reference"/>
    <w:basedOn w:val="Bekezdsalapbettpusa"/>
    <w:rsid w:val="00407CA6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table" w:customStyle="1" w:styleId="Rcsostblzat1">
    <w:name w:val="Rácsos táblázat1"/>
    <w:basedOn w:val="Normltblzat"/>
    <w:next w:val="Rcsostblzat"/>
    <w:uiPriority w:val="59"/>
    <w:rsid w:val="00407CA6"/>
    <w:rPr>
      <w:rFonts w:ascii="Cambria" w:hAnsi="Cambria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407CA6"/>
    <w:rPr>
      <w:rFonts w:ascii="Cambria" w:hAnsi="Cambria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407CA6"/>
  </w:style>
  <w:style w:type="table" w:customStyle="1" w:styleId="Rcsostblzat3">
    <w:name w:val="Rácsos táblázat3"/>
    <w:basedOn w:val="Normltblzat"/>
    <w:next w:val="Rcsostblzat"/>
    <w:uiPriority w:val="59"/>
    <w:rsid w:val="00407CA6"/>
    <w:rPr>
      <w:rFonts w:ascii="Cambria" w:hAnsi="Cambria"/>
      <w:sz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1">
    <w:name w:val="Szövegtörzs1"/>
    <w:basedOn w:val="Norml"/>
    <w:next w:val="Szvegtrzs"/>
    <w:link w:val="SzvegtrzsChar"/>
    <w:uiPriority w:val="1"/>
    <w:qFormat/>
    <w:rsid w:val="00407CA6"/>
    <w:pPr>
      <w:widowControl w:val="0"/>
      <w:spacing w:after="0" w:line="240" w:lineRule="auto"/>
      <w:ind w:left="822" w:hanging="360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1"/>
    <w:uiPriority w:val="1"/>
    <w:rsid w:val="00407CA6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l"/>
    <w:uiPriority w:val="1"/>
    <w:qFormat/>
    <w:rsid w:val="00407CA6"/>
    <w:pPr>
      <w:widowControl w:val="0"/>
      <w:spacing w:after="0" w:line="240" w:lineRule="auto"/>
      <w:jc w:val="left"/>
    </w:pPr>
    <w:rPr>
      <w:sz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07CA6"/>
    <w:pPr>
      <w:widowControl w:val="0"/>
    </w:pPr>
    <w:rPr>
      <w:rFonts w:ascii="Calibri" w:hAnsi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structionsTabelleberschrift">
    <w:name w:val="Instructions Tabelle Überschrift"/>
    <w:basedOn w:val="Bekezdsalapbettpusa"/>
    <w:qFormat/>
    <w:rsid w:val="00407CA6"/>
    <w:rPr>
      <w:rFonts w:ascii="Verdana" w:hAnsi="Verdana" w:cs="Times New Roman"/>
      <w:b/>
      <w:bCs/>
      <w:sz w:val="20"/>
      <w:u w:val="single"/>
    </w:rPr>
  </w:style>
  <w:style w:type="character" w:customStyle="1" w:styleId="FormatvorlageInstructionsTabelleText">
    <w:name w:val="Formatvorlage Instructions Tabelle Text"/>
    <w:basedOn w:val="Bekezdsalapbettpusa"/>
    <w:qFormat/>
    <w:rsid w:val="00407CA6"/>
    <w:rPr>
      <w:rFonts w:ascii="Verdana" w:hAnsi="Verdana" w:cs="Times New Roman"/>
      <w:bCs/>
      <w:sz w:val="20"/>
      <w:u w:val="none"/>
    </w:rPr>
  </w:style>
  <w:style w:type="paragraph" w:styleId="Szvegtrzs">
    <w:name w:val="Body Text"/>
    <w:basedOn w:val="Norml"/>
    <w:link w:val="SzvegtrzsChar1"/>
    <w:uiPriority w:val="99"/>
    <w:semiHidden/>
    <w:unhideWhenUsed/>
    <w:rsid w:val="00407CA6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407CA6"/>
    <w:rPr>
      <w:rFonts w:ascii="Calibri" w:hAnsi="Calibri"/>
    </w:rPr>
  </w:style>
  <w:style w:type="numbering" w:customStyle="1" w:styleId="Nemlista2">
    <w:name w:val="Nem lista2"/>
    <w:next w:val="Nemlista"/>
    <w:uiPriority w:val="99"/>
    <w:semiHidden/>
    <w:unhideWhenUsed/>
    <w:rsid w:val="00EF2859"/>
  </w:style>
  <w:style w:type="paragraph" w:customStyle="1" w:styleId="Paragraph">
    <w:name w:val="Paragraph"/>
    <w:basedOn w:val="Norml"/>
    <w:link w:val="ParagraphChar"/>
    <w:rsid w:val="00EF2859"/>
    <w:pPr>
      <w:spacing w:after="240" w:line="240" w:lineRule="auto"/>
    </w:pPr>
    <w:rPr>
      <w:rFonts w:ascii="Arial" w:eastAsia="PMingLiU" w:hAnsi="Arial" w:cs="Times New Roman"/>
      <w:sz w:val="22"/>
      <w:szCs w:val="20"/>
      <w:lang w:val="en-GB" w:eastAsia="en-US"/>
    </w:rPr>
  </w:style>
  <w:style w:type="character" w:customStyle="1" w:styleId="ParagraphChar">
    <w:name w:val="Paragraph Char"/>
    <w:link w:val="Paragraph"/>
    <w:rsid w:val="00EF2859"/>
    <w:rPr>
      <w:rFonts w:ascii="Arial" w:eastAsia="PMingLiU" w:hAnsi="Arial" w:cs="Times New Roman"/>
      <w:sz w:val="22"/>
      <w:szCs w:val="20"/>
      <w:lang w:val="en-GB" w:eastAsia="en-US"/>
    </w:rPr>
  </w:style>
  <w:style w:type="character" w:customStyle="1" w:styleId="FunoteChar">
    <w:name w:val="Fußnote Char"/>
    <w:aliases w:val=" Char Char Char"/>
    <w:semiHidden/>
    <w:rsid w:val="00EF2859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l"/>
    <w:link w:val="BulletsChar"/>
    <w:rsid w:val="00EF2859"/>
    <w:pPr>
      <w:tabs>
        <w:tab w:val="num" w:pos="851"/>
      </w:tabs>
      <w:spacing w:after="120" w:line="240" w:lineRule="auto"/>
      <w:ind w:left="851" w:hanging="851"/>
    </w:pPr>
    <w:rPr>
      <w:rFonts w:ascii="Arial" w:eastAsia="MS Mincho" w:hAnsi="Arial" w:cs="Times New Roman"/>
      <w:sz w:val="22"/>
      <w:szCs w:val="20"/>
      <w:lang w:val="en-GB" w:eastAsia="ja-JP"/>
    </w:rPr>
  </w:style>
  <w:style w:type="character" w:customStyle="1" w:styleId="BulletsChar">
    <w:name w:val="Bullets Char"/>
    <w:link w:val="Bullets"/>
    <w:locked/>
    <w:rsid w:val="00EF2859"/>
    <w:rPr>
      <w:rFonts w:ascii="Arial" w:eastAsia="MS Mincho" w:hAnsi="Arial" w:cs="Times New Roman"/>
      <w:sz w:val="22"/>
      <w:szCs w:val="20"/>
      <w:lang w:val="en-GB" w:eastAsia="ja-JP"/>
    </w:rPr>
  </w:style>
  <w:style w:type="paragraph" w:customStyle="1" w:styleId="TableText">
    <w:name w:val="TableText"/>
    <w:basedOn w:val="Norml"/>
    <w:rsid w:val="00EF2859"/>
    <w:pPr>
      <w:keepNext/>
      <w:spacing w:before="60" w:after="60" w:line="240" w:lineRule="auto"/>
      <w:jc w:val="left"/>
    </w:pPr>
    <w:rPr>
      <w:rFonts w:ascii="Arial" w:eastAsia="PMingLiU" w:hAnsi="Arial" w:cs="Times New Roman"/>
      <w:szCs w:val="20"/>
      <w:lang w:val="en-GB" w:eastAsia="en-US"/>
    </w:rPr>
  </w:style>
  <w:style w:type="paragraph" w:customStyle="1" w:styleId="ReferenceText">
    <w:name w:val="Reference Text"/>
    <w:basedOn w:val="Norml"/>
    <w:next w:val="InstructionsText"/>
    <w:qFormat/>
    <w:rsid w:val="00EF2859"/>
    <w:pPr>
      <w:framePr w:w="3976" w:h="1381" w:wrap="notBeside" w:vAnchor="page" w:hAnchor="page" w:x="6526" w:y="946" w:anchorLock="1"/>
      <w:tabs>
        <w:tab w:val="center" w:pos="4153"/>
        <w:tab w:val="right" w:pos="9072"/>
      </w:tabs>
      <w:spacing w:after="0" w:line="300" w:lineRule="exact"/>
      <w:jc w:val="right"/>
    </w:pPr>
    <w:rPr>
      <w:rFonts w:eastAsia="PMingLiU" w:cs="Times New Roman"/>
      <w:color w:val="C0504D"/>
      <w:szCs w:val="20"/>
      <w:lang w:val="en-GB" w:eastAsia="en-US"/>
    </w:rPr>
  </w:style>
  <w:style w:type="character" w:customStyle="1" w:styleId="DeltaViewInsertion">
    <w:name w:val="DeltaView Insertion"/>
    <w:uiPriority w:val="99"/>
    <w:rsid w:val="00EF2859"/>
    <w:rPr>
      <w:b/>
      <w:bCs/>
      <w:i/>
      <w:iCs/>
      <w:spacing w:val="0"/>
    </w:rPr>
  </w:style>
  <w:style w:type="character" w:customStyle="1" w:styleId="DeltaViewDeletion">
    <w:name w:val="DeltaView Deletion"/>
    <w:rsid w:val="00EF2859"/>
    <w:rPr>
      <w:strike/>
      <w:spacing w:val="0"/>
    </w:rPr>
  </w:style>
  <w:style w:type="paragraph" w:customStyle="1" w:styleId="Point1">
    <w:name w:val="Point 1"/>
    <w:basedOn w:val="Norml"/>
    <w:link w:val="Point1Char"/>
    <w:rsid w:val="00EF2859"/>
    <w:pPr>
      <w:suppressAutoHyphens/>
      <w:autoSpaceDE w:val="0"/>
      <w:autoSpaceDN w:val="0"/>
      <w:adjustRightInd w:val="0"/>
      <w:spacing w:before="120" w:after="120" w:line="240" w:lineRule="auto"/>
      <w:ind w:left="1417" w:hanging="567"/>
    </w:pPr>
    <w:rPr>
      <w:rFonts w:ascii="Times New Roman" w:eastAsia="PMingLiU" w:hAnsi="Times New Roman" w:cs="Times New Roman"/>
      <w:sz w:val="24"/>
      <w:szCs w:val="24"/>
      <w:lang w:val="en-GB" w:eastAsia="fr-BE"/>
    </w:rPr>
  </w:style>
  <w:style w:type="character" w:customStyle="1" w:styleId="Point1Char">
    <w:name w:val="Point 1 Char"/>
    <w:basedOn w:val="Bekezdsalapbettpusa"/>
    <w:link w:val="Point1"/>
    <w:locked/>
    <w:rsid w:val="00EF2859"/>
    <w:rPr>
      <w:rFonts w:ascii="Times New Roman" w:eastAsia="PMingLiU" w:hAnsi="Times New Roman" w:cs="Times New Roman"/>
      <w:sz w:val="24"/>
      <w:szCs w:val="24"/>
      <w:lang w:val="en-GB" w:eastAsia="fr-BE"/>
    </w:rPr>
  </w:style>
  <w:style w:type="paragraph" w:customStyle="1" w:styleId="CarCarCharCarCarCharCharCharChar">
    <w:name w:val="Car Car Char Car Car Char Char Char Char"/>
    <w:basedOn w:val="Norml"/>
    <w:rsid w:val="00EF2859"/>
    <w:pPr>
      <w:spacing w:after="0" w:line="240" w:lineRule="auto"/>
      <w:jc w:val="left"/>
    </w:pPr>
    <w:rPr>
      <w:rFonts w:ascii="Times New Roman" w:eastAsia="PMingLiU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E7BC8DE-A7EF-4B98-8AA6-8AE3C06E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31905</Words>
  <Characters>220148</Characters>
  <Application>Microsoft Office Word</Application>
  <DocSecurity>0</DocSecurity>
  <Lines>1834</Lines>
  <Paragraphs>503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251550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György Dávid</dc:creator>
  <cp:lastModifiedBy>Szabóné Kovács Krisztina</cp:lastModifiedBy>
  <cp:revision>2</cp:revision>
  <cp:lastPrinted>2015-07-28T14:52:00Z</cp:lastPrinted>
  <dcterms:created xsi:type="dcterms:W3CDTF">2015-09-17T07:40:00Z</dcterms:created>
  <dcterms:modified xsi:type="dcterms:W3CDTF">2015-09-17T07:40:00Z</dcterms:modified>
</cp:coreProperties>
</file>