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4D" w:rsidRPr="006F474D" w:rsidRDefault="006F474D" w:rsidP="006F474D">
      <w:pPr>
        <w:tabs>
          <w:tab w:val="left" w:pos="9506"/>
        </w:tabs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</w:rPr>
        <w:t xml:space="preserve">Tájékoztató a globális jogalany-azonosítóról (LEI) és annak használatáról </w:t>
      </w:r>
    </w:p>
    <w:p w:rsid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b/>
          <w:bCs/>
          <w:sz w:val="22"/>
        </w:rPr>
        <w:t xml:space="preserve">A LEI bevezetésének és alkalmazásának célja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</w:rPr>
        <w:t xml:space="preserve">A LEI 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kezdeményezés célja</w:t>
      </w:r>
      <w:r w:rsidRPr="006F474D">
        <w:rPr>
          <w:rFonts w:asciiTheme="majorHAnsi" w:eastAsia="Times New Roman" w:hAnsiTheme="majorHAnsi" w:cs="Times New Roman"/>
          <w:sz w:val="22"/>
        </w:rPr>
        <w:t xml:space="preserve"> egy olyan globális rendszer létrehozása, amely a pénzügyi tranzakc</w:t>
      </w:r>
      <w:r w:rsidRPr="006F474D">
        <w:rPr>
          <w:rFonts w:asciiTheme="majorHAnsi" w:eastAsia="Times New Roman" w:hAnsiTheme="majorHAnsi" w:cs="Times New Roman"/>
          <w:sz w:val="22"/>
        </w:rPr>
        <w:t>i</w:t>
      </w:r>
      <w:r w:rsidRPr="006F474D">
        <w:rPr>
          <w:rFonts w:asciiTheme="majorHAnsi" w:eastAsia="Times New Roman" w:hAnsiTheme="majorHAnsi" w:cs="Times New Roman"/>
          <w:sz w:val="22"/>
        </w:rPr>
        <w:t xml:space="preserve">ók során lehetővé teszi a résztvevők egyértelmű azonosítását, ezáltal hozzájárulva a mikro-és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makroprudenciális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kockázatok értékeléséhez, az adatminőség javításához, nemzetközi szinten a jogalanyokról szóló inform</w:t>
      </w:r>
      <w:r w:rsidRPr="006F474D">
        <w:rPr>
          <w:rFonts w:asciiTheme="majorHAnsi" w:eastAsia="Times New Roman" w:hAnsiTheme="majorHAnsi" w:cs="Times New Roman"/>
          <w:sz w:val="22"/>
        </w:rPr>
        <w:t>á</w:t>
      </w:r>
      <w:r w:rsidRPr="006F474D">
        <w:rPr>
          <w:rFonts w:asciiTheme="majorHAnsi" w:eastAsia="Times New Roman" w:hAnsiTheme="majorHAnsi" w:cs="Times New Roman"/>
          <w:sz w:val="22"/>
        </w:rPr>
        <w:t>ció megosztásához, valamint a krízismenedzseléshez és megelőzéshez. A jövőben a LEI kód egyre szél</w:t>
      </w:r>
      <w:r w:rsidRPr="006F474D">
        <w:rPr>
          <w:rFonts w:asciiTheme="majorHAnsi" w:eastAsia="Times New Roman" w:hAnsiTheme="majorHAnsi" w:cs="Times New Roman"/>
          <w:sz w:val="22"/>
        </w:rPr>
        <w:t>e</w:t>
      </w:r>
      <w:r w:rsidRPr="006F474D">
        <w:rPr>
          <w:rFonts w:asciiTheme="majorHAnsi" w:eastAsia="Times New Roman" w:hAnsiTheme="majorHAnsi" w:cs="Times New Roman"/>
          <w:sz w:val="22"/>
        </w:rPr>
        <w:t xml:space="preserve">sebb körben történő alkalmazása és előírása várható.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b/>
          <w:bCs/>
          <w:sz w:val="22"/>
        </w:rPr>
        <w:t>A LEI kód és annak főbb jellemzői</w:t>
      </w:r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proofErr w:type="gramStart"/>
      <w:r w:rsidRPr="006F474D">
        <w:rPr>
          <w:rFonts w:asciiTheme="majorHAnsi" w:eastAsia="Times New Roman" w:hAnsiTheme="majorHAnsi" w:cs="Times New Roman"/>
          <w:sz w:val="22"/>
        </w:rPr>
        <w:t xml:space="preserve">A LEI 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>(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Legal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Entity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Identifier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>/Globális jogalany-azonosító)</w:t>
      </w:r>
      <w:r w:rsidRPr="006F474D">
        <w:rPr>
          <w:rFonts w:asciiTheme="majorHAnsi" w:eastAsia="Times New Roman" w:hAnsiTheme="majorHAnsi" w:cs="Times New Roman"/>
          <w:sz w:val="22"/>
        </w:rPr>
        <w:t xml:space="preserve"> egy betűkből és számokból álló 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húszj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e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gyű kód</w:t>
      </w:r>
      <w:r w:rsidRPr="006F474D">
        <w:rPr>
          <w:rFonts w:asciiTheme="majorHAnsi" w:eastAsia="Times New Roman" w:hAnsiTheme="majorHAnsi" w:cs="Times New Roman"/>
          <w:sz w:val="22"/>
        </w:rPr>
        <w:t>, melyhez a jogi személyek esetében legalább az alábbi referenciaadatok kapcsolódnak: (1) a jogi személy hivatalos elnevezése, (2) székhelyének címe, (3) az alapítás helye, (4) az első LEI nyilvántartásba vétel időpontja, (5) az utolsó módosítás időpontja a nyilvántartásban, (6) a r</w:t>
      </w:r>
      <w:r w:rsidRPr="006F474D">
        <w:rPr>
          <w:rFonts w:asciiTheme="majorHAnsi" w:eastAsia="Times New Roman" w:hAnsiTheme="majorHAnsi" w:cs="Times New Roman"/>
          <w:sz w:val="22"/>
        </w:rPr>
        <w:t>e</w:t>
      </w:r>
      <w:r w:rsidRPr="006F474D">
        <w:rPr>
          <w:rFonts w:asciiTheme="majorHAnsi" w:eastAsia="Times New Roman" w:hAnsiTheme="majorHAnsi" w:cs="Times New Roman"/>
          <w:sz w:val="22"/>
        </w:rPr>
        <w:t>gisztráció lejárati dátuma, és a (7) cégnyilvántartási adatok.</w:t>
      </w:r>
      <w:proofErr w:type="gramEnd"/>
      <w:r w:rsidRPr="006F474D">
        <w:rPr>
          <w:rFonts w:asciiTheme="majorHAnsi" w:eastAsia="Times New Roman" w:hAnsiTheme="majorHAnsi" w:cs="Times New Roman"/>
          <w:sz w:val="22"/>
        </w:rPr>
        <w:t xml:space="preserve"> A rendszer képes 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egyedi az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o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nosítót</w:t>
      </w:r>
      <w:r w:rsidRPr="006F474D">
        <w:rPr>
          <w:rFonts w:asciiTheme="majorHAnsi" w:eastAsia="Times New Roman" w:hAnsiTheme="majorHAnsi" w:cs="Times New Roman"/>
          <w:sz w:val="22"/>
        </w:rPr>
        <w:t xml:space="preserve"> generálni az összes jogi személyre, azonban nem vonatkozik magánszemélyekre. A szereplők önkéntes alapon regisztrálnak a rendszerbe, és a regisztráló kérésére a LEI kód a különböző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LOU-k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(Local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Operating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Unit</w:t>
      </w:r>
      <w:r w:rsidRPr="006F474D">
        <w:rPr>
          <w:rFonts w:asciiTheme="majorHAnsi" w:eastAsia="Times New Roman" w:hAnsiTheme="majorHAnsi" w:cs="Times New Roman"/>
          <w:i/>
          <w:iCs/>
          <w:sz w:val="22"/>
          <w:vertAlign w:val="superscript"/>
        </w:rPr>
        <w:t>1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>)</w:t>
      </w:r>
      <w:r w:rsidRPr="006F474D">
        <w:rPr>
          <w:rFonts w:asciiTheme="majorHAnsi" w:eastAsia="Times New Roman" w:hAnsiTheme="majorHAnsi" w:cs="Times New Roman"/>
          <w:sz w:val="22"/>
        </w:rPr>
        <w:t xml:space="preserve"> között ho</w:t>
      </w:r>
      <w:r w:rsidRPr="006F474D">
        <w:rPr>
          <w:rFonts w:asciiTheme="majorHAnsi" w:eastAsia="Times New Roman" w:hAnsiTheme="majorHAnsi" w:cs="Times New Roman"/>
          <w:sz w:val="22"/>
        </w:rPr>
        <w:t>r</w:t>
      </w:r>
      <w:r w:rsidRPr="006F474D">
        <w:rPr>
          <w:rFonts w:asciiTheme="majorHAnsi" w:eastAsia="Times New Roman" w:hAnsiTheme="majorHAnsi" w:cs="Times New Roman"/>
          <w:sz w:val="22"/>
        </w:rPr>
        <w:t xml:space="preserve">dozható.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b/>
          <w:bCs/>
          <w:sz w:val="22"/>
        </w:rPr>
        <w:t>A LEI használata az európai uniós szabályozás vonatkozásában</w:t>
      </w:r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</w:rPr>
        <w:t>Az európai uniós szabályozás részben már ma is a LEI használatát várja el a tranzakciós jelentéstételi köt</w:t>
      </w:r>
      <w:r w:rsidRPr="006F474D">
        <w:rPr>
          <w:rFonts w:asciiTheme="majorHAnsi" w:eastAsia="Times New Roman" w:hAnsiTheme="majorHAnsi" w:cs="Times New Roman"/>
          <w:sz w:val="22"/>
        </w:rPr>
        <w:t>e</w:t>
      </w:r>
      <w:r w:rsidRPr="006F474D">
        <w:rPr>
          <w:rFonts w:asciiTheme="majorHAnsi" w:eastAsia="Times New Roman" w:hAnsiTheme="majorHAnsi" w:cs="Times New Roman"/>
          <w:sz w:val="22"/>
        </w:rPr>
        <w:t>lezettség teljesítésekor a felek azonosításánál, és a bankszektor adatszolgáltatásában is megfigyelhető a törekvés a LEI azonosít</w:t>
      </w:r>
      <w:r w:rsidRPr="006F474D">
        <w:rPr>
          <w:rFonts w:asciiTheme="majorHAnsi" w:eastAsia="Times New Roman" w:hAnsiTheme="majorHAnsi" w:cs="Times New Roman"/>
          <w:sz w:val="22"/>
        </w:rPr>
        <w:t>ó</w:t>
      </w:r>
      <w:r w:rsidRPr="006F474D">
        <w:rPr>
          <w:rFonts w:asciiTheme="majorHAnsi" w:eastAsia="Times New Roman" w:hAnsiTheme="majorHAnsi" w:cs="Times New Roman"/>
          <w:sz w:val="22"/>
        </w:rPr>
        <w:t>ként való alkalmazására.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i/>
          <w:iCs/>
          <w:sz w:val="22"/>
        </w:rPr>
        <w:t>1.) A tőzsdén kívüli származtatott ügyletekről, a központi szerződő felekről és a kereskedési ada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>t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tárakról szóló 648/2012/EU parlamenti és tanácsi rendelet (European Market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Infrastructure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Regulation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>/EMIR)</w:t>
      </w:r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</w:rPr>
        <w:t>Az EMIR 1247/2012/EU végrehajtási rendelete</w:t>
      </w: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2</w:t>
      </w:r>
      <w:r w:rsidRPr="006F474D">
        <w:rPr>
          <w:rFonts w:asciiTheme="majorHAnsi" w:eastAsia="Times New Roman" w:hAnsiTheme="majorHAnsi" w:cs="Times New Roman"/>
          <w:sz w:val="22"/>
        </w:rPr>
        <w:t xml:space="preserve"> kimondja, hogy globális jogalany-azonosítót vagy ideiglenes jogalany-azonosítót 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>(pre-LEI</w:t>
      </w:r>
      <w:r w:rsidRPr="006F474D">
        <w:rPr>
          <w:rFonts w:asciiTheme="majorHAnsi" w:eastAsia="Times New Roman" w:hAnsiTheme="majorHAnsi" w:cs="Times New Roman"/>
          <w:i/>
          <w:iCs/>
          <w:sz w:val="22"/>
          <w:vertAlign w:val="superscript"/>
        </w:rPr>
        <w:t>3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>)</w:t>
      </w:r>
      <w:r w:rsidRPr="006F474D">
        <w:rPr>
          <w:rFonts w:asciiTheme="majorHAnsi" w:eastAsia="Times New Roman" w:hAnsiTheme="majorHAnsi" w:cs="Times New Roman"/>
          <w:sz w:val="22"/>
        </w:rPr>
        <w:t xml:space="preserve"> kell használni minden pénzügyi és nem pénzügyi szerz</w:t>
      </w:r>
      <w:r w:rsidRPr="006F474D">
        <w:rPr>
          <w:rFonts w:asciiTheme="majorHAnsi" w:eastAsia="Times New Roman" w:hAnsiTheme="majorHAnsi" w:cs="Times New Roman"/>
          <w:sz w:val="22"/>
        </w:rPr>
        <w:t>ő</w:t>
      </w:r>
      <w:r w:rsidRPr="006F474D">
        <w:rPr>
          <w:rFonts w:asciiTheme="majorHAnsi" w:eastAsia="Times New Roman" w:hAnsiTheme="majorHAnsi" w:cs="Times New Roman"/>
          <w:sz w:val="22"/>
        </w:rPr>
        <w:t>dő fél, bróker, központi szerződő fél és kedvezményezett azonosítására, amint rendelkezésre áll. A derivatív ügyletkötést az EU-ban erre engedéllyel rendelkező kereskedési adattár egyikének szükséges jelenteni, 2014. február 12-től</w:t>
      </w: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4</w:t>
      </w:r>
      <w:r w:rsidRPr="006F474D">
        <w:rPr>
          <w:rFonts w:asciiTheme="majorHAnsi" w:eastAsia="Times New Roman" w:hAnsiTheme="majorHAnsi" w:cs="Times New Roman"/>
          <w:sz w:val="22"/>
        </w:rPr>
        <w:t xml:space="preserve">. Ezzel összhangban, az Európai Értékpapír-piaci Hatóság 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(European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Securities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and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Markets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Authority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>/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ESMA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>)</w:t>
      </w:r>
      <w:r w:rsidRPr="006F474D">
        <w:rPr>
          <w:rFonts w:asciiTheme="majorHAnsi" w:eastAsia="Times New Roman" w:hAnsiTheme="majorHAnsi" w:cs="Times New Roman"/>
          <w:sz w:val="22"/>
        </w:rPr>
        <w:t xml:space="preserve"> által 2013. december 20-án közzétett „Kérd</w:t>
      </w:r>
      <w:r w:rsidRPr="006F474D">
        <w:rPr>
          <w:rFonts w:asciiTheme="majorHAnsi" w:eastAsia="Times New Roman" w:hAnsiTheme="majorHAnsi" w:cs="Times New Roman"/>
          <w:sz w:val="22"/>
        </w:rPr>
        <w:t>é</w:t>
      </w:r>
      <w:r w:rsidRPr="006F474D">
        <w:rPr>
          <w:rFonts w:asciiTheme="majorHAnsi" w:eastAsia="Times New Roman" w:hAnsiTheme="majorHAnsi" w:cs="Times New Roman"/>
          <w:sz w:val="22"/>
        </w:rPr>
        <w:t>sek és válaszok” című dokumentum</w:t>
      </w: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5</w:t>
      </w:r>
      <w:r w:rsidRPr="006F474D">
        <w:rPr>
          <w:rFonts w:asciiTheme="majorHAnsi" w:eastAsia="Times New Roman" w:hAnsiTheme="majorHAnsi" w:cs="Times New Roman"/>
          <w:sz w:val="22"/>
        </w:rPr>
        <w:t xml:space="preserve"> (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TR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>) 10. pontja kimondja, hogy a szerződő felek azonosítás</w:t>
      </w:r>
      <w:r w:rsidRPr="006F474D">
        <w:rPr>
          <w:rFonts w:asciiTheme="majorHAnsi" w:eastAsia="Times New Roman" w:hAnsiTheme="majorHAnsi" w:cs="Times New Roman"/>
          <w:sz w:val="22"/>
        </w:rPr>
        <w:t>á</w:t>
      </w:r>
      <w:r w:rsidRPr="006F474D">
        <w:rPr>
          <w:rFonts w:asciiTheme="majorHAnsi" w:eastAsia="Times New Roman" w:hAnsiTheme="majorHAnsi" w:cs="Times New Roman"/>
          <w:sz w:val="22"/>
        </w:rPr>
        <w:t xml:space="preserve">ra valamely jóváhagyott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pre-LOU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által kibocsátott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pre-LEI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kód alkalmazandó.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2.) A hitelintézetekre és befektetési vállalkozásokra vonatkozó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prudenciális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követelményekről és a 648/2012/EU rendelet módosításáról szóló 575/2013/EU parlamenti és tanácsi rendelet (Capital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Requirements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Regulation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>/CRR)</w:t>
      </w:r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proofErr w:type="gramStart"/>
      <w:r w:rsidRPr="006F474D">
        <w:rPr>
          <w:rFonts w:asciiTheme="majorHAnsi" w:eastAsia="Times New Roman" w:hAnsiTheme="majorHAnsi" w:cs="Times New Roman"/>
          <w:sz w:val="22"/>
        </w:rPr>
        <w:t xml:space="preserve">A CRR felhatalmazása alapján az Európai Bankhatóság 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(European Banking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Authority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>/EBA)</w:t>
      </w:r>
      <w:r w:rsidRPr="006F474D">
        <w:rPr>
          <w:rFonts w:asciiTheme="majorHAnsi" w:eastAsia="Times New Roman" w:hAnsiTheme="majorHAnsi" w:cs="Times New Roman"/>
          <w:sz w:val="22"/>
        </w:rPr>
        <w:t xml:space="preserve"> végr</w:t>
      </w:r>
      <w:r w:rsidRPr="006F474D">
        <w:rPr>
          <w:rFonts w:asciiTheme="majorHAnsi" w:eastAsia="Times New Roman" w:hAnsiTheme="majorHAnsi" w:cs="Times New Roman"/>
          <w:sz w:val="22"/>
        </w:rPr>
        <w:t>e</w:t>
      </w:r>
      <w:r w:rsidRPr="006F474D">
        <w:rPr>
          <w:rFonts w:asciiTheme="majorHAnsi" w:eastAsia="Times New Roman" w:hAnsiTheme="majorHAnsi" w:cs="Times New Roman"/>
          <w:sz w:val="22"/>
        </w:rPr>
        <w:t xml:space="preserve">hajtás-technikai sztenderdtervezeteket dolgozott ki a felügyeleti jelentéstétel 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>(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Supervisory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Reporting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>)</w:t>
      </w:r>
      <w:r w:rsidRPr="006F474D">
        <w:rPr>
          <w:rFonts w:asciiTheme="majorHAnsi" w:eastAsia="Times New Roman" w:hAnsiTheme="majorHAnsi" w:cs="Times New Roman"/>
          <w:sz w:val="22"/>
        </w:rPr>
        <w:t xml:space="preserve"> vonatkoz</w:t>
      </w:r>
      <w:r w:rsidRPr="006F474D">
        <w:rPr>
          <w:rFonts w:asciiTheme="majorHAnsi" w:eastAsia="Times New Roman" w:hAnsiTheme="majorHAnsi" w:cs="Times New Roman"/>
          <w:sz w:val="22"/>
        </w:rPr>
        <w:t>á</w:t>
      </w:r>
      <w:r w:rsidRPr="006F474D">
        <w:rPr>
          <w:rFonts w:asciiTheme="majorHAnsi" w:eastAsia="Times New Roman" w:hAnsiTheme="majorHAnsi" w:cs="Times New Roman"/>
          <w:sz w:val="22"/>
        </w:rPr>
        <w:t>sában</w:t>
      </w: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6</w:t>
      </w:r>
      <w:r w:rsidRPr="006F474D">
        <w:rPr>
          <w:rFonts w:asciiTheme="majorHAnsi" w:eastAsia="Times New Roman" w:hAnsiTheme="majorHAnsi" w:cs="Times New Roman"/>
          <w:sz w:val="22"/>
        </w:rPr>
        <w:t>, továbbá ajánlást készített az illetékes hatóságok számára arról, hogy az általuk felügyelt, CRR alapján jelentéstételi kötelezettséggel rendelkező intézményeket (hite</w:t>
      </w:r>
      <w:r w:rsidRPr="006F474D">
        <w:rPr>
          <w:rFonts w:asciiTheme="majorHAnsi" w:eastAsia="Times New Roman" w:hAnsiTheme="majorHAnsi" w:cs="Times New Roman"/>
          <w:sz w:val="22"/>
        </w:rPr>
        <w:t>l</w:t>
      </w:r>
      <w:r w:rsidRPr="006F474D">
        <w:rPr>
          <w:rFonts w:asciiTheme="majorHAnsi" w:eastAsia="Times New Roman" w:hAnsiTheme="majorHAnsi" w:cs="Times New Roman"/>
          <w:sz w:val="22"/>
        </w:rPr>
        <w:t>intézetek és befektetési vállalkozások) kérjék fel a LEI kód igénylésére, valamint arra, hogy a csoportjukba tartozó összes olyan intézmény számára szerezzék be a LEI kódot, amelyekről jelent</w:t>
      </w:r>
      <w:r w:rsidRPr="006F474D">
        <w:rPr>
          <w:rFonts w:asciiTheme="majorHAnsi" w:eastAsia="Times New Roman" w:hAnsiTheme="majorHAnsi" w:cs="Times New Roman"/>
          <w:sz w:val="22"/>
        </w:rPr>
        <w:t>e</w:t>
      </w:r>
      <w:r w:rsidRPr="006F474D">
        <w:rPr>
          <w:rFonts w:asciiTheme="majorHAnsi" w:eastAsia="Times New Roman" w:hAnsiTheme="majorHAnsi" w:cs="Times New Roman"/>
          <w:sz w:val="22"/>
        </w:rPr>
        <w:t>niük kell az előírások szerint.</w:t>
      </w: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7</w:t>
      </w:r>
      <w:proofErr w:type="gramEnd"/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</w:rPr>
        <w:t>Az EMIR rendelettel és az EBA ajánlásával összhangban, a Magyar Nemzeti Bank az érintett intézménye</w:t>
      </w:r>
      <w:r w:rsidRPr="006F474D">
        <w:rPr>
          <w:rFonts w:asciiTheme="majorHAnsi" w:eastAsia="Times New Roman" w:hAnsiTheme="majorHAnsi" w:cs="Times New Roman"/>
          <w:sz w:val="22"/>
        </w:rPr>
        <w:t>k</w:t>
      </w:r>
      <w:r w:rsidRPr="006F474D">
        <w:rPr>
          <w:rFonts w:asciiTheme="majorHAnsi" w:eastAsia="Times New Roman" w:hAnsiTheme="majorHAnsi" w:cs="Times New Roman"/>
          <w:sz w:val="22"/>
        </w:rPr>
        <w:t>től elvárja a LEI kód használatát.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b/>
          <w:bCs/>
          <w:sz w:val="22"/>
        </w:rPr>
        <w:t xml:space="preserve">A már jóváhagyott </w:t>
      </w:r>
      <w:proofErr w:type="spellStart"/>
      <w:r w:rsidRPr="006F474D">
        <w:rPr>
          <w:rFonts w:asciiTheme="majorHAnsi" w:eastAsia="Times New Roman" w:hAnsiTheme="majorHAnsi" w:cs="Times New Roman"/>
          <w:b/>
          <w:bCs/>
          <w:sz w:val="22"/>
        </w:rPr>
        <w:t>pre-LOU-k</w:t>
      </w:r>
      <w:proofErr w:type="spellEnd"/>
      <w:r w:rsidRPr="006F474D">
        <w:rPr>
          <w:rFonts w:asciiTheme="majorHAnsi" w:eastAsia="Times New Roman" w:hAnsiTheme="majorHAnsi" w:cs="Times New Roman"/>
          <w:b/>
          <w:bCs/>
          <w:sz w:val="22"/>
        </w:rPr>
        <w:t xml:space="preserve">, mint </w:t>
      </w:r>
      <w:proofErr w:type="spellStart"/>
      <w:r w:rsidRPr="006F474D">
        <w:rPr>
          <w:rFonts w:asciiTheme="majorHAnsi" w:eastAsia="Times New Roman" w:hAnsiTheme="majorHAnsi" w:cs="Times New Roman"/>
          <w:b/>
          <w:bCs/>
          <w:sz w:val="22"/>
        </w:rPr>
        <w:t>pre-LEI</w:t>
      </w:r>
      <w:proofErr w:type="spellEnd"/>
      <w:r w:rsidRPr="006F474D">
        <w:rPr>
          <w:rFonts w:asciiTheme="majorHAnsi" w:eastAsia="Times New Roman" w:hAnsiTheme="majorHAnsi" w:cs="Times New Roman"/>
          <w:b/>
          <w:bCs/>
          <w:sz w:val="22"/>
        </w:rPr>
        <w:t xml:space="preserve"> kód kibocsátó egységek elé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r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hetősége</w:t>
      </w:r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</w:rPr>
        <w:t xml:space="preserve">Magyarországon jelenleg nincs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pre-LOU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, így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pre-LEI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kód az alábbi linken megjelenített,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ROC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>(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Regulatory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</w:t>
      </w:r>
      <w:proofErr w:type="spellStart"/>
      <w:r w:rsidRPr="006F474D">
        <w:rPr>
          <w:rFonts w:asciiTheme="majorHAnsi" w:eastAsia="Times New Roman" w:hAnsiTheme="majorHAnsi" w:cs="Times New Roman"/>
          <w:i/>
          <w:iCs/>
          <w:sz w:val="22"/>
        </w:rPr>
        <w:t>Oversight</w:t>
      </w:r>
      <w:proofErr w:type="spellEnd"/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 Committee</w:t>
      </w:r>
      <w:r w:rsidRPr="006F474D">
        <w:rPr>
          <w:rFonts w:asciiTheme="majorHAnsi" w:eastAsia="Times New Roman" w:hAnsiTheme="majorHAnsi" w:cs="Times New Roman"/>
          <w:i/>
          <w:iCs/>
          <w:sz w:val="22"/>
          <w:vertAlign w:val="superscript"/>
        </w:rPr>
        <w:t>8</w:t>
      </w:r>
      <w:r w:rsidRPr="006F474D">
        <w:rPr>
          <w:rFonts w:asciiTheme="majorHAnsi" w:eastAsia="Times New Roman" w:hAnsiTheme="majorHAnsi" w:cs="Times New Roman"/>
          <w:i/>
          <w:iCs/>
          <w:sz w:val="22"/>
        </w:rPr>
        <w:t xml:space="preserve">) </w:t>
      </w:r>
      <w:r w:rsidRPr="006F474D">
        <w:rPr>
          <w:rFonts w:asciiTheme="majorHAnsi" w:eastAsia="Times New Roman" w:hAnsiTheme="majorHAnsi" w:cs="Times New Roman"/>
          <w:sz w:val="22"/>
        </w:rPr>
        <w:t xml:space="preserve">által jóváhagyott és nyilvántartásba vett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pre-LOU-k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valamelyikén keresztül szere</w:t>
      </w:r>
      <w:r w:rsidRPr="006F474D">
        <w:rPr>
          <w:rFonts w:asciiTheme="majorHAnsi" w:eastAsia="Times New Roman" w:hAnsiTheme="majorHAnsi" w:cs="Times New Roman"/>
          <w:sz w:val="22"/>
        </w:rPr>
        <w:t>z</w:t>
      </w:r>
      <w:r w:rsidRPr="006F474D">
        <w:rPr>
          <w:rFonts w:asciiTheme="majorHAnsi" w:eastAsia="Times New Roman" w:hAnsiTheme="majorHAnsi" w:cs="Times New Roman"/>
          <w:sz w:val="22"/>
        </w:rPr>
        <w:t>hető be (a linken található információkat folyamatosan frissítik):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hyperlink r:id="rId9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http://www.leiroc.org/publications/gls/lou_20131003_2.pdf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b/>
          <w:bCs/>
          <w:sz w:val="22"/>
        </w:rPr>
        <w:t xml:space="preserve">A Financial </w:t>
      </w:r>
      <w:proofErr w:type="spellStart"/>
      <w:r w:rsidRPr="006F474D">
        <w:rPr>
          <w:rFonts w:asciiTheme="majorHAnsi" w:eastAsia="Times New Roman" w:hAnsiTheme="majorHAnsi" w:cs="Times New Roman"/>
          <w:b/>
          <w:bCs/>
          <w:sz w:val="22"/>
        </w:rPr>
        <w:t>Stability</w:t>
      </w:r>
      <w:proofErr w:type="spellEnd"/>
      <w:r w:rsidRPr="006F474D">
        <w:rPr>
          <w:rFonts w:asciiTheme="majorHAnsi" w:eastAsia="Times New Roman" w:hAnsiTheme="majorHAnsi" w:cs="Times New Roman"/>
          <w:b/>
          <w:bCs/>
          <w:sz w:val="22"/>
        </w:rPr>
        <w:t xml:space="preserve"> Board</w:t>
      </w: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9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> </w:t>
      </w:r>
      <w:r w:rsidRPr="006F474D">
        <w:rPr>
          <w:rFonts w:asciiTheme="majorHAnsi" w:eastAsia="Times New Roman" w:hAnsiTheme="majorHAnsi" w:cs="Times New Roman"/>
          <w:b/>
          <w:bCs/>
          <w:i/>
          <w:iCs/>
          <w:sz w:val="22"/>
        </w:rPr>
        <w:t>(</w:t>
      </w:r>
      <w:proofErr w:type="spellStart"/>
      <w:r w:rsidRPr="006F474D">
        <w:rPr>
          <w:rFonts w:asciiTheme="majorHAnsi" w:eastAsia="Times New Roman" w:hAnsiTheme="majorHAnsi" w:cs="Times New Roman"/>
          <w:b/>
          <w:bCs/>
          <w:i/>
          <w:iCs/>
          <w:sz w:val="22"/>
        </w:rPr>
        <w:t>FSB</w:t>
      </w:r>
      <w:proofErr w:type="spellEnd"/>
      <w:r w:rsidRPr="006F474D">
        <w:rPr>
          <w:rFonts w:asciiTheme="majorHAnsi" w:eastAsia="Times New Roman" w:hAnsiTheme="majorHAnsi" w:cs="Times New Roman"/>
          <w:b/>
          <w:bCs/>
          <w:i/>
          <w:iCs/>
          <w:sz w:val="22"/>
        </w:rPr>
        <w:t>)</w:t>
      </w:r>
      <w:r w:rsidRPr="006F474D">
        <w:rPr>
          <w:rFonts w:asciiTheme="majorHAnsi" w:eastAsia="Times New Roman" w:hAnsiTheme="majorHAnsi" w:cs="Times New Roman"/>
          <w:b/>
          <w:bCs/>
          <w:sz w:val="22"/>
        </w:rPr>
        <w:t xml:space="preserve"> jelentései a LEI vonatkozásában: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hyperlink r:id="rId10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http://www.financialstabilityboard.org/publications/r_130111a.pdf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hyperlink r:id="rId11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http://www.financialstabilityboard.org/publications/r_121211.pdf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hyperlink r:id="rId12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http://www.financialstabilityboard.org/publications/r_121024.pdf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hyperlink r:id="rId13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http://www.financialstabilityboard.org/publications/r_120920.pdf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hyperlink r:id="rId14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http://www.financialstabilityboard.org/publications/r_120823.pdf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</w:rPr>
        <w:pict>
          <v:rect id="_x0000_i1044" style="width:0;height:1.5pt" o:hralign="center" o:hrstd="t" o:hr="t" fillcolor="#a0a0a0" stroked="f"/>
        </w:pic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1</w:t>
      </w:r>
      <w:r w:rsidRPr="006F474D">
        <w:rPr>
          <w:rFonts w:asciiTheme="majorHAnsi" w:eastAsia="Times New Roman" w:hAnsiTheme="majorHAnsi" w:cs="Times New Roman"/>
          <w:sz w:val="22"/>
        </w:rPr>
        <w:t xml:space="preserve"> A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LOU-k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a központi egységhez kapcsolódó helyi egységek (magán vagy közfeladatot ellátó ne</w:t>
      </w:r>
      <w:r w:rsidRPr="006F474D">
        <w:rPr>
          <w:rFonts w:asciiTheme="majorHAnsi" w:eastAsia="Times New Roman" w:hAnsiTheme="majorHAnsi" w:cs="Times New Roman"/>
          <w:sz w:val="22"/>
        </w:rPr>
        <w:t>m</w:t>
      </w:r>
      <w:r w:rsidRPr="006F474D">
        <w:rPr>
          <w:rFonts w:asciiTheme="majorHAnsi" w:eastAsia="Times New Roman" w:hAnsiTheme="majorHAnsi" w:cs="Times New Roman"/>
          <w:sz w:val="22"/>
        </w:rPr>
        <w:t>zeti vagy regionális intézmények), melyek LEI kód kiadására és a jogalanyok referenciaadatainak tárolására jogosu</w:t>
      </w:r>
      <w:r w:rsidRPr="006F474D">
        <w:rPr>
          <w:rFonts w:asciiTheme="majorHAnsi" w:eastAsia="Times New Roman" w:hAnsiTheme="majorHAnsi" w:cs="Times New Roman"/>
          <w:sz w:val="22"/>
        </w:rPr>
        <w:t>l</w:t>
      </w:r>
      <w:r w:rsidRPr="006F474D">
        <w:rPr>
          <w:rFonts w:asciiTheme="majorHAnsi" w:eastAsia="Times New Roman" w:hAnsiTheme="majorHAnsi" w:cs="Times New Roman"/>
          <w:sz w:val="22"/>
        </w:rPr>
        <w:t>tak. A központi egység (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COU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– Central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Operating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Unit) feladata a rendszer működtetése és a központi f</w:t>
      </w:r>
      <w:r w:rsidRPr="006F474D">
        <w:rPr>
          <w:rFonts w:asciiTheme="majorHAnsi" w:eastAsia="Times New Roman" w:hAnsiTheme="majorHAnsi" w:cs="Times New Roman"/>
          <w:sz w:val="22"/>
        </w:rPr>
        <w:t>e</w:t>
      </w:r>
      <w:r w:rsidRPr="006F474D">
        <w:rPr>
          <w:rFonts w:asciiTheme="majorHAnsi" w:eastAsia="Times New Roman" w:hAnsiTheme="majorHAnsi" w:cs="Times New Roman"/>
          <w:sz w:val="22"/>
        </w:rPr>
        <w:t>ladatok ellátása.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2</w:t>
      </w:r>
      <w:hyperlink r:id="rId15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http://eur-lex.europa.eu/LexUriServ/LexUriServ.do?uri=OJ:L:2012:352:0020:0029:HU:PDF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 xml:space="preserve">3 </w:t>
      </w:r>
      <w:r w:rsidRPr="006F474D">
        <w:rPr>
          <w:rFonts w:asciiTheme="majorHAnsi" w:eastAsia="Times New Roman" w:hAnsiTheme="majorHAnsi" w:cs="Times New Roman"/>
          <w:sz w:val="22"/>
        </w:rPr>
        <w:t xml:space="preserve">A központi rendszer felállításáig a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LOU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szerepkört ún.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pre-LOU-k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töltik be, melyek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pre-LEI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kód</w:t>
      </w:r>
      <w:r w:rsidRPr="006F474D">
        <w:rPr>
          <w:rFonts w:asciiTheme="majorHAnsi" w:eastAsia="Times New Roman" w:hAnsiTheme="majorHAnsi" w:cs="Times New Roman"/>
          <w:sz w:val="22"/>
        </w:rPr>
        <w:t>o</w:t>
      </w:r>
      <w:r w:rsidRPr="006F474D">
        <w:rPr>
          <w:rFonts w:asciiTheme="majorHAnsi" w:eastAsia="Times New Roman" w:hAnsiTheme="majorHAnsi" w:cs="Times New Roman"/>
          <w:sz w:val="22"/>
        </w:rPr>
        <w:t>kat adnak ki. Ezek a kódok válnak a későbbiekben LEI azonosítókká.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4</w:t>
      </w:r>
      <w:r w:rsidRPr="006F474D">
        <w:rPr>
          <w:rFonts w:asciiTheme="majorHAnsi" w:eastAsia="Times New Roman" w:hAnsiTheme="majorHAnsi" w:cs="Times New Roman"/>
          <w:sz w:val="22"/>
        </w:rPr>
        <w:t xml:space="preserve"> Az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ESMA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2013. november 7-én hagyta jóvá az első európai uniós kereskedési adattárak nyilvá</w:t>
      </w:r>
      <w:r w:rsidRPr="006F474D">
        <w:rPr>
          <w:rFonts w:asciiTheme="majorHAnsi" w:eastAsia="Times New Roman" w:hAnsiTheme="majorHAnsi" w:cs="Times New Roman"/>
          <w:sz w:val="22"/>
        </w:rPr>
        <w:t>n</w:t>
      </w:r>
      <w:r w:rsidRPr="006F474D">
        <w:rPr>
          <w:rFonts w:asciiTheme="majorHAnsi" w:eastAsia="Times New Roman" w:hAnsiTheme="majorHAnsi" w:cs="Times New Roman"/>
          <w:sz w:val="22"/>
        </w:rPr>
        <w:t>tartásba vételét, mely 2013. november 14-én vált hatályossá, így a 1247/2012/EU Bizottsági Re</w:t>
      </w:r>
      <w:r w:rsidRPr="006F474D">
        <w:rPr>
          <w:rFonts w:asciiTheme="majorHAnsi" w:eastAsia="Times New Roman" w:hAnsiTheme="majorHAnsi" w:cs="Times New Roman"/>
          <w:sz w:val="22"/>
        </w:rPr>
        <w:t>n</w:t>
      </w:r>
      <w:r w:rsidRPr="006F474D">
        <w:rPr>
          <w:rFonts w:asciiTheme="majorHAnsi" w:eastAsia="Times New Roman" w:hAnsiTheme="majorHAnsi" w:cs="Times New Roman"/>
          <w:sz w:val="22"/>
        </w:rPr>
        <w:t>delet 5. cikk (1) bekezdésének b) pontja alapján onnantól számítódik az a 90 napos időszak, amelynek leteltével, azaz 2014. fe</w:t>
      </w:r>
      <w:r w:rsidRPr="006F474D">
        <w:rPr>
          <w:rFonts w:asciiTheme="majorHAnsi" w:eastAsia="Times New Roman" w:hAnsiTheme="majorHAnsi" w:cs="Times New Roman"/>
          <w:sz w:val="22"/>
        </w:rPr>
        <w:t>b</w:t>
      </w:r>
      <w:r w:rsidRPr="006F474D">
        <w:rPr>
          <w:rFonts w:asciiTheme="majorHAnsi" w:eastAsia="Times New Roman" w:hAnsiTheme="majorHAnsi" w:cs="Times New Roman"/>
          <w:sz w:val="22"/>
        </w:rPr>
        <w:t>ruár 12-től a bejelentési kötelezettség kötelezővé válik.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5</w:t>
      </w:r>
      <w:r w:rsidRPr="006F474D">
        <w:rPr>
          <w:rFonts w:asciiTheme="majorHAnsi" w:eastAsia="Times New Roman" w:hAnsiTheme="majorHAnsi" w:cs="Times New Roman"/>
          <w:sz w:val="22"/>
        </w:rPr>
        <w:t> </w:t>
      </w:r>
      <w:hyperlink r:id="rId16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http://www.esma.europa.eu/system/files/2013-1959_qa_on_emir_implementation.pdf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 xml:space="preserve">6 </w:t>
      </w:r>
      <w:hyperlink r:id="rId17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http://www.eba.europa.eu/documents/10180/359626/EBA+ITS+2013+02+%28Draft+ITS+on+supervisory+reporting%29.pdf/f3e58351-8aec-4827-8e8e-628525122414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7</w:t>
      </w:r>
      <w:r w:rsidRPr="006F474D">
        <w:rPr>
          <w:rFonts w:asciiTheme="majorHAnsi" w:eastAsia="Times New Roman" w:hAnsiTheme="majorHAnsi" w:cs="Times New Roman"/>
          <w:sz w:val="22"/>
        </w:rPr>
        <w:t xml:space="preserve"> A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LEI-vel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 xml:space="preserve"> történő jelentést az EBA ajánlás egyes intézményeknél (Magyarországon ERSTE, Kere</w:t>
      </w:r>
      <w:r w:rsidRPr="006F474D">
        <w:rPr>
          <w:rFonts w:asciiTheme="majorHAnsi" w:eastAsia="Times New Roman" w:hAnsiTheme="majorHAnsi" w:cs="Times New Roman"/>
          <w:sz w:val="22"/>
        </w:rPr>
        <w:t>s</w:t>
      </w:r>
      <w:r w:rsidRPr="006F474D">
        <w:rPr>
          <w:rFonts w:asciiTheme="majorHAnsi" w:eastAsia="Times New Roman" w:hAnsiTheme="majorHAnsi" w:cs="Times New Roman"/>
          <w:sz w:val="22"/>
        </w:rPr>
        <w:t xml:space="preserve">kedelmi és Hitelbank 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Zrt</w:t>
      </w:r>
      <w:proofErr w:type="spellEnd"/>
      <w:proofErr w:type="gramStart"/>
      <w:r w:rsidRPr="006F474D">
        <w:rPr>
          <w:rFonts w:asciiTheme="majorHAnsi" w:eastAsia="Times New Roman" w:hAnsiTheme="majorHAnsi" w:cs="Times New Roman"/>
          <w:sz w:val="22"/>
        </w:rPr>
        <w:t>.,</w:t>
      </w:r>
      <w:proofErr w:type="gramEnd"/>
      <w:r w:rsidRPr="006F474D">
        <w:rPr>
          <w:rFonts w:asciiTheme="majorHAnsi" w:eastAsia="Times New Roman" w:hAnsiTheme="majorHAnsi" w:cs="Times New Roman"/>
          <w:sz w:val="22"/>
        </w:rPr>
        <w:t xml:space="preserve"> és OTP csoport) 2014. március 31-től, a többi adatszolgáltató es</w:t>
      </w:r>
      <w:r w:rsidRPr="006F474D">
        <w:rPr>
          <w:rFonts w:asciiTheme="majorHAnsi" w:eastAsia="Times New Roman" w:hAnsiTheme="majorHAnsi" w:cs="Times New Roman"/>
          <w:sz w:val="22"/>
        </w:rPr>
        <w:t>e</w:t>
      </w:r>
      <w:r w:rsidRPr="006F474D">
        <w:rPr>
          <w:rFonts w:asciiTheme="majorHAnsi" w:eastAsia="Times New Roman" w:hAnsiTheme="majorHAnsi" w:cs="Times New Roman"/>
          <w:sz w:val="22"/>
        </w:rPr>
        <w:t xml:space="preserve">tében legkésőbb 2014. december 31-től várja el.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8</w:t>
      </w:r>
      <w:r w:rsidRPr="006F474D">
        <w:rPr>
          <w:rFonts w:asciiTheme="majorHAnsi" w:eastAsia="Times New Roman" w:hAnsiTheme="majorHAnsi" w:cs="Times New Roman"/>
          <w:sz w:val="22"/>
        </w:rPr>
        <w:t> </w:t>
      </w:r>
      <w:proofErr w:type="spellStart"/>
      <w:r w:rsidRPr="006F474D">
        <w:rPr>
          <w:rFonts w:asciiTheme="majorHAnsi" w:eastAsia="Times New Roman" w:hAnsiTheme="majorHAnsi" w:cs="Times New Roman"/>
          <w:sz w:val="22"/>
        </w:rPr>
        <w:t>ROC</w:t>
      </w:r>
      <w:proofErr w:type="spellEnd"/>
      <w:r w:rsidRPr="006F474D">
        <w:rPr>
          <w:rFonts w:asciiTheme="majorHAnsi" w:eastAsia="Times New Roman" w:hAnsiTheme="majorHAnsi" w:cs="Times New Roman"/>
          <w:sz w:val="22"/>
        </w:rPr>
        <w:t>: a rendszert irányító, szabályozó és felügyelő szerv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sz w:val="22"/>
          <w:vertAlign w:val="superscript"/>
        </w:rPr>
        <w:t>9</w:t>
      </w:r>
      <w:r w:rsidRPr="006F474D">
        <w:rPr>
          <w:rFonts w:asciiTheme="majorHAnsi" w:eastAsia="Times New Roman" w:hAnsiTheme="majorHAnsi" w:cs="Times New Roman"/>
          <w:sz w:val="22"/>
        </w:rPr>
        <w:t> </w:t>
      </w:r>
      <w:hyperlink r:id="rId18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http://www.financialstabilityboard.org/list/fsb_publications/tid_178/index.htm</w:t>
        </w:r>
      </w:hyperlink>
      <w:r w:rsidRPr="006F474D">
        <w:rPr>
          <w:rFonts w:asciiTheme="majorHAnsi" w:eastAsia="Times New Roman" w:hAnsiTheme="majorHAnsi" w:cs="Times New Roman"/>
          <w:sz w:val="22"/>
        </w:rPr>
        <w:t xml:space="preserve"> 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b/>
          <w:sz w:val="22"/>
        </w:rPr>
      </w:pPr>
      <w:r w:rsidRPr="006F474D">
        <w:rPr>
          <w:rFonts w:asciiTheme="majorHAnsi" w:eastAsia="Times New Roman" w:hAnsiTheme="majorHAnsi" w:cs="Times New Roman"/>
          <w:b/>
          <w:sz w:val="22"/>
        </w:rPr>
        <w:t>Kapcsolódó anyagok</w:t>
      </w:r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noProof/>
          <w:sz w:val="22"/>
        </w:rPr>
        <w:drawing>
          <wp:inline distT="0" distB="0" distL="0" distR="0" wp14:anchorId="631D3984" wp14:editId="733472F6">
            <wp:extent cx="142875" cy="135255"/>
            <wp:effectExtent l="0" t="0" r="9525" b="0"/>
            <wp:docPr id="1" name="Kép 1" descr="http://felugyelet.mnb.hu/sites/default/images/icons/kicsi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lugyelet.mnb.hu/sites/default/images/icons/kicsi_pdf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 xml:space="preserve">Ajánlás a LEI használatáról (569KB) </w:t>
        </w:r>
      </w:hyperlink>
    </w:p>
    <w:p w:rsidR="006F474D" w:rsidRPr="006F474D" w:rsidRDefault="006F474D" w:rsidP="006F474D">
      <w:pPr>
        <w:spacing w:after="120" w:line="240" w:lineRule="auto"/>
        <w:rPr>
          <w:rFonts w:asciiTheme="majorHAnsi" w:eastAsia="Times New Roman" w:hAnsiTheme="majorHAnsi" w:cs="Times New Roman"/>
          <w:sz w:val="22"/>
        </w:rPr>
      </w:pPr>
      <w:r w:rsidRPr="006F474D">
        <w:rPr>
          <w:rFonts w:asciiTheme="majorHAnsi" w:eastAsia="Times New Roman" w:hAnsiTheme="majorHAnsi" w:cs="Times New Roman"/>
          <w:noProof/>
          <w:sz w:val="22"/>
        </w:rPr>
        <w:drawing>
          <wp:inline distT="0" distB="0" distL="0" distR="0" wp14:anchorId="3E2B4ACB" wp14:editId="1DE11827">
            <wp:extent cx="142875" cy="135255"/>
            <wp:effectExtent l="0" t="0" r="9525" b="0"/>
            <wp:docPr id="2" name="Kép 2" descr="http://felugyelet.mnb.hu/sites/default/images/icons/kicsi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lugyelet.mnb.hu/sites/default/images/icons/kicsi_pdf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>Határozat az illetékes hatóságok EBA felé történ</w:t>
        </w:r>
        <w:bookmarkStart w:id="0" w:name="_GoBack"/>
        <w:bookmarkEnd w:id="0"/>
        <w:r w:rsidRPr="006F474D">
          <w:rPr>
            <w:rFonts w:asciiTheme="majorHAnsi" w:eastAsia="Times New Roman" w:hAnsiTheme="majorHAnsi" w:cs="Times New Roman"/>
            <w:color w:val="0000FF"/>
            <w:sz w:val="22"/>
            <w:u w:val="single"/>
          </w:rPr>
          <w:t xml:space="preserve">ő jelentéstételéről (103KB) </w:t>
        </w:r>
      </w:hyperlink>
    </w:p>
    <w:sectPr w:rsidR="006F474D" w:rsidRPr="006F474D" w:rsidSect="00CD6E8D">
      <w:headerReference w:type="default" r:id="rId22"/>
      <w:footerReference w:type="default" r:id="rId23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4D" w:rsidRDefault="006F474D">
      <w:r>
        <w:separator/>
      </w:r>
    </w:p>
  </w:endnote>
  <w:endnote w:type="continuationSeparator" w:id="0">
    <w:p w:rsidR="006F474D" w:rsidRDefault="006F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474D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474D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4D" w:rsidRDefault="006F474D">
      <w:r>
        <w:separator/>
      </w:r>
    </w:p>
  </w:footnote>
  <w:footnote w:type="continuationSeparator" w:id="0">
    <w:p w:rsidR="006F474D" w:rsidRDefault="006F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4DE3"/>
    <w:multiLevelType w:val="multilevel"/>
    <w:tmpl w:val="9D8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AE484F"/>
    <w:multiLevelType w:val="multilevel"/>
    <w:tmpl w:val="82FA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9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4D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474D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qFormat="1"/>
    <w:lsdException w:name="caption" w:uiPriority="35" w:qFormat="1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88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5577F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33A5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hangslyoz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qFormat="1"/>
    <w:lsdException w:name="caption" w:uiPriority="35" w:qFormat="1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88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5577F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33A5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hangslyoz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9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7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2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9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1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7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525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2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2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12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2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9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63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283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014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79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8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327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28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3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5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15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11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174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81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64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15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010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4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5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43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8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630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86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4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82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1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15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3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95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7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99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5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6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63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75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8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11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13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03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9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69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7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99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8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29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1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79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9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ancialstabilityboard.org/publications/r_120920.pdf" TargetMode="External"/><Relationship Id="rId18" Type="http://schemas.openxmlformats.org/officeDocument/2006/relationships/hyperlink" Target="http://www.financialstabilityboard.org/list/fsb_publications/tid_178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felugyelet.mnb.hu/data/cms2418298/Decision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nancialstabilityboard.org/publications/r_121024.pdf" TargetMode="External"/><Relationship Id="rId17" Type="http://schemas.openxmlformats.org/officeDocument/2006/relationships/hyperlink" Target="http://www.eba.europa.eu/documents/10180/359626/EBA+ITS+2013+02+%28Draft+ITS+on+supervisory+reporting%29.pdf/f3e58351-8aec-4827-8e8e-6285251224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sma.europa.eu/system/files/2013-1959_qa_on_emir_implementation.pdf" TargetMode="External"/><Relationship Id="rId20" Type="http://schemas.openxmlformats.org/officeDocument/2006/relationships/hyperlink" Target="http://felugyelet.mnb.hu/data/cms2418297/Recommendatio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cialstabilityboard.org/publications/r_121211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ur-lex.europa.eu/LexUriServ/LexUriServ.do?uri=OJ:L:2012:352:0020:0029:HU: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inancialstabilityboard.org/publications/r_130111a.pdf" TargetMode="External"/><Relationship Id="rId19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leiroc.org/publications/gls/lou_20131003_2.pdf" TargetMode="External"/><Relationship Id="rId14" Type="http://schemas.openxmlformats.org/officeDocument/2006/relationships/hyperlink" Target="http://www.financialstabilityboard.org/publications/r_120823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0E40724-8DFF-4FE2-9697-AF9D8990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Firák Erika</dc:creator>
  <cp:lastModifiedBy>Firák Erika</cp:lastModifiedBy>
  <cp:revision>1</cp:revision>
  <cp:lastPrinted>1900-12-31T23:00:00Z</cp:lastPrinted>
  <dcterms:created xsi:type="dcterms:W3CDTF">2015-01-30T11:50:00Z</dcterms:created>
  <dcterms:modified xsi:type="dcterms:W3CDTF">2015-01-30T11:53:00Z</dcterms:modified>
</cp:coreProperties>
</file>