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24A" w:rsidRDefault="00636827">
      <w:pPr>
        <w:pStyle w:val="Cmsor1"/>
        <w:numPr>
          <w:ilvl w:val="0"/>
          <w:numId w:val="0"/>
        </w:numPr>
        <w:spacing w:after="200"/>
        <w:jc w:val="center"/>
        <w:rPr>
          <w:rFonts w:asciiTheme="minorHAnsi" w:hAnsiTheme="minorHAnsi"/>
          <w:b/>
          <w:bCs w:val="0"/>
          <w:color w:val="00B0F0"/>
          <w:sz w:val="24"/>
          <w:szCs w:val="24"/>
          <w:lang w:val="en-GB"/>
        </w:rPr>
      </w:pPr>
      <w:bookmarkStart w:id="0" w:name="_GoBack"/>
      <w:r w:rsidRPr="0077302B">
        <w:rPr>
          <w:rFonts w:asciiTheme="minorHAnsi" w:hAnsiTheme="minorHAnsi"/>
          <w:bCs w:val="0"/>
          <w:color w:val="00B0F0"/>
          <w:sz w:val="24"/>
          <w:szCs w:val="24"/>
          <w:lang w:val="en-GB"/>
        </w:rPr>
        <w:t xml:space="preserve"> </w:t>
      </w:r>
      <w:r w:rsidR="00106F4E" w:rsidRPr="0077302B">
        <w:rPr>
          <w:rFonts w:asciiTheme="minorHAnsi" w:hAnsiTheme="minorHAnsi"/>
          <w:bCs w:val="0"/>
          <w:color w:val="00B0F0"/>
          <w:sz w:val="24"/>
          <w:szCs w:val="24"/>
          <w:lang w:val="en-GB"/>
        </w:rPr>
        <w:t>M</w:t>
      </w:r>
      <w:r w:rsidRPr="0077302B">
        <w:rPr>
          <w:rFonts w:asciiTheme="minorHAnsi" w:hAnsiTheme="minorHAnsi"/>
          <w:bCs w:val="0"/>
          <w:color w:val="00B0F0"/>
          <w:sz w:val="24"/>
          <w:szCs w:val="24"/>
          <w:lang w:val="en-GB"/>
        </w:rPr>
        <w:t xml:space="preserve">ethodological differences </w:t>
      </w:r>
      <w:proofErr w:type="spellStart"/>
      <w:r w:rsidRPr="0077302B">
        <w:rPr>
          <w:rFonts w:asciiTheme="minorHAnsi" w:hAnsiTheme="minorHAnsi"/>
          <w:bCs w:val="0"/>
          <w:color w:val="00B0F0"/>
          <w:sz w:val="24"/>
          <w:szCs w:val="24"/>
          <w:lang w:val="en-GB"/>
        </w:rPr>
        <w:t>in</w:t>
      </w:r>
      <w:proofErr w:type="spellEnd"/>
      <w:r w:rsidRPr="0077302B">
        <w:rPr>
          <w:rFonts w:asciiTheme="minorHAnsi" w:hAnsiTheme="minorHAnsi"/>
          <w:bCs w:val="0"/>
          <w:color w:val="00B0F0"/>
          <w:sz w:val="24"/>
          <w:szCs w:val="24"/>
          <w:lang w:val="en-GB"/>
        </w:rPr>
        <w:t xml:space="preserve"> respect of credit institutions between data </w:t>
      </w:r>
      <w:r w:rsidR="00106F4E" w:rsidRPr="0077302B">
        <w:rPr>
          <w:rFonts w:asciiTheme="minorHAnsi" w:hAnsiTheme="minorHAnsi"/>
          <w:bCs w:val="0"/>
          <w:color w:val="00B0F0"/>
          <w:sz w:val="24"/>
          <w:szCs w:val="24"/>
          <w:lang w:val="en-GB"/>
        </w:rPr>
        <w:t xml:space="preserve">publications </w:t>
      </w:r>
      <w:r w:rsidRPr="0077302B">
        <w:rPr>
          <w:rFonts w:asciiTheme="minorHAnsi" w:hAnsiTheme="minorHAnsi"/>
          <w:bCs w:val="0"/>
          <w:color w:val="00B0F0"/>
          <w:sz w:val="24"/>
          <w:szCs w:val="24"/>
          <w:lang w:val="en-GB"/>
        </w:rPr>
        <w:t xml:space="preserve">compiled on the basis of data </w:t>
      </w:r>
      <w:r w:rsidR="00106F4E" w:rsidRPr="0077302B">
        <w:rPr>
          <w:rFonts w:asciiTheme="minorHAnsi" w:hAnsiTheme="minorHAnsi"/>
          <w:bCs w:val="0"/>
          <w:color w:val="00B0F0"/>
          <w:sz w:val="24"/>
          <w:szCs w:val="24"/>
          <w:lang w:val="en-GB"/>
        </w:rPr>
        <w:t xml:space="preserve">collected </w:t>
      </w:r>
      <w:r w:rsidRPr="0077302B">
        <w:rPr>
          <w:rFonts w:asciiTheme="minorHAnsi" w:hAnsiTheme="minorHAnsi"/>
          <w:bCs w:val="0"/>
          <w:color w:val="00B0F0"/>
          <w:sz w:val="24"/>
          <w:szCs w:val="24"/>
          <w:lang w:val="en-GB"/>
        </w:rPr>
        <w:t xml:space="preserve">for supervisory purposes and the central bank’s statistical </w:t>
      </w:r>
      <w:r w:rsidR="00106F4E" w:rsidRPr="0077302B">
        <w:rPr>
          <w:rFonts w:asciiTheme="minorHAnsi" w:hAnsiTheme="minorHAnsi"/>
          <w:bCs w:val="0"/>
          <w:color w:val="00B0F0"/>
          <w:sz w:val="24"/>
          <w:szCs w:val="24"/>
          <w:lang w:val="en-GB"/>
        </w:rPr>
        <w:t>releases</w:t>
      </w:r>
    </w:p>
    <w:bookmarkEnd w:id="0"/>
    <w:p w:rsidR="00636827" w:rsidRPr="0077302B" w:rsidRDefault="00636827" w:rsidP="00637ED5">
      <w:pPr>
        <w:rPr>
          <w:rFonts w:asciiTheme="minorHAnsi" w:hAnsiTheme="minorHAnsi"/>
          <w:lang w:val="en-GB"/>
        </w:rPr>
      </w:pPr>
      <w:r w:rsidRPr="0077302B">
        <w:rPr>
          <w:rFonts w:asciiTheme="minorHAnsi" w:hAnsiTheme="minorHAnsi"/>
          <w:lang w:val="en-GB"/>
        </w:rPr>
        <w:t>A number of the MNB’s statistical releases and financial supervision-related publications on credit institutions address similar issues. Most of these data disclosures are based on some of the tables in the report entitled “Supervisory Balance Sheet and Income Statement”, which serves two different purposes. All data suppliers are identical in respect of both purposes, the only difference being that publications serving supervisory purposes are prepared in a manner that they are broken down by credit institution group.</w:t>
      </w:r>
    </w:p>
    <w:p w:rsidR="00636827" w:rsidRPr="0077302B" w:rsidRDefault="00636827" w:rsidP="00B61E12">
      <w:pPr>
        <w:rPr>
          <w:rFonts w:asciiTheme="minorHAnsi" w:hAnsiTheme="minorHAnsi" w:cs="Arial"/>
          <w:szCs w:val="20"/>
          <w:lang w:val="en-GB"/>
        </w:rPr>
      </w:pPr>
    </w:p>
    <w:p w:rsidR="00636827" w:rsidRPr="0077302B" w:rsidRDefault="00636827" w:rsidP="00637ED5">
      <w:pPr>
        <w:rPr>
          <w:rFonts w:asciiTheme="minorHAnsi" w:hAnsiTheme="minorHAnsi"/>
          <w:lang w:val="en-GB"/>
        </w:rPr>
      </w:pPr>
      <w:r w:rsidRPr="0077302B">
        <w:rPr>
          <w:rFonts w:asciiTheme="minorHAnsi" w:hAnsiTheme="minorHAnsi"/>
          <w:lang w:val="en-GB"/>
        </w:rPr>
        <w:t>There are a number of differences between publications serving statistical purposes and those serving supervisory purposes. Some are true for most data disclosed.</w:t>
      </w:r>
    </w:p>
    <w:p w:rsidR="00636827" w:rsidRPr="0077302B" w:rsidRDefault="00636827" w:rsidP="00326130">
      <w:pPr>
        <w:rPr>
          <w:rFonts w:asciiTheme="minorHAnsi" w:hAnsiTheme="minorHAnsi"/>
          <w:lang w:val="en-GB"/>
        </w:rPr>
      </w:pPr>
      <w:r w:rsidRPr="0077302B">
        <w:rPr>
          <w:rFonts w:asciiTheme="minorHAnsi" w:hAnsiTheme="minorHAnsi"/>
          <w:lang w:val="en-GB"/>
        </w:rPr>
        <w:t>They are as follows:</w:t>
      </w:r>
    </w:p>
    <w:p w:rsidR="00636827" w:rsidRPr="0077302B" w:rsidRDefault="00636827" w:rsidP="0053455E">
      <w:pPr>
        <w:pStyle w:val="Listaszerbekezds"/>
        <w:numPr>
          <w:ilvl w:val="0"/>
          <w:numId w:val="17"/>
        </w:numPr>
        <w:rPr>
          <w:rFonts w:asciiTheme="minorHAnsi" w:hAnsiTheme="minorHAnsi"/>
          <w:lang w:val="en-GB"/>
        </w:rPr>
      </w:pPr>
      <w:r w:rsidRPr="0077302B">
        <w:rPr>
          <w:rFonts w:asciiTheme="minorHAnsi" w:hAnsiTheme="minorHAnsi"/>
          <w:lang w:val="en-GB"/>
        </w:rPr>
        <w:t xml:space="preserve">We make some adjustments to data in the publications serving statistical purposes in respect of some securities lending and repurchase transactions. (A detailed description of the adjustments is available in the </w:t>
      </w:r>
      <w:hyperlink r:id="rId8" w:history="1">
        <w:proofErr w:type="spellStart"/>
        <w:r w:rsidR="0077302B" w:rsidRPr="005D14CE">
          <w:rPr>
            <w:rStyle w:val="Hiperhivatkozs"/>
            <w:rFonts w:asciiTheme="minorHAnsi" w:hAnsiTheme="minorHAnsi"/>
            <w:vertAlign w:val="baseline"/>
          </w:rPr>
          <w:t>Methodological</w:t>
        </w:r>
        <w:proofErr w:type="spellEnd"/>
        <w:r w:rsidR="0077302B" w:rsidRPr="005D14CE">
          <w:rPr>
            <w:rStyle w:val="Hiperhivatkozs"/>
            <w:rFonts w:asciiTheme="minorHAnsi" w:hAnsiTheme="minorHAnsi"/>
            <w:vertAlign w:val="baseline"/>
          </w:rPr>
          <w:t xml:space="preserve"> </w:t>
        </w:r>
        <w:proofErr w:type="spellStart"/>
        <w:r w:rsidR="0077302B" w:rsidRPr="005D14CE">
          <w:rPr>
            <w:rStyle w:val="Hiperhivatkozs"/>
            <w:rFonts w:asciiTheme="minorHAnsi" w:hAnsiTheme="minorHAnsi"/>
            <w:vertAlign w:val="baseline"/>
          </w:rPr>
          <w:t>notes</w:t>
        </w:r>
        <w:proofErr w:type="spellEnd"/>
      </w:hyperlink>
      <w:r w:rsidR="0077302B">
        <w:rPr>
          <w:rFonts w:asciiTheme="minorHAnsi" w:hAnsiTheme="minorHAnsi"/>
        </w:rPr>
        <w:t xml:space="preserve"> </w:t>
      </w:r>
      <w:r w:rsidRPr="0077302B">
        <w:rPr>
          <w:rFonts w:asciiTheme="minorHAnsi" w:hAnsiTheme="minorHAnsi"/>
          <w:lang w:val="en-GB"/>
        </w:rPr>
        <w:t>pertaining to the press release entitled “</w:t>
      </w:r>
      <w:r w:rsidR="00243AAE" w:rsidRPr="005D14CE">
        <w:rPr>
          <w:rFonts w:asciiTheme="minorHAnsi" w:hAnsiTheme="minorHAnsi"/>
          <w:lang w:val="en-GB"/>
        </w:rPr>
        <w:t>Aggregated</w:t>
      </w:r>
      <w:r w:rsidRPr="0077302B">
        <w:rPr>
          <w:rFonts w:asciiTheme="minorHAnsi" w:hAnsiTheme="minorHAnsi"/>
          <w:lang w:val="en-GB"/>
        </w:rPr>
        <w:t xml:space="preserve"> balance sheet of credit institutions”.)</w:t>
      </w:r>
    </w:p>
    <w:p w:rsidR="00636827" w:rsidRPr="0077302B" w:rsidRDefault="00636827" w:rsidP="0065078B">
      <w:pPr>
        <w:pStyle w:val="Listaszerbekezds"/>
        <w:keepNext/>
        <w:keepLines/>
        <w:numPr>
          <w:ilvl w:val="0"/>
          <w:numId w:val="17"/>
        </w:numPr>
        <w:rPr>
          <w:rFonts w:asciiTheme="minorHAnsi" w:hAnsiTheme="minorHAnsi"/>
          <w:lang w:val="en-GB"/>
        </w:rPr>
      </w:pPr>
      <w:r w:rsidRPr="0077302B">
        <w:rPr>
          <w:rFonts w:asciiTheme="minorHAnsi" w:hAnsiTheme="minorHAnsi"/>
          <w:lang w:val="en-GB"/>
        </w:rPr>
        <w:t>The liabilities shown in the tables in the financial supervision-related releases state both deposits and the credits received separately. Publications serving statistical purposes show the credits received as part of the deposits.</w:t>
      </w:r>
    </w:p>
    <w:p w:rsidR="00636827" w:rsidRPr="0077302B" w:rsidRDefault="00636827" w:rsidP="0065078B">
      <w:pPr>
        <w:pStyle w:val="Listaszerbekezds"/>
        <w:keepNext/>
        <w:keepLines/>
        <w:numPr>
          <w:ilvl w:val="0"/>
          <w:numId w:val="17"/>
        </w:numPr>
        <w:rPr>
          <w:rFonts w:asciiTheme="minorHAnsi" w:hAnsiTheme="minorHAnsi"/>
          <w:lang w:val="en-GB"/>
        </w:rPr>
      </w:pPr>
      <w:r w:rsidRPr="0077302B">
        <w:rPr>
          <w:rFonts w:asciiTheme="minorHAnsi" w:hAnsiTheme="minorHAnsi"/>
          <w:lang w:val="en-GB"/>
        </w:rPr>
        <w:t>The assets in the tables compiled for supervisory purposes show the deposits placed by credit institutions and the credits extended by credit institutions separately. Publications serving statistical purposes show deposits as part of credits.</w:t>
      </w:r>
    </w:p>
    <w:p w:rsidR="00636827" w:rsidRPr="0077302B" w:rsidRDefault="00636827" w:rsidP="0065078B">
      <w:pPr>
        <w:pStyle w:val="Listaszerbekezds"/>
        <w:numPr>
          <w:ilvl w:val="0"/>
          <w:numId w:val="17"/>
        </w:numPr>
        <w:rPr>
          <w:rFonts w:asciiTheme="minorHAnsi" w:hAnsiTheme="minorHAnsi"/>
          <w:lang w:val="en-GB"/>
        </w:rPr>
      </w:pPr>
      <w:r w:rsidRPr="0077302B">
        <w:rPr>
          <w:rFonts w:asciiTheme="minorHAnsi" w:hAnsiTheme="minorHAnsi"/>
          <w:lang w:val="en-GB"/>
        </w:rPr>
        <w:t xml:space="preserve">As regards statistical data, we remove </w:t>
      </w:r>
      <w:r w:rsidR="00243AAE" w:rsidRPr="005D14CE">
        <w:rPr>
          <w:rFonts w:asciiTheme="minorHAnsi" w:hAnsiTheme="minorHAnsi"/>
          <w:lang w:val="en-GB"/>
        </w:rPr>
        <w:t>own debt securities</w:t>
      </w:r>
      <w:r w:rsidRPr="0077302B">
        <w:rPr>
          <w:rFonts w:asciiTheme="minorHAnsi" w:hAnsiTheme="minorHAnsi"/>
          <w:lang w:val="en-GB"/>
        </w:rPr>
        <w:t xml:space="preserve"> from the balance sheet because they do not embody claims vis-à-vis any sector.</w:t>
      </w:r>
    </w:p>
    <w:p w:rsidR="00636827" w:rsidRPr="0077302B" w:rsidRDefault="00636827" w:rsidP="0065078B">
      <w:pPr>
        <w:pStyle w:val="Listaszerbekezds"/>
        <w:numPr>
          <w:ilvl w:val="0"/>
          <w:numId w:val="17"/>
        </w:numPr>
        <w:rPr>
          <w:rFonts w:asciiTheme="minorHAnsi" w:hAnsiTheme="minorHAnsi"/>
          <w:lang w:val="en-GB"/>
        </w:rPr>
      </w:pPr>
      <w:r w:rsidRPr="0077302B">
        <w:rPr>
          <w:rFonts w:asciiTheme="minorHAnsi" w:hAnsiTheme="minorHAnsi"/>
          <w:lang w:val="en-GB"/>
        </w:rPr>
        <w:t>Typically, publications serving statistical purposes contain data on all monetary financial institutions (MFI’s), including the MNB, credit institutions and money market funds. Publications for supervisory purposes do not contain any aggregate data on monetary financial institutions (MFI’s).</w:t>
      </w:r>
    </w:p>
    <w:p w:rsidR="00636827" w:rsidRPr="0077302B" w:rsidRDefault="00636827" w:rsidP="0065078B">
      <w:pPr>
        <w:pStyle w:val="Listaszerbekezds"/>
        <w:numPr>
          <w:ilvl w:val="0"/>
          <w:numId w:val="17"/>
        </w:numPr>
        <w:ind w:left="1077" w:hanging="357"/>
        <w:rPr>
          <w:rFonts w:asciiTheme="minorHAnsi" w:hAnsiTheme="minorHAnsi"/>
          <w:lang w:val="en-GB"/>
        </w:rPr>
      </w:pPr>
      <w:r w:rsidRPr="0077302B">
        <w:rPr>
          <w:rFonts w:asciiTheme="minorHAnsi" w:hAnsiTheme="minorHAnsi"/>
          <w:lang w:val="en-GB"/>
        </w:rPr>
        <w:t>Financial supervision-related publications also contain data on the branches of the Hungarian credit institutions operational abroad; in contrast, those for statistical purposes show claims and liabilities linked to these institutions as items related to credit institutions abroad.</w:t>
      </w:r>
    </w:p>
    <w:p w:rsidR="00636827" w:rsidRPr="0077302B" w:rsidRDefault="00636827" w:rsidP="005530AE">
      <w:pPr>
        <w:pStyle w:val="Listaszerbekezds"/>
        <w:keepNext/>
        <w:keepLines/>
        <w:numPr>
          <w:ilvl w:val="0"/>
          <w:numId w:val="17"/>
        </w:numPr>
        <w:rPr>
          <w:rFonts w:asciiTheme="minorHAnsi" w:hAnsiTheme="minorHAnsi"/>
          <w:lang w:val="en-GB"/>
        </w:rPr>
      </w:pPr>
      <w:r w:rsidRPr="0077302B">
        <w:rPr>
          <w:rFonts w:asciiTheme="minorHAnsi" w:hAnsiTheme="minorHAnsi"/>
          <w:lang w:val="en-GB"/>
        </w:rPr>
        <w:t>Disclosures for supervisory purposes show data separately on specialised (special-purpose) financial institutions, other credit institutions operating as companies</w:t>
      </w:r>
      <w:r w:rsidR="00243AAE">
        <w:rPr>
          <w:rFonts w:asciiTheme="minorHAnsi" w:hAnsiTheme="minorHAnsi"/>
          <w:lang w:val="en-GB"/>
        </w:rPr>
        <w:t xml:space="preserve"> limited by shares</w:t>
      </w:r>
      <w:r w:rsidRPr="0077302B">
        <w:rPr>
          <w:rFonts w:asciiTheme="minorHAnsi" w:hAnsiTheme="minorHAnsi"/>
          <w:lang w:val="en-GB"/>
        </w:rPr>
        <w:t xml:space="preserve">, credit co-operatives and branch operations. (Data on specialised (special-purpose) financial institutions are those on KELER Zrt., Eximbank Zrt., MFB Zrt. as well as </w:t>
      </w:r>
      <w:r w:rsidR="003C68DE" w:rsidRPr="0077302B">
        <w:rPr>
          <w:rFonts w:asciiTheme="minorHAnsi" w:hAnsiTheme="minorHAnsi"/>
          <w:lang w:val="en-GB"/>
        </w:rPr>
        <w:t>financial enterprises treated as equivalent to credit institutions under prudential requirements</w:t>
      </w:r>
      <w:r w:rsidRPr="0077302B">
        <w:rPr>
          <w:rFonts w:asciiTheme="minorHAnsi" w:hAnsiTheme="minorHAnsi"/>
          <w:lang w:val="en-GB"/>
        </w:rPr>
        <w:t>.) Disclosures for statistical purposes contain data on credit institutions operating as companies</w:t>
      </w:r>
      <w:r w:rsidR="00F94BAB">
        <w:rPr>
          <w:rFonts w:asciiTheme="minorHAnsi" w:hAnsiTheme="minorHAnsi"/>
          <w:lang w:val="en-GB"/>
        </w:rPr>
        <w:t xml:space="preserve"> limited by shares</w:t>
      </w:r>
      <w:r w:rsidRPr="0077302B">
        <w:rPr>
          <w:rFonts w:asciiTheme="minorHAnsi" w:hAnsiTheme="minorHAnsi"/>
          <w:lang w:val="en-GB"/>
        </w:rPr>
        <w:t xml:space="preserve">, credit co-operatives, </w:t>
      </w:r>
      <w:proofErr w:type="gramStart"/>
      <w:r w:rsidRPr="0077302B">
        <w:rPr>
          <w:rFonts w:asciiTheme="minorHAnsi" w:hAnsiTheme="minorHAnsi"/>
          <w:lang w:val="en-GB"/>
        </w:rPr>
        <w:t>branch</w:t>
      </w:r>
      <w:proofErr w:type="gramEnd"/>
      <w:r w:rsidRPr="0077302B">
        <w:rPr>
          <w:rFonts w:asciiTheme="minorHAnsi" w:hAnsiTheme="minorHAnsi"/>
          <w:lang w:val="en-GB"/>
        </w:rPr>
        <w:t xml:space="preserve"> operations, KELER Zrt., Eximbank Zrt. and MFB Zrt. aggregately.</w:t>
      </w:r>
    </w:p>
    <w:p w:rsidR="00636827" w:rsidRPr="0077302B" w:rsidRDefault="00636827" w:rsidP="00B61E12">
      <w:pPr>
        <w:rPr>
          <w:rFonts w:asciiTheme="minorHAnsi" w:hAnsiTheme="minorHAnsi" w:cs="Arial"/>
          <w:szCs w:val="20"/>
          <w:lang w:val="en-GB"/>
        </w:rPr>
      </w:pPr>
    </w:p>
    <w:p w:rsidR="00636827" w:rsidRPr="0077302B" w:rsidRDefault="00636827" w:rsidP="005530AE">
      <w:pPr>
        <w:rPr>
          <w:rFonts w:asciiTheme="minorHAnsi" w:hAnsiTheme="minorHAnsi"/>
          <w:lang w:val="en-GB"/>
        </w:rPr>
      </w:pPr>
      <w:r w:rsidRPr="0077302B">
        <w:rPr>
          <w:rFonts w:asciiTheme="minorHAnsi" w:hAnsiTheme="minorHAnsi"/>
          <w:lang w:val="en-GB"/>
        </w:rPr>
        <w:t>In addition to the above, further major methodological differences are as follows (our list is based on the structure of data disclosures for supervisory purposes):</w:t>
      </w:r>
    </w:p>
    <w:p w:rsidR="00636827" w:rsidRPr="0077302B" w:rsidRDefault="00AF0452" w:rsidP="004D1490">
      <w:pPr>
        <w:pStyle w:val="Listaszerbekezds"/>
        <w:numPr>
          <w:ilvl w:val="0"/>
          <w:numId w:val="0"/>
        </w:numPr>
        <w:ind w:left="360"/>
        <w:rPr>
          <w:rFonts w:asciiTheme="minorHAnsi" w:hAnsiTheme="minorHAnsi"/>
          <w:lang w:val="en-GB"/>
        </w:rPr>
      </w:pPr>
      <w:r w:rsidRPr="0077302B">
        <w:rPr>
          <w:rFonts w:asciiTheme="minorHAnsi" w:hAnsiTheme="minorHAnsi"/>
          <w:lang w:val="en-GB"/>
        </w:rPr>
        <w:t>M</w:t>
      </w:r>
      <w:r w:rsidR="00636827" w:rsidRPr="0077302B">
        <w:rPr>
          <w:rFonts w:asciiTheme="minorHAnsi" w:hAnsiTheme="minorHAnsi"/>
          <w:lang w:val="en-GB"/>
        </w:rPr>
        <w:t>onthly time series publications</w:t>
      </w:r>
      <w:r w:rsidRPr="0077302B">
        <w:rPr>
          <w:rFonts w:asciiTheme="minorHAnsi" w:hAnsiTheme="minorHAnsi"/>
          <w:lang w:val="en-GB"/>
        </w:rPr>
        <w:t xml:space="preserve"> of credit institutions</w:t>
      </w:r>
      <w:r w:rsidR="003C68DE" w:rsidRPr="0077302B">
        <w:rPr>
          <w:rFonts w:asciiTheme="minorHAnsi" w:hAnsiTheme="minorHAnsi"/>
          <w:lang w:val="en-GB"/>
        </w:rPr>
        <w:t xml:space="preserve"> -</w:t>
      </w:r>
      <w:r w:rsidR="00636827" w:rsidRPr="0077302B">
        <w:rPr>
          <w:rFonts w:asciiTheme="minorHAnsi" w:hAnsiTheme="minorHAnsi"/>
          <w:lang w:val="en-GB"/>
        </w:rPr>
        <w:t xml:space="preserve"> assets and liabilities – composition of assets and liabilities</w:t>
      </w:r>
    </w:p>
    <w:p w:rsidR="00636827" w:rsidRPr="0077302B" w:rsidRDefault="00636827" w:rsidP="00E94E9A">
      <w:pPr>
        <w:pStyle w:val="Listaszerbekezds"/>
        <w:numPr>
          <w:ilvl w:val="0"/>
          <w:numId w:val="17"/>
        </w:numPr>
        <w:rPr>
          <w:rFonts w:asciiTheme="minorHAnsi" w:hAnsiTheme="minorHAnsi"/>
          <w:lang w:val="en-GB"/>
        </w:rPr>
      </w:pPr>
      <w:r w:rsidRPr="0077302B">
        <w:rPr>
          <w:rFonts w:asciiTheme="minorHAnsi" w:hAnsiTheme="minorHAnsi"/>
          <w:lang w:val="en-GB"/>
        </w:rPr>
        <w:lastRenderedPageBreak/>
        <w:t>Data disclosures for supervisory purposes show credits at their net book value, while those for statistical purposes at their gross book value.</w:t>
      </w:r>
    </w:p>
    <w:p w:rsidR="00636827" w:rsidRPr="0077302B" w:rsidRDefault="00636827" w:rsidP="004D1490">
      <w:pPr>
        <w:pStyle w:val="Listaszerbekezds"/>
        <w:numPr>
          <w:ilvl w:val="0"/>
          <w:numId w:val="17"/>
        </w:numPr>
        <w:rPr>
          <w:rFonts w:asciiTheme="minorHAnsi" w:hAnsiTheme="minorHAnsi"/>
          <w:lang w:val="en-GB"/>
        </w:rPr>
      </w:pPr>
      <w:r w:rsidRPr="0077302B">
        <w:rPr>
          <w:rFonts w:asciiTheme="minorHAnsi" w:hAnsiTheme="minorHAnsi"/>
          <w:lang w:val="en-GB"/>
        </w:rPr>
        <w:t>When adjustments are made to data on subordinated loan capital, in statistical data releases data on some credit institution-issued securities held by the central government are shown in the category of the deposits placed by the government.</w:t>
      </w:r>
    </w:p>
    <w:p w:rsidR="00636827" w:rsidRPr="0077302B" w:rsidRDefault="00636827" w:rsidP="00B61E12">
      <w:pPr>
        <w:rPr>
          <w:rFonts w:asciiTheme="minorHAnsi" w:hAnsiTheme="minorHAnsi" w:cs="Arial"/>
          <w:szCs w:val="20"/>
          <w:lang w:val="en-GB"/>
        </w:rPr>
      </w:pPr>
    </w:p>
    <w:p w:rsidR="00636827" w:rsidRPr="0077302B" w:rsidRDefault="00622FBF" w:rsidP="004D1490">
      <w:pPr>
        <w:pStyle w:val="Listaszerbekezds"/>
        <w:keepNext/>
        <w:keepLines/>
        <w:numPr>
          <w:ilvl w:val="0"/>
          <w:numId w:val="0"/>
        </w:numPr>
        <w:ind w:left="360"/>
        <w:rPr>
          <w:rFonts w:asciiTheme="minorHAnsi" w:hAnsiTheme="minorHAnsi"/>
          <w:lang w:val="en-GB"/>
        </w:rPr>
      </w:pPr>
      <w:r w:rsidRPr="0077302B">
        <w:rPr>
          <w:rFonts w:asciiTheme="minorHAnsi" w:hAnsiTheme="minorHAnsi"/>
          <w:lang w:val="en-GB"/>
        </w:rPr>
        <w:t>M</w:t>
      </w:r>
      <w:r w:rsidR="00636827" w:rsidRPr="0077302B">
        <w:rPr>
          <w:rFonts w:asciiTheme="minorHAnsi" w:hAnsiTheme="minorHAnsi"/>
          <w:lang w:val="en-GB"/>
        </w:rPr>
        <w:t>onthly time series publications</w:t>
      </w:r>
      <w:r w:rsidRPr="0077302B">
        <w:rPr>
          <w:rFonts w:asciiTheme="minorHAnsi" w:hAnsiTheme="minorHAnsi"/>
          <w:lang w:val="en-GB"/>
        </w:rPr>
        <w:t xml:space="preserve"> of credit institutions -</w:t>
      </w:r>
      <w:r w:rsidR="00636827" w:rsidRPr="0077302B">
        <w:rPr>
          <w:rFonts w:asciiTheme="minorHAnsi" w:hAnsiTheme="minorHAnsi"/>
          <w:lang w:val="en-GB"/>
        </w:rPr>
        <w:t xml:space="preserve"> assets and liabilities – composition of credits</w:t>
      </w:r>
    </w:p>
    <w:p w:rsidR="00636827" w:rsidRPr="0077302B" w:rsidRDefault="00636827" w:rsidP="00DD0B21">
      <w:pPr>
        <w:pStyle w:val="Listaszerbekezds"/>
        <w:keepNext/>
        <w:keepLines/>
        <w:numPr>
          <w:ilvl w:val="0"/>
          <w:numId w:val="17"/>
        </w:numPr>
        <w:rPr>
          <w:rFonts w:asciiTheme="minorHAnsi" w:hAnsiTheme="minorHAnsi"/>
          <w:lang w:val="en-GB"/>
        </w:rPr>
      </w:pPr>
      <w:r w:rsidRPr="0077302B">
        <w:rPr>
          <w:rFonts w:asciiTheme="minorHAnsi" w:hAnsiTheme="minorHAnsi"/>
          <w:lang w:val="en-GB"/>
        </w:rPr>
        <w:t xml:space="preserve">Credits extended to ancillary undertakings are shown separately in data disclosures for supervisory purposes, while </w:t>
      </w:r>
      <w:r w:rsidR="00194A3C" w:rsidRPr="0077302B">
        <w:rPr>
          <w:rFonts w:asciiTheme="minorHAnsi" w:hAnsiTheme="minorHAnsi"/>
          <w:lang w:val="en-GB"/>
        </w:rPr>
        <w:t xml:space="preserve">in statistical data releases </w:t>
      </w:r>
      <w:r w:rsidRPr="0077302B">
        <w:rPr>
          <w:rFonts w:asciiTheme="minorHAnsi" w:hAnsiTheme="minorHAnsi"/>
          <w:lang w:val="en-GB"/>
        </w:rPr>
        <w:t>they are shown as part of the data on credits to non-financial corporations.</w:t>
      </w:r>
    </w:p>
    <w:p w:rsidR="00636827" w:rsidRPr="0077302B" w:rsidRDefault="00636827" w:rsidP="000A6036">
      <w:pPr>
        <w:pStyle w:val="Listaszerbekezds"/>
        <w:keepNext/>
        <w:keepLines/>
        <w:numPr>
          <w:ilvl w:val="0"/>
          <w:numId w:val="0"/>
        </w:numPr>
        <w:ind w:left="1080"/>
        <w:rPr>
          <w:rFonts w:asciiTheme="minorHAnsi" w:hAnsiTheme="minorHAnsi" w:cs="Arial"/>
          <w:szCs w:val="20"/>
          <w:lang w:val="en-GB"/>
        </w:rPr>
      </w:pPr>
    </w:p>
    <w:p w:rsidR="00636827" w:rsidRPr="0077302B" w:rsidRDefault="006C7975" w:rsidP="001B6CAA">
      <w:pPr>
        <w:keepNext/>
        <w:keepLines/>
        <w:ind w:left="426" w:hanging="69"/>
        <w:rPr>
          <w:rFonts w:asciiTheme="minorHAnsi" w:hAnsiTheme="minorHAnsi"/>
          <w:lang w:val="en-GB"/>
        </w:rPr>
      </w:pPr>
      <w:r w:rsidRPr="0077302B">
        <w:rPr>
          <w:rFonts w:asciiTheme="minorHAnsi" w:hAnsiTheme="minorHAnsi"/>
          <w:lang w:val="en-GB"/>
        </w:rPr>
        <w:t>M</w:t>
      </w:r>
      <w:r w:rsidR="00636827" w:rsidRPr="0077302B">
        <w:rPr>
          <w:rFonts w:asciiTheme="minorHAnsi" w:hAnsiTheme="minorHAnsi"/>
          <w:lang w:val="en-GB"/>
        </w:rPr>
        <w:t>onthly time series publications</w:t>
      </w:r>
      <w:r w:rsidRPr="0077302B">
        <w:rPr>
          <w:rFonts w:asciiTheme="minorHAnsi" w:hAnsiTheme="minorHAnsi"/>
          <w:lang w:val="en-GB"/>
        </w:rPr>
        <w:t xml:space="preserve"> of credit institutions -</w:t>
      </w:r>
      <w:r w:rsidR="00636827" w:rsidRPr="0077302B">
        <w:rPr>
          <w:rFonts w:asciiTheme="minorHAnsi" w:hAnsiTheme="minorHAnsi"/>
          <w:lang w:val="en-GB"/>
        </w:rPr>
        <w:t xml:space="preserve"> assets an</w:t>
      </w:r>
      <w:r w:rsidR="001B6CAA" w:rsidRPr="0077302B">
        <w:rPr>
          <w:rFonts w:asciiTheme="minorHAnsi" w:hAnsiTheme="minorHAnsi"/>
          <w:lang w:val="en-GB"/>
        </w:rPr>
        <w:t xml:space="preserve">d liabilities – developments in </w:t>
      </w:r>
      <w:r w:rsidR="00636827" w:rsidRPr="0077302B">
        <w:rPr>
          <w:rFonts w:asciiTheme="minorHAnsi" w:hAnsiTheme="minorHAnsi"/>
          <w:lang w:val="en-GB"/>
        </w:rPr>
        <w:t>direct foreign liabilities</w:t>
      </w:r>
    </w:p>
    <w:p w:rsidR="00636827" w:rsidRPr="0077302B" w:rsidRDefault="00636827" w:rsidP="00DD0B21">
      <w:pPr>
        <w:pStyle w:val="Listaszerbekezds"/>
        <w:keepNext/>
        <w:keepLines/>
        <w:numPr>
          <w:ilvl w:val="0"/>
          <w:numId w:val="22"/>
        </w:numPr>
        <w:ind w:hanging="357"/>
        <w:rPr>
          <w:rFonts w:asciiTheme="minorHAnsi" w:hAnsiTheme="minorHAnsi"/>
          <w:lang w:val="en-GB"/>
        </w:rPr>
      </w:pPr>
      <w:r w:rsidRPr="0077302B">
        <w:rPr>
          <w:rFonts w:asciiTheme="minorHAnsi" w:hAnsiTheme="minorHAnsi"/>
          <w:lang w:val="en-GB"/>
        </w:rPr>
        <w:t>Tables in data disclosures for supervisory purposes treat securities issued abroad as foreign liabilities. In contrast, relying on reports by custodians, data disclosures for statistical purposes treat securities in foreign ownership, irrespective of their place of issuance, as liabilities.</w:t>
      </w:r>
    </w:p>
    <w:p w:rsidR="00636827" w:rsidRPr="0077302B" w:rsidRDefault="00636827" w:rsidP="00B61E12">
      <w:pPr>
        <w:keepNext/>
        <w:keepLines/>
        <w:rPr>
          <w:rFonts w:asciiTheme="minorHAnsi" w:hAnsiTheme="minorHAnsi" w:cs="Arial"/>
          <w:szCs w:val="20"/>
          <w:lang w:val="en-GB"/>
        </w:rPr>
      </w:pPr>
    </w:p>
    <w:p w:rsidR="00636827" w:rsidRPr="0077302B" w:rsidRDefault="00805837" w:rsidP="00DD0B21">
      <w:pPr>
        <w:keepNext/>
        <w:keepLines/>
        <w:ind w:left="357"/>
        <w:rPr>
          <w:rFonts w:asciiTheme="minorHAnsi" w:hAnsiTheme="minorHAnsi"/>
          <w:lang w:val="en-GB"/>
        </w:rPr>
      </w:pPr>
      <w:r w:rsidRPr="0077302B">
        <w:rPr>
          <w:rFonts w:asciiTheme="minorHAnsi" w:hAnsiTheme="minorHAnsi"/>
          <w:lang w:val="en-GB"/>
        </w:rPr>
        <w:t>M</w:t>
      </w:r>
      <w:r w:rsidR="00636827" w:rsidRPr="0077302B">
        <w:rPr>
          <w:rFonts w:asciiTheme="minorHAnsi" w:hAnsiTheme="minorHAnsi"/>
          <w:lang w:val="en-GB"/>
        </w:rPr>
        <w:t>onthly time series publications</w:t>
      </w:r>
      <w:r w:rsidRPr="0077302B">
        <w:rPr>
          <w:rFonts w:asciiTheme="minorHAnsi" w:hAnsiTheme="minorHAnsi"/>
          <w:lang w:val="en-GB"/>
        </w:rPr>
        <w:t xml:space="preserve"> of credit institutions</w:t>
      </w:r>
      <w:r w:rsidR="00636827" w:rsidRPr="0077302B">
        <w:rPr>
          <w:rFonts w:asciiTheme="minorHAnsi" w:hAnsiTheme="minorHAnsi"/>
          <w:lang w:val="en-GB"/>
        </w:rPr>
        <w:t>; assets and liabilities – composition of domestic deposits</w:t>
      </w:r>
    </w:p>
    <w:p w:rsidR="00636827" w:rsidRPr="0077302B" w:rsidRDefault="00636827" w:rsidP="00BD73F2">
      <w:pPr>
        <w:pStyle w:val="Listaszerbekezds"/>
        <w:keepNext/>
        <w:keepLines/>
        <w:numPr>
          <w:ilvl w:val="0"/>
          <w:numId w:val="22"/>
        </w:numPr>
        <w:rPr>
          <w:rFonts w:asciiTheme="minorHAnsi" w:hAnsiTheme="minorHAnsi"/>
          <w:lang w:val="en-GB"/>
        </w:rPr>
      </w:pPr>
      <w:r w:rsidRPr="0077302B">
        <w:rPr>
          <w:rFonts w:asciiTheme="minorHAnsi" w:hAnsiTheme="minorHAnsi"/>
          <w:lang w:val="en-GB"/>
        </w:rPr>
        <w:t>Disclosures for supervisory purposes show items related to ancillary undertakings separately. Disclosures for statistical purposes show them along with credits to non-financial corporations.</w:t>
      </w:r>
    </w:p>
    <w:p w:rsidR="00636827" w:rsidRPr="0077302B" w:rsidRDefault="00636827" w:rsidP="00B61E12">
      <w:pPr>
        <w:keepNext/>
        <w:keepLines/>
        <w:rPr>
          <w:rFonts w:asciiTheme="minorHAnsi" w:hAnsiTheme="minorHAnsi" w:cs="Arial"/>
          <w:szCs w:val="20"/>
          <w:lang w:val="en-GB"/>
        </w:rPr>
      </w:pPr>
    </w:p>
    <w:p w:rsidR="00636827" w:rsidRPr="0077302B" w:rsidRDefault="00636827" w:rsidP="002334CF">
      <w:pPr>
        <w:keepNext/>
        <w:keepLines/>
        <w:rPr>
          <w:rFonts w:asciiTheme="minorHAnsi" w:hAnsiTheme="minorHAnsi"/>
          <w:lang w:val="en-GB"/>
        </w:rPr>
      </w:pPr>
      <w:r w:rsidRPr="0077302B">
        <w:rPr>
          <w:rFonts w:asciiTheme="minorHAnsi" w:hAnsiTheme="minorHAnsi"/>
          <w:lang w:val="en-GB"/>
        </w:rPr>
        <w:t>Furthermore, there are data releases, having, in part, topics in common, which are based on Table</w:t>
      </w:r>
      <w:r w:rsidR="00885AEF" w:rsidRPr="0077302B">
        <w:rPr>
          <w:rFonts w:asciiTheme="minorHAnsi" w:hAnsiTheme="minorHAnsi"/>
          <w:lang w:val="en-GB"/>
        </w:rPr>
        <w:t>group</w:t>
      </w:r>
      <w:r w:rsidRPr="0077302B">
        <w:rPr>
          <w:rFonts w:asciiTheme="minorHAnsi" w:hAnsiTheme="minorHAnsi"/>
          <w:lang w:val="en-GB"/>
        </w:rPr>
        <w:t xml:space="preserve"> 8 in reports for supervisory purposes</w:t>
      </w:r>
      <w:r w:rsidR="00F94BAB">
        <w:rPr>
          <w:rFonts w:asciiTheme="minorHAnsi" w:hAnsiTheme="minorHAnsi"/>
          <w:lang w:val="en-GB"/>
        </w:rPr>
        <w:t>,</w:t>
      </w:r>
      <w:r w:rsidRPr="0077302B">
        <w:rPr>
          <w:rFonts w:asciiTheme="minorHAnsi" w:hAnsiTheme="minorHAnsi"/>
          <w:lang w:val="en-GB"/>
        </w:rPr>
        <w:t xml:space="preserve"> </w:t>
      </w:r>
      <w:r w:rsidR="00F94BAB" w:rsidRPr="005D14CE">
        <w:rPr>
          <w:rFonts w:asciiTheme="minorHAnsi" w:hAnsiTheme="minorHAnsi"/>
          <w:lang w:val="en-GB"/>
        </w:rPr>
        <w:t xml:space="preserve">not on </w:t>
      </w:r>
      <w:r w:rsidRPr="0077302B">
        <w:rPr>
          <w:rFonts w:asciiTheme="minorHAnsi" w:hAnsiTheme="minorHAnsi"/>
          <w:lang w:val="en-GB"/>
        </w:rPr>
        <w:t>the balance sheet for supervisory purposes. The reports generated on the basis of Table</w:t>
      </w:r>
      <w:r w:rsidR="00DD6A04" w:rsidRPr="0077302B">
        <w:rPr>
          <w:rFonts w:asciiTheme="minorHAnsi" w:hAnsiTheme="minorHAnsi"/>
          <w:lang w:val="en-GB"/>
        </w:rPr>
        <w:t>group</w:t>
      </w:r>
      <w:r w:rsidRPr="0077302B">
        <w:rPr>
          <w:rFonts w:asciiTheme="minorHAnsi" w:hAnsiTheme="minorHAnsi"/>
          <w:lang w:val="en-GB"/>
        </w:rPr>
        <w:t xml:space="preserve"> 8 are comparable with “Composition of credits to households” based on data collection H34.</w:t>
      </w:r>
    </w:p>
    <w:p w:rsidR="00636827" w:rsidRPr="0077302B" w:rsidRDefault="00636827" w:rsidP="002334CF">
      <w:pPr>
        <w:keepNext/>
        <w:keepLines/>
        <w:rPr>
          <w:rFonts w:asciiTheme="minorHAnsi" w:hAnsiTheme="minorHAnsi"/>
          <w:lang w:val="en-GB"/>
        </w:rPr>
      </w:pPr>
      <w:r w:rsidRPr="0077302B">
        <w:rPr>
          <w:rFonts w:asciiTheme="minorHAnsi" w:hAnsiTheme="minorHAnsi"/>
          <w:lang w:val="en-GB"/>
        </w:rPr>
        <w:t>The main difference between the data from the two data sources is that H34 only contains data on credits to households, while its counterpart for supervisory purposes records data on all credits. Moreover, there are differences in data suppliers as well: Branch operations with a balance sheet total of less than HUF 100 billion and credit co-operatives do not report data for H34.</w:t>
      </w:r>
    </w:p>
    <w:p w:rsidR="00636827" w:rsidRPr="0077302B" w:rsidRDefault="00636827" w:rsidP="00577553">
      <w:pPr>
        <w:keepNext/>
        <w:keepLines/>
        <w:rPr>
          <w:rFonts w:asciiTheme="minorHAnsi" w:hAnsiTheme="minorHAnsi"/>
          <w:lang w:val="en-GB"/>
        </w:rPr>
      </w:pPr>
      <w:r w:rsidRPr="0077302B">
        <w:rPr>
          <w:rFonts w:asciiTheme="minorHAnsi" w:hAnsiTheme="minorHAnsi"/>
          <w:lang w:val="en-GB"/>
        </w:rPr>
        <w:t xml:space="preserve">Data disclosures for supervisory purposes based on Table 8PBB (time series and detailed statistics on credit institutions) differ from publications for statistical purposes compiled on the basis on Table H34 in that the latter also shows net values. </w:t>
      </w:r>
    </w:p>
    <w:p w:rsidR="00636827" w:rsidRPr="0077302B" w:rsidRDefault="00636827" w:rsidP="00B61E12">
      <w:pPr>
        <w:keepNext/>
        <w:keepLines/>
        <w:rPr>
          <w:rFonts w:asciiTheme="minorHAnsi" w:hAnsiTheme="minorHAnsi" w:cs="Arial"/>
          <w:szCs w:val="20"/>
          <w:lang w:val="en-GB"/>
        </w:rPr>
      </w:pPr>
    </w:p>
    <w:p w:rsidR="00636827" w:rsidRPr="0077302B" w:rsidRDefault="00636827" w:rsidP="00A654AA">
      <w:pPr>
        <w:keepNext/>
        <w:keepLines/>
        <w:rPr>
          <w:rFonts w:asciiTheme="minorHAnsi" w:hAnsiTheme="minorHAnsi"/>
          <w:lang w:val="en-GB"/>
        </w:rPr>
      </w:pPr>
      <w:r w:rsidRPr="0077302B">
        <w:rPr>
          <w:rFonts w:asciiTheme="minorHAnsi" w:hAnsiTheme="minorHAnsi"/>
          <w:lang w:val="en-GB"/>
        </w:rPr>
        <w:t>21 October 2013</w:t>
      </w:r>
    </w:p>
    <w:p w:rsidR="00636827" w:rsidRPr="0077302B" w:rsidRDefault="00636827" w:rsidP="00B61E12">
      <w:pPr>
        <w:keepNext/>
        <w:keepLines/>
        <w:rPr>
          <w:rFonts w:asciiTheme="minorHAnsi" w:hAnsiTheme="minorHAnsi" w:cs="Arial"/>
          <w:szCs w:val="20"/>
          <w:lang w:val="en-GB"/>
        </w:rPr>
      </w:pPr>
    </w:p>
    <w:p w:rsidR="00636827" w:rsidRPr="0077302B" w:rsidRDefault="00636827" w:rsidP="00B61E12">
      <w:pPr>
        <w:ind w:left="360"/>
        <w:rPr>
          <w:rFonts w:asciiTheme="minorHAnsi" w:hAnsiTheme="minorHAnsi" w:cs="Arial"/>
          <w:szCs w:val="20"/>
          <w:lang w:val="en-GB"/>
        </w:rPr>
      </w:pPr>
    </w:p>
    <w:sectPr w:rsidR="00636827" w:rsidRPr="0077302B" w:rsidSect="00CD6E8D">
      <w:headerReference w:type="default" r:id="rId9"/>
      <w:footerReference w:type="default" r:id="rId10"/>
      <w:pgSz w:w="11906" w:h="16838" w:code="9"/>
      <w:pgMar w:top="1418" w:right="1191" w:bottom="1418" w:left="119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24A" w:rsidRDefault="00B3124A">
      <w:r>
        <w:separator/>
      </w:r>
    </w:p>
  </w:endnote>
  <w:endnote w:type="continuationSeparator" w:id="0">
    <w:p w:rsidR="00B3124A" w:rsidRDefault="00B312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4A" w:rsidRPr="00AC6950" w:rsidRDefault="00B3124A" w:rsidP="00AC6950">
    <w:pPr>
      <w:tabs>
        <w:tab w:val="left" w:pos="8460"/>
      </w:tabs>
      <w:rPr>
        <w:sz w:val="18"/>
        <w:szCs w:val="18"/>
      </w:rPr>
    </w:pPr>
    <w:r w:rsidRPr="00AC6950">
      <w:rPr>
        <w:sz w:val="18"/>
        <w:szCs w:val="18"/>
      </w:rPr>
      <w:tab/>
    </w:r>
    <w:r w:rsidR="00830408" w:rsidRPr="00AC6950">
      <w:rPr>
        <w:sz w:val="18"/>
        <w:szCs w:val="18"/>
      </w:rPr>
      <w:fldChar w:fldCharType="begin"/>
    </w:r>
    <w:r w:rsidRPr="00AC6950">
      <w:rPr>
        <w:sz w:val="18"/>
        <w:szCs w:val="18"/>
      </w:rPr>
      <w:instrText xml:space="preserve"> PAGE </w:instrText>
    </w:r>
    <w:r w:rsidR="00830408" w:rsidRPr="00AC6950">
      <w:rPr>
        <w:sz w:val="18"/>
        <w:szCs w:val="18"/>
      </w:rPr>
      <w:fldChar w:fldCharType="separate"/>
    </w:r>
    <w:r w:rsidR="00D718B3">
      <w:rPr>
        <w:noProof/>
        <w:sz w:val="18"/>
        <w:szCs w:val="18"/>
      </w:rPr>
      <w:t>2</w:t>
    </w:r>
    <w:r w:rsidR="00830408" w:rsidRPr="00AC6950">
      <w:rPr>
        <w:sz w:val="18"/>
        <w:szCs w:val="18"/>
      </w:rPr>
      <w:fldChar w:fldCharType="end"/>
    </w:r>
    <w:r w:rsidRPr="00AC6950">
      <w:rPr>
        <w:sz w:val="18"/>
        <w:szCs w:val="18"/>
      </w:rPr>
      <w:t>/</w:t>
    </w:r>
    <w:r w:rsidR="00830408" w:rsidRPr="00AC6950">
      <w:rPr>
        <w:sz w:val="18"/>
        <w:szCs w:val="18"/>
      </w:rPr>
      <w:fldChar w:fldCharType="begin"/>
    </w:r>
    <w:r w:rsidRPr="00AC6950">
      <w:rPr>
        <w:sz w:val="18"/>
        <w:szCs w:val="18"/>
      </w:rPr>
      <w:instrText xml:space="preserve"> NUMPAGES </w:instrText>
    </w:r>
    <w:r w:rsidR="00830408" w:rsidRPr="00AC6950">
      <w:rPr>
        <w:sz w:val="18"/>
        <w:szCs w:val="18"/>
      </w:rPr>
      <w:fldChar w:fldCharType="separate"/>
    </w:r>
    <w:r w:rsidR="00D718B3">
      <w:rPr>
        <w:noProof/>
        <w:sz w:val="18"/>
        <w:szCs w:val="18"/>
      </w:rPr>
      <w:t>2</w:t>
    </w:r>
    <w:r w:rsidR="00830408" w:rsidRPr="00AC6950">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24A" w:rsidRDefault="00B3124A">
      <w:r>
        <w:separator/>
      </w:r>
    </w:p>
  </w:footnote>
  <w:footnote w:type="continuationSeparator" w:id="0">
    <w:p w:rsidR="00B3124A" w:rsidRDefault="00B31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24A" w:rsidRPr="00AC6950" w:rsidRDefault="00B3124A" w:rsidP="008349B3">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7A2F"/>
    <w:multiLevelType w:val="hybridMultilevel"/>
    <w:tmpl w:val="0A5A70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A417FAE"/>
    <w:multiLevelType w:val="hybridMultilevel"/>
    <w:tmpl w:val="637E37EE"/>
    <w:lvl w:ilvl="0" w:tplc="0E6E1112">
      <w:numFmt w:val="bullet"/>
      <w:lvlText w:val="•"/>
      <w:lvlJc w:val="left"/>
      <w:pPr>
        <w:ind w:left="1080" w:hanging="360"/>
      </w:pPr>
      <w:rPr>
        <w:rFonts w:ascii="Trebuchet MS" w:eastAsia="Times New Roman" w:hAnsi="Trebuchet MS"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nsid w:val="0C804214"/>
    <w:multiLevelType w:val="hybridMultilevel"/>
    <w:tmpl w:val="5C824A10"/>
    <w:lvl w:ilvl="0" w:tplc="EAAE92FC">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0C1751B"/>
    <w:multiLevelType w:val="hybridMultilevel"/>
    <w:tmpl w:val="A2B6ABE4"/>
    <w:lvl w:ilvl="0" w:tplc="0E6E1112">
      <w:numFmt w:val="bullet"/>
      <w:lvlText w:val="•"/>
      <w:lvlJc w:val="left"/>
      <w:pPr>
        <w:ind w:left="720" w:hanging="360"/>
      </w:pPr>
      <w:rPr>
        <w:rFonts w:ascii="Trebuchet MS" w:eastAsia="Times New Roman" w:hAnsi="Trebuchet M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10E678CE"/>
    <w:multiLevelType w:val="hybridMultilevel"/>
    <w:tmpl w:val="F2066416"/>
    <w:lvl w:ilvl="0" w:tplc="DBE0A04C">
      <w:start w:val="1"/>
      <w:numFmt w:val="decimal"/>
      <w:lvlText w:val="%1."/>
      <w:lvlJc w:val="left"/>
      <w:pPr>
        <w:ind w:left="420" w:hanging="360"/>
      </w:pPr>
      <w:rPr>
        <w:rFonts w:cs="Times New Roman"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6143817"/>
    <w:multiLevelType w:val="hybridMultilevel"/>
    <w:tmpl w:val="D2360F34"/>
    <w:lvl w:ilvl="0" w:tplc="040E000F">
      <w:start w:val="1"/>
      <w:numFmt w:val="decimal"/>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1825068E"/>
    <w:multiLevelType w:val="hybridMultilevel"/>
    <w:tmpl w:val="1DD00AA6"/>
    <w:lvl w:ilvl="0" w:tplc="FEB4E9AC">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nsid w:val="191026C6"/>
    <w:multiLevelType w:val="hybridMultilevel"/>
    <w:tmpl w:val="E5883F44"/>
    <w:lvl w:ilvl="0" w:tplc="0E6E1112">
      <w:numFmt w:val="bullet"/>
      <w:lvlText w:val="•"/>
      <w:lvlJc w:val="left"/>
      <w:pPr>
        <w:ind w:left="1080" w:hanging="360"/>
      </w:pPr>
      <w:rPr>
        <w:rFonts w:ascii="Trebuchet MS" w:eastAsia="Times New Roman" w:hAnsi="Trebuchet MS"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nsid w:val="1E253B15"/>
    <w:multiLevelType w:val="multilevel"/>
    <w:tmpl w:val="E8AEFF86"/>
    <w:styleLink w:val="Style1"/>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3">
    <w:nsid w:val="26611A32"/>
    <w:multiLevelType w:val="hybridMultilevel"/>
    <w:tmpl w:val="69600C2C"/>
    <w:lvl w:ilvl="0" w:tplc="9744B0DC">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5">
    <w:nsid w:val="340F6734"/>
    <w:multiLevelType w:val="hybridMultilevel"/>
    <w:tmpl w:val="0380A57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418C66E8"/>
    <w:multiLevelType w:val="hybridMultilevel"/>
    <w:tmpl w:val="52562992"/>
    <w:lvl w:ilvl="0" w:tplc="1B88AE36">
      <w:start w:val="1"/>
      <w:numFmt w:val="bullet"/>
      <w:pStyle w:val="Listaszerbekezds"/>
      <w:lvlText w:val=""/>
      <w:lvlJc w:val="left"/>
      <w:pPr>
        <w:ind w:left="720" w:hanging="360"/>
      </w:pPr>
      <w:rPr>
        <w:rFonts w:ascii="Symbol" w:hAnsi="Symbol" w:hint="default"/>
        <w:b/>
        <w:color w:val="4BACC6" w:themeColor="accent5"/>
        <w:sz w:val="24"/>
      </w:rPr>
    </w:lvl>
    <w:lvl w:ilvl="1" w:tplc="1242D2E6">
      <w:start w:val="1"/>
      <w:numFmt w:val="bullet"/>
      <w:lvlText w:val="o"/>
      <w:lvlJc w:val="left"/>
      <w:pPr>
        <w:ind w:left="1440" w:hanging="360"/>
      </w:pPr>
      <w:rPr>
        <w:rFonts w:ascii="Courier New" w:hAnsi="Courier New" w:hint="default"/>
        <w:b/>
        <w:color w:val="4BACC6" w:themeColor="accent5"/>
        <w:sz w:val="24"/>
      </w:rPr>
    </w:lvl>
    <w:lvl w:ilvl="2" w:tplc="AA782C4A">
      <w:start w:val="1"/>
      <w:numFmt w:val="bullet"/>
      <w:pStyle w:val="Listaszerbekezds3szint"/>
      <w:lvlText w:val=""/>
      <w:lvlJc w:val="left"/>
      <w:pPr>
        <w:ind w:left="2160" w:hanging="360"/>
      </w:pPr>
      <w:rPr>
        <w:rFonts w:ascii="Wingdings" w:hAnsi="Wingdings" w:cstheme="minorHAnsi" w:hint="default"/>
        <w:b/>
        <w:color w:val="4BACC6" w:themeColor="accent5"/>
        <w:sz w:val="24"/>
      </w:rPr>
    </w:lvl>
    <w:lvl w:ilvl="3" w:tplc="BA9A1B8A">
      <w:start w:val="1"/>
      <w:numFmt w:val="bullet"/>
      <w:lvlText w:val=""/>
      <w:lvlJc w:val="left"/>
      <w:pPr>
        <w:ind w:left="2880" w:hanging="360"/>
      </w:pPr>
      <w:rPr>
        <w:rFonts w:ascii="Symbol" w:hAnsi="Symbol" w:cstheme="minorHAnsi" w:hint="default"/>
        <w:b/>
        <w:color w:val="4BACC6"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nsid w:val="49436493"/>
    <w:multiLevelType w:val="hybridMultilevel"/>
    <w:tmpl w:val="4CDE6D5A"/>
    <w:lvl w:ilvl="0" w:tplc="0E6E1112">
      <w:numFmt w:val="bullet"/>
      <w:lvlText w:val="•"/>
      <w:lvlJc w:val="left"/>
      <w:pPr>
        <w:ind w:left="720" w:hanging="360"/>
      </w:pPr>
      <w:rPr>
        <w:rFonts w:ascii="Trebuchet MS" w:eastAsia="Times New Roman" w:hAnsi="Trebuchet M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49A2110B"/>
    <w:multiLevelType w:val="hybridMultilevel"/>
    <w:tmpl w:val="4AF4D86E"/>
    <w:lvl w:ilvl="0" w:tplc="D7C8B1F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nsid w:val="4CAD4E7A"/>
    <w:multiLevelType w:val="hybridMultilevel"/>
    <w:tmpl w:val="FAAAFCC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0">
    <w:nsid w:val="50E104BE"/>
    <w:multiLevelType w:val="hybridMultilevel"/>
    <w:tmpl w:val="0212CA4A"/>
    <w:lvl w:ilvl="0" w:tplc="2F26554E">
      <w:start w:val="1"/>
      <w:numFmt w:val="decimal"/>
      <w:lvlText w:val="%1."/>
      <w:lvlJc w:val="left"/>
      <w:pPr>
        <w:ind w:left="420" w:hanging="360"/>
      </w:pPr>
      <w:rPr>
        <w:rFonts w:cs="Times New Roman"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1">
    <w:nsid w:val="562B7523"/>
    <w:multiLevelType w:val="hybridMultilevel"/>
    <w:tmpl w:val="16A4D1E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5C1A0E22"/>
    <w:multiLevelType w:val="hybridMultilevel"/>
    <w:tmpl w:val="E6F24EEE"/>
    <w:lvl w:ilvl="0" w:tplc="0E6E1112">
      <w:numFmt w:val="bullet"/>
      <w:lvlText w:val="•"/>
      <w:lvlJc w:val="left"/>
      <w:pPr>
        <w:ind w:left="1080" w:hanging="360"/>
      </w:pPr>
      <w:rPr>
        <w:rFonts w:ascii="Trebuchet MS" w:eastAsia="Times New Roman" w:hAnsi="Trebuchet MS"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3">
    <w:nsid w:val="5FF635BB"/>
    <w:multiLevelType w:val="hybridMultilevel"/>
    <w:tmpl w:val="E5E2B3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69B20EA5"/>
    <w:multiLevelType w:val="hybridMultilevel"/>
    <w:tmpl w:val="FAC86D4A"/>
    <w:lvl w:ilvl="0" w:tplc="D8FA8BEE">
      <w:start w:val="1"/>
      <w:numFmt w:val="bullet"/>
      <w:lvlText w:val=""/>
      <w:lvlJc w:val="left"/>
      <w:pPr>
        <w:ind w:left="1440" w:hanging="360"/>
      </w:pPr>
      <w:rPr>
        <w:rFonts w:ascii="Symbol" w:hAnsi="Symbol" w:hint="default"/>
        <w:color w:val="auto"/>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5">
    <w:nsid w:val="6C485DA9"/>
    <w:multiLevelType w:val="hybridMultilevel"/>
    <w:tmpl w:val="25769DA4"/>
    <w:lvl w:ilvl="0" w:tplc="22B86AC2">
      <w:start w:val="3"/>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6">
    <w:nsid w:val="6F322B13"/>
    <w:multiLevelType w:val="hybridMultilevel"/>
    <w:tmpl w:val="802CA3B0"/>
    <w:lvl w:ilvl="0" w:tplc="127091E8">
      <w:start w:val="1"/>
      <w:numFmt w:val="bullet"/>
      <w:pStyle w:val="Listaszerbekezds2szint"/>
      <w:lvlText w:val="o"/>
      <w:lvlJc w:val="left"/>
      <w:pPr>
        <w:ind w:left="1800" w:hanging="360"/>
      </w:pPr>
      <w:rPr>
        <w:rFonts w:ascii="Courier New" w:hAnsi="Courier New" w:hint="default"/>
        <w:b/>
        <w:color w:val="4BACC6" w:themeColor="accent5"/>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7">
    <w:nsid w:val="6F571D46"/>
    <w:multiLevelType w:val="hybridMultilevel"/>
    <w:tmpl w:val="4F502A62"/>
    <w:lvl w:ilvl="0" w:tplc="0E6E1112">
      <w:numFmt w:val="bullet"/>
      <w:lvlText w:val="•"/>
      <w:lvlJc w:val="left"/>
      <w:pPr>
        <w:ind w:left="720" w:hanging="360"/>
      </w:pPr>
      <w:rPr>
        <w:rFonts w:ascii="Trebuchet MS" w:eastAsia="Times New Roman" w:hAnsi="Trebuchet M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nsid w:val="6FE021CE"/>
    <w:multiLevelType w:val="hybridMultilevel"/>
    <w:tmpl w:val="39BE84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nsid w:val="700F39AD"/>
    <w:multiLevelType w:val="hybridMultilevel"/>
    <w:tmpl w:val="50E4953A"/>
    <w:lvl w:ilvl="0" w:tplc="040E0001">
      <w:start w:val="1"/>
      <w:numFmt w:val="bullet"/>
      <w:lvlText w:val=""/>
      <w:lvlJc w:val="left"/>
      <w:pPr>
        <w:ind w:left="720" w:hanging="360"/>
      </w:pPr>
      <w:rPr>
        <w:rFonts w:ascii="Symbol" w:hAnsi="Symbol" w:hint="default"/>
      </w:rPr>
    </w:lvl>
    <w:lvl w:ilvl="1" w:tplc="683EB060">
      <w:numFmt w:val="bullet"/>
      <w:lvlText w:val="•"/>
      <w:lvlJc w:val="left"/>
      <w:pPr>
        <w:ind w:left="1440" w:hanging="360"/>
      </w:pPr>
      <w:rPr>
        <w:rFonts w:ascii="Trebuchet MS" w:eastAsia="Times New Roman" w:hAnsi="Trebuchet M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nsid w:val="733C17D8"/>
    <w:multiLevelType w:val="hybridMultilevel"/>
    <w:tmpl w:val="C066ADFC"/>
    <w:lvl w:ilvl="0" w:tplc="0E6E1112">
      <w:numFmt w:val="bullet"/>
      <w:lvlText w:val="•"/>
      <w:lvlJc w:val="left"/>
      <w:pPr>
        <w:ind w:left="1080" w:hanging="360"/>
      </w:pPr>
      <w:rPr>
        <w:rFonts w:ascii="Trebuchet MS" w:eastAsia="Times New Roman" w:hAnsi="Trebuchet MS"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1">
    <w:nsid w:val="786C1A37"/>
    <w:multiLevelType w:val="hybridMultilevel"/>
    <w:tmpl w:val="D02CA192"/>
    <w:lvl w:ilvl="0" w:tplc="0E6E1112">
      <w:numFmt w:val="bullet"/>
      <w:lvlText w:val="•"/>
      <w:lvlJc w:val="left"/>
      <w:pPr>
        <w:ind w:left="720" w:hanging="360"/>
      </w:pPr>
      <w:rPr>
        <w:rFonts w:ascii="Trebuchet MS" w:eastAsia="Times New Roman" w:hAnsi="Trebuchet M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7F6B0B90"/>
    <w:multiLevelType w:val="hybridMultilevel"/>
    <w:tmpl w:val="948C2E64"/>
    <w:lvl w:ilvl="0" w:tplc="EE062076">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12"/>
  </w:num>
  <w:num w:numId="2">
    <w:abstractNumId w:val="7"/>
  </w:num>
  <w:num w:numId="3">
    <w:abstractNumId w:val="14"/>
  </w:num>
  <w:num w:numId="4">
    <w:abstractNumId w:val="3"/>
  </w:num>
  <w:num w:numId="5">
    <w:abstractNumId w:val="4"/>
  </w:num>
  <w:num w:numId="6">
    <w:abstractNumId w:val="16"/>
  </w:num>
  <w:num w:numId="7">
    <w:abstractNumId w:val="9"/>
  </w:num>
  <w:num w:numId="8">
    <w:abstractNumId w:val="26"/>
  </w:num>
  <w:num w:numId="9">
    <w:abstractNumId w:val="16"/>
    <w:lvlOverride w:ilvl="0">
      <w:startOverride w:val="1"/>
    </w:lvlOverride>
  </w:num>
  <w:num w:numId="10">
    <w:abstractNumId w:val="8"/>
  </w:num>
  <w:num w:numId="11">
    <w:abstractNumId w:val="0"/>
  </w:num>
  <w:num w:numId="12">
    <w:abstractNumId w:val="24"/>
  </w:num>
  <w:num w:numId="13">
    <w:abstractNumId w:val="19"/>
  </w:num>
  <w:num w:numId="14">
    <w:abstractNumId w:val="29"/>
  </w:num>
  <w:num w:numId="15">
    <w:abstractNumId w:val="21"/>
  </w:num>
  <w:num w:numId="16">
    <w:abstractNumId w:val="27"/>
  </w:num>
  <w:num w:numId="17">
    <w:abstractNumId w:val="1"/>
  </w:num>
  <w:num w:numId="18">
    <w:abstractNumId w:val="15"/>
  </w:num>
  <w:num w:numId="19">
    <w:abstractNumId w:val="5"/>
  </w:num>
  <w:num w:numId="20">
    <w:abstractNumId w:val="22"/>
  </w:num>
  <w:num w:numId="21">
    <w:abstractNumId w:val="31"/>
  </w:num>
  <w:num w:numId="22">
    <w:abstractNumId w:val="11"/>
  </w:num>
  <w:num w:numId="23">
    <w:abstractNumId w:val="17"/>
  </w:num>
  <w:num w:numId="24">
    <w:abstractNumId w:val="30"/>
  </w:num>
  <w:num w:numId="25">
    <w:abstractNumId w:val="6"/>
  </w:num>
  <w:num w:numId="26">
    <w:abstractNumId w:val="20"/>
  </w:num>
  <w:num w:numId="27">
    <w:abstractNumId w:val="28"/>
  </w:num>
  <w:num w:numId="28">
    <w:abstractNumId w:val="25"/>
  </w:num>
  <w:num w:numId="29">
    <w:abstractNumId w:val="2"/>
  </w:num>
  <w:num w:numId="30">
    <w:abstractNumId w:val="13"/>
  </w:num>
  <w:num w:numId="31">
    <w:abstractNumId w:val="10"/>
  </w:num>
  <w:num w:numId="32">
    <w:abstractNumId w:val="32"/>
  </w:num>
  <w:num w:numId="33">
    <w:abstractNumId w:val="23"/>
  </w:num>
  <w:num w:numId="34">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linkStyles/>
  <w:stylePaneFormatFilter w:val="7004"/>
  <w:defaultTabStop w:val="709"/>
  <w:hyphenationZone w:val="425"/>
  <w:noPunctuationKerning/>
  <w:characterSpacingControl w:val="doNotCompress"/>
  <w:footnotePr>
    <w:footnote w:id="-1"/>
    <w:footnote w:id="0"/>
  </w:footnotePr>
  <w:endnotePr>
    <w:endnote w:id="-1"/>
    <w:endnote w:id="0"/>
  </w:endnotePr>
  <w:compat/>
  <w:rsids>
    <w:rsidRoot w:val="00C57D41"/>
    <w:rsid w:val="0000273C"/>
    <w:rsid w:val="00017B1B"/>
    <w:rsid w:val="000225C0"/>
    <w:rsid w:val="0002498B"/>
    <w:rsid w:val="000250E6"/>
    <w:rsid w:val="00027695"/>
    <w:rsid w:val="00027B62"/>
    <w:rsid w:val="00033357"/>
    <w:rsid w:val="00035697"/>
    <w:rsid w:val="0004403C"/>
    <w:rsid w:val="00052BB6"/>
    <w:rsid w:val="00053F1D"/>
    <w:rsid w:val="00055685"/>
    <w:rsid w:val="0005577F"/>
    <w:rsid w:val="00057014"/>
    <w:rsid w:val="00060148"/>
    <w:rsid w:val="00062B2D"/>
    <w:rsid w:val="00063216"/>
    <w:rsid w:val="0006374F"/>
    <w:rsid w:val="00064546"/>
    <w:rsid w:val="00067BE2"/>
    <w:rsid w:val="00067C0C"/>
    <w:rsid w:val="00070684"/>
    <w:rsid w:val="000767F4"/>
    <w:rsid w:val="0008131E"/>
    <w:rsid w:val="00081934"/>
    <w:rsid w:val="000831EC"/>
    <w:rsid w:val="00087E97"/>
    <w:rsid w:val="0009683C"/>
    <w:rsid w:val="000A3A63"/>
    <w:rsid w:val="000A6036"/>
    <w:rsid w:val="000A71F3"/>
    <w:rsid w:val="000B17A3"/>
    <w:rsid w:val="000B1DC0"/>
    <w:rsid w:val="000B2278"/>
    <w:rsid w:val="000B43AD"/>
    <w:rsid w:val="000B4CC7"/>
    <w:rsid w:val="000B7BF1"/>
    <w:rsid w:val="000C2918"/>
    <w:rsid w:val="000C53AA"/>
    <w:rsid w:val="000C701E"/>
    <w:rsid w:val="000C701F"/>
    <w:rsid w:val="000D1C8B"/>
    <w:rsid w:val="000D1E44"/>
    <w:rsid w:val="000D2919"/>
    <w:rsid w:val="000D3A5E"/>
    <w:rsid w:val="000D40AE"/>
    <w:rsid w:val="000D4F61"/>
    <w:rsid w:val="000D5162"/>
    <w:rsid w:val="000D5F26"/>
    <w:rsid w:val="000E2CBD"/>
    <w:rsid w:val="000E4EE3"/>
    <w:rsid w:val="000E6A55"/>
    <w:rsid w:val="000F2438"/>
    <w:rsid w:val="000F2858"/>
    <w:rsid w:val="000F2AE0"/>
    <w:rsid w:val="000F30B8"/>
    <w:rsid w:val="000F5224"/>
    <w:rsid w:val="000F59FA"/>
    <w:rsid w:val="000F5E12"/>
    <w:rsid w:val="000F68FE"/>
    <w:rsid w:val="00101654"/>
    <w:rsid w:val="0010447E"/>
    <w:rsid w:val="0010496C"/>
    <w:rsid w:val="001049D1"/>
    <w:rsid w:val="00106F4E"/>
    <w:rsid w:val="00110868"/>
    <w:rsid w:val="00111785"/>
    <w:rsid w:val="00113C88"/>
    <w:rsid w:val="0012112A"/>
    <w:rsid w:val="001255A4"/>
    <w:rsid w:val="00132260"/>
    <w:rsid w:val="00133A51"/>
    <w:rsid w:val="001356A6"/>
    <w:rsid w:val="00135788"/>
    <w:rsid w:val="001357D0"/>
    <w:rsid w:val="00136260"/>
    <w:rsid w:val="001421CC"/>
    <w:rsid w:val="00143691"/>
    <w:rsid w:val="00150045"/>
    <w:rsid w:val="00152DBF"/>
    <w:rsid w:val="0016017C"/>
    <w:rsid w:val="00163A68"/>
    <w:rsid w:val="00166F6C"/>
    <w:rsid w:val="001747F6"/>
    <w:rsid w:val="00176330"/>
    <w:rsid w:val="00176909"/>
    <w:rsid w:val="0018359E"/>
    <w:rsid w:val="00184CA4"/>
    <w:rsid w:val="001870A7"/>
    <w:rsid w:val="00187CAB"/>
    <w:rsid w:val="00194A3C"/>
    <w:rsid w:val="00197350"/>
    <w:rsid w:val="001A2BAA"/>
    <w:rsid w:val="001B12FF"/>
    <w:rsid w:val="001B16CC"/>
    <w:rsid w:val="001B3486"/>
    <w:rsid w:val="001B6C38"/>
    <w:rsid w:val="001B6CAA"/>
    <w:rsid w:val="001C0FAA"/>
    <w:rsid w:val="001C24F1"/>
    <w:rsid w:val="001C466F"/>
    <w:rsid w:val="001C5C33"/>
    <w:rsid w:val="001C7BDF"/>
    <w:rsid w:val="001D0C86"/>
    <w:rsid w:val="001D4211"/>
    <w:rsid w:val="001D4D51"/>
    <w:rsid w:val="001D5999"/>
    <w:rsid w:val="001D59FD"/>
    <w:rsid w:val="001D60A8"/>
    <w:rsid w:val="001D7401"/>
    <w:rsid w:val="001D78B3"/>
    <w:rsid w:val="001E34FF"/>
    <w:rsid w:val="001E4231"/>
    <w:rsid w:val="001E621D"/>
    <w:rsid w:val="001F0066"/>
    <w:rsid w:val="001F0E5D"/>
    <w:rsid w:val="001F1610"/>
    <w:rsid w:val="001F2BC5"/>
    <w:rsid w:val="001F3061"/>
    <w:rsid w:val="002012AD"/>
    <w:rsid w:val="00206642"/>
    <w:rsid w:val="00213AF4"/>
    <w:rsid w:val="00214230"/>
    <w:rsid w:val="0021484C"/>
    <w:rsid w:val="00215F61"/>
    <w:rsid w:val="0022056B"/>
    <w:rsid w:val="00226B67"/>
    <w:rsid w:val="0022764E"/>
    <w:rsid w:val="002334CF"/>
    <w:rsid w:val="00234BA1"/>
    <w:rsid w:val="00240C97"/>
    <w:rsid w:val="002410B8"/>
    <w:rsid w:val="00243AAE"/>
    <w:rsid w:val="0024525F"/>
    <w:rsid w:val="002522F1"/>
    <w:rsid w:val="002602F5"/>
    <w:rsid w:val="002611AE"/>
    <w:rsid w:val="0026180A"/>
    <w:rsid w:val="00270724"/>
    <w:rsid w:val="00272221"/>
    <w:rsid w:val="00273052"/>
    <w:rsid w:val="0027402D"/>
    <w:rsid w:val="002752FE"/>
    <w:rsid w:val="002866DE"/>
    <w:rsid w:val="00287D15"/>
    <w:rsid w:val="00290D47"/>
    <w:rsid w:val="00292177"/>
    <w:rsid w:val="002A3B0E"/>
    <w:rsid w:val="002B3674"/>
    <w:rsid w:val="002B4D45"/>
    <w:rsid w:val="002B6B78"/>
    <w:rsid w:val="002B6D25"/>
    <w:rsid w:val="002B78E0"/>
    <w:rsid w:val="002C253B"/>
    <w:rsid w:val="002C6088"/>
    <w:rsid w:val="002C728F"/>
    <w:rsid w:val="002C7AB8"/>
    <w:rsid w:val="002C7D4D"/>
    <w:rsid w:val="002C7DD0"/>
    <w:rsid w:val="002D2D87"/>
    <w:rsid w:val="002D3E5D"/>
    <w:rsid w:val="002D5E55"/>
    <w:rsid w:val="002E40EC"/>
    <w:rsid w:val="002F0F78"/>
    <w:rsid w:val="002F34ED"/>
    <w:rsid w:val="002F3FBE"/>
    <w:rsid w:val="002F602F"/>
    <w:rsid w:val="00302136"/>
    <w:rsid w:val="003074C4"/>
    <w:rsid w:val="00310071"/>
    <w:rsid w:val="00313246"/>
    <w:rsid w:val="003231ED"/>
    <w:rsid w:val="00324F17"/>
    <w:rsid w:val="00324FBE"/>
    <w:rsid w:val="00325E06"/>
    <w:rsid w:val="00326130"/>
    <w:rsid w:val="00327A74"/>
    <w:rsid w:val="0033596E"/>
    <w:rsid w:val="00336792"/>
    <w:rsid w:val="00337EA9"/>
    <w:rsid w:val="00341BB5"/>
    <w:rsid w:val="00343614"/>
    <w:rsid w:val="003441CC"/>
    <w:rsid w:val="00347509"/>
    <w:rsid w:val="0035153B"/>
    <w:rsid w:val="003524A6"/>
    <w:rsid w:val="003548F7"/>
    <w:rsid w:val="00354DF8"/>
    <w:rsid w:val="0036296B"/>
    <w:rsid w:val="003701D4"/>
    <w:rsid w:val="003704B1"/>
    <w:rsid w:val="00371D01"/>
    <w:rsid w:val="003728FE"/>
    <w:rsid w:val="00373BD2"/>
    <w:rsid w:val="0037696F"/>
    <w:rsid w:val="00380643"/>
    <w:rsid w:val="003811DD"/>
    <w:rsid w:val="003824BF"/>
    <w:rsid w:val="003827F0"/>
    <w:rsid w:val="00391B59"/>
    <w:rsid w:val="00395B14"/>
    <w:rsid w:val="00395D13"/>
    <w:rsid w:val="00397F34"/>
    <w:rsid w:val="00397F68"/>
    <w:rsid w:val="003A334A"/>
    <w:rsid w:val="003B0EE4"/>
    <w:rsid w:val="003B0EEA"/>
    <w:rsid w:val="003B12B2"/>
    <w:rsid w:val="003B46BE"/>
    <w:rsid w:val="003C0D7A"/>
    <w:rsid w:val="003C5699"/>
    <w:rsid w:val="003C68DE"/>
    <w:rsid w:val="003D04DD"/>
    <w:rsid w:val="003D13A9"/>
    <w:rsid w:val="003D52BC"/>
    <w:rsid w:val="003F000E"/>
    <w:rsid w:val="003F10A0"/>
    <w:rsid w:val="003F128A"/>
    <w:rsid w:val="003F450E"/>
    <w:rsid w:val="0041484F"/>
    <w:rsid w:val="00417EF7"/>
    <w:rsid w:val="00423D50"/>
    <w:rsid w:val="00427377"/>
    <w:rsid w:val="0043276D"/>
    <w:rsid w:val="004330EA"/>
    <w:rsid w:val="00434DC6"/>
    <w:rsid w:val="00442ABF"/>
    <w:rsid w:val="004451FE"/>
    <w:rsid w:val="00453087"/>
    <w:rsid w:val="00455A38"/>
    <w:rsid w:val="00457BAC"/>
    <w:rsid w:val="00462A56"/>
    <w:rsid w:val="00465939"/>
    <w:rsid w:val="0047029F"/>
    <w:rsid w:val="004729CE"/>
    <w:rsid w:val="00474131"/>
    <w:rsid w:val="00475DC4"/>
    <w:rsid w:val="00480FCC"/>
    <w:rsid w:val="0048183A"/>
    <w:rsid w:val="00491483"/>
    <w:rsid w:val="004918EF"/>
    <w:rsid w:val="004919C2"/>
    <w:rsid w:val="00494C89"/>
    <w:rsid w:val="004A14A7"/>
    <w:rsid w:val="004A58E3"/>
    <w:rsid w:val="004A5C23"/>
    <w:rsid w:val="004A5F09"/>
    <w:rsid w:val="004B1A68"/>
    <w:rsid w:val="004D1490"/>
    <w:rsid w:val="004D270F"/>
    <w:rsid w:val="004D455D"/>
    <w:rsid w:val="004D7635"/>
    <w:rsid w:val="004E2BA2"/>
    <w:rsid w:val="004E54FC"/>
    <w:rsid w:val="004F193A"/>
    <w:rsid w:val="004F1BAA"/>
    <w:rsid w:val="004F369B"/>
    <w:rsid w:val="004F42D5"/>
    <w:rsid w:val="004F72B9"/>
    <w:rsid w:val="0050045B"/>
    <w:rsid w:val="00501172"/>
    <w:rsid w:val="00503A99"/>
    <w:rsid w:val="00504F27"/>
    <w:rsid w:val="0050657B"/>
    <w:rsid w:val="005072E9"/>
    <w:rsid w:val="00513B1F"/>
    <w:rsid w:val="00514424"/>
    <w:rsid w:val="0051486A"/>
    <w:rsid w:val="005149CD"/>
    <w:rsid w:val="00514AE9"/>
    <w:rsid w:val="00516455"/>
    <w:rsid w:val="00517847"/>
    <w:rsid w:val="0052546E"/>
    <w:rsid w:val="0052584F"/>
    <w:rsid w:val="00525886"/>
    <w:rsid w:val="005312FD"/>
    <w:rsid w:val="0053455E"/>
    <w:rsid w:val="00535E29"/>
    <w:rsid w:val="00544934"/>
    <w:rsid w:val="005530AE"/>
    <w:rsid w:val="00557A68"/>
    <w:rsid w:val="00561175"/>
    <w:rsid w:val="005648EE"/>
    <w:rsid w:val="00571C3C"/>
    <w:rsid w:val="005763C5"/>
    <w:rsid w:val="00576475"/>
    <w:rsid w:val="00577553"/>
    <w:rsid w:val="00581D24"/>
    <w:rsid w:val="005835F1"/>
    <w:rsid w:val="0058459E"/>
    <w:rsid w:val="00586D4D"/>
    <w:rsid w:val="005A011E"/>
    <w:rsid w:val="005A3DDE"/>
    <w:rsid w:val="005A788E"/>
    <w:rsid w:val="005B0A26"/>
    <w:rsid w:val="005B27F6"/>
    <w:rsid w:val="005B5D21"/>
    <w:rsid w:val="005C31B3"/>
    <w:rsid w:val="005C3F73"/>
    <w:rsid w:val="005C498A"/>
    <w:rsid w:val="005C4F2D"/>
    <w:rsid w:val="005C5BB7"/>
    <w:rsid w:val="005C6EEA"/>
    <w:rsid w:val="005D0255"/>
    <w:rsid w:val="005D1A2C"/>
    <w:rsid w:val="005D7D81"/>
    <w:rsid w:val="005F2607"/>
    <w:rsid w:val="005F3818"/>
    <w:rsid w:val="005F3DC3"/>
    <w:rsid w:val="005F3E3D"/>
    <w:rsid w:val="00602F0C"/>
    <w:rsid w:val="00603723"/>
    <w:rsid w:val="00603C72"/>
    <w:rsid w:val="00610E45"/>
    <w:rsid w:val="00611248"/>
    <w:rsid w:val="00616F4E"/>
    <w:rsid w:val="00622FBF"/>
    <w:rsid w:val="00627BFA"/>
    <w:rsid w:val="00635FD0"/>
    <w:rsid w:val="00636827"/>
    <w:rsid w:val="00637ED5"/>
    <w:rsid w:val="00642A07"/>
    <w:rsid w:val="00643529"/>
    <w:rsid w:val="00643CB4"/>
    <w:rsid w:val="00644BE4"/>
    <w:rsid w:val="00646254"/>
    <w:rsid w:val="0065078B"/>
    <w:rsid w:val="00665ACE"/>
    <w:rsid w:val="00672E20"/>
    <w:rsid w:val="0067570F"/>
    <w:rsid w:val="006809B4"/>
    <w:rsid w:val="00681108"/>
    <w:rsid w:val="006813FD"/>
    <w:rsid w:val="00687DDC"/>
    <w:rsid w:val="00690C97"/>
    <w:rsid w:val="0069441B"/>
    <w:rsid w:val="00694ACA"/>
    <w:rsid w:val="006A54BA"/>
    <w:rsid w:val="006A66EB"/>
    <w:rsid w:val="006B0392"/>
    <w:rsid w:val="006B2726"/>
    <w:rsid w:val="006C1B86"/>
    <w:rsid w:val="006C2C3D"/>
    <w:rsid w:val="006C4871"/>
    <w:rsid w:val="006C4D61"/>
    <w:rsid w:val="006C700F"/>
    <w:rsid w:val="006C7975"/>
    <w:rsid w:val="006D3867"/>
    <w:rsid w:val="006E31E3"/>
    <w:rsid w:val="006E45F8"/>
    <w:rsid w:val="006E5F78"/>
    <w:rsid w:val="006F0376"/>
    <w:rsid w:val="006F39C8"/>
    <w:rsid w:val="006F5D02"/>
    <w:rsid w:val="006F6144"/>
    <w:rsid w:val="00702E90"/>
    <w:rsid w:val="00703E97"/>
    <w:rsid w:val="00707C38"/>
    <w:rsid w:val="00715C3F"/>
    <w:rsid w:val="007236B8"/>
    <w:rsid w:val="0072398E"/>
    <w:rsid w:val="00723EBC"/>
    <w:rsid w:val="00732D87"/>
    <w:rsid w:val="00734E2E"/>
    <w:rsid w:val="00737660"/>
    <w:rsid w:val="007376E0"/>
    <w:rsid w:val="0074016B"/>
    <w:rsid w:val="00741973"/>
    <w:rsid w:val="00744A1F"/>
    <w:rsid w:val="00746D82"/>
    <w:rsid w:val="007474DD"/>
    <w:rsid w:val="007545A1"/>
    <w:rsid w:val="00754A11"/>
    <w:rsid w:val="007666E3"/>
    <w:rsid w:val="00767683"/>
    <w:rsid w:val="00767D3F"/>
    <w:rsid w:val="007711F6"/>
    <w:rsid w:val="00771C14"/>
    <w:rsid w:val="0077302B"/>
    <w:rsid w:val="00774306"/>
    <w:rsid w:val="00774957"/>
    <w:rsid w:val="00782B80"/>
    <w:rsid w:val="00786EF4"/>
    <w:rsid w:val="00791092"/>
    <w:rsid w:val="007913EE"/>
    <w:rsid w:val="007922AF"/>
    <w:rsid w:val="00792C7B"/>
    <w:rsid w:val="00795DAC"/>
    <w:rsid w:val="007A2BE7"/>
    <w:rsid w:val="007A5B9C"/>
    <w:rsid w:val="007B1174"/>
    <w:rsid w:val="007B39B9"/>
    <w:rsid w:val="007B7FC8"/>
    <w:rsid w:val="007D4241"/>
    <w:rsid w:val="007D67A3"/>
    <w:rsid w:val="007D7E92"/>
    <w:rsid w:val="007E0286"/>
    <w:rsid w:val="007E2687"/>
    <w:rsid w:val="007E6D34"/>
    <w:rsid w:val="007F197C"/>
    <w:rsid w:val="007F1D57"/>
    <w:rsid w:val="007F7CBA"/>
    <w:rsid w:val="007F7E59"/>
    <w:rsid w:val="00805837"/>
    <w:rsid w:val="008101D3"/>
    <w:rsid w:val="00823B7E"/>
    <w:rsid w:val="0082515F"/>
    <w:rsid w:val="00830408"/>
    <w:rsid w:val="0083252A"/>
    <w:rsid w:val="008349B3"/>
    <w:rsid w:val="00835ED9"/>
    <w:rsid w:val="008370C0"/>
    <w:rsid w:val="00840065"/>
    <w:rsid w:val="00840EF0"/>
    <w:rsid w:val="0084168D"/>
    <w:rsid w:val="00844283"/>
    <w:rsid w:val="008442C4"/>
    <w:rsid w:val="0084582F"/>
    <w:rsid w:val="00847C0A"/>
    <w:rsid w:val="008512C4"/>
    <w:rsid w:val="008528A0"/>
    <w:rsid w:val="00860131"/>
    <w:rsid w:val="00860860"/>
    <w:rsid w:val="00864468"/>
    <w:rsid w:val="00866547"/>
    <w:rsid w:val="00880B37"/>
    <w:rsid w:val="00885AEF"/>
    <w:rsid w:val="00887E8A"/>
    <w:rsid w:val="008935BD"/>
    <w:rsid w:val="008936DF"/>
    <w:rsid w:val="008A1C40"/>
    <w:rsid w:val="008B0F14"/>
    <w:rsid w:val="008B61E3"/>
    <w:rsid w:val="008C474C"/>
    <w:rsid w:val="008C56D8"/>
    <w:rsid w:val="008D1474"/>
    <w:rsid w:val="008D6221"/>
    <w:rsid w:val="008E1371"/>
    <w:rsid w:val="008E26F2"/>
    <w:rsid w:val="008E3579"/>
    <w:rsid w:val="008F6828"/>
    <w:rsid w:val="00903AC3"/>
    <w:rsid w:val="009228DF"/>
    <w:rsid w:val="00925712"/>
    <w:rsid w:val="00926EA9"/>
    <w:rsid w:val="00930F98"/>
    <w:rsid w:val="00933E50"/>
    <w:rsid w:val="00934193"/>
    <w:rsid w:val="00934F6E"/>
    <w:rsid w:val="00937A0B"/>
    <w:rsid w:val="00937CCE"/>
    <w:rsid w:val="0094233D"/>
    <w:rsid w:val="00950ACA"/>
    <w:rsid w:val="00951698"/>
    <w:rsid w:val="00953F87"/>
    <w:rsid w:val="00955759"/>
    <w:rsid w:val="00957F22"/>
    <w:rsid w:val="00961F15"/>
    <w:rsid w:val="00962FE4"/>
    <w:rsid w:val="009665AC"/>
    <w:rsid w:val="00967A26"/>
    <w:rsid w:val="00973D92"/>
    <w:rsid w:val="009860AE"/>
    <w:rsid w:val="00990B18"/>
    <w:rsid w:val="009A4F0C"/>
    <w:rsid w:val="009A57C5"/>
    <w:rsid w:val="009A759D"/>
    <w:rsid w:val="009B2208"/>
    <w:rsid w:val="009B7F1B"/>
    <w:rsid w:val="009C09A6"/>
    <w:rsid w:val="009C417D"/>
    <w:rsid w:val="009C4626"/>
    <w:rsid w:val="009C5F2A"/>
    <w:rsid w:val="009C6632"/>
    <w:rsid w:val="009D0800"/>
    <w:rsid w:val="009D1272"/>
    <w:rsid w:val="009D2629"/>
    <w:rsid w:val="009D3B3D"/>
    <w:rsid w:val="009D4156"/>
    <w:rsid w:val="009E3A57"/>
    <w:rsid w:val="009E7AC9"/>
    <w:rsid w:val="009F3270"/>
    <w:rsid w:val="009F413A"/>
    <w:rsid w:val="00A00F2A"/>
    <w:rsid w:val="00A02D49"/>
    <w:rsid w:val="00A03212"/>
    <w:rsid w:val="00A14095"/>
    <w:rsid w:val="00A16867"/>
    <w:rsid w:val="00A17909"/>
    <w:rsid w:val="00A2173F"/>
    <w:rsid w:val="00A244C7"/>
    <w:rsid w:val="00A26654"/>
    <w:rsid w:val="00A26ED3"/>
    <w:rsid w:val="00A3105B"/>
    <w:rsid w:val="00A3210F"/>
    <w:rsid w:val="00A338FC"/>
    <w:rsid w:val="00A34F95"/>
    <w:rsid w:val="00A42C9B"/>
    <w:rsid w:val="00A44C60"/>
    <w:rsid w:val="00A5096A"/>
    <w:rsid w:val="00A56BCD"/>
    <w:rsid w:val="00A57D44"/>
    <w:rsid w:val="00A60012"/>
    <w:rsid w:val="00A654AA"/>
    <w:rsid w:val="00A67DE6"/>
    <w:rsid w:val="00A7078C"/>
    <w:rsid w:val="00A73504"/>
    <w:rsid w:val="00A77604"/>
    <w:rsid w:val="00A800A3"/>
    <w:rsid w:val="00A8495F"/>
    <w:rsid w:val="00A9070D"/>
    <w:rsid w:val="00A917E0"/>
    <w:rsid w:val="00A94C01"/>
    <w:rsid w:val="00AA6660"/>
    <w:rsid w:val="00AA7D28"/>
    <w:rsid w:val="00AB0E1E"/>
    <w:rsid w:val="00AB3E83"/>
    <w:rsid w:val="00AB4069"/>
    <w:rsid w:val="00AB5B26"/>
    <w:rsid w:val="00AB7DBF"/>
    <w:rsid w:val="00AC0EFE"/>
    <w:rsid w:val="00AC45C5"/>
    <w:rsid w:val="00AC6950"/>
    <w:rsid w:val="00AD07B9"/>
    <w:rsid w:val="00AE3CD1"/>
    <w:rsid w:val="00AE41D5"/>
    <w:rsid w:val="00AE4D73"/>
    <w:rsid w:val="00AF0452"/>
    <w:rsid w:val="00AF1C92"/>
    <w:rsid w:val="00AF3471"/>
    <w:rsid w:val="00AF7B9B"/>
    <w:rsid w:val="00B02843"/>
    <w:rsid w:val="00B05079"/>
    <w:rsid w:val="00B0652D"/>
    <w:rsid w:val="00B06F8B"/>
    <w:rsid w:val="00B15880"/>
    <w:rsid w:val="00B2227A"/>
    <w:rsid w:val="00B25C26"/>
    <w:rsid w:val="00B261BA"/>
    <w:rsid w:val="00B3064A"/>
    <w:rsid w:val="00B3124A"/>
    <w:rsid w:val="00B3473A"/>
    <w:rsid w:val="00B37787"/>
    <w:rsid w:val="00B4230E"/>
    <w:rsid w:val="00B4506F"/>
    <w:rsid w:val="00B45D0C"/>
    <w:rsid w:val="00B45F09"/>
    <w:rsid w:val="00B46F92"/>
    <w:rsid w:val="00B4727E"/>
    <w:rsid w:val="00B51E64"/>
    <w:rsid w:val="00B53C3B"/>
    <w:rsid w:val="00B54E70"/>
    <w:rsid w:val="00B55827"/>
    <w:rsid w:val="00B55FF1"/>
    <w:rsid w:val="00B56865"/>
    <w:rsid w:val="00B57BB6"/>
    <w:rsid w:val="00B602C9"/>
    <w:rsid w:val="00B61E12"/>
    <w:rsid w:val="00B62845"/>
    <w:rsid w:val="00B64835"/>
    <w:rsid w:val="00B66A7E"/>
    <w:rsid w:val="00B702D5"/>
    <w:rsid w:val="00B723C6"/>
    <w:rsid w:val="00B7267D"/>
    <w:rsid w:val="00B73C17"/>
    <w:rsid w:val="00B800CB"/>
    <w:rsid w:val="00B8074B"/>
    <w:rsid w:val="00B8101A"/>
    <w:rsid w:val="00B82453"/>
    <w:rsid w:val="00B861AB"/>
    <w:rsid w:val="00B87F26"/>
    <w:rsid w:val="00B91502"/>
    <w:rsid w:val="00B95137"/>
    <w:rsid w:val="00B95535"/>
    <w:rsid w:val="00B96F5C"/>
    <w:rsid w:val="00BA049F"/>
    <w:rsid w:val="00BA2A45"/>
    <w:rsid w:val="00BA7B41"/>
    <w:rsid w:val="00BB09FE"/>
    <w:rsid w:val="00BB27C2"/>
    <w:rsid w:val="00BB7D50"/>
    <w:rsid w:val="00BD0575"/>
    <w:rsid w:val="00BD12AC"/>
    <w:rsid w:val="00BD29BB"/>
    <w:rsid w:val="00BD73F2"/>
    <w:rsid w:val="00BD75B8"/>
    <w:rsid w:val="00BE125E"/>
    <w:rsid w:val="00BE1858"/>
    <w:rsid w:val="00BE5440"/>
    <w:rsid w:val="00BE5843"/>
    <w:rsid w:val="00BF0359"/>
    <w:rsid w:val="00BF2CA4"/>
    <w:rsid w:val="00BF3AF0"/>
    <w:rsid w:val="00C003B8"/>
    <w:rsid w:val="00C01E8F"/>
    <w:rsid w:val="00C04A2C"/>
    <w:rsid w:val="00C04BDB"/>
    <w:rsid w:val="00C0501F"/>
    <w:rsid w:val="00C06F2F"/>
    <w:rsid w:val="00C07885"/>
    <w:rsid w:val="00C07EA7"/>
    <w:rsid w:val="00C1127A"/>
    <w:rsid w:val="00C136F8"/>
    <w:rsid w:val="00C146F6"/>
    <w:rsid w:val="00C1563C"/>
    <w:rsid w:val="00C17469"/>
    <w:rsid w:val="00C17981"/>
    <w:rsid w:val="00C20799"/>
    <w:rsid w:val="00C22FB8"/>
    <w:rsid w:val="00C31F64"/>
    <w:rsid w:val="00C34BE7"/>
    <w:rsid w:val="00C42466"/>
    <w:rsid w:val="00C43AC5"/>
    <w:rsid w:val="00C522BD"/>
    <w:rsid w:val="00C55D3B"/>
    <w:rsid w:val="00C56EE3"/>
    <w:rsid w:val="00C57D41"/>
    <w:rsid w:val="00C63F2A"/>
    <w:rsid w:val="00C64F11"/>
    <w:rsid w:val="00C73B3A"/>
    <w:rsid w:val="00C86363"/>
    <w:rsid w:val="00C907C0"/>
    <w:rsid w:val="00C93049"/>
    <w:rsid w:val="00C93837"/>
    <w:rsid w:val="00C9389D"/>
    <w:rsid w:val="00CA398B"/>
    <w:rsid w:val="00CB2215"/>
    <w:rsid w:val="00CB2A6D"/>
    <w:rsid w:val="00CB52EA"/>
    <w:rsid w:val="00CC4CB1"/>
    <w:rsid w:val="00CD2D3B"/>
    <w:rsid w:val="00CD2EB5"/>
    <w:rsid w:val="00CD36BC"/>
    <w:rsid w:val="00CD6E8D"/>
    <w:rsid w:val="00CD724F"/>
    <w:rsid w:val="00CE188C"/>
    <w:rsid w:val="00CE3676"/>
    <w:rsid w:val="00CF148C"/>
    <w:rsid w:val="00D00D53"/>
    <w:rsid w:val="00D02170"/>
    <w:rsid w:val="00D03058"/>
    <w:rsid w:val="00D0775C"/>
    <w:rsid w:val="00D11D8B"/>
    <w:rsid w:val="00D144FA"/>
    <w:rsid w:val="00D21043"/>
    <w:rsid w:val="00D265EF"/>
    <w:rsid w:val="00D2761D"/>
    <w:rsid w:val="00D379F8"/>
    <w:rsid w:val="00D463F1"/>
    <w:rsid w:val="00D524BB"/>
    <w:rsid w:val="00D531F1"/>
    <w:rsid w:val="00D561C8"/>
    <w:rsid w:val="00D57CCE"/>
    <w:rsid w:val="00D64B65"/>
    <w:rsid w:val="00D657F4"/>
    <w:rsid w:val="00D6703D"/>
    <w:rsid w:val="00D717DA"/>
    <w:rsid w:val="00D718B3"/>
    <w:rsid w:val="00D72C6A"/>
    <w:rsid w:val="00D7659E"/>
    <w:rsid w:val="00D81308"/>
    <w:rsid w:val="00D815CF"/>
    <w:rsid w:val="00D84BA5"/>
    <w:rsid w:val="00D946B0"/>
    <w:rsid w:val="00DA0FEB"/>
    <w:rsid w:val="00DA2679"/>
    <w:rsid w:val="00DA3039"/>
    <w:rsid w:val="00DA41E3"/>
    <w:rsid w:val="00DA6878"/>
    <w:rsid w:val="00DA694E"/>
    <w:rsid w:val="00DA6B88"/>
    <w:rsid w:val="00DA73B6"/>
    <w:rsid w:val="00DB0579"/>
    <w:rsid w:val="00DB127D"/>
    <w:rsid w:val="00DC1636"/>
    <w:rsid w:val="00DD01AB"/>
    <w:rsid w:val="00DD0B21"/>
    <w:rsid w:val="00DD62AD"/>
    <w:rsid w:val="00DD6A04"/>
    <w:rsid w:val="00DD7153"/>
    <w:rsid w:val="00DE2331"/>
    <w:rsid w:val="00DE36BF"/>
    <w:rsid w:val="00DE3E0A"/>
    <w:rsid w:val="00DE7BB0"/>
    <w:rsid w:val="00DF09B6"/>
    <w:rsid w:val="00DF4F58"/>
    <w:rsid w:val="00E0188D"/>
    <w:rsid w:val="00E11F2F"/>
    <w:rsid w:val="00E14CD2"/>
    <w:rsid w:val="00E238FC"/>
    <w:rsid w:val="00E301AE"/>
    <w:rsid w:val="00E315BC"/>
    <w:rsid w:val="00E33610"/>
    <w:rsid w:val="00E345F4"/>
    <w:rsid w:val="00E35139"/>
    <w:rsid w:val="00E44555"/>
    <w:rsid w:val="00E44FEC"/>
    <w:rsid w:val="00E4526A"/>
    <w:rsid w:val="00E50608"/>
    <w:rsid w:val="00E5165B"/>
    <w:rsid w:val="00E52ABA"/>
    <w:rsid w:val="00E5314F"/>
    <w:rsid w:val="00E63245"/>
    <w:rsid w:val="00E653E3"/>
    <w:rsid w:val="00E66AEE"/>
    <w:rsid w:val="00E70FF5"/>
    <w:rsid w:val="00E736A7"/>
    <w:rsid w:val="00E74E1B"/>
    <w:rsid w:val="00E86EAE"/>
    <w:rsid w:val="00E87695"/>
    <w:rsid w:val="00E87C26"/>
    <w:rsid w:val="00E94E9A"/>
    <w:rsid w:val="00EA0D56"/>
    <w:rsid w:val="00EA3546"/>
    <w:rsid w:val="00EA5131"/>
    <w:rsid w:val="00EA7CFA"/>
    <w:rsid w:val="00EB11D4"/>
    <w:rsid w:val="00EB2886"/>
    <w:rsid w:val="00EB398E"/>
    <w:rsid w:val="00EC4096"/>
    <w:rsid w:val="00EC429C"/>
    <w:rsid w:val="00EC6A51"/>
    <w:rsid w:val="00ED05AC"/>
    <w:rsid w:val="00ED10E2"/>
    <w:rsid w:val="00ED352D"/>
    <w:rsid w:val="00ED3E6D"/>
    <w:rsid w:val="00EE03CE"/>
    <w:rsid w:val="00EE4050"/>
    <w:rsid w:val="00EE4149"/>
    <w:rsid w:val="00EF21B5"/>
    <w:rsid w:val="00EF4291"/>
    <w:rsid w:val="00F04E3E"/>
    <w:rsid w:val="00F10771"/>
    <w:rsid w:val="00F132FE"/>
    <w:rsid w:val="00F17183"/>
    <w:rsid w:val="00F171BA"/>
    <w:rsid w:val="00F205E5"/>
    <w:rsid w:val="00F20F86"/>
    <w:rsid w:val="00F2485C"/>
    <w:rsid w:val="00F26B8F"/>
    <w:rsid w:val="00F37278"/>
    <w:rsid w:val="00F4775D"/>
    <w:rsid w:val="00F512A3"/>
    <w:rsid w:val="00F51AB4"/>
    <w:rsid w:val="00F523A8"/>
    <w:rsid w:val="00F54723"/>
    <w:rsid w:val="00F57359"/>
    <w:rsid w:val="00F57AF5"/>
    <w:rsid w:val="00F60A86"/>
    <w:rsid w:val="00F61DAE"/>
    <w:rsid w:val="00F62B87"/>
    <w:rsid w:val="00F63C5E"/>
    <w:rsid w:val="00F65208"/>
    <w:rsid w:val="00F659F7"/>
    <w:rsid w:val="00F67BE6"/>
    <w:rsid w:val="00F702E1"/>
    <w:rsid w:val="00F77EFE"/>
    <w:rsid w:val="00F82938"/>
    <w:rsid w:val="00F83726"/>
    <w:rsid w:val="00F8481F"/>
    <w:rsid w:val="00F863D8"/>
    <w:rsid w:val="00F86B33"/>
    <w:rsid w:val="00F86FDF"/>
    <w:rsid w:val="00F870DC"/>
    <w:rsid w:val="00F872DD"/>
    <w:rsid w:val="00F91C17"/>
    <w:rsid w:val="00F949B1"/>
    <w:rsid w:val="00F94BAB"/>
    <w:rsid w:val="00F94D98"/>
    <w:rsid w:val="00F96EEB"/>
    <w:rsid w:val="00F96F8A"/>
    <w:rsid w:val="00F9761F"/>
    <w:rsid w:val="00FA102C"/>
    <w:rsid w:val="00FB3124"/>
    <w:rsid w:val="00FC17FB"/>
    <w:rsid w:val="00FC39C0"/>
    <w:rsid w:val="00FC5616"/>
    <w:rsid w:val="00FD328C"/>
    <w:rsid w:val="00FD4268"/>
    <w:rsid w:val="00FD7299"/>
    <w:rsid w:val="00FE2094"/>
    <w:rsid w:val="00FE6681"/>
    <w:rsid w:val="00FE764B"/>
    <w:rsid w:val="00FF0A2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rebuchet MS" w:hAnsi="Verdana" w:cs="Times New Roman"/>
        <w:sz w:val="22"/>
        <w:szCs w:val="22"/>
        <w:lang w:val="hu-HU" w:eastAsia="hu-HU"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3"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6"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
    <w:name w:val="Normal"/>
    <w:qFormat/>
    <w:rsid w:val="00D718B3"/>
    <w:pPr>
      <w:spacing w:after="150" w:line="276" w:lineRule="auto"/>
      <w:jc w:val="both"/>
    </w:pPr>
    <w:rPr>
      <w:rFonts w:ascii="Calibri" w:eastAsiaTheme="minorHAnsi" w:hAnsi="Calibri" w:cstheme="minorBidi"/>
      <w:sz w:val="20"/>
    </w:rPr>
  </w:style>
  <w:style w:type="paragraph" w:styleId="Cmsor1">
    <w:name w:val="heading 1"/>
    <w:basedOn w:val="Norml"/>
    <w:next w:val="Norml"/>
    <w:link w:val="Cmsor1Char"/>
    <w:uiPriority w:val="1"/>
    <w:qFormat/>
    <w:rsid w:val="00D718B3"/>
    <w:pPr>
      <w:keepNext/>
      <w:keepLines/>
      <w:numPr>
        <w:numId w:val="3"/>
      </w:numPr>
      <w:spacing w:before="480" w:after="210"/>
      <w:ind w:left="227" w:hanging="227"/>
      <w:jc w:val="left"/>
      <w:outlineLvl w:val="0"/>
    </w:pPr>
    <w:rPr>
      <w:rFonts w:eastAsiaTheme="majorEastAsia" w:cstheme="majorBidi"/>
      <w:bCs/>
      <w:caps/>
      <w:color w:val="4BACC6" w:themeColor="accent5"/>
      <w:szCs w:val="42"/>
    </w:rPr>
  </w:style>
  <w:style w:type="paragraph" w:styleId="Cmsor2">
    <w:name w:val="heading 2"/>
    <w:basedOn w:val="Norml"/>
    <w:next w:val="Norml"/>
    <w:link w:val="Cmsor2Char"/>
    <w:uiPriority w:val="1"/>
    <w:unhideWhenUsed/>
    <w:qFormat/>
    <w:rsid w:val="00D718B3"/>
    <w:pPr>
      <w:numPr>
        <w:ilvl w:val="1"/>
        <w:numId w:val="3"/>
      </w:numPr>
      <w:spacing w:before="210" w:after="75"/>
      <w:jc w:val="left"/>
      <w:outlineLvl w:val="1"/>
    </w:pPr>
    <w:rPr>
      <w:b/>
      <w:color w:val="4BACC6" w:themeColor="accent5"/>
      <w:szCs w:val="38"/>
    </w:rPr>
  </w:style>
  <w:style w:type="paragraph" w:styleId="Cmsor3">
    <w:name w:val="heading 3"/>
    <w:basedOn w:val="Norml"/>
    <w:next w:val="Norml"/>
    <w:link w:val="Cmsor3Char"/>
    <w:uiPriority w:val="1"/>
    <w:unhideWhenUsed/>
    <w:qFormat/>
    <w:rsid w:val="00D718B3"/>
    <w:pPr>
      <w:numPr>
        <w:ilvl w:val="2"/>
        <w:numId w:val="3"/>
      </w:numPr>
      <w:spacing w:before="75" w:after="75"/>
      <w:ind w:left="595" w:hanging="595"/>
      <w:jc w:val="left"/>
      <w:outlineLvl w:val="2"/>
    </w:pPr>
    <w:rPr>
      <w:bCs/>
      <w:color w:val="4BACC6" w:themeColor="accent5"/>
      <w:szCs w:val="34"/>
    </w:rPr>
  </w:style>
  <w:style w:type="paragraph" w:styleId="Cmsor4">
    <w:name w:val="heading 4"/>
    <w:basedOn w:val="Norml"/>
    <w:next w:val="Norml"/>
    <w:link w:val="Cmsor4Char"/>
    <w:uiPriority w:val="1"/>
    <w:unhideWhenUsed/>
    <w:qFormat/>
    <w:rsid w:val="00D718B3"/>
    <w:pPr>
      <w:numPr>
        <w:ilvl w:val="3"/>
        <w:numId w:val="3"/>
      </w:numPr>
      <w:spacing w:before="75" w:after="75"/>
      <w:ind w:left="771" w:hanging="771"/>
      <w:jc w:val="left"/>
      <w:outlineLvl w:val="3"/>
    </w:pPr>
    <w:rPr>
      <w:iCs/>
      <w:color w:val="4BACC6" w:themeColor="accent5"/>
      <w:szCs w:val="30"/>
    </w:rPr>
  </w:style>
  <w:style w:type="paragraph" w:styleId="Cmsor5">
    <w:name w:val="heading 5"/>
    <w:basedOn w:val="Norml"/>
    <w:next w:val="Norml"/>
    <w:link w:val="Cmsor5Char"/>
    <w:uiPriority w:val="1"/>
    <w:unhideWhenUsed/>
    <w:qFormat/>
    <w:rsid w:val="00D718B3"/>
    <w:pPr>
      <w:numPr>
        <w:ilvl w:val="4"/>
        <w:numId w:val="3"/>
      </w:numPr>
      <w:spacing w:before="75" w:after="75"/>
      <w:ind w:left="947" w:hanging="947"/>
      <w:jc w:val="left"/>
      <w:outlineLvl w:val="4"/>
    </w:pPr>
    <w:rPr>
      <w:color w:val="4BACC6" w:themeColor="accent5"/>
      <w:szCs w:val="26"/>
    </w:rPr>
  </w:style>
  <w:style w:type="paragraph" w:styleId="Cmsor6">
    <w:name w:val="heading 6"/>
    <w:basedOn w:val="Norml"/>
    <w:next w:val="Norml"/>
    <w:link w:val="Cmsor6Char"/>
    <w:uiPriority w:val="1"/>
    <w:unhideWhenUsed/>
    <w:qFormat/>
    <w:rsid w:val="00D718B3"/>
    <w:pPr>
      <w:numPr>
        <w:ilvl w:val="5"/>
        <w:numId w:val="3"/>
      </w:numPr>
      <w:spacing w:before="75" w:after="75"/>
      <w:ind w:left="1123" w:hanging="1123"/>
      <w:jc w:val="left"/>
      <w:outlineLvl w:val="5"/>
    </w:pPr>
    <w:rPr>
      <w:color w:val="4BACC6" w:themeColor="accent5"/>
    </w:rPr>
  </w:style>
  <w:style w:type="paragraph" w:styleId="Cmsor7">
    <w:name w:val="heading 7"/>
    <w:basedOn w:val="Norml"/>
    <w:next w:val="Norml"/>
    <w:link w:val="Cmsor7Char"/>
    <w:uiPriority w:val="9"/>
    <w:unhideWhenUsed/>
    <w:qFormat/>
    <w:rsid w:val="00D718B3"/>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unhideWhenUsed/>
    <w:qFormat/>
    <w:rsid w:val="00D718B3"/>
    <w:pPr>
      <w:keepNext/>
      <w:keepLines/>
      <w:numPr>
        <w:ilvl w:val="7"/>
        <w:numId w:val="3"/>
      </w:numPr>
      <w:spacing w:before="200"/>
      <w:outlineLvl w:val="7"/>
    </w:pPr>
    <w:rPr>
      <w:rFonts w:eastAsiaTheme="majorEastAsia" w:cstheme="majorBidi"/>
      <w:color w:val="404040" w:themeColor="text1" w:themeTint="BF"/>
      <w:szCs w:val="20"/>
    </w:rPr>
  </w:style>
  <w:style w:type="paragraph" w:styleId="Cmsor9">
    <w:name w:val="heading 9"/>
    <w:basedOn w:val="Norml"/>
    <w:next w:val="Norml"/>
    <w:link w:val="Cmsor9Char"/>
    <w:uiPriority w:val="9"/>
    <w:unhideWhenUsed/>
    <w:qFormat/>
    <w:rsid w:val="00D718B3"/>
    <w:pPr>
      <w:keepNext/>
      <w:keepLines/>
      <w:numPr>
        <w:ilvl w:val="8"/>
        <w:numId w:val="3"/>
      </w:numPr>
      <w:spacing w:before="200"/>
      <w:outlineLvl w:val="8"/>
    </w:pPr>
    <w:rPr>
      <w:rFonts w:eastAsiaTheme="majorEastAsia" w:cstheme="majorBidi"/>
      <w:i/>
      <w:iCs/>
      <w:color w:val="404040" w:themeColor="text1" w:themeTint="BF"/>
      <w:szCs w:val="20"/>
    </w:rPr>
  </w:style>
  <w:style w:type="character" w:default="1" w:styleId="Bekezdsalapbettpusa">
    <w:name w:val="Default Paragraph Font"/>
    <w:uiPriority w:val="1"/>
    <w:semiHidden/>
    <w:unhideWhenUsed/>
    <w:rsid w:val="00D718B3"/>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rsid w:val="00D718B3"/>
  </w:style>
  <w:style w:type="character" w:customStyle="1" w:styleId="Cmsor1Char">
    <w:name w:val="Címsor 1 Char"/>
    <w:basedOn w:val="Bekezdsalapbettpusa"/>
    <w:link w:val="Cmsor1"/>
    <w:uiPriority w:val="1"/>
    <w:locked/>
    <w:rsid w:val="00D718B3"/>
    <w:rPr>
      <w:rFonts w:ascii="Calibri" w:eastAsiaTheme="majorEastAsia" w:hAnsi="Calibri" w:cstheme="majorBidi"/>
      <w:bCs/>
      <w:caps/>
      <w:color w:val="4BACC6" w:themeColor="accent5"/>
      <w:sz w:val="20"/>
      <w:szCs w:val="42"/>
    </w:rPr>
  </w:style>
  <w:style w:type="character" w:customStyle="1" w:styleId="Cmsor2Char">
    <w:name w:val="Címsor 2 Char"/>
    <w:basedOn w:val="Bekezdsalapbettpusa"/>
    <w:link w:val="Cmsor2"/>
    <w:uiPriority w:val="1"/>
    <w:locked/>
    <w:rsid w:val="00D718B3"/>
    <w:rPr>
      <w:rFonts w:ascii="Calibri" w:eastAsiaTheme="minorHAnsi" w:hAnsi="Calibri" w:cstheme="minorBidi"/>
      <w:b/>
      <w:color w:val="4BACC6" w:themeColor="accent5"/>
      <w:sz w:val="20"/>
      <w:szCs w:val="38"/>
    </w:rPr>
  </w:style>
  <w:style w:type="character" w:customStyle="1" w:styleId="Cmsor3Char">
    <w:name w:val="Címsor 3 Char"/>
    <w:basedOn w:val="Bekezdsalapbettpusa"/>
    <w:link w:val="Cmsor3"/>
    <w:uiPriority w:val="1"/>
    <w:locked/>
    <w:rsid w:val="00D718B3"/>
    <w:rPr>
      <w:rFonts w:ascii="Calibri" w:eastAsiaTheme="minorHAnsi" w:hAnsi="Calibri" w:cstheme="minorBidi"/>
      <w:bCs/>
      <w:color w:val="4BACC6" w:themeColor="accent5"/>
      <w:sz w:val="20"/>
      <w:szCs w:val="34"/>
    </w:rPr>
  </w:style>
  <w:style w:type="character" w:customStyle="1" w:styleId="Cmsor4Char">
    <w:name w:val="Címsor 4 Char"/>
    <w:basedOn w:val="Bekezdsalapbettpusa"/>
    <w:link w:val="Cmsor4"/>
    <w:uiPriority w:val="1"/>
    <w:locked/>
    <w:rsid w:val="00D718B3"/>
    <w:rPr>
      <w:rFonts w:ascii="Calibri" w:eastAsiaTheme="minorHAnsi" w:hAnsi="Calibri" w:cstheme="minorBidi"/>
      <w:iCs/>
      <w:color w:val="4BACC6" w:themeColor="accent5"/>
      <w:sz w:val="20"/>
      <w:szCs w:val="30"/>
    </w:rPr>
  </w:style>
  <w:style w:type="character" w:customStyle="1" w:styleId="Cmsor5Char">
    <w:name w:val="Címsor 5 Char"/>
    <w:basedOn w:val="Bekezdsalapbettpusa"/>
    <w:link w:val="Cmsor5"/>
    <w:uiPriority w:val="1"/>
    <w:locked/>
    <w:rsid w:val="00D718B3"/>
    <w:rPr>
      <w:rFonts w:ascii="Calibri" w:eastAsiaTheme="minorHAnsi" w:hAnsi="Calibri" w:cstheme="minorBidi"/>
      <w:color w:val="4BACC6" w:themeColor="accent5"/>
      <w:sz w:val="20"/>
      <w:szCs w:val="26"/>
    </w:rPr>
  </w:style>
  <w:style w:type="character" w:customStyle="1" w:styleId="Cmsor6Char">
    <w:name w:val="Címsor 6 Char"/>
    <w:basedOn w:val="Bekezdsalapbettpusa"/>
    <w:link w:val="Cmsor6"/>
    <w:uiPriority w:val="1"/>
    <w:locked/>
    <w:rsid w:val="00D718B3"/>
    <w:rPr>
      <w:rFonts w:ascii="Calibri" w:eastAsiaTheme="minorHAnsi" w:hAnsi="Calibri" w:cstheme="minorBidi"/>
      <w:color w:val="4BACC6" w:themeColor="accent5"/>
      <w:sz w:val="20"/>
    </w:rPr>
  </w:style>
  <w:style w:type="character" w:customStyle="1" w:styleId="Cmsor7Char">
    <w:name w:val="Címsor 7 Char"/>
    <w:basedOn w:val="Bekezdsalapbettpusa"/>
    <w:link w:val="Cmsor7"/>
    <w:uiPriority w:val="9"/>
    <w:locked/>
    <w:rsid w:val="00D718B3"/>
    <w:rPr>
      <w:rFonts w:ascii="Calibri" w:eastAsiaTheme="majorEastAsia" w:hAnsi="Calibri" w:cstheme="majorBidi"/>
      <w:i/>
      <w:iCs/>
      <w:color w:val="404040" w:themeColor="text1" w:themeTint="BF"/>
      <w:sz w:val="20"/>
    </w:rPr>
  </w:style>
  <w:style w:type="character" w:customStyle="1" w:styleId="Cmsor8Char">
    <w:name w:val="Címsor 8 Char"/>
    <w:basedOn w:val="Bekezdsalapbettpusa"/>
    <w:link w:val="Cmsor8"/>
    <w:uiPriority w:val="9"/>
    <w:locked/>
    <w:rsid w:val="00D718B3"/>
    <w:rPr>
      <w:rFonts w:ascii="Calibri" w:eastAsiaTheme="majorEastAsia" w:hAnsi="Calibri" w:cstheme="majorBidi"/>
      <w:color w:val="404040" w:themeColor="text1" w:themeTint="BF"/>
      <w:sz w:val="20"/>
      <w:szCs w:val="20"/>
    </w:rPr>
  </w:style>
  <w:style w:type="character" w:customStyle="1" w:styleId="Cmsor9Char">
    <w:name w:val="Címsor 9 Char"/>
    <w:basedOn w:val="Bekezdsalapbettpusa"/>
    <w:link w:val="Cmsor9"/>
    <w:uiPriority w:val="9"/>
    <w:locked/>
    <w:rsid w:val="00D718B3"/>
    <w:rPr>
      <w:rFonts w:ascii="Calibri" w:eastAsiaTheme="majorEastAsia" w:hAnsi="Calibri" w:cstheme="majorBidi"/>
      <w:i/>
      <w:iCs/>
      <w:color w:val="404040" w:themeColor="text1" w:themeTint="BF"/>
      <w:sz w:val="20"/>
      <w:szCs w:val="20"/>
    </w:rPr>
  </w:style>
  <w:style w:type="table" w:customStyle="1" w:styleId="tblzat-mtrix">
    <w:name w:val="táblázat - mátrix"/>
    <w:basedOn w:val="Normltblzat"/>
    <w:uiPriority w:val="2"/>
    <w:qFormat/>
    <w:rsid w:val="00D718B3"/>
    <w:pPr>
      <w:contextualSpacing/>
    </w:pPr>
    <w:rPr>
      <w:rFonts w:asciiTheme="majorHAnsi" w:eastAsia="Calibri" w:hAnsiTheme="majorHAnsi" w:cstheme="minorBidi"/>
      <w:sz w:val="20"/>
    </w:rPr>
    <w:tblPr>
      <w:tblStyleRowBandSize w:val="1"/>
      <w:tblStyleColBandSize w:val="1"/>
      <w:tblInd w:w="0" w:type="dxa"/>
      <w:tblBorders>
        <w:top w:val="single" w:sz="2" w:space="0" w:color="4BACC6" w:themeColor="accent5"/>
        <w:left w:val="single" w:sz="2" w:space="0" w:color="4BACC6" w:themeColor="accent5"/>
        <w:bottom w:val="single" w:sz="2" w:space="0" w:color="4BACC6" w:themeColor="accent5"/>
        <w:right w:val="single" w:sz="2" w:space="0" w:color="4BACC6" w:themeColor="accent5"/>
        <w:insideH w:val="single" w:sz="2" w:space="0" w:color="4BACC6" w:themeColor="accent5"/>
        <w:insideV w:val="single" w:sz="2" w:space="0" w:color="4BACC6" w:themeColor="accent5"/>
      </w:tblBorders>
      <w:tblCellMar>
        <w:top w:w="85" w:type="dxa"/>
        <w:left w:w="108" w:type="dxa"/>
        <w:bottom w:w="0" w:type="dxa"/>
        <w:right w:w="108" w:type="dxa"/>
      </w:tblCellMar>
    </w:tblPr>
    <w:tcPr>
      <w:shd w:val="clear" w:color="auto" w:fill="auto"/>
      <w:vAlign w:val="center"/>
    </w:tcPr>
    <w:tblStylePr w:type="firstRow">
      <w:rPr>
        <w:rFonts w:asciiTheme="majorHAnsi" w:hAnsiTheme="majorHAnsi"/>
        <w:sz w:val="20"/>
      </w:rPr>
      <w:tblPr/>
      <w:tcPr>
        <w:shd w:val="clear" w:color="auto" w:fill="EEECE1" w:themeFill="background2"/>
      </w:tcPr>
    </w:tblStylePr>
    <w:tblStylePr w:type="firstCol">
      <w:pPr>
        <w:jc w:val="left"/>
      </w:pPr>
      <w:rPr>
        <w:rFonts w:asciiTheme="majorHAnsi" w:hAnsiTheme="majorHAnsi"/>
        <w:sz w:val="20"/>
      </w:rPr>
      <w:tblPr/>
      <w:tcPr>
        <w:shd w:val="clear" w:color="auto" w:fill="EEECE1" w:themeFill="background2"/>
      </w:tcPr>
    </w:tblStylePr>
  </w:style>
  <w:style w:type="table" w:customStyle="1" w:styleId="85">
    <w:name w:val="85"/>
    <w:uiPriority w:val="99"/>
    <w:rsid w:val="003811DD"/>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paragraph" w:styleId="Listaszerbekezds">
    <w:name w:val="List Paragraph"/>
    <w:basedOn w:val="Norml"/>
    <w:link w:val="ListaszerbekezdsChar"/>
    <w:uiPriority w:val="4"/>
    <w:qFormat/>
    <w:rsid w:val="00D718B3"/>
    <w:pPr>
      <w:numPr>
        <w:numId w:val="9"/>
      </w:numPr>
      <w:contextualSpacing/>
    </w:pPr>
  </w:style>
  <w:style w:type="character" w:styleId="Hiperhivatkozs">
    <w:name w:val="Hyperlink"/>
    <w:basedOn w:val="Vgjegyzet-hivatkozs"/>
    <w:uiPriority w:val="99"/>
    <w:rsid w:val="00D718B3"/>
    <w:rPr>
      <w:rFonts w:ascii="Calibri" w:hAnsi="Calibri"/>
      <w:color w:val="0000FF"/>
      <w:sz w:val="20"/>
      <w:u w:val="single"/>
    </w:rPr>
  </w:style>
  <w:style w:type="table" w:customStyle="1" w:styleId="851">
    <w:name w:val="851"/>
    <w:uiPriority w:val="99"/>
    <w:rsid w:val="003811DD"/>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character" w:styleId="Vgjegyzet-hivatkozs">
    <w:name w:val="endnote reference"/>
    <w:basedOn w:val="Bekezdsalapbettpusa"/>
    <w:semiHidden/>
    <w:rsid w:val="00D718B3"/>
    <w:rPr>
      <w:vertAlign w:val="superscript"/>
    </w:rPr>
  </w:style>
  <w:style w:type="paragraph" w:styleId="Buborkszveg">
    <w:name w:val="Balloon Text"/>
    <w:basedOn w:val="Norml"/>
    <w:link w:val="BuborkszvegChar"/>
    <w:uiPriority w:val="99"/>
    <w:semiHidden/>
    <w:unhideWhenUsed/>
    <w:rsid w:val="00D718B3"/>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D718B3"/>
    <w:rPr>
      <w:rFonts w:ascii="Tahoma" w:eastAsiaTheme="minorHAnsi" w:hAnsi="Tahoma" w:cs="Tahoma"/>
      <w:sz w:val="16"/>
      <w:szCs w:val="16"/>
    </w:rPr>
  </w:style>
  <w:style w:type="paragraph" w:customStyle="1" w:styleId="Magyarzszveg">
    <w:name w:val="Magyarázó szöveg"/>
    <w:basedOn w:val="Norml"/>
    <w:next w:val="Norml"/>
    <w:uiPriority w:val="7"/>
    <w:rsid w:val="00D718B3"/>
    <w:rPr>
      <w:color w:val="4BACC6" w:themeColor="accent5"/>
      <w:sz w:val="18"/>
    </w:rPr>
  </w:style>
  <w:style w:type="paragraph" w:styleId="lfej">
    <w:name w:val="header"/>
    <w:basedOn w:val="Norml"/>
    <w:link w:val="lfejChar"/>
    <w:uiPriority w:val="99"/>
    <w:semiHidden/>
    <w:unhideWhenUsed/>
    <w:rsid w:val="00D718B3"/>
    <w:pPr>
      <w:tabs>
        <w:tab w:val="center" w:pos="4536"/>
        <w:tab w:val="right" w:pos="9072"/>
      </w:tabs>
    </w:pPr>
  </w:style>
  <w:style w:type="character" w:customStyle="1" w:styleId="lfejChar">
    <w:name w:val="Élőfej Char"/>
    <w:basedOn w:val="Bekezdsalapbettpusa"/>
    <w:link w:val="lfej"/>
    <w:uiPriority w:val="99"/>
    <w:semiHidden/>
    <w:locked/>
    <w:rsid w:val="00D718B3"/>
    <w:rPr>
      <w:rFonts w:ascii="Calibri" w:eastAsiaTheme="minorHAnsi" w:hAnsi="Calibri" w:cstheme="minorBidi"/>
      <w:sz w:val="20"/>
    </w:rPr>
  </w:style>
  <w:style w:type="paragraph" w:styleId="llb">
    <w:name w:val="footer"/>
    <w:basedOn w:val="Norml"/>
    <w:link w:val="llbChar"/>
    <w:uiPriority w:val="99"/>
    <w:semiHidden/>
    <w:unhideWhenUsed/>
    <w:rsid w:val="00D718B3"/>
    <w:pPr>
      <w:tabs>
        <w:tab w:val="center" w:pos="4536"/>
        <w:tab w:val="right" w:pos="9072"/>
      </w:tabs>
    </w:pPr>
  </w:style>
  <w:style w:type="character" w:customStyle="1" w:styleId="llbChar">
    <w:name w:val="Élőláb Char"/>
    <w:basedOn w:val="Bekezdsalapbettpusa"/>
    <w:link w:val="llb"/>
    <w:uiPriority w:val="99"/>
    <w:semiHidden/>
    <w:locked/>
    <w:rsid w:val="00D718B3"/>
    <w:rPr>
      <w:rFonts w:ascii="Calibri" w:eastAsiaTheme="minorHAnsi" w:hAnsi="Calibri" w:cstheme="minorBidi"/>
      <w:sz w:val="20"/>
    </w:rPr>
  </w:style>
  <w:style w:type="paragraph" w:customStyle="1" w:styleId="Szmozs">
    <w:name w:val="Számozás"/>
    <w:basedOn w:val="Norml"/>
    <w:uiPriority w:val="4"/>
    <w:qFormat/>
    <w:rsid w:val="00D718B3"/>
    <w:pPr>
      <w:numPr>
        <w:numId w:val="4"/>
      </w:numPr>
      <w:spacing w:before="120"/>
      <w:contextualSpacing/>
    </w:pPr>
  </w:style>
  <w:style w:type="table" w:styleId="Rcsostblzat">
    <w:name w:val="Table Grid"/>
    <w:aliases w:val="Szegély nélküli"/>
    <w:basedOn w:val="Normltblzat"/>
    <w:uiPriority w:val="59"/>
    <w:rsid w:val="00D718B3"/>
    <w:pPr>
      <w:contextualSpacing/>
    </w:pPr>
    <w:rPr>
      <w:rFonts w:eastAsiaTheme="minorHAnsi" w:cstheme="minorBidi"/>
      <w:sz w:val="20"/>
    </w:rPr>
    <w:tblPr>
      <w:tblInd w:w="0" w:type="dxa"/>
      <w:tblCellMar>
        <w:top w:w="0" w:type="dxa"/>
        <w:left w:w="108" w:type="dxa"/>
        <w:bottom w:w="0" w:type="dxa"/>
        <w:right w:w="108" w:type="dxa"/>
      </w:tblCellMar>
    </w:tblPr>
    <w:tcPr>
      <w:vAlign w:val="center"/>
    </w:tcPr>
  </w:style>
  <w:style w:type="paragraph" w:styleId="Cm">
    <w:name w:val="Title"/>
    <w:basedOn w:val="Norml"/>
    <w:next w:val="Norml"/>
    <w:link w:val="CmChar"/>
    <w:uiPriority w:val="3"/>
    <w:qFormat/>
    <w:rsid w:val="00D718B3"/>
    <w:pPr>
      <w:spacing w:after="300"/>
      <w:contextualSpacing/>
    </w:pPr>
    <w:rPr>
      <w:rFonts w:eastAsiaTheme="majorEastAsia" w:cstheme="majorBidi"/>
      <w:caps/>
      <w:color w:val="4BACC6" w:themeColor="accent5"/>
      <w:spacing w:val="5"/>
      <w:kern w:val="28"/>
      <w:sz w:val="24"/>
      <w:szCs w:val="52"/>
    </w:rPr>
  </w:style>
  <w:style w:type="character" w:customStyle="1" w:styleId="CmChar">
    <w:name w:val="Cím Char"/>
    <w:basedOn w:val="Bekezdsalapbettpusa"/>
    <w:link w:val="Cm"/>
    <w:uiPriority w:val="3"/>
    <w:locked/>
    <w:rsid w:val="00D718B3"/>
    <w:rPr>
      <w:rFonts w:ascii="Calibri" w:eastAsiaTheme="majorEastAsia" w:hAnsi="Calibri" w:cstheme="majorBidi"/>
      <w:caps/>
      <w:color w:val="4BACC6" w:themeColor="accent5"/>
      <w:spacing w:val="5"/>
      <w:kern w:val="28"/>
      <w:sz w:val="24"/>
      <w:szCs w:val="52"/>
    </w:rPr>
  </w:style>
  <w:style w:type="paragraph" w:styleId="TJ7">
    <w:name w:val="toc 7"/>
    <w:basedOn w:val="Norml"/>
    <w:next w:val="Norml"/>
    <w:autoRedefine/>
    <w:uiPriority w:val="99"/>
    <w:semiHidden/>
    <w:locked/>
    <w:rsid w:val="00D718B3"/>
    <w:pPr>
      <w:spacing w:after="100"/>
      <w:ind w:left="1200"/>
    </w:pPr>
    <w:rPr>
      <w:color w:val="984806" w:themeColor="accent6" w:themeShade="80"/>
    </w:rPr>
  </w:style>
  <w:style w:type="paragraph" w:styleId="TJ8">
    <w:name w:val="toc 8"/>
    <w:basedOn w:val="Norml"/>
    <w:next w:val="Norml"/>
    <w:autoRedefine/>
    <w:uiPriority w:val="99"/>
    <w:semiHidden/>
    <w:locked/>
    <w:rsid w:val="00D718B3"/>
    <w:pPr>
      <w:spacing w:after="100"/>
      <w:ind w:left="1400"/>
    </w:pPr>
    <w:rPr>
      <w:color w:val="984806" w:themeColor="accent6" w:themeShade="80"/>
    </w:rPr>
  </w:style>
  <w:style w:type="paragraph" w:styleId="TJ9">
    <w:name w:val="toc 9"/>
    <w:basedOn w:val="Norml"/>
    <w:next w:val="Norml"/>
    <w:autoRedefine/>
    <w:uiPriority w:val="99"/>
    <w:semiHidden/>
    <w:locked/>
    <w:rsid w:val="00D718B3"/>
    <w:pPr>
      <w:spacing w:after="100"/>
      <w:ind w:left="1600"/>
    </w:pPr>
    <w:rPr>
      <w:color w:val="984806" w:themeColor="accent6" w:themeShade="80"/>
    </w:rPr>
  </w:style>
  <w:style w:type="table" w:customStyle="1" w:styleId="Calendar2">
    <w:name w:val="Calendar 2"/>
    <w:basedOn w:val="Normltblzat"/>
    <w:uiPriority w:val="99"/>
    <w:qFormat/>
    <w:rsid w:val="00D718B3"/>
    <w:pPr>
      <w:jc w:val="center"/>
    </w:pPr>
    <w:rPr>
      <w:rFonts w:eastAsiaTheme="minorEastAsia" w:cstheme="minorBidi"/>
      <w:sz w:val="20"/>
      <w:szCs w:val="28"/>
      <w:lang w:val="en-US" w:eastAsia="en-US" w:bidi="en-US"/>
    </w:rPr>
    <w:tblPr>
      <w:tblInd w:w="0" w:type="dxa"/>
      <w:tblBorders>
        <w:insideV w:val="single" w:sz="4" w:space="0" w:color="95B3D7" w:themeColor="accent1" w:themeTint="99"/>
      </w:tblBorders>
      <w:tblCellMar>
        <w:top w:w="0" w:type="dxa"/>
        <w:left w:w="108" w:type="dxa"/>
        <w:bottom w:w="0" w:type="dxa"/>
        <w:right w:w="108" w:type="dxa"/>
      </w:tblCellMar>
    </w:tblPr>
    <w:tblStylePr w:type="firstRow">
      <w:rPr>
        <w:rFonts w:asciiTheme="majorHAnsi" w:eastAsiaTheme="majorEastAsia" w:hAnsiTheme="majorHAnsi" w:cstheme="majorBidi"/>
        <w:caps/>
        <w:color w:val="4F81BD"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D718B3"/>
    <w:rPr>
      <w:rFonts w:eastAsiaTheme="minorEastAsia"/>
      <w:color w:val="1F497D" w:themeColor="text2"/>
      <w:sz w:val="16"/>
      <w:szCs w:val="20"/>
    </w:rPr>
  </w:style>
  <w:style w:type="character" w:customStyle="1" w:styleId="LbjegyzetszvegChar">
    <w:name w:val="Lábjegyzetszöveg Char"/>
    <w:basedOn w:val="Bekezdsalapbettpusa"/>
    <w:link w:val="Lbjegyzetszveg"/>
    <w:uiPriority w:val="99"/>
    <w:locked/>
    <w:rsid w:val="00D718B3"/>
    <w:rPr>
      <w:rFonts w:ascii="Calibri" w:eastAsiaTheme="minorEastAsia" w:hAnsi="Calibri" w:cstheme="minorBidi"/>
      <w:color w:val="1F497D" w:themeColor="text2"/>
      <w:sz w:val="16"/>
      <w:szCs w:val="20"/>
    </w:rPr>
  </w:style>
  <w:style w:type="character" w:styleId="Finomkiemels">
    <w:name w:val="Subtle Emphasis"/>
    <w:basedOn w:val="Bekezdsalapbettpusa"/>
    <w:uiPriority w:val="19"/>
    <w:qFormat/>
    <w:rsid w:val="00D718B3"/>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D718B3"/>
    <w:rPr>
      <w:rFonts w:eastAsiaTheme="minorEastAsia" w:cstheme="minorBidi"/>
      <w:color w:val="365F91" w:themeColor="accent1" w:themeShade="BF"/>
      <w:sz w:val="20"/>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palrs">
    <w:name w:val="caption"/>
    <w:basedOn w:val="Norml"/>
    <w:next w:val="Norml"/>
    <w:uiPriority w:val="35"/>
    <w:unhideWhenUsed/>
    <w:qFormat/>
    <w:rsid w:val="00D718B3"/>
    <w:pPr>
      <w:spacing w:after="200"/>
      <w:jc w:val="left"/>
    </w:pPr>
    <w:rPr>
      <w:b/>
      <w:bCs/>
      <w:color w:val="1F497D" w:themeColor="text2"/>
      <w:sz w:val="18"/>
      <w:szCs w:val="18"/>
    </w:rPr>
  </w:style>
  <w:style w:type="paragraph" w:styleId="Vgjegyzetszvege">
    <w:name w:val="endnote text"/>
    <w:basedOn w:val="Norml"/>
    <w:link w:val="VgjegyzetszvegeChar"/>
    <w:uiPriority w:val="99"/>
    <w:semiHidden/>
    <w:unhideWhenUsed/>
    <w:rsid w:val="00D718B3"/>
    <w:rPr>
      <w:color w:val="984806" w:themeColor="accent6" w:themeShade="80"/>
      <w:szCs w:val="20"/>
    </w:rPr>
  </w:style>
  <w:style w:type="character" w:customStyle="1" w:styleId="VgjegyzetszvegeChar">
    <w:name w:val="Végjegyzet szövege Char"/>
    <w:basedOn w:val="Bekezdsalapbettpusa"/>
    <w:link w:val="Vgjegyzetszvege"/>
    <w:uiPriority w:val="99"/>
    <w:semiHidden/>
    <w:locked/>
    <w:rsid w:val="00D718B3"/>
    <w:rPr>
      <w:rFonts w:ascii="Calibri" w:eastAsiaTheme="minorHAnsi" w:hAnsi="Calibri" w:cstheme="minorBidi"/>
      <w:color w:val="984806" w:themeColor="accent6" w:themeShade="80"/>
      <w:sz w:val="20"/>
      <w:szCs w:val="20"/>
    </w:rPr>
  </w:style>
  <w:style w:type="table" w:customStyle="1" w:styleId="Vilgosrnykols1jellszn1">
    <w:name w:val="Világos árnyékolás – 1. jelölőszín1"/>
    <w:basedOn w:val="Normltblzat"/>
    <w:uiPriority w:val="60"/>
    <w:rsid w:val="00D718B3"/>
    <w:rPr>
      <w:rFonts w:eastAsiaTheme="minorHAnsi" w:cstheme="minorBidi"/>
      <w:color w:val="365F91" w:themeColor="accent1" w:themeShade="BF"/>
      <w:sz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Listaszerbekezds2">
    <w:name w:val="Listaszerű bekezdés 2"/>
    <w:basedOn w:val="Listaszerbekezds"/>
    <w:link w:val="Listaszerbekezds2Char"/>
    <w:uiPriority w:val="4"/>
    <w:qFormat/>
    <w:rsid w:val="00D718B3"/>
    <w:pPr>
      <w:numPr>
        <w:numId w:val="5"/>
      </w:numPr>
    </w:pPr>
  </w:style>
  <w:style w:type="paragraph" w:customStyle="1" w:styleId="Tblaszvegstlus">
    <w:name w:val="Tábla szöveg stílus"/>
    <w:basedOn w:val="Norml"/>
    <w:link w:val="TblaszvegstlusChar"/>
    <w:uiPriority w:val="8"/>
    <w:qFormat/>
    <w:rsid w:val="00D718B3"/>
  </w:style>
  <w:style w:type="character" w:customStyle="1" w:styleId="ListaszerbekezdsChar">
    <w:name w:val="Listaszerű bekezdés Char"/>
    <w:basedOn w:val="Bekezdsalapbettpusa"/>
    <w:link w:val="Listaszerbekezds"/>
    <w:uiPriority w:val="4"/>
    <w:locked/>
    <w:rsid w:val="00D718B3"/>
    <w:rPr>
      <w:rFonts w:ascii="Calibri" w:eastAsiaTheme="minorHAnsi" w:hAnsi="Calibri" w:cstheme="minorBidi"/>
      <w:sz w:val="20"/>
    </w:rPr>
  </w:style>
  <w:style w:type="character" w:customStyle="1" w:styleId="Listaszerbekezds2Char">
    <w:name w:val="Listaszerű bekezdés 2 Char"/>
    <w:basedOn w:val="ListaszerbekezdsChar"/>
    <w:link w:val="Listaszerbekezds2"/>
    <w:uiPriority w:val="4"/>
    <w:locked/>
    <w:rsid w:val="00D718B3"/>
  </w:style>
  <w:style w:type="character" w:customStyle="1" w:styleId="TblaszvegstlusChar">
    <w:name w:val="Tábla szöveg stílus Char"/>
    <w:basedOn w:val="Bekezdsalapbettpusa"/>
    <w:link w:val="Tblaszvegstlus"/>
    <w:uiPriority w:val="8"/>
    <w:locked/>
    <w:rsid w:val="00D718B3"/>
    <w:rPr>
      <w:rFonts w:ascii="Calibri" w:eastAsiaTheme="minorHAnsi" w:hAnsi="Calibri" w:cstheme="minorBidi"/>
      <w:sz w:val="20"/>
    </w:rPr>
  </w:style>
  <w:style w:type="character" w:styleId="Finomhivatkozs">
    <w:name w:val="Subtle Reference"/>
    <w:basedOn w:val="Bekezdsalapbettpusa"/>
    <w:uiPriority w:val="31"/>
    <w:rsid w:val="00D718B3"/>
    <w:rPr>
      <w:sz w:val="24"/>
      <w:szCs w:val="24"/>
      <w:u w:val="single"/>
    </w:rPr>
  </w:style>
  <w:style w:type="character" w:styleId="Ershivatkozs">
    <w:name w:val="Intense Reference"/>
    <w:basedOn w:val="Bekezdsalapbettpusa"/>
    <w:uiPriority w:val="32"/>
    <w:rsid w:val="00D718B3"/>
    <w:rPr>
      <w:b/>
      <w:sz w:val="24"/>
      <w:u w:val="single"/>
    </w:rPr>
  </w:style>
  <w:style w:type="paragraph" w:customStyle="1" w:styleId="Listaszerbekezds2szint">
    <w:name w:val="Listaszerű bekezdés 2. szint"/>
    <w:basedOn w:val="Listaszerbekezds"/>
    <w:link w:val="Listaszerbekezds2szintChar"/>
    <w:uiPriority w:val="4"/>
    <w:qFormat/>
    <w:rsid w:val="00D718B3"/>
    <w:pPr>
      <w:numPr>
        <w:numId w:val="8"/>
      </w:numPr>
    </w:pPr>
  </w:style>
  <w:style w:type="paragraph" w:customStyle="1" w:styleId="Listaszerbekezds3szint">
    <w:name w:val="Listaszerű bekezdés 3. szint"/>
    <w:basedOn w:val="Listaszerbekezds"/>
    <w:link w:val="Listaszerbekezds3szintChar"/>
    <w:uiPriority w:val="4"/>
    <w:qFormat/>
    <w:rsid w:val="00D718B3"/>
    <w:pPr>
      <w:numPr>
        <w:ilvl w:val="2"/>
      </w:numPr>
    </w:pPr>
  </w:style>
  <w:style w:type="character" w:customStyle="1" w:styleId="Listaszerbekezds2szintChar">
    <w:name w:val="Listaszerű bekezdés 2. szint Char"/>
    <w:basedOn w:val="ListaszerbekezdsChar"/>
    <w:link w:val="Listaszerbekezds2szint"/>
    <w:uiPriority w:val="4"/>
    <w:locked/>
    <w:rsid w:val="00D718B3"/>
  </w:style>
  <w:style w:type="character" w:customStyle="1" w:styleId="Listaszerbekezds3szintChar">
    <w:name w:val="Listaszerű bekezdés 3. szint Char"/>
    <w:basedOn w:val="ListaszerbekezdsChar"/>
    <w:link w:val="Listaszerbekezds3szint"/>
    <w:uiPriority w:val="4"/>
    <w:locked/>
    <w:rsid w:val="00D718B3"/>
  </w:style>
  <w:style w:type="paragraph" w:styleId="Alcm">
    <w:name w:val="Subtitle"/>
    <w:basedOn w:val="Norml"/>
    <w:next w:val="Norml"/>
    <w:link w:val="AlcmChar"/>
    <w:uiPriority w:val="11"/>
    <w:rsid w:val="00D718B3"/>
    <w:pPr>
      <w:spacing w:after="60"/>
      <w:jc w:val="center"/>
      <w:outlineLvl w:val="1"/>
    </w:pPr>
    <w:rPr>
      <w:rFonts w:eastAsiaTheme="majorEastAsia" w:cstheme="majorBidi"/>
    </w:rPr>
  </w:style>
  <w:style w:type="character" w:customStyle="1" w:styleId="AlcmChar">
    <w:name w:val="Alcím Char"/>
    <w:basedOn w:val="Bekezdsalapbettpusa"/>
    <w:link w:val="Alcm"/>
    <w:uiPriority w:val="11"/>
    <w:locked/>
    <w:rsid w:val="00D718B3"/>
    <w:rPr>
      <w:rFonts w:ascii="Calibri" w:eastAsiaTheme="majorEastAsia" w:hAnsi="Calibri" w:cstheme="majorBidi"/>
      <w:sz w:val="20"/>
    </w:rPr>
  </w:style>
  <w:style w:type="paragraph" w:customStyle="1" w:styleId="Listabetvel">
    <w:name w:val="Lista betűvel"/>
    <w:basedOn w:val="Listaszerbekezds"/>
    <w:link w:val="ListabetvelChar"/>
    <w:uiPriority w:val="4"/>
    <w:qFormat/>
    <w:rsid w:val="00D718B3"/>
    <w:pPr>
      <w:numPr>
        <w:numId w:val="7"/>
      </w:numPr>
    </w:pPr>
  </w:style>
  <w:style w:type="character" w:customStyle="1" w:styleId="ListabetvelChar">
    <w:name w:val="Lista betűvel Char"/>
    <w:basedOn w:val="ListaszerbekezdsChar"/>
    <w:link w:val="Listabetvel"/>
    <w:uiPriority w:val="4"/>
    <w:locked/>
    <w:rsid w:val="00D718B3"/>
  </w:style>
  <w:style w:type="paragraph" w:customStyle="1" w:styleId="Erskiemels">
    <w:name w:val="Erős kiemelés"/>
    <w:basedOn w:val="Norml"/>
    <w:link w:val="ErskiemelsChar"/>
    <w:uiPriority w:val="5"/>
    <w:qFormat/>
    <w:rsid w:val="00D718B3"/>
    <w:rPr>
      <w:b/>
      <w:i/>
    </w:rPr>
  </w:style>
  <w:style w:type="character" w:customStyle="1" w:styleId="ErskiemelsChar">
    <w:name w:val="Erős kiemelés Char"/>
    <w:basedOn w:val="Bekezdsalapbettpusa"/>
    <w:link w:val="Erskiemels"/>
    <w:uiPriority w:val="5"/>
    <w:locked/>
    <w:rsid w:val="00D718B3"/>
    <w:rPr>
      <w:rFonts w:ascii="Calibri" w:eastAsiaTheme="minorHAnsi" w:hAnsi="Calibri" w:cstheme="minorBidi"/>
      <w:b/>
      <w:i/>
      <w:sz w:val="20"/>
    </w:rPr>
  </w:style>
  <w:style w:type="paragraph" w:customStyle="1" w:styleId="Bold">
    <w:name w:val="Bold"/>
    <w:basedOn w:val="Norml"/>
    <w:link w:val="BoldChar"/>
    <w:uiPriority w:val="6"/>
    <w:qFormat/>
    <w:rsid w:val="00D718B3"/>
    <w:rPr>
      <w:b/>
    </w:rPr>
  </w:style>
  <w:style w:type="character" w:customStyle="1" w:styleId="BoldChar">
    <w:name w:val="Bold Char"/>
    <w:basedOn w:val="Bekezdsalapbettpusa"/>
    <w:link w:val="Bold"/>
    <w:uiPriority w:val="6"/>
    <w:locked/>
    <w:rsid w:val="00D718B3"/>
    <w:rPr>
      <w:rFonts w:ascii="Calibri" w:eastAsiaTheme="minorHAnsi" w:hAnsi="Calibri" w:cstheme="minorBidi"/>
      <w:b/>
      <w:sz w:val="20"/>
    </w:rPr>
  </w:style>
  <w:style w:type="character" w:styleId="Mrltotthiperhivatkozs">
    <w:name w:val="FollowedHyperlink"/>
    <w:basedOn w:val="Bekezdsalapbettpusa"/>
    <w:uiPriority w:val="99"/>
    <w:semiHidden/>
    <w:unhideWhenUsed/>
    <w:rsid w:val="00D718B3"/>
    <w:rPr>
      <w:color w:val="800080" w:themeColor="followedHyperlink"/>
      <w:u w:val="single"/>
    </w:rPr>
  </w:style>
  <w:style w:type="paragraph" w:styleId="Tartalomjegyzkcmsora">
    <w:name w:val="TOC Heading"/>
    <w:basedOn w:val="Cmsor1"/>
    <w:next w:val="Norml"/>
    <w:uiPriority w:val="39"/>
    <w:unhideWhenUsed/>
    <w:qFormat/>
    <w:rsid w:val="00D718B3"/>
    <w:pPr>
      <w:numPr>
        <w:numId w:val="0"/>
      </w:numPr>
      <w:spacing w:after="0"/>
      <w:outlineLvl w:val="9"/>
    </w:pPr>
    <w:rPr>
      <w:b/>
      <w:caps w:val="0"/>
      <w:sz w:val="24"/>
      <w:szCs w:val="28"/>
    </w:rPr>
  </w:style>
  <w:style w:type="paragraph" w:styleId="TJ2">
    <w:name w:val="toc 2"/>
    <w:basedOn w:val="Norml"/>
    <w:next w:val="Norml"/>
    <w:autoRedefine/>
    <w:uiPriority w:val="39"/>
    <w:unhideWhenUsed/>
    <w:qFormat/>
    <w:locked/>
    <w:rsid w:val="00D718B3"/>
    <w:pPr>
      <w:spacing w:after="100"/>
      <w:ind w:left="220"/>
      <w:jc w:val="left"/>
    </w:pPr>
    <w:rPr>
      <w:rFonts w:eastAsiaTheme="minorEastAsia"/>
    </w:rPr>
  </w:style>
  <w:style w:type="paragraph" w:styleId="TJ1">
    <w:name w:val="toc 1"/>
    <w:basedOn w:val="Norml"/>
    <w:next w:val="Norml"/>
    <w:autoRedefine/>
    <w:uiPriority w:val="39"/>
    <w:unhideWhenUsed/>
    <w:qFormat/>
    <w:locked/>
    <w:rsid w:val="00D718B3"/>
    <w:pPr>
      <w:spacing w:after="100"/>
      <w:jc w:val="left"/>
    </w:pPr>
    <w:rPr>
      <w:rFonts w:eastAsiaTheme="minorEastAsia"/>
    </w:rPr>
  </w:style>
  <w:style w:type="paragraph" w:styleId="TJ3">
    <w:name w:val="toc 3"/>
    <w:basedOn w:val="Norml"/>
    <w:next w:val="Norml"/>
    <w:uiPriority w:val="39"/>
    <w:unhideWhenUsed/>
    <w:qFormat/>
    <w:locked/>
    <w:rsid w:val="00D718B3"/>
    <w:pPr>
      <w:spacing w:after="100"/>
      <w:ind w:left="400"/>
    </w:pPr>
  </w:style>
  <w:style w:type="paragraph" w:customStyle="1" w:styleId="StyleTOC2Left015">
    <w:name w:val="Style TOC 2 + Left:  0.15&quot;"/>
    <w:basedOn w:val="TJ2"/>
    <w:rsid w:val="00D718B3"/>
    <w:pPr>
      <w:ind w:left="216"/>
    </w:pPr>
    <w:rPr>
      <w:rFonts w:eastAsia="Times New Roman" w:cs="Times New Roman"/>
      <w:szCs w:val="20"/>
    </w:rPr>
  </w:style>
  <w:style w:type="paragraph" w:customStyle="1" w:styleId="StyleTOC3Left031">
    <w:name w:val="Style TOC 3 + Left:  0.31&quot;"/>
    <w:basedOn w:val="TJ3"/>
    <w:rsid w:val="00D718B3"/>
    <w:pPr>
      <w:ind w:left="446"/>
    </w:pPr>
    <w:rPr>
      <w:rFonts w:eastAsia="Times New Roman" w:cs="Times New Roman"/>
      <w:szCs w:val="20"/>
    </w:rPr>
  </w:style>
  <w:style w:type="paragraph" w:customStyle="1" w:styleId="HierarchikusLista0">
    <w:name w:val="Hierarchikus Lista"/>
    <w:basedOn w:val="Listaszerbekezds"/>
    <w:link w:val="HierarchikusListaChar"/>
    <w:qFormat/>
    <w:rsid w:val="00D718B3"/>
    <w:pPr>
      <w:numPr>
        <w:numId w:val="0"/>
      </w:numPr>
    </w:pPr>
  </w:style>
  <w:style w:type="character" w:customStyle="1" w:styleId="HierarchikusListaChar">
    <w:name w:val="Hierarchikus Lista Char"/>
    <w:basedOn w:val="ListaszerbekezdsChar"/>
    <w:link w:val="HierarchikusLista0"/>
    <w:locked/>
    <w:rsid w:val="00D718B3"/>
  </w:style>
  <w:style w:type="character" w:styleId="Kiemels2">
    <w:name w:val="Strong"/>
    <w:basedOn w:val="Bekezdsalapbettpusa"/>
    <w:uiPriority w:val="22"/>
    <w:rsid w:val="00D718B3"/>
    <w:rPr>
      <w:b/>
      <w:bCs/>
    </w:rPr>
  </w:style>
  <w:style w:type="character" w:styleId="Kiemels">
    <w:name w:val="Emphasis"/>
    <w:basedOn w:val="Bekezdsalapbettpusa"/>
    <w:uiPriority w:val="6"/>
    <w:qFormat/>
    <w:rsid w:val="00D718B3"/>
    <w:rPr>
      <w:i/>
      <w:iCs/>
    </w:rPr>
  </w:style>
  <w:style w:type="paragraph" w:styleId="Nincstrkz">
    <w:name w:val="No Spacing"/>
    <w:basedOn w:val="Norml"/>
    <w:uiPriority w:val="1"/>
    <w:rsid w:val="00D718B3"/>
    <w:rPr>
      <w:szCs w:val="32"/>
    </w:rPr>
  </w:style>
  <w:style w:type="paragraph" w:styleId="Idzet">
    <w:name w:val="Quote"/>
    <w:basedOn w:val="Norml"/>
    <w:next w:val="Norml"/>
    <w:link w:val="IdzetChar"/>
    <w:uiPriority w:val="29"/>
    <w:rsid w:val="00D718B3"/>
    <w:rPr>
      <w:i/>
    </w:rPr>
  </w:style>
  <w:style w:type="character" w:customStyle="1" w:styleId="IdzetChar">
    <w:name w:val="Idézet Char"/>
    <w:basedOn w:val="Bekezdsalapbettpusa"/>
    <w:link w:val="Idzet"/>
    <w:uiPriority w:val="29"/>
    <w:locked/>
    <w:rsid w:val="00D718B3"/>
    <w:rPr>
      <w:rFonts w:ascii="Calibri" w:eastAsiaTheme="minorHAnsi" w:hAnsi="Calibri" w:cstheme="minorBidi"/>
      <w:i/>
      <w:sz w:val="20"/>
    </w:rPr>
  </w:style>
  <w:style w:type="paragraph" w:styleId="Kiemeltidzet">
    <w:name w:val="Intense Quote"/>
    <w:basedOn w:val="Norml"/>
    <w:next w:val="Norml"/>
    <w:link w:val="KiemeltidzetChar"/>
    <w:uiPriority w:val="30"/>
    <w:rsid w:val="00D718B3"/>
    <w:pPr>
      <w:ind w:left="720" w:right="720"/>
    </w:pPr>
    <w:rPr>
      <w:b/>
      <w:i/>
    </w:rPr>
  </w:style>
  <w:style w:type="character" w:customStyle="1" w:styleId="KiemeltidzetChar">
    <w:name w:val="Kiemelt idézet Char"/>
    <w:basedOn w:val="Bekezdsalapbettpusa"/>
    <w:link w:val="Kiemeltidzet"/>
    <w:uiPriority w:val="30"/>
    <w:locked/>
    <w:rsid w:val="00D718B3"/>
    <w:rPr>
      <w:rFonts w:ascii="Calibri" w:eastAsiaTheme="minorHAnsi" w:hAnsi="Calibri" w:cstheme="minorBidi"/>
      <w:b/>
      <w:i/>
      <w:sz w:val="20"/>
    </w:rPr>
  </w:style>
  <w:style w:type="character" w:styleId="Ershangslyozs">
    <w:name w:val="Intense Emphasis"/>
    <w:basedOn w:val="Bekezdsalapbettpusa"/>
    <w:uiPriority w:val="21"/>
    <w:rsid w:val="00D718B3"/>
    <w:rPr>
      <w:b/>
      <w:i/>
      <w:sz w:val="24"/>
      <w:szCs w:val="24"/>
      <w:u w:val="single"/>
    </w:rPr>
  </w:style>
  <w:style w:type="character" w:styleId="Knyvcme">
    <w:name w:val="Book Title"/>
    <w:basedOn w:val="Bekezdsalapbettpusa"/>
    <w:uiPriority w:val="33"/>
    <w:rsid w:val="00D718B3"/>
    <w:rPr>
      <w:rFonts w:ascii="Calibri" w:eastAsiaTheme="majorEastAsia" w:hAnsi="Calibri"/>
      <w:b/>
      <w:i/>
      <w:sz w:val="24"/>
      <w:szCs w:val="24"/>
    </w:rPr>
  </w:style>
  <w:style w:type="paragraph" w:customStyle="1" w:styleId="Szvegdobozstlus">
    <w:name w:val="Szövegdoboz stílus"/>
    <w:basedOn w:val="HierarchikusLista0"/>
    <w:qFormat/>
    <w:rsid w:val="00D718B3"/>
    <w:rPr>
      <w:b/>
      <w:i/>
      <w:color w:val="4F81BD" w:themeColor="accent1"/>
    </w:rPr>
  </w:style>
  <w:style w:type="table" w:customStyle="1" w:styleId="170">
    <w:name w:val="170"/>
    <w:uiPriority w:val="99"/>
    <w:rsid w:val="003811DD"/>
    <w:pPr>
      <w:widowControl w:val="0"/>
      <w:autoSpaceDE w:val="0"/>
      <w:autoSpaceDN w:val="0"/>
      <w:adjustRightInd w:val="0"/>
    </w:pPr>
    <w:rPr>
      <w:rFonts w:ascii="Times New Roman" w:eastAsia="Times New Roman" w:hAnsi="Times New Roman"/>
      <w:sz w:val="24"/>
      <w:szCs w:val="24"/>
    </w:rPr>
    <w:tblPr>
      <w:tblStyleRowBandSize w:val="1"/>
      <w:tblStyleColBandSize w:val="1"/>
      <w:tblInd w:w="0" w:type="dxa"/>
      <w:tblBorders>
        <w:top w:val="single" w:sz="4" w:space="0" w:color="4BACC6"/>
        <w:left w:val="single" w:sz="4" w:space="0" w:color="4BACC6"/>
        <w:bottom w:val="single" w:sz="48" w:space="0" w:color="4BACC6"/>
        <w:right w:val="single" w:sz="4" w:space="0" w:color="4BACC6"/>
        <w:insideV w:val="single" w:sz="4" w:space="0" w:color="4BACC6"/>
      </w:tblBorders>
      <w:tblCellMar>
        <w:top w:w="0" w:type="dxa"/>
        <w:left w:w="108" w:type="dxa"/>
        <w:bottom w:w="0" w:type="dxa"/>
        <w:right w:w="108" w:type="dxa"/>
      </w:tblCellMar>
    </w:tblPr>
  </w:style>
  <w:style w:type="character" w:styleId="Jegyzethivatkozs">
    <w:name w:val="annotation reference"/>
    <w:basedOn w:val="Bekezdsalapbettpusa"/>
    <w:uiPriority w:val="99"/>
    <w:semiHidden/>
    <w:rsid w:val="00AB4069"/>
    <w:rPr>
      <w:rFonts w:cs="Times New Roman"/>
      <w:sz w:val="16"/>
      <w:szCs w:val="16"/>
    </w:rPr>
  </w:style>
  <w:style w:type="paragraph" w:styleId="Jegyzetszveg">
    <w:name w:val="annotation text"/>
    <w:basedOn w:val="Norml"/>
    <w:link w:val="JegyzetszvegChar"/>
    <w:uiPriority w:val="99"/>
    <w:semiHidden/>
    <w:rsid w:val="00AB4069"/>
    <w:rPr>
      <w:szCs w:val="20"/>
    </w:rPr>
  </w:style>
  <w:style w:type="character" w:customStyle="1" w:styleId="JegyzetszvegChar">
    <w:name w:val="Jegyzetszöveg Char"/>
    <w:basedOn w:val="Bekezdsalapbettpusa"/>
    <w:link w:val="Jegyzetszveg"/>
    <w:uiPriority w:val="99"/>
    <w:semiHidden/>
    <w:locked/>
    <w:rsid w:val="00AB4069"/>
    <w:rPr>
      <w:rFonts w:ascii="Garamond" w:hAnsi="Garamond" w:cs="Times New Roman"/>
      <w:lang w:eastAsia="en-US"/>
    </w:rPr>
  </w:style>
  <w:style w:type="paragraph" w:styleId="Megjegyzstrgya">
    <w:name w:val="annotation subject"/>
    <w:basedOn w:val="Jegyzetszveg"/>
    <w:next w:val="Jegyzetszveg"/>
    <w:link w:val="MegjegyzstrgyaChar"/>
    <w:uiPriority w:val="99"/>
    <w:semiHidden/>
    <w:rsid w:val="00AB4069"/>
    <w:rPr>
      <w:b/>
      <w:bCs/>
    </w:rPr>
  </w:style>
  <w:style w:type="character" w:customStyle="1" w:styleId="MegjegyzstrgyaChar">
    <w:name w:val="Megjegyzés tárgya Char"/>
    <w:basedOn w:val="JegyzetszvegChar"/>
    <w:link w:val="Megjegyzstrgya"/>
    <w:uiPriority w:val="99"/>
    <w:semiHidden/>
    <w:locked/>
    <w:rsid w:val="00AB4069"/>
    <w:rPr>
      <w:b/>
      <w:bCs/>
    </w:rPr>
  </w:style>
  <w:style w:type="paragraph" w:styleId="Vltozat">
    <w:name w:val="Revision"/>
    <w:hidden/>
    <w:uiPriority w:val="99"/>
    <w:semiHidden/>
    <w:rsid w:val="00AB4069"/>
    <w:rPr>
      <w:rFonts w:ascii="Garamond" w:hAnsi="Garamond"/>
      <w:sz w:val="24"/>
      <w:szCs w:val="24"/>
      <w:lang w:eastAsia="en-US"/>
    </w:rPr>
  </w:style>
  <w:style w:type="character" w:customStyle="1" w:styleId="tw4winMark">
    <w:name w:val="tw4winMark"/>
    <w:uiPriority w:val="99"/>
    <w:rsid w:val="00E87695"/>
    <w:rPr>
      <w:rFonts w:ascii="Courier New" w:hAnsi="Courier New"/>
      <w:vanish/>
      <w:color w:val="800080"/>
      <w:vertAlign w:val="subscript"/>
    </w:rPr>
  </w:style>
  <w:style w:type="numbering" w:customStyle="1" w:styleId="Hierarchikuslista">
    <w:name w:val="Hierarchikus lista"/>
    <w:uiPriority w:val="99"/>
    <w:rsid w:val="00D718B3"/>
    <w:pPr>
      <w:numPr>
        <w:numId w:val="2"/>
      </w:numPr>
    </w:pPr>
  </w:style>
  <w:style w:type="numbering" w:customStyle="1" w:styleId="Style1">
    <w:name w:val="Style1"/>
    <w:uiPriority w:val="99"/>
    <w:rsid w:val="00D718B3"/>
    <w:pPr>
      <w:numPr>
        <w:numId w:val="1"/>
      </w:numPr>
    </w:pPr>
  </w:style>
  <w:style w:type="table" w:customStyle="1" w:styleId="tblzat-fejlces">
    <w:name w:val="táblázat - fejléces"/>
    <w:basedOn w:val="Normltblzat"/>
    <w:uiPriority w:val="1"/>
    <w:qFormat/>
    <w:rsid w:val="00D718B3"/>
    <w:pPr>
      <w:contextualSpacing/>
    </w:pPr>
    <w:rPr>
      <w:rFonts w:asciiTheme="majorHAnsi" w:eastAsia="Calibri" w:hAnsiTheme="majorHAnsi" w:cstheme="minorBidi"/>
      <w:sz w:val="20"/>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cPr>
      <w:shd w:val="clear" w:color="auto" w:fill="auto"/>
      <w:tcMar>
        <w:top w:w="85" w:type="dxa"/>
      </w:tcMar>
      <w:vAlign w:val="center"/>
    </w:tcPr>
    <w:tblStylePr w:type="firstRow">
      <w:rPr>
        <w:rFonts w:asciiTheme="majorHAnsi" w:hAnsiTheme="majorHAnsi"/>
        <w:sz w:val="20"/>
      </w:rPr>
      <w:tblPr/>
      <w:tcPr>
        <w:shd w:val="clear" w:color="auto" w:fill="EEECE1" w:themeFill="background2"/>
      </w:tcPr>
    </w:tblStylePr>
    <w:tblStylePr w:type="firstCol">
      <w:rPr>
        <w:rFonts w:asciiTheme="majorHAnsi" w:hAnsiTheme="majorHAnsi"/>
        <w:sz w:val="20"/>
      </w:rPr>
    </w:tblStylePr>
  </w:style>
  <w:style w:type="table" w:customStyle="1" w:styleId="tblzat-oldallces">
    <w:name w:val="táblázat - oldalléces"/>
    <w:basedOn w:val="Normltblzat"/>
    <w:uiPriority w:val="3"/>
    <w:qFormat/>
    <w:rsid w:val="00D718B3"/>
    <w:pPr>
      <w:contextualSpacing/>
    </w:pPr>
    <w:rPr>
      <w:rFonts w:asciiTheme="majorHAnsi" w:eastAsia="Calibri" w:hAnsiTheme="majorHAnsi" w:cstheme="minorBidi"/>
      <w:sz w:val="20"/>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EECE1" w:themeFill="background2"/>
      </w:tcPr>
    </w:tblStylePr>
  </w:style>
  <w:style w:type="table" w:customStyle="1" w:styleId="Rcsos">
    <w:name w:val="Rácsos"/>
    <w:basedOn w:val="Normltblzat"/>
    <w:uiPriority w:val="99"/>
    <w:rsid w:val="00D718B3"/>
    <w:rPr>
      <w:rFonts w:asciiTheme="majorHAnsi" w:eastAsiaTheme="minorHAnsi" w:hAnsiTheme="majorHAnsi" w:cstheme="minorBidi"/>
      <w:color w:val="4BACC6" w:themeColor="accent5"/>
      <w:sz w:val="20"/>
    </w:rPr>
    <w:tblPr>
      <w:tblStyleRowBandSize w:val="1"/>
      <w:tblStyleColBandSize w:val="1"/>
      <w:tblInd w:w="0" w:type="dxa"/>
      <w:tblBorders>
        <w:top w:val="single" w:sz="4" w:space="0" w:color="4BACC6" w:themeColor="accent5"/>
        <w:left w:val="single" w:sz="4" w:space="0" w:color="4BACC6" w:themeColor="accent5"/>
        <w:bottom w:val="single" w:sz="48" w:space="0" w:color="4BACC6" w:themeColor="accent5"/>
        <w:right w:val="single" w:sz="4" w:space="0" w:color="4BACC6" w:themeColor="accent5"/>
        <w:insideV w:val="single" w:sz="4" w:space="0" w:color="4BACC6" w:themeColor="accent5"/>
      </w:tblBorders>
      <w:tblCellMar>
        <w:top w:w="0" w:type="dxa"/>
        <w:left w:w="108" w:type="dxa"/>
        <w:bottom w:w="0" w:type="dxa"/>
        <w:right w:w="108" w:type="dxa"/>
      </w:tblCellMar>
    </w:tblPr>
    <w:tcPr>
      <w:shd w:val="clear" w:color="auto" w:fill="auto"/>
      <w:tcMar>
        <w:top w:w="170" w:type="dxa"/>
      </w:tcMar>
      <w:vAlign w:val="center"/>
    </w:tcPr>
    <w:tblStylePr w:type="firstRow">
      <w:rPr>
        <w:rFonts w:asciiTheme="majorHAnsi" w:hAnsiTheme="majorHAnsi"/>
        <w:b w:val="0"/>
        <w:i w:val="0"/>
        <w:color w:val="4BACC6" w:themeColor="accent5"/>
        <w:sz w:val="36"/>
      </w:rPr>
      <w:tblPr/>
      <w:tcPr>
        <w:tcBorders>
          <w:top w:val="single" w:sz="8" w:space="0" w:color="4BACC6" w:themeColor="accent5"/>
          <w:left w:val="single" w:sz="8" w:space="0" w:color="4BACC6" w:themeColor="accent5"/>
          <w:bottom w:val="single" w:sz="24" w:space="0" w:color="4BACC6" w:themeColor="accent5"/>
          <w:right w:val="single" w:sz="8" w:space="0" w:color="4BACC6" w:themeColor="accent5"/>
          <w:insideH w:val="nil"/>
          <w:insideV w:val="nil"/>
          <w:tl2br w:val="nil"/>
          <w:tr2bl w:val="nil"/>
        </w:tcBorders>
        <w:shd w:val="clear" w:color="auto" w:fill="EEECE1" w:themeFill="background2"/>
      </w:tcPr>
    </w:tblStylePr>
    <w:tblStylePr w:type="band2Horz">
      <w:tblPr/>
      <w:tcPr>
        <w:shd w:val="clear" w:color="auto" w:fill="F4F3EC" w:themeFill="background2" w:themeFillTint="99"/>
      </w:tcPr>
    </w:tblStylePr>
  </w:style>
</w:styles>
</file>

<file path=word/webSettings.xml><?xml version="1.0" encoding="utf-8"?>
<w:webSettings xmlns:r="http://schemas.openxmlformats.org/officeDocument/2006/relationships" xmlns:w="http://schemas.openxmlformats.org/wordprocessingml/2006/main">
  <w:divs>
    <w:div w:id="1544243526">
      <w:marLeft w:val="0"/>
      <w:marRight w:val="0"/>
      <w:marTop w:val="0"/>
      <w:marBottom w:val="0"/>
      <w:divBdr>
        <w:top w:val="none" w:sz="0" w:space="0" w:color="auto"/>
        <w:left w:val="none" w:sz="0" w:space="0" w:color="auto"/>
        <w:bottom w:val="none" w:sz="0" w:space="0" w:color="auto"/>
        <w:right w:val="none" w:sz="0" w:space="0" w:color="auto"/>
      </w:divBdr>
    </w:div>
    <w:div w:id="15442435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lish.mnb.hu/Statisztika/data-and-information/mnben_modszertanok/mnben_hitelintezetek_ci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71413-657F-4644-B89F-44EDF1B3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5080</Characters>
  <Application>Microsoft Office Word</Application>
  <DocSecurity>0</DocSecurity>
  <Lines>42</Lines>
  <Paragraphs>11</Paragraphs>
  <ScaleCrop>false</ScaleCrop>
  <HeadingPairs>
    <vt:vector size="2" baseType="variant">
      <vt:variant>
        <vt:lpstr>Cím</vt:lpstr>
      </vt:variant>
      <vt:variant>
        <vt:i4>1</vt:i4>
      </vt:variant>
    </vt:vector>
  </HeadingPairs>
  <TitlesOfParts>
    <vt:vector size="1" baseType="lpstr">
      <vt:lpstr>A FELÜGYELETIADAT-GYŰJTÉSEKBŐL ÖSSZEÁLLÍTOTT ÉS A JEGYBANKI STATISZTIKAIADAT-KÖZLÉSEK KÖZÖTTI MÓDSZERTANI ELTÉRÉSEK A HITELINTÉZETEK VONATKOZÁSÁBAN</vt:lpstr>
    </vt:vector>
  </TitlesOfParts>
  <Company>Magyar Nemzeti Bank</Company>
  <LinksUpToDate>false</LinksUpToDate>
  <CharactersWithSpaces>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FELÜGYELETIADAT-GYŰJTÉSEKBŐL ÖSSZEÁLLÍTOTT ÉS A JEGYBANKI STATISZTIKAIADAT-KÖZLÉSEK KÖZÖTTI MÓDSZERTANI ELTÉRÉSEK A HITELINTÉZETEK VONATKOZÁSÁBAN</dc:title>
  <dc:creator>vargaed</dc:creator>
  <cp:lastModifiedBy>koroso</cp:lastModifiedBy>
  <cp:revision>2</cp:revision>
  <cp:lastPrinted>2013-10-17T14:24:00Z</cp:lastPrinted>
  <dcterms:created xsi:type="dcterms:W3CDTF">2013-10-22T08:31:00Z</dcterms:created>
  <dcterms:modified xsi:type="dcterms:W3CDTF">2013-10-22T08:31:00Z</dcterms:modified>
</cp:coreProperties>
</file>