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74" w:rsidRDefault="009E5574" w:rsidP="009E5574">
      <w:pPr>
        <w:spacing w:before="120"/>
        <w:ind w:left="360"/>
        <w:jc w:val="center"/>
        <w:rPr>
          <w:rFonts w:ascii="Garamond" w:hAnsi="Garamond"/>
          <w:sz w:val="24"/>
          <w:szCs w:val="24"/>
          <w:lang w:val="hu-HU"/>
        </w:rPr>
      </w:pPr>
    </w:p>
    <w:p w:rsidR="000C706C" w:rsidRDefault="000C706C" w:rsidP="000C706C">
      <w:pPr>
        <w:jc w:val="center"/>
        <w:rPr>
          <w:rFonts w:ascii="Garamond" w:hAnsi="Garamond"/>
          <w:b/>
        </w:rPr>
      </w:pPr>
    </w:p>
    <w:p w:rsidR="000C706C" w:rsidRDefault="000C706C" w:rsidP="000C706C">
      <w:pPr>
        <w:jc w:val="center"/>
        <w:rPr>
          <w:rFonts w:ascii="Trebuchet MS" w:hAnsi="Trebuchet MS"/>
          <w:b/>
          <w:sz w:val="24"/>
          <w:szCs w:val="24"/>
        </w:rPr>
      </w:pPr>
    </w:p>
    <w:p w:rsidR="000C706C" w:rsidRPr="000C706C" w:rsidRDefault="00DA4E82" w:rsidP="000C706C">
      <w:pPr>
        <w:jc w:val="center"/>
        <w:rPr>
          <w:rFonts w:ascii="Trebuchet MS" w:hAnsi="Trebuchet MS"/>
          <w:b/>
        </w:rPr>
      </w:pPr>
      <w:proofErr w:type="spellStart"/>
      <w:r w:rsidRPr="00DA4E82">
        <w:rPr>
          <w:rFonts w:ascii="Trebuchet MS" w:hAnsi="Trebuchet MS"/>
          <w:b/>
        </w:rPr>
        <w:t>Módszertani</w:t>
      </w:r>
      <w:proofErr w:type="spellEnd"/>
      <w:r w:rsidRPr="00DA4E82">
        <w:rPr>
          <w:rFonts w:ascii="Trebuchet MS" w:hAnsi="Trebuchet MS"/>
          <w:b/>
        </w:rPr>
        <w:t xml:space="preserve"> </w:t>
      </w:r>
      <w:proofErr w:type="spellStart"/>
      <w:r w:rsidRPr="00DA4E82">
        <w:rPr>
          <w:rFonts w:ascii="Trebuchet MS" w:hAnsi="Trebuchet MS"/>
          <w:b/>
        </w:rPr>
        <w:t>segédlet</w:t>
      </w:r>
      <w:proofErr w:type="spellEnd"/>
    </w:p>
    <w:p w:rsidR="000C706C" w:rsidRPr="000C706C" w:rsidRDefault="000C706C" w:rsidP="009E5574">
      <w:pPr>
        <w:spacing w:before="120"/>
        <w:ind w:left="360"/>
        <w:jc w:val="center"/>
        <w:rPr>
          <w:rFonts w:ascii="Trebuchet MS" w:hAnsi="Trebuchet MS"/>
          <w:b/>
          <w:lang w:val="hu-HU"/>
        </w:rPr>
      </w:pPr>
    </w:p>
    <w:p w:rsidR="000C706C" w:rsidRPr="000C706C" w:rsidRDefault="00DA4E82" w:rsidP="009E5574">
      <w:pPr>
        <w:spacing w:before="120"/>
        <w:ind w:left="360"/>
        <w:jc w:val="center"/>
        <w:rPr>
          <w:rFonts w:ascii="Trebuchet MS" w:hAnsi="Trebuchet MS"/>
          <w:b/>
          <w:lang w:val="hu-HU"/>
        </w:rPr>
      </w:pPr>
      <w:r w:rsidRPr="00DA4E82">
        <w:rPr>
          <w:rFonts w:ascii="Trebuchet MS" w:hAnsi="Trebuchet MS"/>
          <w:b/>
          <w:lang w:val="hu-HU"/>
        </w:rPr>
        <w:t>Napi jelentés a cash-flow adatokról (MNB azonosító kód: AL2)</w:t>
      </w:r>
    </w:p>
    <w:p w:rsidR="009E5574" w:rsidRPr="000C706C" w:rsidRDefault="009E5574" w:rsidP="009E5574">
      <w:pPr>
        <w:spacing w:before="120"/>
        <w:ind w:left="360"/>
        <w:jc w:val="center"/>
        <w:rPr>
          <w:rFonts w:ascii="Trebuchet MS" w:hAnsi="Trebuchet MS"/>
          <w:b/>
          <w:lang w:val="hu-HU"/>
        </w:rPr>
      </w:pPr>
    </w:p>
    <w:p w:rsidR="000C706C" w:rsidRPr="000C706C" w:rsidRDefault="000C706C" w:rsidP="009E5574">
      <w:pPr>
        <w:spacing w:before="120"/>
        <w:ind w:left="360"/>
        <w:jc w:val="center"/>
        <w:rPr>
          <w:rFonts w:ascii="Trebuchet MS" w:hAnsi="Trebuchet MS"/>
          <w:b/>
          <w:sz w:val="24"/>
          <w:szCs w:val="24"/>
          <w:lang w:val="hu-HU"/>
        </w:rPr>
      </w:pPr>
    </w:p>
    <w:p w:rsidR="00575DD0" w:rsidRDefault="00DA4E82">
      <w:pPr>
        <w:pStyle w:val="Listaszerbekezds"/>
        <w:numPr>
          <w:ilvl w:val="0"/>
          <w:numId w:val="8"/>
        </w:numPr>
        <w:spacing w:before="120"/>
        <w:rPr>
          <w:rFonts w:ascii="Trebuchet MS" w:hAnsi="Trebuchet MS"/>
          <w:b/>
          <w:lang w:val="hu-HU"/>
        </w:rPr>
      </w:pPr>
      <w:r w:rsidRPr="00DA4E82">
        <w:rPr>
          <w:rFonts w:ascii="Trebuchet MS" w:hAnsi="Trebuchet MS"/>
          <w:b/>
          <w:lang w:val="hu-HU"/>
        </w:rPr>
        <w:t>Tartalékszámla elvárt egyenlegétől való eltérést tartalmazó sorok kiszámítási módszertana</w:t>
      </w:r>
    </w:p>
    <w:p w:rsidR="00571E8F" w:rsidRPr="000C68D8" w:rsidRDefault="00571E8F" w:rsidP="008E017D">
      <w:pPr>
        <w:spacing w:before="120"/>
        <w:jc w:val="both"/>
        <w:rPr>
          <w:rFonts w:ascii="Trebuchet MS" w:hAnsi="Trebuchet MS"/>
          <w:lang w:val="hu-HU"/>
        </w:rPr>
      </w:pPr>
    </w:p>
    <w:p w:rsidR="008E017D" w:rsidRPr="000C68D8" w:rsidRDefault="008E017D" w:rsidP="008E017D">
      <w:pPr>
        <w:numPr>
          <w:ilvl w:val="0"/>
          <w:numId w:val="1"/>
        </w:numPr>
        <w:spacing w:before="120"/>
        <w:jc w:val="both"/>
        <w:rPr>
          <w:rFonts w:ascii="Trebuchet MS" w:hAnsi="Trebuchet MS"/>
          <w:lang w:val="hu-HU"/>
        </w:rPr>
      </w:pPr>
      <w:r w:rsidRPr="000C68D8">
        <w:rPr>
          <w:rFonts w:ascii="Trebuchet MS" w:hAnsi="Trebuchet MS"/>
          <w:lang w:val="hu-HU"/>
        </w:rPr>
        <w:t>CASHFLOW704 (MNB tartalékszámla elvárt egyenlegétől számított eltérés) sorhoz jelentendő adat az alábbi összefüggés alapján számítandó:</w:t>
      </w:r>
    </w:p>
    <w:p w:rsidR="008E017D" w:rsidRPr="000C68D8" w:rsidRDefault="008E017D" w:rsidP="008E017D">
      <w:pPr>
        <w:spacing w:before="120"/>
        <w:ind w:left="720"/>
        <w:jc w:val="both"/>
        <w:rPr>
          <w:rFonts w:ascii="Trebuchet MS" w:hAnsi="Trebuchet MS"/>
          <w:lang w:val="hu-HU"/>
        </w:rPr>
      </w:pPr>
      <w:r w:rsidRPr="000C68D8">
        <w:rPr>
          <w:rFonts w:ascii="Trebuchet MS" w:hAnsi="Trebuchet MS"/>
          <w:lang w:val="hu-HU"/>
        </w:rPr>
        <w:t>D</w:t>
      </w:r>
      <w:r w:rsidRPr="000C68D8">
        <w:rPr>
          <w:rFonts w:ascii="Trebuchet MS" w:hAnsi="Trebuchet MS"/>
          <w:vertAlign w:val="subscript"/>
          <w:lang w:val="hu-HU"/>
        </w:rPr>
        <w:t>4</w:t>
      </w:r>
      <w:r w:rsidRPr="000C68D8">
        <w:rPr>
          <w:rFonts w:ascii="Trebuchet MS" w:hAnsi="Trebuchet MS"/>
          <w:lang w:val="hu-HU"/>
        </w:rPr>
        <w:t>=E</w:t>
      </w:r>
      <w:r w:rsidRPr="000C68D8">
        <w:rPr>
          <w:rFonts w:ascii="Trebuchet MS" w:hAnsi="Trebuchet MS"/>
          <w:vertAlign w:val="subscript"/>
          <w:lang w:val="hu-HU"/>
        </w:rPr>
        <w:t xml:space="preserve">t-1 </w:t>
      </w:r>
      <w:r w:rsidRPr="000C68D8">
        <w:rPr>
          <w:rFonts w:ascii="Trebuchet MS" w:hAnsi="Trebuchet MS"/>
          <w:lang w:val="hu-HU"/>
        </w:rPr>
        <w:t>- C</w:t>
      </w:r>
      <w:r w:rsidRPr="000C68D8">
        <w:rPr>
          <w:rFonts w:ascii="Trebuchet MS" w:hAnsi="Trebuchet MS"/>
          <w:vertAlign w:val="subscript"/>
          <w:lang w:val="hu-HU"/>
        </w:rPr>
        <w:t>h</w:t>
      </w:r>
      <w:r w:rsidRPr="000C68D8">
        <w:rPr>
          <w:rFonts w:ascii="Trebuchet MS" w:hAnsi="Trebuchet MS"/>
          <w:lang w:val="hu-HU"/>
        </w:rPr>
        <w:t>, ahol</w:t>
      </w:r>
    </w:p>
    <w:p w:rsidR="008E017D" w:rsidRPr="000C68D8" w:rsidRDefault="008E017D" w:rsidP="008E017D">
      <w:pPr>
        <w:spacing w:before="120"/>
        <w:ind w:left="720"/>
        <w:jc w:val="both"/>
        <w:rPr>
          <w:rFonts w:ascii="Trebuchet MS" w:hAnsi="Trebuchet MS"/>
          <w:lang w:val="hu-HU"/>
        </w:rPr>
      </w:pPr>
      <w:r w:rsidRPr="000C68D8">
        <w:rPr>
          <w:rFonts w:ascii="Trebuchet MS" w:hAnsi="Trebuchet MS"/>
          <w:lang w:val="hu-HU"/>
        </w:rPr>
        <w:t>D</w:t>
      </w:r>
      <w:r w:rsidRPr="000C68D8">
        <w:rPr>
          <w:rFonts w:ascii="Trebuchet MS" w:hAnsi="Trebuchet MS"/>
          <w:vertAlign w:val="subscript"/>
          <w:lang w:val="hu-HU"/>
        </w:rPr>
        <w:t>4</w:t>
      </w:r>
      <w:r w:rsidRPr="000C68D8">
        <w:rPr>
          <w:rFonts w:ascii="Trebuchet MS" w:hAnsi="Trebuchet MS"/>
          <w:lang w:val="hu-HU"/>
        </w:rPr>
        <w:t>: Eltérés összege</w:t>
      </w:r>
    </w:p>
    <w:p w:rsidR="008E017D" w:rsidRPr="000C68D8" w:rsidRDefault="008E017D" w:rsidP="008E017D">
      <w:pPr>
        <w:spacing w:before="120"/>
        <w:ind w:left="720"/>
        <w:jc w:val="both"/>
        <w:rPr>
          <w:rFonts w:ascii="Trebuchet MS" w:hAnsi="Trebuchet MS"/>
          <w:lang w:val="hu-HU"/>
        </w:rPr>
      </w:pPr>
      <w:r w:rsidRPr="000C68D8">
        <w:rPr>
          <w:rFonts w:ascii="Trebuchet MS" w:hAnsi="Trebuchet MS"/>
          <w:lang w:val="hu-HU"/>
        </w:rPr>
        <w:t>E</w:t>
      </w:r>
      <w:r w:rsidRPr="000C68D8">
        <w:rPr>
          <w:rFonts w:ascii="Trebuchet MS" w:hAnsi="Trebuchet MS"/>
          <w:vertAlign w:val="subscript"/>
          <w:lang w:val="hu-HU"/>
        </w:rPr>
        <w:t>T-1</w:t>
      </w:r>
      <w:r w:rsidRPr="000C68D8">
        <w:rPr>
          <w:rFonts w:ascii="Trebuchet MS" w:hAnsi="Trebuchet MS"/>
          <w:lang w:val="hu-HU"/>
        </w:rPr>
        <w:t>: A forint elszámolási számla megelőző napi záróegyenlege</w:t>
      </w:r>
    </w:p>
    <w:p w:rsidR="008E017D" w:rsidRPr="000C68D8" w:rsidRDefault="008E017D" w:rsidP="008E017D">
      <w:pPr>
        <w:spacing w:before="120"/>
        <w:ind w:left="720"/>
        <w:jc w:val="both"/>
        <w:rPr>
          <w:rFonts w:ascii="Trebuchet MS" w:hAnsi="Trebuchet MS"/>
          <w:lang w:val="hu-HU"/>
        </w:rPr>
      </w:pPr>
      <w:r w:rsidRPr="000C68D8">
        <w:rPr>
          <w:rFonts w:ascii="Trebuchet MS" w:hAnsi="Trebuchet MS"/>
          <w:lang w:val="hu-HU"/>
        </w:rPr>
        <w:t>C</w:t>
      </w:r>
      <w:r w:rsidRPr="000C68D8">
        <w:rPr>
          <w:rFonts w:ascii="Trebuchet MS" w:hAnsi="Trebuchet MS"/>
          <w:vertAlign w:val="subscript"/>
          <w:lang w:val="hu-HU"/>
        </w:rPr>
        <w:t>h</w:t>
      </w:r>
      <w:r w:rsidRPr="000C68D8">
        <w:rPr>
          <w:rFonts w:ascii="Trebuchet MS" w:hAnsi="Trebuchet MS"/>
          <w:lang w:val="hu-HU"/>
        </w:rPr>
        <w:t>: A hónap hátralévő időszakában elvárt egyenleg</w:t>
      </w:r>
    </w:p>
    <w:p w:rsidR="000C68D8" w:rsidRPr="000C68D8" w:rsidRDefault="000C68D8" w:rsidP="000C68D8">
      <w:pPr>
        <w:numPr>
          <w:ilvl w:val="0"/>
          <w:numId w:val="1"/>
        </w:numPr>
        <w:spacing w:before="120"/>
        <w:jc w:val="both"/>
        <w:rPr>
          <w:rFonts w:ascii="Trebuchet MS" w:hAnsi="Trebuchet MS"/>
          <w:lang w:val="hu-HU"/>
        </w:rPr>
      </w:pPr>
      <w:r w:rsidRPr="000C68D8">
        <w:rPr>
          <w:rFonts w:ascii="Trebuchet MS" w:hAnsi="Trebuchet MS"/>
          <w:lang w:val="hu-HU"/>
        </w:rPr>
        <w:t>A CASHFLOW705 (adott hónapban tartandó elszámolási számlaegyenleg és az adott havi tartalékkötelezettség különbsége) sorhoz jelentendő adat az alábbi összefüggés alapján számítandó:</w:t>
      </w:r>
    </w:p>
    <w:p w:rsidR="000C68D8" w:rsidRPr="000C68D8" w:rsidRDefault="000C68D8" w:rsidP="000C68D8">
      <w:pPr>
        <w:spacing w:before="120"/>
        <w:ind w:firstLine="720"/>
        <w:jc w:val="both"/>
        <w:rPr>
          <w:rFonts w:ascii="Trebuchet MS" w:hAnsi="Trebuchet MS"/>
          <w:lang w:val="hu-HU"/>
        </w:rPr>
      </w:pPr>
      <w:r w:rsidRPr="000C68D8">
        <w:rPr>
          <w:rFonts w:ascii="Trebuchet MS" w:hAnsi="Trebuchet MS"/>
          <w:lang w:val="hu-HU"/>
        </w:rPr>
        <w:t>D</w:t>
      </w:r>
      <w:r w:rsidRPr="000C68D8">
        <w:rPr>
          <w:rFonts w:ascii="Trebuchet MS" w:hAnsi="Trebuchet MS"/>
          <w:vertAlign w:val="subscript"/>
          <w:lang w:val="hu-HU"/>
        </w:rPr>
        <w:t>5</w:t>
      </w:r>
      <w:r w:rsidRPr="000C68D8">
        <w:rPr>
          <w:rFonts w:ascii="Trebuchet MS" w:hAnsi="Trebuchet MS"/>
          <w:lang w:val="hu-HU"/>
        </w:rPr>
        <w:t>= C</w:t>
      </w:r>
      <w:r w:rsidRPr="000C68D8">
        <w:rPr>
          <w:rFonts w:ascii="Trebuchet MS" w:hAnsi="Trebuchet MS"/>
          <w:vertAlign w:val="subscript"/>
          <w:lang w:val="hu-HU"/>
        </w:rPr>
        <w:t>h</w:t>
      </w:r>
      <w:r w:rsidRPr="000C68D8">
        <w:rPr>
          <w:rFonts w:ascii="Trebuchet MS" w:hAnsi="Trebuchet MS"/>
          <w:lang w:val="hu-HU"/>
        </w:rPr>
        <w:t xml:space="preserve"> -T</w:t>
      </w:r>
      <w:r w:rsidRPr="000C68D8">
        <w:rPr>
          <w:rFonts w:ascii="Trebuchet MS" w:hAnsi="Trebuchet MS"/>
          <w:vertAlign w:val="subscript"/>
          <w:lang w:val="hu-HU"/>
        </w:rPr>
        <w:t>h</w:t>
      </w:r>
    </w:p>
    <w:p w:rsidR="000C68D8" w:rsidRPr="000C68D8" w:rsidRDefault="000C68D8" w:rsidP="000C68D8">
      <w:pPr>
        <w:spacing w:before="120"/>
        <w:ind w:firstLine="720"/>
        <w:jc w:val="both"/>
        <w:rPr>
          <w:rFonts w:ascii="Trebuchet MS" w:hAnsi="Trebuchet MS"/>
          <w:lang w:val="hu-HU"/>
        </w:rPr>
      </w:pPr>
      <w:r w:rsidRPr="000C68D8">
        <w:rPr>
          <w:rFonts w:ascii="Trebuchet MS" w:hAnsi="Trebuchet MS"/>
          <w:lang w:val="hu-HU"/>
        </w:rPr>
        <w:t>D</w:t>
      </w:r>
      <w:r w:rsidRPr="000C68D8">
        <w:rPr>
          <w:rFonts w:ascii="Trebuchet MS" w:hAnsi="Trebuchet MS"/>
          <w:vertAlign w:val="subscript"/>
          <w:lang w:val="hu-HU"/>
        </w:rPr>
        <w:t>5</w:t>
      </w:r>
      <w:r w:rsidRPr="000C68D8">
        <w:rPr>
          <w:rFonts w:ascii="Trebuchet MS" w:hAnsi="Trebuchet MS"/>
          <w:lang w:val="hu-HU"/>
        </w:rPr>
        <w:t>: Eltérés összege</w:t>
      </w:r>
    </w:p>
    <w:p w:rsidR="000C68D8" w:rsidRPr="000C68D8" w:rsidRDefault="000C68D8" w:rsidP="000C68D8">
      <w:pPr>
        <w:spacing w:before="120"/>
        <w:ind w:firstLine="720"/>
        <w:jc w:val="both"/>
        <w:rPr>
          <w:rFonts w:ascii="Trebuchet MS" w:hAnsi="Trebuchet MS"/>
          <w:lang w:val="hu-HU"/>
        </w:rPr>
      </w:pPr>
      <w:r w:rsidRPr="000C68D8">
        <w:rPr>
          <w:rFonts w:ascii="Trebuchet MS" w:hAnsi="Trebuchet MS"/>
          <w:lang w:val="hu-HU"/>
        </w:rPr>
        <w:t>C</w:t>
      </w:r>
      <w:r w:rsidRPr="000C68D8">
        <w:rPr>
          <w:rFonts w:ascii="Trebuchet MS" w:hAnsi="Trebuchet MS"/>
          <w:vertAlign w:val="subscript"/>
          <w:lang w:val="hu-HU"/>
        </w:rPr>
        <w:t>h</w:t>
      </w:r>
      <w:r w:rsidRPr="000C68D8">
        <w:rPr>
          <w:rFonts w:ascii="Trebuchet MS" w:hAnsi="Trebuchet MS"/>
          <w:lang w:val="hu-HU"/>
        </w:rPr>
        <w:t xml:space="preserve">: A hónap hátralévő időszakában elvárt egyenleg </w:t>
      </w:r>
    </w:p>
    <w:p w:rsidR="000C68D8" w:rsidRDefault="000C68D8" w:rsidP="000C68D8">
      <w:pPr>
        <w:spacing w:before="120"/>
        <w:ind w:firstLine="708"/>
        <w:jc w:val="both"/>
        <w:rPr>
          <w:rFonts w:ascii="Trebuchet MS" w:hAnsi="Trebuchet MS"/>
          <w:lang w:val="hu-HU"/>
        </w:rPr>
      </w:pPr>
      <w:r w:rsidRPr="000C68D8">
        <w:rPr>
          <w:rFonts w:ascii="Trebuchet MS" w:hAnsi="Trebuchet MS"/>
          <w:lang w:val="hu-HU"/>
        </w:rPr>
        <w:t>T</w:t>
      </w:r>
      <w:r w:rsidRPr="000C68D8">
        <w:rPr>
          <w:rFonts w:ascii="Trebuchet MS" w:hAnsi="Trebuchet MS"/>
          <w:vertAlign w:val="subscript"/>
          <w:lang w:val="hu-HU"/>
        </w:rPr>
        <w:t>h</w:t>
      </w:r>
      <w:r w:rsidRPr="000C68D8">
        <w:rPr>
          <w:rFonts w:ascii="Trebuchet MS" w:hAnsi="Trebuchet MS"/>
          <w:lang w:val="hu-HU"/>
        </w:rPr>
        <w:t>: Az aktuális hónap tartalék</w:t>
      </w:r>
    </w:p>
    <w:p w:rsidR="00575DD0" w:rsidRDefault="00575DD0">
      <w:pPr>
        <w:spacing w:before="120"/>
        <w:ind w:firstLine="708"/>
        <w:rPr>
          <w:rFonts w:ascii="Trebuchet MS" w:hAnsi="Trebuchet MS"/>
          <w:lang w:val="hu-HU"/>
        </w:rPr>
      </w:pPr>
    </w:p>
    <w:p w:rsidR="00575DD0" w:rsidRDefault="00DA4E82">
      <w:pPr>
        <w:pStyle w:val="Listaszerbekezds"/>
        <w:numPr>
          <w:ilvl w:val="0"/>
          <w:numId w:val="8"/>
        </w:numPr>
        <w:rPr>
          <w:rFonts w:ascii="Trebuchet MS" w:hAnsi="Trebuchet MS"/>
          <w:b/>
          <w:lang w:val="hu-HU"/>
        </w:rPr>
      </w:pPr>
      <w:r w:rsidRPr="00DA4E82">
        <w:rPr>
          <w:rFonts w:ascii="Trebuchet MS" w:hAnsi="Trebuchet MS"/>
          <w:b/>
          <w:lang w:val="hu-HU"/>
        </w:rPr>
        <w:t>Az „Eszközök összesen” sor számítási módszertana</w:t>
      </w:r>
    </w:p>
    <w:p w:rsidR="00A03AAC" w:rsidRPr="00A03AAC" w:rsidRDefault="00A03AAC" w:rsidP="00A03AAC">
      <w:pPr>
        <w:jc w:val="center"/>
        <w:rPr>
          <w:rFonts w:ascii="Trebuchet MS" w:hAnsi="Trebuchet MS"/>
          <w:lang w:val="hu-HU"/>
        </w:rPr>
      </w:pPr>
    </w:p>
    <w:p w:rsidR="00A03AAC" w:rsidRDefault="00A03AAC" w:rsidP="00A03AAC">
      <w:pPr>
        <w:jc w:val="both"/>
        <w:rPr>
          <w:rFonts w:ascii="Trebuchet MS" w:hAnsi="Trebuchet MS"/>
          <w:lang w:val="hu-HU"/>
        </w:rPr>
      </w:pPr>
    </w:p>
    <w:p w:rsidR="00BA4772" w:rsidRPr="00A03AAC" w:rsidRDefault="00BA4772" w:rsidP="00A03AAC">
      <w:pPr>
        <w:jc w:val="both"/>
        <w:rPr>
          <w:rFonts w:ascii="Trebuchet MS" w:hAnsi="Trebuchet MS"/>
          <w:lang w:val="hu-HU"/>
        </w:rPr>
      </w:pPr>
      <w:r w:rsidRPr="00A03AAC">
        <w:rPr>
          <w:rFonts w:ascii="Trebuchet MS" w:hAnsi="Trebuchet MS"/>
          <w:lang w:val="hu-HU"/>
        </w:rPr>
        <w:t>CASHFLOW713 (183. sor): Az Eszközök összesen soron az adatszolgáltatónak az adatszolgáltatás teljesítését megelőző napi (T napi) záró mérlegfőösszegét kell megadni, az AL1 adatszolgáltatás 4LAN tábla 025 sorának a) oszlopában jelentett adattal egyezően. Amennyiben rendelkezésre áll a „Felügyeleti mérleg és eredménykimutatás (hó végi záró állomány)” (MNB azonosító kód: F01) adatszolgáltatás 1AB, illetve 1B tábla kitöltésének elvei szerinti pontos napi mérlegfőösszeg (eszközök összesen/ források összesen), akkor azt kell jelenteni, amennyiben ez az adat nem áll rendelkezésre, az adat számítását az alábbi módszerek valamelyike szerint kell elvégezni:</w:t>
      </w:r>
    </w:p>
    <w:p w:rsidR="00BA4772" w:rsidRPr="00BA4772" w:rsidRDefault="000C68D8" w:rsidP="00BA4772">
      <w:pPr>
        <w:pStyle w:val="Listaszerbekezds"/>
        <w:numPr>
          <w:ilvl w:val="1"/>
          <w:numId w:val="6"/>
        </w:numPr>
        <w:jc w:val="both"/>
        <w:rPr>
          <w:rFonts w:ascii="Trebuchet MS" w:hAnsi="Trebuchet MS"/>
          <w:lang w:val="hu-HU"/>
        </w:rPr>
      </w:pPr>
      <w:r w:rsidRPr="000C68D8">
        <w:rPr>
          <w:rFonts w:ascii="Trebuchet MS" w:hAnsi="Trebuchet MS"/>
          <w:lang w:val="hu-HU"/>
        </w:rPr>
        <w:t>A</w:t>
      </w:r>
      <w:r w:rsidR="00BA4772">
        <w:rPr>
          <w:rFonts w:ascii="Trebuchet MS" w:hAnsi="Trebuchet MS"/>
          <w:lang w:val="hu-HU"/>
        </w:rPr>
        <w:t>z AL1 jelentés</w:t>
      </w:r>
      <w:r w:rsidRPr="000C68D8">
        <w:rPr>
          <w:rFonts w:ascii="Trebuchet MS" w:hAnsi="Trebuchet MS"/>
          <w:lang w:val="hu-HU"/>
        </w:rPr>
        <w:t xml:space="preserve"> 4LAN </w:t>
      </w:r>
      <w:r w:rsidR="00BA4772">
        <w:rPr>
          <w:rFonts w:ascii="Trebuchet MS" w:hAnsi="Trebuchet MS"/>
          <w:lang w:val="hu-HU"/>
        </w:rPr>
        <w:t xml:space="preserve">táblájának </w:t>
      </w:r>
      <w:r w:rsidRPr="000C68D8">
        <w:rPr>
          <w:rFonts w:ascii="Trebuchet MS" w:hAnsi="Trebuchet MS"/>
          <w:lang w:val="hu-HU"/>
        </w:rPr>
        <w:t xml:space="preserve">Pénztár, Nostro számlák, Állampapír és jegybanki értékpapír, Jegybankkal szembeni követelés, Belföldi és külföldi hitelintézetekkel szembeni követelés, Pénzpiaci alapokkal, egyéb pénzügyi közvetítőkkel, pénzügyi kiegészítő tevékenységet végzőkkel, biztosítókkal és nyugdíjpénztárakkal szembeni követelés, valamint az Egyéb szektorokkal szembeni hitelek és hiteljellegű követelések sorok összege csökkentve ezen állományok </w:t>
      </w:r>
      <w:r w:rsidRPr="00BA4772">
        <w:rPr>
          <w:rFonts w:ascii="Trebuchet MS" w:hAnsi="Trebuchet MS"/>
          <w:lang w:val="hu-HU"/>
        </w:rPr>
        <w:t>értékvesztésével, továbbá a</w:t>
      </w:r>
      <w:r w:rsidR="00BA4772" w:rsidRPr="00BA4772">
        <w:rPr>
          <w:rFonts w:ascii="Trebuchet MS" w:hAnsi="Trebuchet MS"/>
          <w:lang w:val="hu-HU"/>
        </w:rPr>
        <w:t>z</w:t>
      </w:r>
      <w:r w:rsidRPr="00BA4772">
        <w:rPr>
          <w:rFonts w:ascii="Trebuchet MS" w:hAnsi="Trebuchet MS"/>
          <w:lang w:val="hu-HU"/>
        </w:rPr>
        <w:t xml:space="preserve"> </w:t>
      </w:r>
      <w:r w:rsidR="00BA4772" w:rsidRPr="00BA4772">
        <w:rPr>
          <w:rFonts w:ascii="Trebuchet MS" w:hAnsi="Trebuchet MS"/>
          <w:lang w:val="hu-HU"/>
        </w:rPr>
        <w:t>F01 jelentés</w:t>
      </w:r>
      <w:r w:rsidRPr="00BA4772">
        <w:rPr>
          <w:rFonts w:ascii="Trebuchet MS" w:hAnsi="Trebuchet MS"/>
          <w:lang w:val="hu-HU"/>
        </w:rPr>
        <w:t xml:space="preserve"> 1AB </w:t>
      </w:r>
      <w:r w:rsidR="00BA4772" w:rsidRPr="00BA4772">
        <w:rPr>
          <w:rFonts w:ascii="Trebuchet MS" w:hAnsi="Trebuchet MS"/>
          <w:lang w:val="hu-HU"/>
        </w:rPr>
        <w:t xml:space="preserve">táblájának 075 és 275 </w:t>
      </w:r>
      <w:r w:rsidRPr="00BA4772">
        <w:rPr>
          <w:rFonts w:ascii="Trebuchet MS" w:hAnsi="Trebuchet MS"/>
          <w:lang w:val="hu-HU"/>
        </w:rPr>
        <w:t>sor</w:t>
      </w:r>
      <w:r w:rsidR="00BA4772" w:rsidRPr="00BA4772">
        <w:rPr>
          <w:rFonts w:ascii="Trebuchet MS" w:hAnsi="Trebuchet MS"/>
          <w:lang w:val="hu-HU"/>
        </w:rPr>
        <w:t>ok d) oszlopában</w:t>
      </w:r>
      <w:r w:rsidRPr="00BA4772">
        <w:rPr>
          <w:rFonts w:ascii="Trebuchet MS" w:hAnsi="Trebuchet MS"/>
          <w:lang w:val="hu-HU"/>
        </w:rPr>
        <w:t xml:space="preserve"> jelentendő eszközök napi állománya, valamint a legutolsó beküldött </w:t>
      </w:r>
      <w:r w:rsidR="00BA4772" w:rsidRPr="00BA4772">
        <w:rPr>
          <w:rFonts w:ascii="Trebuchet MS" w:hAnsi="Trebuchet MS"/>
          <w:lang w:val="hu-HU"/>
        </w:rPr>
        <w:t>F01 jelentés</w:t>
      </w:r>
      <w:r w:rsidRPr="00BA4772">
        <w:rPr>
          <w:rFonts w:ascii="Trebuchet MS" w:hAnsi="Trebuchet MS"/>
          <w:lang w:val="hu-HU"/>
        </w:rPr>
        <w:t xml:space="preserve"> 1AB</w:t>
      </w:r>
      <w:r w:rsidR="00A03AAC">
        <w:rPr>
          <w:rFonts w:ascii="Trebuchet MS" w:hAnsi="Trebuchet MS"/>
          <w:lang w:val="hu-HU"/>
        </w:rPr>
        <w:t xml:space="preserve"> táblájának</w:t>
      </w:r>
      <w:r w:rsidR="00BA4772" w:rsidRPr="00BA4772">
        <w:rPr>
          <w:rFonts w:ascii="Trebuchet MS" w:hAnsi="Trebuchet MS"/>
          <w:lang w:val="hu-HU"/>
        </w:rPr>
        <w:t xml:space="preserve"> 302, 318, 335 és 359 sorok d) oszlopában jelentett adatok összege.</w:t>
      </w:r>
    </w:p>
    <w:p w:rsidR="00CD5AA2" w:rsidRPr="00CD5AA2" w:rsidRDefault="000C68D8" w:rsidP="00CD5AA2">
      <w:pPr>
        <w:pStyle w:val="Listaszerbekezds"/>
        <w:numPr>
          <w:ilvl w:val="1"/>
          <w:numId w:val="6"/>
        </w:numPr>
        <w:jc w:val="both"/>
        <w:rPr>
          <w:rFonts w:ascii="Trebuchet MS" w:hAnsi="Trebuchet MS"/>
          <w:lang w:val="hu-HU"/>
        </w:rPr>
      </w:pPr>
      <w:proofErr w:type="gramStart"/>
      <w:r w:rsidRPr="000C68D8">
        <w:rPr>
          <w:rFonts w:ascii="Trebuchet MS" w:hAnsi="Trebuchet MS"/>
          <w:lang w:val="hu-HU"/>
        </w:rPr>
        <w:t>A</w:t>
      </w:r>
      <w:r w:rsidR="00BA4772">
        <w:rPr>
          <w:rFonts w:ascii="Trebuchet MS" w:hAnsi="Trebuchet MS"/>
          <w:lang w:val="hu-HU"/>
        </w:rPr>
        <w:t xml:space="preserve">z AL1 </w:t>
      </w:r>
      <w:r w:rsidRPr="000C68D8">
        <w:rPr>
          <w:rFonts w:ascii="Trebuchet MS" w:hAnsi="Trebuchet MS"/>
          <w:lang w:val="hu-HU"/>
        </w:rPr>
        <w:t xml:space="preserve">jelentés </w:t>
      </w:r>
      <w:r w:rsidR="00BA4772">
        <w:rPr>
          <w:rFonts w:ascii="Trebuchet MS" w:hAnsi="Trebuchet MS"/>
          <w:lang w:val="hu-HU"/>
        </w:rPr>
        <w:t xml:space="preserve">4LAN táblájának </w:t>
      </w:r>
      <w:r w:rsidRPr="000C68D8">
        <w:rPr>
          <w:rFonts w:ascii="Trebuchet MS" w:hAnsi="Trebuchet MS"/>
          <w:lang w:val="hu-HU"/>
        </w:rPr>
        <w:t xml:space="preserve">Jegybankkal szembeni kötelezettség, Belföldi és külföldi hitelintézetekkel szembeni kötelezettség, Háztartásokkal és háztartásokat segítő nonprofit intézményekkel szembeni kötelezettség, Nem pénzügyi vállalatokkal szembeni kötelezettség, Pénzpiaci alapokkal, egyéb pénzügyi közvetítőkkel, pénzügyi kiegészítő tevékenységet végzőkkel, biztosítókkal és nyugdíjpénztárakkal szembeni kötelezettség, Egyéb szektorokkal szembeni hitelek </w:t>
      </w:r>
      <w:r w:rsidRPr="000C68D8">
        <w:rPr>
          <w:rFonts w:ascii="Trebuchet MS" w:hAnsi="Trebuchet MS"/>
          <w:lang w:val="hu-HU"/>
        </w:rPr>
        <w:lastRenderedPageBreak/>
        <w:t xml:space="preserve">és hiteljellegű kötelezettségek, valamint a Saját </w:t>
      </w:r>
      <w:r w:rsidRPr="00BA4772">
        <w:rPr>
          <w:rFonts w:ascii="Trebuchet MS" w:hAnsi="Trebuchet MS"/>
          <w:lang w:val="hu-HU"/>
        </w:rPr>
        <w:t>kibocsátású, hitelviszonyt megtestesítő értékpapírok sorok összege, továbbá a legutolsó</w:t>
      </w:r>
      <w:proofErr w:type="gramEnd"/>
      <w:r w:rsidRPr="00BA4772">
        <w:rPr>
          <w:rFonts w:ascii="Trebuchet MS" w:hAnsi="Trebuchet MS"/>
          <w:lang w:val="hu-HU"/>
        </w:rPr>
        <w:t xml:space="preserve"> beküldött </w:t>
      </w:r>
      <w:r w:rsidR="00BA4772" w:rsidRPr="00BA4772">
        <w:rPr>
          <w:rFonts w:ascii="Trebuchet MS" w:hAnsi="Trebuchet MS"/>
          <w:lang w:val="hu-HU"/>
        </w:rPr>
        <w:t>F01 jelentés</w:t>
      </w:r>
      <w:r w:rsidRPr="00BA4772">
        <w:rPr>
          <w:rFonts w:ascii="Trebuchet MS" w:hAnsi="Trebuchet MS"/>
          <w:lang w:val="hu-HU"/>
        </w:rPr>
        <w:t xml:space="preserve"> 1B</w:t>
      </w:r>
      <w:r w:rsidR="00BA4772" w:rsidRPr="00BA4772">
        <w:rPr>
          <w:rFonts w:ascii="Trebuchet MS" w:hAnsi="Trebuchet MS"/>
          <w:lang w:val="hu-HU"/>
        </w:rPr>
        <w:t xml:space="preserve"> táblájának 310, 624, 640, 664 és 669 sorok d) oszlopában jelentett adatok </w:t>
      </w:r>
      <w:r w:rsidRPr="00BA4772">
        <w:rPr>
          <w:rFonts w:ascii="Trebuchet MS" w:hAnsi="Trebuchet MS"/>
          <w:lang w:val="hu-HU"/>
        </w:rPr>
        <w:t>összege.</w:t>
      </w:r>
    </w:p>
    <w:p w:rsidR="00182968" w:rsidRPr="00CD5AA2" w:rsidRDefault="00182968" w:rsidP="00E64803">
      <w:pPr>
        <w:ind w:firstLine="708"/>
        <w:rPr>
          <w:rFonts w:ascii="Trebuchet MS" w:hAnsi="Trebuchet MS"/>
          <w:b/>
          <w:lang w:val="hu-HU"/>
        </w:rPr>
      </w:pPr>
    </w:p>
    <w:p w:rsidR="00575DD0" w:rsidRDefault="00DA4E82">
      <w:pPr>
        <w:pStyle w:val="Listaszerbekezds"/>
        <w:keepNext/>
        <w:numPr>
          <w:ilvl w:val="0"/>
          <w:numId w:val="8"/>
        </w:numPr>
        <w:spacing w:before="120"/>
        <w:rPr>
          <w:rFonts w:ascii="Trebuchet MS" w:hAnsi="Trebuchet MS"/>
          <w:b/>
          <w:lang w:val="hu-HU"/>
        </w:rPr>
      </w:pPr>
      <w:r w:rsidRPr="00DA4E82">
        <w:rPr>
          <w:rFonts w:ascii="Trebuchet MS" w:hAnsi="Trebuchet MS"/>
          <w:b/>
          <w:lang w:val="hu-HU"/>
        </w:rPr>
        <w:t xml:space="preserve">Az MNB által elfogadható fedezetek köre és befogadási értéke </w:t>
      </w:r>
    </w:p>
    <w:p w:rsidR="00575DD0" w:rsidRDefault="00575DD0">
      <w:pPr>
        <w:pStyle w:val="Listaszerbekezds"/>
        <w:keepNext/>
        <w:spacing w:before="120"/>
        <w:ind w:left="1080"/>
        <w:rPr>
          <w:rFonts w:ascii="Trebuchet MS" w:hAnsi="Trebuchet MS"/>
          <w:b/>
          <w:lang w:val="hu-HU"/>
        </w:rPr>
      </w:pPr>
    </w:p>
    <w:p w:rsidR="00CD5AA2" w:rsidRPr="00CD5AA2" w:rsidRDefault="00CD5AA2" w:rsidP="0001033A">
      <w:pPr>
        <w:spacing w:before="120"/>
        <w:ind w:left="720"/>
        <w:jc w:val="both"/>
        <w:rPr>
          <w:rFonts w:ascii="Trebuchet MS" w:hAnsi="Trebuchet MS"/>
          <w:lang w:val="hu-HU"/>
        </w:rPr>
      </w:pPr>
      <w:r w:rsidRPr="00CD5AA2">
        <w:rPr>
          <w:rFonts w:ascii="Trebuchet MS" w:hAnsi="Trebuchet MS"/>
          <w:lang w:val="hu-HU"/>
        </w:rPr>
        <w:t>CASHFLOW702 (</w:t>
      </w:r>
      <w:r w:rsidR="0035225E" w:rsidRPr="0035225E">
        <w:rPr>
          <w:rFonts w:ascii="Trebuchet MS" w:hAnsi="Trebuchet MS"/>
          <w:lang w:val="hu-HU"/>
        </w:rPr>
        <w:t>MNB által, monetáris politikai ügyletek keretében elfogadható fedezetek</w:t>
      </w:r>
      <w:r w:rsidRPr="00CD5AA2">
        <w:rPr>
          <w:rFonts w:ascii="Trebuchet MS" w:hAnsi="Trebuchet MS"/>
          <w:lang w:val="hu-HU"/>
        </w:rPr>
        <w:t>) és CASHFLOW708 (</w:t>
      </w:r>
      <w:r w:rsidR="0035225E" w:rsidRPr="0035225E">
        <w:rPr>
          <w:rFonts w:ascii="Trebuchet MS" w:hAnsi="Trebuchet MS"/>
          <w:lang w:val="hu-HU"/>
        </w:rPr>
        <w:t>Önkormányzati kötvények (befogadási értéken) az MNB által, monetáris politikai ügyletek keretében elfogadható fedezetekből</w:t>
      </w:r>
      <w:r w:rsidRPr="00CD5AA2">
        <w:rPr>
          <w:rFonts w:ascii="Trebuchet MS" w:hAnsi="Trebuchet MS"/>
          <w:lang w:val="hu-HU"/>
        </w:rPr>
        <w:t xml:space="preserve">) sorokhoz kapcsolódóan az elfogadható fedezetek és befogadási értékeik megtalálhatóak a </w:t>
      </w:r>
      <w:hyperlink r:id="rId6" w:history="1">
        <w:r w:rsidRPr="00CD5AA2">
          <w:rPr>
            <w:rStyle w:val="Hiperhivatkozs"/>
            <w:rFonts w:ascii="Trebuchet MS" w:hAnsi="Trebuchet MS"/>
            <w:lang w:val="hu-HU"/>
          </w:rPr>
          <w:t>http://www.mnb.hu/Monetaris_politika/mnbhu_eszkoztar/mnbhu_fedezetertekeles</w:t>
        </w:r>
      </w:hyperlink>
      <w:r w:rsidRPr="00CD5AA2">
        <w:rPr>
          <w:rFonts w:ascii="Trebuchet MS" w:hAnsi="Trebuchet MS"/>
          <w:lang w:val="hu-HU"/>
        </w:rPr>
        <w:t xml:space="preserve"> oldalon.)</w:t>
      </w:r>
    </w:p>
    <w:p w:rsidR="00CD5AA2" w:rsidRPr="00750989" w:rsidRDefault="00CD5AA2" w:rsidP="00CD5AA2">
      <w:pPr>
        <w:spacing w:before="120"/>
        <w:ind w:left="720"/>
        <w:jc w:val="both"/>
        <w:rPr>
          <w:rFonts w:ascii="Garamond" w:hAnsi="Garamond"/>
          <w:sz w:val="24"/>
          <w:szCs w:val="24"/>
          <w:lang w:val="hu-HU"/>
        </w:rPr>
      </w:pPr>
    </w:p>
    <w:p w:rsidR="00CD5AA2" w:rsidRPr="000C68D8" w:rsidRDefault="00CD5AA2" w:rsidP="00E64803">
      <w:pPr>
        <w:ind w:firstLine="708"/>
        <w:rPr>
          <w:rFonts w:ascii="Trebuchet MS" w:hAnsi="Trebuchet MS"/>
          <w:lang w:val="hu-HU"/>
        </w:rPr>
      </w:pPr>
    </w:p>
    <w:sectPr w:rsidR="00CD5AA2" w:rsidRPr="000C68D8" w:rsidSect="00182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6A30"/>
    <w:multiLevelType w:val="hybridMultilevel"/>
    <w:tmpl w:val="149ABEB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6D149B9"/>
    <w:multiLevelType w:val="hybridMultilevel"/>
    <w:tmpl w:val="FA7C22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B1437A1"/>
    <w:multiLevelType w:val="hybridMultilevel"/>
    <w:tmpl w:val="CEA2BBAC"/>
    <w:lvl w:ilvl="0" w:tplc="6E6C9BE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CC10325"/>
    <w:multiLevelType w:val="hybridMultilevel"/>
    <w:tmpl w:val="96EC8B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39D63CE"/>
    <w:multiLevelType w:val="hybridMultilevel"/>
    <w:tmpl w:val="CEA2BBAC"/>
    <w:lvl w:ilvl="0" w:tplc="6E6C9BE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1C05BBA"/>
    <w:multiLevelType w:val="hybridMultilevel"/>
    <w:tmpl w:val="20862AC2"/>
    <w:lvl w:ilvl="0" w:tplc="BD1EE1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4F5662B"/>
    <w:multiLevelType w:val="hybridMultilevel"/>
    <w:tmpl w:val="95240E6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66C445F9"/>
    <w:multiLevelType w:val="hybridMultilevel"/>
    <w:tmpl w:val="61E4BCD0"/>
    <w:lvl w:ilvl="0" w:tplc="6E6C9BEC">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E017D"/>
    <w:rsid w:val="00001F8D"/>
    <w:rsid w:val="0001033A"/>
    <w:rsid w:val="000C68D8"/>
    <w:rsid w:val="000C706C"/>
    <w:rsid w:val="000D45C9"/>
    <w:rsid w:val="0016371E"/>
    <w:rsid w:val="00182968"/>
    <w:rsid w:val="00193413"/>
    <w:rsid w:val="00251679"/>
    <w:rsid w:val="0035225E"/>
    <w:rsid w:val="003B3481"/>
    <w:rsid w:val="004E5923"/>
    <w:rsid w:val="00571E8F"/>
    <w:rsid w:val="00575DD0"/>
    <w:rsid w:val="005F044D"/>
    <w:rsid w:val="006467BB"/>
    <w:rsid w:val="0074214D"/>
    <w:rsid w:val="00750989"/>
    <w:rsid w:val="007A4160"/>
    <w:rsid w:val="007B6EBE"/>
    <w:rsid w:val="007B7522"/>
    <w:rsid w:val="00853554"/>
    <w:rsid w:val="008E017D"/>
    <w:rsid w:val="009C2DB7"/>
    <w:rsid w:val="009C7FF9"/>
    <w:rsid w:val="009E5574"/>
    <w:rsid w:val="00A03AAC"/>
    <w:rsid w:val="00A75FAC"/>
    <w:rsid w:val="00BA4772"/>
    <w:rsid w:val="00C3768E"/>
    <w:rsid w:val="00CD5AA2"/>
    <w:rsid w:val="00D54001"/>
    <w:rsid w:val="00DA4E82"/>
    <w:rsid w:val="00E52677"/>
    <w:rsid w:val="00E64803"/>
    <w:rsid w:val="00F56493"/>
    <w:rsid w:val="00F74AAF"/>
    <w:rsid w:val="00F8337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17D"/>
    <w:rPr>
      <w:rFonts w:ascii="Times New Roman" w:eastAsia="Times New Roman" w:hAnsi="Times New Roman"/>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F044D"/>
    <w:rPr>
      <w:rFonts w:ascii="Tahoma" w:hAnsi="Tahoma" w:cs="Tahoma"/>
      <w:sz w:val="16"/>
      <w:szCs w:val="16"/>
    </w:rPr>
  </w:style>
  <w:style w:type="character" w:customStyle="1" w:styleId="BuborkszvegChar">
    <w:name w:val="Buborékszöveg Char"/>
    <w:basedOn w:val="Bekezdsalapbettpusa"/>
    <w:link w:val="Buborkszveg"/>
    <w:uiPriority w:val="99"/>
    <w:semiHidden/>
    <w:rsid w:val="005F044D"/>
    <w:rPr>
      <w:rFonts w:ascii="Tahoma" w:eastAsia="Times New Roman" w:hAnsi="Tahoma" w:cs="Tahoma"/>
      <w:sz w:val="16"/>
      <w:szCs w:val="16"/>
      <w:lang w:val="en-AU" w:eastAsia="hu-HU"/>
    </w:rPr>
  </w:style>
  <w:style w:type="character" w:styleId="Hiperhivatkozs">
    <w:name w:val="Hyperlink"/>
    <w:basedOn w:val="Bekezdsalapbettpusa"/>
    <w:rsid w:val="00750989"/>
    <w:rPr>
      <w:color w:val="0000FF"/>
      <w:u w:val="single"/>
    </w:rPr>
  </w:style>
  <w:style w:type="paragraph" w:styleId="Listaszerbekezds">
    <w:name w:val="List Paragraph"/>
    <w:basedOn w:val="Norml"/>
    <w:uiPriority w:val="34"/>
    <w:qFormat/>
    <w:rsid w:val="000C68D8"/>
    <w:pPr>
      <w:ind w:left="720"/>
      <w:contextualSpacing/>
    </w:pPr>
  </w:style>
  <w:style w:type="character" w:styleId="Jegyzethivatkozs">
    <w:name w:val="annotation reference"/>
    <w:basedOn w:val="Bekezdsalapbettpusa"/>
    <w:uiPriority w:val="99"/>
    <w:semiHidden/>
    <w:unhideWhenUsed/>
    <w:rsid w:val="00A75FAC"/>
    <w:rPr>
      <w:sz w:val="16"/>
      <w:szCs w:val="16"/>
    </w:rPr>
  </w:style>
  <w:style w:type="paragraph" w:styleId="Jegyzetszveg">
    <w:name w:val="annotation text"/>
    <w:basedOn w:val="Norml"/>
    <w:link w:val="JegyzetszvegChar"/>
    <w:uiPriority w:val="99"/>
    <w:semiHidden/>
    <w:unhideWhenUsed/>
    <w:rsid w:val="00A75FAC"/>
  </w:style>
  <w:style w:type="character" w:customStyle="1" w:styleId="JegyzetszvegChar">
    <w:name w:val="Jegyzetszöveg Char"/>
    <w:basedOn w:val="Bekezdsalapbettpusa"/>
    <w:link w:val="Jegyzetszveg"/>
    <w:uiPriority w:val="99"/>
    <w:semiHidden/>
    <w:rsid w:val="00A75FAC"/>
    <w:rPr>
      <w:rFonts w:ascii="Times New Roman" w:eastAsia="Times New Roman" w:hAnsi="Times New Roman"/>
      <w:lang w:val="en-AU"/>
    </w:rPr>
  </w:style>
  <w:style w:type="paragraph" w:styleId="Megjegyzstrgya">
    <w:name w:val="annotation subject"/>
    <w:basedOn w:val="Jegyzetszveg"/>
    <w:next w:val="Jegyzetszveg"/>
    <w:link w:val="MegjegyzstrgyaChar"/>
    <w:uiPriority w:val="99"/>
    <w:semiHidden/>
    <w:unhideWhenUsed/>
    <w:rsid w:val="00A75FAC"/>
    <w:rPr>
      <w:b/>
      <w:bCs/>
    </w:rPr>
  </w:style>
  <w:style w:type="character" w:customStyle="1" w:styleId="MegjegyzstrgyaChar">
    <w:name w:val="Megjegyzés tárgya Char"/>
    <w:basedOn w:val="JegyzetszvegChar"/>
    <w:link w:val="Megjegyzstrgya"/>
    <w:uiPriority w:val="99"/>
    <w:semiHidden/>
    <w:rsid w:val="00A75FAC"/>
    <w:rPr>
      <w:b/>
      <w:bCs/>
    </w:rPr>
  </w:style>
  <w:style w:type="paragraph" w:customStyle="1" w:styleId="CharChar1CharCharCharCharCharCharCharCharCharCharCharCharChar">
    <w:name w:val="Char Char1 Char Char Char Char Char Char Char Char Char Char Char Char Char"/>
    <w:basedOn w:val="Norml"/>
    <w:rsid w:val="000C706C"/>
    <w:pPr>
      <w:spacing w:after="160" w:line="240" w:lineRule="exact"/>
    </w:pPr>
    <w:rPr>
      <w:rFonts w:ascii="Verdana" w:hAnsi="Verdana"/>
      <w:lang w:val="en-US" w:eastAsia="en-US"/>
    </w:rPr>
  </w:style>
  <w:style w:type="character" w:styleId="Mrltotthiperhivatkozs">
    <w:name w:val="FollowedHyperlink"/>
    <w:basedOn w:val="Bekezdsalapbettpusa"/>
    <w:uiPriority w:val="99"/>
    <w:semiHidden/>
    <w:unhideWhenUsed/>
    <w:rsid w:val="0025167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nb.hu/Monetaris_politika/mnbhu_eszkoztar/mnbhu_fedezeterteke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2A03-4794-4C63-969F-C9E4D8FD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3003</Characters>
  <Application>Microsoft Office Word</Application>
  <DocSecurity>0</DocSecurity>
  <Lines>25</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3432</CharactersWithSpaces>
  <SharedDoc>false</SharedDoc>
  <HLinks>
    <vt:vector size="12" baseType="variant">
      <vt:variant>
        <vt:i4>7340066</vt:i4>
      </vt:variant>
      <vt:variant>
        <vt:i4>3</vt:i4>
      </vt:variant>
      <vt:variant>
        <vt:i4>0</vt:i4>
      </vt:variant>
      <vt:variant>
        <vt:i4>5</vt:i4>
      </vt:variant>
      <vt:variant>
        <vt:lpwstr>http://www.ecb.int/paym/coll/html/index.en.html</vt:lpwstr>
      </vt:variant>
      <vt:variant>
        <vt:lpwstr/>
      </vt:variant>
      <vt:variant>
        <vt:i4>6094944</vt:i4>
      </vt:variant>
      <vt:variant>
        <vt:i4>0</vt:i4>
      </vt:variant>
      <vt:variant>
        <vt:i4>0</vt:i4>
      </vt:variant>
      <vt:variant>
        <vt:i4>5</vt:i4>
      </vt:variant>
      <vt:variant>
        <vt:lpwstr>http://www.mnb.hu/Monetaris_politika/mnbhu_eszkoztar/mnbhu_fedezetertekeles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gyornem</dc:creator>
  <cp:lastModifiedBy>Siklós Dóra</cp:lastModifiedBy>
  <cp:revision>3</cp:revision>
  <dcterms:created xsi:type="dcterms:W3CDTF">2012-10-25T09:57:00Z</dcterms:created>
  <dcterms:modified xsi:type="dcterms:W3CDTF">2012-10-25T09:57:00Z</dcterms:modified>
</cp:coreProperties>
</file>