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7900" w14:textId="13433347" w:rsidR="00D21C2C" w:rsidRPr="00560EF7" w:rsidRDefault="00D21C2C">
      <w:pPr>
        <w:jc w:val="left"/>
        <w:rPr>
          <w:rFonts w:asciiTheme="minorHAnsi" w:hAnsiTheme="minorHAnsi" w:cstheme="minorHAnsi"/>
          <w:b/>
          <w:sz w:val="22"/>
          <w:szCs w:val="22"/>
        </w:rPr>
      </w:pPr>
      <w:r>
        <w:rPr>
          <w:rFonts w:asciiTheme="minorHAnsi" w:hAnsiTheme="minorHAnsi" w:cstheme="minorHAnsi"/>
          <w:b/>
          <w:bCs/>
          <w:sz w:val="22"/>
          <w:szCs w:val="22"/>
          <w:lang w:val="en-GB"/>
        </w:rPr>
        <w:t>MNB identification code: P13</w:t>
      </w:r>
      <w:r w:rsidR="00B212EC">
        <w:rPr>
          <w:rFonts w:asciiTheme="minorHAnsi" w:hAnsiTheme="minorHAnsi" w:cstheme="minorHAnsi"/>
          <w:b/>
          <w:bCs/>
          <w:sz w:val="22"/>
          <w:szCs w:val="22"/>
          <w:lang w:val="en-GB"/>
        </w:rPr>
        <w:t xml:space="preserve">                   </w:t>
      </w:r>
      <w:proofErr w:type="gramStart"/>
      <w:r w:rsidR="00B212EC">
        <w:rPr>
          <w:rFonts w:asciiTheme="minorHAnsi" w:hAnsiTheme="minorHAnsi" w:cstheme="minorHAnsi"/>
          <w:b/>
          <w:bCs/>
          <w:sz w:val="22"/>
          <w:szCs w:val="22"/>
          <w:lang w:val="en-GB"/>
        </w:rPr>
        <w:t xml:space="preserve">   </w:t>
      </w:r>
      <w:r w:rsidR="00B212EC">
        <w:rPr>
          <w:rFonts w:asciiTheme="minorHAnsi" w:hAnsiTheme="minorHAnsi" w:cstheme="minorHAnsi"/>
          <w:b/>
          <w:bCs/>
          <w:sz w:val="22"/>
          <w:szCs w:val="22"/>
          <w:lang w:val="en-GB"/>
        </w:rPr>
        <w:t>(</w:t>
      </w:r>
      <w:proofErr w:type="gramEnd"/>
      <w:r w:rsidR="00B212EC">
        <w:rPr>
          <w:rFonts w:asciiTheme="minorHAnsi" w:hAnsiTheme="minorHAnsi" w:cstheme="minorHAnsi"/>
          <w:b/>
          <w:bCs/>
          <w:sz w:val="22"/>
          <w:szCs w:val="22"/>
          <w:highlight w:val="yellow"/>
          <w:lang w:val="en-GB"/>
        </w:rPr>
        <w:t>Changes for reference year 2023 are highlighted in yellow</w:t>
      </w:r>
      <w:r w:rsidR="00B212EC">
        <w:rPr>
          <w:rFonts w:asciiTheme="minorHAnsi" w:hAnsiTheme="minorHAnsi" w:cstheme="minorHAnsi"/>
          <w:b/>
          <w:bCs/>
          <w:sz w:val="22"/>
          <w:szCs w:val="22"/>
          <w:lang w:val="en-GB"/>
        </w:rPr>
        <w:t>)</w:t>
      </w:r>
    </w:p>
    <w:p w14:paraId="4967D98E" w14:textId="77777777" w:rsidR="00D21C2C" w:rsidRPr="00560EF7" w:rsidRDefault="00D21C2C">
      <w:pPr>
        <w:jc w:val="center"/>
        <w:rPr>
          <w:rFonts w:asciiTheme="minorHAnsi" w:hAnsiTheme="minorHAnsi" w:cstheme="minorHAnsi"/>
          <w:b/>
          <w:sz w:val="22"/>
          <w:szCs w:val="22"/>
        </w:rPr>
      </w:pPr>
    </w:p>
    <w:p w14:paraId="3011ED49" w14:textId="77777777" w:rsidR="00D21C2C" w:rsidRPr="00560EF7" w:rsidRDefault="00792392">
      <w:pPr>
        <w:jc w:val="center"/>
        <w:rPr>
          <w:rFonts w:asciiTheme="minorHAnsi" w:hAnsiTheme="minorHAnsi" w:cstheme="minorHAnsi"/>
          <w:b/>
          <w:sz w:val="22"/>
          <w:szCs w:val="22"/>
        </w:rPr>
      </w:pPr>
      <w:r>
        <w:rPr>
          <w:rFonts w:asciiTheme="minorHAnsi" w:hAnsiTheme="minorHAnsi" w:cstheme="minorHAnsi"/>
          <w:b/>
          <w:bCs/>
          <w:sz w:val="22"/>
          <w:szCs w:val="22"/>
          <w:lang w:val="en-GB"/>
        </w:rPr>
        <w:t xml:space="preserve">Methodological manual </w:t>
      </w:r>
    </w:p>
    <w:p w14:paraId="3AC8D50C" w14:textId="77777777" w:rsidR="00D21C2C" w:rsidRPr="00560EF7" w:rsidRDefault="00D21C2C" w:rsidP="0074291F">
      <w:pPr>
        <w:rPr>
          <w:rFonts w:asciiTheme="minorHAnsi" w:hAnsiTheme="minorHAnsi" w:cstheme="minorHAnsi"/>
          <w:b/>
          <w:sz w:val="22"/>
          <w:szCs w:val="22"/>
        </w:rPr>
      </w:pPr>
    </w:p>
    <w:p w14:paraId="45A20ACC" w14:textId="77777777" w:rsidR="00D21C2C" w:rsidRPr="00560EF7" w:rsidRDefault="007130EA">
      <w:pPr>
        <w:jc w:val="center"/>
        <w:rPr>
          <w:rFonts w:asciiTheme="minorHAnsi" w:hAnsiTheme="minorHAnsi" w:cstheme="minorHAnsi"/>
          <w:b/>
          <w:sz w:val="22"/>
          <w:szCs w:val="22"/>
        </w:rPr>
      </w:pPr>
      <w:r>
        <w:rPr>
          <w:rFonts w:asciiTheme="minorHAnsi" w:hAnsiTheme="minorHAnsi" w:cstheme="minorHAnsi"/>
          <w:b/>
          <w:bCs/>
          <w:sz w:val="22"/>
          <w:szCs w:val="22"/>
          <w:lang w:val="en-GB"/>
        </w:rPr>
        <w:t xml:space="preserve">Data related to payment card </w:t>
      </w:r>
      <w:proofErr w:type="gramStart"/>
      <w:r>
        <w:rPr>
          <w:rFonts w:asciiTheme="minorHAnsi" w:hAnsiTheme="minorHAnsi" w:cstheme="minorHAnsi"/>
          <w:b/>
          <w:bCs/>
          <w:sz w:val="22"/>
          <w:szCs w:val="22"/>
          <w:lang w:val="en-GB"/>
        </w:rPr>
        <w:t>turnover</w:t>
      </w:r>
      <w:proofErr w:type="gramEnd"/>
    </w:p>
    <w:p w14:paraId="7484FAFD" w14:textId="77777777" w:rsidR="00D21C2C" w:rsidRPr="00560EF7" w:rsidRDefault="00D21C2C">
      <w:pPr>
        <w:jc w:val="center"/>
        <w:rPr>
          <w:rFonts w:asciiTheme="minorHAnsi" w:hAnsiTheme="minorHAnsi" w:cstheme="minorHAnsi"/>
          <w:b/>
          <w:i/>
          <w:sz w:val="22"/>
          <w:szCs w:val="22"/>
        </w:rPr>
      </w:pPr>
    </w:p>
    <w:p w14:paraId="2C9DB5AC" w14:textId="77777777" w:rsidR="00BD6997" w:rsidRPr="00560EF7" w:rsidRDefault="00BD6997" w:rsidP="00BD6997">
      <w:pPr>
        <w:rPr>
          <w:rFonts w:asciiTheme="minorHAnsi" w:hAnsiTheme="minorHAnsi" w:cstheme="minorHAnsi"/>
          <w:b/>
          <w:sz w:val="22"/>
          <w:szCs w:val="22"/>
        </w:rPr>
      </w:pPr>
      <w:r>
        <w:rPr>
          <w:rFonts w:asciiTheme="minorHAnsi" w:hAnsiTheme="minorHAnsi" w:cstheme="minorHAnsi"/>
          <w:b/>
          <w:bCs/>
          <w:sz w:val="22"/>
          <w:szCs w:val="22"/>
          <w:lang w:val="en-GB"/>
        </w:rPr>
        <w:t>I. General instructions</w:t>
      </w:r>
    </w:p>
    <w:p w14:paraId="394F4168" w14:textId="77777777" w:rsidR="00BD6997" w:rsidRPr="00560EF7" w:rsidRDefault="00BD6997">
      <w:pPr>
        <w:jc w:val="center"/>
        <w:rPr>
          <w:rFonts w:asciiTheme="minorHAnsi" w:hAnsiTheme="minorHAnsi" w:cstheme="minorHAnsi"/>
          <w:b/>
          <w:i/>
          <w:sz w:val="22"/>
          <w:szCs w:val="22"/>
        </w:rPr>
      </w:pPr>
    </w:p>
    <w:p w14:paraId="308CF5EB" w14:textId="77777777" w:rsidR="009E708A" w:rsidRPr="00560EF7" w:rsidRDefault="009E708A" w:rsidP="009E708A">
      <w:pPr>
        <w:rPr>
          <w:rFonts w:asciiTheme="minorHAnsi" w:hAnsiTheme="minorHAnsi" w:cstheme="minorHAnsi"/>
          <w:sz w:val="22"/>
          <w:szCs w:val="22"/>
        </w:rPr>
      </w:pPr>
    </w:p>
    <w:p w14:paraId="2AC3089F" w14:textId="339D0FE6" w:rsidR="00BD6997" w:rsidRPr="00560EF7" w:rsidRDefault="006A2FBA" w:rsidP="00BD6997">
      <w:pPr>
        <w:rPr>
          <w:rFonts w:asciiTheme="minorHAnsi" w:hAnsiTheme="minorHAnsi" w:cstheme="minorHAnsi"/>
          <w:sz w:val="22"/>
          <w:szCs w:val="22"/>
        </w:rPr>
      </w:pPr>
      <w:r>
        <w:rPr>
          <w:rFonts w:asciiTheme="minorHAnsi" w:hAnsiTheme="minorHAnsi" w:cstheme="minorHAnsi"/>
          <w:sz w:val="22"/>
          <w:szCs w:val="22"/>
          <w:lang w:val="en-GB"/>
        </w:rPr>
        <w:t xml:space="preserve">1. The data of cooperative credit institutions using comprehensive services of banks, as reporting entities, are collected from the system, </w:t>
      </w:r>
      <w:proofErr w:type="gramStart"/>
      <w:r>
        <w:rPr>
          <w:rFonts w:asciiTheme="minorHAnsi" w:hAnsiTheme="minorHAnsi" w:cstheme="minorHAnsi"/>
          <w:sz w:val="22"/>
          <w:szCs w:val="22"/>
          <w:lang w:val="en-GB"/>
        </w:rPr>
        <w:t>aggregated</w:t>
      </w:r>
      <w:proofErr w:type="gramEnd"/>
      <w:r>
        <w:rPr>
          <w:rFonts w:asciiTheme="minorHAnsi" w:hAnsiTheme="minorHAnsi" w:cstheme="minorHAnsi"/>
          <w:sz w:val="22"/>
          <w:szCs w:val="22"/>
          <w:lang w:val="en-GB"/>
        </w:rPr>
        <w:t xml:space="preserve"> and submitted to the MNB in an aggregate form by the reporting entity (bank) operating the system. In the case of a sponsoring bank relationship, the data of the sponsored bank are submitted to the MNB either by the sponsored bank or by the sponsoring bank; in the latter case, the data must be separated from its own data and the GIRO code and registration number of the sponsored bank must be indicated.</w:t>
      </w:r>
    </w:p>
    <w:p w14:paraId="172E83D8" w14:textId="77777777" w:rsidR="009E708A" w:rsidRPr="00560EF7" w:rsidRDefault="009E708A" w:rsidP="009E708A">
      <w:pPr>
        <w:rPr>
          <w:rFonts w:asciiTheme="minorHAnsi" w:hAnsiTheme="minorHAnsi" w:cstheme="minorHAnsi"/>
          <w:sz w:val="22"/>
          <w:szCs w:val="22"/>
        </w:rPr>
      </w:pPr>
    </w:p>
    <w:p w14:paraId="6E84C544" w14:textId="40D25FEA" w:rsidR="009E708A" w:rsidRPr="00560EF7" w:rsidRDefault="006A2FBA" w:rsidP="009E708A">
      <w:pPr>
        <w:rPr>
          <w:rFonts w:asciiTheme="minorHAnsi" w:hAnsiTheme="minorHAnsi" w:cstheme="minorHAnsi"/>
          <w:sz w:val="22"/>
          <w:szCs w:val="22"/>
        </w:rPr>
      </w:pPr>
      <w:r>
        <w:rPr>
          <w:rFonts w:asciiTheme="minorHAnsi" w:hAnsiTheme="minorHAnsi" w:cstheme="minorHAnsi"/>
          <w:sz w:val="22"/>
          <w:szCs w:val="22"/>
          <w:lang w:val="en-GB"/>
        </w:rPr>
        <w:t xml:space="preserve">2. The codes necessary for filling the form are included in the technical manuals specified in point 4.8 of Annex 3 hereto, published on the </w:t>
      </w:r>
      <w:proofErr w:type="spellStart"/>
      <w:r>
        <w:rPr>
          <w:rFonts w:asciiTheme="minorHAnsi" w:hAnsiTheme="minorHAnsi" w:cstheme="minorHAnsi"/>
          <w:sz w:val="22"/>
          <w:szCs w:val="22"/>
          <w:lang w:val="en-GB"/>
        </w:rPr>
        <w:t>MNB’s</w:t>
      </w:r>
      <w:proofErr w:type="spellEnd"/>
      <w:r>
        <w:rPr>
          <w:rFonts w:asciiTheme="minorHAnsi" w:hAnsiTheme="minorHAnsi" w:cstheme="minorHAnsi"/>
          <w:sz w:val="22"/>
          <w:szCs w:val="22"/>
          <w:lang w:val="en-GB"/>
        </w:rPr>
        <w:t xml:space="preserve"> website. </w:t>
      </w:r>
    </w:p>
    <w:p w14:paraId="7690ACB3" w14:textId="77777777" w:rsidR="009E708A" w:rsidRPr="00560EF7" w:rsidRDefault="009E708A" w:rsidP="009E708A">
      <w:pPr>
        <w:rPr>
          <w:rFonts w:asciiTheme="minorHAnsi" w:hAnsiTheme="minorHAnsi" w:cstheme="minorHAnsi"/>
          <w:sz w:val="22"/>
          <w:szCs w:val="22"/>
        </w:rPr>
      </w:pPr>
    </w:p>
    <w:p w14:paraId="273E378E" w14:textId="77777777" w:rsidR="009E708A" w:rsidRPr="00560EF7" w:rsidRDefault="006A2FBA" w:rsidP="009E708A">
      <w:pPr>
        <w:rPr>
          <w:rFonts w:asciiTheme="minorHAnsi" w:hAnsiTheme="minorHAnsi" w:cstheme="minorHAnsi"/>
          <w:sz w:val="22"/>
          <w:szCs w:val="22"/>
        </w:rPr>
      </w:pPr>
      <w:r>
        <w:rPr>
          <w:rFonts w:asciiTheme="minorHAnsi" w:hAnsiTheme="minorHAnsi" w:cstheme="minorHAnsi"/>
          <w:sz w:val="22"/>
          <w:szCs w:val="22"/>
          <w:lang w:val="en-GB"/>
        </w:rPr>
        <w:t xml:space="preserve">3. In the tables containing turnovers, the forint equivalent of the data arising in foreign currency shall be calculated using the reporting entity’s own exchange rate prevailing on the day of the transaction or the average MNB exchange rate for the reporting period. </w:t>
      </w:r>
    </w:p>
    <w:p w14:paraId="18E6050D" w14:textId="77777777" w:rsidR="00B2750F" w:rsidRPr="00560EF7" w:rsidRDefault="00B2750F" w:rsidP="009E708A">
      <w:pPr>
        <w:rPr>
          <w:rFonts w:asciiTheme="minorHAnsi" w:hAnsiTheme="minorHAnsi" w:cstheme="minorHAnsi"/>
          <w:sz w:val="22"/>
          <w:szCs w:val="22"/>
        </w:rPr>
      </w:pPr>
    </w:p>
    <w:p w14:paraId="4B5C7B9E" w14:textId="18DABB5B" w:rsidR="009B1E72" w:rsidRPr="00560EF7" w:rsidRDefault="009B1E72" w:rsidP="009E708A">
      <w:pPr>
        <w:rPr>
          <w:rFonts w:asciiTheme="minorHAnsi" w:hAnsiTheme="minorHAnsi" w:cstheme="minorHAnsi"/>
          <w:sz w:val="22"/>
          <w:szCs w:val="22"/>
        </w:rPr>
      </w:pPr>
      <w:r>
        <w:rPr>
          <w:rFonts w:asciiTheme="minorHAnsi" w:hAnsiTheme="minorHAnsi" w:cstheme="minorHAnsi"/>
          <w:sz w:val="22"/>
          <w:szCs w:val="22"/>
          <w:lang w:val="en-GB"/>
        </w:rPr>
        <w:t>4. Requirements related to the reporting of cross-border services</w:t>
      </w:r>
      <w:r w:rsidR="00A341D6">
        <w:rPr>
          <w:rFonts w:asciiTheme="minorHAnsi" w:hAnsiTheme="minorHAnsi" w:cstheme="minorHAnsi"/>
          <w:sz w:val="22"/>
          <w:szCs w:val="22"/>
          <w:lang w:val="en-GB"/>
        </w:rPr>
        <w:t xml:space="preserve"> </w:t>
      </w:r>
      <w:r w:rsidR="00A341D6" w:rsidRPr="00B212EC">
        <w:rPr>
          <w:rFonts w:asciiTheme="minorHAnsi" w:hAnsiTheme="minorHAnsi" w:cstheme="minorHAnsi"/>
          <w:sz w:val="22"/>
          <w:szCs w:val="22"/>
          <w:highlight w:val="yellow"/>
          <w:lang w:val="en-GB"/>
        </w:rPr>
        <w:t>by non-resident reporting entities</w:t>
      </w:r>
      <w:r w:rsidRPr="00B212EC">
        <w:rPr>
          <w:rFonts w:asciiTheme="minorHAnsi" w:hAnsiTheme="minorHAnsi" w:cstheme="minorHAnsi"/>
          <w:sz w:val="22"/>
          <w:szCs w:val="22"/>
          <w:highlight w:val="yellow"/>
          <w:lang w:val="en-GB"/>
        </w:rPr>
        <w:t>:</w:t>
      </w:r>
    </w:p>
    <w:p w14:paraId="35FF4992" w14:textId="61B67317" w:rsidR="009B1E72" w:rsidRPr="00560EF7" w:rsidRDefault="008424F5" w:rsidP="00741BCF">
      <w:pPr>
        <w:numPr>
          <w:ilvl w:val="0"/>
          <w:numId w:val="10"/>
        </w:numPr>
        <w:rPr>
          <w:rFonts w:asciiTheme="minorHAnsi" w:hAnsiTheme="minorHAnsi" w:cstheme="minorHAnsi"/>
          <w:sz w:val="22"/>
          <w:szCs w:val="22"/>
        </w:rPr>
      </w:pPr>
      <w:r>
        <w:rPr>
          <w:rFonts w:asciiTheme="minorHAnsi" w:hAnsiTheme="minorHAnsi" w:cstheme="minorHAnsi"/>
          <w:sz w:val="22"/>
          <w:szCs w:val="22"/>
          <w:lang w:val="en-GB"/>
        </w:rPr>
        <w:t>Table 01: Issuance business: All purchase, cash withdrawal and cash deposit turnovers carried out by payment cards issued by the service provider and the cardholder is resident in Hungary shall be reported.</w:t>
      </w:r>
    </w:p>
    <w:p w14:paraId="1DB63278" w14:textId="2F6A2674" w:rsidR="009B1E72" w:rsidRPr="00560EF7" w:rsidRDefault="008424F5" w:rsidP="00741BCF">
      <w:pPr>
        <w:numPr>
          <w:ilvl w:val="0"/>
          <w:numId w:val="10"/>
        </w:numPr>
        <w:rPr>
          <w:rFonts w:asciiTheme="minorHAnsi" w:hAnsiTheme="minorHAnsi" w:cstheme="minorHAnsi"/>
          <w:sz w:val="22"/>
          <w:szCs w:val="22"/>
        </w:rPr>
      </w:pPr>
      <w:r>
        <w:rPr>
          <w:rFonts w:asciiTheme="minorHAnsi" w:hAnsiTheme="minorHAnsi" w:cstheme="minorHAnsi"/>
          <w:sz w:val="22"/>
          <w:szCs w:val="22"/>
          <w:lang w:val="en-GB"/>
        </w:rPr>
        <w:t xml:space="preserve">Table 02: Acceptance business: The reporting shall include all purchase, cash withdrawal and cash deposit turnovers, initiated by cards issued in Hungary or abroad, </w:t>
      </w:r>
      <w:proofErr w:type="gramStart"/>
      <w:r>
        <w:rPr>
          <w:rFonts w:asciiTheme="minorHAnsi" w:hAnsiTheme="minorHAnsi" w:cstheme="minorHAnsi"/>
          <w:sz w:val="22"/>
          <w:szCs w:val="22"/>
          <w:lang w:val="en-GB"/>
        </w:rPr>
        <w:t>which</w:t>
      </w:r>
      <w:proofErr w:type="gramEnd"/>
      <w:r>
        <w:rPr>
          <w:rFonts w:asciiTheme="minorHAnsi" w:hAnsiTheme="minorHAnsi" w:cstheme="minorHAnsi"/>
          <w:sz w:val="22"/>
          <w:szCs w:val="22"/>
          <w:lang w:val="en-GB"/>
        </w:rPr>
        <w:t xml:space="preserve"> </w:t>
      </w:r>
    </w:p>
    <w:p w14:paraId="71BAE38F" w14:textId="77777777" w:rsidR="009B1E72" w:rsidRPr="00560EF7" w:rsidRDefault="009B1E72" w:rsidP="00741BCF">
      <w:pPr>
        <w:numPr>
          <w:ilvl w:val="1"/>
          <w:numId w:val="10"/>
        </w:numPr>
        <w:rPr>
          <w:rFonts w:asciiTheme="minorHAnsi" w:hAnsiTheme="minorHAnsi" w:cstheme="minorHAnsi"/>
          <w:sz w:val="22"/>
          <w:szCs w:val="22"/>
        </w:rPr>
      </w:pPr>
      <w:r>
        <w:rPr>
          <w:rFonts w:asciiTheme="minorHAnsi" w:hAnsiTheme="minorHAnsi" w:cstheme="minorHAnsi"/>
          <w:sz w:val="22"/>
          <w:szCs w:val="22"/>
          <w:lang w:val="en-GB"/>
        </w:rPr>
        <w:t xml:space="preserve">were carried out within the framework of the card acquiring service provided by the reporting entity for physical acceptance points located in Hungary, </w:t>
      </w:r>
    </w:p>
    <w:p w14:paraId="29B8C71B" w14:textId="77777777" w:rsidR="008562E4" w:rsidRPr="00560EF7" w:rsidRDefault="008424F5" w:rsidP="008424F5">
      <w:pPr>
        <w:numPr>
          <w:ilvl w:val="1"/>
          <w:numId w:val="10"/>
        </w:numPr>
        <w:rPr>
          <w:rFonts w:asciiTheme="minorHAnsi" w:hAnsiTheme="minorHAnsi" w:cstheme="minorHAnsi"/>
          <w:sz w:val="22"/>
          <w:szCs w:val="22"/>
        </w:rPr>
      </w:pPr>
      <w:r>
        <w:rPr>
          <w:rFonts w:asciiTheme="minorHAnsi" w:hAnsiTheme="minorHAnsi" w:cstheme="minorHAnsi"/>
          <w:sz w:val="22"/>
          <w:szCs w:val="22"/>
          <w:lang w:val="en-GB"/>
        </w:rPr>
        <w:t>were carried out within the framework of internet-based (card not present) acquiring service provided by the reporting entity for enterprises registered in Hungary,</w:t>
      </w:r>
    </w:p>
    <w:p w14:paraId="30BB2EDA" w14:textId="77777777" w:rsidR="008424F5" w:rsidRPr="00560EF7" w:rsidRDefault="008562E4" w:rsidP="00741BCF">
      <w:pPr>
        <w:numPr>
          <w:ilvl w:val="1"/>
          <w:numId w:val="10"/>
        </w:numPr>
        <w:rPr>
          <w:rFonts w:asciiTheme="minorHAnsi" w:hAnsiTheme="minorHAnsi" w:cstheme="minorHAnsi"/>
          <w:sz w:val="22"/>
          <w:szCs w:val="22"/>
        </w:rPr>
      </w:pPr>
      <w:r>
        <w:rPr>
          <w:rFonts w:asciiTheme="minorHAnsi" w:hAnsiTheme="minorHAnsi" w:cstheme="minorHAnsi"/>
          <w:sz w:val="22"/>
          <w:szCs w:val="22"/>
          <w:lang w:val="en-GB"/>
        </w:rPr>
        <w:t>were carried out on ATMs operated by the reporting entity in its capacity as acquirer.</w:t>
      </w:r>
    </w:p>
    <w:p w14:paraId="18012515" w14:textId="77777777" w:rsidR="005B6B02" w:rsidRPr="00560EF7" w:rsidRDefault="005B6B02" w:rsidP="009E708A">
      <w:pPr>
        <w:rPr>
          <w:rFonts w:asciiTheme="minorHAnsi" w:hAnsiTheme="minorHAnsi" w:cstheme="minorHAnsi"/>
          <w:sz w:val="22"/>
          <w:szCs w:val="22"/>
        </w:rPr>
      </w:pPr>
      <w:bookmarkStart w:id="0" w:name="_Hlk513538816"/>
    </w:p>
    <w:bookmarkEnd w:id="0"/>
    <w:p w14:paraId="4AFF865C" w14:textId="220E5016" w:rsidR="00D13598" w:rsidRPr="00560EF7" w:rsidRDefault="00D13598" w:rsidP="00D13598">
      <w:pPr>
        <w:rPr>
          <w:rFonts w:asciiTheme="minorHAnsi" w:hAnsiTheme="minorHAnsi" w:cstheme="minorHAnsi"/>
          <w:sz w:val="22"/>
          <w:szCs w:val="22"/>
        </w:rPr>
      </w:pPr>
      <w:r>
        <w:rPr>
          <w:rFonts w:asciiTheme="minorHAnsi" w:hAnsiTheme="minorHAnsi" w:cstheme="minorHAnsi"/>
          <w:sz w:val="22"/>
          <w:szCs w:val="22"/>
          <w:lang w:val="en-GB"/>
        </w:rPr>
        <w:t>5. Reporting entities providing cross-border payment related services in Hungary are required to apply the code “</w:t>
      </w:r>
      <w:proofErr w:type="spellStart"/>
      <w:r>
        <w:rPr>
          <w:rFonts w:asciiTheme="minorHAnsi" w:hAnsiTheme="minorHAnsi" w:cstheme="minorHAnsi"/>
          <w:sz w:val="22"/>
          <w:szCs w:val="22"/>
          <w:lang w:val="en-GB"/>
        </w:rPr>
        <w:t>CROSSB</w:t>
      </w:r>
      <w:proofErr w:type="spellEnd"/>
      <w:r>
        <w:rPr>
          <w:rFonts w:asciiTheme="minorHAnsi" w:hAnsiTheme="minorHAnsi" w:cstheme="minorHAnsi"/>
          <w:sz w:val="22"/>
          <w:szCs w:val="22"/>
          <w:lang w:val="en-GB"/>
        </w:rPr>
        <w:t>” under the “Type of payment service provider” dimension.</w:t>
      </w:r>
    </w:p>
    <w:p w14:paraId="7EF85FD5" w14:textId="77777777" w:rsidR="00D21C2C" w:rsidRPr="00560EF7" w:rsidRDefault="00D21C2C">
      <w:pPr>
        <w:rPr>
          <w:rFonts w:asciiTheme="minorHAnsi" w:hAnsiTheme="minorHAnsi" w:cstheme="minorHAnsi"/>
          <w:sz w:val="22"/>
          <w:szCs w:val="22"/>
        </w:rPr>
      </w:pPr>
    </w:p>
    <w:p w14:paraId="198159FB" w14:textId="77777777" w:rsidR="00D21C2C" w:rsidRPr="00560EF7" w:rsidRDefault="00BD6997">
      <w:pPr>
        <w:rPr>
          <w:rFonts w:asciiTheme="minorHAnsi" w:hAnsiTheme="minorHAnsi" w:cstheme="minorHAnsi"/>
          <w:b/>
          <w:sz w:val="22"/>
          <w:szCs w:val="22"/>
        </w:rPr>
      </w:pPr>
      <w:r>
        <w:rPr>
          <w:rFonts w:asciiTheme="minorHAnsi" w:hAnsiTheme="minorHAnsi" w:cstheme="minorHAnsi"/>
          <w:b/>
          <w:bCs/>
          <w:sz w:val="22"/>
          <w:szCs w:val="22"/>
          <w:lang w:val="en-GB"/>
        </w:rPr>
        <w:t>II. Definitions</w:t>
      </w:r>
    </w:p>
    <w:p w14:paraId="12659F5E" w14:textId="77777777" w:rsidR="00D21C2C" w:rsidRPr="00560EF7" w:rsidRDefault="00D21C2C">
      <w:pPr>
        <w:rPr>
          <w:rFonts w:asciiTheme="minorHAnsi" w:hAnsiTheme="minorHAnsi" w:cstheme="minorHAnsi"/>
          <w:sz w:val="22"/>
          <w:szCs w:val="22"/>
        </w:rPr>
      </w:pPr>
    </w:p>
    <w:p w14:paraId="5F9FA0EE" w14:textId="77777777" w:rsidR="002C5DD1" w:rsidRPr="00560EF7" w:rsidRDefault="002C5DD1">
      <w:pPr>
        <w:rPr>
          <w:rFonts w:asciiTheme="minorHAnsi" w:hAnsiTheme="minorHAnsi" w:cstheme="minorHAnsi"/>
          <w:sz w:val="22"/>
          <w:szCs w:val="22"/>
        </w:rPr>
      </w:pPr>
      <w:r>
        <w:rPr>
          <w:rFonts w:asciiTheme="minorHAnsi" w:hAnsiTheme="minorHAnsi" w:cstheme="minorHAnsi"/>
          <w:sz w:val="22"/>
          <w:szCs w:val="22"/>
          <w:lang w:val="en-GB"/>
        </w:rPr>
        <w:t>Domestic turnover carried out by card issued in Hungary: of the transactions carried out by the reporting entity’s cards those must be reported here where the country of the transaction is Hungary.</w:t>
      </w:r>
    </w:p>
    <w:p w14:paraId="09EDA4C1" w14:textId="77777777" w:rsidR="002C5DD1" w:rsidRPr="00560EF7" w:rsidRDefault="002C5DD1">
      <w:pPr>
        <w:rPr>
          <w:rFonts w:asciiTheme="minorHAnsi" w:hAnsiTheme="minorHAnsi" w:cstheme="minorHAnsi"/>
          <w:sz w:val="22"/>
          <w:szCs w:val="22"/>
        </w:rPr>
      </w:pPr>
    </w:p>
    <w:p w14:paraId="7CD62EDD" w14:textId="77777777" w:rsidR="002C5DD1" w:rsidRPr="00560EF7" w:rsidRDefault="002C5DD1" w:rsidP="002C5DD1">
      <w:pPr>
        <w:rPr>
          <w:rFonts w:asciiTheme="minorHAnsi" w:hAnsiTheme="minorHAnsi" w:cstheme="minorHAnsi"/>
          <w:sz w:val="22"/>
          <w:szCs w:val="22"/>
        </w:rPr>
      </w:pPr>
      <w:r>
        <w:rPr>
          <w:rFonts w:asciiTheme="minorHAnsi" w:hAnsiTheme="minorHAnsi" w:cstheme="minorHAnsi"/>
          <w:sz w:val="22"/>
          <w:szCs w:val="22"/>
          <w:lang w:val="en-GB"/>
        </w:rPr>
        <w:t>Foreign turnover carried out by card issued in Hungary: of the transactions carried out by the reporting entity’s cards those must be reported here where the country of the transaction is any country other than Hungary.</w:t>
      </w:r>
    </w:p>
    <w:p w14:paraId="3FD0E1AD" w14:textId="77777777" w:rsidR="002C5DD1" w:rsidRPr="00560EF7" w:rsidRDefault="002C5DD1">
      <w:pPr>
        <w:rPr>
          <w:rFonts w:asciiTheme="minorHAnsi" w:hAnsiTheme="minorHAnsi" w:cstheme="minorHAnsi"/>
          <w:sz w:val="22"/>
          <w:szCs w:val="22"/>
        </w:rPr>
      </w:pPr>
    </w:p>
    <w:p w14:paraId="4B6E7A65" w14:textId="7D99FAFF" w:rsidR="00D21C2C" w:rsidRPr="00560EF7" w:rsidRDefault="00D21C2C">
      <w:pPr>
        <w:rPr>
          <w:rFonts w:asciiTheme="minorHAnsi" w:hAnsiTheme="minorHAnsi" w:cstheme="minorHAnsi"/>
          <w:sz w:val="22"/>
          <w:szCs w:val="22"/>
        </w:rPr>
      </w:pPr>
      <w:r>
        <w:rPr>
          <w:rFonts w:asciiTheme="minorHAnsi" w:hAnsiTheme="minorHAnsi" w:cstheme="minorHAnsi"/>
          <w:sz w:val="22"/>
          <w:szCs w:val="22"/>
          <w:lang w:val="en-GB"/>
        </w:rPr>
        <w:t>Debit card (card with debit function): a card linked to the cardholder’s bank account, which enables the holder to withdraw cash or make purchases up to balance of the account subject to the conditions set forth in the contract between the cardholder and the issuer. The amount of each transaction is automatically debited to the payment account of the cardholder. A card with debit function may also be linked to a bank account with overdraft facility. If the debit card also has other functions (</w:t>
      </w:r>
      <w:proofErr w:type="gramStart"/>
      <w:r>
        <w:rPr>
          <w:rFonts w:asciiTheme="minorHAnsi" w:hAnsiTheme="minorHAnsi" w:cstheme="minorHAnsi"/>
          <w:sz w:val="22"/>
          <w:szCs w:val="22"/>
          <w:lang w:val="en-GB"/>
        </w:rPr>
        <w:t>e.g.</w:t>
      </w:r>
      <w:proofErr w:type="gramEnd"/>
      <w:r>
        <w:rPr>
          <w:rFonts w:asciiTheme="minorHAnsi" w:hAnsiTheme="minorHAnsi" w:cstheme="minorHAnsi"/>
          <w:sz w:val="22"/>
          <w:szCs w:val="22"/>
          <w:lang w:val="en-GB"/>
        </w:rPr>
        <w:t xml:space="preserve"> delayed debit), </w:t>
      </w:r>
      <w:bookmarkStart w:id="1" w:name="_Hlk97629821"/>
      <w:r>
        <w:rPr>
          <w:rFonts w:asciiTheme="minorHAnsi" w:hAnsiTheme="minorHAnsi" w:cstheme="minorHAnsi"/>
          <w:sz w:val="22"/>
          <w:szCs w:val="22"/>
          <w:lang w:val="en-GB"/>
        </w:rPr>
        <w:t>the turnover data must be clearly separated according to the functions</w:t>
      </w:r>
      <w:bookmarkEnd w:id="1"/>
      <w:r>
        <w:rPr>
          <w:rFonts w:asciiTheme="minorHAnsi" w:hAnsiTheme="minorHAnsi" w:cstheme="minorHAnsi"/>
          <w:sz w:val="22"/>
          <w:szCs w:val="22"/>
          <w:lang w:val="en-GB"/>
        </w:rPr>
        <w:t xml:space="preserve">. </w:t>
      </w:r>
    </w:p>
    <w:p w14:paraId="685A58A5" w14:textId="77777777" w:rsidR="00D21C2C" w:rsidRPr="00560EF7" w:rsidRDefault="00D21C2C">
      <w:pPr>
        <w:rPr>
          <w:rFonts w:asciiTheme="minorHAnsi" w:hAnsiTheme="minorHAnsi" w:cstheme="minorHAnsi"/>
          <w:sz w:val="22"/>
          <w:szCs w:val="22"/>
        </w:rPr>
      </w:pPr>
    </w:p>
    <w:p w14:paraId="6D07979E" w14:textId="77777777" w:rsidR="00D21C2C" w:rsidRPr="00560EF7" w:rsidRDefault="00D21C2C">
      <w:pPr>
        <w:rPr>
          <w:rFonts w:asciiTheme="minorHAnsi" w:hAnsiTheme="minorHAnsi" w:cstheme="minorHAnsi"/>
          <w:sz w:val="22"/>
          <w:szCs w:val="22"/>
        </w:rPr>
      </w:pPr>
      <w:r>
        <w:rPr>
          <w:rFonts w:asciiTheme="minorHAnsi" w:hAnsiTheme="minorHAnsi" w:cstheme="minorHAnsi"/>
          <w:sz w:val="22"/>
          <w:szCs w:val="22"/>
          <w:lang w:val="en-GB"/>
        </w:rPr>
        <w:t xml:space="preserve">Debit card (card with debit function) linked to a credit line: a subcategory within the debit cards (card with debit function); a debit card, which is linked to a loan account rather than to a bank account, and the cardholder may withdraw cash or make purchases up to this registered limit. The amount of each transaction is automatically debited to the credit line; there is no interest-free credit period. </w:t>
      </w:r>
    </w:p>
    <w:p w14:paraId="575074E5" w14:textId="77777777" w:rsidR="00D21C2C" w:rsidRPr="00560EF7" w:rsidRDefault="00D21C2C">
      <w:pPr>
        <w:rPr>
          <w:rFonts w:asciiTheme="minorHAnsi" w:hAnsiTheme="minorHAnsi" w:cstheme="minorHAnsi"/>
          <w:sz w:val="22"/>
          <w:szCs w:val="22"/>
        </w:rPr>
      </w:pPr>
    </w:p>
    <w:p w14:paraId="44A14FA1" w14:textId="46B11016" w:rsidR="00D21C2C" w:rsidRPr="00560EF7" w:rsidRDefault="00D21C2C">
      <w:pPr>
        <w:rPr>
          <w:rFonts w:asciiTheme="minorHAnsi" w:hAnsiTheme="minorHAnsi" w:cstheme="minorHAnsi"/>
          <w:sz w:val="22"/>
          <w:szCs w:val="22"/>
        </w:rPr>
      </w:pPr>
      <w:r>
        <w:rPr>
          <w:rFonts w:asciiTheme="minorHAnsi" w:hAnsiTheme="minorHAnsi" w:cstheme="minorHAnsi"/>
          <w:sz w:val="22"/>
          <w:szCs w:val="22"/>
          <w:lang w:val="en-GB"/>
        </w:rPr>
        <w:t xml:space="preserve">Credit card (card with credit function): in accordance with the provisions of the contract between the cardholder and the issuing bank, a card linked to a credit line of a predefined amount, which can be used by the customer for cash withdrawal or purchases up to the amount of the credit line. At the end of the invoicing period (usually one month), the cardholder decides whether to settle the full debt or only part thereof until the deadline specified in the bank statement. The spending is free of </w:t>
      </w:r>
      <w:proofErr w:type="gramStart"/>
      <w:r>
        <w:rPr>
          <w:rFonts w:asciiTheme="minorHAnsi" w:hAnsiTheme="minorHAnsi" w:cstheme="minorHAnsi"/>
          <w:sz w:val="22"/>
          <w:szCs w:val="22"/>
          <w:lang w:val="en-GB"/>
        </w:rPr>
        <w:t>interest, if</w:t>
      </w:r>
      <w:proofErr w:type="gramEnd"/>
      <w:r>
        <w:rPr>
          <w:rFonts w:asciiTheme="minorHAnsi" w:hAnsiTheme="minorHAnsi" w:cstheme="minorHAnsi"/>
          <w:sz w:val="22"/>
          <w:szCs w:val="22"/>
          <w:lang w:val="en-GB"/>
        </w:rPr>
        <w:t xml:space="preserve"> the total debt is repaid by the payment deadline. If the repaid amount is less than the total debt, the interest is charged either on the full debt or on the unsettled part thereof. Interest on the remaining transactions is charged from the value date of those. Cash withdrawals are usually not interest-free, as interest is charged on them from the date of the transaction. If the credit card also has other functions (</w:t>
      </w:r>
      <w:proofErr w:type="gramStart"/>
      <w:r>
        <w:rPr>
          <w:rFonts w:asciiTheme="minorHAnsi" w:hAnsiTheme="minorHAnsi" w:cstheme="minorHAnsi"/>
          <w:sz w:val="22"/>
          <w:szCs w:val="22"/>
          <w:lang w:val="en-GB"/>
        </w:rPr>
        <w:t>e.g.</w:t>
      </w:r>
      <w:proofErr w:type="gramEnd"/>
      <w:r>
        <w:rPr>
          <w:rFonts w:asciiTheme="minorHAnsi" w:hAnsiTheme="minorHAnsi" w:cstheme="minorHAnsi"/>
          <w:sz w:val="22"/>
          <w:szCs w:val="22"/>
          <w:lang w:val="en-GB"/>
        </w:rPr>
        <w:t xml:space="preserve"> delayed debit), the turnover data must be clearly separated according to the functions.</w:t>
      </w:r>
    </w:p>
    <w:p w14:paraId="7B78B68A" w14:textId="77777777" w:rsidR="00D21C2C" w:rsidRPr="00560EF7" w:rsidRDefault="00D21C2C">
      <w:pPr>
        <w:rPr>
          <w:rFonts w:asciiTheme="minorHAnsi" w:hAnsiTheme="minorHAnsi" w:cstheme="minorHAnsi"/>
          <w:sz w:val="22"/>
          <w:szCs w:val="22"/>
        </w:rPr>
      </w:pPr>
    </w:p>
    <w:p w14:paraId="60FFD147" w14:textId="00F02BF3" w:rsidR="00D21C2C" w:rsidRPr="00560EF7" w:rsidRDefault="00D21C2C">
      <w:pPr>
        <w:rPr>
          <w:rFonts w:asciiTheme="minorHAnsi" w:hAnsiTheme="minorHAnsi" w:cstheme="minorHAnsi"/>
          <w:sz w:val="22"/>
          <w:szCs w:val="22"/>
        </w:rPr>
      </w:pPr>
      <w:r>
        <w:rPr>
          <w:rFonts w:asciiTheme="minorHAnsi" w:hAnsiTheme="minorHAnsi" w:cstheme="minorHAnsi"/>
          <w:sz w:val="22"/>
          <w:szCs w:val="22"/>
          <w:lang w:val="en-GB"/>
        </w:rPr>
        <w:t xml:space="preserve">Delayed debit card (charge card): a card linked to a credit line of a predefined amount, in accordance with the provisions of the contract concluded between the cardholder and the issuer. The card may be used for cash withdrawal and purchases. At the end of the invoicing period the cardholder is obliged to settle the full amount of the outstanding debt. </w:t>
      </w:r>
      <w:r w:rsidRPr="002B1BEF">
        <w:rPr>
          <w:rFonts w:asciiTheme="minorHAnsi" w:hAnsiTheme="minorHAnsi" w:cstheme="minorHAnsi"/>
          <w:sz w:val="22"/>
          <w:szCs w:val="22"/>
          <w:highlight w:val="yellow"/>
          <w:lang w:val="en-GB"/>
        </w:rPr>
        <w:t>If th</w:t>
      </w:r>
      <w:r w:rsidRPr="00B212EC">
        <w:rPr>
          <w:rFonts w:asciiTheme="minorHAnsi" w:hAnsiTheme="minorHAnsi" w:cstheme="minorHAnsi"/>
          <w:sz w:val="22"/>
          <w:szCs w:val="22"/>
          <w:highlight w:val="yellow"/>
          <w:lang w:val="en-GB"/>
        </w:rPr>
        <w:t>e delayed debit card also has other functions (</w:t>
      </w:r>
      <w:proofErr w:type="gramStart"/>
      <w:r w:rsidRPr="00B212EC">
        <w:rPr>
          <w:rFonts w:asciiTheme="minorHAnsi" w:hAnsiTheme="minorHAnsi" w:cstheme="minorHAnsi"/>
          <w:sz w:val="22"/>
          <w:szCs w:val="22"/>
          <w:highlight w:val="yellow"/>
          <w:lang w:val="en-GB"/>
        </w:rPr>
        <w:t>e.g.</w:t>
      </w:r>
      <w:proofErr w:type="gramEnd"/>
      <w:r w:rsidRPr="00B212EC">
        <w:rPr>
          <w:rFonts w:asciiTheme="minorHAnsi" w:hAnsiTheme="minorHAnsi" w:cstheme="minorHAnsi"/>
          <w:sz w:val="22"/>
          <w:szCs w:val="22"/>
          <w:highlight w:val="yellow"/>
          <w:lang w:val="en-GB"/>
        </w:rPr>
        <w:t xml:space="preserve"> debit or credit), the turnover data must be clearly separated according to the functions.</w:t>
      </w:r>
    </w:p>
    <w:p w14:paraId="510C8874" w14:textId="77777777" w:rsidR="00D21C2C" w:rsidRPr="00560EF7" w:rsidRDefault="00D21C2C">
      <w:pPr>
        <w:rPr>
          <w:rFonts w:asciiTheme="minorHAnsi" w:hAnsiTheme="minorHAnsi" w:cstheme="minorHAnsi"/>
          <w:sz w:val="22"/>
          <w:szCs w:val="22"/>
        </w:rPr>
      </w:pPr>
    </w:p>
    <w:p w14:paraId="68DBA70D" w14:textId="77777777" w:rsidR="00D21C2C" w:rsidRPr="00560EF7" w:rsidRDefault="00D21C2C">
      <w:pPr>
        <w:rPr>
          <w:rFonts w:asciiTheme="minorHAnsi" w:hAnsiTheme="minorHAnsi" w:cstheme="minorHAnsi"/>
          <w:sz w:val="22"/>
          <w:szCs w:val="22"/>
        </w:rPr>
      </w:pPr>
      <w:r>
        <w:rPr>
          <w:rFonts w:asciiTheme="minorHAnsi" w:hAnsiTheme="minorHAnsi" w:cstheme="minorHAnsi"/>
          <w:sz w:val="22"/>
          <w:szCs w:val="22"/>
          <w:lang w:val="en-GB"/>
        </w:rPr>
        <w:t>Prepaid card: a card linked to a prepaid amount, which is registered by the issuer on a bank account. The cardholder may use the card for cash withdrawal and/or for payment for goods or services up to the balance of the bank account. This also includes the schemes where the account underlying the card can be topped up as well as those where this is not possible (</w:t>
      </w:r>
      <w:proofErr w:type="gramStart"/>
      <w:r>
        <w:rPr>
          <w:rFonts w:asciiTheme="minorHAnsi" w:hAnsiTheme="minorHAnsi" w:cstheme="minorHAnsi"/>
          <w:sz w:val="22"/>
          <w:szCs w:val="22"/>
          <w:lang w:val="en-GB"/>
        </w:rPr>
        <w:t>i.e.</w:t>
      </w:r>
      <w:proofErr w:type="gramEnd"/>
      <w:r>
        <w:rPr>
          <w:rFonts w:asciiTheme="minorHAnsi" w:hAnsiTheme="minorHAnsi" w:cstheme="minorHAnsi"/>
          <w:sz w:val="22"/>
          <w:szCs w:val="22"/>
          <w:lang w:val="en-GB"/>
        </w:rPr>
        <w:t xml:space="preserve"> the card is only valid until such time as the cardholder fully utilises the amount paid up upon applying for the card). When the prepaid amount is stored on the card, the card must be reported under the cards with electronic money function.</w:t>
      </w:r>
    </w:p>
    <w:p w14:paraId="3AE49177" w14:textId="77777777" w:rsidR="00A659BC" w:rsidRPr="00560EF7" w:rsidRDefault="00A659BC">
      <w:pPr>
        <w:rPr>
          <w:rFonts w:asciiTheme="minorHAnsi" w:hAnsiTheme="minorHAnsi" w:cstheme="minorHAnsi"/>
          <w:sz w:val="22"/>
          <w:szCs w:val="22"/>
        </w:rPr>
      </w:pPr>
    </w:p>
    <w:p w14:paraId="6DAD5FD0" w14:textId="77777777" w:rsidR="00D21C2C" w:rsidRPr="00560EF7" w:rsidRDefault="00D21C2C">
      <w:pPr>
        <w:rPr>
          <w:rFonts w:asciiTheme="minorHAnsi" w:hAnsiTheme="minorHAnsi" w:cstheme="minorHAnsi"/>
          <w:sz w:val="22"/>
          <w:szCs w:val="22"/>
        </w:rPr>
      </w:pPr>
      <w:r>
        <w:rPr>
          <w:rFonts w:asciiTheme="minorHAnsi" w:hAnsiTheme="minorHAnsi" w:cstheme="minorHAnsi"/>
          <w:sz w:val="22"/>
          <w:szCs w:val="22"/>
          <w:lang w:val="en-GB"/>
        </w:rPr>
        <w:t>Card with electronic money function: a card that may be used for carrying out electronic money transactions. This includes cards that store electronic money directly as well as those that provide access to electronic money accounts.</w:t>
      </w:r>
    </w:p>
    <w:p w14:paraId="2F41A9BF" w14:textId="77777777" w:rsidR="00D21C2C" w:rsidRPr="00560EF7" w:rsidRDefault="00D21C2C">
      <w:pPr>
        <w:rPr>
          <w:rFonts w:asciiTheme="minorHAnsi" w:hAnsiTheme="minorHAnsi" w:cstheme="minorHAnsi"/>
          <w:sz w:val="22"/>
          <w:szCs w:val="22"/>
        </w:rPr>
      </w:pPr>
    </w:p>
    <w:p w14:paraId="0519CF8B" w14:textId="77777777" w:rsidR="004902A7" w:rsidRPr="00560EF7" w:rsidRDefault="00D21C2C" w:rsidP="0074291F">
      <w:pPr>
        <w:rPr>
          <w:rFonts w:asciiTheme="minorHAnsi" w:hAnsiTheme="minorHAnsi" w:cstheme="minorHAnsi"/>
          <w:sz w:val="22"/>
          <w:szCs w:val="22"/>
        </w:rPr>
      </w:pPr>
      <w:r>
        <w:rPr>
          <w:rFonts w:asciiTheme="minorHAnsi" w:hAnsiTheme="minorHAnsi" w:cstheme="minorHAnsi"/>
          <w:sz w:val="22"/>
          <w:szCs w:val="22"/>
          <w:lang w:val="en-GB"/>
        </w:rPr>
        <w:t>Business or corporate card: a card issued to the employees of enterprises and other organisations.</w:t>
      </w:r>
    </w:p>
    <w:p w14:paraId="4A3BC217" w14:textId="77777777" w:rsidR="00D21C2C" w:rsidRPr="00560EF7" w:rsidRDefault="00D21C2C">
      <w:pPr>
        <w:rPr>
          <w:rFonts w:asciiTheme="minorHAnsi" w:hAnsiTheme="minorHAnsi" w:cstheme="minorHAnsi"/>
          <w:sz w:val="22"/>
          <w:szCs w:val="22"/>
        </w:rPr>
      </w:pPr>
    </w:p>
    <w:p w14:paraId="7191C7D7" w14:textId="67554D26" w:rsidR="00D21C2C" w:rsidRPr="00560EF7" w:rsidRDefault="00D21C2C">
      <w:pPr>
        <w:rPr>
          <w:rFonts w:asciiTheme="minorHAnsi" w:hAnsiTheme="minorHAnsi" w:cstheme="minorHAnsi"/>
          <w:sz w:val="22"/>
          <w:szCs w:val="22"/>
        </w:rPr>
      </w:pPr>
      <w:r>
        <w:rPr>
          <w:rFonts w:asciiTheme="minorHAnsi" w:hAnsiTheme="minorHAnsi" w:cstheme="minorHAnsi"/>
          <w:sz w:val="22"/>
          <w:szCs w:val="22"/>
          <w:lang w:val="en-GB"/>
        </w:rPr>
        <w:t>Retail card: a card issued for natural person clients.</w:t>
      </w:r>
    </w:p>
    <w:p w14:paraId="00AC7AFF" w14:textId="77777777" w:rsidR="00D21C2C" w:rsidRPr="00560EF7" w:rsidRDefault="00D21C2C">
      <w:pPr>
        <w:rPr>
          <w:rFonts w:asciiTheme="minorHAnsi" w:hAnsiTheme="minorHAnsi" w:cstheme="minorHAnsi"/>
          <w:b/>
          <w:sz w:val="22"/>
          <w:szCs w:val="22"/>
        </w:rPr>
      </w:pPr>
    </w:p>
    <w:p w14:paraId="73F72DB9" w14:textId="77777777" w:rsidR="00D21C2C" w:rsidRPr="00560EF7" w:rsidRDefault="00D21C2C">
      <w:pPr>
        <w:rPr>
          <w:rFonts w:asciiTheme="minorHAnsi" w:hAnsiTheme="minorHAnsi" w:cstheme="minorHAnsi"/>
          <w:sz w:val="22"/>
          <w:szCs w:val="22"/>
        </w:rPr>
      </w:pPr>
      <w:r>
        <w:rPr>
          <w:rFonts w:asciiTheme="minorHAnsi" w:hAnsiTheme="minorHAnsi" w:cstheme="minorHAnsi"/>
          <w:sz w:val="22"/>
          <w:szCs w:val="22"/>
          <w:lang w:val="en-GB"/>
        </w:rPr>
        <w:t>Co-branded card: The image of the card features the trademark of the partner in addition to that of the issuing bank, and the underlying reason for the issuance is the joint economic interest of the parties. The issuance of cards with international trademark is also conditional upon the international card company’s authorisation of the scheme as a co-branded product.</w:t>
      </w:r>
    </w:p>
    <w:p w14:paraId="6CA20F09" w14:textId="77777777" w:rsidR="00D21C2C" w:rsidRPr="00560EF7" w:rsidRDefault="00D21C2C">
      <w:pPr>
        <w:rPr>
          <w:rFonts w:asciiTheme="minorHAnsi" w:hAnsiTheme="minorHAnsi" w:cstheme="minorHAnsi"/>
          <w:sz w:val="22"/>
          <w:szCs w:val="22"/>
        </w:rPr>
      </w:pPr>
    </w:p>
    <w:p w14:paraId="2027C92D" w14:textId="77777777" w:rsidR="00736B17" w:rsidRPr="00560EF7" w:rsidRDefault="006875C6">
      <w:pPr>
        <w:rPr>
          <w:rFonts w:asciiTheme="minorHAnsi" w:hAnsiTheme="minorHAnsi" w:cstheme="minorHAnsi"/>
          <w:b/>
          <w:sz w:val="22"/>
          <w:szCs w:val="22"/>
        </w:rPr>
      </w:pPr>
      <w:r>
        <w:rPr>
          <w:rFonts w:asciiTheme="minorHAnsi" w:hAnsiTheme="minorHAnsi" w:cstheme="minorHAnsi"/>
          <w:sz w:val="22"/>
          <w:szCs w:val="22"/>
          <w:lang w:val="en-GB"/>
        </w:rPr>
        <w:t>Card with contactless payment function: a card, which facilitates data transmission between the POS terminal and the card without direct physical contact (contactless data transmission). In the turnover data of cards with such function the total turnover of the card must be reported by the issuer, not only the contactless payment turnover.</w:t>
      </w:r>
    </w:p>
    <w:p w14:paraId="315D9565" w14:textId="77777777" w:rsidR="00D21C2C" w:rsidRPr="00560EF7" w:rsidRDefault="00D21C2C">
      <w:pPr>
        <w:rPr>
          <w:rFonts w:asciiTheme="minorHAnsi" w:hAnsiTheme="minorHAnsi" w:cstheme="minorHAnsi"/>
          <w:b/>
          <w:sz w:val="22"/>
          <w:szCs w:val="22"/>
        </w:rPr>
      </w:pPr>
    </w:p>
    <w:p w14:paraId="6E39198F" w14:textId="77777777" w:rsidR="002B1E44" w:rsidRPr="00560EF7" w:rsidRDefault="002B1E44">
      <w:pPr>
        <w:rPr>
          <w:rFonts w:asciiTheme="minorHAnsi" w:hAnsiTheme="minorHAnsi" w:cstheme="minorHAnsi"/>
          <w:sz w:val="22"/>
          <w:szCs w:val="22"/>
        </w:rPr>
      </w:pPr>
      <w:r>
        <w:rPr>
          <w:rFonts w:asciiTheme="minorHAnsi" w:hAnsiTheme="minorHAnsi" w:cstheme="minorHAnsi"/>
          <w:sz w:val="22"/>
          <w:szCs w:val="22"/>
          <w:lang w:val="en-GB"/>
        </w:rPr>
        <w:t>Virtual card: a card that may only be used in internet-based transactions, irrespective of in what form the card data necessary for the execution of the transaction are available to the customers.</w:t>
      </w:r>
    </w:p>
    <w:p w14:paraId="1F9662EF" w14:textId="77777777" w:rsidR="003C43F8" w:rsidRPr="00560EF7" w:rsidRDefault="003C43F8">
      <w:pPr>
        <w:rPr>
          <w:rFonts w:asciiTheme="minorHAnsi" w:hAnsiTheme="minorHAnsi" w:cstheme="minorHAnsi"/>
          <w:sz w:val="22"/>
          <w:szCs w:val="22"/>
        </w:rPr>
      </w:pPr>
    </w:p>
    <w:p w14:paraId="675E3886" w14:textId="53A03CF9" w:rsidR="00F80958" w:rsidRPr="00560EF7" w:rsidRDefault="00F80958">
      <w:pPr>
        <w:rPr>
          <w:rFonts w:asciiTheme="minorHAnsi" w:hAnsiTheme="minorHAnsi" w:cstheme="minorHAnsi"/>
          <w:sz w:val="22"/>
          <w:szCs w:val="22"/>
        </w:rPr>
      </w:pPr>
      <w:r>
        <w:rPr>
          <w:rFonts w:asciiTheme="minorHAnsi" w:hAnsiTheme="minorHAnsi" w:cstheme="minorHAnsi"/>
          <w:sz w:val="22"/>
          <w:szCs w:val="22"/>
          <w:lang w:val="en-GB"/>
        </w:rPr>
        <w:t xml:space="preserve">Card registered in mobile wallet: a card registered in a mobile phone payment application provided by the card issuer payment provider or by the service provider being in contractual relationship with it, which </w:t>
      </w:r>
      <w:r>
        <w:rPr>
          <w:rFonts w:asciiTheme="minorHAnsi" w:hAnsiTheme="minorHAnsi" w:cstheme="minorHAnsi"/>
          <w:sz w:val="22"/>
          <w:szCs w:val="22"/>
          <w:lang w:val="en-GB"/>
        </w:rPr>
        <w:lastRenderedPageBreak/>
        <w:t>may be used for payments at physical points of acceptance (by NFC or QR code), and which may be issued in physical form as well.</w:t>
      </w:r>
    </w:p>
    <w:p w14:paraId="454FEE34" w14:textId="26722140" w:rsidR="00DC44CF" w:rsidRPr="00560EF7" w:rsidRDefault="00DC44CF">
      <w:pPr>
        <w:rPr>
          <w:rFonts w:asciiTheme="minorHAnsi" w:hAnsiTheme="minorHAnsi" w:cstheme="minorHAnsi"/>
          <w:sz w:val="22"/>
          <w:szCs w:val="22"/>
        </w:rPr>
      </w:pPr>
    </w:p>
    <w:p w14:paraId="03725E5C" w14:textId="2726E679" w:rsidR="00DC44CF" w:rsidRPr="00560EF7" w:rsidRDefault="00A001B2">
      <w:pPr>
        <w:rPr>
          <w:rFonts w:asciiTheme="minorHAnsi" w:hAnsiTheme="minorHAnsi" w:cstheme="minorHAnsi"/>
          <w:sz w:val="22"/>
          <w:szCs w:val="22"/>
        </w:rPr>
      </w:pPr>
      <w:r w:rsidRPr="00B212EC">
        <w:rPr>
          <w:rFonts w:asciiTheme="minorHAnsi" w:hAnsiTheme="minorHAnsi" w:cstheme="minorHAnsi"/>
          <w:sz w:val="22"/>
          <w:szCs w:val="22"/>
          <w:highlight w:val="yellow"/>
          <w:lang w:val="en-GB"/>
        </w:rPr>
        <w:t>N</w:t>
      </w:r>
      <w:r w:rsidR="00B86F2E" w:rsidRPr="00B212EC">
        <w:rPr>
          <w:rFonts w:asciiTheme="minorHAnsi" w:hAnsiTheme="minorHAnsi" w:cstheme="minorHAnsi"/>
          <w:sz w:val="22"/>
          <w:szCs w:val="22"/>
          <w:highlight w:val="yellow"/>
          <w:lang w:val="en-GB"/>
        </w:rPr>
        <w:t>ovel</w:t>
      </w:r>
      <w:r w:rsidRPr="00B212EC">
        <w:rPr>
          <w:rFonts w:asciiTheme="minorHAnsi" w:hAnsiTheme="minorHAnsi" w:cstheme="minorHAnsi"/>
          <w:sz w:val="22"/>
          <w:szCs w:val="22"/>
          <w:highlight w:val="yellow"/>
          <w:lang w:val="en-GB"/>
        </w:rPr>
        <w:t>, innovative POS solutions</w:t>
      </w:r>
      <w:r>
        <w:rPr>
          <w:rFonts w:asciiTheme="minorHAnsi" w:hAnsiTheme="minorHAnsi" w:cstheme="minorHAnsi"/>
          <w:sz w:val="22"/>
          <w:szCs w:val="22"/>
          <w:lang w:val="en-GB"/>
        </w:rPr>
        <w:t>: smart devices (</w:t>
      </w:r>
      <w:proofErr w:type="gramStart"/>
      <w:r>
        <w:rPr>
          <w:rFonts w:asciiTheme="minorHAnsi" w:hAnsiTheme="minorHAnsi" w:cstheme="minorHAnsi"/>
          <w:sz w:val="22"/>
          <w:szCs w:val="22"/>
          <w:lang w:val="en-GB"/>
        </w:rPr>
        <w:t>e.g.</w:t>
      </w:r>
      <w:proofErr w:type="gramEnd"/>
      <w:r>
        <w:rPr>
          <w:rFonts w:asciiTheme="minorHAnsi" w:hAnsiTheme="minorHAnsi" w:cstheme="minorHAnsi"/>
          <w:sz w:val="22"/>
          <w:szCs w:val="22"/>
          <w:lang w:val="en-GB"/>
        </w:rPr>
        <w:t xml:space="preserve"> mobile phones, tablets) that are able to process</w:t>
      </w:r>
      <w:r w:rsidR="008D7C76">
        <w:rPr>
          <w:rFonts w:asciiTheme="minorHAnsi" w:hAnsiTheme="minorHAnsi" w:cstheme="minorHAnsi"/>
          <w:sz w:val="22"/>
          <w:szCs w:val="22"/>
          <w:lang w:val="en-GB"/>
        </w:rPr>
        <w:t xml:space="preserve"> </w:t>
      </w:r>
      <w:r w:rsidR="008D7C76" w:rsidRPr="00B212EC">
        <w:rPr>
          <w:rFonts w:asciiTheme="minorHAnsi" w:hAnsiTheme="minorHAnsi" w:cstheme="minorHAnsi"/>
          <w:sz w:val="22"/>
          <w:szCs w:val="22"/>
          <w:highlight w:val="yellow"/>
          <w:lang w:val="en-GB"/>
        </w:rPr>
        <w:t>payment card transaction processes related to</w:t>
      </w:r>
      <w:r>
        <w:rPr>
          <w:rFonts w:asciiTheme="minorHAnsi" w:hAnsiTheme="minorHAnsi" w:cstheme="minorHAnsi"/>
          <w:sz w:val="22"/>
          <w:szCs w:val="22"/>
          <w:lang w:val="en-GB"/>
        </w:rPr>
        <w:t xml:space="preserve"> purchase transactions due to a software update</w:t>
      </w:r>
      <w:r w:rsidR="00557E1E">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B212EC">
        <w:rPr>
          <w:rFonts w:asciiTheme="minorHAnsi" w:hAnsiTheme="minorHAnsi" w:cstheme="minorHAnsi"/>
          <w:sz w:val="22"/>
          <w:szCs w:val="22"/>
          <w:highlight w:val="yellow"/>
          <w:lang w:val="en-GB"/>
        </w:rPr>
        <w:t>There are 3 solutions in this category: using the communication channel and the display of a smart device, but data transmission (e.g. card chip reading) and PIN entry is done on a separate device (</w:t>
      </w:r>
      <w:proofErr w:type="spellStart"/>
      <w:r w:rsidRPr="00B212EC">
        <w:rPr>
          <w:rFonts w:asciiTheme="minorHAnsi" w:hAnsiTheme="minorHAnsi" w:cstheme="minorHAnsi"/>
          <w:sz w:val="22"/>
          <w:szCs w:val="22"/>
          <w:highlight w:val="yellow"/>
          <w:lang w:val="en-GB"/>
        </w:rPr>
        <w:t>MPOS</w:t>
      </w:r>
      <w:proofErr w:type="spellEnd"/>
      <w:r w:rsidRPr="00B212EC">
        <w:rPr>
          <w:rFonts w:asciiTheme="minorHAnsi" w:hAnsiTheme="minorHAnsi" w:cstheme="minorHAnsi"/>
          <w:sz w:val="22"/>
          <w:szCs w:val="22"/>
          <w:highlight w:val="yellow"/>
          <w:lang w:val="en-GB"/>
        </w:rPr>
        <w:t>); PIN entry also on the smart device but data transmission (e.g. card chip reading) on a separate device (</w:t>
      </w:r>
      <w:proofErr w:type="spellStart"/>
      <w:r w:rsidRPr="00B212EC">
        <w:rPr>
          <w:rFonts w:asciiTheme="minorHAnsi" w:hAnsiTheme="minorHAnsi" w:cstheme="minorHAnsi"/>
          <w:sz w:val="22"/>
          <w:szCs w:val="22"/>
          <w:highlight w:val="yellow"/>
          <w:lang w:val="en-GB"/>
        </w:rPr>
        <w:t>SPOS</w:t>
      </w:r>
      <w:proofErr w:type="spellEnd"/>
      <w:r w:rsidRPr="00B212EC">
        <w:rPr>
          <w:rFonts w:asciiTheme="minorHAnsi" w:hAnsiTheme="minorHAnsi" w:cstheme="minorHAnsi"/>
          <w:sz w:val="22"/>
          <w:szCs w:val="22"/>
          <w:highlight w:val="yellow"/>
          <w:lang w:val="en-GB"/>
        </w:rPr>
        <w:t>); both data transmission (e.g. card chip reading) and PIN entry on the smart device (Tap-on-Phone). Transactions related to n</w:t>
      </w:r>
      <w:r w:rsidR="00B86F2E" w:rsidRPr="00B212EC">
        <w:rPr>
          <w:rFonts w:asciiTheme="minorHAnsi" w:hAnsiTheme="minorHAnsi" w:cstheme="minorHAnsi"/>
          <w:sz w:val="22"/>
          <w:szCs w:val="22"/>
          <w:highlight w:val="yellow"/>
          <w:lang w:val="en-GB"/>
        </w:rPr>
        <w:t>ovel</w:t>
      </w:r>
      <w:r w:rsidRPr="00B212EC">
        <w:rPr>
          <w:rFonts w:asciiTheme="minorHAnsi" w:hAnsiTheme="minorHAnsi" w:cstheme="minorHAnsi"/>
          <w:sz w:val="22"/>
          <w:szCs w:val="22"/>
          <w:highlight w:val="yellow"/>
          <w:lang w:val="en-GB"/>
        </w:rPr>
        <w:t>, innovative devices shall be reported under the appropriate category and not under the code “POS”.</w:t>
      </w:r>
    </w:p>
    <w:p w14:paraId="24AB5462" w14:textId="77777777" w:rsidR="00F80958" w:rsidRPr="00560EF7" w:rsidRDefault="00F80958">
      <w:pPr>
        <w:rPr>
          <w:rFonts w:asciiTheme="minorHAnsi" w:hAnsiTheme="minorHAnsi" w:cstheme="minorHAnsi"/>
          <w:sz w:val="22"/>
          <w:szCs w:val="22"/>
        </w:rPr>
      </w:pPr>
    </w:p>
    <w:p w14:paraId="5BD0F610" w14:textId="1A64798A" w:rsidR="002B1E44" w:rsidRPr="00560EF7" w:rsidRDefault="00BD6997">
      <w:pPr>
        <w:rPr>
          <w:rFonts w:asciiTheme="minorHAnsi" w:hAnsiTheme="minorHAnsi" w:cstheme="minorHAnsi"/>
          <w:b/>
          <w:sz w:val="22"/>
          <w:szCs w:val="22"/>
        </w:rPr>
      </w:pPr>
      <w:r>
        <w:rPr>
          <w:rFonts w:asciiTheme="minorHAnsi" w:hAnsiTheme="minorHAnsi" w:cstheme="minorHAnsi"/>
          <w:b/>
          <w:bCs/>
          <w:sz w:val="22"/>
          <w:szCs w:val="22"/>
          <w:lang w:val="en-GB"/>
        </w:rPr>
        <w:t>III. Detailed requirements for the completion of the tables</w:t>
      </w:r>
    </w:p>
    <w:p w14:paraId="7A7CA212" w14:textId="77777777" w:rsidR="00BD6997" w:rsidRPr="00560EF7" w:rsidRDefault="00BD6997" w:rsidP="00510F26">
      <w:pPr>
        <w:rPr>
          <w:rFonts w:asciiTheme="minorHAnsi" w:hAnsiTheme="minorHAnsi" w:cstheme="minorHAnsi"/>
          <w:b/>
          <w:sz w:val="22"/>
          <w:szCs w:val="22"/>
        </w:rPr>
      </w:pPr>
    </w:p>
    <w:p w14:paraId="1A6279B6" w14:textId="1B9764D9" w:rsidR="00D21C2C" w:rsidRPr="00560EF7" w:rsidRDefault="00510F26" w:rsidP="00510F26">
      <w:pPr>
        <w:rPr>
          <w:rFonts w:asciiTheme="minorHAnsi" w:hAnsiTheme="minorHAnsi" w:cstheme="minorHAnsi"/>
          <w:b/>
          <w:sz w:val="22"/>
          <w:szCs w:val="22"/>
        </w:rPr>
      </w:pPr>
      <w:r>
        <w:rPr>
          <w:rFonts w:asciiTheme="minorHAnsi" w:hAnsiTheme="minorHAnsi" w:cstheme="minorHAnsi"/>
          <w:b/>
          <w:bCs/>
          <w:sz w:val="22"/>
          <w:szCs w:val="22"/>
          <w:lang w:val="en-GB"/>
        </w:rPr>
        <w:t xml:space="preserve">Table 01: Card turnover transacted in the issuer business in the reporting </w:t>
      </w:r>
      <w:proofErr w:type="gramStart"/>
      <w:r>
        <w:rPr>
          <w:rFonts w:asciiTheme="minorHAnsi" w:hAnsiTheme="minorHAnsi" w:cstheme="minorHAnsi"/>
          <w:b/>
          <w:bCs/>
          <w:sz w:val="22"/>
          <w:szCs w:val="22"/>
          <w:lang w:val="en-GB"/>
        </w:rPr>
        <w:t>period</w:t>
      </w:r>
      <w:proofErr w:type="gramEnd"/>
    </w:p>
    <w:p w14:paraId="4EE4079E" w14:textId="77777777" w:rsidR="00BD6997" w:rsidRPr="00560EF7" w:rsidRDefault="00BD6997" w:rsidP="00510F26">
      <w:pPr>
        <w:rPr>
          <w:rFonts w:asciiTheme="minorHAnsi" w:hAnsiTheme="minorHAnsi" w:cstheme="minorHAnsi"/>
          <w:b/>
          <w:sz w:val="22"/>
          <w:szCs w:val="22"/>
        </w:rPr>
      </w:pPr>
    </w:p>
    <w:p w14:paraId="1D0523B3" w14:textId="77777777" w:rsidR="00BD6997" w:rsidRPr="00560EF7" w:rsidRDefault="00BD6997" w:rsidP="0074291F">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The table shall contain the domestic and foreign turnover carried out by the payment cards issued by the reporting entity.</w:t>
      </w:r>
    </w:p>
    <w:p w14:paraId="693741B2" w14:textId="77777777" w:rsidR="006C35D8" w:rsidRPr="00560EF7" w:rsidRDefault="006C35D8" w:rsidP="0074291F">
      <w:pPr>
        <w:numPr>
          <w:ilvl w:val="0"/>
          <w:numId w:val="8"/>
        </w:numPr>
        <w:spacing w:before="240"/>
        <w:rPr>
          <w:rFonts w:asciiTheme="minorHAnsi" w:hAnsiTheme="minorHAnsi" w:cstheme="minorHAnsi"/>
          <w:sz w:val="22"/>
          <w:szCs w:val="22"/>
        </w:rPr>
      </w:pPr>
      <w:r>
        <w:rPr>
          <w:rFonts w:asciiTheme="minorHAnsi" w:hAnsiTheme="minorHAnsi" w:cstheme="minorHAnsi"/>
          <w:sz w:val="22"/>
          <w:szCs w:val="22"/>
          <w:lang w:val="en-GB"/>
        </w:rPr>
        <w:t>Data to be reported in the individual columns:</w:t>
      </w:r>
    </w:p>
    <w:p w14:paraId="07E0484C" w14:textId="77777777" w:rsidR="006C35D8" w:rsidRPr="00560EF7" w:rsidRDefault="00BD6997" w:rsidP="006C35D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 column “a”: This column shall indicate whether the reporting entity is a payment institution or a credit institution.</w:t>
      </w:r>
    </w:p>
    <w:p w14:paraId="42423E09" w14:textId="77777777" w:rsidR="00696BA9" w:rsidRPr="00560EF7" w:rsidRDefault="006C35D8" w:rsidP="006C35D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“b”: This column shall indicate if the payment account belonging to the issued card is kept not by the reporting entity.</w:t>
      </w:r>
    </w:p>
    <w:p w14:paraId="0252C27B" w14:textId="77777777" w:rsidR="00696BA9" w:rsidRPr="00560EF7" w:rsidRDefault="00696BA9" w:rsidP="00510F26">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code “</w:t>
      </w:r>
      <w:proofErr w:type="spellStart"/>
      <w:r>
        <w:rPr>
          <w:rFonts w:asciiTheme="minorHAnsi" w:hAnsiTheme="minorHAnsi" w:cstheme="minorHAnsi"/>
          <w:sz w:val="22"/>
          <w:szCs w:val="22"/>
          <w:lang w:val="en-GB"/>
        </w:rPr>
        <w:t>PENZ</w:t>
      </w:r>
      <w:proofErr w:type="spellEnd"/>
      <w:r>
        <w:rPr>
          <w:rFonts w:asciiTheme="minorHAnsi" w:hAnsiTheme="minorHAnsi" w:cstheme="minorHAnsi"/>
          <w:sz w:val="22"/>
          <w:szCs w:val="22"/>
          <w:lang w:val="en-GB"/>
        </w:rPr>
        <w:t xml:space="preserve">”: This code shall be used when the reporting entity payment provider issues cards, as a </w:t>
      </w:r>
      <w:proofErr w:type="gramStart"/>
      <w:r>
        <w:rPr>
          <w:rFonts w:asciiTheme="minorHAnsi" w:hAnsiTheme="minorHAnsi" w:cstheme="minorHAnsi"/>
          <w:sz w:val="22"/>
          <w:szCs w:val="22"/>
          <w:lang w:val="en-GB"/>
        </w:rPr>
        <w:t>third party</w:t>
      </w:r>
      <w:proofErr w:type="gramEnd"/>
      <w:r>
        <w:rPr>
          <w:rFonts w:asciiTheme="minorHAnsi" w:hAnsiTheme="minorHAnsi" w:cstheme="minorHAnsi"/>
          <w:sz w:val="22"/>
          <w:szCs w:val="22"/>
          <w:lang w:val="en-GB"/>
        </w:rPr>
        <w:t xml:space="preserve"> provider, linked to payment accounts kept by other payment providers and the transaction is carried out by such card.</w:t>
      </w:r>
    </w:p>
    <w:p w14:paraId="3BFB88AE" w14:textId="77777777" w:rsidR="006C35D8" w:rsidRPr="00560EF7" w:rsidRDefault="00696BA9" w:rsidP="00510F26">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code “</w:t>
      </w:r>
      <w:proofErr w:type="spellStart"/>
      <w:r>
        <w:rPr>
          <w:rFonts w:asciiTheme="minorHAnsi" w:hAnsiTheme="minorHAnsi" w:cstheme="minorHAnsi"/>
          <w:sz w:val="22"/>
          <w:szCs w:val="22"/>
          <w:lang w:val="en-GB"/>
        </w:rPr>
        <w:t>EGYÉB</w:t>
      </w:r>
      <w:proofErr w:type="spellEnd"/>
      <w:r>
        <w:rPr>
          <w:rFonts w:asciiTheme="minorHAnsi" w:hAnsiTheme="minorHAnsi" w:cstheme="minorHAnsi"/>
          <w:sz w:val="22"/>
          <w:szCs w:val="22"/>
          <w:lang w:val="en-GB"/>
        </w:rPr>
        <w:t>”: This code shall be used when the payment card is issued by the reporting entity payment provider linked to an account kept by it.</w:t>
      </w:r>
    </w:p>
    <w:p w14:paraId="3BB74432" w14:textId="77777777" w:rsidR="00696BA9" w:rsidRPr="00560EF7" w:rsidRDefault="00696BA9" w:rsidP="00510F26">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code “TPP”: This code shall be used when the card linked to the account kept by the reporting entity payment service provider was issued by another – third party – payment service provider, and the transaction is carried out by such card.</w:t>
      </w:r>
    </w:p>
    <w:p w14:paraId="00BFF980" w14:textId="77777777" w:rsidR="00D21C2C" w:rsidRPr="00560EF7" w:rsidRDefault="006C35D8" w:rsidP="006C35D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“c”: This column shall indicate the reference date of the reported data in the case of data related to </w:t>
      </w:r>
      <w:proofErr w:type="spellStart"/>
      <w:r>
        <w:rPr>
          <w:rFonts w:asciiTheme="minorHAnsi" w:hAnsiTheme="minorHAnsi" w:cstheme="minorHAnsi"/>
          <w:sz w:val="22"/>
          <w:szCs w:val="22"/>
          <w:lang w:val="en-GB"/>
        </w:rPr>
        <w:t>SZÉP</w:t>
      </w:r>
      <w:proofErr w:type="spellEnd"/>
      <w:r>
        <w:rPr>
          <w:rFonts w:asciiTheme="minorHAnsi" w:hAnsiTheme="minorHAnsi" w:cstheme="minorHAnsi"/>
          <w:sz w:val="22"/>
          <w:szCs w:val="22"/>
          <w:lang w:val="en-GB"/>
        </w:rPr>
        <w:t xml:space="preserve">-cards. </w:t>
      </w:r>
    </w:p>
    <w:p w14:paraId="5FD353FA" w14:textId="1A0497C6" w:rsidR="0027077B" w:rsidRPr="00560EF7" w:rsidRDefault="0027077B" w:rsidP="004148CD">
      <w:pPr>
        <w:numPr>
          <w:ilvl w:val="0"/>
          <w:numId w:val="6"/>
        </w:numPr>
        <w:rPr>
          <w:rFonts w:asciiTheme="minorHAnsi" w:hAnsiTheme="minorHAnsi" w:cstheme="minorHAnsi"/>
          <w:sz w:val="22"/>
          <w:szCs w:val="22"/>
        </w:rPr>
      </w:pPr>
      <w:r>
        <w:rPr>
          <w:rFonts w:asciiTheme="minorHAnsi" w:hAnsiTheme="minorHAnsi"/>
          <w:sz w:val="22"/>
          <w:szCs w:val="22"/>
          <w:lang w:val="en-GB"/>
        </w:rPr>
        <w:t xml:space="preserve">column “d”: This column shall indicate the type of turnover data reported in columns “w” and “x”. The data of the purchase, cash withdrawal, cash deposit, refund and card-to-card turnover relate to the transactions carried out in Hungary and abroad in the reporting period with cards issued by the reporting entity, irrespective of whether the network in terms of the relevant acquiring service is operated by a domestic or foreign payment service provider. </w:t>
      </w:r>
      <w:r w:rsidRPr="00B212EC">
        <w:rPr>
          <w:rFonts w:ascii="Calibri" w:hAnsi="Calibri"/>
          <w:sz w:val="22"/>
          <w:szCs w:val="22"/>
          <w:highlight w:val="yellow"/>
          <w:lang w:val="en-GB"/>
        </w:rPr>
        <w:t xml:space="preserve">If there is a purchase and a cash withdrawal transaction at the same time (cashback), please report the transaction separately using the code combinations KER + POS + </w:t>
      </w:r>
      <w:proofErr w:type="spellStart"/>
      <w:r w:rsidRPr="00B212EC">
        <w:rPr>
          <w:rFonts w:ascii="Calibri" w:hAnsi="Calibri"/>
          <w:sz w:val="22"/>
          <w:szCs w:val="22"/>
          <w:highlight w:val="yellow"/>
          <w:lang w:val="en-GB"/>
        </w:rPr>
        <w:t>VASAR</w:t>
      </w:r>
      <w:proofErr w:type="spellEnd"/>
      <w:r w:rsidRPr="00B212EC">
        <w:rPr>
          <w:rFonts w:ascii="Calibri" w:hAnsi="Calibri"/>
          <w:sz w:val="22"/>
          <w:szCs w:val="22"/>
          <w:highlight w:val="yellow"/>
          <w:lang w:val="en-GB"/>
        </w:rPr>
        <w:t xml:space="preserve"> and KER + POS + </w:t>
      </w:r>
      <w:proofErr w:type="spellStart"/>
      <w:r w:rsidRPr="00B212EC">
        <w:rPr>
          <w:rFonts w:ascii="Calibri" w:hAnsi="Calibri"/>
          <w:sz w:val="22"/>
          <w:szCs w:val="22"/>
          <w:highlight w:val="yellow"/>
          <w:lang w:val="en-GB"/>
        </w:rPr>
        <w:t>KPFELV</w:t>
      </w:r>
      <w:proofErr w:type="spellEnd"/>
      <w:r w:rsidRPr="00B212EC">
        <w:rPr>
          <w:rFonts w:ascii="Calibri" w:hAnsi="Calibri"/>
          <w:sz w:val="22"/>
          <w:szCs w:val="22"/>
          <w:highlight w:val="yellow"/>
          <w:lang w:val="en-GB"/>
        </w:rPr>
        <w:t xml:space="preserve">. </w:t>
      </w:r>
      <w:r w:rsidRPr="00B212EC">
        <w:rPr>
          <w:rFonts w:asciiTheme="minorHAnsi" w:hAnsiTheme="minorHAnsi"/>
          <w:sz w:val="22"/>
          <w:szCs w:val="22"/>
          <w:highlight w:val="yellow"/>
          <w:lang w:val="en-GB"/>
        </w:rPr>
        <w:t xml:space="preserve">In the card-to-card to turnover report only those transactions that are processed in the bank’s internal or external card systems. Report credit transfer orders initiated by payment card in table 01 of the P12 data </w:t>
      </w:r>
      <w:r w:rsidR="008D7C76" w:rsidRPr="00B212EC">
        <w:rPr>
          <w:rFonts w:asciiTheme="minorHAnsi" w:hAnsiTheme="minorHAnsi"/>
          <w:sz w:val="22"/>
          <w:szCs w:val="22"/>
          <w:highlight w:val="yellow"/>
          <w:lang w:val="en-GB"/>
        </w:rPr>
        <w:t>report</w:t>
      </w:r>
      <w:r>
        <w:rPr>
          <w:rFonts w:asciiTheme="minorHAnsi" w:hAnsiTheme="minorHAnsi"/>
          <w:sz w:val="22"/>
          <w:szCs w:val="22"/>
          <w:lang w:val="en-GB"/>
        </w:rPr>
        <w:t xml:space="preserve">. The </w:t>
      </w:r>
      <w:proofErr w:type="spellStart"/>
      <w:r>
        <w:rPr>
          <w:rFonts w:asciiTheme="minorHAnsi" w:hAnsiTheme="minorHAnsi"/>
          <w:sz w:val="22"/>
          <w:szCs w:val="22"/>
          <w:lang w:val="en-GB"/>
        </w:rPr>
        <w:t>SZÉP</w:t>
      </w:r>
      <w:proofErr w:type="spellEnd"/>
      <w:r>
        <w:rPr>
          <w:rFonts w:asciiTheme="minorHAnsi" w:hAnsiTheme="minorHAnsi"/>
          <w:sz w:val="22"/>
          <w:szCs w:val="22"/>
          <w:lang w:val="en-GB"/>
        </w:rPr>
        <w:t xml:space="preserve">-card balances include the data related to the balances available to the cardholders at the end of the reporting quarter, for which solely the value included in column “x” shall be reported. </w:t>
      </w:r>
      <w:r w:rsidRPr="00B212EC">
        <w:rPr>
          <w:rFonts w:asciiTheme="minorHAnsi" w:hAnsiTheme="minorHAnsi"/>
          <w:sz w:val="22"/>
          <w:szCs w:val="22"/>
          <w:highlight w:val="yellow"/>
          <w:lang w:val="en-GB"/>
        </w:rPr>
        <w:t xml:space="preserve">Report here also the chargeback procedures initiated by customers irrespective of whether they succeeded, </w:t>
      </w:r>
      <w:proofErr w:type="gramStart"/>
      <w:r w:rsidRPr="00B212EC">
        <w:rPr>
          <w:rFonts w:asciiTheme="minorHAnsi" w:hAnsiTheme="minorHAnsi"/>
          <w:sz w:val="22"/>
          <w:szCs w:val="22"/>
          <w:highlight w:val="yellow"/>
          <w:lang w:val="en-GB"/>
        </w:rPr>
        <w:t>i.e.</w:t>
      </w:r>
      <w:proofErr w:type="gramEnd"/>
      <w:r w:rsidRPr="00B212EC">
        <w:rPr>
          <w:rFonts w:asciiTheme="minorHAnsi" w:hAnsiTheme="minorHAnsi"/>
          <w:sz w:val="22"/>
          <w:szCs w:val="22"/>
          <w:highlight w:val="yellow"/>
          <w:lang w:val="en-GB"/>
        </w:rPr>
        <w:t xml:space="preserve"> whether the customer received a refund for the transaction amount objected or not. Report chargeback procedures for the quarters in which the customer initiated the procedure. All cases when a customer objected to a transaction and submitted a complaint to the reporting entity shall qualify as a chargeback procedure, irrespective of whether an official chargeback procedure has commenced with the involvement of institutions other than the reporting entity</w:t>
      </w:r>
      <w:r>
        <w:rPr>
          <w:rFonts w:asciiTheme="minorHAnsi" w:hAnsiTheme="minorHAnsi"/>
          <w:sz w:val="22"/>
          <w:szCs w:val="22"/>
          <w:lang w:val="en-GB"/>
        </w:rPr>
        <w:t>.</w:t>
      </w:r>
    </w:p>
    <w:p w14:paraId="49498BAB" w14:textId="77777777" w:rsidR="004148CD" w:rsidRPr="00560EF7" w:rsidRDefault="004148CD" w:rsidP="004148CD">
      <w:pPr>
        <w:numPr>
          <w:ilvl w:val="0"/>
          <w:numId w:val="6"/>
        </w:numPr>
        <w:rPr>
          <w:rFonts w:asciiTheme="minorHAnsi" w:hAnsiTheme="minorHAnsi" w:cstheme="minorHAnsi"/>
          <w:sz w:val="22"/>
          <w:szCs w:val="22"/>
        </w:rPr>
      </w:pPr>
      <w:r>
        <w:rPr>
          <w:rFonts w:asciiTheme="minorHAnsi" w:hAnsiTheme="minorHAnsi" w:cstheme="minorHAnsi"/>
          <w:sz w:val="22"/>
          <w:szCs w:val="22"/>
          <w:lang w:val="en-GB"/>
        </w:rPr>
        <w:lastRenderedPageBreak/>
        <w:t>column “e”: This column shall indicate whether the reported turnover has been carried out in the acquiring network of the foreign payment service provider in Hungary or abroad. If a domestic acquirer directly provides cross-border acquiring service abroad, it is not necessary to report the foreign turnover carried out in such network separately from the domestic network. It must be indicated in the table whether the registered office of the foreign payment service provider is within or outside the European Union. Foreign turnover shall be reported broken down by countries in the case of EU Member States, and in aggregate under code “U9” in the case of other countries.</w:t>
      </w:r>
    </w:p>
    <w:p w14:paraId="257FE901" w14:textId="77777777" w:rsidR="007B25D5" w:rsidRPr="00560EF7" w:rsidRDefault="007B25D5" w:rsidP="004148CD">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“f”: This column shall indicate the place of the transaction. The domestic transactions in respect of which the foreign service provider renders acquiring service in Hungary directly rather than through a branch office or subsidiary shall be reported as domestic turnover, with code “HU”.</w:t>
      </w:r>
    </w:p>
    <w:p w14:paraId="371A8296" w14:textId="77777777" w:rsidR="00B032D5" w:rsidRPr="00560EF7" w:rsidRDefault="00B032D5" w:rsidP="004148CD">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“g”: This column shall indicate that to the use of which type of service the reported </w:t>
      </w:r>
      <w:proofErr w:type="spellStart"/>
      <w:r>
        <w:rPr>
          <w:rFonts w:asciiTheme="minorHAnsi" w:hAnsiTheme="minorHAnsi" w:cstheme="minorHAnsi"/>
          <w:sz w:val="22"/>
          <w:szCs w:val="22"/>
          <w:lang w:val="en-GB"/>
        </w:rPr>
        <w:t>SZÉP</w:t>
      </w:r>
      <w:proofErr w:type="spellEnd"/>
      <w:r>
        <w:rPr>
          <w:rFonts w:asciiTheme="minorHAnsi" w:hAnsiTheme="minorHAnsi" w:cstheme="minorHAnsi"/>
          <w:sz w:val="22"/>
          <w:szCs w:val="22"/>
          <w:lang w:val="en-GB"/>
        </w:rPr>
        <w:t xml:space="preserve">-card balance and the turnover of the purchases by </w:t>
      </w:r>
      <w:proofErr w:type="spellStart"/>
      <w:r>
        <w:rPr>
          <w:rFonts w:asciiTheme="minorHAnsi" w:hAnsiTheme="minorHAnsi" w:cstheme="minorHAnsi"/>
          <w:sz w:val="22"/>
          <w:szCs w:val="22"/>
          <w:lang w:val="en-GB"/>
        </w:rPr>
        <w:t>SZÉP</w:t>
      </w:r>
      <w:proofErr w:type="spellEnd"/>
      <w:r>
        <w:rPr>
          <w:rFonts w:asciiTheme="minorHAnsi" w:hAnsiTheme="minorHAnsi" w:cstheme="minorHAnsi"/>
          <w:sz w:val="22"/>
          <w:szCs w:val="22"/>
          <w:lang w:val="en-GB"/>
        </w:rPr>
        <w:t>-card relate.</w:t>
      </w:r>
    </w:p>
    <w:p w14:paraId="0F108950" w14:textId="77777777" w:rsidR="007B7270" w:rsidRPr="00560EF7" w:rsidRDefault="007B7270" w:rsidP="004148CD">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“h”: This column shall indicate the card company codes based on the attached code lists.</w:t>
      </w:r>
    </w:p>
    <w:p w14:paraId="08708D38" w14:textId="77777777" w:rsidR="007B7270" w:rsidRPr="00560EF7" w:rsidRDefault="007B7270" w:rsidP="004148CD">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“i”: This column shall indicate the place of card acceptance in the case of the turnover reported by the reporting entity.</w:t>
      </w:r>
    </w:p>
    <w:p w14:paraId="60E657F0" w14:textId="536D4585" w:rsidR="00571BC3" w:rsidRPr="00560EF7" w:rsidRDefault="00571BC3" w:rsidP="00371F0B">
      <w:pPr>
        <w:numPr>
          <w:ilvl w:val="0"/>
          <w:numId w:val="6"/>
        </w:numPr>
        <w:autoSpaceDE w:val="0"/>
        <w:autoSpaceDN w:val="0"/>
        <w:rPr>
          <w:rFonts w:asciiTheme="minorHAnsi" w:hAnsiTheme="minorHAnsi" w:cstheme="minorHAnsi"/>
          <w:sz w:val="22"/>
          <w:szCs w:val="22"/>
        </w:rPr>
      </w:pPr>
      <w:r>
        <w:rPr>
          <w:rFonts w:asciiTheme="minorHAnsi" w:hAnsiTheme="minorHAnsi" w:cstheme="minorHAnsi"/>
          <w:sz w:val="22"/>
          <w:szCs w:val="22"/>
          <w:lang w:val="en-GB"/>
        </w:rPr>
        <w:t xml:space="preserve">column “j”: This column shall indicate the acceptance channel. </w:t>
      </w:r>
      <w:r w:rsidRPr="00B212EC">
        <w:rPr>
          <w:rFonts w:asciiTheme="minorHAnsi" w:hAnsiTheme="minorHAnsi" w:cstheme="minorHAnsi"/>
          <w:sz w:val="22"/>
          <w:szCs w:val="22"/>
          <w:highlight w:val="yellow"/>
          <w:lang w:val="en-GB"/>
        </w:rPr>
        <w:t xml:space="preserve">Under the </w:t>
      </w:r>
      <w:proofErr w:type="spellStart"/>
      <w:r w:rsidRPr="00B212EC">
        <w:rPr>
          <w:rFonts w:asciiTheme="minorHAnsi" w:hAnsiTheme="minorHAnsi" w:cstheme="minorHAnsi"/>
          <w:sz w:val="22"/>
          <w:szCs w:val="22"/>
          <w:highlight w:val="yellow"/>
          <w:lang w:val="en-GB"/>
        </w:rPr>
        <w:t>INAPP</w:t>
      </w:r>
      <w:proofErr w:type="spellEnd"/>
      <w:r w:rsidRPr="00B212EC">
        <w:rPr>
          <w:rFonts w:asciiTheme="minorHAnsi" w:hAnsiTheme="minorHAnsi" w:cstheme="minorHAnsi"/>
          <w:sz w:val="22"/>
          <w:szCs w:val="22"/>
          <w:highlight w:val="yellow"/>
          <w:lang w:val="en-GB"/>
        </w:rPr>
        <w:t xml:space="preserve"> code report the transactions initiated through the mobile wallet application by cards registered in the mobile wallet, executed in an online environment.</w:t>
      </w:r>
      <w:r>
        <w:rPr>
          <w:rFonts w:asciiTheme="minorHAnsi" w:hAnsiTheme="minorHAnsi" w:cstheme="minorHAnsi"/>
          <w:sz w:val="22"/>
          <w:szCs w:val="22"/>
          <w:lang w:val="en-GB"/>
        </w:rPr>
        <w:t xml:space="preserve"> Transactions conducted at POS terminals or ATMs with payment cards digitized into a wallet application are not considered to be “</w:t>
      </w:r>
      <w:proofErr w:type="spellStart"/>
      <w:r>
        <w:rPr>
          <w:rFonts w:asciiTheme="minorHAnsi" w:hAnsiTheme="minorHAnsi" w:cstheme="minorHAnsi"/>
          <w:sz w:val="22"/>
          <w:szCs w:val="22"/>
          <w:lang w:val="en-GB"/>
        </w:rPr>
        <w:t>INAPP</w:t>
      </w:r>
      <w:proofErr w:type="spellEnd"/>
      <w:r>
        <w:rPr>
          <w:rFonts w:asciiTheme="minorHAnsi" w:hAnsiTheme="minorHAnsi" w:cstheme="minorHAnsi"/>
          <w:sz w:val="22"/>
          <w:szCs w:val="22"/>
          <w:lang w:val="en-GB"/>
        </w:rPr>
        <w:t>” transactions, these transactions shall be reported under “POS” or “ATM” codes.</w:t>
      </w:r>
      <w:r>
        <w:rPr>
          <w:rFonts w:asciiTheme="minorHAnsi" w:hAnsiTheme="minorHAnsi" w:cstheme="minorHAnsi"/>
          <w:color w:val="000000"/>
          <w:sz w:val="22"/>
          <w:szCs w:val="22"/>
          <w:lang w:val="en-GB"/>
        </w:rPr>
        <w:t xml:space="preserve"> </w:t>
      </w:r>
    </w:p>
    <w:p w14:paraId="7FC86DAC" w14:textId="77777777" w:rsidR="007B7270" w:rsidRPr="00560EF7" w:rsidRDefault="007B7270" w:rsidP="00571BC3">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“k”: shall indicate whether the respective turnover qualifies as remote payment transaction based on point 27a of Section 2 of Act LXXXV of 2009 on the Pursuit of the Business of Payment Services (hereinafter: Payment Services Act).</w:t>
      </w:r>
    </w:p>
    <w:p w14:paraId="4724575F" w14:textId="77777777" w:rsidR="007B7270" w:rsidRPr="00560EF7" w:rsidRDefault="00571BC3" w:rsidP="007B7270">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 column “l”: shall indicate whether strong customer authentication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specified in point 4a of Section 2 of the Payment Services Act has been carried out upon transaction initiation.</w:t>
      </w:r>
    </w:p>
    <w:p w14:paraId="5838A2F7" w14:textId="77777777" w:rsidR="00571BC3" w:rsidRPr="00560EF7" w:rsidRDefault="00571BC3" w:rsidP="00571BC3">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“m”: if no strong customer authentication has been carried out in the respective turnover, the reason for omitting that shall be indicated here based on Commission Delegated Regulation 2018/389/EU of 27 November 2017 supplementing Directive 2015/2366/EU of the European Parliament and of the Council with regard to regulatory technical standards for strong customer authentication and common and secure open standards of </w:t>
      </w:r>
      <w:proofErr w:type="gramStart"/>
      <w:r>
        <w:rPr>
          <w:rFonts w:asciiTheme="minorHAnsi" w:hAnsiTheme="minorHAnsi" w:cstheme="minorHAnsi"/>
          <w:sz w:val="22"/>
          <w:szCs w:val="22"/>
          <w:lang w:val="en-GB"/>
        </w:rPr>
        <w:t>communication</w:t>
      </w:r>
      <w:proofErr w:type="gramEnd"/>
    </w:p>
    <w:p w14:paraId="0FD0B433" w14:textId="41FF5BA7" w:rsidR="00313D8E" w:rsidRPr="00560EF7" w:rsidRDefault="00313D8E" w:rsidP="00571BC3">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“n”: This column shall indicate the breakdown of the turnover by card function. </w:t>
      </w:r>
      <w:r w:rsidRPr="00B212EC">
        <w:rPr>
          <w:rFonts w:asciiTheme="minorHAnsi" w:hAnsiTheme="minorHAnsi" w:cstheme="minorHAnsi"/>
          <w:sz w:val="22"/>
          <w:szCs w:val="22"/>
          <w:highlight w:val="yellow"/>
          <w:lang w:val="en-GB"/>
        </w:rPr>
        <w:t>For cards with multiple functions (credit, debit, delayed debit), the turnover data shall be clearly separated by function.</w:t>
      </w:r>
    </w:p>
    <w:p w14:paraId="549DD388" w14:textId="774C9186" w:rsidR="005E3F79" w:rsidRPr="00560EF7" w:rsidRDefault="005E3F79" w:rsidP="005E3F79">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“o”: This column shall indicate the method of data transmission in the case of contactless transactions. Namely, the value reported in this column refers to the method of carrying out the transaction rather than to the data transmission capabilities and functions of the card or the mobile payment application. A transaction is deemed contactless, if the NFC data transmission between the POS terminal and the card takes place without a direct physical link. Those contactless card-based mobile payments which use NFC data transmission (code “MOBIL”) shall be indicated separately from the transactions carried out by physical contactless cards. The code “PROXY” shall be indicated in all cases when the data transmission applied to the card payment takes place without direct physical connection, but not with the use of NFC technology (but </w:t>
      </w:r>
      <w:proofErr w:type="gramStart"/>
      <w:r>
        <w:rPr>
          <w:rFonts w:asciiTheme="minorHAnsi" w:hAnsiTheme="minorHAnsi" w:cstheme="minorHAnsi"/>
          <w:sz w:val="22"/>
          <w:szCs w:val="22"/>
          <w:lang w:val="en-GB"/>
        </w:rPr>
        <w:t>e.g.</w:t>
      </w:r>
      <w:proofErr w:type="gramEnd"/>
      <w:r>
        <w:rPr>
          <w:rFonts w:asciiTheme="minorHAnsi" w:hAnsiTheme="minorHAnsi" w:cstheme="minorHAnsi"/>
          <w:sz w:val="22"/>
          <w:szCs w:val="22"/>
          <w:lang w:val="en-GB"/>
        </w:rPr>
        <w:t xml:space="preserve"> by </w:t>
      </w:r>
      <w:proofErr w:type="spellStart"/>
      <w:r>
        <w:rPr>
          <w:rFonts w:asciiTheme="minorHAnsi" w:hAnsiTheme="minorHAnsi" w:cstheme="minorHAnsi"/>
          <w:sz w:val="22"/>
          <w:szCs w:val="22"/>
          <w:lang w:val="en-GB"/>
        </w:rPr>
        <w:t>BLE</w:t>
      </w:r>
      <w:proofErr w:type="spellEnd"/>
      <w:r>
        <w:rPr>
          <w:rFonts w:asciiTheme="minorHAnsi" w:hAnsiTheme="minorHAnsi" w:cstheme="minorHAnsi"/>
          <w:sz w:val="22"/>
          <w:szCs w:val="22"/>
          <w:lang w:val="en-GB"/>
        </w:rPr>
        <w:t>).</w:t>
      </w:r>
    </w:p>
    <w:p w14:paraId="45C8DB6D" w14:textId="77777777" w:rsidR="00B33981" w:rsidRPr="00560EF7" w:rsidRDefault="00B33981" w:rsidP="00B33981">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“p”: shall indicate the limit category in which the reported purchase transaction has been carried out.</w:t>
      </w:r>
    </w:p>
    <w:p w14:paraId="4596C854" w14:textId="77777777" w:rsidR="008C4058" w:rsidRPr="00560EF7" w:rsidRDefault="008C4058" w:rsidP="004148CD">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w:t>
      </w:r>
      <w:proofErr w:type="gramStart"/>
      <w:r>
        <w:rPr>
          <w:rFonts w:asciiTheme="minorHAnsi" w:hAnsiTheme="minorHAnsi" w:cstheme="minorHAnsi"/>
          <w:sz w:val="22"/>
          <w:szCs w:val="22"/>
          <w:lang w:val="en-GB"/>
        </w:rPr>
        <w:t>‘”q</w:t>
      </w:r>
      <w:proofErr w:type="gramEnd"/>
      <w:r>
        <w:rPr>
          <w:rFonts w:asciiTheme="minorHAnsi" w:hAnsiTheme="minorHAnsi" w:cstheme="minorHAnsi"/>
          <w:sz w:val="22"/>
          <w:szCs w:val="22"/>
          <w:lang w:val="en-GB"/>
        </w:rPr>
        <w:t xml:space="preserve">”: This column shall indicate whether the respective turnover has been carried out by a retail or corporate card. Business and corporate cards are those issued for the employees of corporations and other organisations. Retail cards are those issued for private customers. In the case of </w:t>
      </w:r>
      <w:proofErr w:type="spellStart"/>
      <w:r>
        <w:rPr>
          <w:rFonts w:asciiTheme="minorHAnsi" w:hAnsiTheme="minorHAnsi" w:cstheme="minorHAnsi"/>
          <w:sz w:val="22"/>
          <w:szCs w:val="22"/>
          <w:lang w:val="en-GB"/>
        </w:rPr>
        <w:t>SZÉP</w:t>
      </w:r>
      <w:proofErr w:type="spellEnd"/>
      <w:r>
        <w:rPr>
          <w:rFonts w:asciiTheme="minorHAnsi" w:hAnsiTheme="minorHAnsi" w:cstheme="minorHAnsi"/>
          <w:sz w:val="22"/>
          <w:szCs w:val="22"/>
          <w:lang w:val="en-GB"/>
        </w:rPr>
        <w:t>-cards only the retail card code may be applied.</w:t>
      </w:r>
    </w:p>
    <w:p w14:paraId="44900F4A" w14:textId="77777777" w:rsidR="00D57480" w:rsidRPr="00560EF7" w:rsidRDefault="00D57480" w:rsidP="00D57480">
      <w:pPr>
        <w:numPr>
          <w:ilvl w:val="0"/>
          <w:numId w:val="6"/>
        </w:numPr>
        <w:rPr>
          <w:rFonts w:asciiTheme="minorHAnsi" w:hAnsiTheme="minorHAnsi" w:cstheme="minorHAnsi"/>
          <w:sz w:val="22"/>
          <w:szCs w:val="22"/>
        </w:rPr>
      </w:pPr>
      <w:r>
        <w:rPr>
          <w:rFonts w:asciiTheme="minorHAnsi" w:hAnsiTheme="minorHAnsi" w:cstheme="minorHAnsi"/>
          <w:sz w:val="22"/>
          <w:szCs w:val="22"/>
          <w:lang w:val="en-GB"/>
        </w:rPr>
        <w:lastRenderedPageBreak/>
        <w:t>column “r”: This column shall indicate whether the respective turnover has been carried out by a card issued by a bank or by a co-branded card. Co-branded cards are those the image of which contains the trademark of the partner in addition to that of the issuing bank, and the underlying reason for the issuance is the joint economic interest of the parties. The issuance of cards with international trademark is also conditional upon the international card company’s authorisation of the scheme as a co-branded product.</w:t>
      </w:r>
    </w:p>
    <w:p w14:paraId="65A75C60" w14:textId="4F77C447" w:rsidR="00D57480" w:rsidRPr="00560EF7" w:rsidRDefault="00D57480" w:rsidP="00D57480">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“s”: This column shall indicate whether the transaction was conducted with a payment card registered in mobile wallet application, through the mobile wallet application. Those cards must be indicated as registered in a mobile wallet that have been registered in a mobile phone payment application provided by card issuer payment provider or by the service provider being in contractual relationship with it, which may be used for payments at physical points of acceptance (by NFC or QR code) and which may be issued in physical form as well.</w:t>
      </w:r>
    </w:p>
    <w:p w14:paraId="608FCE8D" w14:textId="77777777" w:rsidR="00D57480" w:rsidRPr="00560EF7" w:rsidRDefault="00D57480" w:rsidP="00D57480">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“t”: This column shall indicate whether the card used for carrying out the turnover is a virtual card. Virtual cards are cards that may only be used in internet-based transactions, irrespective of in what form the card data necessary for the execution of the transaction are available to the customers.</w:t>
      </w:r>
    </w:p>
    <w:p w14:paraId="07F3E4D9" w14:textId="77777777" w:rsidR="00D57480" w:rsidRPr="00560EF7" w:rsidRDefault="00D57480" w:rsidP="00D57480">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“u”: This column shall indicate whether the card used for carrying out the turnover has been issued in physical form as well.</w:t>
      </w:r>
    </w:p>
    <w:p w14:paraId="329F0258" w14:textId="4E432D8B" w:rsidR="00D57480" w:rsidRPr="00560EF7" w:rsidRDefault="00304CD5" w:rsidP="004148CD">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“v”: shall indicate the type of merchant at which the purchase turnover has been carried out by the card. The code list contains the classification categories applied by MasterCard, VISA, Union PAY and Amex; if during the acceptance of </w:t>
      </w:r>
      <w:proofErr w:type="gramStart"/>
      <w:r>
        <w:rPr>
          <w:rFonts w:asciiTheme="minorHAnsi" w:hAnsiTheme="minorHAnsi" w:cstheme="minorHAnsi"/>
          <w:sz w:val="22"/>
          <w:szCs w:val="22"/>
          <w:lang w:val="en-GB"/>
        </w:rPr>
        <w:t>data</w:t>
      </w:r>
      <w:proofErr w:type="gramEnd"/>
      <w:r>
        <w:rPr>
          <w:rFonts w:asciiTheme="minorHAnsi" w:hAnsiTheme="minorHAnsi" w:cstheme="minorHAnsi"/>
          <w:sz w:val="22"/>
          <w:szCs w:val="22"/>
          <w:lang w:val="en-GB"/>
        </w:rPr>
        <w:t xml:space="preserve"> you wish to apply a newly introduced code not identified in the code list, please contact the staff of the </w:t>
      </w:r>
      <w:proofErr w:type="spellStart"/>
      <w:r>
        <w:rPr>
          <w:rFonts w:asciiTheme="minorHAnsi" w:hAnsiTheme="minorHAnsi" w:cstheme="minorHAnsi"/>
          <w:sz w:val="22"/>
          <w:szCs w:val="22"/>
          <w:lang w:val="en-GB"/>
        </w:rPr>
        <w:t>MNB’s</w:t>
      </w:r>
      <w:proofErr w:type="spellEnd"/>
      <w:r>
        <w:rPr>
          <w:rFonts w:asciiTheme="minorHAnsi" w:hAnsiTheme="minorHAnsi" w:cstheme="minorHAnsi"/>
          <w:sz w:val="22"/>
          <w:szCs w:val="22"/>
          <w:lang w:val="en-GB"/>
        </w:rPr>
        <w:t xml:space="preserve"> Directorate Statistics to register the new code in the data acceptance system. In the case of a temporary absence of a code, the “0000” technical code may be applied.</w:t>
      </w:r>
    </w:p>
    <w:p w14:paraId="0237095D" w14:textId="7C6BDAD3" w:rsidR="008B04BC" w:rsidRPr="00B212EC" w:rsidRDefault="008B04BC" w:rsidP="004148CD">
      <w:pPr>
        <w:numPr>
          <w:ilvl w:val="0"/>
          <w:numId w:val="6"/>
        </w:numPr>
        <w:rPr>
          <w:rFonts w:asciiTheme="minorHAnsi" w:hAnsiTheme="minorHAnsi" w:cstheme="minorHAnsi"/>
          <w:sz w:val="22"/>
          <w:szCs w:val="22"/>
          <w:highlight w:val="yellow"/>
        </w:rPr>
      </w:pPr>
      <w:r w:rsidRPr="00B212EC">
        <w:rPr>
          <w:rFonts w:asciiTheme="minorHAnsi" w:hAnsiTheme="minorHAnsi" w:cstheme="minorHAnsi"/>
          <w:sz w:val="22"/>
          <w:szCs w:val="22"/>
          <w:highlight w:val="yellow"/>
          <w:lang w:val="en-GB"/>
        </w:rPr>
        <w:t xml:space="preserve">column “w”: Show here whether the chargeback procedures reported on the basis of column “d” succeeded, </w:t>
      </w:r>
      <w:proofErr w:type="gramStart"/>
      <w:r w:rsidRPr="00B212EC">
        <w:rPr>
          <w:rFonts w:asciiTheme="minorHAnsi" w:hAnsiTheme="minorHAnsi" w:cstheme="minorHAnsi"/>
          <w:sz w:val="22"/>
          <w:szCs w:val="22"/>
          <w:highlight w:val="yellow"/>
          <w:lang w:val="en-GB"/>
        </w:rPr>
        <w:t>i.e.</w:t>
      </w:r>
      <w:proofErr w:type="gramEnd"/>
      <w:r w:rsidRPr="00B212EC">
        <w:rPr>
          <w:rFonts w:asciiTheme="minorHAnsi" w:hAnsiTheme="minorHAnsi" w:cstheme="minorHAnsi"/>
          <w:sz w:val="22"/>
          <w:szCs w:val="22"/>
          <w:highlight w:val="yellow"/>
          <w:lang w:val="en-GB"/>
        </w:rPr>
        <w:t xml:space="preserve"> whether the customer received a refund for the transaction amount objected or not. Report the chargeback procedure in the quarter it has emerged, in this dimension under the “</w:t>
      </w:r>
      <w:proofErr w:type="spellStart"/>
      <w:r w:rsidRPr="00B212EC">
        <w:rPr>
          <w:rFonts w:asciiTheme="minorHAnsi" w:hAnsiTheme="minorHAnsi" w:cstheme="minorHAnsi"/>
          <w:sz w:val="22"/>
          <w:szCs w:val="22"/>
          <w:highlight w:val="yellow"/>
          <w:lang w:val="en-GB"/>
        </w:rPr>
        <w:t>FOLYAMAT</w:t>
      </w:r>
      <w:proofErr w:type="spellEnd"/>
      <w:r w:rsidRPr="00B212EC">
        <w:rPr>
          <w:rFonts w:asciiTheme="minorHAnsi" w:hAnsiTheme="minorHAnsi" w:cstheme="minorHAnsi"/>
          <w:sz w:val="22"/>
          <w:szCs w:val="22"/>
          <w:highlight w:val="yellow"/>
          <w:lang w:val="en-GB"/>
        </w:rPr>
        <w:t xml:space="preserve">” code by default. However, when the chargeback procedure is completed, it must </w:t>
      </w:r>
      <w:proofErr w:type="gramStart"/>
      <w:r w:rsidRPr="00B212EC">
        <w:rPr>
          <w:rFonts w:asciiTheme="minorHAnsi" w:hAnsiTheme="minorHAnsi" w:cstheme="minorHAnsi"/>
          <w:sz w:val="22"/>
          <w:szCs w:val="22"/>
          <w:highlight w:val="yellow"/>
          <w:lang w:val="en-GB"/>
        </w:rPr>
        <w:t>reported</w:t>
      </w:r>
      <w:proofErr w:type="gramEnd"/>
      <w:r w:rsidRPr="00B212EC">
        <w:rPr>
          <w:rFonts w:asciiTheme="minorHAnsi" w:hAnsiTheme="minorHAnsi" w:cstheme="minorHAnsi"/>
          <w:sz w:val="22"/>
          <w:szCs w:val="22"/>
          <w:highlight w:val="yellow"/>
          <w:lang w:val="en-GB"/>
        </w:rPr>
        <w:t xml:space="preserve"> </w:t>
      </w:r>
      <w:r w:rsidR="009C592A" w:rsidRPr="00B212EC">
        <w:rPr>
          <w:rFonts w:asciiTheme="minorHAnsi" w:hAnsiTheme="minorHAnsi" w:cstheme="minorHAnsi"/>
          <w:sz w:val="22"/>
          <w:szCs w:val="22"/>
          <w:highlight w:val="yellow"/>
          <w:lang w:val="en-GB"/>
        </w:rPr>
        <w:t>again</w:t>
      </w:r>
      <w:r w:rsidRPr="00B212EC">
        <w:rPr>
          <w:rFonts w:asciiTheme="minorHAnsi" w:hAnsiTheme="minorHAnsi" w:cstheme="minorHAnsi"/>
          <w:sz w:val="22"/>
          <w:szCs w:val="22"/>
          <w:highlight w:val="yellow"/>
          <w:lang w:val="en-GB"/>
        </w:rPr>
        <w:t>, with a code other than “</w:t>
      </w:r>
      <w:proofErr w:type="spellStart"/>
      <w:r w:rsidRPr="00B212EC">
        <w:rPr>
          <w:rFonts w:asciiTheme="minorHAnsi" w:hAnsiTheme="minorHAnsi" w:cstheme="minorHAnsi"/>
          <w:sz w:val="22"/>
          <w:szCs w:val="22"/>
          <w:highlight w:val="yellow"/>
          <w:lang w:val="en-GB"/>
        </w:rPr>
        <w:t>FOLYAMAT</w:t>
      </w:r>
      <w:proofErr w:type="spellEnd"/>
      <w:r w:rsidRPr="00B212EC">
        <w:rPr>
          <w:rFonts w:asciiTheme="minorHAnsi" w:hAnsiTheme="minorHAnsi" w:cstheme="minorHAnsi"/>
          <w:sz w:val="22"/>
          <w:szCs w:val="22"/>
          <w:highlight w:val="yellow"/>
          <w:lang w:val="en-GB"/>
        </w:rPr>
        <w:t>” Accordingly, if the procedure is completed in the same quarter when the customer complaint was received, it shall be reported twice in that quarter, once under the “</w:t>
      </w:r>
      <w:proofErr w:type="spellStart"/>
      <w:r w:rsidRPr="00B212EC">
        <w:rPr>
          <w:rFonts w:asciiTheme="minorHAnsi" w:hAnsiTheme="minorHAnsi" w:cstheme="minorHAnsi"/>
          <w:sz w:val="22"/>
          <w:szCs w:val="22"/>
          <w:highlight w:val="yellow"/>
          <w:lang w:val="en-GB"/>
        </w:rPr>
        <w:t>FOLYAMAT</w:t>
      </w:r>
      <w:proofErr w:type="spellEnd"/>
      <w:r w:rsidRPr="00B212EC">
        <w:rPr>
          <w:rFonts w:asciiTheme="minorHAnsi" w:hAnsiTheme="minorHAnsi" w:cstheme="minorHAnsi"/>
          <w:sz w:val="22"/>
          <w:szCs w:val="22"/>
          <w:highlight w:val="yellow"/>
          <w:lang w:val="en-GB"/>
        </w:rPr>
        <w:t>” code and once under a different code. If the procedure is completed later, it shall be reported upon commencement under the “</w:t>
      </w:r>
      <w:proofErr w:type="spellStart"/>
      <w:r w:rsidRPr="00B212EC">
        <w:rPr>
          <w:rFonts w:asciiTheme="minorHAnsi" w:hAnsiTheme="minorHAnsi" w:cstheme="minorHAnsi"/>
          <w:sz w:val="22"/>
          <w:szCs w:val="22"/>
          <w:highlight w:val="yellow"/>
          <w:lang w:val="en-GB"/>
        </w:rPr>
        <w:t>FOLYAMAT</w:t>
      </w:r>
      <w:proofErr w:type="spellEnd"/>
      <w:r w:rsidRPr="00B212EC">
        <w:rPr>
          <w:rFonts w:asciiTheme="minorHAnsi" w:hAnsiTheme="minorHAnsi" w:cstheme="minorHAnsi"/>
          <w:sz w:val="22"/>
          <w:szCs w:val="22"/>
          <w:highlight w:val="yellow"/>
          <w:lang w:val="en-GB"/>
        </w:rPr>
        <w:t xml:space="preserve">” code and </w:t>
      </w:r>
      <w:proofErr w:type="gramStart"/>
      <w:r w:rsidRPr="00B212EC">
        <w:rPr>
          <w:rFonts w:asciiTheme="minorHAnsi" w:hAnsiTheme="minorHAnsi" w:cstheme="minorHAnsi"/>
          <w:sz w:val="22"/>
          <w:szCs w:val="22"/>
          <w:highlight w:val="yellow"/>
          <w:lang w:val="en-GB"/>
        </w:rPr>
        <w:t>later on</w:t>
      </w:r>
      <w:proofErr w:type="gramEnd"/>
      <w:r w:rsidRPr="00B212EC">
        <w:rPr>
          <w:rFonts w:asciiTheme="minorHAnsi" w:hAnsiTheme="minorHAnsi" w:cstheme="minorHAnsi"/>
          <w:sz w:val="22"/>
          <w:szCs w:val="22"/>
          <w:highlight w:val="yellow"/>
          <w:lang w:val="en-GB"/>
        </w:rPr>
        <w:t xml:space="preserve"> it shall be reported repeatedly under a code other than “</w:t>
      </w:r>
      <w:proofErr w:type="spellStart"/>
      <w:r w:rsidRPr="00B212EC">
        <w:rPr>
          <w:rFonts w:asciiTheme="minorHAnsi" w:hAnsiTheme="minorHAnsi" w:cstheme="minorHAnsi"/>
          <w:sz w:val="22"/>
          <w:szCs w:val="22"/>
          <w:highlight w:val="yellow"/>
          <w:lang w:val="en-GB"/>
        </w:rPr>
        <w:t>FOLYAMAT</w:t>
      </w:r>
      <w:proofErr w:type="spellEnd"/>
      <w:r w:rsidRPr="00B212EC">
        <w:rPr>
          <w:rFonts w:asciiTheme="minorHAnsi" w:hAnsiTheme="minorHAnsi" w:cstheme="minorHAnsi"/>
          <w:sz w:val="22"/>
          <w:szCs w:val="22"/>
          <w:highlight w:val="yellow"/>
          <w:lang w:val="en-GB"/>
        </w:rPr>
        <w:t>”. Apply the “</w:t>
      </w:r>
      <w:proofErr w:type="spellStart"/>
      <w:r w:rsidRPr="00B212EC">
        <w:rPr>
          <w:rFonts w:asciiTheme="minorHAnsi" w:hAnsiTheme="minorHAnsi" w:cstheme="minorHAnsi"/>
          <w:sz w:val="22"/>
          <w:szCs w:val="22"/>
          <w:highlight w:val="yellow"/>
          <w:lang w:val="en-GB"/>
        </w:rPr>
        <w:t>RESZ</w:t>
      </w:r>
      <w:proofErr w:type="spellEnd"/>
      <w:r w:rsidRPr="00B212EC">
        <w:rPr>
          <w:rFonts w:asciiTheme="minorHAnsi" w:hAnsiTheme="minorHAnsi" w:cstheme="minorHAnsi"/>
          <w:sz w:val="22"/>
          <w:szCs w:val="22"/>
          <w:highlight w:val="yellow"/>
          <w:lang w:val="en-GB"/>
        </w:rPr>
        <w:t xml:space="preserve">” code when only a part of the transactions objected by the customer was refunded, and the procedure is closed. A procedure is deemed successful, when the full amount is refunded in response to the customer’s complaint and the procedure is closed. A procedure is deemed unsuccessful when the customer’s complaint has been rejected, </w:t>
      </w:r>
      <w:proofErr w:type="gramStart"/>
      <w:r w:rsidRPr="00B212EC">
        <w:rPr>
          <w:rFonts w:asciiTheme="minorHAnsi" w:hAnsiTheme="minorHAnsi" w:cstheme="minorHAnsi"/>
          <w:sz w:val="22"/>
          <w:szCs w:val="22"/>
          <w:highlight w:val="yellow"/>
          <w:lang w:val="en-GB"/>
        </w:rPr>
        <w:t>i.e.</w:t>
      </w:r>
      <w:proofErr w:type="gramEnd"/>
      <w:r w:rsidRPr="00B212EC">
        <w:rPr>
          <w:rFonts w:asciiTheme="minorHAnsi" w:hAnsiTheme="minorHAnsi" w:cstheme="minorHAnsi"/>
          <w:sz w:val="22"/>
          <w:szCs w:val="22"/>
          <w:highlight w:val="yellow"/>
          <w:lang w:val="en-GB"/>
        </w:rPr>
        <w:t xml:space="preserve"> he received no refund, and the procedure has been closed.</w:t>
      </w:r>
    </w:p>
    <w:p w14:paraId="1929B593" w14:textId="50B6C397" w:rsidR="00BD6997" w:rsidRPr="00560EF7" w:rsidRDefault="00BD6997" w:rsidP="00BD6997">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columns “</w:t>
      </w:r>
      <w:r w:rsidRPr="00B212EC">
        <w:rPr>
          <w:rFonts w:asciiTheme="minorHAnsi" w:hAnsiTheme="minorHAnsi" w:cstheme="minorHAnsi"/>
          <w:sz w:val="22"/>
          <w:szCs w:val="22"/>
          <w:highlight w:val="yellow"/>
          <w:lang w:val="en-GB"/>
        </w:rPr>
        <w:t>x” and “y</w:t>
      </w:r>
      <w:r>
        <w:rPr>
          <w:rFonts w:asciiTheme="minorHAnsi" w:hAnsiTheme="minorHAnsi" w:cstheme="minorHAnsi"/>
          <w:sz w:val="22"/>
          <w:szCs w:val="22"/>
          <w:lang w:val="en-GB"/>
        </w:rPr>
        <w:t>”: These columns shall contain the number of card transactions carried out and their value specified in units of forint.</w:t>
      </w:r>
    </w:p>
    <w:p w14:paraId="70278671" w14:textId="77777777" w:rsidR="00400A09" w:rsidRPr="00560EF7" w:rsidRDefault="00400A09">
      <w:pPr>
        <w:rPr>
          <w:rFonts w:asciiTheme="minorHAnsi" w:hAnsiTheme="minorHAnsi" w:cstheme="minorHAnsi"/>
          <w:sz w:val="22"/>
          <w:szCs w:val="22"/>
        </w:rPr>
      </w:pPr>
    </w:p>
    <w:p w14:paraId="375D862D" w14:textId="0E7A6A46" w:rsidR="00510F26" w:rsidRPr="00560EF7" w:rsidRDefault="00510F26">
      <w:pPr>
        <w:rPr>
          <w:rFonts w:asciiTheme="minorHAnsi" w:hAnsiTheme="minorHAnsi" w:cstheme="minorHAnsi"/>
          <w:b/>
          <w:sz w:val="22"/>
          <w:szCs w:val="22"/>
        </w:rPr>
      </w:pPr>
      <w:r>
        <w:rPr>
          <w:rFonts w:asciiTheme="minorHAnsi" w:hAnsiTheme="minorHAnsi" w:cstheme="minorHAnsi"/>
          <w:b/>
          <w:bCs/>
          <w:sz w:val="22"/>
          <w:szCs w:val="22"/>
          <w:lang w:val="en-GB"/>
        </w:rPr>
        <w:t xml:space="preserve">Table 02: Card turnover transacted in the acceptance business in the reporting </w:t>
      </w:r>
      <w:proofErr w:type="gramStart"/>
      <w:r>
        <w:rPr>
          <w:rFonts w:asciiTheme="minorHAnsi" w:hAnsiTheme="minorHAnsi" w:cstheme="minorHAnsi"/>
          <w:b/>
          <w:bCs/>
          <w:sz w:val="22"/>
          <w:szCs w:val="22"/>
          <w:lang w:val="en-GB"/>
        </w:rPr>
        <w:t>period</w:t>
      </w:r>
      <w:proofErr w:type="gramEnd"/>
    </w:p>
    <w:p w14:paraId="19F14032" w14:textId="77777777" w:rsidR="009D78EC" w:rsidRPr="00560EF7" w:rsidRDefault="009D78EC">
      <w:pPr>
        <w:rPr>
          <w:rFonts w:asciiTheme="minorHAnsi" w:hAnsiTheme="minorHAnsi" w:cstheme="minorHAnsi"/>
          <w:b/>
          <w:sz w:val="22"/>
          <w:szCs w:val="22"/>
        </w:rPr>
      </w:pPr>
    </w:p>
    <w:p w14:paraId="57387B74" w14:textId="42BAAD47" w:rsidR="006100C1" w:rsidRPr="00560EF7" w:rsidRDefault="009D78EC" w:rsidP="0074291F">
      <w:pPr>
        <w:numPr>
          <w:ilvl w:val="0"/>
          <w:numId w:val="9"/>
        </w:numPr>
        <w:rPr>
          <w:rFonts w:asciiTheme="minorHAnsi" w:hAnsiTheme="minorHAnsi" w:cstheme="minorHAnsi"/>
          <w:sz w:val="22"/>
          <w:szCs w:val="22"/>
        </w:rPr>
      </w:pPr>
      <w:r>
        <w:rPr>
          <w:rFonts w:asciiTheme="minorHAnsi" w:hAnsiTheme="minorHAnsi" w:cstheme="minorHAnsi"/>
          <w:sz w:val="22"/>
          <w:szCs w:val="22"/>
          <w:lang w:val="en-GB"/>
        </w:rPr>
        <w:t>The reporting shall include the turnover carried out in Hungary by cards issued in Hungary and abroad at cash withdrawal and merchant acceptance points (ATM, POS, imprinter) operated by the reporting entity in Hungary. The data related to the acceptance turnover shall be reported by the reporting entity interested in the acquiring irrespective of whether it uses its own ATM and POS network or that operated by other organisations. Among turnover data, under “Type of turnover and stock” dimension refund transactions shall be reported under the code “REVERSAL”.</w:t>
      </w:r>
    </w:p>
    <w:p w14:paraId="2CE5014F" w14:textId="77777777" w:rsidR="006100C1" w:rsidRPr="00560EF7" w:rsidRDefault="006100C1">
      <w:pPr>
        <w:rPr>
          <w:rFonts w:asciiTheme="minorHAnsi" w:hAnsiTheme="minorHAnsi" w:cstheme="minorHAnsi"/>
          <w:sz w:val="22"/>
          <w:szCs w:val="22"/>
        </w:rPr>
      </w:pPr>
      <w:r>
        <w:rPr>
          <w:rFonts w:asciiTheme="minorHAnsi" w:hAnsiTheme="minorHAnsi" w:cstheme="minorHAnsi"/>
          <w:sz w:val="22"/>
          <w:szCs w:val="22"/>
          <w:lang w:val="en-GB"/>
        </w:rPr>
        <w:t xml:space="preserve"> </w:t>
      </w:r>
    </w:p>
    <w:p w14:paraId="68700A50" w14:textId="77777777" w:rsidR="006100C1" w:rsidRPr="00560EF7" w:rsidRDefault="006100C1" w:rsidP="0074291F">
      <w:pPr>
        <w:numPr>
          <w:ilvl w:val="0"/>
          <w:numId w:val="9"/>
        </w:numPr>
        <w:rPr>
          <w:rFonts w:asciiTheme="minorHAnsi" w:hAnsiTheme="minorHAnsi" w:cstheme="minorHAnsi"/>
          <w:sz w:val="22"/>
          <w:szCs w:val="22"/>
        </w:rPr>
      </w:pPr>
      <w:r>
        <w:rPr>
          <w:rFonts w:asciiTheme="minorHAnsi" w:hAnsiTheme="minorHAnsi" w:cstheme="minorHAnsi"/>
          <w:sz w:val="22"/>
          <w:szCs w:val="22"/>
          <w:lang w:val="en-GB"/>
        </w:rPr>
        <w:t>Data to be reported in the individual columns:</w:t>
      </w:r>
    </w:p>
    <w:p w14:paraId="2D489E5E" w14:textId="094BC0EC" w:rsidR="006100C1" w:rsidRPr="00560EF7" w:rsidRDefault="006100C1" w:rsidP="006100C1">
      <w:pPr>
        <w:numPr>
          <w:ilvl w:val="0"/>
          <w:numId w:val="7"/>
        </w:numPr>
        <w:rPr>
          <w:rFonts w:asciiTheme="minorHAnsi" w:hAnsiTheme="minorHAnsi" w:cstheme="minorHAnsi"/>
          <w:sz w:val="22"/>
          <w:szCs w:val="22"/>
        </w:rPr>
      </w:pPr>
      <w:r>
        <w:rPr>
          <w:rFonts w:asciiTheme="minorHAnsi" w:hAnsiTheme="minorHAnsi" w:cstheme="minorHAnsi"/>
          <w:sz w:val="22"/>
          <w:szCs w:val="22"/>
          <w:lang w:val="en-GB"/>
        </w:rPr>
        <w:lastRenderedPageBreak/>
        <w:t>For the data to be reported in columns “a”, “c”, “d”, “f” and “h” to “p”, the definitions described under Table 01 of this data reporting shall be used.</w:t>
      </w:r>
    </w:p>
    <w:p w14:paraId="55F046ED" w14:textId="397F02B6" w:rsidR="009B23AD" w:rsidRPr="009C592A" w:rsidRDefault="009B23AD" w:rsidP="009B23AD">
      <w:pPr>
        <w:numPr>
          <w:ilvl w:val="0"/>
          <w:numId w:val="7"/>
        </w:numPr>
        <w:rPr>
          <w:rFonts w:asciiTheme="minorHAnsi" w:hAnsiTheme="minorHAnsi" w:cstheme="minorHAnsi"/>
          <w:sz w:val="22"/>
          <w:szCs w:val="22"/>
          <w:lang w:val="en-GB"/>
        </w:rPr>
      </w:pPr>
      <w:r>
        <w:rPr>
          <w:rFonts w:asciiTheme="minorHAnsi" w:hAnsiTheme="minorHAnsi" w:cstheme="minorHAnsi"/>
          <w:sz w:val="22"/>
          <w:szCs w:val="22"/>
          <w:lang w:val="en-GB"/>
        </w:rPr>
        <w:t>column “b”: This column shall indicate the currency of the respective cash withdrawal and cash deposit turnover.</w:t>
      </w:r>
    </w:p>
    <w:p w14:paraId="5897C101" w14:textId="717A0DEA" w:rsidR="009C592A" w:rsidRPr="00B212EC" w:rsidRDefault="009C592A" w:rsidP="009C592A">
      <w:pPr>
        <w:numPr>
          <w:ilvl w:val="0"/>
          <w:numId w:val="7"/>
        </w:numPr>
        <w:rPr>
          <w:rFonts w:asciiTheme="minorHAnsi" w:hAnsiTheme="minorHAnsi" w:cstheme="minorHAnsi"/>
          <w:sz w:val="22"/>
          <w:szCs w:val="22"/>
          <w:highlight w:val="yellow"/>
          <w:lang w:val="en-GB"/>
        </w:rPr>
      </w:pPr>
      <w:r w:rsidRPr="00B212EC">
        <w:rPr>
          <w:rFonts w:asciiTheme="minorHAnsi" w:hAnsiTheme="minorHAnsi" w:cstheme="minorHAnsi"/>
          <w:sz w:val="22"/>
          <w:szCs w:val="22"/>
          <w:highlight w:val="yellow"/>
          <w:lang w:val="en-GB"/>
        </w:rPr>
        <w:t>column “f”: shall indicate the place of the transaction. Domestic transactions where a foreign (cross-border) service provider directly renders acquiring services in Hungary shall be recorded as domestic turnover with code “HU”. Also indicate here turnover in a Hungarian resident service provider’s foreign acquiring network, with the appropriate code, if it provides services directly, rather than via a subsidiary or foreign branch.</w:t>
      </w:r>
    </w:p>
    <w:p w14:paraId="7DDDD693" w14:textId="6663900C" w:rsidR="006100C1" w:rsidRPr="00560EF7" w:rsidRDefault="009B23AD" w:rsidP="009B23AD">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 column “g”: This column shall indicate whether the reported turnover has been carried out on payment card POS terminals installed based on the Decree of the Ministry of National Economy No 47/2016 (XII. 6.) on the Subsidy provided to increase the number of POS terminals (MNE Decree). Namely, the payment providers rendering card acceptance services shall report separately the turnover related to terminals for the installation of which they received state subsidy due to their compliance with the conditions set forth in the MNE Decree.</w:t>
      </w:r>
    </w:p>
    <w:p w14:paraId="427DB57F" w14:textId="0026893F" w:rsidR="00C960AF" w:rsidRPr="00560EF7" w:rsidRDefault="00C960AF" w:rsidP="006100C1">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column </w:t>
      </w:r>
      <w:proofErr w:type="gramStart"/>
      <w:r>
        <w:rPr>
          <w:rFonts w:asciiTheme="minorHAnsi" w:hAnsiTheme="minorHAnsi" w:cstheme="minorHAnsi"/>
          <w:sz w:val="22"/>
          <w:szCs w:val="22"/>
          <w:lang w:val="en-GB"/>
        </w:rPr>
        <w:t>‘”q</w:t>
      </w:r>
      <w:proofErr w:type="gramEnd"/>
      <w:r>
        <w:rPr>
          <w:rFonts w:asciiTheme="minorHAnsi" w:hAnsiTheme="minorHAnsi" w:cstheme="minorHAnsi"/>
          <w:sz w:val="22"/>
          <w:szCs w:val="22"/>
          <w:lang w:val="en-GB"/>
        </w:rPr>
        <w:t>”: This column shall indicate the place where the card used for the respective transaction has been issued. In the case of on-us transactions it shall be indicated if the card used in the transaction has been issued by the reporting entity.</w:t>
      </w:r>
    </w:p>
    <w:p w14:paraId="6BA898C8" w14:textId="54C9A3C8" w:rsidR="009D78EC" w:rsidRPr="00560EF7" w:rsidRDefault="009D78EC" w:rsidP="009D78EC">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columns “r” and “s”: These columns shall contain the number of card transactions carried out and their value specified in units of forint. The turnover data shall also contain the on-us items. When identifying the turnover data, the date of processing the transaction shall be taken into consideration.</w:t>
      </w:r>
    </w:p>
    <w:p w14:paraId="3DFA3415" w14:textId="77777777" w:rsidR="00D21C2C" w:rsidRPr="00560EF7" w:rsidRDefault="00D21C2C" w:rsidP="009E708A">
      <w:pPr>
        <w:ind w:right="-428"/>
        <w:rPr>
          <w:rFonts w:asciiTheme="minorHAnsi" w:hAnsiTheme="minorHAnsi" w:cstheme="minorHAnsi"/>
          <w:sz w:val="22"/>
          <w:szCs w:val="22"/>
        </w:rPr>
      </w:pPr>
    </w:p>
    <w:sectPr w:rsidR="00D21C2C" w:rsidRPr="00560EF7">
      <w:headerReference w:type="default" r:id="rId9"/>
      <w:footerReference w:type="default" r:id="rId10"/>
      <w:headerReference w:type="first" r:id="rId11"/>
      <w:footerReference w:type="first" r:id="rId12"/>
      <w:pgSz w:w="11907" w:h="16840" w:code="9"/>
      <w:pgMar w:top="1134" w:right="1247" w:bottom="1418" w:left="12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3CF7" w14:textId="77777777" w:rsidR="00BC4111" w:rsidRDefault="00BC4111">
      <w:r>
        <w:separator/>
      </w:r>
    </w:p>
  </w:endnote>
  <w:endnote w:type="continuationSeparator" w:id="0">
    <w:p w14:paraId="159D51C4" w14:textId="77777777" w:rsidR="00BC4111" w:rsidRDefault="00BC4111">
      <w:r>
        <w:continuationSeparator/>
      </w:r>
    </w:p>
  </w:endnote>
  <w:endnote w:type="continuationNotice" w:id="1">
    <w:p w14:paraId="44B204C7" w14:textId="77777777" w:rsidR="00BC4111" w:rsidRDefault="00BC4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654B" w14:textId="77777777" w:rsidR="001A5531" w:rsidRDefault="001A5531">
    <w:pPr>
      <w:pStyle w:val="Footer"/>
      <w:jc w:val="right"/>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14:paraId="5690BBB9" w14:textId="77777777" w:rsidR="00F80E0E" w:rsidRDefault="00F80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B2C6" w14:textId="77777777" w:rsidR="00C955ED" w:rsidRDefault="00C955ED">
    <w:pPr>
      <w:pStyle w:val="Footer"/>
      <w:jc w:val="right"/>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14:paraId="3F6039F6" w14:textId="77777777" w:rsidR="00C955ED" w:rsidRDefault="00C9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09D6" w14:textId="77777777" w:rsidR="00BC4111" w:rsidRDefault="00BC4111">
      <w:r>
        <w:separator/>
      </w:r>
    </w:p>
  </w:footnote>
  <w:footnote w:type="continuationSeparator" w:id="0">
    <w:p w14:paraId="54B990AF" w14:textId="77777777" w:rsidR="00BC4111" w:rsidRDefault="00BC4111">
      <w:r>
        <w:continuationSeparator/>
      </w:r>
    </w:p>
  </w:footnote>
  <w:footnote w:type="continuationNotice" w:id="1">
    <w:p w14:paraId="3B0B80B4" w14:textId="77777777" w:rsidR="00BC4111" w:rsidRDefault="00BC4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DA1E" w14:textId="77777777" w:rsidR="00B86F2E" w:rsidRDefault="00B86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A15E" w14:textId="77777777" w:rsidR="00B86F2E" w:rsidRDefault="00B86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D370D"/>
    <w:multiLevelType w:val="hybridMultilevel"/>
    <w:tmpl w:val="5276D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62353A"/>
    <w:multiLevelType w:val="hybridMultilevel"/>
    <w:tmpl w:val="CCCC22C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48900384"/>
    <w:multiLevelType w:val="hybridMultilevel"/>
    <w:tmpl w:val="C2B41F56"/>
    <w:lvl w:ilvl="0" w:tplc="8A7630C0">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BDE0B63"/>
    <w:multiLevelType w:val="hybridMultilevel"/>
    <w:tmpl w:val="896EB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0F675B0"/>
    <w:multiLevelType w:val="hybridMultilevel"/>
    <w:tmpl w:val="40BCF6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9E21D2"/>
    <w:multiLevelType w:val="hybridMultilevel"/>
    <w:tmpl w:val="4576306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79889524">
    <w:abstractNumId w:val="1"/>
  </w:num>
  <w:num w:numId="2" w16cid:durableId="636106863">
    <w:abstractNumId w:val="0"/>
  </w:num>
  <w:num w:numId="3" w16cid:durableId="678777256">
    <w:abstractNumId w:val="9"/>
  </w:num>
  <w:num w:numId="4" w16cid:durableId="815493673">
    <w:abstractNumId w:val="10"/>
  </w:num>
  <w:num w:numId="5" w16cid:durableId="1909073954">
    <w:abstractNumId w:val="5"/>
  </w:num>
  <w:num w:numId="6" w16cid:durableId="884365970">
    <w:abstractNumId w:val="3"/>
  </w:num>
  <w:num w:numId="7" w16cid:durableId="2008749869">
    <w:abstractNumId w:val="8"/>
  </w:num>
  <w:num w:numId="8" w16cid:durableId="524829637">
    <w:abstractNumId w:val="6"/>
  </w:num>
  <w:num w:numId="9" w16cid:durableId="894900217">
    <w:abstractNumId w:val="7"/>
  </w:num>
  <w:num w:numId="10" w16cid:durableId="1898977103">
    <w:abstractNumId w:val="2"/>
  </w:num>
  <w:num w:numId="11" w16cid:durableId="664674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12179"/>
    <w:rsid w:val="00020D61"/>
    <w:rsid w:val="000222D9"/>
    <w:rsid w:val="00032480"/>
    <w:rsid w:val="00047BEC"/>
    <w:rsid w:val="00060240"/>
    <w:rsid w:val="000745CE"/>
    <w:rsid w:val="000811AF"/>
    <w:rsid w:val="00086B23"/>
    <w:rsid w:val="00086DA6"/>
    <w:rsid w:val="0009159F"/>
    <w:rsid w:val="0009537A"/>
    <w:rsid w:val="000B1CD3"/>
    <w:rsid w:val="000C2694"/>
    <w:rsid w:val="000C2D59"/>
    <w:rsid w:val="000C79D3"/>
    <w:rsid w:val="000D7CE5"/>
    <w:rsid w:val="000E1B87"/>
    <w:rsid w:val="000F3D40"/>
    <w:rsid w:val="000F451B"/>
    <w:rsid w:val="000F68D3"/>
    <w:rsid w:val="00102A5F"/>
    <w:rsid w:val="001046B1"/>
    <w:rsid w:val="001054B6"/>
    <w:rsid w:val="00117F4E"/>
    <w:rsid w:val="001211CF"/>
    <w:rsid w:val="0012306C"/>
    <w:rsid w:val="00126073"/>
    <w:rsid w:val="00146365"/>
    <w:rsid w:val="00163A73"/>
    <w:rsid w:val="001643B4"/>
    <w:rsid w:val="001714F4"/>
    <w:rsid w:val="00173FC0"/>
    <w:rsid w:val="00182E49"/>
    <w:rsid w:val="00183321"/>
    <w:rsid w:val="00185B3D"/>
    <w:rsid w:val="00186978"/>
    <w:rsid w:val="00186BA6"/>
    <w:rsid w:val="0019398F"/>
    <w:rsid w:val="001A3A57"/>
    <w:rsid w:val="001A5531"/>
    <w:rsid w:val="001A74F4"/>
    <w:rsid w:val="001B0A2F"/>
    <w:rsid w:val="001B48B5"/>
    <w:rsid w:val="001C33B3"/>
    <w:rsid w:val="001D01EB"/>
    <w:rsid w:val="001D568D"/>
    <w:rsid w:val="001E01B4"/>
    <w:rsid w:val="001E1056"/>
    <w:rsid w:val="001E685D"/>
    <w:rsid w:val="00216072"/>
    <w:rsid w:val="002225A3"/>
    <w:rsid w:val="00223C47"/>
    <w:rsid w:val="00231560"/>
    <w:rsid w:val="0023269C"/>
    <w:rsid w:val="00242312"/>
    <w:rsid w:val="00245F0D"/>
    <w:rsid w:val="002516E5"/>
    <w:rsid w:val="00253F46"/>
    <w:rsid w:val="00264216"/>
    <w:rsid w:val="002705AF"/>
    <w:rsid w:val="0027077B"/>
    <w:rsid w:val="00274F60"/>
    <w:rsid w:val="002830B1"/>
    <w:rsid w:val="0029107C"/>
    <w:rsid w:val="00292D96"/>
    <w:rsid w:val="002A13A5"/>
    <w:rsid w:val="002B0213"/>
    <w:rsid w:val="002B1BEF"/>
    <w:rsid w:val="002B1E44"/>
    <w:rsid w:val="002C54E2"/>
    <w:rsid w:val="002C5DD1"/>
    <w:rsid w:val="002E3E37"/>
    <w:rsid w:val="002F51D7"/>
    <w:rsid w:val="00302B82"/>
    <w:rsid w:val="00304CD5"/>
    <w:rsid w:val="00305527"/>
    <w:rsid w:val="00311F7C"/>
    <w:rsid w:val="00313D8E"/>
    <w:rsid w:val="00313E65"/>
    <w:rsid w:val="00327B26"/>
    <w:rsid w:val="00340EEC"/>
    <w:rsid w:val="003456DA"/>
    <w:rsid w:val="003616AD"/>
    <w:rsid w:val="003630D9"/>
    <w:rsid w:val="00371F0B"/>
    <w:rsid w:val="0037213A"/>
    <w:rsid w:val="0037559F"/>
    <w:rsid w:val="00375B42"/>
    <w:rsid w:val="00380C73"/>
    <w:rsid w:val="0039754A"/>
    <w:rsid w:val="003B08F9"/>
    <w:rsid w:val="003B1EDB"/>
    <w:rsid w:val="003B77D0"/>
    <w:rsid w:val="003C11AB"/>
    <w:rsid w:val="003C43F8"/>
    <w:rsid w:val="003C6DF0"/>
    <w:rsid w:val="003D33D2"/>
    <w:rsid w:val="003D7EFA"/>
    <w:rsid w:val="003E28DD"/>
    <w:rsid w:val="003E2ED5"/>
    <w:rsid w:val="003E46B4"/>
    <w:rsid w:val="003F0CA7"/>
    <w:rsid w:val="003F6C1D"/>
    <w:rsid w:val="00400A09"/>
    <w:rsid w:val="00401730"/>
    <w:rsid w:val="00401CBA"/>
    <w:rsid w:val="00402BC8"/>
    <w:rsid w:val="00407B84"/>
    <w:rsid w:val="00413446"/>
    <w:rsid w:val="004148CD"/>
    <w:rsid w:val="0041724D"/>
    <w:rsid w:val="00426BEC"/>
    <w:rsid w:val="00427A31"/>
    <w:rsid w:val="00432B80"/>
    <w:rsid w:val="00434105"/>
    <w:rsid w:val="00436CC0"/>
    <w:rsid w:val="004639F3"/>
    <w:rsid w:val="00464387"/>
    <w:rsid w:val="00467A71"/>
    <w:rsid w:val="0047799A"/>
    <w:rsid w:val="0048502E"/>
    <w:rsid w:val="00486F73"/>
    <w:rsid w:val="00490165"/>
    <w:rsid w:val="004902A7"/>
    <w:rsid w:val="004924F9"/>
    <w:rsid w:val="004A71F0"/>
    <w:rsid w:val="004B0F7D"/>
    <w:rsid w:val="004B5697"/>
    <w:rsid w:val="004C208A"/>
    <w:rsid w:val="004D6965"/>
    <w:rsid w:val="004F0AE1"/>
    <w:rsid w:val="005062DC"/>
    <w:rsid w:val="005067EA"/>
    <w:rsid w:val="00510A5F"/>
    <w:rsid w:val="00510F26"/>
    <w:rsid w:val="00512977"/>
    <w:rsid w:val="005169D3"/>
    <w:rsid w:val="00522C37"/>
    <w:rsid w:val="0053247A"/>
    <w:rsid w:val="00533262"/>
    <w:rsid w:val="005367D7"/>
    <w:rsid w:val="00537375"/>
    <w:rsid w:val="00557E1E"/>
    <w:rsid w:val="00560EF7"/>
    <w:rsid w:val="00564F08"/>
    <w:rsid w:val="00571BC3"/>
    <w:rsid w:val="005745C2"/>
    <w:rsid w:val="00577F4B"/>
    <w:rsid w:val="00581430"/>
    <w:rsid w:val="00582E9F"/>
    <w:rsid w:val="00584225"/>
    <w:rsid w:val="00585477"/>
    <w:rsid w:val="0058670F"/>
    <w:rsid w:val="005A4493"/>
    <w:rsid w:val="005B252E"/>
    <w:rsid w:val="005B57B5"/>
    <w:rsid w:val="005B6B02"/>
    <w:rsid w:val="005C6C09"/>
    <w:rsid w:val="005D638C"/>
    <w:rsid w:val="005E2C4D"/>
    <w:rsid w:val="005E3F79"/>
    <w:rsid w:val="005F468B"/>
    <w:rsid w:val="00603DEB"/>
    <w:rsid w:val="006046D0"/>
    <w:rsid w:val="006100C1"/>
    <w:rsid w:val="00610F05"/>
    <w:rsid w:val="00611094"/>
    <w:rsid w:val="00613D6D"/>
    <w:rsid w:val="0061745D"/>
    <w:rsid w:val="00625D3E"/>
    <w:rsid w:val="00635B59"/>
    <w:rsid w:val="00647573"/>
    <w:rsid w:val="00664D8D"/>
    <w:rsid w:val="006659BA"/>
    <w:rsid w:val="00665E27"/>
    <w:rsid w:val="006767BE"/>
    <w:rsid w:val="00677FC1"/>
    <w:rsid w:val="00682800"/>
    <w:rsid w:val="0068469C"/>
    <w:rsid w:val="006875C6"/>
    <w:rsid w:val="006902FF"/>
    <w:rsid w:val="00690B87"/>
    <w:rsid w:val="00696BA9"/>
    <w:rsid w:val="00697198"/>
    <w:rsid w:val="006A2FBA"/>
    <w:rsid w:val="006B277A"/>
    <w:rsid w:val="006B56F3"/>
    <w:rsid w:val="006B5D72"/>
    <w:rsid w:val="006C35D8"/>
    <w:rsid w:val="006D75D6"/>
    <w:rsid w:val="006E0AE4"/>
    <w:rsid w:val="006E58FF"/>
    <w:rsid w:val="006E6DA9"/>
    <w:rsid w:val="007023E3"/>
    <w:rsid w:val="0070254A"/>
    <w:rsid w:val="007124B7"/>
    <w:rsid w:val="007130EA"/>
    <w:rsid w:val="0071469C"/>
    <w:rsid w:val="00716A04"/>
    <w:rsid w:val="00720578"/>
    <w:rsid w:val="00735FD7"/>
    <w:rsid w:val="00736B17"/>
    <w:rsid w:val="0074144F"/>
    <w:rsid w:val="00741BCF"/>
    <w:rsid w:val="0074291F"/>
    <w:rsid w:val="00763ED1"/>
    <w:rsid w:val="0077689C"/>
    <w:rsid w:val="007860DE"/>
    <w:rsid w:val="00792392"/>
    <w:rsid w:val="007A1A53"/>
    <w:rsid w:val="007A2446"/>
    <w:rsid w:val="007A56A2"/>
    <w:rsid w:val="007A71D9"/>
    <w:rsid w:val="007B25D5"/>
    <w:rsid w:val="007B675B"/>
    <w:rsid w:val="007B7270"/>
    <w:rsid w:val="007C19CF"/>
    <w:rsid w:val="007C26ED"/>
    <w:rsid w:val="007C2C06"/>
    <w:rsid w:val="007E24E0"/>
    <w:rsid w:val="007E3785"/>
    <w:rsid w:val="007F256A"/>
    <w:rsid w:val="007F570E"/>
    <w:rsid w:val="008424F5"/>
    <w:rsid w:val="0084382C"/>
    <w:rsid w:val="008562E4"/>
    <w:rsid w:val="008629AB"/>
    <w:rsid w:val="00863C47"/>
    <w:rsid w:val="00866B1F"/>
    <w:rsid w:val="0087534B"/>
    <w:rsid w:val="00887006"/>
    <w:rsid w:val="00891D43"/>
    <w:rsid w:val="0089261A"/>
    <w:rsid w:val="008B04BC"/>
    <w:rsid w:val="008B4352"/>
    <w:rsid w:val="008C4058"/>
    <w:rsid w:val="008D1858"/>
    <w:rsid w:val="008D4D75"/>
    <w:rsid w:val="008D591A"/>
    <w:rsid w:val="008D7C76"/>
    <w:rsid w:val="00905DC1"/>
    <w:rsid w:val="00910D63"/>
    <w:rsid w:val="00920CD1"/>
    <w:rsid w:val="00935F86"/>
    <w:rsid w:val="0095216D"/>
    <w:rsid w:val="009640D3"/>
    <w:rsid w:val="00966AA5"/>
    <w:rsid w:val="009B1E72"/>
    <w:rsid w:val="009B23AD"/>
    <w:rsid w:val="009B2C2B"/>
    <w:rsid w:val="009C1F6E"/>
    <w:rsid w:val="009C592A"/>
    <w:rsid w:val="009D6175"/>
    <w:rsid w:val="009D63F6"/>
    <w:rsid w:val="009D6785"/>
    <w:rsid w:val="009D6D62"/>
    <w:rsid w:val="009D78EC"/>
    <w:rsid w:val="009E20E3"/>
    <w:rsid w:val="009E4607"/>
    <w:rsid w:val="009E708A"/>
    <w:rsid w:val="009F1618"/>
    <w:rsid w:val="009F5E74"/>
    <w:rsid w:val="00A001B2"/>
    <w:rsid w:val="00A00C4E"/>
    <w:rsid w:val="00A13E05"/>
    <w:rsid w:val="00A1498E"/>
    <w:rsid w:val="00A21263"/>
    <w:rsid w:val="00A27DEC"/>
    <w:rsid w:val="00A341D6"/>
    <w:rsid w:val="00A369B3"/>
    <w:rsid w:val="00A42302"/>
    <w:rsid w:val="00A4312E"/>
    <w:rsid w:val="00A45B3A"/>
    <w:rsid w:val="00A466AB"/>
    <w:rsid w:val="00A506D9"/>
    <w:rsid w:val="00A54022"/>
    <w:rsid w:val="00A659BC"/>
    <w:rsid w:val="00A74B56"/>
    <w:rsid w:val="00A76776"/>
    <w:rsid w:val="00A838F0"/>
    <w:rsid w:val="00A84DEE"/>
    <w:rsid w:val="00A91513"/>
    <w:rsid w:val="00A92B6A"/>
    <w:rsid w:val="00A93C94"/>
    <w:rsid w:val="00A94C6D"/>
    <w:rsid w:val="00AA0FB0"/>
    <w:rsid w:val="00AA1F6A"/>
    <w:rsid w:val="00AB00D0"/>
    <w:rsid w:val="00AC1D94"/>
    <w:rsid w:val="00AD291E"/>
    <w:rsid w:val="00AD42BD"/>
    <w:rsid w:val="00AE0169"/>
    <w:rsid w:val="00AE52E6"/>
    <w:rsid w:val="00AF61A5"/>
    <w:rsid w:val="00B008F6"/>
    <w:rsid w:val="00B032D5"/>
    <w:rsid w:val="00B070E9"/>
    <w:rsid w:val="00B13170"/>
    <w:rsid w:val="00B212EC"/>
    <w:rsid w:val="00B2750F"/>
    <w:rsid w:val="00B33981"/>
    <w:rsid w:val="00B35017"/>
    <w:rsid w:val="00B36C16"/>
    <w:rsid w:val="00B373C5"/>
    <w:rsid w:val="00B376AB"/>
    <w:rsid w:val="00B47FEF"/>
    <w:rsid w:val="00B512A4"/>
    <w:rsid w:val="00B61BAF"/>
    <w:rsid w:val="00B722FE"/>
    <w:rsid w:val="00B84CEA"/>
    <w:rsid w:val="00B86F2E"/>
    <w:rsid w:val="00BA3F68"/>
    <w:rsid w:val="00BA7897"/>
    <w:rsid w:val="00BB33C7"/>
    <w:rsid w:val="00BC4111"/>
    <w:rsid w:val="00BC57B1"/>
    <w:rsid w:val="00BD4791"/>
    <w:rsid w:val="00BD57E3"/>
    <w:rsid w:val="00BD6997"/>
    <w:rsid w:val="00BE3886"/>
    <w:rsid w:val="00BF3718"/>
    <w:rsid w:val="00BF6371"/>
    <w:rsid w:val="00C0055F"/>
    <w:rsid w:val="00C07CEE"/>
    <w:rsid w:val="00C11FA8"/>
    <w:rsid w:val="00C13F5B"/>
    <w:rsid w:val="00C17DC2"/>
    <w:rsid w:val="00C21B17"/>
    <w:rsid w:val="00C2538D"/>
    <w:rsid w:val="00C25F57"/>
    <w:rsid w:val="00C2694C"/>
    <w:rsid w:val="00C33BA4"/>
    <w:rsid w:val="00C37245"/>
    <w:rsid w:val="00C4720C"/>
    <w:rsid w:val="00C50994"/>
    <w:rsid w:val="00C50A84"/>
    <w:rsid w:val="00C528C9"/>
    <w:rsid w:val="00C564F5"/>
    <w:rsid w:val="00C62155"/>
    <w:rsid w:val="00C62C17"/>
    <w:rsid w:val="00C67F21"/>
    <w:rsid w:val="00C86C2F"/>
    <w:rsid w:val="00C9221C"/>
    <w:rsid w:val="00C955ED"/>
    <w:rsid w:val="00C960AF"/>
    <w:rsid w:val="00C97A68"/>
    <w:rsid w:val="00CA1281"/>
    <w:rsid w:val="00CA1BB4"/>
    <w:rsid w:val="00CC1A6A"/>
    <w:rsid w:val="00CC264E"/>
    <w:rsid w:val="00CC5B9A"/>
    <w:rsid w:val="00CD1AF7"/>
    <w:rsid w:val="00CD769D"/>
    <w:rsid w:val="00CE1D8B"/>
    <w:rsid w:val="00CF2B5D"/>
    <w:rsid w:val="00CF7009"/>
    <w:rsid w:val="00D00221"/>
    <w:rsid w:val="00D01C70"/>
    <w:rsid w:val="00D05206"/>
    <w:rsid w:val="00D07385"/>
    <w:rsid w:val="00D1287E"/>
    <w:rsid w:val="00D13598"/>
    <w:rsid w:val="00D21C2C"/>
    <w:rsid w:val="00D3598B"/>
    <w:rsid w:val="00D42513"/>
    <w:rsid w:val="00D4280A"/>
    <w:rsid w:val="00D44068"/>
    <w:rsid w:val="00D44E68"/>
    <w:rsid w:val="00D53DF9"/>
    <w:rsid w:val="00D56745"/>
    <w:rsid w:val="00D57480"/>
    <w:rsid w:val="00D61370"/>
    <w:rsid w:val="00D67A2E"/>
    <w:rsid w:val="00D72BAB"/>
    <w:rsid w:val="00D80194"/>
    <w:rsid w:val="00D8053B"/>
    <w:rsid w:val="00D836B2"/>
    <w:rsid w:val="00D93207"/>
    <w:rsid w:val="00D97A29"/>
    <w:rsid w:val="00DB1026"/>
    <w:rsid w:val="00DC44CF"/>
    <w:rsid w:val="00DC4E62"/>
    <w:rsid w:val="00DC60F7"/>
    <w:rsid w:val="00DD2192"/>
    <w:rsid w:val="00DD6B6D"/>
    <w:rsid w:val="00DD7E5B"/>
    <w:rsid w:val="00DE752F"/>
    <w:rsid w:val="00DF276C"/>
    <w:rsid w:val="00E0123A"/>
    <w:rsid w:val="00E16385"/>
    <w:rsid w:val="00E23F93"/>
    <w:rsid w:val="00E26E58"/>
    <w:rsid w:val="00E340C4"/>
    <w:rsid w:val="00E40DBB"/>
    <w:rsid w:val="00E47B18"/>
    <w:rsid w:val="00E50B1C"/>
    <w:rsid w:val="00E53C87"/>
    <w:rsid w:val="00E5643D"/>
    <w:rsid w:val="00E57B7C"/>
    <w:rsid w:val="00E67419"/>
    <w:rsid w:val="00E67759"/>
    <w:rsid w:val="00E70456"/>
    <w:rsid w:val="00E733BB"/>
    <w:rsid w:val="00E757D6"/>
    <w:rsid w:val="00E81D59"/>
    <w:rsid w:val="00E82FB1"/>
    <w:rsid w:val="00E83071"/>
    <w:rsid w:val="00E91BA2"/>
    <w:rsid w:val="00E9300D"/>
    <w:rsid w:val="00E95452"/>
    <w:rsid w:val="00E97C10"/>
    <w:rsid w:val="00EA5C50"/>
    <w:rsid w:val="00EB2C79"/>
    <w:rsid w:val="00EC6F76"/>
    <w:rsid w:val="00ED6B43"/>
    <w:rsid w:val="00EE3989"/>
    <w:rsid w:val="00EE4B90"/>
    <w:rsid w:val="00EF51A5"/>
    <w:rsid w:val="00F00DA1"/>
    <w:rsid w:val="00F04A52"/>
    <w:rsid w:val="00F04F8D"/>
    <w:rsid w:val="00F13B1F"/>
    <w:rsid w:val="00F45F55"/>
    <w:rsid w:val="00F470E7"/>
    <w:rsid w:val="00F54564"/>
    <w:rsid w:val="00F638D0"/>
    <w:rsid w:val="00F66344"/>
    <w:rsid w:val="00F679D4"/>
    <w:rsid w:val="00F72F87"/>
    <w:rsid w:val="00F76101"/>
    <w:rsid w:val="00F80958"/>
    <w:rsid w:val="00F80E0E"/>
    <w:rsid w:val="00F8610E"/>
    <w:rsid w:val="00F87825"/>
    <w:rsid w:val="00F9711C"/>
    <w:rsid w:val="00FA570D"/>
    <w:rsid w:val="00FC697D"/>
    <w:rsid w:val="00FD43E9"/>
    <w:rsid w:val="00FE26AE"/>
    <w:rsid w:val="00FE31C7"/>
    <w:rsid w:val="00FF09B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5FBB6"/>
  <w15:chartTrackingRefBased/>
  <w15:docId w15:val="{5A37561E-D48B-48FE-B842-A78F02CD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jusz">
    <w:name w:val="1.–bajusz"/>
    <w:basedOn w:val="Normal"/>
    <w:pPr>
      <w:ind w:left="567" w:hanging="283"/>
    </w:pPr>
  </w:style>
  <w:style w:type="paragraph" w:customStyle="1" w:styleId="ALcim">
    <w:name w:val="ALcim"/>
    <w:basedOn w:val="Normal"/>
    <w:next w:val="Normal"/>
    <w:rPr>
      <w:b/>
    </w:rPr>
  </w:style>
  <w:style w:type="paragraph" w:customStyle="1" w:styleId="1bajusz0">
    <w:name w:val="1.=bajusz"/>
    <w:basedOn w:val="Normal"/>
    <w:pPr>
      <w:ind w:left="851" w:hanging="284"/>
    </w:pPr>
  </w:style>
  <w:style w:type="paragraph" w:customStyle="1" w:styleId="11-baj">
    <w:name w:val="1.1-baj"/>
    <w:basedOn w:val="Normal"/>
    <w:pPr>
      <w:ind w:left="709" w:hanging="284"/>
    </w:pPr>
  </w:style>
  <w:style w:type="paragraph" w:customStyle="1" w:styleId="1pont">
    <w:name w:val="1.pont"/>
    <w:basedOn w:val="Normal"/>
    <w:pPr>
      <w:ind w:left="284" w:hanging="284"/>
    </w:pPr>
  </w:style>
  <w:style w:type="paragraph" w:customStyle="1" w:styleId="Focim">
    <w:name w:val="Focim"/>
    <w:basedOn w:val="Normal"/>
    <w:pPr>
      <w:jc w:val="center"/>
    </w:pPr>
    <w:rPr>
      <w:b/>
      <w:i/>
      <w:u w:val="single"/>
    </w:rPr>
  </w:style>
  <w:style w:type="paragraph" w:customStyle="1" w:styleId="surunb">
    <w:name w:val="surunb"/>
    <w:basedOn w:val="Normal"/>
    <w:pPr>
      <w:ind w:left="2268"/>
    </w:pPr>
  </w:style>
  <w:style w:type="paragraph" w:customStyle="1" w:styleId="apontb">
    <w:name w:val="a/pontb"/>
    <w:basedOn w:val="Normal"/>
    <w:pPr>
      <w:ind w:left="709" w:hanging="425"/>
    </w:pPr>
  </w:style>
  <w:style w:type="paragraph" w:customStyle="1" w:styleId="111-baj">
    <w:name w:val="1.1.1-baj"/>
    <w:basedOn w:val="Normal"/>
    <w:pPr>
      <w:ind w:left="993" w:hanging="284"/>
    </w:pPr>
  </w:style>
  <w:style w:type="paragraph" w:customStyle="1" w:styleId="111baj">
    <w:name w:val="1.1.1=baj"/>
    <w:basedOn w:val="111-baj"/>
    <w:pPr>
      <w:ind w:left="1276"/>
    </w:pPr>
  </w:style>
  <w:style w:type="paragraph" w:customStyle="1" w:styleId="111pont">
    <w:name w:val="1.1.1pont"/>
    <w:basedOn w:val="Norma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FooterChar">
    <w:name w:val="Footer Char"/>
    <w:link w:val="Footer"/>
    <w:uiPriority w:val="99"/>
    <w:rsid w:val="00C955ED"/>
    <w:rPr>
      <w:sz w:val="24"/>
    </w:rPr>
  </w:style>
  <w:style w:type="character" w:customStyle="1" w:styleId="HeaderChar">
    <w:name w:val="Header Char"/>
    <w:link w:val="Header"/>
    <w:uiPriority w:val="99"/>
    <w:rsid w:val="00223C47"/>
    <w:rPr>
      <w:sz w:val="24"/>
    </w:rPr>
  </w:style>
  <w:style w:type="paragraph" w:styleId="Revision">
    <w:name w:val="Revision"/>
    <w:hidden/>
    <w:uiPriority w:val="99"/>
    <w:semiHidden/>
    <w:rsid w:val="0012306C"/>
    <w:rPr>
      <w:sz w:val="24"/>
    </w:rPr>
  </w:style>
  <w:style w:type="paragraph" w:styleId="ListParagraph">
    <w:name w:val="List Paragraph"/>
    <w:basedOn w:val="Normal"/>
    <w:uiPriority w:val="34"/>
    <w:qFormat/>
    <w:rsid w:val="0050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1922">
      <w:bodyDiv w:val="1"/>
      <w:marLeft w:val="0"/>
      <w:marRight w:val="0"/>
      <w:marTop w:val="0"/>
      <w:marBottom w:val="0"/>
      <w:divBdr>
        <w:top w:val="none" w:sz="0" w:space="0" w:color="auto"/>
        <w:left w:val="none" w:sz="0" w:space="0" w:color="auto"/>
        <w:bottom w:val="none" w:sz="0" w:space="0" w:color="auto"/>
        <w:right w:val="none" w:sz="0" w:space="0" w:color="auto"/>
      </w:divBdr>
    </w:div>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338464525">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 w:id="20620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5B49-3FAB-4233-ADFD-4DB37CAAFEFD}">
  <ds:schemaRefs>
    <ds:schemaRef ds:uri="http://schemas.openxmlformats.org/officeDocument/2006/bibliography"/>
  </ds:schemaRefs>
</ds:datastoreItem>
</file>

<file path=customXml/itemProps2.xml><?xml version="1.0" encoding="utf-8"?>
<ds:datastoreItem xmlns:ds="http://schemas.openxmlformats.org/officeDocument/2006/customXml" ds:itemID="{9116B2AF-F0F7-4484-ADEF-AFC859DC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Template>
  <TotalTime>5</TotalTime>
  <Pages>6</Pages>
  <Words>3425</Words>
  <Characters>17863</Characters>
  <Application>Microsoft Office Word</Application>
  <DocSecurity>0</DocSecurity>
  <Lines>148</Lines>
  <Paragraphs>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Némethné Székely Edina</cp:lastModifiedBy>
  <cp:revision>3</cp:revision>
  <cp:lastPrinted>2008-03-31T06:45:00Z</cp:lastPrinted>
  <dcterms:created xsi:type="dcterms:W3CDTF">2023-02-13T15:49:00Z</dcterms:created>
  <dcterms:modified xsi:type="dcterms:W3CDTF">2023-02-13T15:51:00Z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2025-11-19T13:22:51Z</vt:filetime>
  </property>
  <property fmtid="{D5CDD505-2E9C-101B-9397-08002B2CF9AE}" pid="12" name="Érvényességet beállító">
    <vt:lpwstr>nemethneed</vt:lpwstr>
  </property>
  <property fmtid="{D5CDD505-2E9C-101B-9397-08002B2CF9AE}" pid="13" name="Érvényességi idő első beállítása">
    <vt:filetime>2020-11-19T13:22:51Z</vt:filetime>
  </property>
</Properties>
</file>