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9E" w:rsidRPr="00893EA8" w:rsidRDefault="003B4B9E" w:rsidP="003B4B9E">
      <w:pPr>
        <w:rPr>
          <w:sz w:val="22"/>
        </w:rPr>
      </w:pPr>
      <w:r w:rsidRPr="00893EA8">
        <w:rPr>
          <w:sz w:val="22"/>
        </w:rPr>
        <w:t xml:space="preserve">MNB azonosító: </w:t>
      </w:r>
      <w:r w:rsidRPr="00893EA8">
        <w:rPr>
          <w:b/>
          <w:sz w:val="22"/>
        </w:rPr>
        <w:t xml:space="preserve">P26    </w:t>
      </w:r>
    </w:p>
    <w:p w:rsidR="003B4B9E" w:rsidRPr="00893EA8" w:rsidRDefault="003B4B9E" w:rsidP="003B4B9E">
      <w:pPr>
        <w:rPr>
          <w:sz w:val="22"/>
        </w:rPr>
      </w:pPr>
    </w:p>
    <w:p w:rsidR="00C4193D" w:rsidRPr="00893EA8" w:rsidRDefault="00AD07F1" w:rsidP="003B4B9E">
      <w:pPr>
        <w:jc w:val="center"/>
        <w:rPr>
          <w:sz w:val="22"/>
        </w:rPr>
      </w:pPr>
      <w:r w:rsidRPr="00893EA8">
        <w:rPr>
          <w:sz w:val="22"/>
        </w:rPr>
        <w:t xml:space="preserve">Módszertani segédlet </w:t>
      </w:r>
      <w:r w:rsidR="00C4193D" w:rsidRPr="00893EA8">
        <w:rPr>
          <w:sz w:val="22"/>
        </w:rPr>
        <w:t>a P26 jelű adatszolgáltatáshoz</w:t>
      </w:r>
    </w:p>
    <w:p w:rsidR="00C4193D" w:rsidRPr="00893EA8" w:rsidRDefault="00C4193D" w:rsidP="003B4B9E">
      <w:pPr>
        <w:jc w:val="center"/>
        <w:rPr>
          <w:sz w:val="22"/>
        </w:rPr>
      </w:pPr>
    </w:p>
    <w:p w:rsidR="003B4B9E" w:rsidRPr="00893EA8" w:rsidRDefault="003B4B9E" w:rsidP="003B4B9E">
      <w:pPr>
        <w:jc w:val="center"/>
        <w:rPr>
          <w:sz w:val="22"/>
        </w:rPr>
      </w:pPr>
      <w:r w:rsidRPr="00893EA8">
        <w:rPr>
          <w:b/>
          <w:sz w:val="22"/>
        </w:rPr>
        <w:t>Kimutatás a pénzfeldolgozási tevékenységről</w:t>
      </w:r>
    </w:p>
    <w:p w:rsidR="003B4B9E" w:rsidRPr="00893EA8" w:rsidRDefault="003B4B9E" w:rsidP="003962F0">
      <w:pPr>
        <w:rPr>
          <w:sz w:val="22"/>
        </w:rPr>
      </w:pPr>
    </w:p>
    <w:p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I. Általános tudnivalók</w:t>
      </w:r>
    </w:p>
    <w:p w:rsidR="001206F9" w:rsidRPr="00893EA8" w:rsidRDefault="005960E3" w:rsidP="003962F0">
      <w:pPr>
        <w:rPr>
          <w:sz w:val="22"/>
        </w:rPr>
      </w:pPr>
      <w:r w:rsidRPr="00893EA8">
        <w:rPr>
          <w:sz w:val="22"/>
        </w:rPr>
        <w:t xml:space="preserve">Az adatszolgáltatás a pénzfeldolgozási engedéllyel rendelkező vállalatok és az MNB által kijelölt egyes hitelintézetek bankjegyfeldolgozásával kapcsolatos adatokat tartalmazza. </w:t>
      </w:r>
    </w:p>
    <w:p w:rsidR="003B4B9E" w:rsidRPr="00893EA8" w:rsidRDefault="003B4B9E" w:rsidP="003962F0">
      <w:pPr>
        <w:rPr>
          <w:sz w:val="22"/>
        </w:rPr>
      </w:pPr>
      <w:r w:rsidRPr="00893EA8">
        <w:rPr>
          <w:sz w:val="22"/>
        </w:rPr>
        <w:t>Az adatokat a pénzfeldolgozással kapcsolatban vezetett nyilvántartásokkal megegyezően kell megadni.</w:t>
      </w:r>
    </w:p>
    <w:p w:rsidR="003B4B9E" w:rsidRPr="00893EA8" w:rsidRDefault="003962F0" w:rsidP="003962F0">
      <w:pPr>
        <w:rPr>
          <w:sz w:val="22"/>
        </w:rPr>
      </w:pPr>
      <w:r w:rsidRPr="00893EA8">
        <w:rPr>
          <w:sz w:val="22"/>
        </w:rPr>
        <w:t xml:space="preserve">Az adatokat címletenként darabszámban és összesen értékben, millió forintban kell </w:t>
      </w:r>
      <w:r w:rsidR="00856B94" w:rsidRPr="00893EA8">
        <w:rPr>
          <w:sz w:val="22"/>
        </w:rPr>
        <w:t>szerepeltetni</w:t>
      </w:r>
      <w:r w:rsidRPr="00893EA8">
        <w:rPr>
          <w:sz w:val="22"/>
        </w:rPr>
        <w:t>.</w:t>
      </w:r>
    </w:p>
    <w:p w:rsidR="00574476" w:rsidRPr="00893EA8" w:rsidRDefault="00574476" w:rsidP="003962F0">
      <w:pPr>
        <w:rPr>
          <w:sz w:val="22"/>
        </w:rPr>
      </w:pPr>
      <w:r w:rsidRPr="00893EA8">
        <w:rPr>
          <w:sz w:val="22"/>
        </w:rPr>
        <w:t>Ha az adatszolgáltató a központi értéktárán kívül más értéktárral is rendelkezik, akkor a központi és egyéb értéktárak közötti szállításokat</w:t>
      </w:r>
      <w:r w:rsidR="003F369C" w:rsidRPr="00893EA8">
        <w:rPr>
          <w:sz w:val="22"/>
        </w:rPr>
        <w:t xml:space="preserve"> nem szabad szerepeltetni. </w:t>
      </w:r>
      <w:r w:rsidR="00297B6E" w:rsidRPr="00893EA8">
        <w:rPr>
          <w:sz w:val="22"/>
        </w:rPr>
        <w:t>Ebben az esetben</w:t>
      </w:r>
      <w:r w:rsidR="003F369C" w:rsidRPr="00893EA8">
        <w:rPr>
          <w:sz w:val="22"/>
        </w:rPr>
        <w:t xml:space="preserve"> bankjegy</w:t>
      </w:r>
      <w:r w:rsidR="00CD7F31" w:rsidRPr="00893EA8">
        <w:rPr>
          <w:sz w:val="22"/>
        </w:rPr>
        <w:t xml:space="preserve"> </w:t>
      </w:r>
      <w:r w:rsidR="003F369C" w:rsidRPr="00893EA8">
        <w:rPr>
          <w:sz w:val="22"/>
        </w:rPr>
        <w:t xml:space="preserve">beszállítás és </w:t>
      </w:r>
      <w:r w:rsidR="001206F9" w:rsidRPr="00893EA8">
        <w:rPr>
          <w:sz w:val="22"/>
        </w:rPr>
        <w:t>-</w:t>
      </w:r>
      <w:r w:rsidR="003F369C" w:rsidRPr="00893EA8">
        <w:rPr>
          <w:sz w:val="22"/>
        </w:rPr>
        <w:t xml:space="preserve">kiszállítás alatt az ügyfél és az adatszolgáltató közötti szállítás értendő. </w:t>
      </w:r>
    </w:p>
    <w:p w:rsidR="005960E3" w:rsidRPr="00893EA8" w:rsidRDefault="005960E3" w:rsidP="003962F0">
      <w:pPr>
        <w:rPr>
          <w:sz w:val="22"/>
        </w:rPr>
      </w:pPr>
    </w:p>
    <w:p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 xml:space="preserve">II. </w:t>
      </w:r>
      <w:proofErr w:type="gramStart"/>
      <w:r w:rsidRPr="00893EA8">
        <w:rPr>
          <w:b/>
          <w:sz w:val="22"/>
        </w:rPr>
        <w:t>A</w:t>
      </w:r>
      <w:proofErr w:type="gramEnd"/>
      <w:r w:rsidRPr="00893EA8">
        <w:rPr>
          <w:b/>
          <w:sz w:val="22"/>
        </w:rPr>
        <w:t xml:space="preserve"> táblák kitöltésével kapcsolatos részletes előírások</w:t>
      </w:r>
    </w:p>
    <w:p w:rsidR="00290D47" w:rsidRPr="00893EA8" w:rsidRDefault="00613401" w:rsidP="00613401">
      <w:pPr>
        <w:rPr>
          <w:sz w:val="22"/>
        </w:rPr>
      </w:pPr>
      <w:r w:rsidRPr="00893EA8">
        <w:rPr>
          <w:b/>
          <w:sz w:val="22"/>
        </w:rPr>
        <w:t>01 sor</w:t>
      </w:r>
      <w:r w:rsidRPr="00893EA8">
        <w:rPr>
          <w:sz w:val="22"/>
        </w:rPr>
        <w:t xml:space="preserve"> </w:t>
      </w:r>
      <w:r w:rsidR="003B4B9E" w:rsidRPr="00893EA8">
        <w:rPr>
          <w:sz w:val="22"/>
        </w:rPr>
        <w:t>Feldolgozatlan állapotban beszállított bankjegymennyiség</w:t>
      </w:r>
    </w:p>
    <w:p w:rsidR="00006AE1" w:rsidRPr="00893EA8" w:rsidRDefault="003B4B9E" w:rsidP="00297B6E">
      <w:pPr>
        <w:rPr>
          <w:sz w:val="22"/>
        </w:rPr>
      </w:pPr>
      <w:r w:rsidRPr="00893EA8">
        <w:rPr>
          <w:sz w:val="22"/>
        </w:rPr>
        <w:t>Ebben a sorban</w:t>
      </w:r>
      <w:r w:rsidR="00297B6E" w:rsidRPr="00893EA8">
        <w:rPr>
          <w:sz w:val="22"/>
        </w:rPr>
        <w:t xml:space="preserve"> az adatszolgáltató telephelyére feldolgozás céljából beszállított</w:t>
      </w:r>
      <w:r w:rsidRPr="00893EA8">
        <w:rPr>
          <w:sz w:val="22"/>
        </w:rPr>
        <w:t xml:space="preserve"> feldolgozatlan </w:t>
      </w:r>
      <w:r w:rsidR="00C75851" w:rsidRPr="00893EA8">
        <w:rPr>
          <w:sz w:val="22"/>
        </w:rPr>
        <w:t>(</w:t>
      </w:r>
      <w:r w:rsidRPr="00893EA8">
        <w:rPr>
          <w:sz w:val="22"/>
        </w:rPr>
        <w:t xml:space="preserve">valódiság és forgalomképesség szempontjából nem ellenőrzött vagy MNB csomagolási </w:t>
      </w:r>
      <w:r w:rsidR="004E15C2" w:rsidRPr="00893EA8">
        <w:rPr>
          <w:sz w:val="22"/>
        </w:rPr>
        <w:t>előírásnak</w:t>
      </w:r>
      <w:r w:rsidRPr="00893EA8">
        <w:rPr>
          <w:sz w:val="22"/>
        </w:rPr>
        <w:t xml:space="preserve"> nem megfelelő módon csomagolt</w:t>
      </w:r>
      <w:r w:rsidR="00C75851" w:rsidRPr="00893EA8">
        <w:rPr>
          <w:sz w:val="22"/>
        </w:rPr>
        <w:t>)</w:t>
      </w:r>
      <w:r w:rsidRPr="00893EA8">
        <w:rPr>
          <w:sz w:val="22"/>
        </w:rPr>
        <w:t xml:space="preserve"> bankjegyek</w:t>
      </w:r>
      <w:r w:rsidR="003962F0" w:rsidRPr="00893EA8">
        <w:rPr>
          <w:sz w:val="22"/>
        </w:rPr>
        <w:t xml:space="preserve">et </w:t>
      </w:r>
      <w:r w:rsidRPr="00893EA8">
        <w:rPr>
          <w:sz w:val="22"/>
        </w:rPr>
        <w:t>kell jelenteni</w:t>
      </w:r>
      <w:r w:rsidR="00297B6E" w:rsidRPr="00893EA8">
        <w:rPr>
          <w:sz w:val="22"/>
        </w:rPr>
        <w:t>.</w:t>
      </w:r>
      <w:r w:rsidR="00C4193D" w:rsidRPr="00893EA8">
        <w:rPr>
          <w:sz w:val="22"/>
        </w:rPr>
        <w:t xml:space="preserve"> </w:t>
      </w:r>
    </w:p>
    <w:p w:rsidR="00613401" w:rsidRPr="00893EA8" w:rsidRDefault="00613401" w:rsidP="00613401">
      <w:pPr>
        <w:rPr>
          <w:b/>
          <w:sz w:val="22"/>
        </w:rPr>
      </w:pPr>
      <w:r w:rsidRPr="00893EA8">
        <w:rPr>
          <w:b/>
          <w:sz w:val="22"/>
        </w:rPr>
        <w:t xml:space="preserve">02-04 </w:t>
      </w:r>
      <w:r w:rsidR="003962F0" w:rsidRPr="00893EA8">
        <w:rPr>
          <w:b/>
          <w:sz w:val="22"/>
        </w:rPr>
        <w:t>sor</w:t>
      </w:r>
      <w:r w:rsidRPr="00893EA8">
        <w:rPr>
          <w:b/>
          <w:sz w:val="22"/>
        </w:rPr>
        <w:t>ok</w:t>
      </w:r>
      <w:r w:rsidR="003962F0" w:rsidRPr="00893EA8">
        <w:rPr>
          <w:b/>
          <w:sz w:val="22"/>
        </w:rPr>
        <w:t xml:space="preserve"> </w:t>
      </w:r>
    </w:p>
    <w:p w:rsidR="003B4B9E" w:rsidRPr="00893EA8" w:rsidRDefault="001206F9" w:rsidP="00613401">
      <w:pPr>
        <w:rPr>
          <w:sz w:val="22"/>
        </w:rPr>
      </w:pPr>
      <w:r w:rsidRPr="00893EA8">
        <w:rPr>
          <w:sz w:val="22"/>
        </w:rPr>
        <w:t xml:space="preserve">Ezek a sorok a </w:t>
      </w:r>
      <w:r w:rsidR="003962F0" w:rsidRPr="00893EA8">
        <w:rPr>
          <w:sz w:val="22"/>
        </w:rPr>
        <w:t>01. sorban jelentett bankjegyek feldolgozását követően forgalomképesnek</w:t>
      </w:r>
      <w:r w:rsidR="00613401" w:rsidRPr="00893EA8">
        <w:rPr>
          <w:sz w:val="22"/>
        </w:rPr>
        <w:t xml:space="preserve">, selejtnek illetve rejectnek </w:t>
      </w:r>
      <w:r w:rsidR="003962F0" w:rsidRPr="00893EA8">
        <w:rPr>
          <w:sz w:val="22"/>
        </w:rPr>
        <w:t>minősített bankjegyek állomány</w:t>
      </w:r>
      <w:r w:rsidRPr="00893EA8">
        <w:rPr>
          <w:sz w:val="22"/>
        </w:rPr>
        <w:t>át tartalmazzák</w:t>
      </w:r>
      <w:r w:rsidR="003962F0" w:rsidRPr="00893EA8">
        <w:rPr>
          <w:sz w:val="22"/>
        </w:rPr>
        <w:t xml:space="preserve">. </w:t>
      </w:r>
    </w:p>
    <w:p w:rsidR="003962F0" w:rsidRPr="00893EA8" w:rsidRDefault="00613401" w:rsidP="00613401">
      <w:pPr>
        <w:rPr>
          <w:sz w:val="22"/>
        </w:rPr>
      </w:pPr>
      <w:r w:rsidRPr="00893EA8">
        <w:rPr>
          <w:b/>
          <w:sz w:val="22"/>
        </w:rPr>
        <w:t xml:space="preserve">05 </w:t>
      </w:r>
      <w:r w:rsidR="003962F0" w:rsidRPr="00893EA8">
        <w:rPr>
          <w:b/>
          <w:sz w:val="22"/>
        </w:rPr>
        <w:t>sor</w:t>
      </w:r>
      <w:r w:rsidR="003962F0" w:rsidRPr="00893EA8">
        <w:rPr>
          <w:sz w:val="22"/>
        </w:rPr>
        <w:t xml:space="preserve"> MNB-től átvett bankjegyek </w:t>
      </w:r>
    </w:p>
    <w:p w:rsidR="003962F0" w:rsidRPr="00893EA8" w:rsidRDefault="00613401" w:rsidP="00613401">
      <w:pPr>
        <w:rPr>
          <w:sz w:val="22"/>
        </w:rPr>
      </w:pPr>
      <w:r w:rsidRPr="00893EA8">
        <w:rPr>
          <w:sz w:val="22"/>
        </w:rPr>
        <w:t xml:space="preserve">Ebben a sorban kell jelenteni az </w:t>
      </w:r>
      <w:proofErr w:type="gramStart"/>
      <w:r w:rsidRPr="00893EA8">
        <w:rPr>
          <w:sz w:val="22"/>
        </w:rPr>
        <w:t>MNB-től</w:t>
      </w:r>
      <w:proofErr w:type="gramEnd"/>
      <w:r w:rsidRPr="00893EA8">
        <w:rPr>
          <w:sz w:val="22"/>
        </w:rPr>
        <w:t xml:space="preserve"> felvét keretében átvett bankjegyeket.</w:t>
      </w:r>
    </w:p>
    <w:p w:rsidR="00613401" w:rsidRPr="00893EA8" w:rsidRDefault="00613401" w:rsidP="00613401">
      <w:pPr>
        <w:rPr>
          <w:sz w:val="22"/>
        </w:rPr>
      </w:pPr>
      <w:r w:rsidRPr="00893EA8">
        <w:rPr>
          <w:b/>
          <w:sz w:val="22"/>
        </w:rPr>
        <w:t>06 sor</w:t>
      </w:r>
      <w:r w:rsidRPr="00893EA8">
        <w:rPr>
          <w:sz w:val="22"/>
        </w:rPr>
        <w:t xml:space="preserve"> Az adatszolgáltató telephelyére beszállított egyéb bankjegyek mennyisége</w:t>
      </w:r>
    </w:p>
    <w:p w:rsidR="00574476" w:rsidRPr="00893EA8" w:rsidRDefault="00613401" w:rsidP="00613401">
      <w:pPr>
        <w:rPr>
          <w:sz w:val="22"/>
        </w:rPr>
      </w:pPr>
      <w:r w:rsidRPr="00893EA8">
        <w:rPr>
          <w:sz w:val="22"/>
        </w:rPr>
        <w:t>Ebben a sorban kell jelenteni a 01. és 05. sorba nem tartozó</w:t>
      </w:r>
      <w:r w:rsidR="00F729F8" w:rsidRPr="00893EA8">
        <w:rPr>
          <w:sz w:val="22"/>
        </w:rPr>
        <w:t>,</w:t>
      </w:r>
      <w:r w:rsidR="00574476" w:rsidRPr="00893EA8">
        <w:rPr>
          <w:sz w:val="22"/>
        </w:rPr>
        <w:t xml:space="preserve"> </w:t>
      </w:r>
      <w:r w:rsidR="00F729F8" w:rsidRPr="00893EA8">
        <w:rPr>
          <w:sz w:val="22"/>
        </w:rPr>
        <w:t xml:space="preserve">az adatszolgáltató telephelyére beszállított </w:t>
      </w:r>
      <w:r w:rsidR="001206F9" w:rsidRPr="00893EA8">
        <w:rPr>
          <w:sz w:val="22"/>
        </w:rPr>
        <w:t xml:space="preserve">egyéb </w:t>
      </w:r>
      <w:r w:rsidRPr="00893EA8">
        <w:rPr>
          <w:sz w:val="22"/>
        </w:rPr>
        <w:t>bankjegyeket. Itt kell jelenteni például a bankjegy-kereskedelem keretében átvett bankjegyeket.</w:t>
      </w:r>
      <w:r w:rsidR="00F729F8" w:rsidRPr="00893EA8">
        <w:rPr>
          <w:sz w:val="22"/>
        </w:rPr>
        <w:t xml:space="preserve"> </w:t>
      </w:r>
    </w:p>
    <w:p w:rsidR="00F729F8" w:rsidRPr="00893EA8" w:rsidRDefault="00F729F8" w:rsidP="00613401">
      <w:pPr>
        <w:rPr>
          <w:sz w:val="22"/>
        </w:rPr>
      </w:pPr>
      <w:r w:rsidRPr="00893EA8">
        <w:rPr>
          <w:b/>
          <w:sz w:val="22"/>
        </w:rPr>
        <w:t>07 sor</w:t>
      </w:r>
      <w:r w:rsidRPr="00893EA8">
        <w:rPr>
          <w:sz w:val="22"/>
        </w:rPr>
        <w:t xml:space="preserve"> Az adatszolgáltató telephelyére beszállított </w:t>
      </w:r>
      <w:r w:rsidR="00C82367" w:rsidRPr="00893EA8">
        <w:rPr>
          <w:sz w:val="22"/>
        </w:rPr>
        <w:t xml:space="preserve">összes </w:t>
      </w:r>
      <w:r w:rsidR="00C4193D" w:rsidRPr="00893EA8">
        <w:rPr>
          <w:sz w:val="22"/>
        </w:rPr>
        <w:t>bankjegy</w:t>
      </w:r>
    </w:p>
    <w:p w:rsidR="00F729F8" w:rsidRPr="00893EA8" w:rsidRDefault="00F729F8" w:rsidP="00613401">
      <w:pPr>
        <w:rPr>
          <w:sz w:val="22"/>
        </w:rPr>
      </w:pPr>
      <w:r w:rsidRPr="00893EA8">
        <w:rPr>
          <w:sz w:val="22"/>
        </w:rPr>
        <w:t>Ebben a sorban a 01., 05. és 06. sorok összegét kell jelenteni.</w:t>
      </w:r>
    </w:p>
    <w:p w:rsidR="00F729F8" w:rsidRPr="00893EA8" w:rsidRDefault="00F729F8" w:rsidP="00613401">
      <w:pPr>
        <w:rPr>
          <w:sz w:val="22"/>
        </w:rPr>
      </w:pPr>
      <w:r w:rsidRPr="00893EA8">
        <w:rPr>
          <w:b/>
          <w:sz w:val="22"/>
        </w:rPr>
        <w:t>08 sor</w:t>
      </w:r>
      <w:r w:rsidRPr="00893EA8">
        <w:rPr>
          <w:sz w:val="22"/>
        </w:rPr>
        <w:t xml:space="preserve"> Az adatszolgáltató telephelyéről kiszállított összes bankjegy</w:t>
      </w:r>
    </w:p>
    <w:p w:rsidR="00C82367" w:rsidRPr="00893EA8" w:rsidRDefault="00C4193D" w:rsidP="00613401">
      <w:pPr>
        <w:rPr>
          <w:sz w:val="22"/>
        </w:rPr>
      </w:pPr>
      <w:r w:rsidRPr="00893EA8">
        <w:rPr>
          <w:sz w:val="22"/>
        </w:rPr>
        <w:t>Ebben a sorban a 09., 10. és 11. sorok összegét kell jelenteni.</w:t>
      </w:r>
    </w:p>
    <w:p w:rsidR="00C4193D" w:rsidRPr="00893EA8" w:rsidRDefault="00C4193D" w:rsidP="00613401">
      <w:pPr>
        <w:rPr>
          <w:sz w:val="22"/>
        </w:rPr>
      </w:pPr>
      <w:r w:rsidRPr="00893EA8">
        <w:rPr>
          <w:b/>
          <w:sz w:val="22"/>
        </w:rPr>
        <w:t xml:space="preserve">09 sor </w:t>
      </w:r>
      <w:r w:rsidRPr="00893EA8">
        <w:rPr>
          <w:sz w:val="22"/>
        </w:rPr>
        <w:t>ATM töltésre</w:t>
      </w:r>
    </w:p>
    <w:p w:rsidR="00C4193D" w:rsidRPr="00893EA8" w:rsidRDefault="00C4193D" w:rsidP="00613401">
      <w:pPr>
        <w:rPr>
          <w:sz w:val="22"/>
        </w:rPr>
      </w:pPr>
      <w:r w:rsidRPr="00893EA8">
        <w:rPr>
          <w:sz w:val="22"/>
        </w:rPr>
        <w:lastRenderedPageBreak/>
        <w:t xml:space="preserve">Ebben a sorban az ATM-ek töltésére kiszállított bankjegyeket kell </w:t>
      </w:r>
      <w:r w:rsidR="00094EFA" w:rsidRPr="00893EA8">
        <w:rPr>
          <w:sz w:val="22"/>
        </w:rPr>
        <w:t>szerepeltetni</w:t>
      </w:r>
      <w:r w:rsidR="004E15C2" w:rsidRPr="00893EA8">
        <w:rPr>
          <w:sz w:val="22"/>
        </w:rPr>
        <w:t>.</w:t>
      </w:r>
    </w:p>
    <w:p w:rsidR="004E15C2" w:rsidRPr="00893EA8" w:rsidRDefault="004E15C2" w:rsidP="00613401">
      <w:pPr>
        <w:rPr>
          <w:sz w:val="22"/>
        </w:rPr>
      </w:pPr>
      <w:r w:rsidRPr="00893EA8">
        <w:rPr>
          <w:b/>
          <w:sz w:val="22"/>
        </w:rPr>
        <w:t xml:space="preserve">10 sor </w:t>
      </w:r>
      <w:r w:rsidRPr="00893EA8">
        <w:rPr>
          <w:sz w:val="22"/>
        </w:rPr>
        <w:t xml:space="preserve">MNB-be </w:t>
      </w:r>
      <w:r w:rsidR="00741DD3" w:rsidRPr="00893EA8">
        <w:rPr>
          <w:sz w:val="22"/>
        </w:rPr>
        <w:t>befizetett</w:t>
      </w:r>
    </w:p>
    <w:p w:rsidR="004E15C2" w:rsidRPr="00893EA8" w:rsidRDefault="004E15C2" w:rsidP="00613401">
      <w:pPr>
        <w:rPr>
          <w:sz w:val="22"/>
        </w:rPr>
      </w:pPr>
      <w:r w:rsidRPr="00893EA8">
        <w:rPr>
          <w:sz w:val="22"/>
        </w:rPr>
        <w:t>Ebben a sorban kell jelenteni az MNB-be befizetés</w:t>
      </w:r>
      <w:r w:rsidR="00297B6E" w:rsidRPr="00893EA8">
        <w:rPr>
          <w:sz w:val="22"/>
        </w:rPr>
        <w:t>re</w:t>
      </w:r>
      <w:r w:rsidRPr="00893EA8">
        <w:rPr>
          <w:sz w:val="22"/>
        </w:rPr>
        <w:t xml:space="preserve"> </w:t>
      </w:r>
      <w:r w:rsidR="00731A60" w:rsidRPr="00893EA8">
        <w:rPr>
          <w:sz w:val="22"/>
        </w:rPr>
        <w:t>átadott</w:t>
      </w:r>
      <w:r w:rsidRPr="00893EA8">
        <w:rPr>
          <w:sz w:val="22"/>
        </w:rPr>
        <w:t xml:space="preserve"> forgalomképes és nem forgalomképes bankjegyeket.</w:t>
      </w:r>
    </w:p>
    <w:p w:rsidR="004E15C2" w:rsidRPr="00893EA8" w:rsidRDefault="004E15C2" w:rsidP="00613401">
      <w:pPr>
        <w:rPr>
          <w:sz w:val="22"/>
        </w:rPr>
      </w:pPr>
      <w:r w:rsidRPr="00893EA8">
        <w:rPr>
          <w:b/>
          <w:sz w:val="22"/>
        </w:rPr>
        <w:t xml:space="preserve">11 sor </w:t>
      </w:r>
      <w:r w:rsidRPr="00893EA8">
        <w:rPr>
          <w:sz w:val="22"/>
        </w:rPr>
        <w:t>Egyéb</w:t>
      </w:r>
    </w:p>
    <w:p w:rsidR="004E15C2" w:rsidRPr="00893EA8" w:rsidRDefault="004E15C2" w:rsidP="00613401">
      <w:pPr>
        <w:rPr>
          <w:sz w:val="22"/>
        </w:rPr>
      </w:pPr>
      <w:r w:rsidRPr="00893EA8">
        <w:rPr>
          <w:sz w:val="22"/>
        </w:rPr>
        <w:t>Ebben a sorban kell jelenteni</w:t>
      </w:r>
      <w:r w:rsidR="00574476" w:rsidRPr="00893EA8">
        <w:rPr>
          <w:sz w:val="22"/>
        </w:rPr>
        <w:t xml:space="preserve"> azokat a 10. és 11. sorba nem tartozó </w:t>
      </w:r>
      <w:r w:rsidR="003F369C" w:rsidRPr="00893EA8">
        <w:rPr>
          <w:sz w:val="22"/>
        </w:rPr>
        <w:t>összes bankjegyet</w:t>
      </w:r>
      <w:r w:rsidR="00574476" w:rsidRPr="00893EA8">
        <w:rPr>
          <w:sz w:val="22"/>
        </w:rPr>
        <w:t xml:space="preserve">, amelyeket </w:t>
      </w:r>
      <w:r w:rsidR="003F369C" w:rsidRPr="00893EA8">
        <w:rPr>
          <w:sz w:val="22"/>
        </w:rPr>
        <w:t xml:space="preserve">az adatszolgáltató </w:t>
      </w:r>
      <w:r w:rsidR="00297B6E" w:rsidRPr="00893EA8">
        <w:rPr>
          <w:sz w:val="22"/>
        </w:rPr>
        <w:t>telephelyéről</w:t>
      </w:r>
      <w:r w:rsidR="003F369C" w:rsidRPr="00893EA8">
        <w:rPr>
          <w:sz w:val="22"/>
        </w:rPr>
        <w:t xml:space="preserve"> kiszállít</w:t>
      </w:r>
      <w:r w:rsidR="00297B6E" w:rsidRPr="00893EA8">
        <w:rPr>
          <w:sz w:val="22"/>
        </w:rPr>
        <w:t>anak</w:t>
      </w:r>
      <w:r w:rsidR="003F369C" w:rsidRPr="00893EA8">
        <w:rPr>
          <w:sz w:val="22"/>
        </w:rPr>
        <w:t>. Itt kell szerepeltetni például a bankjegy</w:t>
      </w:r>
      <w:r w:rsidR="00CD7F31" w:rsidRPr="00893EA8">
        <w:rPr>
          <w:sz w:val="22"/>
        </w:rPr>
        <w:t>-</w:t>
      </w:r>
      <w:r w:rsidR="003F369C" w:rsidRPr="00893EA8">
        <w:rPr>
          <w:sz w:val="22"/>
        </w:rPr>
        <w:t>kereskedelem keretében átadott bankjegyeket</w:t>
      </w:r>
      <w:r w:rsidR="00731A60" w:rsidRPr="00893EA8">
        <w:rPr>
          <w:sz w:val="22"/>
        </w:rPr>
        <w:t xml:space="preserve"> is</w:t>
      </w:r>
      <w:r w:rsidR="003F369C" w:rsidRPr="00893EA8">
        <w:rPr>
          <w:sz w:val="22"/>
        </w:rPr>
        <w:t xml:space="preserve">. </w:t>
      </w:r>
    </w:p>
    <w:p w:rsidR="003F369C" w:rsidRPr="00893EA8" w:rsidRDefault="003F369C" w:rsidP="00613401">
      <w:pPr>
        <w:rPr>
          <w:sz w:val="22"/>
        </w:rPr>
      </w:pPr>
      <w:r w:rsidRPr="00893EA8">
        <w:rPr>
          <w:b/>
          <w:sz w:val="22"/>
        </w:rPr>
        <w:t>12 sor</w:t>
      </w:r>
      <w:r w:rsidRPr="00893EA8">
        <w:rPr>
          <w:sz w:val="22"/>
        </w:rPr>
        <w:t xml:space="preserve"> </w:t>
      </w:r>
      <w:proofErr w:type="gramStart"/>
      <w:r w:rsidRPr="00893EA8">
        <w:rPr>
          <w:sz w:val="22"/>
        </w:rPr>
        <w:t>Bankjegy</w:t>
      </w:r>
      <w:r w:rsidR="00A1245C" w:rsidRPr="00893EA8">
        <w:rPr>
          <w:sz w:val="22"/>
        </w:rPr>
        <w:t>-</w:t>
      </w:r>
      <w:r w:rsidRPr="00893EA8">
        <w:rPr>
          <w:sz w:val="22"/>
        </w:rPr>
        <w:t>készlet</w:t>
      </w:r>
      <w:r w:rsidR="00A1245C" w:rsidRPr="00893EA8">
        <w:rPr>
          <w:sz w:val="22"/>
        </w:rPr>
        <w:t xml:space="preserve"> </w:t>
      </w:r>
      <w:r w:rsidRPr="00893EA8">
        <w:rPr>
          <w:sz w:val="22"/>
        </w:rPr>
        <w:t>változás</w:t>
      </w:r>
      <w:proofErr w:type="gramEnd"/>
    </w:p>
    <w:p w:rsidR="007168C3" w:rsidRPr="00893EA8" w:rsidRDefault="007168C3" w:rsidP="007168C3">
      <w:pPr>
        <w:rPr>
          <w:sz w:val="22"/>
        </w:rPr>
      </w:pPr>
      <w:r w:rsidRPr="00893EA8">
        <w:rPr>
          <w:sz w:val="22"/>
        </w:rPr>
        <w:t xml:space="preserve">Ez a sor az adatszolgáltatónál a tárgyév </w:t>
      </w:r>
      <w:r w:rsidR="00094EFA" w:rsidRPr="00893EA8">
        <w:rPr>
          <w:sz w:val="22"/>
        </w:rPr>
        <w:t xml:space="preserve">utolsó munkanapján </w:t>
      </w:r>
      <w:r w:rsidRPr="00893EA8">
        <w:rPr>
          <w:sz w:val="22"/>
        </w:rPr>
        <w:t xml:space="preserve">tárolt és a tárgyév </w:t>
      </w:r>
      <w:r w:rsidR="00094EFA" w:rsidRPr="00893EA8">
        <w:rPr>
          <w:sz w:val="22"/>
        </w:rPr>
        <w:t xml:space="preserve">első munkanapján </w:t>
      </w:r>
      <w:r w:rsidRPr="00893EA8">
        <w:rPr>
          <w:sz w:val="22"/>
        </w:rPr>
        <w:t>tárolt bankjegy</w:t>
      </w:r>
      <w:r w:rsidR="00CD7F31" w:rsidRPr="00893EA8">
        <w:rPr>
          <w:sz w:val="22"/>
        </w:rPr>
        <w:t>-</w:t>
      </w:r>
      <w:r w:rsidRPr="00893EA8">
        <w:rPr>
          <w:sz w:val="22"/>
        </w:rPr>
        <w:t>készletállomány közötti különbséget tartalmazza.</w:t>
      </w:r>
    </w:p>
    <w:p w:rsidR="00A34D2B" w:rsidRPr="00893EA8" w:rsidRDefault="00A34D2B" w:rsidP="007168C3">
      <w:pPr>
        <w:rPr>
          <w:sz w:val="22"/>
        </w:rPr>
      </w:pPr>
    </w:p>
    <w:p w:rsidR="00A34D2B" w:rsidRPr="00893EA8" w:rsidRDefault="00A34D2B" w:rsidP="00A34D2B">
      <w:pPr>
        <w:rPr>
          <w:rFonts w:eastAsia="Trebuchet MS" w:cs="Times New Roman"/>
          <w:b/>
          <w:iCs/>
          <w:sz w:val="22"/>
        </w:rPr>
      </w:pPr>
      <w:r w:rsidRPr="00893EA8">
        <w:rPr>
          <w:rFonts w:eastAsia="Trebuchet MS" w:cs="Times New Roman"/>
          <w:b/>
          <w:iCs/>
          <w:sz w:val="22"/>
        </w:rPr>
        <w:t>Táblán belüli összefüggések</w:t>
      </w:r>
    </w:p>
    <w:p w:rsidR="00A34D2B" w:rsidRPr="00893EA8" w:rsidRDefault="00A1245C" w:rsidP="00A34D2B">
      <w:pPr>
        <w:rPr>
          <w:rFonts w:eastAsia="Trebuchet MS" w:cs="Times New Roman"/>
          <w:sz w:val="22"/>
        </w:rPr>
      </w:pPr>
      <w:r w:rsidRPr="00893EA8">
        <w:rPr>
          <w:rFonts w:eastAsia="Trebuchet MS" w:cs="Times New Roman"/>
          <w:sz w:val="22"/>
        </w:rPr>
        <w:t>1. tábla valamennyi sorára:</w:t>
      </w:r>
    </w:p>
    <w:p w:rsidR="00A34D2B" w:rsidRPr="00893EA8" w:rsidRDefault="00A34D2B" w:rsidP="00A34D2B">
      <w:pPr>
        <w:rPr>
          <w:rFonts w:eastAsia="Trebuchet MS" w:cs="Times New Roman"/>
          <w:sz w:val="22"/>
        </w:rPr>
      </w:pPr>
      <w:proofErr w:type="gramStart"/>
      <w:r w:rsidRPr="00893EA8">
        <w:rPr>
          <w:sz w:val="22"/>
        </w:rPr>
        <w:t>g</w:t>
      </w:r>
      <w:proofErr w:type="gramEnd"/>
      <w:r w:rsidRPr="00893EA8">
        <w:rPr>
          <w:rFonts w:eastAsia="Trebuchet MS" w:cs="Times New Roman"/>
          <w:sz w:val="22"/>
        </w:rPr>
        <w:t xml:space="preserve">. </w:t>
      </w:r>
      <w:proofErr w:type="gramStart"/>
      <w:r w:rsidRPr="00893EA8">
        <w:rPr>
          <w:sz w:val="22"/>
        </w:rPr>
        <w:t>oszlop</w:t>
      </w:r>
      <w:proofErr w:type="gramEnd"/>
      <w:r w:rsidRPr="00893EA8">
        <w:rPr>
          <w:rFonts w:eastAsia="Trebuchet MS" w:cs="Times New Roman"/>
          <w:sz w:val="22"/>
        </w:rPr>
        <w:t xml:space="preserve"> = </w:t>
      </w:r>
      <w:r w:rsidR="00A1245C" w:rsidRPr="00893EA8">
        <w:rPr>
          <w:rFonts w:eastAsia="Trebuchet MS" w:cs="Times New Roman"/>
          <w:sz w:val="22"/>
        </w:rPr>
        <w:t xml:space="preserve"> a +b+..+ f oszlopok</w:t>
      </w:r>
    </w:p>
    <w:p w:rsidR="00A34D2B" w:rsidRPr="00893EA8" w:rsidRDefault="00A34D2B" w:rsidP="00A34D2B">
      <w:pPr>
        <w:rPr>
          <w:rFonts w:eastAsia="Trebuchet MS" w:cs="Times New Roman"/>
          <w:sz w:val="22"/>
        </w:rPr>
      </w:pPr>
      <w:r w:rsidRPr="00893EA8">
        <w:rPr>
          <w:rFonts w:eastAsia="Trebuchet MS" w:cs="Times New Roman"/>
          <w:sz w:val="22"/>
        </w:rPr>
        <w:t>h oszlop=(</w:t>
      </w:r>
      <w:proofErr w:type="gramStart"/>
      <w:r w:rsidRPr="00893EA8">
        <w:rPr>
          <w:rFonts w:eastAsia="Trebuchet MS" w:cs="Times New Roman"/>
          <w:sz w:val="22"/>
        </w:rPr>
        <w:t>a</w:t>
      </w:r>
      <w:proofErr w:type="gramEnd"/>
      <w:r w:rsidR="00A1245C" w:rsidRPr="00893EA8">
        <w:rPr>
          <w:rFonts w:eastAsia="Trebuchet MS" w:cs="Times New Roman"/>
          <w:sz w:val="22"/>
        </w:rPr>
        <w:t xml:space="preserve"> oszlop</w:t>
      </w:r>
      <w:r w:rsidRPr="00893EA8">
        <w:rPr>
          <w:rFonts w:eastAsia="Trebuchet MS" w:cs="Times New Roman"/>
          <w:sz w:val="22"/>
        </w:rPr>
        <w:t xml:space="preserve"> * 20 000 + b * 10 000 + c * 5 000 + d * 2 000 + e * 1 000 + f * 500) / 1000</w:t>
      </w:r>
      <w:r w:rsidR="00243663" w:rsidRPr="00893EA8">
        <w:rPr>
          <w:rFonts w:eastAsia="Trebuchet MS" w:cs="Times New Roman"/>
          <w:sz w:val="22"/>
        </w:rPr>
        <w:t xml:space="preserve"> </w:t>
      </w:r>
      <w:r w:rsidRPr="00893EA8">
        <w:rPr>
          <w:rFonts w:eastAsia="Trebuchet MS" w:cs="Times New Roman"/>
          <w:sz w:val="22"/>
        </w:rPr>
        <w:t>000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1. sor = 1. tábla 2.+ 3. + 4. sorok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7. sor = 1. tábla 1.+ 5. + 6. sorok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8. sor = 1. tábla 9.+ 10. + 11. sorok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12. sor = 1. tábla 7. - 8. sor</w:t>
      </w:r>
    </w:p>
    <w:p w:rsidR="007168C3" w:rsidRPr="00893EA8" w:rsidRDefault="007168C3" w:rsidP="007168C3">
      <w:pPr>
        <w:pStyle w:val="Cmsor4"/>
        <w:numPr>
          <w:ilvl w:val="0"/>
          <w:numId w:val="0"/>
        </w:numPr>
        <w:rPr>
          <w:b/>
          <w:color w:val="auto"/>
          <w:sz w:val="22"/>
          <w:szCs w:val="22"/>
        </w:rPr>
      </w:pPr>
      <w:r w:rsidRPr="00893EA8">
        <w:rPr>
          <w:b/>
          <w:color w:val="auto"/>
          <w:sz w:val="22"/>
          <w:szCs w:val="22"/>
        </w:rPr>
        <w:t>III. Az adatszolgáltatás beküldésére vonatkozó előírások</w:t>
      </w:r>
    </w:p>
    <w:p w:rsidR="007168C3" w:rsidRPr="00893EA8" w:rsidRDefault="007168C3" w:rsidP="007168C3">
      <w:pPr>
        <w:rPr>
          <w:sz w:val="22"/>
        </w:rPr>
      </w:pPr>
    </w:p>
    <w:p w:rsidR="007168C3" w:rsidRPr="00893EA8" w:rsidRDefault="007168C3" w:rsidP="007168C3">
      <w:pPr>
        <w:rPr>
          <w:sz w:val="22"/>
        </w:rPr>
      </w:pPr>
      <w:r w:rsidRPr="00893EA8">
        <w:rPr>
          <w:sz w:val="22"/>
        </w:rPr>
        <w:t>A beküldés módja: EBEAD</w:t>
      </w:r>
    </w:p>
    <w:p w:rsidR="007168C3" w:rsidRPr="00893EA8" w:rsidRDefault="007168C3" w:rsidP="007168C3">
      <w:pPr>
        <w:rPr>
          <w:sz w:val="22"/>
        </w:rPr>
      </w:pPr>
      <w:r w:rsidRPr="00893EA8">
        <w:rPr>
          <w:sz w:val="22"/>
        </w:rPr>
        <w:t xml:space="preserve">A beküldés formája: </w:t>
      </w:r>
      <w:r w:rsidRPr="00893EA8">
        <w:rPr>
          <w:rStyle w:val="Kiemels2"/>
          <w:rFonts w:eastAsia="Arial"/>
          <w:b w:val="0"/>
          <w:sz w:val="22"/>
        </w:rPr>
        <w:t>az e rendelet 3. sz. mellékletének 3. pontja szerinti, az MNB honlapján közzétett technikai segédletben meghatározott formátumú</w:t>
      </w:r>
      <w:r w:rsidRPr="00893EA8">
        <w:rPr>
          <w:sz w:val="22"/>
        </w:rPr>
        <w:t xml:space="preserve"> fájl</w:t>
      </w:r>
    </w:p>
    <w:p w:rsidR="007168C3" w:rsidRPr="00893EA8" w:rsidRDefault="007168C3" w:rsidP="007168C3">
      <w:pPr>
        <w:pStyle w:val="Szvegtrzs2"/>
        <w:rPr>
          <w:sz w:val="22"/>
        </w:rPr>
      </w:pPr>
      <w:r w:rsidRPr="00893EA8">
        <w:rPr>
          <w:sz w:val="22"/>
        </w:rPr>
        <w:t>Az adatszolgáltatás címzettje: MNB Statisztika</w:t>
      </w:r>
    </w:p>
    <w:sectPr w:rsidR="007168C3" w:rsidRPr="00893EA8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5C" w:rsidRDefault="00A1245C">
      <w:r>
        <w:separator/>
      </w:r>
    </w:p>
  </w:endnote>
  <w:endnote w:type="continuationSeparator" w:id="0">
    <w:p w:rsidR="00A1245C" w:rsidRDefault="00A1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5C" w:rsidRPr="00AC6950" w:rsidRDefault="00A1245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D43711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D43711" w:rsidRPr="00AC6950">
      <w:rPr>
        <w:sz w:val="18"/>
        <w:szCs w:val="18"/>
      </w:rPr>
      <w:fldChar w:fldCharType="separate"/>
    </w:r>
    <w:r w:rsidR="00893EA8">
      <w:rPr>
        <w:noProof/>
        <w:sz w:val="18"/>
        <w:szCs w:val="18"/>
      </w:rPr>
      <w:t>2</w:t>
    </w:r>
    <w:r w:rsidR="00D43711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D43711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D43711" w:rsidRPr="00AC6950">
      <w:rPr>
        <w:sz w:val="18"/>
        <w:szCs w:val="18"/>
      </w:rPr>
      <w:fldChar w:fldCharType="separate"/>
    </w:r>
    <w:r w:rsidR="00893EA8">
      <w:rPr>
        <w:noProof/>
        <w:sz w:val="18"/>
        <w:szCs w:val="18"/>
      </w:rPr>
      <w:t>2</w:t>
    </w:r>
    <w:r w:rsidR="00D43711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5C" w:rsidRDefault="00A1245C">
      <w:r>
        <w:separator/>
      </w:r>
    </w:p>
  </w:footnote>
  <w:footnote w:type="continuationSeparator" w:id="0">
    <w:p w:rsidR="00A1245C" w:rsidRDefault="00A12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5C" w:rsidRPr="00AC6950" w:rsidRDefault="00A1245C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8F4"/>
    <w:multiLevelType w:val="hybridMultilevel"/>
    <w:tmpl w:val="821258B4"/>
    <w:lvl w:ilvl="0" w:tplc="68FE49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B12009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B12009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7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7004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F0"/>
    <w:rsid w:val="0000273C"/>
    <w:rsid w:val="00006AE1"/>
    <w:rsid w:val="00017B1B"/>
    <w:rsid w:val="0002498B"/>
    <w:rsid w:val="000250E6"/>
    <w:rsid w:val="00027695"/>
    <w:rsid w:val="00027B62"/>
    <w:rsid w:val="00033357"/>
    <w:rsid w:val="00035697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4EFA"/>
    <w:rsid w:val="000C701E"/>
    <w:rsid w:val="000C701F"/>
    <w:rsid w:val="000D1C8B"/>
    <w:rsid w:val="000D1E44"/>
    <w:rsid w:val="000D40AE"/>
    <w:rsid w:val="000D4F61"/>
    <w:rsid w:val="000E2CBD"/>
    <w:rsid w:val="000E4EE3"/>
    <w:rsid w:val="000F2858"/>
    <w:rsid w:val="000F2AE0"/>
    <w:rsid w:val="000F68FE"/>
    <w:rsid w:val="00101654"/>
    <w:rsid w:val="0010447E"/>
    <w:rsid w:val="0010496C"/>
    <w:rsid w:val="00110868"/>
    <w:rsid w:val="001206F9"/>
    <w:rsid w:val="001255A4"/>
    <w:rsid w:val="0013063C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5D4"/>
    <w:rsid w:val="00166F6C"/>
    <w:rsid w:val="001747F6"/>
    <w:rsid w:val="0018359E"/>
    <w:rsid w:val="001870A7"/>
    <w:rsid w:val="00197350"/>
    <w:rsid w:val="001A2BAA"/>
    <w:rsid w:val="001C0FAA"/>
    <w:rsid w:val="001C24F1"/>
    <w:rsid w:val="001C466F"/>
    <w:rsid w:val="001C5C33"/>
    <w:rsid w:val="001D5999"/>
    <w:rsid w:val="001D59FD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3663"/>
    <w:rsid w:val="0024525F"/>
    <w:rsid w:val="002522F1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97B6E"/>
    <w:rsid w:val="002A3B0E"/>
    <w:rsid w:val="002B3674"/>
    <w:rsid w:val="002B4D45"/>
    <w:rsid w:val="002B6B78"/>
    <w:rsid w:val="002B6D25"/>
    <w:rsid w:val="002B78E0"/>
    <w:rsid w:val="002C5146"/>
    <w:rsid w:val="002C728F"/>
    <w:rsid w:val="002C7D4D"/>
    <w:rsid w:val="002C7DD0"/>
    <w:rsid w:val="002D5E55"/>
    <w:rsid w:val="002F34ED"/>
    <w:rsid w:val="002F602F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3BD2"/>
    <w:rsid w:val="0037696F"/>
    <w:rsid w:val="00380643"/>
    <w:rsid w:val="003824BF"/>
    <w:rsid w:val="00391B59"/>
    <w:rsid w:val="00395B14"/>
    <w:rsid w:val="00395D13"/>
    <w:rsid w:val="003962F0"/>
    <w:rsid w:val="00397F34"/>
    <w:rsid w:val="003B12B2"/>
    <w:rsid w:val="003B46BE"/>
    <w:rsid w:val="003B4B9E"/>
    <w:rsid w:val="003C5699"/>
    <w:rsid w:val="003D04DD"/>
    <w:rsid w:val="003D52BC"/>
    <w:rsid w:val="003E757F"/>
    <w:rsid w:val="003F128A"/>
    <w:rsid w:val="003F369C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4131"/>
    <w:rsid w:val="0048183A"/>
    <w:rsid w:val="00491483"/>
    <w:rsid w:val="004919C2"/>
    <w:rsid w:val="00494C89"/>
    <w:rsid w:val="004A58E3"/>
    <w:rsid w:val="004A5F09"/>
    <w:rsid w:val="004B1A68"/>
    <w:rsid w:val="004B465D"/>
    <w:rsid w:val="004D270F"/>
    <w:rsid w:val="004D7635"/>
    <w:rsid w:val="004E15C2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4476"/>
    <w:rsid w:val="005763C5"/>
    <w:rsid w:val="00581D24"/>
    <w:rsid w:val="0058459E"/>
    <w:rsid w:val="005857DC"/>
    <w:rsid w:val="00586603"/>
    <w:rsid w:val="00586D4D"/>
    <w:rsid w:val="005960E3"/>
    <w:rsid w:val="005A011E"/>
    <w:rsid w:val="005A3DDE"/>
    <w:rsid w:val="005A7239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13401"/>
    <w:rsid w:val="00627BFA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C2C3D"/>
    <w:rsid w:val="006C4871"/>
    <w:rsid w:val="006C6784"/>
    <w:rsid w:val="006C700F"/>
    <w:rsid w:val="006D3867"/>
    <w:rsid w:val="006E45F8"/>
    <w:rsid w:val="006E5F78"/>
    <w:rsid w:val="006F39C8"/>
    <w:rsid w:val="006F5D02"/>
    <w:rsid w:val="006F6144"/>
    <w:rsid w:val="00702E90"/>
    <w:rsid w:val="00703E97"/>
    <w:rsid w:val="00707C38"/>
    <w:rsid w:val="007168C3"/>
    <w:rsid w:val="007236B8"/>
    <w:rsid w:val="0072398E"/>
    <w:rsid w:val="00731A60"/>
    <w:rsid w:val="00732D87"/>
    <w:rsid w:val="00737660"/>
    <w:rsid w:val="00741DD3"/>
    <w:rsid w:val="00744A1F"/>
    <w:rsid w:val="00746D82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D67A3"/>
    <w:rsid w:val="007D7E92"/>
    <w:rsid w:val="007E0286"/>
    <w:rsid w:val="007F1D57"/>
    <w:rsid w:val="007F7E59"/>
    <w:rsid w:val="00823B7E"/>
    <w:rsid w:val="0083121F"/>
    <w:rsid w:val="0083252A"/>
    <w:rsid w:val="008349B3"/>
    <w:rsid w:val="008370C0"/>
    <w:rsid w:val="00840065"/>
    <w:rsid w:val="00844283"/>
    <w:rsid w:val="0084582F"/>
    <w:rsid w:val="00847C0A"/>
    <w:rsid w:val="008512C4"/>
    <w:rsid w:val="0085264D"/>
    <w:rsid w:val="008528A0"/>
    <w:rsid w:val="00856B94"/>
    <w:rsid w:val="00860131"/>
    <w:rsid w:val="00864468"/>
    <w:rsid w:val="00866547"/>
    <w:rsid w:val="008935BD"/>
    <w:rsid w:val="008936DF"/>
    <w:rsid w:val="00893EA8"/>
    <w:rsid w:val="008A1C40"/>
    <w:rsid w:val="008B61E3"/>
    <w:rsid w:val="008C474C"/>
    <w:rsid w:val="008C56D8"/>
    <w:rsid w:val="008D6221"/>
    <w:rsid w:val="008E26F2"/>
    <w:rsid w:val="008E3579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33CD"/>
    <w:rsid w:val="009665AC"/>
    <w:rsid w:val="00990B18"/>
    <w:rsid w:val="009A4F0C"/>
    <w:rsid w:val="009B2208"/>
    <w:rsid w:val="009B7F1B"/>
    <w:rsid w:val="009C09A6"/>
    <w:rsid w:val="009C0C4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245C"/>
    <w:rsid w:val="00A16867"/>
    <w:rsid w:val="00A17909"/>
    <w:rsid w:val="00A2173F"/>
    <w:rsid w:val="00A244C7"/>
    <w:rsid w:val="00A26654"/>
    <w:rsid w:val="00A26ED3"/>
    <w:rsid w:val="00A3105B"/>
    <w:rsid w:val="00A34D2B"/>
    <w:rsid w:val="00A34F95"/>
    <w:rsid w:val="00A44C60"/>
    <w:rsid w:val="00A5096A"/>
    <w:rsid w:val="00A56BCD"/>
    <w:rsid w:val="00A60012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07F1"/>
    <w:rsid w:val="00AE358A"/>
    <w:rsid w:val="00AE3CD1"/>
    <w:rsid w:val="00AE41D5"/>
    <w:rsid w:val="00AE4D73"/>
    <w:rsid w:val="00AF1C92"/>
    <w:rsid w:val="00AF512E"/>
    <w:rsid w:val="00AF7B9B"/>
    <w:rsid w:val="00B06F8B"/>
    <w:rsid w:val="00B1043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74B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6F2F"/>
    <w:rsid w:val="00C07885"/>
    <w:rsid w:val="00C136F8"/>
    <w:rsid w:val="00C146F6"/>
    <w:rsid w:val="00C1563C"/>
    <w:rsid w:val="00C17469"/>
    <w:rsid w:val="00C20799"/>
    <w:rsid w:val="00C22FB8"/>
    <w:rsid w:val="00C4193D"/>
    <w:rsid w:val="00C43AC5"/>
    <w:rsid w:val="00C522BD"/>
    <w:rsid w:val="00C63F2A"/>
    <w:rsid w:val="00C64F11"/>
    <w:rsid w:val="00C75851"/>
    <w:rsid w:val="00C82367"/>
    <w:rsid w:val="00C907C0"/>
    <w:rsid w:val="00C93837"/>
    <w:rsid w:val="00CA398B"/>
    <w:rsid w:val="00CC4CB1"/>
    <w:rsid w:val="00CD36BC"/>
    <w:rsid w:val="00CD6E8D"/>
    <w:rsid w:val="00CD724F"/>
    <w:rsid w:val="00CD7F3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3711"/>
    <w:rsid w:val="00D463F1"/>
    <w:rsid w:val="00D524BB"/>
    <w:rsid w:val="00D6703D"/>
    <w:rsid w:val="00D717DA"/>
    <w:rsid w:val="00D7659E"/>
    <w:rsid w:val="00D815CF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B11D4"/>
    <w:rsid w:val="00EB2886"/>
    <w:rsid w:val="00EB398E"/>
    <w:rsid w:val="00EC1AED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2649C"/>
    <w:rsid w:val="00F31C3B"/>
    <w:rsid w:val="00F51A8A"/>
    <w:rsid w:val="00F51AB4"/>
    <w:rsid w:val="00F523A8"/>
    <w:rsid w:val="00F54723"/>
    <w:rsid w:val="00F57359"/>
    <w:rsid w:val="00F57AF5"/>
    <w:rsid w:val="00F62B87"/>
    <w:rsid w:val="00F65208"/>
    <w:rsid w:val="00F67BE6"/>
    <w:rsid w:val="00F702E1"/>
    <w:rsid w:val="00F729F8"/>
    <w:rsid w:val="00F8481F"/>
    <w:rsid w:val="00F86B33"/>
    <w:rsid w:val="00F91C17"/>
    <w:rsid w:val="00F949B1"/>
    <w:rsid w:val="00F96F8A"/>
    <w:rsid w:val="00F9761F"/>
    <w:rsid w:val="00FA102C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uiPriority="22" w:unhideWhenUsed="0" w:qFormat="1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3EA8"/>
    <w:pPr>
      <w:spacing w:after="150" w:line="276" w:lineRule="auto"/>
      <w:jc w:val="both"/>
    </w:pPr>
    <w:rPr>
      <w:rFonts w:ascii="Calibri" w:hAnsi="Calibri" w:cstheme="minorBidi"/>
      <w:szCs w:val="22"/>
    </w:rPr>
  </w:style>
  <w:style w:type="paragraph" w:styleId="Cmsor1">
    <w:name w:val="heading 1"/>
    <w:basedOn w:val="Norml"/>
    <w:next w:val="Norml"/>
    <w:link w:val="Cmsor1Char"/>
    <w:uiPriority w:val="1"/>
    <w:qFormat/>
    <w:rsid w:val="00893EA8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B12009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893EA8"/>
    <w:pPr>
      <w:numPr>
        <w:ilvl w:val="1"/>
        <w:numId w:val="3"/>
      </w:numPr>
      <w:spacing w:before="210" w:after="75"/>
      <w:jc w:val="left"/>
      <w:outlineLvl w:val="1"/>
    </w:pPr>
    <w:rPr>
      <w:b/>
      <w:color w:val="B12009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893EA8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B12009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893EA8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B12009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893EA8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B12009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893EA8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B12009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3EA8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3EA8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3EA8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893EA8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893EA8"/>
  </w:style>
  <w:style w:type="table" w:customStyle="1" w:styleId="tblzat-mtrix">
    <w:name w:val="táblázat - mátrix"/>
    <w:basedOn w:val="Normltblzat"/>
    <w:uiPriority w:val="2"/>
    <w:qFormat/>
    <w:rsid w:val="00893EA8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893EA8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93EA8"/>
    <w:pPr>
      <w:numPr>
        <w:numId w:val="10"/>
      </w:numPr>
      <w:contextualSpacing/>
    </w:pPr>
  </w:style>
  <w:style w:type="character" w:styleId="Hiperhivatkozs">
    <w:name w:val="Hyperlink"/>
    <w:basedOn w:val="Vgjegyzet-hivatkozs"/>
    <w:uiPriority w:val="99"/>
    <w:rsid w:val="00893EA8"/>
    <w:rPr>
      <w:rFonts w:ascii="Calibri" w:hAnsi="Calibri"/>
      <w:color w:val="0000FF"/>
      <w:sz w:val="20"/>
      <w:u w:val="single"/>
    </w:rPr>
  </w:style>
  <w:style w:type="table" w:customStyle="1" w:styleId="tblzat-oldallces">
    <w:name w:val="táblázat - oldalléces"/>
    <w:basedOn w:val="Normltblzat"/>
    <w:uiPriority w:val="3"/>
    <w:qFormat/>
    <w:rsid w:val="00893EA8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Vgjegyzet-hivatkozs">
    <w:name w:val="endnote reference"/>
    <w:basedOn w:val="Bekezdsalapbettpusa"/>
    <w:semiHidden/>
    <w:rsid w:val="00893E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EA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893EA8"/>
    <w:rPr>
      <w:color w:val="B12009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EA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893E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93EA8"/>
    <w:rPr>
      <w:rFonts w:ascii="Calibri" w:hAnsi="Calibri" w:cstheme="minorBidi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893E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93EA8"/>
    <w:rPr>
      <w:rFonts w:ascii="Calibri" w:hAnsi="Calibri" w:cstheme="minorBidi"/>
      <w:szCs w:val="22"/>
    </w:rPr>
  </w:style>
  <w:style w:type="paragraph" w:customStyle="1" w:styleId="Szmozs">
    <w:name w:val="Számozás"/>
    <w:basedOn w:val="Norml"/>
    <w:uiPriority w:val="4"/>
    <w:qFormat/>
    <w:rsid w:val="00893EA8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893EA8"/>
    <w:pPr>
      <w:contextualSpacing/>
    </w:pPr>
    <w:rPr>
      <w:rFonts w:ascii="Verdana" w:hAnsi="Verdana" w:cstheme="minorBidi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893EA8"/>
    <w:rPr>
      <w:rFonts w:ascii="Calibri" w:hAnsi="Calibri" w:cstheme="minorBidi"/>
      <w:iCs/>
      <w:color w:val="B12009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893EA8"/>
    <w:rPr>
      <w:rFonts w:ascii="Calibri" w:hAnsi="Calibri" w:cstheme="minorBidi"/>
      <w:color w:val="B12009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893EA8"/>
    <w:rPr>
      <w:rFonts w:ascii="Calibri" w:hAnsi="Calibri" w:cstheme="minorBidi"/>
      <w:color w:val="B12009" w:themeColor="accent5"/>
      <w:szCs w:val="22"/>
    </w:rPr>
  </w:style>
  <w:style w:type="character" w:customStyle="1" w:styleId="Cmsor1Char">
    <w:name w:val="Címsor 1 Char"/>
    <w:basedOn w:val="Bekezdsalapbettpusa"/>
    <w:link w:val="Cmsor1"/>
    <w:uiPriority w:val="1"/>
    <w:rsid w:val="00893EA8"/>
    <w:rPr>
      <w:rFonts w:ascii="Calibri" w:eastAsiaTheme="majorEastAsia" w:hAnsi="Calibri" w:cstheme="majorBidi"/>
      <w:bCs/>
      <w:caps/>
      <w:color w:val="B12009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893EA8"/>
    <w:rPr>
      <w:rFonts w:ascii="Calibri" w:hAnsi="Calibri" w:cstheme="minorBidi"/>
      <w:b/>
      <w:color w:val="B12009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893EA8"/>
    <w:rPr>
      <w:rFonts w:ascii="Calibri" w:hAnsi="Calibri" w:cstheme="minorBidi"/>
      <w:bCs/>
      <w:color w:val="B12009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893EA8"/>
    <w:pPr>
      <w:spacing w:after="300"/>
      <w:contextualSpacing/>
    </w:pPr>
    <w:rPr>
      <w:rFonts w:eastAsiaTheme="majorEastAsia" w:cstheme="majorBidi"/>
      <w:caps/>
      <w:color w:val="B12009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893EA8"/>
    <w:rPr>
      <w:rFonts w:ascii="Calibri" w:eastAsiaTheme="majorEastAsia" w:hAnsi="Calibri" w:cstheme="majorBidi"/>
      <w:caps/>
      <w:color w:val="B12009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3EA8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3EA8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3EA8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93EA8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893EA8"/>
    <w:pPr>
      <w:spacing w:after="100"/>
      <w:ind w:left="1200"/>
    </w:pPr>
    <w:rPr>
      <w:color w:val="7F0F45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893EA8"/>
    <w:pPr>
      <w:spacing w:after="100"/>
      <w:ind w:left="1400"/>
    </w:pPr>
    <w:rPr>
      <w:color w:val="7F0F45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893EA8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Normltblzat"/>
    <w:uiPriority w:val="99"/>
    <w:qFormat/>
    <w:rsid w:val="00893EA8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Ind w:w="0" w:type="dxa"/>
      <w:tblBorders>
        <w:insideV w:val="single" w:sz="4" w:space="0" w:color="B5E17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893EA8"/>
    <w:rPr>
      <w:rFonts w:eastAsiaTheme="minorEastAsia"/>
      <w:color w:val="857760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93EA8"/>
    <w:rPr>
      <w:rFonts w:ascii="Calibri" w:eastAsiaTheme="minorEastAsia" w:hAnsi="Calibri" w:cstheme="minorBidi"/>
      <w:color w:val="857760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893EA8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893EA8"/>
    <w:rPr>
      <w:rFonts w:ascii="Verdana" w:eastAsiaTheme="minorEastAsia" w:hAnsi="Verdana" w:cstheme="minorBidi"/>
      <w:color w:val="5F8B1D" w:themeColor="accent1" w:themeShade="BF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BA27" w:themeColor="accent1"/>
        <w:bottom w:val="single" w:sz="8" w:space="0" w:color="80BA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893EA8"/>
    <w:pPr>
      <w:spacing w:after="200"/>
      <w:jc w:val="left"/>
    </w:pPr>
    <w:rPr>
      <w:b/>
      <w:bCs/>
      <w:color w:val="857760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93EA8"/>
    <w:rPr>
      <w:color w:val="7F0F45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93EA8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893EA8"/>
    <w:rPr>
      <w:rFonts w:ascii="Verdana" w:hAnsi="Verdana" w:cstheme="minorBidi"/>
      <w:color w:val="5F8B1D" w:themeColor="accen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80BA27" w:themeColor="accent1"/>
        <w:bottom w:val="single" w:sz="8" w:space="0" w:color="80BA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893EA8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893EA8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893EA8"/>
    <w:rPr>
      <w:rFonts w:ascii="Calibri" w:hAnsi="Calibri" w:cstheme="minorBidi"/>
      <w:szCs w:val="22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893EA8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893EA8"/>
    <w:rPr>
      <w:rFonts w:ascii="Calibri" w:hAnsi="Calibri" w:cstheme="minorBidi"/>
      <w:szCs w:val="22"/>
    </w:rPr>
  </w:style>
  <w:style w:type="character" w:styleId="Finomhivatkozs">
    <w:name w:val="Subtle Reference"/>
    <w:basedOn w:val="Bekezdsalapbettpusa"/>
    <w:uiPriority w:val="31"/>
    <w:rsid w:val="00893EA8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893EA8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93EA8"/>
    <w:pPr>
      <w:numPr>
        <w:numId w:val="9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893EA8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893EA8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893EA8"/>
  </w:style>
  <w:style w:type="paragraph" w:styleId="Alcm">
    <w:name w:val="Subtitle"/>
    <w:basedOn w:val="Norml"/>
    <w:next w:val="Norml"/>
    <w:link w:val="AlcmChar"/>
    <w:uiPriority w:val="11"/>
    <w:rsid w:val="00893EA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893EA8"/>
    <w:rPr>
      <w:rFonts w:ascii="Calibri" w:eastAsiaTheme="majorEastAsia" w:hAnsi="Calibri" w:cstheme="majorBidi"/>
      <w:szCs w:val="22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893EA8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893EA8"/>
  </w:style>
  <w:style w:type="paragraph" w:customStyle="1" w:styleId="Erskiemels">
    <w:name w:val="Erős kiemelés"/>
    <w:basedOn w:val="Norml"/>
    <w:link w:val="ErskiemelsChar"/>
    <w:uiPriority w:val="5"/>
    <w:qFormat/>
    <w:rsid w:val="00893EA8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893EA8"/>
    <w:rPr>
      <w:rFonts w:ascii="Calibri" w:hAnsi="Calibri" w:cstheme="minorBidi"/>
      <w:b/>
      <w:i/>
      <w:szCs w:val="22"/>
    </w:rPr>
  </w:style>
  <w:style w:type="paragraph" w:customStyle="1" w:styleId="Bold">
    <w:name w:val="Bold"/>
    <w:basedOn w:val="Norml"/>
    <w:link w:val="BoldChar"/>
    <w:uiPriority w:val="6"/>
    <w:qFormat/>
    <w:rsid w:val="00893EA8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893EA8"/>
    <w:rPr>
      <w:rFonts w:ascii="Calibri" w:hAnsi="Calibri" w:cstheme="minorBidi"/>
      <w:b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893EA8"/>
    <w:rPr>
      <w:color w:val="00998B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93EA8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893EA8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893EA8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893EA8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893E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893E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893EA8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893EA8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893EA8"/>
  </w:style>
  <w:style w:type="character" w:styleId="Kiemels2">
    <w:name w:val="Strong"/>
    <w:basedOn w:val="Bekezdsalapbettpusa"/>
    <w:uiPriority w:val="22"/>
    <w:rsid w:val="00893EA8"/>
    <w:rPr>
      <w:b/>
      <w:bCs/>
    </w:rPr>
  </w:style>
  <w:style w:type="character" w:styleId="Kiemels">
    <w:name w:val="Emphasis"/>
    <w:basedOn w:val="Bekezdsalapbettpusa"/>
    <w:uiPriority w:val="6"/>
    <w:qFormat/>
    <w:rsid w:val="00893EA8"/>
    <w:rPr>
      <w:i/>
      <w:iCs/>
    </w:rPr>
  </w:style>
  <w:style w:type="paragraph" w:styleId="Nincstrkz">
    <w:name w:val="No Spacing"/>
    <w:basedOn w:val="Norml"/>
    <w:uiPriority w:val="1"/>
    <w:rsid w:val="00893EA8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893EA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893EA8"/>
    <w:rPr>
      <w:rFonts w:ascii="Calibri" w:hAnsi="Calibri" w:cstheme="minorBidi"/>
      <w:i/>
      <w:szCs w:val="22"/>
    </w:rPr>
  </w:style>
  <w:style w:type="paragraph" w:styleId="Kiemeltidzet">
    <w:name w:val="Intense Quote"/>
    <w:basedOn w:val="Norml"/>
    <w:next w:val="Norml"/>
    <w:link w:val="KiemeltidzetChar"/>
    <w:uiPriority w:val="30"/>
    <w:rsid w:val="00893EA8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3EA8"/>
    <w:rPr>
      <w:rFonts w:ascii="Calibri" w:hAnsi="Calibri" w:cstheme="minorBidi"/>
      <w:b/>
      <w:i/>
      <w:szCs w:val="22"/>
    </w:rPr>
  </w:style>
  <w:style w:type="character" w:styleId="Ershangslyozs">
    <w:name w:val="Intense Emphasis"/>
    <w:basedOn w:val="Bekezdsalapbettpusa"/>
    <w:uiPriority w:val="21"/>
    <w:rsid w:val="00893EA8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893EA8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93EA8"/>
    <w:rPr>
      <w:b/>
      <w:i/>
      <w:color w:val="80BA27" w:themeColor="accent1"/>
    </w:rPr>
  </w:style>
  <w:style w:type="paragraph" w:styleId="Szvegtrzs2">
    <w:name w:val="Body Text 2"/>
    <w:basedOn w:val="Norml"/>
    <w:link w:val="Szvegtrzs2Char"/>
    <w:rsid w:val="007168C3"/>
  </w:style>
  <w:style w:type="character" w:customStyle="1" w:styleId="Szvegtrzs2Char">
    <w:name w:val="Szövegtörzs 2 Char"/>
    <w:basedOn w:val="Bekezdsalapbettpusa"/>
    <w:link w:val="Szvegtrzs2"/>
    <w:rsid w:val="007168C3"/>
    <w:rPr>
      <w:rFonts w:ascii="Times New Roman" w:eastAsia="Times New Roman" w:hAnsi="Times New Roman"/>
    </w:rPr>
  </w:style>
  <w:style w:type="table" w:customStyle="1" w:styleId="Rcsos">
    <w:name w:val="Rácsos"/>
    <w:basedOn w:val="Normltblzat"/>
    <w:uiPriority w:val="99"/>
    <w:rsid w:val="00893EA8"/>
    <w:rPr>
      <w:rFonts w:asciiTheme="majorHAnsi" w:hAnsiTheme="majorHAnsi" w:cstheme="minorBidi"/>
      <w:color w:val="B12009" w:themeColor="accent5"/>
      <w:szCs w:val="22"/>
    </w:rPr>
    <w:tblPr>
      <w:tblStyleRowBandSize w:val="1"/>
      <w:tblStyleColBandSize w:val="1"/>
      <w:tblInd w:w="0" w:type="dxa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3344BD03-B494-433F-8F7D-B17D2FD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tolgyesizs</dc:creator>
  <cp:lastModifiedBy>kotulicsnem</cp:lastModifiedBy>
  <cp:revision>3</cp:revision>
  <cp:lastPrinted>2012-04-03T11:15:00Z</cp:lastPrinted>
  <dcterms:created xsi:type="dcterms:W3CDTF">2012-05-14T11:35:00Z</dcterms:created>
  <dcterms:modified xsi:type="dcterms:W3CDTF">2013-11-18T14:29:00Z</dcterms:modified>
</cp:coreProperties>
</file>