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98" w:rsidRPr="000A241B" w:rsidRDefault="001C3198" w:rsidP="001C3198">
      <w:pPr>
        <w:spacing w:after="0"/>
        <w:rPr>
          <w:b/>
          <w:sz w:val="28"/>
          <w:szCs w:val="28"/>
        </w:rPr>
      </w:pPr>
      <w:bookmarkStart w:id="0" w:name="_GoBack"/>
      <w:bookmarkEnd w:id="0"/>
      <w:r w:rsidRPr="000A241B">
        <w:rPr>
          <w:b/>
          <w:sz w:val="28"/>
          <w:szCs w:val="28"/>
        </w:rPr>
        <w:t xml:space="preserve">Szolvencia II – </w:t>
      </w:r>
      <w:r w:rsidR="00F97DC2" w:rsidRPr="000A241B">
        <w:rPr>
          <w:b/>
          <w:sz w:val="28"/>
          <w:szCs w:val="28"/>
        </w:rPr>
        <w:t xml:space="preserve">Hazai </w:t>
      </w:r>
      <w:r w:rsidRPr="000A241B">
        <w:rPr>
          <w:b/>
          <w:sz w:val="28"/>
          <w:szCs w:val="28"/>
        </w:rPr>
        <w:t>mennyiségi hatástanulmány</w:t>
      </w:r>
      <w:r w:rsidR="00464D48" w:rsidRPr="000A241B">
        <w:rPr>
          <w:b/>
          <w:sz w:val="28"/>
          <w:szCs w:val="28"/>
        </w:rPr>
        <w:t xml:space="preserve"> </w:t>
      </w:r>
      <w:r w:rsidR="00F5627E">
        <w:rPr>
          <w:b/>
          <w:sz w:val="28"/>
          <w:szCs w:val="28"/>
        </w:rPr>
        <w:t xml:space="preserve">és EIOPA alacsony hozamkörnyezet felmérés </w:t>
      </w:r>
      <w:r w:rsidR="00464D48" w:rsidRPr="000A241B">
        <w:rPr>
          <w:b/>
          <w:sz w:val="28"/>
          <w:szCs w:val="28"/>
        </w:rPr>
        <w:t>201</w:t>
      </w:r>
      <w:r w:rsidR="00D87070" w:rsidRPr="000A241B">
        <w:rPr>
          <w:b/>
          <w:sz w:val="28"/>
          <w:szCs w:val="28"/>
        </w:rPr>
        <w:t>4</w:t>
      </w:r>
    </w:p>
    <w:p w:rsidR="00F5627E" w:rsidRDefault="00F5627E" w:rsidP="001C3198">
      <w:pPr>
        <w:spacing w:after="240"/>
        <w:rPr>
          <w:b/>
          <w:sz w:val="28"/>
          <w:szCs w:val="28"/>
        </w:rPr>
      </w:pPr>
    </w:p>
    <w:p w:rsidR="001C3198" w:rsidRPr="000A241B" w:rsidRDefault="001C3198" w:rsidP="001C3198">
      <w:pPr>
        <w:spacing w:after="240"/>
        <w:rPr>
          <w:b/>
          <w:sz w:val="28"/>
          <w:szCs w:val="28"/>
        </w:rPr>
      </w:pPr>
      <w:r w:rsidRPr="000A241B">
        <w:rPr>
          <w:b/>
          <w:sz w:val="28"/>
          <w:szCs w:val="28"/>
        </w:rPr>
        <w:t>Útmutató a résztvevő intézmények részére</w:t>
      </w:r>
    </w:p>
    <w:p w:rsidR="00D0384E" w:rsidRDefault="00D87070" w:rsidP="00D87070">
      <w:pPr>
        <w:spacing w:after="240" w:line="240" w:lineRule="auto"/>
        <w:jc w:val="both"/>
      </w:pPr>
      <w:r w:rsidRPr="000A241B">
        <w:t>Az MNB</w:t>
      </w:r>
      <w:r w:rsidR="00CC216B" w:rsidRPr="000A241B">
        <w:t xml:space="preserve"> </w:t>
      </w:r>
      <w:r w:rsidR="009E4EF4">
        <w:t xml:space="preserve">által </w:t>
      </w:r>
      <w:r w:rsidR="00CC216B" w:rsidRPr="000A241B">
        <w:t>201</w:t>
      </w:r>
      <w:r w:rsidRPr="000A241B">
        <w:t>4</w:t>
      </w:r>
      <w:r w:rsidR="00A75932">
        <w:t xml:space="preserve"> első félévében </w:t>
      </w:r>
      <w:r w:rsidR="00CC216B" w:rsidRPr="000A241B">
        <w:t xml:space="preserve">lefolytatandó </w:t>
      </w:r>
      <w:r w:rsidR="00D0384E">
        <w:t xml:space="preserve">hazai </w:t>
      </w:r>
      <w:r w:rsidR="00CC216B" w:rsidRPr="000A241B">
        <w:t xml:space="preserve">mennyiségi hatástanulmány </w:t>
      </w:r>
      <w:r w:rsidR="00A75932">
        <w:t xml:space="preserve">fő célja, hogy </w:t>
      </w:r>
      <w:r w:rsidR="009E4EF4">
        <w:t>a 2013. évi adatok</w:t>
      </w:r>
      <w:r w:rsidR="006D2657">
        <w:t xml:space="preserve"> alapján felmérje a biztosítók pénzügyi helyzetét szektor-, illetve egyedi intézményi szinten, különös tekintettel a 2011. év óta bekövetkezett makrogazdasági változások hatásaira</w:t>
      </w:r>
      <w:r w:rsidR="000D47CB">
        <w:t xml:space="preserve"> és a hosszú távú garanciás (LTG) jogszabálycsomag </w:t>
      </w:r>
      <w:r w:rsidR="0097551A">
        <w:t>módosulásaira</w:t>
      </w:r>
      <w:r w:rsidR="00A123A8">
        <w:t>.</w:t>
      </w:r>
    </w:p>
    <w:p w:rsidR="000D47CB" w:rsidRDefault="00D0384E" w:rsidP="00D87070">
      <w:pPr>
        <w:spacing w:after="240" w:line="240" w:lineRule="auto"/>
        <w:jc w:val="both"/>
      </w:pPr>
      <w:r>
        <w:t>Az</w:t>
      </w:r>
      <w:r w:rsidR="002F2054">
        <w:t xml:space="preserve"> EIOPA 2014. április 30-án tervezi elindítani a</w:t>
      </w:r>
      <w:r w:rsidR="00A0671B">
        <w:t xml:space="preserve"> csoportszintű</w:t>
      </w:r>
      <w:r w:rsidR="002F2054">
        <w:t xml:space="preserve"> </w:t>
      </w:r>
      <w:r w:rsidR="006130C1">
        <w:t xml:space="preserve">stressz tesztelési felmérést, amely keretében kerül sor </w:t>
      </w:r>
      <w:r w:rsidR="003637A8">
        <w:t xml:space="preserve">egyedi </w:t>
      </w:r>
      <w:r w:rsidR="007051EF">
        <w:t xml:space="preserve">intézményi </w:t>
      </w:r>
      <w:r w:rsidR="003637A8">
        <w:t xml:space="preserve">szinten </w:t>
      </w:r>
      <w:r w:rsidR="006130C1">
        <w:t xml:space="preserve">az ún. alacsony hozamkörnyezet hatásainak felmérésére is. </w:t>
      </w:r>
      <w:r w:rsidR="000D47CB">
        <w:t>A</w:t>
      </w:r>
      <w:r w:rsidR="0097551A">
        <w:t>z MNB a</w:t>
      </w:r>
      <w:r w:rsidR="003F1C53">
        <w:t xml:space="preserve"> hazai mennyiségi hatástanulmány </w:t>
      </w:r>
      <w:r w:rsidR="00530943">
        <w:t>részeként</w:t>
      </w:r>
      <w:r w:rsidR="003F1C53">
        <w:t xml:space="preserve">, </w:t>
      </w:r>
      <w:r w:rsidR="00530943">
        <w:t xml:space="preserve">de </w:t>
      </w:r>
      <w:r w:rsidR="003F1C53">
        <w:t xml:space="preserve">időben eltolva </w:t>
      </w:r>
      <w:r w:rsidR="0097551A">
        <w:t xml:space="preserve">indítaná el az európai felméréssel egyidejűleg </w:t>
      </w:r>
      <w:r w:rsidR="003F1C53">
        <w:t>a</w:t>
      </w:r>
      <w:r w:rsidR="000D47CB">
        <w:t>z EIOPA a</w:t>
      </w:r>
      <w:r w:rsidR="003F1C53">
        <w:t xml:space="preserve">lacsony hozamkörnyezet </w:t>
      </w:r>
      <w:r w:rsidR="0056343F">
        <w:t xml:space="preserve">felmérést </w:t>
      </w:r>
      <w:r w:rsidR="003F1C53">
        <w:t>2014</w:t>
      </w:r>
      <w:r w:rsidR="00530943">
        <w:t xml:space="preserve">. április 30-tól kezdődően, amelynek célja, hogy a megcélzott 50%-os piaci lefedettség </w:t>
      </w:r>
      <w:r w:rsidR="00E55FB1">
        <w:t xml:space="preserve">teljesítése mellett </w:t>
      </w:r>
      <w:r w:rsidR="00530943">
        <w:t>a hazai biztosítók minél nagyobb számban</w:t>
      </w:r>
      <w:r w:rsidR="00E55FB1">
        <w:t xml:space="preserve"> vegyenek részt a felmérésben.</w:t>
      </w:r>
    </w:p>
    <w:p w:rsidR="00BE0324" w:rsidRDefault="001C3198" w:rsidP="00ED08A4">
      <w:pPr>
        <w:keepNext/>
        <w:spacing w:before="240" w:after="240" w:line="240" w:lineRule="auto"/>
        <w:jc w:val="both"/>
        <w:rPr>
          <w:b/>
          <w:sz w:val="28"/>
          <w:szCs w:val="28"/>
        </w:rPr>
      </w:pPr>
      <w:r w:rsidRPr="000A241B">
        <w:rPr>
          <w:b/>
          <w:sz w:val="28"/>
          <w:szCs w:val="28"/>
        </w:rPr>
        <w:t>Általános útmutató</w:t>
      </w:r>
    </w:p>
    <w:p w:rsidR="00BE0324" w:rsidRDefault="00397869" w:rsidP="00BE0324">
      <w:pPr>
        <w:spacing w:after="120" w:line="240" w:lineRule="auto"/>
        <w:ind w:left="360"/>
        <w:jc w:val="both"/>
      </w:pPr>
      <w:r>
        <w:t>A két felmérés</w:t>
      </w:r>
      <w:r w:rsidR="000566FF">
        <w:t xml:space="preserve">t </w:t>
      </w:r>
      <w:r w:rsidR="000F17A3">
        <w:t>–</w:t>
      </w:r>
      <w:r>
        <w:t xml:space="preserve"> a biztosítók</w:t>
      </w:r>
      <w:r w:rsidR="0056343F">
        <w:t xml:space="preserve"> adott időszakban várható</w:t>
      </w:r>
      <w:r>
        <w:t xml:space="preserve"> szűk erőforrásaira</w:t>
      </w:r>
      <w:r w:rsidR="008E7734">
        <w:t>,</w:t>
      </w:r>
      <w:r w:rsidR="000566FF">
        <w:t xml:space="preserve"> rendelkezésre álló számítási kapacitásaira,</w:t>
      </w:r>
      <w:r w:rsidR="008E7734">
        <w:t xml:space="preserve"> illetve a</w:t>
      </w:r>
      <w:r w:rsidR="0056343F">
        <w:t xml:space="preserve"> nemzetközi </w:t>
      </w:r>
      <w:r w:rsidR="008E7734">
        <w:t>EIOPA alacsony hozamkörnyezet felm</w:t>
      </w:r>
      <w:r>
        <w:t xml:space="preserve">érés időbeli késleltetésére tekintettel – </w:t>
      </w:r>
      <w:r w:rsidR="00BE0324">
        <w:t xml:space="preserve">az alábbiak szerint </w:t>
      </w:r>
      <w:r w:rsidR="00C01156">
        <w:t>kérnénk a biztosítóktól lefolytatni:</w:t>
      </w:r>
    </w:p>
    <w:p w:rsidR="00C01156" w:rsidRDefault="00C01156" w:rsidP="00BE0324">
      <w:pPr>
        <w:spacing w:after="120" w:line="240" w:lineRule="auto"/>
        <w:ind w:left="360"/>
        <w:jc w:val="both"/>
      </w:pPr>
      <w:r>
        <w:t xml:space="preserve">1. A hazai mennyiségi hatástanulmányban a „2. Forgatókönyvek” pontban jelzett szcenáriók </w:t>
      </w:r>
      <w:r w:rsidR="00A96F6B">
        <w:t xml:space="preserve">eredményét kérnénk kiszámítani és megküldeni 2014. április 30-ig. </w:t>
      </w:r>
      <w:r w:rsidR="00142BC1">
        <w:t>Az alkalmazandó technikai specifikáció</w:t>
      </w:r>
      <w:r w:rsidR="00E90BDA">
        <w:t xml:space="preserve"> az „1. Technikai specifikáció” részben hivatkozott, LTG hatásfelmérés során is használt </w:t>
      </w:r>
      <w:r w:rsidR="00390D5B">
        <w:t>„</w:t>
      </w:r>
      <w:r w:rsidR="00E90BDA">
        <w:t>TS Part I</w:t>
      </w:r>
      <w:r w:rsidR="00390D5B">
        <w:t>”</w:t>
      </w:r>
      <w:r w:rsidR="00E90BDA">
        <w:t xml:space="preserve"> és </w:t>
      </w:r>
      <w:r w:rsidR="00390D5B">
        <w:t>„</w:t>
      </w:r>
      <w:r w:rsidR="00E90BDA">
        <w:t>TS Part II</w:t>
      </w:r>
      <w:r w:rsidR="00390D5B">
        <w:t>”</w:t>
      </w:r>
      <w:r w:rsidR="00E90BDA">
        <w:t xml:space="preserve"> specifikáció az ott jelzett eltérésekkel.</w:t>
      </w:r>
      <w:r w:rsidR="00142BC1">
        <w:t xml:space="preserve"> </w:t>
      </w:r>
      <w:r w:rsidR="00A96F6B">
        <w:t>Az eredményeket a mellék</w:t>
      </w:r>
      <w:r w:rsidR="00E94573">
        <w:t>el</w:t>
      </w:r>
      <w:r w:rsidR="00A96F6B">
        <w:t>t</w:t>
      </w:r>
      <w:r w:rsidR="00E94573">
        <w:t>,</w:t>
      </w:r>
      <w:r w:rsidR="00A96F6B">
        <w:t xml:space="preserve"> LTG felmérés során használt </w:t>
      </w:r>
      <w:r w:rsidR="00E94573">
        <w:t xml:space="preserve">leegyszerűsített </w:t>
      </w:r>
      <w:r w:rsidR="00A96F6B">
        <w:t>Excel-táblában kérnénk megjeleníte</w:t>
      </w:r>
      <w:r w:rsidR="00E94573">
        <w:t>ni.</w:t>
      </w:r>
    </w:p>
    <w:p w:rsidR="00E94573" w:rsidRDefault="00E94573" w:rsidP="00BE0324">
      <w:pPr>
        <w:spacing w:after="120" w:line="240" w:lineRule="auto"/>
        <w:ind w:left="360"/>
        <w:jc w:val="both"/>
      </w:pPr>
    </w:p>
    <w:p w:rsidR="00E94573" w:rsidRDefault="00E94573" w:rsidP="00BE0324">
      <w:pPr>
        <w:spacing w:after="120" w:line="240" w:lineRule="auto"/>
        <w:ind w:left="360"/>
        <w:jc w:val="both"/>
      </w:pPr>
      <w:r>
        <w:t>2. Az EIOPA alacsony hozamkörnyezet felmérés nemzetközi szi</w:t>
      </w:r>
      <w:r w:rsidR="00DC2053">
        <w:t>nten 2014. április 30-án indul. A</w:t>
      </w:r>
      <w:r w:rsidR="00C478A3">
        <w:t>z</w:t>
      </w:r>
      <w:r w:rsidR="00DC2053">
        <w:t xml:space="preserve"> </w:t>
      </w:r>
      <w:r w:rsidR="00E90BDA">
        <w:t>EIOPA</w:t>
      </w:r>
      <w:r w:rsidR="00C478A3">
        <w:t xml:space="preserve"> az átmeneti iránymutatások (interim/preparatory guidelines) időszakára</w:t>
      </w:r>
      <w:r w:rsidR="00E90BDA">
        <w:t xml:space="preserve"> külön </w:t>
      </w:r>
      <w:r w:rsidR="00390D5B">
        <w:t>technikai specifikációt</w:t>
      </w:r>
      <w:r w:rsidR="00DC2053">
        <w:t xml:space="preserve"> </w:t>
      </w:r>
      <w:r w:rsidR="003478AF">
        <w:t>készít</w:t>
      </w:r>
      <w:r w:rsidR="00DC2053">
        <w:t>,</w:t>
      </w:r>
      <w:r w:rsidR="003478AF">
        <w:t xml:space="preserve"> amely egyben a felmérés módszertanát is adja</w:t>
      </w:r>
      <w:r w:rsidR="00B22ACC">
        <w:t xml:space="preserve">. </w:t>
      </w:r>
      <w:r w:rsidR="006A242A">
        <w:t xml:space="preserve">Jelentősebb változás előzetes ismereteink szerint </w:t>
      </w:r>
      <w:r w:rsidR="00B22ACC">
        <w:t xml:space="preserve">tartalmilag </w:t>
      </w:r>
      <w:r w:rsidR="006A242A">
        <w:t>csak a hosszú távú garanciákra vonatkozó intézkedések</w:t>
      </w:r>
      <w:r w:rsidR="00390D5B">
        <w:t xml:space="preserve"> </w:t>
      </w:r>
      <w:r w:rsidR="0056343F">
        <w:t>„</w:t>
      </w:r>
      <w:r w:rsidR="00390D5B">
        <w:t>TS Part I</w:t>
      </w:r>
      <w:r w:rsidR="006A242A">
        <w:t>I</w:t>
      </w:r>
      <w:r w:rsidR="0056343F">
        <w:t>”</w:t>
      </w:r>
      <w:r w:rsidR="000922C0">
        <w:t xml:space="preserve"> </w:t>
      </w:r>
      <w:r w:rsidR="004C5C80">
        <w:t xml:space="preserve">elnevezésű </w:t>
      </w:r>
      <w:r w:rsidR="000922C0">
        <w:t>specifikáció</w:t>
      </w:r>
      <w:r w:rsidR="004C5C80">
        <w:t>jának</w:t>
      </w:r>
      <w:r w:rsidR="00390D5B">
        <w:t xml:space="preserve"> </w:t>
      </w:r>
      <w:r w:rsidR="000922C0">
        <w:t>tartalmában várható</w:t>
      </w:r>
      <w:r w:rsidR="00390D5B">
        <w:t>.</w:t>
      </w:r>
      <w:r w:rsidR="00DC2053">
        <w:t xml:space="preserve"> A felméréshez külön Excel-táblázatot </w:t>
      </w:r>
      <w:r w:rsidR="00182DF0">
        <w:t>készít</w:t>
      </w:r>
      <w:r w:rsidR="00DC2053">
        <w:t xml:space="preserve"> az EIOPA, amely</w:t>
      </w:r>
      <w:r w:rsidR="00D136A4">
        <w:t xml:space="preserve">et az MNB haladéktalanul meg fog küldeni a biztosítók részére. </w:t>
      </w:r>
      <w:r w:rsidR="00DC2053">
        <w:t xml:space="preserve">Az EIOPA által meghatározott hozamszcenáriók eredményeit kérjük 2014. </w:t>
      </w:r>
      <w:r w:rsidR="00B23FDB">
        <w:t>június 20</w:t>
      </w:r>
      <w:r w:rsidR="00DC2053">
        <w:t>-ig megküldeni.</w:t>
      </w:r>
      <w:r w:rsidR="00B23FDB">
        <w:t xml:space="preserve"> A felméréshez kapcsolódó dokumentumok</w:t>
      </w:r>
      <w:r w:rsidR="00333159">
        <w:t xml:space="preserve"> elérhetőségéről az MNB tájékoztatást fog nyújtani a </w:t>
      </w:r>
      <w:r w:rsidR="00B229DF">
        <w:t>B</w:t>
      </w:r>
      <w:r w:rsidR="00333159">
        <w:t>iztosítónak.</w:t>
      </w:r>
    </w:p>
    <w:p w:rsidR="00BE0324" w:rsidRPr="00BE0324" w:rsidRDefault="00BE0324" w:rsidP="00BE0324">
      <w:pPr>
        <w:spacing w:after="120" w:line="240" w:lineRule="auto"/>
        <w:ind w:left="360"/>
        <w:jc w:val="both"/>
      </w:pPr>
    </w:p>
    <w:p w:rsidR="00E401BD" w:rsidRPr="00E401BD" w:rsidRDefault="00E401BD" w:rsidP="009B1B02">
      <w:pPr>
        <w:numPr>
          <w:ilvl w:val="0"/>
          <w:numId w:val="8"/>
        </w:numPr>
        <w:spacing w:after="120" w:line="240" w:lineRule="auto"/>
        <w:jc w:val="both"/>
        <w:rPr>
          <w:i/>
        </w:rPr>
      </w:pPr>
      <w:r w:rsidRPr="00E401BD">
        <w:rPr>
          <w:i/>
        </w:rPr>
        <w:t>Technikai specifikáció</w:t>
      </w:r>
    </w:p>
    <w:p w:rsidR="005F379E" w:rsidRDefault="00A94292" w:rsidP="00E401BD">
      <w:pPr>
        <w:spacing w:after="120" w:line="240" w:lineRule="auto"/>
        <w:ind w:left="360"/>
        <w:jc w:val="both"/>
      </w:pPr>
      <w:r>
        <w:t xml:space="preserve">A hazai </w:t>
      </w:r>
      <w:r w:rsidR="000462C6">
        <w:t xml:space="preserve">mennyiségi </w:t>
      </w:r>
      <w:r>
        <w:t xml:space="preserve">hatástanulmány </w:t>
      </w:r>
      <w:r w:rsidR="000452F2" w:rsidRPr="000A241B">
        <w:t xml:space="preserve">alapvetően </w:t>
      </w:r>
      <w:r w:rsidR="000452F2" w:rsidRPr="003E62F6">
        <w:rPr>
          <w:b/>
        </w:rPr>
        <w:t>a</w:t>
      </w:r>
      <w:r w:rsidR="00AD0286">
        <w:rPr>
          <w:b/>
        </w:rPr>
        <w:t>z EIOPA által</w:t>
      </w:r>
      <w:r w:rsidRPr="003E62F6">
        <w:rPr>
          <w:b/>
        </w:rPr>
        <w:t xml:space="preserve"> 2013-ban </w:t>
      </w:r>
      <w:r w:rsidR="00AD0286">
        <w:rPr>
          <w:b/>
        </w:rPr>
        <w:t>lefolytatott</w:t>
      </w:r>
      <w:r w:rsidR="00AD0286" w:rsidRPr="003E62F6">
        <w:rPr>
          <w:b/>
        </w:rPr>
        <w:t xml:space="preserve"> </w:t>
      </w:r>
      <w:r w:rsidRPr="003E62F6">
        <w:rPr>
          <w:b/>
        </w:rPr>
        <w:t>hosszú távú garanciás (LTG) hatásfelmérés</w:t>
      </w:r>
      <w:r w:rsidR="00AD0286">
        <w:rPr>
          <w:b/>
        </w:rPr>
        <w:t>hez</w:t>
      </w:r>
      <w:r w:rsidRPr="003E62F6">
        <w:rPr>
          <w:b/>
        </w:rPr>
        <w:t xml:space="preserve"> kiadott </w:t>
      </w:r>
      <w:r w:rsidR="000452F2" w:rsidRPr="003E62F6">
        <w:rPr>
          <w:b/>
        </w:rPr>
        <w:t>módszertani útmutató</w:t>
      </w:r>
      <w:r w:rsidR="00F3058A" w:rsidRPr="003E62F6">
        <w:rPr>
          <w:b/>
        </w:rPr>
        <w:t>k</w:t>
      </w:r>
      <w:r w:rsidR="00F3058A">
        <w:t>at</w:t>
      </w:r>
      <w:r>
        <w:t xml:space="preserve">, a </w:t>
      </w:r>
      <w:r w:rsidR="004015BF">
        <w:t>Technical Specification I</w:t>
      </w:r>
      <w:r>
        <w:t xml:space="preserve"> (</w:t>
      </w:r>
      <w:r w:rsidR="00F3058A">
        <w:t xml:space="preserve">TS </w:t>
      </w:r>
      <w:r w:rsidR="00066F70">
        <w:t>Part I)</w:t>
      </w:r>
      <w:r w:rsidR="004015BF">
        <w:t xml:space="preserve"> és Technical Specification II</w:t>
      </w:r>
      <w:r>
        <w:t xml:space="preserve"> </w:t>
      </w:r>
      <w:r w:rsidR="009672F6">
        <w:t>(</w:t>
      </w:r>
      <w:r w:rsidR="00F3058A">
        <w:t xml:space="preserve">TS </w:t>
      </w:r>
      <w:r w:rsidR="00066F70">
        <w:t xml:space="preserve">Part </w:t>
      </w:r>
      <w:r w:rsidR="00F3058A">
        <w:t>II</w:t>
      </w:r>
      <w:r w:rsidR="000452F2" w:rsidRPr="000A241B">
        <w:t xml:space="preserve">) </w:t>
      </w:r>
      <w:r w:rsidR="00066F70">
        <w:t>dokumentumokat</w:t>
      </w:r>
      <w:r w:rsidR="00066F70" w:rsidRPr="000A241B">
        <w:t xml:space="preserve"> </w:t>
      </w:r>
      <w:r w:rsidR="000452F2" w:rsidRPr="000A241B">
        <w:t>követi</w:t>
      </w:r>
      <w:r w:rsidR="00F3058A">
        <w:t>.</w:t>
      </w:r>
      <w:r w:rsidR="005F379E" w:rsidRPr="005F379E">
        <w:t xml:space="preserve"> </w:t>
      </w:r>
    </w:p>
    <w:p w:rsidR="005F379E" w:rsidRDefault="005F379E" w:rsidP="005F379E">
      <w:pPr>
        <w:spacing w:after="120" w:line="240" w:lineRule="auto"/>
        <w:ind w:left="425"/>
        <w:jc w:val="both"/>
      </w:pPr>
      <w:r w:rsidRPr="000A241B">
        <w:t xml:space="preserve">A technikai specifikáció és a hatástanulmányhoz kapcsolódó egyéb dokumentumok az EIOPA honlapjáról tölthetők le: </w:t>
      </w:r>
    </w:p>
    <w:p w:rsidR="00B8289D" w:rsidRDefault="003E1F48" w:rsidP="005F379E">
      <w:pPr>
        <w:spacing w:after="120" w:line="240" w:lineRule="auto"/>
        <w:ind w:left="425"/>
        <w:jc w:val="both"/>
      </w:pPr>
      <w:hyperlink r:id="rId9" w:history="1">
        <w:r w:rsidR="005F379E" w:rsidRPr="000A241B">
          <w:rPr>
            <w:rStyle w:val="Hiperhivatkozs"/>
          </w:rPr>
          <w:t>https://eiopa.europa.eu/en/consultations/qis/insurance/long-term-guarantees-assessment/technical-specifications/index.html.</w:t>
        </w:r>
      </w:hyperlink>
    </w:p>
    <w:p w:rsidR="00E401BD" w:rsidRDefault="00E401BD" w:rsidP="005F379E">
      <w:pPr>
        <w:spacing w:after="120" w:line="240" w:lineRule="auto"/>
        <w:ind w:left="425"/>
        <w:jc w:val="both"/>
      </w:pPr>
    </w:p>
    <w:p w:rsidR="00F3058A" w:rsidRDefault="00F3058A" w:rsidP="00F3058A">
      <w:pPr>
        <w:spacing w:after="120" w:line="240" w:lineRule="auto"/>
        <w:ind w:left="425"/>
        <w:jc w:val="both"/>
      </w:pPr>
      <w:r>
        <w:lastRenderedPageBreak/>
        <w:t xml:space="preserve">A </w:t>
      </w:r>
      <w:r w:rsidR="009205CA" w:rsidRPr="009205CA">
        <w:rPr>
          <w:b/>
          <w:u w:val="single"/>
        </w:rPr>
        <w:t>„</w:t>
      </w:r>
      <w:r w:rsidRPr="009205CA">
        <w:rPr>
          <w:b/>
          <w:u w:val="single"/>
        </w:rPr>
        <w:t xml:space="preserve">TS </w:t>
      </w:r>
      <w:r w:rsidR="009205CA" w:rsidRPr="009205CA">
        <w:rPr>
          <w:b/>
          <w:u w:val="single"/>
        </w:rPr>
        <w:t>Part I”</w:t>
      </w:r>
      <w:r>
        <w:t xml:space="preserve"> </w:t>
      </w:r>
      <w:r w:rsidR="001C7825">
        <w:t>esetében – a</w:t>
      </w:r>
      <w:r w:rsidR="00375F44">
        <w:t>z alább</w:t>
      </w:r>
      <w:r w:rsidR="001C7825">
        <w:t xml:space="preserve"> felsoroltak </w:t>
      </w:r>
      <w:r w:rsidR="00333159">
        <w:t xml:space="preserve">kivételével </w:t>
      </w:r>
      <w:r w:rsidR="00C64CF0">
        <w:t>– ne</w:t>
      </w:r>
      <w:r w:rsidR="00490B16">
        <w:t>m</w:t>
      </w:r>
      <w:r w:rsidR="00C64CF0">
        <w:t xml:space="preserve"> történt </w:t>
      </w:r>
      <w:r w:rsidR="001C7825">
        <w:t xml:space="preserve">érdemi </w:t>
      </w:r>
      <w:r w:rsidR="00CB5F92">
        <w:t>módszertani változás</w:t>
      </w:r>
      <w:r w:rsidR="00270BFE">
        <w:t>:</w:t>
      </w:r>
    </w:p>
    <w:p w:rsidR="00CB5F92" w:rsidRDefault="00270BFE" w:rsidP="00CB5F92">
      <w:pPr>
        <w:pStyle w:val="Listaszerbekezds"/>
        <w:numPr>
          <w:ilvl w:val="0"/>
          <w:numId w:val="5"/>
        </w:numPr>
        <w:spacing w:after="120" w:line="240" w:lineRule="auto"/>
        <w:jc w:val="both"/>
      </w:pPr>
      <w:r>
        <w:t xml:space="preserve">az EIOPA meghatározta a katasztrófakockázati </w:t>
      </w:r>
      <w:r w:rsidR="00515A29" w:rsidRPr="00584F31">
        <w:rPr>
          <w:b/>
        </w:rPr>
        <w:t>tőkeszükséglet</w:t>
      </w:r>
      <w:r w:rsidR="00515A29">
        <w:rPr>
          <w:b/>
        </w:rPr>
        <w:t xml:space="preserve"> kiszámításához</w:t>
      </w:r>
      <w:r w:rsidR="00515A29" w:rsidRPr="00584F31">
        <w:rPr>
          <w:b/>
        </w:rPr>
        <w:t xml:space="preserve"> </w:t>
      </w:r>
      <w:r w:rsidRPr="00584F31">
        <w:rPr>
          <w:b/>
        </w:rPr>
        <w:t xml:space="preserve">a </w:t>
      </w:r>
      <w:r w:rsidRPr="0007559B">
        <w:rPr>
          <w:b/>
        </w:rPr>
        <w:t>CAT (CRESTA) zónák</w:t>
      </w:r>
      <w:r w:rsidRPr="0007559B">
        <w:t>at</w:t>
      </w:r>
      <w:r w:rsidR="00CB5F92">
        <w:t xml:space="preserve"> </w:t>
      </w:r>
      <w:r w:rsidR="00CB5F92" w:rsidRPr="00792442">
        <w:t>(a számításhoz szükséges segédtábl</w:t>
      </w:r>
      <w:r w:rsidR="009672F6" w:rsidRPr="00792442">
        <w:t xml:space="preserve">a megtalálható a </w:t>
      </w:r>
      <w:r w:rsidR="00F97C86" w:rsidRPr="00792442">
        <w:t>mellékletek között</w:t>
      </w:r>
      <w:r w:rsidR="00792442" w:rsidRPr="00792442">
        <w:t xml:space="preserve"> CAT_20131202 EIOPA Helper tab CAT.xlsm</w:t>
      </w:r>
      <w:r w:rsidR="00CB5F92" w:rsidRPr="00792442">
        <w:t>)</w:t>
      </w:r>
      <w:r w:rsidR="00F97C86" w:rsidRPr="00792442">
        <w:t>.</w:t>
      </w:r>
    </w:p>
    <w:p w:rsidR="00360610" w:rsidRDefault="007E0134" w:rsidP="00360610">
      <w:pPr>
        <w:pStyle w:val="Listaszerbekezds"/>
        <w:numPr>
          <w:ilvl w:val="0"/>
          <w:numId w:val="5"/>
        </w:numPr>
        <w:spacing w:after="120" w:line="240" w:lineRule="auto"/>
        <w:jc w:val="both"/>
      </w:pPr>
      <w:r>
        <w:t xml:space="preserve">A </w:t>
      </w:r>
      <w:r w:rsidR="00CA22C7">
        <w:t>kamatrés-kockázat esetében jelentős változások történtek, azonban véleményünk szerint e</w:t>
      </w:r>
      <w:r w:rsidR="003A3406">
        <w:t>nnek mennyiségi hatása</w:t>
      </w:r>
      <w:r w:rsidR="00CA22C7">
        <w:t xml:space="preserve"> a hazai biztosítók eszköz-összetétele miatt elhanyagolható hatás</w:t>
      </w:r>
      <w:r w:rsidR="003A3406">
        <w:t xml:space="preserve">ú, így kérjük ezen kockázati almodul esetében a </w:t>
      </w:r>
      <w:r w:rsidR="00515A29">
        <w:t>„</w:t>
      </w:r>
      <w:r w:rsidR="003A3406">
        <w:t xml:space="preserve">TS </w:t>
      </w:r>
      <w:r w:rsidR="00515A29">
        <w:t xml:space="preserve">Part </w:t>
      </w:r>
      <w:r w:rsidR="003A3406">
        <w:t>I</w:t>
      </w:r>
      <w:r w:rsidR="00515A29">
        <w:t>”</w:t>
      </w:r>
      <w:r w:rsidR="00AC01B6">
        <w:t xml:space="preserve"> specifikációt figyelembe venni</w:t>
      </w:r>
      <w:r>
        <w:t>.</w:t>
      </w:r>
    </w:p>
    <w:p w:rsidR="007E0134" w:rsidRDefault="007E0134" w:rsidP="007E0134">
      <w:pPr>
        <w:pStyle w:val="Listaszerbekezds"/>
        <w:spacing w:after="120" w:line="240" w:lineRule="auto"/>
        <w:ind w:left="1145"/>
        <w:jc w:val="both"/>
      </w:pPr>
    </w:p>
    <w:p w:rsidR="00360610" w:rsidRPr="008819C3" w:rsidRDefault="007E0134" w:rsidP="00360610">
      <w:pPr>
        <w:pStyle w:val="Listaszerbekezds"/>
        <w:numPr>
          <w:ilvl w:val="0"/>
          <w:numId w:val="5"/>
        </w:numPr>
        <w:spacing w:after="120" w:line="240" w:lineRule="auto"/>
        <w:jc w:val="both"/>
      </w:pPr>
      <w:r w:rsidRPr="008819C3">
        <w:t>A</w:t>
      </w:r>
      <w:r w:rsidR="00375F44" w:rsidRPr="008819C3">
        <w:t>z EIOPA állásfoglalás</w:t>
      </w:r>
      <w:r w:rsidR="006914E1" w:rsidRPr="008819C3">
        <w:t>a</w:t>
      </w:r>
      <w:r w:rsidR="00760B07" w:rsidRPr="008819C3">
        <w:rPr>
          <w:rStyle w:val="Lbjegyzet-hivatkozs"/>
        </w:rPr>
        <w:footnoteReference w:id="1"/>
      </w:r>
      <w:r w:rsidR="006914E1" w:rsidRPr="008819C3">
        <w:t xml:space="preserve"> alapján </w:t>
      </w:r>
      <w:r w:rsidR="00375F44" w:rsidRPr="008819C3">
        <w:t>a</w:t>
      </w:r>
      <w:r w:rsidR="001C7825" w:rsidRPr="008819C3">
        <w:t xml:space="preserve"> működési kockázat</w:t>
      </w:r>
      <w:r w:rsidR="00F97C86" w:rsidRPr="008819C3">
        <w:t>i</w:t>
      </w:r>
      <w:r w:rsidR="00375F44" w:rsidRPr="008819C3">
        <w:t xml:space="preserve"> </w:t>
      </w:r>
      <w:r w:rsidR="00065F50" w:rsidRPr="008819C3">
        <w:t>tőkeszükséglet számítása során</w:t>
      </w:r>
      <w:r w:rsidR="00375F44" w:rsidRPr="008819C3">
        <w:t xml:space="preserve"> a unit-linked költségek </w:t>
      </w:r>
      <w:r w:rsidR="00A74985" w:rsidRPr="008819C3">
        <w:t>(Exp</w:t>
      </w:r>
      <w:r w:rsidR="00A74985" w:rsidRPr="008819C3">
        <w:rPr>
          <w:vertAlign w:val="subscript"/>
        </w:rPr>
        <w:t>UL</w:t>
      </w:r>
      <w:r w:rsidR="00A74985" w:rsidRPr="008819C3">
        <w:t>) közé nem kell beszámítani a szerzési költségeket.</w:t>
      </w:r>
      <w:r w:rsidR="00360610" w:rsidRPr="008819C3">
        <w:rPr>
          <w:b/>
        </w:rPr>
        <w:t xml:space="preserve"> </w:t>
      </w:r>
    </w:p>
    <w:p w:rsidR="00F97C86" w:rsidRPr="00F97C86" w:rsidRDefault="00F97C86" w:rsidP="00F97C86">
      <w:pPr>
        <w:pStyle w:val="Listaszerbekezds"/>
        <w:spacing w:after="120" w:line="240" w:lineRule="auto"/>
        <w:ind w:left="1145"/>
        <w:jc w:val="both"/>
      </w:pPr>
    </w:p>
    <w:p w:rsidR="00F97C86" w:rsidRDefault="00F97C86" w:rsidP="00F97C86">
      <w:pPr>
        <w:pStyle w:val="Listaszerbekezds"/>
        <w:spacing w:after="120" w:line="240" w:lineRule="auto"/>
        <w:ind w:left="1145"/>
        <w:jc w:val="both"/>
      </w:pPr>
      <w:r>
        <w:rPr>
          <w:rFonts w:ascii="Arial" w:hAnsi="Arial"/>
          <w:noProof/>
          <w:sz w:val="20"/>
          <w:lang w:eastAsia="hu-HU"/>
        </w:rPr>
        <w:drawing>
          <wp:inline distT="0" distB="0" distL="0" distR="0">
            <wp:extent cx="2971800" cy="2413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71800" cy="241300"/>
                    </a:xfrm>
                    <a:prstGeom prst="rect">
                      <a:avLst/>
                    </a:prstGeom>
                    <a:noFill/>
                    <a:ln w="9525">
                      <a:noFill/>
                      <a:miter lim="800000"/>
                      <a:headEnd/>
                      <a:tailEnd/>
                    </a:ln>
                  </pic:spPr>
                </pic:pic>
              </a:graphicData>
            </a:graphic>
          </wp:inline>
        </w:drawing>
      </w:r>
    </w:p>
    <w:p w:rsidR="007E0134" w:rsidRPr="00360610" w:rsidRDefault="007E0134" w:rsidP="00F97C86">
      <w:pPr>
        <w:pStyle w:val="Listaszerbekezds"/>
        <w:spacing w:after="120" w:line="240" w:lineRule="auto"/>
        <w:ind w:left="1145"/>
        <w:jc w:val="both"/>
      </w:pPr>
    </w:p>
    <w:p w:rsidR="00360610" w:rsidRDefault="00544CF1" w:rsidP="00360610">
      <w:pPr>
        <w:pStyle w:val="Listaszerbekezds"/>
        <w:numPr>
          <w:ilvl w:val="0"/>
          <w:numId w:val="5"/>
        </w:numPr>
        <w:spacing w:after="120" w:line="240" w:lineRule="auto"/>
        <w:jc w:val="both"/>
      </w:pPr>
      <w:r>
        <w:t xml:space="preserve">Tekintettel arra, hogy </w:t>
      </w:r>
      <w:r w:rsidR="000D70C9">
        <w:t xml:space="preserve">az EIOPA </w:t>
      </w:r>
      <w:r>
        <w:t xml:space="preserve">jelenleg még </w:t>
      </w:r>
      <w:r w:rsidR="000D70C9">
        <w:t xml:space="preserve">nem határozott meg </w:t>
      </w:r>
      <w:r>
        <w:t>alkalmas részvényindex</w:t>
      </w:r>
      <w:r w:rsidR="000D70C9">
        <w:t>et</w:t>
      </w:r>
      <w:r w:rsidR="00442C67">
        <w:t xml:space="preserve"> (vagy indexkosa</w:t>
      </w:r>
      <w:r>
        <w:t>r</w:t>
      </w:r>
      <w:r w:rsidR="000D70C9">
        <w:t>at</w:t>
      </w:r>
      <w:r w:rsidR="00330CD0">
        <w:t xml:space="preserve">) a szimmetrikus kiigazítás (SA) számításához, </w:t>
      </w:r>
      <w:r w:rsidR="000D70C9">
        <w:t xml:space="preserve">az SA </w:t>
      </w:r>
      <w:r w:rsidR="00442C67">
        <w:t>értéké</w:t>
      </w:r>
      <w:r w:rsidR="00330CD0">
        <w:t>nek meghatározásához</w:t>
      </w:r>
      <w:r w:rsidR="00442C67">
        <w:t xml:space="preserve"> </w:t>
      </w:r>
      <w:r w:rsidR="000D70C9">
        <w:t xml:space="preserve">a BUX </w:t>
      </w:r>
      <w:r w:rsidR="00065F50">
        <w:t>részvényindex napi záróárfolyamait vettük alapul</w:t>
      </w:r>
      <w:r w:rsidR="000D70C9">
        <w:t xml:space="preserve">. </w:t>
      </w:r>
      <w:r w:rsidR="00360610" w:rsidRPr="00763F4E">
        <w:t xml:space="preserve">A részvénykockázati almodul esetében </w:t>
      </w:r>
      <w:r w:rsidR="00763F4E">
        <w:t xml:space="preserve">a </w:t>
      </w:r>
      <w:r w:rsidR="00360610" w:rsidRPr="00763F4E">
        <w:t xml:space="preserve">szimmetrikus kiigazítás (SA) mértékének </w:t>
      </w:r>
      <w:r w:rsidR="00360610" w:rsidRPr="008819C3">
        <w:t>-5 százalékpontot</w:t>
      </w:r>
      <w:r w:rsidR="00360610" w:rsidRPr="00763F4E">
        <w:t xml:space="preserve"> </w:t>
      </w:r>
      <w:r w:rsidR="00104A9F" w:rsidRPr="00763F4E">
        <w:t>tekint</w:t>
      </w:r>
      <w:r w:rsidR="00104A9F">
        <w:t>ünk</w:t>
      </w:r>
      <w:r w:rsidR="00360610" w:rsidRPr="00763F4E">
        <w:t xml:space="preserve">, így </w:t>
      </w:r>
      <w:r w:rsidR="00763F4E" w:rsidRPr="00763F4E">
        <w:t>az</w:t>
      </w:r>
      <w:r w:rsidR="00763F4E">
        <w:t xml:space="preserve"> alábbi részvénysokkokat kérjük alkalmazni</w:t>
      </w:r>
      <w:r w:rsidR="00104A9F">
        <w:t xml:space="preserve"> a részvénykockázati almodulban</w:t>
      </w:r>
      <w:r w:rsidR="00763F4E">
        <w:t>:</w:t>
      </w:r>
    </w:p>
    <w:p w:rsidR="00763F4E" w:rsidRPr="00763F4E" w:rsidRDefault="00763F4E" w:rsidP="00763F4E">
      <w:pPr>
        <w:pStyle w:val="Listaszerbekezds"/>
        <w:spacing w:after="120" w:line="240" w:lineRule="auto"/>
        <w:ind w:left="114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007"/>
        <w:gridCol w:w="993"/>
      </w:tblGrid>
      <w:tr w:rsidR="00763F4E" w:rsidRPr="00597D32" w:rsidTr="00763F4E">
        <w:trPr>
          <w:trHeight w:hRule="exact" w:val="340"/>
          <w:jc w:val="center"/>
        </w:trPr>
        <w:tc>
          <w:tcPr>
            <w:tcW w:w="3070" w:type="dxa"/>
            <w:shd w:val="clear" w:color="auto" w:fill="232157"/>
            <w:vAlign w:val="bottom"/>
          </w:tcPr>
          <w:p w:rsidR="00763F4E" w:rsidRPr="00597D32" w:rsidRDefault="00763F4E" w:rsidP="00763F4E">
            <w:pPr>
              <w:spacing w:after="240" w:line="240" w:lineRule="auto"/>
              <w:jc w:val="center"/>
              <w:rPr>
                <w:b/>
                <w:color w:val="FFFFFF"/>
              </w:rPr>
            </w:pPr>
          </w:p>
        </w:tc>
        <w:tc>
          <w:tcPr>
            <w:tcW w:w="1007" w:type="dxa"/>
            <w:shd w:val="clear" w:color="auto" w:fill="232157"/>
            <w:vAlign w:val="bottom"/>
          </w:tcPr>
          <w:p w:rsidR="00763F4E" w:rsidRPr="00597D32" w:rsidRDefault="00763F4E" w:rsidP="00763F4E">
            <w:pPr>
              <w:spacing w:after="240" w:line="240" w:lineRule="auto"/>
              <w:jc w:val="center"/>
              <w:rPr>
                <w:b/>
                <w:i/>
                <w:color w:val="FFFFFF"/>
              </w:rPr>
            </w:pPr>
            <w:r w:rsidRPr="00597D32">
              <w:rPr>
                <w:b/>
                <w:i/>
                <w:color w:val="FFFFFF"/>
              </w:rPr>
              <w:t>Global</w:t>
            </w:r>
          </w:p>
        </w:tc>
        <w:tc>
          <w:tcPr>
            <w:tcW w:w="993" w:type="dxa"/>
            <w:shd w:val="clear" w:color="auto" w:fill="232157"/>
            <w:vAlign w:val="bottom"/>
          </w:tcPr>
          <w:p w:rsidR="00763F4E" w:rsidRPr="00597D32" w:rsidRDefault="00763F4E" w:rsidP="00763F4E">
            <w:pPr>
              <w:spacing w:after="240" w:line="240" w:lineRule="auto"/>
              <w:jc w:val="center"/>
              <w:rPr>
                <w:b/>
                <w:i/>
                <w:color w:val="FFFFFF"/>
              </w:rPr>
            </w:pPr>
            <w:r w:rsidRPr="00597D32">
              <w:rPr>
                <w:b/>
                <w:i/>
                <w:color w:val="FFFFFF"/>
              </w:rPr>
              <w:t>Other</w:t>
            </w:r>
          </w:p>
        </w:tc>
      </w:tr>
      <w:tr w:rsidR="00763F4E" w:rsidRPr="000A241B" w:rsidTr="008819C3">
        <w:trPr>
          <w:trHeight w:hRule="exact" w:val="340"/>
          <w:jc w:val="center"/>
        </w:trPr>
        <w:tc>
          <w:tcPr>
            <w:tcW w:w="3070" w:type="dxa"/>
            <w:vAlign w:val="bottom"/>
          </w:tcPr>
          <w:p w:rsidR="00763F4E" w:rsidRPr="000A241B" w:rsidRDefault="00763F4E" w:rsidP="00763F4E">
            <w:pPr>
              <w:spacing w:after="240" w:line="240" w:lineRule="auto"/>
              <w:jc w:val="center"/>
              <w:rPr>
                <w:i/>
                <w:highlight w:val="yellow"/>
              </w:rPr>
            </w:pPr>
            <w:r w:rsidRPr="00597D32">
              <w:rPr>
                <w:i/>
              </w:rPr>
              <w:t>equity shock</w:t>
            </w:r>
            <w:r w:rsidRPr="00597D32">
              <w:rPr>
                <w:i/>
                <w:vertAlign w:val="subscript"/>
              </w:rPr>
              <w:t>i</w:t>
            </w:r>
          </w:p>
        </w:tc>
        <w:tc>
          <w:tcPr>
            <w:tcW w:w="1007" w:type="dxa"/>
            <w:shd w:val="clear" w:color="auto" w:fill="auto"/>
            <w:vAlign w:val="bottom"/>
          </w:tcPr>
          <w:p w:rsidR="00763F4E" w:rsidRPr="008819C3" w:rsidRDefault="00763F4E" w:rsidP="000266B4">
            <w:pPr>
              <w:spacing w:after="240" w:line="240" w:lineRule="auto"/>
              <w:jc w:val="center"/>
            </w:pPr>
            <w:r w:rsidRPr="008819C3">
              <w:t>3</w:t>
            </w:r>
            <w:r w:rsidR="000266B4" w:rsidRPr="008819C3">
              <w:t>4</w:t>
            </w:r>
            <w:r w:rsidRPr="008819C3">
              <w:t>%</w:t>
            </w:r>
          </w:p>
        </w:tc>
        <w:tc>
          <w:tcPr>
            <w:tcW w:w="993" w:type="dxa"/>
            <w:shd w:val="clear" w:color="auto" w:fill="auto"/>
            <w:vAlign w:val="bottom"/>
          </w:tcPr>
          <w:p w:rsidR="00763F4E" w:rsidRPr="008819C3" w:rsidRDefault="00763F4E" w:rsidP="000266B4">
            <w:pPr>
              <w:spacing w:after="240" w:line="240" w:lineRule="auto"/>
              <w:jc w:val="center"/>
            </w:pPr>
            <w:r w:rsidRPr="008819C3">
              <w:t>4</w:t>
            </w:r>
            <w:r w:rsidR="000266B4" w:rsidRPr="008819C3">
              <w:t>4</w:t>
            </w:r>
            <w:r w:rsidRPr="008819C3">
              <w:t>%</w:t>
            </w:r>
          </w:p>
        </w:tc>
      </w:tr>
    </w:tbl>
    <w:p w:rsidR="007E0134" w:rsidRDefault="007E0134" w:rsidP="007E0134">
      <w:pPr>
        <w:pStyle w:val="Listaszerbekezds"/>
        <w:spacing w:after="120" w:line="240" w:lineRule="auto"/>
        <w:ind w:left="1145"/>
        <w:jc w:val="both"/>
      </w:pPr>
    </w:p>
    <w:p w:rsidR="008972B0" w:rsidRDefault="007E0134" w:rsidP="0005410B">
      <w:pPr>
        <w:pStyle w:val="Listaszerbekezds"/>
        <w:numPr>
          <w:ilvl w:val="0"/>
          <w:numId w:val="5"/>
        </w:numPr>
        <w:spacing w:after="120" w:line="240" w:lineRule="auto"/>
        <w:jc w:val="both"/>
      </w:pPr>
      <w:r>
        <w:t xml:space="preserve">A </w:t>
      </w:r>
      <w:r w:rsidR="0005410B">
        <w:t>minimális tőkeszükséglet (MCR, MTSZ) abszolút alsó korlátjának az alábbi értékeket kérjük figyelembe venni:</w:t>
      </w:r>
    </w:p>
    <w:p w:rsidR="0005410B" w:rsidRDefault="0005410B" w:rsidP="0005410B">
      <w:pPr>
        <w:pStyle w:val="Listaszerbekezds"/>
        <w:spacing w:after="120" w:line="240" w:lineRule="auto"/>
        <w:ind w:left="1145"/>
        <w:jc w:val="both"/>
      </w:pPr>
    </w:p>
    <w:p w:rsidR="0005410B" w:rsidRDefault="008C36D0" w:rsidP="0005410B">
      <w:pPr>
        <w:pStyle w:val="Listaszerbekezds"/>
        <w:numPr>
          <w:ilvl w:val="1"/>
          <w:numId w:val="5"/>
        </w:numPr>
        <w:spacing w:after="120" w:line="240" w:lineRule="auto"/>
        <w:jc w:val="both"/>
      </w:pPr>
      <w:r>
        <w:t>az életbiztosítási ág esetében 3 700 000 euró;</w:t>
      </w:r>
    </w:p>
    <w:p w:rsidR="008C36D0" w:rsidRDefault="008C36D0" w:rsidP="0005410B">
      <w:pPr>
        <w:pStyle w:val="Listaszerbekezds"/>
        <w:numPr>
          <w:ilvl w:val="1"/>
          <w:numId w:val="5"/>
        </w:numPr>
        <w:spacing w:after="120" w:line="240" w:lineRule="auto"/>
        <w:jc w:val="both"/>
      </w:pPr>
      <w:r>
        <w:t>a nem-életbiztosítási ág esetében 2 500 000 euró, a</w:t>
      </w:r>
      <w:r w:rsidR="00591FF3">
        <w:t>z</w:t>
      </w:r>
      <w:r>
        <w:t>onban a 10-15. ágazatok bármelyikének művelésére vonatkozó</w:t>
      </w:r>
      <w:r w:rsidR="00EC28F3">
        <w:t xml:space="preserve"> engedéllyel rendelkező biztosító</w:t>
      </w:r>
      <w:r w:rsidR="00591FF3">
        <w:t xml:space="preserve"> esetén </w:t>
      </w:r>
      <w:r w:rsidR="00EC28F3">
        <w:t>3 700 000 euró</w:t>
      </w:r>
      <w:r w:rsidR="007E0134">
        <w:t>.</w:t>
      </w:r>
    </w:p>
    <w:p w:rsidR="009205CA" w:rsidRDefault="009205CA" w:rsidP="009205CA">
      <w:pPr>
        <w:spacing w:after="120" w:line="240" w:lineRule="auto"/>
        <w:jc w:val="both"/>
      </w:pPr>
    </w:p>
    <w:p w:rsidR="00F3058A" w:rsidRDefault="00C37D02" w:rsidP="000266B4">
      <w:pPr>
        <w:spacing w:after="120" w:line="240" w:lineRule="auto"/>
        <w:ind w:left="426"/>
        <w:jc w:val="both"/>
      </w:pPr>
      <w:r>
        <w:t xml:space="preserve">A </w:t>
      </w:r>
      <w:r w:rsidR="009205CA" w:rsidRPr="009205CA">
        <w:rPr>
          <w:b/>
          <w:u w:val="single"/>
        </w:rPr>
        <w:t>„</w:t>
      </w:r>
      <w:r w:rsidRPr="009205CA">
        <w:rPr>
          <w:b/>
          <w:u w:val="single"/>
        </w:rPr>
        <w:t>TS</w:t>
      </w:r>
      <w:r w:rsidR="009205CA" w:rsidRPr="009205CA">
        <w:rPr>
          <w:b/>
          <w:u w:val="single"/>
        </w:rPr>
        <w:t xml:space="preserve"> Part II”</w:t>
      </w:r>
      <w:r w:rsidR="009205CA">
        <w:t xml:space="preserve"> </w:t>
      </w:r>
      <w:r>
        <w:t>esetében az Omnibus II</w:t>
      </w:r>
      <w:r w:rsidR="008972B0">
        <w:t xml:space="preserve"> direktíva</w:t>
      </w:r>
      <w:r>
        <w:t xml:space="preserve"> változásaiból eredően az</w:t>
      </w:r>
      <w:r w:rsidR="00CB5F92">
        <w:t xml:space="preserve"> alábbi eltérésekre hívnánk fel a figyelmet:</w:t>
      </w:r>
    </w:p>
    <w:p w:rsidR="004A47BA" w:rsidRPr="009B1B02" w:rsidRDefault="004A47BA" w:rsidP="009B1B02">
      <w:pPr>
        <w:pStyle w:val="Listaszerbekezds"/>
        <w:numPr>
          <w:ilvl w:val="1"/>
          <w:numId w:val="9"/>
        </w:numPr>
        <w:spacing w:after="120" w:line="240" w:lineRule="auto"/>
        <w:jc w:val="both"/>
        <w:rPr>
          <w:i/>
          <w:u w:val="single"/>
        </w:rPr>
      </w:pPr>
      <w:r w:rsidRPr="009B1B02">
        <w:rPr>
          <w:i/>
          <w:u w:val="single"/>
        </w:rPr>
        <w:t>Kontraciklikus kiigazítás</w:t>
      </w:r>
      <w:r w:rsidR="0057065D" w:rsidRPr="009B1B02">
        <w:rPr>
          <w:i/>
          <w:u w:val="single"/>
        </w:rPr>
        <w:t xml:space="preserve"> (counter-cyclical premium, CCP)</w:t>
      </w:r>
    </w:p>
    <w:p w:rsidR="0057065D" w:rsidRPr="00E619FE" w:rsidRDefault="0057065D" w:rsidP="0057065D">
      <w:pPr>
        <w:spacing w:after="120" w:line="240" w:lineRule="auto"/>
        <w:ind w:left="425"/>
        <w:jc w:val="both"/>
      </w:pPr>
      <w:r>
        <w:t xml:space="preserve">Az EIOPA LTG hatástanulmányról szóló jelentésének megállapításai alapján törölték az Omnibus II direktíva-tervezetből, így </w:t>
      </w:r>
      <w:r w:rsidRPr="00E619FE">
        <w:rPr>
          <w:b/>
        </w:rPr>
        <w:t>eltérően az LTG specifikációtól</w:t>
      </w:r>
      <w:r>
        <w:rPr>
          <w:b/>
        </w:rPr>
        <w:t xml:space="preserve"> (TS Part II)</w:t>
      </w:r>
      <w:r w:rsidRPr="00E619FE">
        <w:rPr>
          <w:b/>
        </w:rPr>
        <w:t xml:space="preserve"> nem lehet alkalmazni</w:t>
      </w:r>
      <w:r>
        <w:rPr>
          <w:b/>
        </w:rPr>
        <w:t xml:space="preserve"> a Szolvencia II rendszerben</w:t>
      </w:r>
      <w:r>
        <w:t>.</w:t>
      </w:r>
    </w:p>
    <w:p w:rsidR="0057065D" w:rsidRPr="0057065D" w:rsidRDefault="0057065D" w:rsidP="004A47BA">
      <w:pPr>
        <w:spacing w:after="120" w:line="240" w:lineRule="auto"/>
        <w:ind w:left="425"/>
        <w:jc w:val="both"/>
      </w:pPr>
    </w:p>
    <w:p w:rsidR="00CF324E" w:rsidRPr="009B1B02" w:rsidRDefault="009E2625" w:rsidP="009B1B02">
      <w:pPr>
        <w:pStyle w:val="Listaszerbekezds"/>
        <w:numPr>
          <w:ilvl w:val="1"/>
          <w:numId w:val="9"/>
        </w:numPr>
        <w:spacing w:after="120" w:line="240" w:lineRule="auto"/>
        <w:jc w:val="both"/>
        <w:rPr>
          <w:i/>
          <w:u w:val="single"/>
        </w:rPr>
      </w:pPr>
      <w:r w:rsidRPr="00CE5434">
        <w:rPr>
          <w:i/>
          <w:u w:val="single"/>
        </w:rPr>
        <w:t>Volatilitási kiigazítás</w:t>
      </w:r>
      <w:r w:rsidRPr="009B1B02">
        <w:rPr>
          <w:i/>
          <w:u w:val="single"/>
        </w:rPr>
        <w:t xml:space="preserve"> (Vola</w:t>
      </w:r>
      <w:r w:rsidR="00CE5434" w:rsidRPr="009B1B02">
        <w:rPr>
          <w:i/>
          <w:u w:val="single"/>
        </w:rPr>
        <w:t xml:space="preserve">tility </w:t>
      </w:r>
      <w:r w:rsidR="007D67BA">
        <w:rPr>
          <w:i/>
          <w:u w:val="single"/>
        </w:rPr>
        <w:t>adjustment</w:t>
      </w:r>
      <w:r w:rsidR="00CE5434" w:rsidRPr="009B1B02">
        <w:rPr>
          <w:i/>
          <w:u w:val="single"/>
        </w:rPr>
        <w:t xml:space="preserve">, </w:t>
      </w:r>
      <w:r w:rsidR="007D67BA" w:rsidRPr="009B1B02">
        <w:rPr>
          <w:i/>
          <w:u w:val="single"/>
        </w:rPr>
        <w:t>V</w:t>
      </w:r>
      <w:r w:rsidR="007D67BA">
        <w:rPr>
          <w:i/>
          <w:u w:val="single"/>
        </w:rPr>
        <w:t>A</w:t>
      </w:r>
      <w:r w:rsidR="00CE5434" w:rsidRPr="009B1B02">
        <w:rPr>
          <w:i/>
          <w:u w:val="single"/>
        </w:rPr>
        <w:t xml:space="preserve">): </w:t>
      </w:r>
    </w:p>
    <w:p w:rsidR="00DC7BED" w:rsidRDefault="004A327B" w:rsidP="00CE5434">
      <w:pPr>
        <w:spacing w:after="120" w:line="240" w:lineRule="auto"/>
        <w:ind w:left="425"/>
        <w:jc w:val="both"/>
      </w:pPr>
      <w:r>
        <w:t>Kérjük a TS II specifikációban szereplő kontraciklikus kiigazítás (CCP) módszertan</w:t>
      </w:r>
      <w:r w:rsidR="009033A5">
        <w:t>á</w:t>
      </w:r>
      <w:r>
        <w:t>t alkalmazni azzal a különbséggel</w:t>
      </w:r>
      <w:r w:rsidR="004A47BA">
        <w:t xml:space="preserve">, hogy – szemben a CCP kalibrációjával – </w:t>
      </w:r>
      <w:r w:rsidR="002E7BF1">
        <w:rPr>
          <w:b/>
        </w:rPr>
        <w:t>a VA</w:t>
      </w:r>
      <w:r w:rsidR="0041282C" w:rsidRPr="00CE5434">
        <w:rPr>
          <w:b/>
        </w:rPr>
        <w:t xml:space="preserve"> alkalmazásának nincsen explicit tőkeszükséglete</w:t>
      </w:r>
      <w:r w:rsidR="004A47BA">
        <w:t xml:space="preserve">, mivel </w:t>
      </w:r>
      <w:r w:rsidR="00E2136E">
        <w:t>a</w:t>
      </w:r>
      <w:r w:rsidR="00E87EAE">
        <w:t xml:space="preserve"> kockázatmentes hozamok feletti</w:t>
      </w:r>
      <w:r w:rsidR="00E2136E">
        <w:t xml:space="preserve"> figyelembe vehető </w:t>
      </w:r>
      <w:r w:rsidR="00E2136E">
        <w:lastRenderedPageBreak/>
        <w:t>kamatkülönbözet</w:t>
      </w:r>
      <w:r w:rsidR="0041282C">
        <w:t xml:space="preserve"> </w:t>
      </w:r>
      <w:r w:rsidR="00E87EAE">
        <w:t>mértékét (</w:t>
      </w:r>
      <w:r w:rsidR="0041282C">
        <w:t>a</w:t>
      </w:r>
      <w:r w:rsidR="00E87EAE">
        <w:t xml:space="preserve">pplication ratio) </w:t>
      </w:r>
      <w:r w:rsidR="0041282C">
        <w:t xml:space="preserve">csökkentették, így </w:t>
      </w:r>
      <w:r w:rsidR="00E2136E">
        <w:t xml:space="preserve">csak </w:t>
      </w:r>
      <w:r w:rsidR="0041282C">
        <w:t>implicit módon kerül figyelembevételre a tőkeszükséglet.</w:t>
      </w:r>
      <w:r w:rsidR="00B7374D">
        <w:t xml:space="preserve"> </w:t>
      </w:r>
      <w:r w:rsidR="00B27F0E">
        <w:t xml:space="preserve">Ahol a </w:t>
      </w:r>
      <w:r w:rsidR="00C258EB">
        <w:t>„</w:t>
      </w:r>
      <w:r w:rsidR="00B27F0E">
        <w:t>TS Part II</w:t>
      </w:r>
      <w:r w:rsidR="00C258EB">
        <w:t>”</w:t>
      </w:r>
      <w:r w:rsidR="00B27F0E">
        <w:t xml:space="preserve"> kontraciklikus kiigazítást említ, ott a volatilitási kiigazítást kell minden esetbe</w:t>
      </w:r>
      <w:r w:rsidR="00B27F0E" w:rsidRPr="00792442">
        <w:t xml:space="preserve">n érteni. </w:t>
      </w:r>
      <w:r w:rsidR="00B7374D" w:rsidRPr="00792442">
        <w:t xml:space="preserve">Az EIOPA által </w:t>
      </w:r>
      <w:r w:rsidR="00DC7BED" w:rsidRPr="00792442">
        <w:t xml:space="preserve">2013. év végére </w:t>
      </w:r>
      <w:r w:rsidR="00B7374D" w:rsidRPr="00792442">
        <w:t xml:space="preserve">számított volatilitási </w:t>
      </w:r>
      <w:r w:rsidR="00AB1A1C" w:rsidRPr="00792442">
        <w:t>kiigazítás alapján a mellékelt technikai segédletben</w:t>
      </w:r>
      <w:r w:rsidR="00792442" w:rsidRPr="00792442">
        <w:t xml:space="preserve"> (2014_hatástanulmány_technikai melléklet.xlsx)</w:t>
      </w:r>
      <w:r w:rsidR="00AB1A1C" w:rsidRPr="00792442">
        <w:t xml:space="preserve"> meghatároztuk </w:t>
      </w:r>
      <w:r w:rsidR="00980A6D" w:rsidRPr="00792442">
        <w:t>a</w:t>
      </w:r>
      <w:r w:rsidR="00AB1A1C" w:rsidRPr="00792442">
        <w:t xml:space="preserve"> </w:t>
      </w:r>
      <w:r w:rsidR="00DF7E50" w:rsidRPr="00792442">
        <w:t xml:space="preserve">volatilitási kiigazítást tartalmazó </w:t>
      </w:r>
      <w:r w:rsidR="00AB1A1C" w:rsidRPr="00792442">
        <w:t>releváns kockázatmentes hozamgörbét</w:t>
      </w:r>
      <w:r w:rsidR="004F0A86" w:rsidRPr="00792442">
        <w:t xml:space="preserve"> az </w:t>
      </w:r>
      <w:r w:rsidR="00980A6D" w:rsidRPr="00792442">
        <w:t>euróra és a forintra vonatkozóan</w:t>
      </w:r>
      <w:r w:rsidR="00AB1A1C" w:rsidRPr="00792442">
        <w:t>, amelyet a 2. forgatókönyvben kérünk használni.</w:t>
      </w:r>
      <w:r w:rsidR="00081092" w:rsidRPr="00792442">
        <w:t xml:space="preserve"> A jövőbeli</w:t>
      </w:r>
      <w:r w:rsidR="00081092">
        <w:t xml:space="preserve"> diszkrecionális nyereségrészesedés tartalékának számítás</w:t>
      </w:r>
      <w:r w:rsidR="00B06D4B">
        <w:t>a során a 2. szcenárióban</w:t>
      </w:r>
      <w:r w:rsidR="00081092">
        <w:t xml:space="preserve"> </w:t>
      </w:r>
      <w:r w:rsidR="006D421A">
        <w:t>a jövőbeli hozamfeltételezéseknél a volatilitás hatását</w:t>
      </w:r>
      <w:r w:rsidR="009C567B">
        <w:rPr>
          <w:rStyle w:val="Lbjegyzet-hivatkozs"/>
        </w:rPr>
        <w:footnoteReference w:id="2"/>
      </w:r>
      <w:r w:rsidR="006D421A">
        <w:t xml:space="preserve"> is</w:t>
      </w:r>
      <w:r w:rsidR="00081092">
        <w:t xml:space="preserve"> figyelembe kell venni</w:t>
      </w:r>
      <w:r w:rsidR="006D421A">
        <w:t>.</w:t>
      </w:r>
    </w:p>
    <w:p w:rsidR="00DC7BED" w:rsidRDefault="00DC7BED" w:rsidP="0063178F">
      <w:pPr>
        <w:spacing w:after="120" w:line="240" w:lineRule="auto"/>
        <w:jc w:val="both"/>
      </w:pPr>
    </w:p>
    <w:p w:rsidR="00490B16" w:rsidRPr="009B1B02" w:rsidRDefault="00DC7BED" w:rsidP="009B1B02">
      <w:pPr>
        <w:pStyle w:val="Listaszerbekezds"/>
        <w:numPr>
          <w:ilvl w:val="1"/>
          <w:numId w:val="9"/>
        </w:numPr>
        <w:spacing w:after="120" w:line="240" w:lineRule="auto"/>
        <w:jc w:val="both"/>
        <w:rPr>
          <w:i/>
          <w:u w:val="single"/>
        </w:rPr>
      </w:pPr>
      <w:r w:rsidRPr="00CE5434">
        <w:rPr>
          <w:i/>
          <w:u w:val="single"/>
        </w:rPr>
        <w:t>Illeszkedési kiigazítás</w:t>
      </w:r>
      <w:r w:rsidRPr="009B1B02">
        <w:rPr>
          <w:i/>
          <w:u w:val="single"/>
        </w:rPr>
        <w:t xml:space="preserve"> (Matching adjustment, MA): </w:t>
      </w:r>
    </w:p>
    <w:p w:rsidR="005E7C53" w:rsidRDefault="00610339" w:rsidP="009C567B">
      <w:pPr>
        <w:spacing w:after="120" w:line="240" w:lineRule="auto"/>
        <w:ind w:left="425"/>
        <w:jc w:val="both"/>
      </w:pPr>
      <w:r w:rsidRPr="00610339">
        <w:rPr>
          <w:b/>
          <w:i/>
        </w:rPr>
        <w:t>a)</w:t>
      </w:r>
      <w:r w:rsidR="00490B16" w:rsidRPr="00490B16">
        <w:t xml:space="preserve"> </w:t>
      </w:r>
      <w:r w:rsidR="002D684A">
        <w:t>A „TS Part II” specifikáció</w:t>
      </w:r>
      <w:r w:rsidR="003D3415">
        <w:t xml:space="preserve"> „classic </w:t>
      </w:r>
      <w:r w:rsidR="002D684A">
        <w:t>standard</w:t>
      </w:r>
      <w:r w:rsidR="003D3415">
        <w:t>”</w:t>
      </w:r>
      <w:r w:rsidR="002D684A">
        <w:t xml:space="preserve"> </w:t>
      </w:r>
      <w:r w:rsidR="003D3415">
        <w:t>típusú illeszkedési kiigazítására vonatkozó előírásokat kérjük alkalmazni.</w:t>
      </w:r>
      <w:r w:rsidR="00BF28F0">
        <w:t xml:space="preserve"> Az illeszkedési kiigazítás mértékét a Biztosító számítja ki az elkülönítetten kezelt portfóliójára </w:t>
      </w:r>
      <w:r w:rsidR="00CB7BF3">
        <w:t>a „TS Part II”</w:t>
      </w:r>
      <w:r w:rsidR="002D684A">
        <w:t xml:space="preserve"> </w:t>
      </w:r>
      <w:r w:rsidR="00CB7BF3">
        <w:t>4.7. pontjában megadott módszertan</w:t>
      </w:r>
      <w:r w:rsidR="00CC7912">
        <w:t xml:space="preserve"> </w:t>
      </w:r>
      <w:r w:rsidR="00CC7912" w:rsidRPr="00792442">
        <w:t>szerint</w:t>
      </w:r>
      <w:r w:rsidR="00CB7BF3" w:rsidRPr="00792442">
        <w:t xml:space="preserve"> (a</w:t>
      </w:r>
      <w:r w:rsidR="00CC7912" w:rsidRPr="00792442">
        <w:t>z alkalmazandó</w:t>
      </w:r>
      <w:r w:rsidR="00CB7BF3" w:rsidRPr="00792442">
        <w:t xml:space="preserve"> funda</w:t>
      </w:r>
      <w:r w:rsidR="00CC7912" w:rsidRPr="00792442">
        <w:t xml:space="preserve">mentális felárak értékét megadjuk a </w:t>
      </w:r>
      <w:r w:rsidR="00792442" w:rsidRPr="00792442">
        <w:t>2014_hatástanulmány_technikai melléklet.xlsx</w:t>
      </w:r>
      <w:r w:rsidR="00792442">
        <w:t xml:space="preserve"> </w:t>
      </w:r>
      <w:r w:rsidR="00792442" w:rsidRPr="00792442">
        <w:t>technikai mellékletben</w:t>
      </w:r>
      <w:r w:rsidR="00CC7912">
        <w:t>).</w:t>
      </w:r>
      <w:r w:rsidR="00D401A7">
        <w:t xml:space="preserve"> A</w:t>
      </w:r>
      <w:r w:rsidR="006F65F7">
        <w:t xml:space="preserve"> hozzárendelt</w:t>
      </w:r>
      <w:r w:rsidR="00D401A7">
        <w:t xml:space="preserve"> </w:t>
      </w:r>
      <w:r w:rsidR="006F65F7">
        <w:t>eszközfedezet (assigned portfolio)</w:t>
      </w:r>
      <w:r w:rsidR="00D401A7">
        <w:t xml:space="preserve"> ese</w:t>
      </w:r>
      <w:r w:rsidR="007A2503">
        <w:t>t</w:t>
      </w:r>
      <w:r w:rsidR="00286482">
        <w:t>ében az alkalmazandó fundamentális felár</w:t>
      </w:r>
      <w:r w:rsidR="00A06D62">
        <w:t xml:space="preserve"> az eszközfedezetben lévő eszközök fundamentális felárának súlyozott átlaga</w:t>
      </w:r>
      <w:r w:rsidR="00012BD5">
        <w:rPr>
          <w:rStyle w:val="Lbjegyzet-hivatkozs"/>
        </w:rPr>
        <w:footnoteReference w:id="3"/>
      </w:r>
      <w:r w:rsidR="00A06D62">
        <w:t xml:space="preserve"> (ahol a súl</w:t>
      </w:r>
      <w:r w:rsidR="00902499">
        <w:t xml:space="preserve">yok az eszközök piaci értéke és </w:t>
      </w:r>
      <w:r w:rsidR="007A2503">
        <w:t xml:space="preserve">lejáratig </w:t>
      </w:r>
      <w:r w:rsidR="00902499">
        <w:t xml:space="preserve">hátralévő </w:t>
      </w:r>
      <w:r w:rsidR="00A06D62">
        <w:t>futamidej</w:t>
      </w:r>
      <w:r w:rsidR="005E7C53">
        <w:t>ének szorzata</w:t>
      </w:r>
      <w:r w:rsidR="00A06D62">
        <w:t>)</w:t>
      </w:r>
      <w:r w:rsidR="005E7C53">
        <w:t>.</w:t>
      </w:r>
      <w:r w:rsidR="002D684A">
        <w:t xml:space="preserve"> </w:t>
      </w:r>
    </w:p>
    <w:p w:rsidR="009C567B" w:rsidRDefault="00E51B74" w:rsidP="009C567B">
      <w:pPr>
        <w:spacing w:after="120" w:line="240" w:lineRule="auto"/>
        <w:ind w:left="425"/>
        <w:jc w:val="both"/>
      </w:pPr>
      <w:r>
        <w:t>A kiszámított illeszkedési kiigazítás mértéké</w:t>
      </w:r>
      <w:r w:rsidR="007D67BA">
        <w:t>vel</w:t>
      </w:r>
      <w:r>
        <w:t xml:space="preserve"> </w:t>
      </w:r>
      <w:r w:rsidR="007D67BA">
        <w:rPr>
          <w:lang w:val="en-GB"/>
        </w:rPr>
        <w:t>kell növelni</w:t>
      </w:r>
      <w:r w:rsidR="002F0E36">
        <w:rPr>
          <w:lang w:val="en-GB"/>
        </w:rPr>
        <w:t xml:space="preserve"> a 0. szcenárióban alkalmazandó Szolvencia II </w:t>
      </w:r>
      <w:r>
        <w:rPr>
          <w:lang w:val="en-GB"/>
        </w:rPr>
        <w:t>kockázatmentes hozamgörbé</w:t>
      </w:r>
      <w:r w:rsidR="007D67BA">
        <w:rPr>
          <w:lang w:val="en-GB"/>
        </w:rPr>
        <w:t>t</w:t>
      </w:r>
      <w:r>
        <w:rPr>
          <w:lang w:val="en-GB"/>
        </w:rPr>
        <w:t>, amely</w:t>
      </w:r>
      <w:r w:rsidR="00EE1679">
        <w:rPr>
          <w:lang w:val="en-GB"/>
        </w:rPr>
        <w:t xml:space="preserve"> előálló új hozamgörbével kell a számításokat elvégezni a</w:t>
      </w:r>
      <w:r w:rsidR="003E0E9C">
        <w:rPr>
          <w:lang w:val="en-GB"/>
        </w:rPr>
        <w:t>z 1</w:t>
      </w:r>
      <w:r w:rsidR="00EE1679">
        <w:rPr>
          <w:lang w:val="en-GB"/>
        </w:rPr>
        <w:t>. forgatókönyv esetében</w:t>
      </w:r>
      <w:r>
        <w:rPr>
          <w:lang w:val="en-GB"/>
        </w:rPr>
        <w:t>.</w:t>
      </w:r>
      <w:r w:rsidRPr="00E51B74">
        <w:rPr>
          <w:lang w:val="en-GB"/>
        </w:rPr>
        <w:t xml:space="preserve"> </w:t>
      </w:r>
      <w:r w:rsidR="00B06D4B">
        <w:rPr>
          <w:lang w:val="en-GB"/>
        </w:rPr>
        <w:t>A</w:t>
      </w:r>
      <w:r w:rsidR="009C567B">
        <w:t xml:space="preserve"> jövőbeli diszkrecionális nyereségrészesedés tartalékának számítás</w:t>
      </w:r>
      <w:r w:rsidR="00B06D4B">
        <w:t>a során</w:t>
      </w:r>
      <w:r w:rsidR="009C567B">
        <w:t xml:space="preserve"> </w:t>
      </w:r>
      <w:r w:rsidR="00B06D4B">
        <w:t xml:space="preserve">az 1. szcenárióban </w:t>
      </w:r>
      <w:r w:rsidR="009C567B">
        <w:t>a jövőbeli hozamfeltételezéseknél az illeszkedési kiigazítás hatását</w:t>
      </w:r>
      <w:r w:rsidR="009C567B">
        <w:rPr>
          <w:rStyle w:val="Lbjegyzet-hivatkozs"/>
        </w:rPr>
        <w:footnoteReference w:id="4"/>
      </w:r>
      <w:r w:rsidR="009C567B">
        <w:t xml:space="preserve"> is figyelembe kell venni.</w:t>
      </w:r>
    </w:p>
    <w:p w:rsidR="00D71D55" w:rsidRDefault="00D71D55" w:rsidP="00CE5434">
      <w:pPr>
        <w:spacing w:after="120" w:line="240" w:lineRule="auto"/>
        <w:ind w:left="425"/>
        <w:jc w:val="both"/>
        <w:rPr>
          <w:lang w:val="en-GB"/>
        </w:rPr>
      </w:pPr>
    </w:p>
    <w:p w:rsidR="00FD2304" w:rsidRDefault="00AB555D" w:rsidP="00CE5434">
      <w:pPr>
        <w:spacing w:after="120" w:line="240" w:lineRule="auto"/>
        <w:ind w:left="425"/>
        <w:jc w:val="both"/>
        <w:rPr>
          <w:i/>
        </w:rPr>
      </w:pPr>
      <w:r w:rsidRPr="00AB555D">
        <w:rPr>
          <w:b/>
          <w:i/>
        </w:rPr>
        <w:t>b)</w:t>
      </w:r>
      <w:r>
        <w:t xml:space="preserve"> </w:t>
      </w:r>
      <w:r w:rsidR="00490B16" w:rsidRPr="00490B16">
        <w:t>K</w:t>
      </w:r>
      <w:r w:rsidR="006721C4" w:rsidRPr="00490B16">
        <w:t>ikerült</w:t>
      </w:r>
      <w:r w:rsidR="006721C4">
        <w:t xml:space="preserve"> az elkülönített alapokra (ring-fenced funds) </w:t>
      </w:r>
      <w:r w:rsidR="004F0A86">
        <w:t>való hivatkozás</w:t>
      </w:r>
      <w:r w:rsidR="006721C4">
        <w:t xml:space="preserve"> a szabályozásból, azaz </w:t>
      </w:r>
      <w:r w:rsidR="006721C4" w:rsidRPr="00CE5434">
        <w:rPr>
          <w:b/>
        </w:rPr>
        <w:t xml:space="preserve">az illeszkedési </w:t>
      </w:r>
      <w:r w:rsidR="007A4146" w:rsidRPr="00CE5434">
        <w:rPr>
          <w:b/>
        </w:rPr>
        <w:t>kiigazítás</w:t>
      </w:r>
      <w:r w:rsidR="007A4146">
        <w:rPr>
          <w:b/>
        </w:rPr>
        <w:t xml:space="preserve">t </w:t>
      </w:r>
      <w:r w:rsidR="007A4146" w:rsidRPr="00CE5434">
        <w:rPr>
          <w:b/>
        </w:rPr>
        <w:t>nem</w:t>
      </w:r>
      <w:r w:rsidR="005178E2">
        <w:rPr>
          <w:b/>
        </w:rPr>
        <w:t xml:space="preserve"> csak olyan kötelezettség</w:t>
      </w:r>
      <w:r w:rsidR="007A4146">
        <w:rPr>
          <w:b/>
        </w:rPr>
        <w:t xml:space="preserve">portfólióra lehet alkalmazni, amely jogilag </w:t>
      </w:r>
      <w:r w:rsidR="006721C4" w:rsidRPr="00CE5434">
        <w:rPr>
          <w:b/>
        </w:rPr>
        <w:t>is elkülönített alapnak minősül</w:t>
      </w:r>
      <w:r w:rsidR="007A4146">
        <w:t>.</w:t>
      </w:r>
      <w:r w:rsidR="006721C4">
        <w:t xml:space="preserve"> </w:t>
      </w:r>
      <w:r w:rsidR="005178E2">
        <w:t>Elég, ha a kötelezettség</w:t>
      </w:r>
      <w:r w:rsidR="007A4146">
        <w:t>portfólióra teljesül az, hogy</w:t>
      </w:r>
      <w:r w:rsidR="006721C4" w:rsidRPr="006D4F7A">
        <w:t xml:space="preserve"> </w:t>
      </w:r>
      <w:r w:rsidR="006D4F7A">
        <w:t>„</w:t>
      </w:r>
      <w:r w:rsidR="006D4F7A" w:rsidRPr="00CE5434">
        <w:rPr>
          <w:i/>
        </w:rPr>
        <w:t>a vállalkozás más tevékenységeitől külön jelölik meg, szervezik és kezelik a biztosítási vagy viszontbiztosítási kötelezettségek portfólióját, amelyre az illeszkedési kiigazítást alkalmazták, és a hozzárendelt eszközportfólió nem használható fel a vállalkozás más tevékenységeiből származó veszteségek fedezésére”</w:t>
      </w:r>
      <w:r w:rsidR="00C37D02" w:rsidRPr="00CE5434">
        <w:rPr>
          <w:i/>
        </w:rPr>
        <w:t>.</w:t>
      </w:r>
    </w:p>
    <w:p w:rsidR="00EC5C73" w:rsidRDefault="000E057B" w:rsidP="00EC5C73">
      <w:pPr>
        <w:spacing w:after="120" w:line="240" w:lineRule="auto"/>
        <w:ind w:left="425"/>
        <w:jc w:val="both"/>
      </w:pPr>
      <w:r w:rsidRPr="000E057B">
        <w:t xml:space="preserve">Ennek értelmében </w:t>
      </w:r>
      <w:r w:rsidRPr="00EC5C73">
        <w:rPr>
          <w:b/>
        </w:rPr>
        <w:t>elégséges a hozzárendelt eszközportfólió korlátozott átruházhatóságát biztosítani</w:t>
      </w:r>
      <w:r w:rsidRPr="000E057B">
        <w:t xml:space="preserve"> (reduced transferability)</w:t>
      </w:r>
      <w:r w:rsidR="004A1419">
        <w:t xml:space="preserve">, amely a gyakorlatban </w:t>
      </w:r>
      <w:r w:rsidR="001356F5">
        <w:t xml:space="preserve">többféle módon is elképzelhető (pl. </w:t>
      </w:r>
      <w:r w:rsidR="003532BF">
        <w:t>a biztosító elkötelezi magát a befektetési politikában</w:t>
      </w:r>
      <w:r w:rsidR="00104F70">
        <w:t>, stb.</w:t>
      </w:r>
      <w:r w:rsidR="001356F5">
        <w:t>)</w:t>
      </w:r>
      <w:r w:rsidR="00104F70">
        <w:t>.</w:t>
      </w:r>
    </w:p>
    <w:p w:rsidR="00EC5C73" w:rsidRDefault="00EC5C73" w:rsidP="00CF324E">
      <w:pPr>
        <w:spacing w:after="120" w:line="240" w:lineRule="auto"/>
        <w:ind w:left="425" w:firstLine="1"/>
        <w:jc w:val="both"/>
        <w:rPr>
          <w:i/>
          <w:lang w:val="en-GB"/>
        </w:rPr>
      </w:pPr>
      <w:r w:rsidRPr="00EC5C73">
        <w:t xml:space="preserve">A jelenleg még nem nyilvános harmadik szintű iránymutatások alapján </w:t>
      </w:r>
      <w:r w:rsidRPr="00EB340B">
        <w:t>a</w:t>
      </w:r>
      <w:r w:rsidRPr="00EC5C73">
        <w:t xml:space="preserve">z illeszkedési kiigazítás alkalmazásához </w:t>
      </w:r>
      <w:r w:rsidRPr="00EC5C73">
        <w:rPr>
          <w:b/>
        </w:rPr>
        <w:t xml:space="preserve">a biztosítónak szükséges alátámasztania, hogy elégséges folyamatok állnak rendelkezésre ahhoz, hogy </w:t>
      </w:r>
      <w:r w:rsidR="005178E2">
        <w:rPr>
          <w:b/>
        </w:rPr>
        <w:t xml:space="preserve">képes legyen </w:t>
      </w:r>
      <w:r w:rsidRPr="00EC5C73">
        <w:rPr>
          <w:b/>
        </w:rPr>
        <w:t xml:space="preserve">a kötelezettségportfóliót és a hozzárendelt eszközportfóliót </w:t>
      </w:r>
      <w:r w:rsidR="005178E2" w:rsidRPr="00EC5C73">
        <w:rPr>
          <w:b/>
        </w:rPr>
        <w:t>elkülönít</w:t>
      </w:r>
      <w:r w:rsidR="005178E2">
        <w:rPr>
          <w:b/>
        </w:rPr>
        <w:t>eni</w:t>
      </w:r>
      <w:r w:rsidR="005178E2" w:rsidRPr="00EC5C73">
        <w:rPr>
          <w:b/>
        </w:rPr>
        <w:t xml:space="preserve"> </w:t>
      </w:r>
      <w:r w:rsidRPr="00EC5C73">
        <w:rPr>
          <w:b/>
        </w:rPr>
        <w:t xml:space="preserve">és elkülönítetten </w:t>
      </w:r>
      <w:r w:rsidR="005178E2" w:rsidRPr="00EC5C73">
        <w:rPr>
          <w:b/>
        </w:rPr>
        <w:t>kezel</w:t>
      </w:r>
      <w:r w:rsidR="005178E2">
        <w:rPr>
          <w:b/>
        </w:rPr>
        <w:t>ni</w:t>
      </w:r>
      <w:r w:rsidRPr="00EC5C73">
        <w:t xml:space="preserve">, illetve hogy </w:t>
      </w:r>
      <w:r w:rsidRPr="00EC5C73">
        <w:rPr>
          <w:b/>
        </w:rPr>
        <w:t xml:space="preserve">a hozzárendelt </w:t>
      </w:r>
      <w:r w:rsidRPr="00EC5C73">
        <w:rPr>
          <w:b/>
        </w:rPr>
        <w:lastRenderedPageBreak/>
        <w:t xml:space="preserve">eszközportfóliót nem fogja </w:t>
      </w:r>
      <w:r w:rsidRPr="00EB340B">
        <w:rPr>
          <w:b/>
        </w:rPr>
        <w:t xml:space="preserve">felhasználni a vállalkozás más tevékenységeiből származó veszteségek fedezésére </w:t>
      </w:r>
      <w:r w:rsidRPr="00EB340B">
        <w:t>(</w:t>
      </w:r>
      <w:r w:rsidRPr="00EB340B">
        <w:rPr>
          <w:i/>
        </w:rPr>
        <w:t>„</w:t>
      </w:r>
      <w:r w:rsidRPr="00EB340B">
        <w:rPr>
          <w:i/>
          <w:lang w:val="en-GB"/>
        </w:rPr>
        <w:t>evidence that adequate processes are in place to properly identify, organise and manage the portfolio of obligations and assigned portfolio of assets separately from other activities of the undertaking, and to ensure that the assigned assets will not be used to cover losses arising from other activities of the undertaking”)</w:t>
      </w:r>
    </w:p>
    <w:p w:rsidR="00BF0CB8" w:rsidRPr="005E22E4" w:rsidRDefault="00BF0CB8" w:rsidP="00CF324E">
      <w:pPr>
        <w:spacing w:after="120" w:line="240" w:lineRule="auto"/>
        <w:ind w:left="425" w:firstLine="1"/>
        <w:jc w:val="both"/>
      </w:pPr>
    </w:p>
    <w:p w:rsidR="00CE5434" w:rsidRDefault="00AB555D" w:rsidP="00CF324E">
      <w:pPr>
        <w:spacing w:after="120" w:line="240" w:lineRule="auto"/>
        <w:ind w:left="426"/>
        <w:jc w:val="both"/>
      </w:pPr>
      <w:r w:rsidRPr="00AB555D">
        <w:rPr>
          <w:b/>
          <w:i/>
        </w:rPr>
        <w:t>c)</w:t>
      </w:r>
      <w:r w:rsidR="00CF324E">
        <w:t xml:space="preserve"> </w:t>
      </w:r>
      <w:r w:rsidR="003532BF">
        <w:t>A</w:t>
      </w:r>
      <w:r w:rsidR="00D818EB" w:rsidRPr="00EB6DF2">
        <w:rPr>
          <w:b/>
        </w:rPr>
        <w:t xml:space="preserve"> hozzárendelt eszközportfólió korlátozott átruházhatóságá</w:t>
      </w:r>
      <w:r w:rsidR="00B25E44">
        <w:rPr>
          <w:b/>
        </w:rPr>
        <w:t>nak tükröződnie kell a tőkeszükséglet, illetve a szavatoló</w:t>
      </w:r>
      <w:r w:rsidR="00E25843">
        <w:rPr>
          <w:b/>
        </w:rPr>
        <w:t>tőke értékében</w:t>
      </w:r>
      <w:r w:rsidR="00B25E44">
        <w:t>:</w:t>
      </w:r>
    </w:p>
    <w:p w:rsidR="00FD2304" w:rsidRPr="00FD2304" w:rsidRDefault="00B25E44" w:rsidP="00FD2304">
      <w:pPr>
        <w:pStyle w:val="Listaszerbekezds"/>
        <w:numPr>
          <w:ilvl w:val="0"/>
          <w:numId w:val="5"/>
        </w:numPr>
        <w:spacing w:after="120" w:line="240" w:lineRule="auto"/>
        <w:jc w:val="both"/>
      </w:pPr>
      <w:r>
        <w:t>az érintett biztosítási portfólió</w:t>
      </w:r>
      <w:r w:rsidR="00341AFF">
        <w:t xml:space="preserve">(ka)t </w:t>
      </w:r>
      <w:r w:rsidR="00497B78">
        <w:t xml:space="preserve">gazdasági értelemben </w:t>
      </w:r>
      <w:r w:rsidR="00341AFF">
        <w:t xml:space="preserve">elkülönített alapnak kell tekinteni, így </w:t>
      </w:r>
      <w:r w:rsidR="00D818EB" w:rsidRPr="00FD2304">
        <w:rPr>
          <w:b/>
        </w:rPr>
        <w:t>a</w:t>
      </w:r>
      <w:r w:rsidR="00AF22F4" w:rsidRPr="00FD2304">
        <w:rPr>
          <w:b/>
        </w:rPr>
        <w:t xml:space="preserve"> portfólió szavatolótőke-szükségletét a</w:t>
      </w:r>
      <w:r w:rsidR="00AF5CAC" w:rsidRPr="00FD2304">
        <w:rPr>
          <w:b/>
        </w:rPr>
        <w:t xml:space="preserve"> diverzifikált </w:t>
      </w:r>
      <w:r w:rsidR="006864DF">
        <w:rPr>
          <w:b/>
        </w:rPr>
        <w:t xml:space="preserve">szavatolótőke-szükséglet számításba </w:t>
      </w:r>
      <w:r w:rsidR="00A6146A" w:rsidRPr="00FD2304">
        <w:rPr>
          <w:b/>
        </w:rPr>
        <w:t>nem lehet bevonni, hanem ahhoz külön hozzá kell adni</w:t>
      </w:r>
      <w:r w:rsidR="008C22C3">
        <w:rPr>
          <w:rStyle w:val="Lbjegyzet-hivatkozs"/>
          <w:b/>
        </w:rPr>
        <w:footnoteReference w:id="5"/>
      </w:r>
      <w:r w:rsidR="00A6146A" w:rsidRPr="00FD2304">
        <w:rPr>
          <w:b/>
        </w:rPr>
        <w:t>;</w:t>
      </w:r>
      <w:r w:rsidR="00FD2304" w:rsidRPr="00FD2304">
        <w:t xml:space="preserve"> illetve</w:t>
      </w:r>
    </w:p>
    <w:p w:rsidR="00D818EB" w:rsidRPr="002F0E45" w:rsidRDefault="00D818EB" w:rsidP="00CF324E">
      <w:pPr>
        <w:pStyle w:val="Listaszerbekezds"/>
        <w:numPr>
          <w:ilvl w:val="0"/>
          <w:numId w:val="5"/>
        </w:numPr>
        <w:spacing w:after="120" w:line="240" w:lineRule="auto"/>
        <w:jc w:val="both"/>
      </w:pPr>
      <w:r w:rsidRPr="0073260A">
        <w:t>a</w:t>
      </w:r>
      <w:r w:rsidR="00341AFF">
        <w:t>z érintett biztosítási portfólión</w:t>
      </w:r>
      <w:r w:rsidRPr="0073260A">
        <w:t xml:space="preserve"> keletkezett</w:t>
      </w:r>
      <w:r w:rsidR="000747F8">
        <w:t>, annak névleges szavatolótőke-szükségletét (notional SCR) meghaladó</w:t>
      </w:r>
      <w:r w:rsidRPr="0073260A">
        <w:t xml:space="preserve"> </w:t>
      </w:r>
      <w:r w:rsidRPr="00FD2304">
        <w:rPr>
          <w:b/>
        </w:rPr>
        <w:t>szavatolótőke nem vonható be az általános veszteségfedezésbe</w:t>
      </w:r>
      <w:r w:rsidR="00341AFF">
        <w:t xml:space="preserve">, így azt </w:t>
      </w:r>
      <w:r w:rsidR="00341AFF" w:rsidRPr="00FD2304">
        <w:rPr>
          <w:b/>
        </w:rPr>
        <w:t>a</w:t>
      </w:r>
      <w:r w:rsidR="004045E3">
        <w:rPr>
          <w:b/>
        </w:rPr>
        <w:t xml:space="preserve"> Biztosító</w:t>
      </w:r>
      <w:r w:rsidR="00341AFF" w:rsidRPr="00FD2304">
        <w:rPr>
          <w:b/>
        </w:rPr>
        <w:t xml:space="preserve"> figyelembe vehető </w:t>
      </w:r>
      <w:r w:rsidR="004045E3" w:rsidRPr="00FD2304">
        <w:rPr>
          <w:b/>
        </w:rPr>
        <w:t>szavatolótők</w:t>
      </w:r>
      <w:r w:rsidR="004045E3">
        <w:rPr>
          <w:b/>
        </w:rPr>
        <w:t>éjének</w:t>
      </w:r>
      <w:r w:rsidR="004045E3" w:rsidRPr="00FD2304">
        <w:rPr>
          <w:b/>
        </w:rPr>
        <w:t xml:space="preserve"> </w:t>
      </w:r>
      <w:r w:rsidR="00AF22F4" w:rsidRPr="00FD2304">
        <w:rPr>
          <w:b/>
        </w:rPr>
        <w:t>(eligible own fund)</w:t>
      </w:r>
      <w:r w:rsidR="00341AFF" w:rsidRPr="00FD2304">
        <w:rPr>
          <w:b/>
        </w:rPr>
        <w:t xml:space="preserve"> értékéből le kell vonni</w:t>
      </w:r>
      <w:r w:rsidR="004045E3">
        <w:rPr>
          <w:rStyle w:val="Lbjegyzet-hivatkozs"/>
          <w:b/>
        </w:rPr>
        <w:footnoteReference w:id="6"/>
      </w:r>
      <w:r w:rsidR="00341AFF" w:rsidRPr="00FD2304">
        <w:rPr>
          <w:b/>
        </w:rPr>
        <w:t>.</w:t>
      </w:r>
    </w:p>
    <w:p w:rsidR="00792442" w:rsidRPr="00F7197F" w:rsidRDefault="00521997" w:rsidP="00792442">
      <w:pPr>
        <w:spacing w:after="120" w:line="240" w:lineRule="auto"/>
        <w:ind w:left="426"/>
        <w:jc w:val="both"/>
        <w:rPr>
          <w:b/>
          <w:color w:val="FF0000"/>
        </w:rPr>
      </w:pPr>
      <w:r w:rsidRPr="00F7197F">
        <w:rPr>
          <w:b/>
          <w:color w:val="FF0000"/>
        </w:rPr>
        <w:t>Erre</w:t>
      </w:r>
      <w:r w:rsidR="00A72418" w:rsidRPr="00F7197F">
        <w:rPr>
          <w:b/>
          <w:color w:val="FF0000"/>
        </w:rPr>
        <w:t xml:space="preserve"> kérjük ügyeljenek a</w:t>
      </w:r>
      <w:r w:rsidR="00515530" w:rsidRPr="00F7197F">
        <w:rPr>
          <w:b/>
          <w:color w:val="FF0000"/>
        </w:rPr>
        <w:t>z 1. forgatókönyv számítása</w:t>
      </w:r>
      <w:r w:rsidR="00A72418" w:rsidRPr="00F7197F">
        <w:rPr>
          <w:b/>
          <w:color w:val="FF0000"/>
        </w:rPr>
        <w:t xml:space="preserve"> során.</w:t>
      </w:r>
    </w:p>
    <w:p w:rsidR="00CF324E" w:rsidRPr="0079336F" w:rsidRDefault="00A42388" w:rsidP="00CF324E">
      <w:pPr>
        <w:spacing w:after="120" w:line="240" w:lineRule="auto"/>
        <w:ind w:left="426"/>
        <w:jc w:val="both"/>
      </w:pPr>
      <w:r w:rsidRPr="00A42388">
        <w:rPr>
          <w:b/>
          <w:i/>
        </w:rPr>
        <w:t>d)</w:t>
      </w:r>
      <w:r w:rsidR="00CF324E">
        <w:t xml:space="preserve"> </w:t>
      </w:r>
      <w:r w:rsidR="00490B16">
        <w:t>A</w:t>
      </w:r>
      <w:r w:rsidR="00FD2304">
        <w:t xml:space="preserve">z illeszkedési kiigazítás </w:t>
      </w:r>
      <w:r w:rsidR="00FD2304" w:rsidRPr="00490B16">
        <w:rPr>
          <w:b/>
        </w:rPr>
        <w:t xml:space="preserve">olyan biztosítási </w:t>
      </w:r>
      <w:r w:rsidR="00D8242F" w:rsidRPr="00490B16">
        <w:rPr>
          <w:b/>
        </w:rPr>
        <w:t>kötelezettség</w:t>
      </w:r>
      <w:r w:rsidR="00D8242F">
        <w:rPr>
          <w:b/>
        </w:rPr>
        <w:t>ekre</w:t>
      </w:r>
      <w:r w:rsidR="00D8242F" w:rsidRPr="00490B16">
        <w:rPr>
          <w:b/>
        </w:rPr>
        <w:t xml:space="preserve"> </w:t>
      </w:r>
      <w:r w:rsidR="00FD2304" w:rsidRPr="00490B16">
        <w:rPr>
          <w:b/>
        </w:rPr>
        <w:t>is alkalmazható, amely</w:t>
      </w:r>
      <w:r w:rsidR="00396827">
        <w:rPr>
          <w:b/>
        </w:rPr>
        <w:t>ek</w:t>
      </w:r>
      <w:r w:rsidR="003E623B" w:rsidRPr="00490B16">
        <w:rPr>
          <w:b/>
        </w:rPr>
        <w:t xml:space="preserve"> elhanyagolható halandósági kockázatot is tartalmaz</w:t>
      </w:r>
      <w:r w:rsidR="006864DF">
        <w:rPr>
          <w:b/>
        </w:rPr>
        <w:t>nak</w:t>
      </w:r>
      <w:r w:rsidR="003E623B">
        <w:t xml:space="preserve">. Elhanyagolható a halandósági kockázat, ha a </w:t>
      </w:r>
      <w:r w:rsidR="00FD2304" w:rsidRPr="00FD2304">
        <w:t>halandósági kockázati sokk esetén a kötelezettségek legjobb becslése 5%-nál nagyobb mértékben nem emelked</w:t>
      </w:r>
      <w:r w:rsidR="003E623B">
        <w:t>ik.</w:t>
      </w:r>
      <w:r w:rsidR="0039727E">
        <w:t xml:space="preserve"> </w:t>
      </w:r>
      <w:r w:rsidR="00521997" w:rsidRPr="0079336F">
        <w:t>K</w:t>
      </w:r>
      <w:r w:rsidR="00A72418" w:rsidRPr="0079336F">
        <w:t>érjük, hogy a „TS Part II” 4.4 fejezet 3. a) pontjának alkalmazásáná</w:t>
      </w:r>
      <w:r w:rsidR="00521997" w:rsidRPr="0079336F">
        <w:t>l</w:t>
      </w:r>
      <w:r w:rsidR="00A72418" w:rsidRPr="0079336F">
        <w:t xml:space="preserve"> ezt vegyék figyelembe.</w:t>
      </w:r>
      <w:r w:rsidR="008D17B8" w:rsidRPr="0079336F">
        <w:t xml:space="preserve"> A</w:t>
      </w:r>
      <w:r w:rsidR="00D8242F" w:rsidRPr="0079336F">
        <w:t>mennyiben a biztosítási portfólió tartalmaz halandósági kockázatot, az</w:t>
      </w:r>
      <w:r w:rsidR="008D17B8" w:rsidRPr="0079336F">
        <w:t xml:space="preserve"> alkalmazandó halandósági kockázati sokk a következő két sokk közül a nagyobbik hatású:</w:t>
      </w:r>
    </w:p>
    <w:p w:rsidR="008D17B8" w:rsidRPr="008D17B8" w:rsidRDefault="008D17B8" w:rsidP="008D17B8">
      <w:pPr>
        <w:spacing w:after="120" w:line="240" w:lineRule="auto"/>
        <w:ind w:left="426"/>
        <w:jc w:val="both"/>
        <w:rPr>
          <w:i/>
          <w:lang w:val="en-GB"/>
        </w:rPr>
      </w:pPr>
      <w:r w:rsidRPr="008D17B8">
        <w:rPr>
          <w:i/>
          <w:lang w:val="en-GB"/>
        </w:rPr>
        <w:t>“The mortality risk shock referred to in Article 77b(1)(f) of Directive 2009/138/EC shall be the more adverse of the following two shocks:</w:t>
      </w:r>
    </w:p>
    <w:p w:rsidR="008D17B8" w:rsidRPr="008D17B8" w:rsidRDefault="008D17B8" w:rsidP="008D17B8">
      <w:pPr>
        <w:spacing w:after="120" w:line="240" w:lineRule="auto"/>
        <w:ind w:left="426"/>
        <w:jc w:val="both"/>
        <w:rPr>
          <w:i/>
          <w:lang w:val="en-GB"/>
        </w:rPr>
      </w:pPr>
      <w:r w:rsidRPr="008D17B8">
        <w:rPr>
          <w:i/>
          <w:lang w:val="en-GB"/>
        </w:rPr>
        <w:t>(a)</w:t>
      </w:r>
      <w:r w:rsidRPr="008D17B8">
        <w:rPr>
          <w:i/>
          <w:lang w:val="en-GB"/>
        </w:rPr>
        <w:tab/>
        <w:t>an instantaneous permanent increase of 15% in the mortality rates used for the calculation of the best estimate;</w:t>
      </w:r>
    </w:p>
    <w:p w:rsidR="008D17B8" w:rsidRPr="008D17B8" w:rsidRDefault="008D17B8" w:rsidP="008D17B8">
      <w:pPr>
        <w:spacing w:after="120" w:line="240" w:lineRule="auto"/>
        <w:ind w:left="426"/>
        <w:jc w:val="both"/>
        <w:rPr>
          <w:i/>
          <w:lang w:val="en-GB"/>
        </w:rPr>
      </w:pPr>
      <w:r w:rsidRPr="008D17B8">
        <w:rPr>
          <w:i/>
          <w:lang w:val="en-GB"/>
        </w:rPr>
        <w:t>(b)</w:t>
      </w:r>
      <w:r w:rsidRPr="008D17B8">
        <w:rPr>
          <w:i/>
          <w:lang w:val="en-GB"/>
        </w:rPr>
        <w:tab/>
        <w:t>an instantaneous increase of 0.15 percentage points to the mortality rates (expressed as percentages) which are used in the calculation of technical provisions to reflect the mortality experience in the following 12 months.”</w:t>
      </w:r>
    </w:p>
    <w:p w:rsidR="00315A4A" w:rsidRDefault="00D02CB0" w:rsidP="00792442">
      <w:pPr>
        <w:spacing w:after="120" w:line="240" w:lineRule="auto"/>
        <w:ind w:left="426"/>
        <w:jc w:val="both"/>
      </w:pPr>
      <w:r>
        <w:t>A halandósági sokkot csak azon biztosítási szerződésekre</w:t>
      </w:r>
      <w:r w:rsidR="00315A4A">
        <w:t xml:space="preserve"> (vagy azok homogén kockázati csoportjára)</w:t>
      </w:r>
      <w:r>
        <w:t xml:space="preserve"> kell alkalmazni, amelyeknél a halandósági ráta növekedése tartalékemelkedést eredményez.</w:t>
      </w:r>
    </w:p>
    <w:p w:rsidR="00792442" w:rsidRDefault="00792442" w:rsidP="00792442">
      <w:pPr>
        <w:spacing w:after="120" w:line="240" w:lineRule="auto"/>
        <w:ind w:left="426"/>
        <w:jc w:val="both"/>
      </w:pPr>
    </w:p>
    <w:p w:rsidR="00CF324E" w:rsidRDefault="00DA462B" w:rsidP="00613D34">
      <w:pPr>
        <w:pStyle w:val="Listaszerbekezds"/>
        <w:spacing w:after="120" w:line="240" w:lineRule="auto"/>
        <w:ind w:left="426"/>
        <w:jc w:val="both"/>
        <w:rPr>
          <w:b/>
          <w:color w:val="FF0000"/>
        </w:rPr>
      </w:pPr>
      <w:r w:rsidRPr="00EB340B">
        <w:rPr>
          <w:b/>
          <w:color w:val="FF0000"/>
        </w:rPr>
        <w:t>Kérjük, ho</w:t>
      </w:r>
      <w:r w:rsidR="00083100" w:rsidRPr="00EB340B">
        <w:rPr>
          <w:b/>
          <w:color w:val="FF0000"/>
        </w:rPr>
        <w:t>gy a biztosító azon feltételezés mellett alkalmazza az illeszkedési kiigazítást</w:t>
      </w:r>
      <w:r w:rsidR="00396827">
        <w:rPr>
          <w:b/>
          <w:color w:val="FF0000"/>
        </w:rPr>
        <w:t xml:space="preserve"> a</w:t>
      </w:r>
      <w:r w:rsidR="00F36BA7">
        <w:rPr>
          <w:b/>
          <w:color w:val="FF0000"/>
        </w:rPr>
        <w:t>z</w:t>
      </w:r>
      <w:r w:rsidR="00396827">
        <w:rPr>
          <w:b/>
          <w:color w:val="FF0000"/>
        </w:rPr>
        <w:t xml:space="preserve"> </w:t>
      </w:r>
      <w:r w:rsidR="00F36BA7">
        <w:rPr>
          <w:b/>
          <w:color w:val="FF0000"/>
        </w:rPr>
        <w:t>1</w:t>
      </w:r>
      <w:r w:rsidR="00396827">
        <w:rPr>
          <w:b/>
          <w:color w:val="FF0000"/>
        </w:rPr>
        <w:t>. szcenárióban</w:t>
      </w:r>
      <w:r w:rsidR="00083100" w:rsidRPr="00EB340B">
        <w:rPr>
          <w:b/>
          <w:color w:val="FF0000"/>
        </w:rPr>
        <w:t>, mintha 2013. év végén már képes lenne a fenti kritériumok</w:t>
      </w:r>
      <w:r w:rsidR="00B30A74" w:rsidRPr="00EB340B">
        <w:rPr>
          <w:b/>
          <w:color w:val="FF0000"/>
        </w:rPr>
        <w:t xml:space="preserve">nak </w:t>
      </w:r>
      <w:r w:rsidR="00CF324E">
        <w:rPr>
          <w:b/>
          <w:color w:val="FF0000"/>
        </w:rPr>
        <w:t xml:space="preserve">teljes körűen </w:t>
      </w:r>
      <w:r w:rsidR="00B30A74" w:rsidRPr="00EB340B">
        <w:rPr>
          <w:b/>
          <w:color w:val="FF0000"/>
        </w:rPr>
        <w:t>megfelelni azon biztosítási kötelezettségportfóliók esetében, amelyek esetében</w:t>
      </w:r>
      <w:r w:rsidR="00066F70">
        <w:rPr>
          <w:b/>
          <w:color w:val="FF0000"/>
        </w:rPr>
        <w:t xml:space="preserve"> a Biztosító</w:t>
      </w:r>
      <w:r w:rsidR="00B30A74" w:rsidRPr="00EB340B">
        <w:rPr>
          <w:b/>
          <w:color w:val="FF0000"/>
        </w:rPr>
        <w:t xml:space="preserve"> </w:t>
      </w:r>
      <w:r w:rsidR="00B30A74" w:rsidRPr="00EB340B">
        <w:rPr>
          <w:b/>
          <w:color w:val="FF0000"/>
          <w:u w:val="single"/>
        </w:rPr>
        <w:t>tervezi</w:t>
      </w:r>
      <w:r w:rsidR="00EC5C73" w:rsidRPr="00EB340B">
        <w:rPr>
          <w:b/>
          <w:color w:val="FF0000"/>
        </w:rPr>
        <w:t xml:space="preserve"> az illeszkedési kiigazítás alkalmazását.</w:t>
      </w:r>
    </w:p>
    <w:p w:rsidR="00792442" w:rsidRPr="005E43F7" w:rsidRDefault="00792442" w:rsidP="00613D34">
      <w:pPr>
        <w:pStyle w:val="Listaszerbekezds"/>
        <w:spacing w:after="120" w:line="240" w:lineRule="auto"/>
        <w:ind w:left="426"/>
        <w:jc w:val="both"/>
        <w:rPr>
          <w:b/>
        </w:rPr>
      </w:pPr>
    </w:p>
    <w:p w:rsidR="00E619FE" w:rsidRDefault="00E619FE" w:rsidP="009B1B02">
      <w:pPr>
        <w:pStyle w:val="Listaszerbekezds"/>
        <w:numPr>
          <w:ilvl w:val="1"/>
          <w:numId w:val="9"/>
        </w:numPr>
        <w:spacing w:after="120" w:line="240" w:lineRule="auto"/>
        <w:jc w:val="both"/>
        <w:rPr>
          <w:i/>
          <w:u w:val="single"/>
        </w:rPr>
      </w:pPr>
      <w:r w:rsidRPr="00E619FE">
        <w:rPr>
          <w:i/>
          <w:u w:val="single"/>
        </w:rPr>
        <w:lastRenderedPageBreak/>
        <w:t>Kiterjesztett illeszkedési kiigazítás (extended matching adjustment)</w:t>
      </w:r>
    </w:p>
    <w:p w:rsidR="0079336F" w:rsidRDefault="00E619FE" w:rsidP="00A42388">
      <w:pPr>
        <w:spacing w:after="0" w:line="240" w:lineRule="auto"/>
        <w:ind w:left="360"/>
      </w:pPr>
      <w:r>
        <w:t xml:space="preserve">Az EIOPA LTG hatástanulmányról szóló jelentésének megállapításai alapján törölték az Omnibus II direktíva-tervezetből, így </w:t>
      </w:r>
      <w:r w:rsidR="00193F50" w:rsidRPr="00E619FE">
        <w:rPr>
          <w:b/>
        </w:rPr>
        <w:t xml:space="preserve">eltérően </w:t>
      </w:r>
      <w:r w:rsidRPr="00E619FE">
        <w:rPr>
          <w:b/>
        </w:rPr>
        <w:t>az LTG specifikációtól</w:t>
      </w:r>
      <w:r>
        <w:rPr>
          <w:b/>
        </w:rPr>
        <w:t xml:space="preserve"> (TS Part II)</w:t>
      </w:r>
      <w:r w:rsidRPr="00E619FE">
        <w:rPr>
          <w:b/>
        </w:rPr>
        <w:t xml:space="preserve"> nem lehet alkalmazni</w:t>
      </w:r>
      <w:r w:rsidR="00193F50">
        <w:rPr>
          <w:b/>
        </w:rPr>
        <w:t xml:space="preserve"> a Szolvencia II rendszerben</w:t>
      </w:r>
      <w:r>
        <w:t>.</w:t>
      </w:r>
    </w:p>
    <w:p w:rsidR="0079336F" w:rsidRPr="0079336F" w:rsidRDefault="0079336F" w:rsidP="0079336F">
      <w:pPr>
        <w:spacing w:after="120" w:line="240" w:lineRule="auto"/>
        <w:ind w:left="425"/>
        <w:jc w:val="both"/>
      </w:pPr>
    </w:p>
    <w:p w:rsidR="00450038" w:rsidRDefault="007C7BE7" w:rsidP="009B1B02">
      <w:pPr>
        <w:pStyle w:val="Listaszerbekezds"/>
        <w:numPr>
          <w:ilvl w:val="1"/>
          <w:numId w:val="9"/>
        </w:numPr>
        <w:spacing w:after="120" w:line="240" w:lineRule="auto"/>
        <w:jc w:val="both"/>
        <w:rPr>
          <w:i/>
          <w:u w:val="single"/>
        </w:rPr>
      </w:pPr>
      <w:r>
        <w:rPr>
          <w:i/>
          <w:u w:val="single"/>
        </w:rPr>
        <w:t>A kockázatmentes hozamgörbére vonatkozó átmeneti intézkedés</w:t>
      </w:r>
      <w:r w:rsidR="00412A6F">
        <w:rPr>
          <w:rStyle w:val="Lbjegyzet-hivatkozs"/>
          <w:i/>
          <w:u w:val="single"/>
        </w:rPr>
        <w:footnoteReference w:id="7"/>
      </w:r>
      <w:r w:rsidR="00804208">
        <w:rPr>
          <w:i/>
          <w:u w:val="single"/>
        </w:rPr>
        <w:t xml:space="preserve"> (Transitional measure on the risk-free interest rates)</w:t>
      </w:r>
    </w:p>
    <w:p w:rsidR="00984183" w:rsidRPr="00E814CB" w:rsidRDefault="00BD0BFD" w:rsidP="00072055">
      <w:pPr>
        <w:spacing w:after="0" w:line="240" w:lineRule="auto"/>
        <w:ind w:left="425"/>
        <w:jc w:val="both"/>
      </w:pPr>
      <w:r w:rsidRPr="00E814CB">
        <w:t xml:space="preserve">Az intézkedés célja a tartósan alacsony hozamkörnyezetből eredő kedvezőtlen hatások kiküszöbölése azáltal, hogy átmenetileg csökkenjen a Szolvencia II technikai tartalékok értéke. </w:t>
      </w:r>
      <w:r w:rsidR="006E04CD" w:rsidRPr="00E814CB">
        <w:rPr>
          <w:b/>
        </w:rPr>
        <w:t>Felhívjuk figyelmüket, hogy kizárólag a technikai kamatláb felhasználásával számított azon tartalékokra alkalmazható, amelynek technikai kamatlába a tartam során nem változtatható meg</w:t>
      </w:r>
      <w:r w:rsidR="00317E7B" w:rsidRPr="00E814CB">
        <w:rPr>
          <w:b/>
        </w:rPr>
        <w:t xml:space="preserve"> (az életbiztosítási ági matematikai tartalékokra alkalmazható, de pl. a felelősségbiztosítási járadéktartalékokra nem)</w:t>
      </w:r>
      <w:r w:rsidR="006E04CD" w:rsidRPr="00E814CB">
        <w:rPr>
          <w:b/>
        </w:rPr>
        <w:t xml:space="preserve">. </w:t>
      </w:r>
    </w:p>
    <w:p w:rsidR="00BD0BFD" w:rsidRDefault="00BD0BFD" w:rsidP="00072055">
      <w:pPr>
        <w:spacing w:after="0" w:line="240" w:lineRule="auto"/>
        <w:ind w:left="425"/>
        <w:jc w:val="both"/>
      </w:pPr>
    </w:p>
    <w:p w:rsidR="00FC7A67" w:rsidRDefault="00450038" w:rsidP="00072055">
      <w:pPr>
        <w:spacing w:after="0" w:line="240" w:lineRule="auto"/>
        <w:ind w:left="425"/>
        <w:jc w:val="both"/>
      </w:pPr>
      <w:r>
        <w:t>A le</w:t>
      </w:r>
      <w:r w:rsidR="00510621">
        <w:t xml:space="preserve">gújabb módosításokat követően </w:t>
      </w:r>
      <w:r w:rsidR="00455D96">
        <w:t xml:space="preserve">a számítási módszertanban </w:t>
      </w:r>
      <w:r w:rsidR="00B731F9">
        <w:t>változás történt</w:t>
      </w:r>
      <w:r w:rsidR="00FC7A67">
        <w:t>. Már nem a Szolvencia I és Szolvencia II hozamgörbéket kell súlyozni, hanem a</w:t>
      </w:r>
      <w:r w:rsidR="008B576F">
        <w:t xml:space="preserve"> Szolvencia II kockázatmentes hozamgörbét kell kiigazítani az alábbi </w:t>
      </w:r>
      <w:r w:rsidR="00EA666D">
        <w:t>módon:</w:t>
      </w:r>
    </w:p>
    <w:p w:rsidR="008B576F" w:rsidRDefault="008B576F" w:rsidP="00072055">
      <w:pPr>
        <w:spacing w:after="0" w:line="240" w:lineRule="auto"/>
        <w:ind w:left="425"/>
        <w:jc w:val="both"/>
      </w:pPr>
    </w:p>
    <w:p w:rsidR="00A5614D" w:rsidRDefault="003B4AAF" w:rsidP="00A5614D">
      <w:pPr>
        <w:pStyle w:val="Listaszerbekezds"/>
        <w:numPr>
          <w:ilvl w:val="0"/>
          <w:numId w:val="11"/>
        </w:numPr>
        <w:spacing w:after="0" w:line="240" w:lineRule="auto"/>
        <w:jc w:val="both"/>
      </w:pPr>
      <w:r>
        <w:t>A</w:t>
      </w:r>
      <w:r w:rsidR="008B576F">
        <w:t xml:space="preserve"> </w:t>
      </w:r>
      <w:r w:rsidR="00EA666D">
        <w:t xml:space="preserve">Szolvencia II </w:t>
      </w:r>
      <w:r>
        <w:t>legjobb becslés</w:t>
      </w:r>
      <w:r w:rsidR="00F10A1C">
        <w:t xml:space="preserve"> (BE)</w:t>
      </w:r>
      <w:r>
        <w:t xml:space="preserve"> értéknek</w:t>
      </w:r>
      <w:r w:rsidR="00A5614D">
        <w:t xml:space="preserve"> ki kell számolni a belső megtérülési rátáját (éves effektív kamatláb): azaz keressük azt az r</w:t>
      </w:r>
      <w:r w:rsidR="00A5614D" w:rsidRPr="00A5614D">
        <w:rPr>
          <w:vertAlign w:val="subscript"/>
        </w:rPr>
        <w:t>effektív</w:t>
      </w:r>
      <w:r w:rsidR="00A5614D">
        <w:rPr>
          <w:vertAlign w:val="subscript"/>
        </w:rPr>
        <w:t xml:space="preserve"> </w:t>
      </w:r>
      <w:r w:rsidR="009B384F">
        <w:t xml:space="preserve">kamatlábat, amelyre teljesül. hogy </w:t>
      </w:r>
    </w:p>
    <w:p w:rsidR="009B384F" w:rsidRDefault="009B384F" w:rsidP="009B384F">
      <w:pPr>
        <w:pStyle w:val="Listaszerbekezds"/>
        <w:spacing w:after="0" w:line="240" w:lineRule="auto"/>
        <w:ind w:left="1145"/>
        <w:jc w:val="both"/>
      </w:pPr>
    </w:p>
    <w:p w:rsidR="009B384F" w:rsidRDefault="000F5652" w:rsidP="009B384F">
      <w:pPr>
        <w:pStyle w:val="Listaszerbekezds"/>
        <w:spacing w:after="0" w:line="240" w:lineRule="auto"/>
        <w:ind w:left="1145"/>
        <w:jc w:val="both"/>
      </w:pPr>
      <m:oMathPara>
        <m:oMath>
          <m:r>
            <w:rPr>
              <w:rFonts w:ascii="Cambria Math" w:hAnsi="Cambria Math"/>
            </w:rPr>
            <m:t xml:space="preserve">BE= </m:t>
          </m:r>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f>
                <m:fPr>
                  <m:ctrlPr>
                    <w:rPr>
                      <w:rFonts w:ascii="Cambria Math" w:hAnsi="Cambria Math"/>
                      <w:i/>
                    </w:rPr>
                  </m:ctrlPr>
                </m:fPr>
                <m:num>
                  <m:sSub>
                    <m:sSubPr>
                      <m:ctrlPr>
                        <w:rPr>
                          <w:rFonts w:ascii="Cambria Math" w:hAnsi="Cambria Math"/>
                          <w:i/>
                        </w:rPr>
                      </m:ctrlPr>
                    </m:sSubPr>
                    <m:e>
                      <m:r>
                        <w:rPr>
                          <w:rFonts w:ascii="Cambria Math" w:hAnsi="Cambria Math"/>
                        </w:rPr>
                        <m:t>CF</m:t>
                      </m:r>
                    </m:e>
                    <m:sub>
                      <m:r>
                        <w:rPr>
                          <w:rFonts w:ascii="Cambria Math" w:hAnsi="Cambria Math"/>
                        </w:rPr>
                        <m:t>i</m:t>
                      </m:r>
                    </m:sub>
                  </m:sSub>
                </m:num>
                <m:den>
                  <m:sSup>
                    <m:sSupPr>
                      <m:ctrlPr>
                        <w:rPr>
                          <w:rFonts w:ascii="Cambria Math" w:hAnsi="Cambria Math"/>
                          <w:i/>
                        </w:rPr>
                      </m:ctrlPr>
                    </m:sSupPr>
                    <m:e>
                      <m:sSub>
                        <m:sSubPr>
                          <m:ctrlPr>
                            <w:rPr>
                              <w:rFonts w:ascii="Cambria Math" w:hAnsi="Cambria Math"/>
                              <w:i/>
                            </w:rPr>
                          </m:ctrlPr>
                        </m:sSubPr>
                        <m:e>
                          <m:r>
                            <w:rPr>
                              <w:rFonts w:ascii="Cambria Math" w:hAnsi="Cambria Math"/>
                            </w:rPr>
                            <m:t>(1+r</m:t>
                          </m:r>
                        </m:e>
                        <m:sub>
                          <m:r>
                            <w:rPr>
                              <w:rFonts w:ascii="Cambria Math" w:hAnsi="Cambria Math"/>
                            </w:rPr>
                            <m:t>effektív</m:t>
                          </m:r>
                        </m:sub>
                      </m:sSub>
                      <m:r>
                        <w:rPr>
                          <w:rFonts w:ascii="Cambria Math" w:hAnsi="Cambria Math"/>
                        </w:rPr>
                        <m:t>)</m:t>
                      </m:r>
                    </m:e>
                    <m:sup>
                      <m:r>
                        <w:rPr>
                          <w:rFonts w:ascii="Cambria Math" w:hAnsi="Cambria Math"/>
                        </w:rPr>
                        <m:t>t</m:t>
                      </m:r>
                    </m:sup>
                  </m:sSup>
                </m:den>
              </m:f>
            </m:e>
          </m:nary>
        </m:oMath>
      </m:oMathPara>
    </w:p>
    <w:p w:rsidR="00F10A1C" w:rsidRDefault="00F10A1C" w:rsidP="00F10A1C">
      <w:pPr>
        <w:spacing w:after="0" w:line="240" w:lineRule="auto"/>
        <w:ind w:left="708"/>
        <w:jc w:val="both"/>
      </w:pPr>
    </w:p>
    <w:p w:rsidR="00FC7A67" w:rsidRPr="009A36BA" w:rsidRDefault="00BE0B19" w:rsidP="00D17EC9">
      <w:pPr>
        <w:spacing w:after="0" w:line="240" w:lineRule="auto"/>
        <w:ind w:left="1145"/>
        <w:jc w:val="both"/>
      </w:pPr>
      <w:r>
        <w:t xml:space="preserve">A 3. szcenárióban együttesen alkalmazandó a volatilitási kiigazítással, így </w:t>
      </w:r>
      <w:r w:rsidR="002255F7">
        <w:t xml:space="preserve">a BE </w:t>
      </w:r>
      <w:r w:rsidR="00E239CF">
        <w:t>értékeként</w:t>
      </w:r>
      <w:r w:rsidR="002255F7">
        <w:t xml:space="preserve"> a volatilitási kiigazítás</w:t>
      </w:r>
      <w:r w:rsidR="00F10A1C">
        <w:t xml:space="preserve"> mellett számított BE értékét kérjük figyelembe venni</w:t>
      </w:r>
      <w:r w:rsidR="009A36BA">
        <w:t xml:space="preserve"> oly módon, hogy a BE</w:t>
      </w:r>
      <w:r w:rsidR="00AB7A78">
        <w:t>, illetve</w:t>
      </w:r>
      <w:r w:rsidR="00BA20A2" w:rsidRPr="00BA20A2">
        <w:t xml:space="preserve"> </w:t>
      </w:r>
      <w:r w:rsidR="00AB7A78">
        <w:t>a kötelezettségoldali pénzáramlások (CF</w:t>
      </w:r>
      <w:r w:rsidR="00AB7A78" w:rsidRPr="009A36BA">
        <w:rPr>
          <w:vertAlign w:val="subscript"/>
        </w:rPr>
        <w:t>i</w:t>
      </w:r>
      <w:r w:rsidR="00AB7A78">
        <w:t xml:space="preserve">) </w:t>
      </w:r>
      <w:r w:rsidR="00BA20A2">
        <w:t>nem tartalmazz</w:t>
      </w:r>
      <w:r w:rsidR="00AB7A78">
        <w:t>ák</w:t>
      </w:r>
      <w:r w:rsidR="00BA20A2">
        <w:t xml:space="preserve"> a jövőbeli diszkrecionális nyereségrészesedés tartalékának értékét</w:t>
      </w:r>
      <w:r w:rsidR="009A36BA">
        <w:t xml:space="preserve">, </w:t>
      </w:r>
      <w:r w:rsidR="00AB7A78">
        <w:t>illetve az ahhoz kapcsolódó</w:t>
      </w:r>
      <w:r w:rsidR="00BA20A2">
        <w:t xml:space="preserve"> pénzáramlásokat</w:t>
      </w:r>
      <w:r w:rsidR="00AB7A78">
        <w:t>.</w:t>
      </w:r>
    </w:p>
    <w:p w:rsidR="00F10A1C" w:rsidRDefault="00F10A1C" w:rsidP="00BE0B19">
      <w:pPr>
        <w:spacing w:after="0" w:line="240" w:lineRule="auto"/>
        <w:jc w:val="both"/>
      </w:pPr>
    </w:p>
    <w:p w:rsidR="00FD32C5" w:rsidRDefault="003B4AAF" w:rsidP="00FD32C5">
      <w:pPr>
        <w:pStyle w:val="Listaszerbekezds"/>
        <w:numPr>
          <w:ilvl w:val="0"/>
          <w:numId w:val="11"/>
        </w:numPr>
        <w:spacing w:after="0" w:line="240" w:lineRule="auto"/>
        <w:jc w:val="both"/>
      </w:pPr>
      <w:r>
        <w:t>A</w:t>
      </w:r>
      <w:r w:rsidR="00FD32C5">
        <w:t xml:space="preserve"> kiigazítás értéke </w:t>
      </w:r>
      <w:r w:rsidR="009B28C1">
        <w:t xml:space="preserve">a Szolvencia I technikai kamatláb és </w:t>
      </w:r>
      <w:r w:rsidR="00FD32C5">
        <w:t>az r</w:t>
      </w:r>
      <w:r w:rsidR="00FD32C5" w:rsidRPr="00FD32C5">
        <w:rPr>
          <w:vertAlign w:val="subscript"/>
        </w:rPr>
        <w:t>effektív</w:t>
      </w:r>
      <w:r w:rsidR="00FD32C5">
        <w:rPr>
          <w:vertAlign w:val="subscript"/>
        </w:rPr>
        <w:t xml:space="preserve"> </w:t>
      </w:r>
      <w:r w:rsidR="009B28C1">
        <w:t xml:space="preserve"> pozitív</w:t>
      </w:r>
      <w:r w:rsidR="00FD32C5">
        <w:t xml:space="preserve"> különbsége</w:t>
      </w:r>
      <w:r w:rsidR="00E239CF">
        <w:t>.</w:t>
      </w:r>
    </w:p>
    <w:p w:rsidR="000E3F1E" w:rsidRDefault="000E3F1E" w:rsidP="000E3F1E">
      <w:pPr>
        <w:pStyle w:val="Listaszerbekezds"/>
        <w:spacing w:after="0" w:line="240" w:lineRule="auto"/>
        <w:ind w:left="1145"/>
        <w:jc w:val="both"/>
      </w:pPr>
    </w:p>
    <w:p w:rsidR="009B28C1" w:rsidRDefault="009B28C1" w:rsidP="00FD32C5">
      <w:pPr>
        <w:pStyle w:val="Listaszerbekezds"/>
        <w:numPr>
          <w:ilvl w:val="0"/>
          <w:numId w:val="11"/>
        </w:numPr>
        <w:spacing w:after="0" w:line="240" w:lineRule="auto"/>
        <w:jc w:val="both"/>
      </w:pPr>
      <w:r>
        <w:t xml:space="preserve">A </w:t>
      </w:r>
      <w:r w:rsidR="00D17EC9">
        <w:t xml:space="preserve">pozitív </w:t>
      </w:r>
      <w:r>
        <w:t>különbséggel n</w:t>
      </w:r>
      <w:r w:rsidR="000E3F1E">
        <w:t>övelni kell a 0. szcenárióhoz meghatározott Szolvencia II alap kockázatmentes hozamgörbét, ezt az új hozamgörbét kell alkalmazni a 3. szcenárióban.</w:t>
      </w:r>
    </w:p>
    <w:p w:rsidR="00FD32C5" w:rsidRDefault="00FD32C5" w:rsidP="00072055">
      <w:pPr>
        <w:spacing w:after="0" w:line="240" w:lineRule="auto"/>
        <w:ind w:left="425"/>
        <w:jc w:val="both"/>
      </w:pPr>
    </w:p>
    <w:p w:rsidR="00BB452B" w:rsidRDefault="000E3F1E" w:rsidP="00072055">
      <w:pPr>
        <w:spacing w:after="0" w:line="240" w:lineRule="auto"/>
        <w:ind w:left="425"/>
        <w:jc w:val="both"/>
        <w:rPr>
          <w:b/>
        </w:rPr>
      </w:pPr>
      <w:r>
        <w:t>Amennyiben az átmeneti intézkedés alkalmazása</w:t>
      </w:r>
      <w:r w:rsidR="007F4051">
        <w:t xml:space="preserve"> a Biztosító számára</w:t>
      </w:r>
      <w:r>
        <w:t xml:space="preserve"> releváns, </w:t>
      </w:r>
      <w:r w:rsidR="00455D96">
        <w:t xml:space="preserve">kérjük úgy számolni, mintha </w:t>
      </w:r>
      <w:r w:rsidR="003C6FD9">
        <w:t xml:space="preserve">2013. év végén </w:t>
      </w:r>
      <w:r w:rsidR="00455D96">
        <w:t xml:space="preserve">az átmeneti </w:t>
      </w:r>
      <w:r w:rsidR="00E454E7">
        <w:t xml:space="preserve">időszak </w:t>
      </w:r>
      <w:r w:rsidR="00455D96">
        <w:t xml:space="preserve">0. évében lennénk, azaz a </w:t>
      </w:r>
      <w:r w:rsidR="007F4051">
        <w:t>pozitív különbözet 100%-ával</w:t>
      </w:r>
      <w:r w:rsidR="00455D96">
        <w:t xml:space="preserve"> </w:t>
      </w:r>
      <w:r w:rsidR="00B4332F">
        <w:t>kell kiigazítani a Szolvencia II alap kockázatmentes hozamgörbét</w:t>
      </w:r>
      <w:r w:rsidR="00455D96">
        <w:t>.</w:t>
      </w:r>
      <w:r w:rsidR="009D216A">
        <w:t xml:space="preserve"> </w:t>
      </w:r>
    </w:p>
    <w:p w:rsidR="00072055" w:rsidRDefault="00072055" w:rsidP="00072055">
      <w:pPr>
        <w:spacing w:after="0" w:line="240" w:lineRule="auto"/>
        <w:ind w:left="425"/>
        <w:jc w:val="both"/>
        <w:rPr>
          <w:i/>
          <w:u w:val="single"/>
        </w:rPr>
      </w:pPr>
    </w:p>
    <w:p w:rsidR="00501B98" w:rsidRPr="009B1B02" w:rsidRDefault="00473133" w:rsidP="009B1B02">
      <w:pPr>
        <w:pStyle w:val="Listaszerbekezds"/>
        <w:numPr>
          <w:ilvl w:val="1"/>
          <w:numId w:val="9"/>
        </w:numPr>
        <w:spacing w:after="120" w:line="240" w:lineRule="auto"/>
        <w:jc w:val="both"/>
        <w:rPr>
          <w:i/>
          <w:u w:val="single"/>
        </w:rPr>
      </w:pPr>
      <w:r>
        <w:rPr>
          <w:i/>
          <w:u w:val="single"/>
        </w:rPr>
        <w:t xml:space="preserve">A </w:t>
      </w:r>
      <w:r w:rsidR="00072055" w:rsidRPr="00072055">
        <w:rPr>
          <w:i/>
          <w:u w:val="single"/>
        </w:rPr>
        <w:t>technikai tartalékokra vonatkozó átmeneti intézkedés</w:t>
      </w:r>
      <w:r w:rsidR="00BD0BFD">
        <w:rPr>
          <w:rStyle w:val="Lbjegyzet-hivatkozs"/>
          <w:i/>
          <w:u w:val="single"/>
        </w:rPr>
        <w:footnoteReference w:id="8"/>
      </w:r>
      <w:r>
        <w:rPr>
          <w:i/>
          <w:u w:val="single"/>
        </w:rPr>
        <w:t xml:space="preserve"> (</w:t>
      </w:r>
      <w:r w:rsidR="00D76A12">
        <w:rPr>
          <w:i/>
          <w:u w:val="single"/>
        </w:rPr>
        <w:t>Transitional measure on technical provisions)</w:t>
      </w:r>
    </w:p>
    <w:p w:rsidR="00D76A12" w:rsidRDefault="00D76A12" w:rsidP="00D76A12">
      <w:pPr>
        <w:spacing w:after="0" w:line="240" w:lineRule="auto"/>
        <w:ind w:left="425"/>
        <w:jc w:val="both"/>
      </w:pPr>
    </w:p>
    <w:p w:rsidR="00BC7E3D" w:rsidRDefault="00D76A12" w:rsidP="00CE7D25">
      <w:pPr>
        <w:spacing w:after="0" w:line="240" w:lineRule="auto"/>
        <w:ind w:left="425"/>
        <w:jc w:val="both"/>
      </w:pPr>
      <w:r>
        <w:t xml:space="preserve">1. </w:t>
      </w:r>
      <w:r w:rsidR="00501B98">
        <w:t>Az EIOPA LTG hatástanulmányról szóló jelentésének megállapításai alapján került kialakításra a specifikációja</w:t>
      </w:r>
      <w:r w:rsidR="009B52CC">
        <w:t xml:space="preserve">, amely </w:t>
      </w:r>
      <w:r w:rsidR="009B52CC" w:rsidRPr="009B52CC">
        <w:t>a kockázatmentes hozamgörbére vona</w:t>
      </w:r>
      <w:r w:rsidR="00D85B33">
        <w:t>tkoz</w:t>
      </w:r>
      <w:r w:rsidR="006408A0">
        <w:t>ó átmeneti intézkedéshez hasonló eszköz</w:t>
      </w:r>
      <w:r w:rsidR="009425F2">
        <w:t xml:space="preserve">, de alkalmazásuk kölcsönösen kizárja egymást (lásd az útmutató 1.7. táblázatánál). </w:t>
      </w:r>
      <w:r w:rsidR="006408A0">
        <w:t>A</w:t>
      </w:r>
      <w:r w:rsidR="00BC7E3D">
        <w:t>z eltérések azonban a következők:</w:t>
      </w:r>
    </w:p>
    <w:p w:rsidR="00BC7E3D" w:rsidRDefault="00BC7E3D" w:rsidP="00CE7D25">
      <w:pPr>
        <w:spacing w:after="0" w:line="240" w:lineRule="auto"/>
        <w:ind w:left="425"/>
        <w:jc w:val="both"/>
      </w:pPr>
    </w:p>
    <w:p w:rsidR="00273F90" w:rsidRPr="00273F90" w:rsidRDefault="00A9142F" w:rsidP="00BC7E3D">
      <w:pPr>
        <w:pStyle w:val="Listaszerbekezds"/>
        <w:numPr>
          <w:ilvl w:val="0"/>
          <w:numId w:val="10"/>
        </w:numPr>
        <w:spacing w:after="0" w:line="240" w:lineRule="auto"/>
        <w:jc w:val="both"/>
      </w:pPr>
      <w:r>
        <w:t>az élet- és nem-életbiztosítási kötelezettségekre képzett technikai tartalékok esetében is alkalmazható</w:t>
      </w:r>
      <w:r w:rsidR="00273F90">
        <w:t>;</w:t>
      </w:r>
      <w:r w:rsidR="00273F90" w:rsidRPr="00273F90">
        <w:rPr>
          <w:b/>
        </w:rPr>
        <w:t xml:space="preserve"> </w:t>
      </w:r>
    </w:p>
    <w:p w:rsidR="00BC7E3D" w:rsidRDefault="00273F90" w:rsidP="00BC7E3D">
      <w:pPr>
        <w:pStyle w:val="Listaszerbekezds"/>
        <w:numPr>
          <w:ilvl w:val="0"/>
          <w:numId w:val="10"/>
        </w:numPr>
        <w:spacing w:after="0" w:line="240" w:lineRule="auto"/>
        <w:jc w:val="both"/>
      </w:pPr>
      <w:r w:rsidRPr="00BC7E3D">
        <w:rPr>
          <w:b/>
        </w:rPr>
        <w:t>a</w:t>
      </w:r>
      <w:r>
        <w:rPr>
          <w:b/>
        </w:rPr>
        <w:t xml:space="preserve"> </w:t>
      </w:r>
      <w:r w:rsidRPr="00BC7E3D">
        <w:rPr>
          <w:b/>
        </w:rPr>
        <w:t>homogén kockázati csoportok szintjén is lehet alkalmazni, nem csak a teljes kötelezettségportfólióra</w:t>
      </w:r>
      <w:r>
        <w:rPr>
          <w:b/>
        </w:rPr>
        <w:t>;</w:t>
      </w:r>
    </w:p>
    <w:p w:rsidR="00403683" w:rsidRPr="00A35248" w:rsidRDefault="006408A0" w:rsidP="00BC7E3D">
      <w:pPr>
        <w:pStyle w:val="Listaszerbekezds"/>
        <w:numPr>
          <w:ilvl w:val="0"/>
          <w:numId w:val="10"/>
        </w:numPr>
        <w:spacing w:after="0" w:line="240" w:lineRule="auto"/>
        <w:jc w:val="both"/>
      </w:pPr>
      <w:r>
        <w:t xml:space="preserve">nem a </w:t>
      </w:r>
      <w:r w:rsidR="00B731F9">
        <w:t>Szolvencia II kockázatmentes hozamgörbét kell kiigazítani</w:t>
      </w:r>
      <w:r>
        <w:t>, ha</w:t>
      </w:r>
      <w:r w:rsidR="00CF5340">
        <w:t>ne</w:t>
      </w:r>
      <w:r>
        <w:t>m</w:t>
      </w:r>
      <w:r w:rsidR="006A1EB1">
        <w:t xml:space="preserve"> alkalmazása</w:t>
      </w:r>
      <w:r>
        <w:t xml:space="preserve"> </w:t>
      </w:r>
      <w:r w:rsidR="00CF5340" w:rsidRPr="00BC7E3D">
        <w:rPr>
          <w:b/>
        </w:rPr>
        <w:t>abszolút ért</w:t>
      </w:r>
      <w:r w:rsidR="00A35248" w:rsidRPr="00BC7E3D">
        <w:rPr>
          <w:b/>
        </w:rPr>
        <w:t>ékben,</w:t>
      </w:r>
      <w:r w:rsidR="00CF5340" w:rsidRPr="00BC7E3D">
        <w:rPr>
          <w:b/>
        </w:rPr>
        <w:t xml:space="preserve"> </w:t>
      </w:r>
      <w:r w:rsidRPr="00BC7E3D">
        <w:rPr>
          <w:b/>
        </w:rPr>
        <w:t xml:space="preserve">közvetlenül </w:t>
      </w:r>
      <w:r w:rsidR="00A35248" w:rsidRPr="00BC7E3D">
        <w:rPr>
          <w:b/>
        </w:rPr>
        <w:t>csökkenti</w:t>
      </w:r>
      <w:r w:rsidRPr="00BC7E3D">
        <w:rPr>
          <w:b/>
        </w:rPr>
        <w:t xml:space="preserve"> a </w:t>
      </w:r>
      <w:r w:rsidR="0088360E" w:rsidRPr="00BC7E3D">
        <w:rPr>
          <w:b/>
        </w:rPr>
        <w:t>technikai tartalékok értékét</w:t>
      </w:r>
      <w:r w:rsidR="00CE7D25" w:rsidRPr="00BC7E3D">
        <w:rPr>
          <w:b/>
        </w:rPr>
        <w:t xml:space="preserve"> (</w:t>
      </w:r>
      <w:r w:rsidR="006A1EB1" w:rsidRPr="00BC7E3D">
        <w:rPr>
          <w:b/>
        </w:rPr>
        <w:t xml:space="preserve">az </w:t>
      </w:r>
      <w:r w:rsidR="00CE7D25" w:rsidRPr="00BC7E3D">
        <w:rPr>
          <w:b/>
        </w:rPr>
        <w:t>ún. átmeneti levonás</w:t>
      </w:r>
      <w:r w:rsidR="001524E5" w:rsidRPr="00BC7E3D">
        <w:rPr>
          <w:b/>
        </w:rPr>
        <w:t xml:space="preserve"> értékével</w:t>
      </w:r>
      <w:r w:rsidR="00CE7D25" w:rsidRPr="00BC7E3D">
        <w:rPr>
          <w:b/>
        </w:rPr>
        <w:t>)</w:t>
      </w:r>
      <w:r w:rsidR="0088360E" w:rsidRPr="00BC7E3D">
        <w:rPr>
          <w:b/>
        </w:rPr>
        <w:t>.</w:t>
      </w:r>
      <w:r w:rsidR="00C020B5" w:rsidRPr="009B52CC">
        <w:t xml:space="preserve"> </w:t>
      </w:r>
    </w:p>
    <w:p w:rsidR="00A04922" w:rsidRPr="00501B98" w:rsidRDefault="00A04922" w:rsidP="00A04922">
      <w:pPr>
        <w:spacing w:after="0" w:line="240" w:lineRule="auto"/>
        <w:ind w:left="425"/>
        <w:jc w:val="both"/>
      </w:pPr>
    </w:p>
    <w:p w:rsidR="00792442" w:rsidRDefault="00B31FE7" w:rsidP="00792442">
      <w:pPr>
        <w:spacing w:after="0" w:line="240" w:lineRule="auto"/>
        <w:ind w:left="426"/>
        <w:jc w:val="both"/>
        <w:rPr>
          <w:rFonts w:asciiTheme="minorHAnsi" w:eastAsiaTheme="minorHAnsi" w:hAnsiTheme="minorHAnsi" w:cstheme="minorBidi"/>
        </w:rPr>
      </w:pPr>
      <w:r w:rsidRPr="00D85B33">
        <w:rPr>
          <w:rFonts w:asciiTheme="minorHAnsi" w:eastAsiaTheme="minorHAnsi" w:hAnsiTheme="minorHAnsi" w:cstheme="minorBidi"/>
        </w:rPr>
        <w:t xml:space="preserve">Az átmeneti levonás </w:t>
      </w:r>
      <w:r w:rsidR="001234BD">
        <w:rPr>
          <w:rFonts w:asciiTheme="minorHAnsi" w:eastAsiaTheme="minorHAnsi" w:hAnsiTheme="minorHAnsi" w:cstheme="minorBidi"/>
        </w:rPr>
        <w:t xml:space="preserve">leegyszerűsítve </w:t>
      </w:r>
      <w:r w:rsidRPr="00D85B33">
        <w:rPr>
          <w:rFonts w:asciiTheme="minorHAnsi" w:eastAsiaTheme="minorHAnsi" w:hAnsiTheme="minorHAnsi" w:cstheme="minorBidi"/>
        </w:rPr>
        <w:t>az alábbi két összeg</w:t>
      </w:r>
      <w:r w:rsidR="00B204D0">
        <w:rPr>
          <w:rFonts w:asciiTheme="minorHAnsi" w:eastAsiaTheme="minorHAnsi" w:hAnsiTheme="minorHAnsi" w:cstheme="minorBidi"/>
        </w:rPr>
        <w:t xml:space="preserve"> </w:t>
      </w:r>
      <w:r w:rsidRPr="00D85B33">
        <w:rPr>
          <w:rFonts w:asciiTheme="minorHAnsi" w:eastAsiaTheme="minorHAnsi" w:hAnsiTheme="minorHAnsi" w:cstheme="minorBidi"/>
        </w:rPr>
        <w:t>különbségé</w:t>
      </w:r>
      <w:r w:rsidR="00B204D0">
        <w:rPr>
          <w:rFonts w:asciiTheme="minorHAnsi" w:eastAsiaTheme="minorHAnsi" w:hAnsiTheme="minorHAnsi" w:cstheme="minorBidi"/>
        </w:rPr>
        <w:t>t jelenti, amennyiben az pozitív</w:t>
      </w:r>
      <w:r w:rsidRPr="00D85B33">
        <w:rPr>
          <w:rFonts w:asciiTheme="minorHAnsi" w:eastAsiaTheme="minorHAnsi" w:hAnsiTheme="minorHAnsi" w:cstheme="minorBidi"/>
        </w:rPr>
        <w:t>:</w:t>
      </w:r>
    </w:p>
    <w:p w:rsidR="00792442" w:rsidRPr="00D85B33" w:rsidRDefault="00792442" w:rsidP="00792442">
      <w:pPr>
        <w:spacing w:after="0" w:line="240" w:lineRule="auto"/>
        <w:ind w:left="426"/>
        <w:jc w:val="both"/>
        <w:rPr>
          <w:rFonts w:asciiTheme="minorHAnsi" w:eastAsiaTheme="minorHAnsi" w:hAnsiTheme="minorHAnsi" w:cstheme="minorBidi"/>
        </w:rPr>
      </w:pPr>
    </w:p>
    <w:p w:rsidR="001234BD" w:rsidRPr="00792442" w:rsidRDefault="00CE7D25" w:rsidP="00792442">
      <w:pPr>
        <w:pStyle w:val="Listaszerbekezds"/>
        <w:numPr>
          <w:ilvl w:val="0"/>
          <w:numId w:val="12"/>
        </w:numPr>
        <w:spacing w:after="0" w:line="240" w:lineRule="auto"/>
        <w:jc w:val="both"/>
        <w:rPr>
          <w:rFonts w:asciiTheme="minorHAnsi" w:eastAsiaTheme="minorHAnsi" w:hAnsiTheme="minorHAnsi" w:cstheme="minorBidi"/>
        </w:rPr>
      </w:pPr>
      <w:r w:rsidRPr="00792442">
        <w:rPr>
          <w:rFonts w:asciiTheme="minorHAnsi" w:eastAsiaTheme="minorHAnsi" w:hAnsiTheme="minorHAnsi" w:cstheme="minorBidi"/>
        </w:rPr>
        <w:t xml:space="preserve">a </w:t>
      </w:r>
      <w:r w:rsidR="007547DF" w:rsidRPr="00792442">
        <w:rPr>
          <w:rFonts w:asciiTheme="minorHAnsi" w:eastAsiaTheme="minorHAnsi" w:hAnsiTheme="minorHAnsi" w:cstheme="minorBidi"/>
        </w:rPr>
        <w:t xml:space="preserve">Szolvencia II szerint értékelt </w:t>
      </w:r>
      <w:r w:rsidR="00471CFF" w:rsidRPr="00792442">
        <w:rPr>
          <w:rFonts w:asciiTheme="minorHAnsi" w:eastAsiaTheme="minorHAnsi" w:hAnsiTheme="minorHAnsi" w:cstheme="minorBidi"/>
        </w:rPr>
        <w:t xml:space="preserve">nettó </w:t>
      </w:r>
      <w:r w:rsidR="00B31FE7" w:rsidRPr="00792442">
        <w:rPr>
          <w:rFonts w:asciiTheme="minorHAnsi" w:eastAsiaTheme="minorHAnsi" w:hAnsiTheme="minorHAnsi" w:cstheme="minorBidi"/>
        </w:rPr>
        <w:t>technikai tartalékok</w:t>
      </w:r>
      <w:r w:rsidR="007A40A7" w:rsidRPr="00792442">
        <w:rPr>
          <w:rFonts w:asciiTheme="minorHAnsi" w:eastAsiaTheme="minorHAnsi" w:hAnsiTheme="minorHAnsi" w:cstheme="minorBidi"/>
        </w:rPr>
        <w:t xml:space="preserve"> értéke</w:t>
      </w:r>
      <w:r w:rsidR="00B31FE7" w:rsidRPr="00792442">
        <w:rPr>
          <w:rFonts w:asciiTheme="minorHAnsi" w:eastAsiaTheme="minorHAnsi" w:hAnsiTheme="minorHAnsi" w:cstheme="minorBidi"/>
        </w:rPr>
        <w:t xml:space="preserve">; </w:t>
      </w:r>
    </w:p>
    <w:p w:rsidR="00792442" w:rsidRPr="00792442" w:rsidRDefault="00792442" w:rsidP="00792442">
      <w:pPr>
        <w:pStyle w:val="Listaszerbekezds"/>
        <w:spacing w:after="0" w:line="240" w:lineRule="auto"/>
        <w:ind w:left="786"/>
        <w:jc w:val="both"/>
        <w:rPr>
          <w:rFonts w:asciiTheme="minorHAnsi" w:eastAsiaTheme="minorHAnsi" w:hAnsiTheme="minorHAnsi" w:cstheme="minorBidi"/>
        </w:rPr>
      </w:pPr>
    </w:p>
    <w:p w:rsidR="007A40A7" w:rsidRPr="00792442" w:rsidRDefault="007547DF" w:rsidP="00792442">
      <w:pPr>
        <w:pStyle w:val="Listaszerbekezds"/>
        <w:numPr>
          <w:ilvl w:val="0"/>
          <w:numId w:val="12"/>
        </w:numPr>
        <w:spacing w:after="0" w:line="240" w:lineRule="auto"/>
        <w:jc w:val="both"/>
        <w:rPr>
          <w:rFonts w:asciiTheme="minorHAnsi" w:eastAsiaTheme="minorHAnsi" w:hAnsiTheme="minorHAnsi" w:cstheme="minorBidi"/>
        </w:rPr>
      </w:pPr>
      <w:r w:rsidRPr="00792442">
        <w:rPr>
          <w:rFonts w:asciiTheme="minorHAnsi" w:eastAsiaTheme="minorHAnsi" w:hAnsiTheme="minorHAnsi" w:cstheme="minorBidi"/>
        </w:rPr>
        <w:t xml:space="preserve">a Szolvencia I szerint értékelt </w:t>
      </w:r>
      <w:r w:rsidR="00471CFF" w:rsidRPr="00792442">
        <w:rPr>
          <w:rFonts w:asciiTheme="minorHAnsi" w:eastAsiaTheme="minorHAnsi" w:hAnsiTheme="minorHAnsi" w:cstheme="minorBidi"/>
        </w:rPr>
        <w:t xml:space="preserve">nettó </w:t>
      </w:r>
      <w:r w:rsidR="00B31FE7" w:rsidRPr="00792442">
        <w:rPr>
          <w:rFonts w:asciiTheme="minorHAnsi" w:eastAsiaTheme="minorHAnsi" w:hAnsiTheme="minorHAnsi" w:cstheme="minorBidi"/>
        </w:rPr>
        <w:t>biztosítástechnikai tartalékok</w:t>
      </w:r>
      <w:r w:rsidR="007A40A7" w:rsidRPr="00792442">
        <w:rPr>
          <w:rFonts w:asciiTheme="minorHAnsi" w:eastAsiaTheme="minorHAnsi" w:hAnsiTheme="minorHAnsi" w:cstheme="minorBidi"/>
        </w:rPr>
        <w:t xml:space="preserve"> értéke</w:t>
      </w:r>
      <w:r w:rsidR="00B31FE7" w:rsidRPr="00792442">
        <w:rPr>
          <w:rFonts w:asciiTheme="minorHAnsi" w:eastAsiaTheme="minorHAnsi" w:hAnsiTheme="minorHAnsi" w:cstheme="minorBidi"/>
        </w:rPr>
        <w:t>.</w:t>
      </w:r>
    </w:p>
    <w:p w:rsidR="00792442" w:rsidRPr="00792442" w:rsidRDefault="00792442" w:rsidP="00792442">
      <w:pPr>
        <w:spacing w:after="0" w:line="240" w:lineRule="auto"/>
        <w:jc w:val="both"/>
        <w:rPr>
          <w:rFonts w:asciiTheme="minorHAnsi" w:eastAsiaTheme="minorHAnsi" w:hAnsiTheme="minorHAnsi" w:cstheme="minorBidi"/>
        </w:rPr>
      </w:pPr>
    </w:p>
    <w:p w:rsidR="009425F2" w:rsidRPr="00D85B33" w:rsidRDefault="009425F2" w:rsidP="00792442">
      <w:pPr>
        <w:spacing w:after="0" w:line="240" w:lineRule="auto"/>
        <w:ind w:left="426"/>
        <w:jc w:val="both"/>
        <w:rPr>
          <w:rFonts w:asciiTheme="minorHAnsi" w:eastAsiaTheme="minorHAnsi" w:hAnsiTheme="minorHAnsi" w:cstheme="minorBidi"/>
        </w:rPr>
      </w:pPr>
      <w:r>
        <w:t xml:space="preserve">A 3. szcenárióban együttesen alkalmazandó a volatilitási kiigazítással, így a Szolvencia II szerint értékelt nettó technikai tartalékok esetében a volatilitási kiigazítás mellett számított </w:t>
      </w:r>
      <w:r w:rsidR="006E4002">
        <w:t>nettó technikai tartalékok</w:t>
      </w:r>
      <w:r>
        <w:t xml:space="preserve"> értékét </w:t>
      </w:r>
      <w:r w:rsidR="008E6995">
        <w:t>kell alapul venni</w:t>
      </w:r>
      <w:r>
        <w:t>.</w:t>
      </w:r>
    </w:p>
    <w:p w:rsidR="00164FE1" w:rsidRDefault="004C69C0" w:rsidP="00792442">
      <w:pPr>
        <w:spacing w:after="0" w:line="240" w:lineRule="auto"/>
        <w:ind w:left="425"/>
        <w:jc w:val="both"/>
      </w:pPr>
      <w:r>
        <w:rPr>
          <w:rFonts w:asciiTheme="minorHAnsi" w:eastAsiaTheme="minorHAnsi" w:hAnsiTheme="minorHAnsi" w:cstheme="minorBidi"/>
        </w:rPr>
        <w:t>A</w:t>
      </w:r>
      <w:r>
        <w:t xml:space="preserve">mennyiben </w:t>
      </w:r>
      <w:r w:rsidR="006E4002">
        <w:t xml:space="preserve">a Biztosító esetében </w:t>
      </w:r>
      <w:r>
        <w:t xml:space="preserve">releváns az alkalmazása, kérjük úgy számolni, mintha az átmeneti </w:t>
      </w:r>
      <w:r w:rsidR="00E454E7">
        <w:t xml:space="preserve">időszak </w:t>
      </w:r>
      <w:r>
        <w:t xml:space="preserve">0. évében lennénk, azaz </w:t>
      </w:r>
      <w:r w:rsidR="00712DBC">
        <w:t xml:space="preserve">ebben az esetben </w:t>
      </w:r>
      <w:r>
        <w:t>a</w:t>
      </w:r>
      <w:r w:rsidR="00412A6F">
        <w:t xml:space="preserve">z átmeneti levonás </w:t>
      </w:r>
      <w:r w:rsidR="00045F68">
        <w:t>100%-</w:t>
      </w:r>
      <w:r w:rsidR="00412A6F">
        <w:t>át kell figyelembe venni.</w:t>
      </w:r>
    </w:p>
    <w:p w:rsidR="00792442" w:rsidRPr="00792442" w:rsidRDefault="00792442" w:rsidP="00792442">
      <w:pPr>
        <w:spacing w:after="0" w:line="240" w:lineRule="auto"/>
        <w:ind w:left="425"/>
        <w:jc w:val="both"/>
        <w:rPr>
          <w:b/>
        </w:rPr>
      </w:pPr>
    </w:p>
    <w:p w:rsidR="005E43F7" w:rsidRPr="00712DBC" w:rsidRDefault="00712DBC" w:rsidP="004F031E">
      <w:pPr>
        <w:pStyle w:val="Listaszerbekezds"/>
        <w:numPr>
          <w:ilvl w:val="1"/>
          <w:numId w:val="9"/>
        </w:numPr>
        <w:spacing w:after="120" w:line="240" w:lineRule="auto"/>
        <w:jc w:val="both"/>
        <w:rPr>
          <w:i/>
          <w:u w:val="single"/>
        </w:rPr>
      </w:pPr>
      <w:r w:rsidRPr="00712DBC">
        <w:rPr>
          <w:i/>
          <w:u w:val="single"/>
        </w:rPr>
        <w:t>Az LTG</w:t>
      </w:r>
      <w:r w:rsidR="00164FE1">
        <w:rPr>
          <w:i/>
          <w:u w:val="single"/>
        </w:rPr>
        <w:t xml:space="preserve"> </w:t>
      </w:r>
      <w:r w:rsidRPr="00712DBC">
        <w:rPr>
          <w:i/>
          <w:u w:val="single"/>
        </w:rPr>
        <w:t>intézkedések</w:t>
      </w:r>
      <w:r w:rsidR="00C37053">
        <w:rPr>
          <w:i/>
          <w:u w:val="single"/>
        </w:rPr>
        <w:t xml:space="preserve"> </w:t>
      </w:r>
      <w:r w:rsidRPr="00712DBC">
        <w:rPr>
          <w:i/>
          <w:u w:val="single"/>
        </w:rPr>
        <w:t>együttes alkalmazásának lehetősége</w:t>
      </w:r>
      <w:r w:rsidR="005E1650">
        <w:rPr>
          <w:i/>
          <w:u w:val="single"/>
        </w:rPr>
        <w:t xml:space="preserve"> ugyanazon kötelezettségekre</w:t>
      </w:r>
    </w:p>
    <w:tbl>
      <w:tblPr>
        <w:tblStyle w:val="Rcsostblzat"/>
        <w:tblW w:w="9450" w:type="dxa"/>
        <w:tblInd w:w="426" w:type="dxa"/>
        <w:tblLook w:val="04A0" w:firstRow="1" w:lastRow="0" w:firstColumn="1" w:lastColumn="0" w:noHBand="0" w:noVBand="1"/>
      </w:tblPr>
      <w:tblGrid>
        <w:gridCol w:w="3226"/>
        <w:gridCol w:w="1632"/>
        <w:gridCol w:w="1345"/>
        <w:gridCol w:w="1701"/>
        <w:gridCol w:w="1546"/>
      </w:tblGrid>
      <w:tr w:rsidR="002A02F4" w:rsidTr="00453B96">
        <w:tc>
          <w:tcPr>
            <w:tcW w:w="3226" w:type="dxa"/>
          </w:tcPr>
          <w:p w:rsidR="002A02F4" w:rsidRDefault="002A02F4" w:rsidP="00457D4B">
            <w:pPr>
              <w:spacing w:after="120" w:line="240" w:lineRule="auto"/>
              <w:jc w:val="center"/>
              <w:rPr>
                <w:b/>
              </w:rPr>
            </w:pPr>
          </w:p>
        </w:tc>
        <w:tc>
          <w:tcPr>
            <w:tcW w:w="1632" w:type="dxa"/>
          </w:tcPr>
          <w:p w:rsidR="002A02F4" w:rsidRDefault="00E5064E" w:rsidP="00457D4B">
            <w:pPr>
              <w:spacing w:after="120" w:line="240" w:lineRule="auto"/>
              <w:jc w:val="center"/>
              <w:rPr>
                <w:b/>
              </w:rPr>
            </w:pPr>
            <w:r>
              <w:rPr>
                <w:b/>
              </w:rPr>
              <w:t>v</w:t>
            </w:r>
            <w:r w:rsidR="002A02F4">
              <w:rPr>
                <w:b/>
              </w:rPr>
              <w:t>olatilitás kiigazítás</w:t>
            </w:r>
          </w:p>
        </w:tc>
        <w:tc>
          <w:tcPr>
            <w:tcW w:w="1345" w:type="dxa"/>
          </w:tcPr>
          <w:p w:rsidR="002A02F4" w:rsidRDefault="00E5064E" w:rsidP="00457D4B">
            <w:pPr>
              <w:spacing w:after="120" w:line="240" w:lineRule="auto"/>
              <w:jc w:val="center"/>
              <w:rPr>
                <w:b/>
              </w:rPr>
            </w:pPr>
            <w:r>
              <w:rPr>
                <w:b/>
              </w:rPr>
              <w:t>i</w:t>
            </w:r>
            <w:r w:rsidR="002A02F4">
              <w:rPr>
                <w:b/>
              </w:rPr>
              <w:t>lleszkedési kiigazítás</w:t>
            </w:r>
          </w:p>
        </w:tc>
        <w:tc>
          <w:tcPr>
            <w:tcW w:w="1701" w:type="dxa"/>
          </w:tcPr>
          <w:p w:rsidR="002A02F4" w:rsidRDefault="002A02F4" w:rsidP="006864DF">
            <w:pPr>
              <w:spacing w:after="120" w:line="240" w:lineRule="auto"/>
              <w:jc w:val="center"/>
              <w:rPr>
                <w:b/>
              </w:rPr>
            </w:pPr>
            <w:r>
              <w:rPr>
                <w:b/>
              </w:rPr>
              <w:t>kock</w:t>
            </w:r>
            <w:r w:rsidR="006864DF">
              <w:rPr>
                <w:b/>
              </w:rPr>
              <w:t>ázatmentes</w:t>
            </w:r>
            <w:r>
              <w:rPr>
                <w:b/>
              </w:rPr>
              <w:t xml:space="preserve"> hozamgörbére vonatkozó átmeneti intézkedés</w:t>
            </w:r>
          </w:p>
        </w:tc>
        <w:tc>
          <w:tcPr>
            <w:tcW w:w="1546" w:type="dxa"/>
          </w:tcPr>
          <w:p w:rsidR="002A02F4" w:rsidRDefault="002A02F4" w:rsidP="00457D4B">
            <w:pPr>
              <w:spacing w:after="120" w:line="240" w:lineRule="auto"/>
              <w:jc w:val="center"/>
              <w:rPr>
                <w:b/>
              </w:rPr>
            </w:pPr>
            <w:r>
              <w:rPr>
                <w:b/>
              </w:rPr>
              <w:t>technikai tartalékokra vonatkozó átmeneti intézkedés</w:t>
            </w:r>
          </w:p>
        </w:tc>
      </w:tr>
      <w:tr w:rsidR="002A02F4" w:rsidTr="00453B96">
        <w:tc>
          <w:tcPr>
            <w:tcW w:w="3226" w:type="dxa"/>
          </w:tcPr>
          <w:p w:rsidR="002A02F4" w:rsidRDefault="00E5064E" w:rsidP="00457D4B">
            <w:pPr>
              <w:spacing w:after="120" w:line="240" w:lineRule="auto"/>
              <w:jc w:val="center"/>
              <w:rPr>
                <w:b/>
              </w:rPr>
            </w:pPr>
            <w:r>
              <w:rPr>
                <w:b/>
              </w:rPr>
              <w:t>v</w:t>
            </w:r>
            <w:r w:rsidR="002A02F4">
              <w:rPr>
                <w:b/>
              </w:rPr>
              <w:t>olatilitás kiigazítás</w:t>
            </w:r>
          </w:p>
        </w:tc>
        <w:tc>
          <w:tcPr>
            <w:tcW w:w="1632" w:type="dxa"/>
            <w:shd w:val="clear" w:color="auto" w:fill="BFBFBF" w:themeFill="background1" w:themeFillShade="BF"/>
            <w:vAlign w:val="center"/>
          </w:tcPr>
          <w:p w:rsidR="002A02F4" w:rsidRDefault="002A02F4" w:rsidP="00453B96">
            <w:pPr>
              <w:spacing w:after="120" w:line="240" w:lineRule="auto"/>
              <w:jc w:val="center"/>
              <w:rPr>
                <w:b/>
              </w:rPr>
            </w:pPr>
          </w:p>
        </w:tc>
        <w:tc>
          <w:tcPr>
            <w:tcW w:w="1345" w:type="dxa"/>
            <w:shd w:val="clear" w:color="auto" w:fill="FF0000"/>
            <w:vAlign w:val="center"/>
          </w:tcPr>
          <w:p w:rsidR="002A02F4" w:rsidRDefault="00E5064E" w:rsidP="00453B96">
            <w:pPr>
              <w:spacing w:after="120" w:line="240" w:lineRule="auto"/>
              <w:jc w:val="center"/>
              <w:rPr>
                <w:b/>
              </w:rPr>
            </w:pPr>
            <w:r>
              <w:rPr>
                <w:b/>
              </w:rPr>
              <w:t>nem lehet</w:t>
            </w:r>
          </w:p>
        </w:tc>
        <w:tc>
          <w:tcPr>
            <w:tcW w:w="1701" w:type="dxa"/>
            <w:shd w:val="clear" w:color="auto" w:fill="00B050"/>
            <w:vAlign w:val="center"/>
          </w:tcPr>
          <w:p w:rsidR="002A02F4" w:rsidRDefault="0095036F" w:rsidP="00453B96">
            <w:pPr>
              <w:spacing w:after="120" w:line="240" w:lineRule="auto"/>
              <w:jc w:val="center"/>
              <w:rPr>
                <w:b/>
              </w:rPr>
            </w:pPr>
            <w:r>
              <w:rPr>
                <w:b/>
              </w:rPr>
              <w:t>lehet</w:t>
            </w:r>
          </w:p>
        </w:tc>
        <w:tc>
          <w:tcPr>
            <w:tcW w:w="1546" w:type="dxa"/>
            <w:shd w:val="clear" w:color="auto" w:fill="00B050"/>
            <w:vAlign w:val="center"/>
          </w:tcPr>
          <w:p w:rsidR="002A02F4" w:rsidRDefault="0095036F" w:rsidP="00453B96">
            <w:pPr>
              <w:spacing w:after="120" w:line="240" w:lineRule="auto"/>
              <w:jc w:val="center"/>
              <w:rPr>
                <w:b/>
              </w:rPr>
            </w:pPr>
            <w:r>
              <w:rPr>
                <w:b/>
              </w:rPr>
              <w:t>lehet</w:t>
            </w:r>
          </w:p>
        </w:tc>
      </w:tr>
      <w:tr w:rsidR="002A02F4" w:rsidTr="00453B96">
        <w:tc>
          <w:tcPr>
            <w:tcW w:w="3226" w:type="dxa"/>
          </w:tcPr>
          <w:p w:rsidR="002A02F4" w:rsidRDefault="00E5064E" w:rsidP="00457D4B">
            <w:pPr>
              <w:spacing w:after="120" w:line="240" w:lineRule="auto"/>
              <w:jc w:val="center"/>
              <w:rPr>
                <w:b/>
              </w:rPr>
            </w:pPr>
            <w:r>
              <w:rPr>
                <w:b/>
              </w:rPr>
              <w:t>i</w:t>
            </w:r>
            <w:r w:rsidR="002A02F4">
              <w:rPr>
                <w:b/>
              </w:rPr>
              <w:t>lleszkedési kiigazítás</w:t>
            </w:r>
          </w:p>
        </w:tc>
        <w:tc>
          <w:tcPr>
            <w:tcW w:w="1632" w:type="dxa"/>
            <w:shd w:val="clear" w:color="auto" w:fill="BFBFBF" w:themeFill="background1" w:themeFillShade="BF"/>
            <w:vAlign w:val="center"/>
          </w:tcPr>
          <w:p w:rsidR="002A02F4" w:rsidRDefault="002A02F4" w:rsidP="00453B96">
            <w:pPr>
              <w:spacing w:after="120" w:line="240" w:lineRule="auto"/>
              <w:jc w:val="center"/>
              <w:rPr>
                <w:b/>
              </w:rPr>
            </w:pPr>
          </w:p>
        </w:tc>
        <w:tc>
          <w:tcPr>
            <w:tcW w:w="1345" w:type="dxa"/>
            <w:shd w:val="clear" w:color="auto" w:fill="BFBFBF" w:themeFill="background1" w:themeFillShade="BF"/>
            <w:vAlign w:val="center"/>
          </w:tcPr>
          <w:p w:rsidR="002A02F4" w:rsidRDefault="002A02F4" w:rsidP="00453B96">
            <w:pPr>
              <w:spacing w:after="120" w:line="240" w:lineRule="auto"/>
              <w:jc w:val="center"/>
              <w:rPr>
                <w:b/>
              </w:rPr>
            </w:pPr>
          </w:p>
        </w:tc>
        <w:tc>
          <w:tcPr>
            <w:tcW w:w="1701" w:type="dxa"/>
            <w:shd w:val="clear" w:color="auto" w:fill="FF0000"/>
            <w:vAlign w:val="center"/>
          </w:tcPr>
          <w:p w:rsidR="002A02F4" w:rsidRDefault="0095036F" w:rsidP="00453B96">
            <w:pPr>
              <w:spacing w:after="120" w:line="240" w:lineRule="auto"/>
              <w:jc w:val="center"/>
              <w:rPr>
                <w:b/>
              </w:rPr>
            </w:pPr>
            <w:r>
              <w:rPr>
                <w:b/>
              </w:rPr>
              <w:t>nem lehet</w:t>
            </w:r>
          </w:p>
        </w:tc>
        <w:tc>
          <w:tcPr>
            <w:tcW w:w="1546" w:type="dxa"/>
            <w:shd w:val="clear" w:color="auto" w:fill="FF0000"/>
            <w:vAlign w:val="center"/>
          </w:tcPr>
          <w:p w:rsidR="002A02F4" w:rsidRDefault="008972B0" w:rsidP="00453B96">
            <w:pPr>
              <w:spacing w:after="120" w:line="240" w:lineRule="auto"/>
              <w:jc w:val="center"/>
              <w:rPr>
                <w:b/>
              </w:rPr>
            </w:pPr>
            <w:r>
              <w:rPr>
                <w:b/>
              </w:rPr>
              <w:t>nem lehet</w:t>
            </w:r>
          </w:p>
        </w:tc>
      </w:tr>
      <w:tr w:rsidR="002A02F4" w:rsidTr="00453B96">
        <w:tc>
          <w:tcPr>
            <w:tcW w:w="3226" w:type="dxa"/>
          </w:tcPr>
          <w:p w:rsidR="002A02F4" w:rsidRDefault="002A02F4" w:rsidP="006864DF">
            <w:pPr>
              <w:spacing w:after="120" w:line="240" w:lineRule="auto"/>
              <w:jc w:val="center"/>
              <w:rPr>
                <w:b/>
              </w:rPr>
            </w:pPr>
            <w:r>
              <w:rPr>
                <w:b/>
              </w:rPr>
              <w:t>kock</w:t>
            </w:r>
            <w:r w:rsidR="006864DF">
              <w:rPr>
                <w:b/>
              </w:rPr>
              <w:t>ázatmentes</w:t>
            </w:r>
            <w:r>
              <w:rPr>
                <w:b/>
              </w:rPr>
              <w:t xml:space="preserve"> hozamgörbére v</w:t>
            </w:r>
            <w:r w:rsidR="00D61967">
              <w:rPr>
                <w:b/>
              </w:rPr>
              <w:t>.</w:t>
            </w:r>
            <w:r>
              <w:rPr>
                <w:b/>
              </w:rPr>
              <w:t xml:space="preserve"> átmeneti intézkedés</w:t>
            </w:r>
          </w:p>
        </w:tc>
        <w:tc>
          <w:tcPr>
            <w:tcW w:w="1632" w:type="dxa"/>
            <w:shd w:val="clear" w:color="auto" w:fill="BFBFBF" w:themeFill="background1" w:themeFillShade="BF"/>
            <w:vAlign w:val="center"/>
          </w:tcPr>
          <w:p w:rsidR="002A02F4" w:rsidRDefault="002A02F4" w:rsidP="00453B96">
            <w:pPr>
              <w:spacing w:after="120" w:line="240" w:lineRule="auto"/>
              <w:jc w:val="center"/>
              <w:rPr>
                <w:b/>
              </w:rPr>
            </w:pPr>
          </w:p>
        </w:tc>
        <w:tc>
          <w:tcPr>
            <w:tcW w:w="1345" w:type="dxa"/>
            <w:shd w:val="clear" w:color="auto" w:fill="BFBFBF" w:themeFill="background1" w:themeFillShade="BF"/>
            <w:vAlign w:val="center"/>
          </w:tcPr>
          <w:p w:rsidR="002A02F4" w:rsidRDefault="002A02F4" w:rsidP="00453B96">
            <w:pPr>
              <w:spacing w:after="120" w:line="240" w:lineRule="auto"/>
              <w:jc w:val="center"/>
              <w:rPr>
                <w:b/>
              </w:rPr>
            </w:pPr>
          </w:p>
        </w:tc>
        <w:tc>
          <w:tcPr>
            <w:tcW w:w="1701" w:type="dxa"/>
            <w:shd w:val="clear" w:color="auto" w:fill="BFBFBF" w:themeFill="background1" w:themeFillShade="BF"/>
            <w:vAlign w:val="center"/>
          </w:tcPr>
          <w:p w:rsidR="002A02F4" w:rsidRDefault="002A02F4" w:rsidP="00453B96">
            <w:pPr>
              <w:spacing w:after="120" w:line="240" w:lineRule="auto"/>
              <w:jc w:val="center"/>
              <w:rPr>
                <w:b/>
              </w:rPr>
            </w:pPr>
          </w:p>
        </w:tc>
        <w:tc>
          <w:tcPr>
            <w:tcW w:w="1546" w:type="dxa"/>
            <w:shd w:val="clear" w:color="auto" w:fill="FF0000"/>
            <w:vAlign w:val="center"/>
          </w:tcPr>
          <w:p w:rsidR="002A02F4" w:rsidRDefault="0095036F" w:rsidP="00453B96">
            <w:pPr>
              <w:spacing w:after="120" w:line="240" w:lineRule="auto"/>
              <w:jc w:val="center"/>
              <w:rPr>
                <w:b/>
              </w:rPr>
            </w:pPr>
            <w:r>
              <w:rPr>
                <w:b/>
              </w:rPr>
              <w:t>nem lehet</w:t>
            </w:r>
          </w:p>
        </w:tc>
      </w:tr>
      <w:tr w:rsidR="002A02F4" w:rsidTr="00453B96">
        <w:tc>
          <w:tcPr>
            <w:tcW w:w="3226" w:type="dxa"/>
          </w:tcPr>
          <w:p w:rsidR="002A02F4" w:rsidRDefault="002A02F4" w:rsidP="00D61967">
            <w:pPr>
              <w:spacing w:after="120" w:line="240" w:lineRule="auto"/>
              <w:jc w:val="center"/>
              <w:rPr>
                <w:b/>
              </w:rPr>
            </w:pPr>
            <w:r>
              <w:rPr>
                <w:b/>
              </w:rPr>
              <w:t>technikai tartalékokra v</w:t>
            </w:r>
            <w:r w:rsidR="00D61967">
              <w:rPr>
                <w:b/>
              </w:rPr>
              <w:t>.</w:t>
            </w:r>
            <w:r>
              <w:rPr>
                <w:b/>
              </w:rPr>
              <w:t xml:space="preserve"> átmeneti intézkedés</w:t>
            </w:r>
          </w:p>
        </w:tc>
        <w:tc>
          <w:tcPr>
            <w:tcW w:w="1632" w:type="dxa"/>
            <w:shd w:val="clear" w:color="auto" w:fill="BFBFBF" w:themeFill="background1" w:themeFillShade="BF"/>
            <w:vAlign w:val="center"/>
          </w:tcPr>
          <w:p w:rsidR="002A02F4" w:rsidRDefault="002A02F4" w:rsidP="00453B96">
            <w:pPr>
              <w:spacing w:after="120" w:line="240" w:lineRule="auto"/>
              <w:jc w:val="center"/>
              <w:rPr>
                <w:b/>
              </w:rPr>
            </w:pPr>
          </w:p>
        </w:tc>
        <w:tc>
          <w:tcPr>
            <w:tcW w:w="1345" w:type="dxa"/>
            <w:shd w:val="clear" w:color="auto" w:fill="BFBFBF" w:themeFill="background1" w:themeFillShade="BF"/>
            <w:vAlign w:val="center"/>
          </w:tcPr>
          <w:p w:rsidR="002A02F4" w:rsidRDefault="002A02F4" w:rsidP="00453B96">
            <w:pPr>
              <w:spacing w:after="120" w:line="240" w:lineRule="auto"/>
              <w:jc w:val="center"/>
              <w:rPr>
                <w:b/>
              </w:rPr>
            </w:pPr>
          </w:p>
        </w:tc>
        <w:tc>
          <w:tcPr>
            <w:tcW w:w="1701" w:type="dxa"/>
            <w:shd w:val="clear" w:color="auto" w:fill="BFBFBF" w:themeFill="background1" w:themeFillShade="BF"/>
            <w:vAlign w:val="center"/>
          </w:tcPr>
          <w:p w:rsidR="002A02F4" w:rsidRDefault="002A02F4" w:rsidP="00453B96">
            <w:pPr>
              <w:spacing w:after="120" w:line="240" w:lineRule="auto"/>
              <w:jc w:val="center"/>
              <w:rPr>
                <w:b/>
              </w:rPr>
            </w:pPr>
          </w:p>
        </w:tc>
        <w:tc>
          <w:tcPr>
            <w:tcW w:w="1546" w:type="dxa"/>
            <w:shd w:val="clear" w:color="auto" w:fill="BFBFBF" w:themeFill="background1" w:themeFillShade="BF"/>
            <w:vAlign w:val="center"/>
          </w:tcPr>
          <w:p w:rsidR="002A02F4" w:rsidRDefault="002A02F4" w:rsidP="00453B96">
            <w:pPr>
              <w:spacing w:after="120" w:line="240" w:lineRule="auto"/>
              <w:jc w:val="center"/>
              <w:rPr>
                <w:b/>
              </w:rPr>
            </w:pPr>
          </w:p>
        </w:tc>
      </w:tr>
    </w:tbl>
    <w:p w:rsidR="0068658A" w:rsidRDefault="0068658A" w:rsidP="00FC2E53">
      <w:pPr>
        <w:spacing w:after="120" w:line="240" w:lineRule="auto"/>
        <w:ind w:left="360"/>
        <w:jc w:val="both"/>
        <w:rPr>
          <w:b/>
        </w:rPr>
      </w:pPr>
    </w:p>
    <w:p w:rsidR="008B001C" w:rsidRDefault="008B001C" w:rsidP="008B001C">
      <w:pPr>
        <w:numPr>
          <w:ilvl w:val="0"/>
          <w:numId w:val="8"/>
        </w:numPr>
        <w:spacing w:after="120" w:line="240" w:lineRule="auto"/>
        <w:jc w:val="both"/>
        <w:rPr>
          <w:i/>
        </w:rPr>
      </w:pPr>
      <w:r w:rsidRPr="008B001C">
        <w:rPr>
          <w:i/>
        </w:rPr>
        <w:t>Forgatókönyvek</w:t>
      </w:r>
    </w:p>
    <w:p w:rsidR="003B6B63" w:rsidRDefault="008B001C" w:rsidP="00716698">
      <w:pPr>
        <w:spacing w:after="120" w:line="240" w:lineRule="auto"/>
        <w:ind w:left="360"/>
        <w:jc w:val="both"/>
      </w:pPr>
      <w:r>
        <w:t>A hazai</w:t>
      </w:r>
      <w:r w:rsidR="00716698">
        <w:t xml:space="preserve"> mennyiségi</w:t>
      </w:r>
      <w:r>
        <w:t xml:space="preserve"> hatástanulmány</w:t>
      </w:r>
      <w:r w:rsidR="00716698">
        <w:t>ban</w:t>
      </w:r>
      <w:r w:rsidR="009B3DCE">
        <w:t xml:space="preserve"> az alábbi forgatókönyveket kérjük kiszámítani</w:t>
      </w:r>
      <w:r w:rsidR="003B6B63">
        <w:t xml:space="preserve"> az „1. Technikai specifikáció” részben foglaltak figyelembevételével:</w:t>
      </w:r>
    </w:p>
    <w:p w:rsidR="0004087C" w:rsidRPr="008B001C" w:rsidRDefault="0004087C" w:rsidP="003B6B63">
      <w:pPr>
        <w:spacing w:after="120" w:line="240" w:lineRule="auto"/>
        <w:ind w:left="360"/>
        <w:jc w:val="both"/>
      </w:pPr>
    </w:p>
    <w:p w:rsidR="008B001C" w:rsidRDefault="008B001C" w:rsidP="002A738E">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ind w:left="360"/>
        <w:jc w:val="both"/>
      </w:pPr>
      <w:r>
        <w:t>0</w:t>
      </w:r>
      <w:r w:rsidRPr="007A0FC4">
        <w:t xml:space="preserve">. </w:t>
      </w:r>
      <w:r w:rsidRPr="007A0FC4">
        <w:rPr>
          <w:b/>
        </w:rPr>
        <w:t>Alap hozamgörbe forgatókönyv</w:t>
      </w:r>
    </w:p>
    <w:p w:rsidR="008B001C" w:rsidRDefault="00BB36AA" w:rsidP="002A738E">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ind w:left="360"/>
        <w:jc w:val="both"/>
        <w:rPr>
          <w:b/>
        </w:rPr>
      </w:pPr>
      <w:r>
        <w:t>1</w:t>
      </w:r>
      <w:r w:rsidR="008B001C">
        <w:t>.</w:t>
      </w:r>
      <w:r w:rsidR="008B001C">
        <w:rPr>
          <w:b/>
        </w:rPr>
        <w:t xml:space="preserve"> Illeszkedési kiigazítás forgatókönyv</w:t>
      </w:r>
    </w:p>
    <w:p w:rsidR="008B001C" w:rsidRDefault="00BB36AA" w:rsidP="002A738E">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ind w:left="360"/>
        <w:jc w:val="both"/>
        <w:rPr>
          <w:b/>
        </w:rPr>
      </w:pPr>
      <w:r>
        <w:t>2</w:t>
      </w:r>
      <w:r w:rsidR="008B001C">
        <w:t>.</w:t>
      </w:r>
      <w:r w:rsidR="008B001C">
        <w:rPr>
          <w:b/>
        </w:rPr>
        <w:t xml:space="preserve"> Volatilitás</w:t>
      </w:r>
      <w:r w:rsidR="00E14759">
        <w:rPr>
          <w:b/>
        </w:rPr>
        <w:t>i</w:t>
      </w:r>
      <w:r w:rsidR="008B001C">
        <w:rPr>
          <w:b/>
        </w:rPr>
        <w:t xml:space="preserve"> kiigazítás</w:t>
      </w:r>
      <w:r w:rsidR="00574B73">
        <w:rPr>
          <w:b/>
        </w:rPr>
        <w:t xml:space="preserve"> (VA)</w:t>
      </w:r>
      <w:r w:rsidR="008B001C">
        <w:rPr>
          <w:b/>
        </w:rPr>
        <w:t xml:space="preserve"> és átmeneti intézkedések</w:t>
      </w:r>
      <w:r w:rsidR="00574B73">
        <w:rPr>
          <w:b/>
        </w:rPr>
        <w:t xml:space="preserve"> (TM)</w:t>
      </w:r>
      <w:r w:rsidR="008B001C">
        <w:rPr>
          <w:b/>
        </w:rPr>
        <w:t xml:space="preserve"> forgatókönyv</w:t>
      </w:r>
    </w:p>
    <w:p w:rsidR="004D27A2" w:rsidRDefault="004D27A2" w:rsidP="000F17A3">
      <w:pPr>
        <w:spacing w:after="120" w:line="240" w:lineRule="auto"/>
        <w:jc w:val="both"/>
      </w:pPr>
    </w:p>
    <w:p w:rsidR="00425796" w:rsidRDefault="00716698" w:rsidP="00425796">
      <w:pPr>
        <w:spacing w:after="120" w:line="240" w:lineRule="auto"/>
        <w:ind w:left="360"/>
        <w:jc w:val="both"/>
      </w:pPr>
      <w:r>
        <w:t xml:space="preserve">Az EIOPA alacsony hozamkörnyezet felmérés </w:t>
      </w:r>
      <w:r w:rsidR="00D3065A">
        <w:t>végleges forgatókönyvei</w:t>
      </w:r>
      <w:r w:rsidR="00E14759">
        <w:t>t</w:t>
      </w:r>
      <w:r w:rsidR="00D3065A">
        <w:t xml:space="preserve"> </w:t>
      </w:r>
      <w:r w:rsidR="00E14759">
        <w:t>még nem hagyta jóvá az EIOPA döntéshozó testülete</w:t>
      </w:r>
      <w:r w:rsidR="00D3065A">
        <w:t>,</w:t>
      </w:r>
      <w:r w:rsidR="00E14759">
        <w:t xml:space="preserve"> így</w:t>
      </w:r>
      <w:r w:rsidR="00D3065A">
        <w:t xml:space="preserve"> azokat </w:t>
      </w:r>
      <w:r w:rsidR="00831990">
        <w:t>az MNB</w:t>
      </w:r>
      <w:r w:rsidR="00AA47B6">
        <w:t xml:space="preserve"> legkésőbb</w:t>
      </w:r>
      <w:r w:rsidR="00831990">
        <w:t xml:space="preserve"> </w:t>
      </w:r>
      <w:r w:rsidR="00D3065A">
        <w:t xml:space="preserve">2014. </w:t>
      </w:r>
      <w:r w:rsidR="00CB4636">
        <w:t>április 30-ig megküldi a biztosítók részére azok technikai specifikációjával és a kitöltendő Excel-táblázattal együtt.</w:t>
      </w:r>
    </w:p>
    <w:p w:rsidR="0097551A" w:rsidRDefault="007A0FC4">
      <w:pPr>
        <w:numPr>
          <w:ilvl w:val="0"/>
          <w:numId w:val="8"/>
        </w:numPr>
        <w:spacing w:after="120" w:line="240" w:lineRule="auto"/>
        <w:ind w:left="426" w:hanging="426"/>
        <w:jc w:val="both"/>
        <w:rPr>
          <w:i/>
        </w:rPr>
      </w:pPr>
      <w:r w:rsidRPr="007A0FC4">
        <w:rPr>
          <w:i/>
        </w:rPr>
        <w:lastRenderedPageBreak/>
        <w:t>Kitöltendő táblázatok</w:t>
      </w:r>
    </w:p>
    <w:p w:rsidR="00DB6CA6" w:rsidRPr="000A241B" w:rsidRDefault="006D7539" w:rsidP="00DB6CA6">
      <w:pPr>
        <w:spacing w:after="120" w:line="240" w:lineRule="auto"/>
        <w:ind w:left="360"/>
        <w:jc w:val="both"/>
      </w:pPr>
      <w:r>
        <w:t>A</w:t>
      </w:r>
      <w:r w:rsidR="00671DB0">
        <w:t xml:space="preserve"> </w:t>
      </w:r>
      <w:r w:rsidR="002969F5">
        <w:t>hazai mennyiségi hatástanulmányhoz</w:t>
      </w:r>
      <w:r w:rsidR="00130CC5">
        <w:t xml:space="preserve"> kiszámított</w:t>
      </w:r>
      <w:r w:rsidR="002969F5">
        <w:t xml:space="preserve"> mennyiségi </w:t>
      </w:r>
      <w:r w:rsidR="003635F3" w:rsidRPr="00425796">
        <w:t>eredménye</w:t>
      </w:r>
      <w:r w:rsidR="002969F5" w:rsidRPr="00425796">
        <w:t xml:space="preserve">ket </w:t>
      </w:r>
      <w:r w:rsidRPr="00425796">
        <w:t xml:space="preserve">kérjük </w:t>
      </w:r>
      <w:r w:rsidR="00A57365" w:rsidRPr="00425796">
        <w:t xml:space="preserve">a technikai melléklethez csatolt Excel táblázatban </w:t>
      </w:r>
      <w:r w:rsidR="00425796" w:rsidRPr="00425796">
        <w:t>(</w:t>
      </w:r>
      <w:r w:rsidR="00425796">
        <w:t>2014_</w:t>
      </w:r>
      <w:r w:rsidR="00425796" w:rsidRPr="00425796">
        <w:t>hatastanulmany tábla_2014.xlsx) megjeleníteni</w:t>
      </w:r>
      <w:r w:rsidR="005725F1" w:rsidRPr="00425796">
        <w:t>:</w:t>
      </w:r>
    </w:p>
    <w:tbl>
      <w:tblPr>
        <w:tblW w:w="4863" w:type="pct"/>
        <w:jc w:val="center"/>
        <w:tblBorders>
          <w:top w:val="single" w:sz="8" w:space="0" w:color="232157"/>
          <w:bottom w:val="single" w:sz="8" w:space="0" w:color="232157"/>
          <w:insideH w:val="single" w:sz="8" w:space="0" w:color="232157"/>
        </w:tblBorders>
        <w:tblLayout w:type="fixed"/>
        <w:tblLook w:val="04A0" w:firstRow="1" w:lastRow="0" w:firstColumn="1" w:lastColumn="0" w:noHBand="0" w:noVBand="1"/>
      </w:tblPr>
      <w:tblGrid>
        <w:gridCol w:w="3100"/>
        <w:gridCol w:w="5934"/>
      </w:tblGrid>
      <w:tr w:rsidR="00C05B75" w:rsidRPr="000A241B" w:rsidTr="00E86D00">
        <w:trPr>
          <w:trHeight w:val="20"/>
          <w:jc w:val="center"/>
        </w:trPr>
        <w:tc>
          <w:tcPr>
            <w:tcW w:w="1716" w:type="pct"/>
            <w:tcBorders>
              <w:bottom w:val="single" w:sz="8" w:space="0" w:color="232157"/>
            </w:tcBorders>
            <w:shd w:val="clear" w:color="auto" w:fill="232157"/>
            <w:noWrap/>
            <w:hideMark/>
          </w:tcPr>
          <w:p w:rsidR="00C05B75" w:rsidRPr="000A241B" w:rsidRDefault="00C05B75" w:rsidP="00CC216B">
            <w:pPr>
              <w:spacing w:after="0"/>
              <w:jc w:val="center"/>
              <w:rPr>
                <w:b/>
                <w:bCs/>
                <w:color w:val="FFFFFF"/>
              </w:rPr>
            </w:pPr>
            <w:r w:rsidRPr="000A241B">
              <w:rPr>
                <w:b/>
                <w:bCs/>
                <w:color w:val="FFFFFF"/>
              </w:rPr>
              <w:t>Cím</w:t>
            </w:r>
          </w:p>
        </w:tc>
        <w:tc>
          <w:tcPr>
            <w:tcW w:w="3284" w:type="pct"/>
            <w:tcBorders>
              <w:bottom w:val="single" w:sz="8" w:space="0" w:color="232157"/>
            </w:tcBorders>
            <w:shd w:val="clear" w:color="auto" w:fill="232157"/>
            <w:noWrap/>
            <w:hideMark/>
          </w:tcPr>
          <w:p w:rsidR="00C05B75" w:rsidRPr="000A241B" w:rsidRDefault="00C05B75" w:rsidP="00CC216B">
            <w:pPr>
              <w:spacing w:after="0"/>
              <w:jc w:val="center"/>
              <w:rPr>
                <w:b/>
                <w:bCs/>
                <w:color w:val="FFFFFF"/>
              </w:rPr>
            </w:pPr>
            <w:r w:rsidRPr="000A241B">
              <w:rPr>
                <w:b/>
                <w:bCs/>
                <w:color w:val="FFFFFF"/>
              </w:rPr>
              <w:t>Tartalom</w:t>
            </w:r>
          </w:p>
        </w:tc>
      </w:tr>
      <w:tr w:rsidR="00195ABC" w:rsidRPr="00195ABC" w:rsidTr="00E86D00">
        <w:trPr>
          <w:trHeight w:val="20"/>
          <w:jc w:val="center"/>
        </w:trPr>
        <w:tc>
          <w:tcPr>
            <w:tcW w:w="1716" w:type="pct"/>
            <w:tcBorders>
              <w:bottom w:val="nil"/>
              <w:right w:val="nil"/>
            </w:tcBorders>
            <w:shd w:val="clear" w:color="auto" w:fill="auto"/>
            <w:noWrap/>
            <w:vAlign w:val="center"/>
            <w:hideMark/>
          </w:tcPr>
          <w:p w:rsidR="00195ABC" w:rsidRPr="00894482" w:rsidRDefault="00C776C8" w:rsidP="00A51BA4">
            <w:pPr>
              <w:spacing w:after="0"/>
              <w:rPr>
                <w:b/>
                <w:bCs/>
              </w:rPr>
            </w:pPr>
            <w:r w:rsidRPr="00894482">
              <w:rPr>
                <w:b/>
                <w:bCs/>
              </w:rPr>
              <w:t>Állampapírok</w:t>
            </w:r>
          </w:p>
        </w:tc>
        <w:tc>
          <w:tcPr>
            <w:tcW w:w="3284" w:type="pct"/>
            <w:tcBorders>
              <w:left w:val="nil"/>
              <w:bottom w:val="nil"/>
            </w:tcBorders>
            <w:shd w:val="clear" w:color="auto" w:fill="auto"/>
            <w:noWrap/>
            <w:vAlign w:val="center"/>
            <w:hideMark/>
          </w:tcPr>
          <w:p w:rsidR="00195ABC" w:rsidRPr="00E814CB" w:rsidRDefault="00C776C8" w:rsidP="00894482">
            <w:pPr>
              <w:spacing w:after="0"/>
              <w:rPr>
                <w:bCs/>
              </w:rPr>
            </w:pPr>
            <w:r w:rsidRPr="00E814CB">
              <w:rPr>
                <w:bCs/>
              </w:rPr>
              <w:t xml:space="preserve">hazai közvetlen állampapír-befektetések </w:t>
            </w:r>
            <w:r w:rsidR="00894482" w:rsidRPr="00E814CB">
              <w:rPr>
                <w:bCs/>
              </w:rPr>
              <w:t>adatai</w:t>
            </w:r>
          </w:p>
        </w:tc>
      </w:tr>
      <w:tr w:rsidR="00C05B75" w:rsidRPr="00A51BA4" w:rsidTr="00E86D00">
        <w:trPr>
          <w:trHeight w:val="20"/>
          <w:jc w:val="center"/>
        </w:trPr>
        <w:tc>
          <w:tcPr>
            <w:tcW w:w="1716" w:type="pct"/>
            <w:tcBorders>
              <w:bottom w:val="nil"/>
              <w:right w:val="nil"/>
            </w:tcBorders>
            <w:shd w:val="clear" w:color="auto" w:fill="DBE5F1" w:themeFill="accent1" w:themeFillTint="33"/>
            <w:noWrap/>
            <w:vAlign w:val="center"/>
            <w:hideMark/>
          </w:tcPr>
          <w:p w:rsidR="00C05B75" w:rsidRPr="00894482" w:rsidRDefault="000A241B" w:rsidP="00A51BA4">
            <w:pPr>
              <w:spacing w:after="0"/>
              <w:rPr>
                <w:b/>
                <w:bCs/>
              </w:rPr>
            </w:pPr>
            <w:r w:rsidRPr="00894482">
              <w:rPr>
                <w:b/>
                <w:bCs/>
              </w:rPr>
              <w:t>BS</w:t>
            </w:r>
          </w:p>
        </w:tc>
        <w:tc>
          <w:tcPr>
            <w:tcW w:w="3284" w:type="pct"/>
            <w:tcBorders>
              <w:left w:val="nil"/>
              <w:bottom w:val="nil"/>
            </w:tcBorders>
            <w:shd w:val="clear" w:color="auto" w:fill="DBE5F1" w:themeFill="accent1" w:themeFillTint="33"/>
            <w:noWrap/>
            <w:vAlign w:val="center"/>
            <w:hideMark/>
          </w:tcPr>
          <w:p w:rsidR="00C05B75" w:rsidRPr="00894482" w:rsidRDefault="0047584E" w:rsidP="0047584E">
            <w:pPr>
              <w:spacing w:after="0"/>
            </w:pPr>
            <w:r w:rsidRPr="00894482">
              <w:t>Szolvencia I mérleg</w:t>
            </w:r>
          </w:p>
        </w:tc>
      </w:tr>
      <w:tr w:rsidR="00C05B75" w:rsidRPr="00A51BA4" w:rsidTr="00E86D00">
        <w:trPr>
          <w:trHeight w:val="20"/>
          <w:jc w:val="center"/>
        </w:trPr>
        <w:tc>
          <w:tcPr>
            <w:tcW w:w="1716" w:type="pct"/>
            <w:tcBorders>
              <w:top w:val="nil"/>
              <w:bottom w:val="nil"/>
              <w:right w:val="nil"/>
            </w:tcBorders>
            <w:noWrap/>
            <w:vAlign w:val="center"/>
            <w:hideMark/>
          </w:tcPr>
          <w:p w:rsidR="00C05B75" w:rsidRPr="00894482" w:rsidRDefault="00C05B75" w:rsidP="00A51BA4">
            <w:pPr>
              <w:spacing w:after="0"/>
              <w:rPr>
                <w:b/>
                <w:bCs/>
              </w:rPr>
            </w:pPr>
            <w:r w:rsidRPr="00894482">
              <w:rPr>
                <w:b/>
                <w:bCs/>
              </w:rPr>
              <w:t>BS</w:t>
            </w:r>
            <w:r w:rsidR="000A241B" w:rsidRPr="00894482">
              <w:rPr>
                <w:b/>
                <w:bCs/>
              </w:rPr>
              <w:t>+</w:t>
            </w:r>
          </w:p>
        </w:tc>
        <w:tc>
          <w:tcPr>
            <w:tcW w:w="3284" w:type="pct"/>
            <w:tcBorders>
              <w:top w:val="nil"/>
              <w:left w:val="nil"/>
              <w:bottom w:val="nil"/>
            </w:tcBorders>
            <w:noWrap/>
            <w:vAlign w:val="center"/>
            <w:hideMark/>
          </w:tcPr>
          <w:p w:rsidR="00C05B75" w:rsidRPr="00894482" w:rsidRDefault="000A241B" w:rsidP="00A51BA4">
            <w:pPr>
              <w:spacing w:after="0"/>
            </w:pPr>
            <w:r w:rsidRPr="00894482">
              <w:t>További adatok a 2013</w:t>
            </w:r>
            <w:r w:rsidR="00AF219E" w:rsidRPr="00894482">
              <w:t>.</w:t>
            </w:r>
            <w:r w:rsidRPr="00894482">
              <w:t xml:space="preserve"> év végéről</w:t>
            </w:r>
          </w:p>
        </w:tc>
      </w:tr>
      <w:tr w:rsidR="002A530A" w:rsidRPr="00A51BA4" w:rsidTr="00E86D00">
        <w:trPr>
          <w:trHeight w:val="20"/>
          <w:jc w:val="center"/>
        </w:trPr>
        <w:tc>
          <w:tcPr>
            <w:tcW w:w="1716" w:type="pct"/>
            <w:tcBorders>
              <w:top w:val="nil"/>
              <w:bottom w:val="nil"/>
              <w:right w:val="nil"/>
            </w:tcBorders>
            <w:shd w:val="clear" w:color="auto" w:fill="DBE5F1"/>
            <w:noWrap/>
            <w:vAlign w:val="center"/>
            <w:hideMark/>
          </w:tcPr>
          <w:p w:rsidR="002A530A" w:rsidRPr="00894482" w:rsidRDefault="002A530A" w:rsidP="00A51BA4">
            <w:pPr>
              <w:spacing w:after="0"/>
              <w:rPr>
                <w:b/>
                <w:bCs/>
              </w:rPr>
            </w:pPr>
            <w:r w:rsidRPr="00894482">
              <w:rPr>
                <w:b/>
                <w:bCs/>
              </w:rPr>
              <w:t>SI</w:t>
            </w:r>
          </w:p>
        </w:tc>
        <w:tc>
          <w:tcPr>
            <w:tcW w:w="3284" w:type="pct"/>
            <w:tcBorders>
              <w:top w:val="nil"/>
              <w:left w:val="nil"/>
              <w:bottom w:val="nil"/>
            </w:tcBorders>
            <w:shd w:val="clear" w:color="auto" w:fill="DBE5F1"/>
            <w:noWrap/>
            <w:vAlign w:val="center"/>
            <w:hideMark/>
          </w:tcPr>
          <w:p w:rsidR="002A530A" w:rsidRPr="00894482" w:rsidRDefault="002A530A" w:rsidP="00AF219E">
            <w:pPr>
              <w:spacing w:after="0"/>
            </w:pPr>
            <w:r w:rsidRPr="00894482">
              <w:t>Információk a jelenlegi Szolvencia I tőkehelyzetről</w:t>
            </w:r>
          </w:p>
        </w:tc>
      </w:tr>
      <w:tr w:rsidR="00C05B75" w:rsidRPr="00A51BA4" w:rsidTr="00E86D00">
        <w:trPr>
          <w:trHeight w:val="20"/>
          <w:jc w:val="center"/>
        </w:trPr>
        <w:tc>
          <w:tcPr>
            <w:tcW w:w="1716" w:type="pct"/>
            <w:tcBorders>
              <w:top w:val="nil"/>
              <w:bottom w:val="nil"/>
              <w:right w:val="nil"/>
            </w:tcBorders>
            <w:shd w:val="clear" w:color="auto" w:fill="auto"/>
            <w:noWrap/>
            <w:vAlign w:val="center"/>
            <w:hideMark/>
          </w:tcPr>
          <w:p w:rsidR="00C05B75" w:rsidRPr="00894482" w:rsidRDefault="000A241B" w:rsidP="00A51BA4">
            <w:pPr>
              <w:spacing w:after="0"/>
              <w:rPr>
                <w:b/>
                <w:bCs/>
              </w:rPr>
            </w:pPr>
            <w:r w:rsidRPr="00894482">
              <w:rPr>
                <w:b/>
                <w:bCs/>
              </w:rPr>
              <w:t>Shared-2013</w:t>
            </w:r>
          </w:p>
        </w:tc>
        <w:tc>
          <w:tcPr>
            <w:tcW w:w="3284" w:type="pct"/>
            <w:tcBorders>
              <w:top w:val="nil"/>
              <w:left w:val="nil"/>
              <w:bottom w:val="nil"/>
            </w:tcBorders>
            <w:shd w:val="clear" w:color="auto" w:fill="auto"/>
            <w:noWrap/>
            <w:vAlign w:val="center"/>
            <w:hideMark/>
          </w:tcPr>
          <w:p w:rsidR="00C05B75" w:rsidRPr="00894482" w:rsidRDefault="000A241B" w:rsidP="00AF219E">
            <w:pPr>
              <w:spacing w:after="0"/>
            </w:pPr>
            <w:r w:rsidRPr="00894482">
              <w:t>A</w:t>
            </w:r>
            <w:r w:rsidR="00AF219E" w:rsidRPr="00894482">
              <w:t>z egyes forgatókönyvek során nem változó adatok a</w:t>
            </w:r>
            <w:r w:rsidR="00D733E8" w:rsidRPr="00894482">
              <w:t xml:space="preserve"> Szolvencia II</w:t>
            </w:r>
            <w:r w:rsidR="00AF219E" w:rsidRPr="00894482">
              <w:t xml:space="preserve"> mérlegben</w:t>
            </w:r>
          </w:p>
        </w:tc>
      </w:tr>
      <w:tr w:rsidR="002A530A" w:rsidRPr="0080529F" w:rsidTr="00E86D00">
        <w:trPr>
          <w:trHeight w:val="20"/>
          <w:jc w:val="center"/>
        </w:trPr>
        <w:tc>
          <w:tcPr>
            <w:tcW w:w="1716" w:type="pct"/>
            <w:tcBorders>
              <w:top w:val="nil"/>
              <w:bottom w:val="nil"/>
              <w:right w:val="nil"/>
            </w:tcBorders>
            <w:shd w:val="clear" w:color="auto" w:fill="DBE5F1"/>
            <w:noWrap/>
            <w:vAlign w:val="center"/>
            <w:hideMark/>
          </w:tcPr>
          <w:p w:rsidR="002A530A" w:rsidRPr="00894482" w:rsidRDefault="002A530A" w:rsidP="002A530A">
            <w:pPr>
              <w:spacing w:after="0"/>
              <w:rPr>
                <w:b/>
                <w:bCs/>
              </w:rPr>
            </w:pPr>
            <w:r w:rsidRPr="00894482">
              <w:rPr>
                <w:b/>
                <w:bCs/>
              </w:rPr>
              <w:t>BS-SI-Scen-0</w:t>
            </w:r>
          </w:p>
        </w:tc>
        <w:tc>
          <w:tcPr>
            <w:tcW w:w="3284" w:type="pct"/>
            <w:tcBorders>
              <w:top w:val="nil"/>
              <w:left w:val="nil"/>
              <w:bottom w:val="nil"/>
            </w:tcBorders>
            <w:shd w:val="clear" w:color="auto" w:fill="DBE5F1"/>
            <w:vAlign w:val="center"/>
            <w:hideMark/>
          </w:tcPr>
          <w:p w:rsidR="002A530A" w:rsidRPr="00894482" w:rsidRDefault="00894482" w:rsidP="002A530A">
            <w:pPr>
              <w:spacing w:after="0"/>
            </w:pPr>
            <w:r>
              <w:t xml:space="preserve">a </w:t>
            </w:r>
            <w:r w:rsidR="002A530A" w:rsidRPr="00894482">
              <w:t>Szolvencia I és Szolvencia II mérleg konzisztencia ellenőrzése</w:t>
            </w:r>
          </w:p>
        </w:tc>
      </w:tr>
      <w:tr w:rsidR="002A530A" w:rsidRPr="00A51BA4" w:rsidTr="00E86D00">
        <w:trPr>
          <w:trHeight w:val="20"/>
          <w:jc w:val="center"/>
        </w:trPr>
        <w:tc>
          <w:tcPr>
            <w:tcW w:w="1716" w:type="pct"/>
            <w:tcBorders>
              <w:top w:val="nil"/>
              <w:bottom w:val="nil"/>
              <w:right w:val="nil"/>
            </w:tcBorders>
            <w:shd w:val="clear" w:color="auto" w:fill="auto"/>
            <w:noWrap/>
            <w:vAlign w:val="center"/>
            <w:hideMark/>
          </w:tcPr>
          <w:p w:rsidR="002A530A" w:rsidRPr="00894482" w:rsidRDefault="002A530A" w:rsidP="002A530A">
            <w:pPr>
              <w:spacing w:after="0"/>
              <w:rPr>
                <w:b/>
                <w:bCs/>
              </w:rPr>
            </w:pPr>
            <w:r w:rsidRPr="00894482">
              <w:rPr>
                <w:b/>
                <w:bCs/>
              </w:rPr>
              <w:t>Alap</w:t>
            </w:r>
          </w:p>
        </w:tc>
        <w:tc>
          <w:tcPr>
            <w:tcW w:w="3284" w:type="pct"/>
            <w:tcBorders>
              <w:top w:val="nil"/>
              <w:left w:val="nil"/>
              <w:bottom w:val="nil"/>
            </w:tcBorders>
            <w:shd w:val="clear" w:color="auto" w:fill="auto"/>
            <w:noWrap/>
            <w:vAlign w:val="center"/>
            <w:hideMark/>
          </w:tcPr>
          <w:p w:rsidR="002A530A" w:rsidRPr="00894482" w:rsidRDefault="002A530A" w:rsidP="002A530A">
            <w:pPr>
              <w:spacing w:after="0"/>
              <w:rPr>
                <w:bCs/>
              </w:rPr>
            </w:pPr>
            <w:r w:rsidRPr="00894482">
              <w:rPr>
                <w:bCs/>
              </w:rPr>
              <w:t>2013 év végére vonatkozó alap hozamgörbe forgatókönyv</w:t>
            </w:r>
          </w:p>
        </w:tc>
      </w:tr>
      <w:tr w:rsidR="002A530A" w:rsidRPr="00A51BA4" w:rsidTr="00E86D00">
        <w:trPr>
          <w:trHeight w:val="20"/>
          <w:jc w:val="center"/>
        </w:trPr>
        <w:tc>
          <w:tcPr>
            <w:tcW w:w="1716" w:type="pct"/>
            <w:tcBorders>
              <w:top w:val="nil"/>
              <w:bottom w:val="nil"/>
              <w:right w:val="nil"/>
            </w:tcBorders>
            <w:shd w:val="clear" w:color="auto" w:fill="DBE5F1" w:themeFill="accent1" w:themeFillTint="33"/>
            <w:noWrap/>
            <w:vAlign w:val="center"/>
            <w:hideMark/>
          </w:tcPr>
          <w:p w:rsidR="002A530A" w:rsidRPr="00894482" w:rsidRDefault="002A530A" w:rsidP="002A530A">
            <w:pPr>
              <w:spacing w:after="0"/>
              <w:rPr>
                <w:b/>
                <w:bCs/>
              </w:rPr>
            </w:pPr>
            <w:r w:rsidRPr="00894482">
              <w:rPr>
                <w:b/>
                <w:bCs/>
              </w:rPr>
              <w:t>Illeszkedési kiigazítás</w:t>
            </w:r>
          </w:p>
        </w:tc>
        <w:tc>
          <w:tcPr>
            <w:tcW w:w="3284" w:type="pct"/>
            <w:tcBorders>
              <w:top w:val="nil"/>
              <w:left w:val="nil"/>
              <w:bottom w:val="nil"/>
            </w:tcBorders>
            <w:shd w:val="clear" w:color="auto" w:fill="DBE5F1" w:themeFill="accent1" w:themeFillTint="33"/>
            <w:noWrap/>
            <w:vAlign w:val="center"/>
            <w:hideMark/>
          </w:tcPr>
          <w:p w:rsidR="002A530A" w:rsidRPr="00CB69F0" w:rsidRDefault="002A530A" w:rsidP="002A530A">
            <w:pPr>
              <w:spacing w:after="0"/>
              <w:rPr>
                <w:b/>
                <w:bCs/>
              </w:rPr>
            </w:pPr>
            <w:r w:rsidRPr="00CB69F0">
              <w:rPr>
                <w:b/>
                <w:bCs/>
              </w:rPr>
              <w:t>Illeszkedési kiigazítás forgatókönyv</w:t>
            </w:r>
          </w:p>
        </w:tc>
      </w:tr>
      <w:tr w:rsidR="002A530A" w:rsidRPr="00A51BA4" w:rsidTr="00E86D00">
        <w:trPr>
          <w:trHeight w:val="20"/>
          <w:jc w:val="center"/>
        </w:trPr>
        <w:tc>
          <w:tcPr>
            <w:tcW w:w="1716" w:type="pct"/>
            <w:tcBorders>
              <w:top w:val="nil"/>
              <w:bottom w:val="nil"/>
              <w:right w:val="nil"/>
            </w:tcBorders>
            <w:shd w:val="clear" w:color="auto" w:fill="auto"/>
            <w:noWrap/>
            <w:vAlign w:val="center"/>
            <w:hideMark/>
          </w:tcPr>
          <w:p w:rsidR="002A530A" w:rsidRPr="00894482" w:rsidRDefault="002A530A" w:rsidP="002A530A">
            <w:pPr>
              <w:spacing w:after="0"/>
              <w:rPr>
                <w:b/>
                <w:bCs/>
              </w:rPr>
            </w:pPr>
            <w:r w:rsidRPr="00894482">
              <w:rPr>
                <w:b/>
                <w:bCs/>
              </w:rPr>
              <w:t>Részletek – Illeszkedési kiig</w:t>
            </w:r>
          </w:p>
        </w:tc>
        <w:tc>
          <w:tcPr>
            <w:tcW w:w="3284" w:type="pct"/>
            <w:tcBorders>
              <w:top w:val="nil"/>
              <w:left w:val="nil"/>
              <w:bottom w:val="nil"/>
            </w:tcBorders>
            <w:shd w:val="clear" w:color="auto" w:fill="auto"/>
            <w:noWrap/>
            <w:vAlign w:val="center"/>
            <w:hideMark/>
          </w:tcPr>
          <w:p w:rsidR="002A530A" w:rsidRPr="00894482" w:rsidRDefault="002A530A" w:rsidP="002A530A">
            <w:pPr>
              <w:spacing w:after="0"/>
            </w:pPr>
            <w:r w:rsidRPr="00894482">
              <w:t>Az illeszkedési kiigazítással érintett portfóliók részletei</w:t>
            </w:r>
          </w:p>
        </w:tc>
      </w:tr>
      <w:tr w:rsidR="002A530A" w:rsidRPr="00A51BA4" w:rsidTr="00E86D00">
        <w:trPr>
          <w:trHeight w:val="20"/>
          <w:jc w:val="center"/>
        </w:trPr>
        <w:tc>
          <w:tcPr>
            <w:tcW w:w="1716" w:type="pct"/>
            <w:tcBorders>
              <w:top w:val="nil"/>
              <w:bottom w:val="nil"/>
              <w:right w:val="nil"/>
            </w:tcBorders>
            <w:shd w:val="clear" w:color="auto" w:fill="DBE5F1"/>
            <w:noWrap/>
            <w:vAlign w:val="center"/>
            <w:hideMark/>
          </w:tcPr>
          <w:p w:rsidR="002A530A" w:rsidRPr="00894482" w:rsidRDefault="002A530A" w:rsidP="002A530A">
            <w:pPr>
              <w:spacing w:after="0"/>
              <w:rPr>
                <w:b/>
                <w:bCs/>
              </w:rPr>
            </w:pPr>
            <w:r w:rsidRPr="00894482">
              <w:rPr>
                <w:b/>
                <w:bCs/>
              </w:rPr>
              <w:t>VB és TM</w:t>
            </w:r>
          </w:p>
        </w:tc>
        <w:tc>
          <w:tcPr>
            <w:tcW w:w="3284" w:type="pct"/>
            <w:tcBorders>
              <w:top w:val="nil"/>
              <w:left w:val="nil"/>
              <w:bottom w:val="nil"/>
            </w:tcBorders>
            <w:shd w:val="clear" w:color="auto" w:fill="DBE5F1"/>
            <w:noWrap/>
            <w:vAlign w:val="center"/>
            <w:hideMark/>
          </w:tcPr>
          <w:p w:rsidR="002A530A" w:rsidRPr="00894482" w:rsidRDefault="002A530A" w:rsidP="002A530A">
            <w:pPr>
              <w:spacing w:after="0"/>
            </w:pPr>
            <w:r w:rsidRPr="00894482">
              <w:t>Volatilitás kiigazítás és átmeneti intézkedések forgatókönyv</w:t>
            </w:r>
          </w:p>
        </w:tc>
      </w:tr>
      <w:tr w:rsidR="002A530A" w:rsidRPr="00A51BA4" w:rsidTr="00E86D00">
        <w:trPr>
          <w:trHeight w:val="20"/>
          <w:jc w:val="center"/>
        </w:trPr>
        <w:tc>
          <w:tcPr>
            <w:tcW w:w="1716" w:type="pct"/>
            <w:tcBorders>
              <w:top w:val="nil"/>
              <w:bottom w:val="nil"/>
              <w:right w:val="nil"/>
            </w:tcBorders>
            <w:shd w:val="clear" w:color="auto" w:fill="auto"/>
            <w:noWrap/>
            <w:vAlign w:val="center"/>
            <w:hideMark/>
          </w:tcPr>
          <w:p w:rsidR="002A530A" w:rsidRPr="00894482" w:rsidRDefault="002A530A" w:rsidP="002A530A">
            <w:pPr>
              <w:spacing w:after="0"/>
              <w:rPr>
                <w:b/>
                <w:bCs/>
              </w:rPr>
            </w:pPr>
            <w:r w:rsidRPr="00894482">
              <w:rPr>
                <w:b/>
                <w:bCs/>
              </w:rPr>
              <w:t>Overview</w:t>
            </w:r>
          </w:p>
        </w:tc>
        <w:tc>
          <w:tcPr>
            <w:tcW w:w="3284" w:type="pct"/>
            <w:tcBorders>
              <w:top w:val="nil"/>
              <w:left w:val="nil"/>
              <w:bottom w:val="nil"/>
            </w:tcBorders>
            <w:shd w:val="clear" w:color="auto" w:fill="auto"/>
            <w:noWrap/>
            <w:vAlign w:val="center"/>
            <w:hideMark/>
          </w:tcPr>
          <w:p w:rsidR="002A530A" w:rsidRPr="00894482" w:rsidRDefault="002A530A" w:rsidP="002A530A">
            <w:pPr>
              <w:spacing w:after="0"/>
            </w:pPr>
            <w:r w:rsidRPr="00894482">
              <w:t>Áttekintés a forgatókönyvekről</w:t>
            </w:r>
          </w:p>
        </w:tc>
      </w:tr>
    </w:tbl>
    <w:p w:rsidR="00566DE9" w:rsidRDefault="00566DE9" w:rsidP="00566DE9">
      <w:pPr>
        <w:spacing w:after="240" w:line="240" w:lineRule="auto"/>
        <w:jc w:val="both"/>
      </w:pPr>
    </w:p>
    <w:p w:rsidR="00574B73" w:rsidRPr="003B2F0D" w:rsidRDefault="00574B73" w:rsidP="008741F2">
      <w:pPr>
        <w:spacing w:after="240" w:line="240" w:lineRule="auto"/>
        <w:ind w:left="284"/>
        <w:jc w:val="both"/>
      </w:pPr>
      <w:r>
        <w:t xml:space="preserve">Azon portfóliók esetében, ahol a Biztosító </w:t>
      </w:r>
      <w:r w:rsidR="008819C3">
        <w:t xml:space="preserve">az 1. szcenárióban </w:t>
      </w:r>
      <w:r>
        <w:t>alkalmazza az illeszkedési kiigazítás</w:t>
      </w:r>
      <w:r w:rsidR="008741F2">
        <w:t>t</w:t>
      </w:r>
      <w:r>
        <w:t xml:space="preserve">, kérjük, hogy </w:t>
      </w:r>
      <w:r w:rsidR="008741F2">
        <w:t>töltsék ki a „</w:t>
      </w:r>
      <w:r w:rsidR="008741F2" w:rsidRPr="008741F2">
        <w:t>Részletek -1. illeszkedési kiig</w:t>
      </w:r>
      <w:r w:rsidR="008741F2">
        <w:t>” elnevezésű Excel-tábla munkalapot.</w:t>
      </w:r>
    </w:p>
    <w:p w:rsidR="00130CC5" w:rsidRPr="00EC42EA" w:rsidRDefault="00FE3C4E" w:rsidP="00130CC5">
      <w:pPr>
        <w:spacing w:after="240" w:line="240" w:lineRule="auto"/>
        <w:ind w:left="284"/>
        <w:jc w:val="both"/>
        <w:rPr>
          <w:b/>
          <w:color w:val="FF0000"/>
        </w:rPr>
      </w:pPr>
      <w:r>
        <w:rPr>
          <w:b/>
          <w:color w:val="FF0000"/>
        </w:rPr>
        <w:t>Kérjük, hogy a</w:t>
      </w:r>
      <w:r w:rsidR="00A72418" w:rsidRPr="00A72418">
        <w:rPr>
          <w:b/>
          <w:color w:val="FF0000"/>
        </w:rPr>
        <w:t>z adatokon végzendő további elemzések céljából az eszközök és kötelezettségek pénzáramlásait (utóbbiak esetében minden szcenárióra vonatkozóan) töltsék ki az Excel táblában</w:t>
      </w:r>
      <w:r>
        <w:rPr>
          <w:b/>
          <w:color w:val="FF0000"/>
        </w:rPr>
        <w:t>!</w:t>
      </w:r>
    </w:p>
    <w:p w:rsidR="005725F1" w:rsidRPr="00485279" w:rsidRDefault="005725F1" w:rsidP="00AA47B6">
      <w:pPr>
        <w:spacing w:after="240" w:line="240" w:lineRule="auto"/>
        <w:ind w:left="284"/>
        <w:jc w:val="both"/>
      </w:pPr>
      <w:r w:rsidRPr="00485279">
        <w:t>Az EIOPA alacsony hozamkörnyezet hatástanulmány</w:t>
      </w:r>
      <w:r w:rsidR="00485279">
        <w:t xml:space="preserve"> hozamszcenárióinak eredményét kérjük </w:t>
      </w:r>
      <w:r w:rsidRPr="00485279">
        <w:t>az EIOPA által készít</w:t>
      </w:r>
      <w:r w:rsidR="00943AE8">
        <w:t xml:space="preserve">endő </w:t>
      </w:r>
      <w:r w:rsidR="003B2F0D">
        <w:t xml:space="preserve">külön </w:t>
      </w:r>
      <w:r w:rsidRPr="00485279">
        <w:t>Excel-táblá</w:t>
      </w:r>
      <w:r w:rsidR="00943AE8">
        <w:t>ban megjeleníteni</w:t>
      </w:r>
      <w:r w:rsidRPr="00485279">
        <w:t>, amely</w:t>
      </w:r>
      <w:r w:rsidR="00943AE8">
        <w:t xml:space="preserve"> táblázatot </w:t>
      </w:r>
      <w:r w:rsidR="00485279">
        <w:t xml:space="preserve">az </w:t>
      </w:r>
      <w:r w:rsidR="00485279" w:rsidRPr="00485279">
        <w:t xml:space="preserve">MNB </w:t>
      </w:r>
      <w:r w:rsidR="00EC42EA">
        <w:t xml:space="preserve">legkésőbb </w:t>
      </w:r>
      <w:r w:rsidR="00485279" w:rsidRPr="00485279">
        <w:t>2014. április 30-ig megküld</w:t>
      </w:r>
      <w:r w:rsidR="00943AE8">
        <w:t xml:space="preserve"> a biztosítók részére.</w:t>
      </w:r>
    </w:p>
    <w:p w:rsidR="00DB6CA6" w:rsidRDefault="00DB6CA6" w:rsidP="00DB6CA6">
      <w:pPr>
        <w:numPr>
          <w:ilvl w:val="0"/>
          <w:numId w:val="8"/>
        </w:numPr>
        <w:spacing w:after="120" w:line="240" w:lineRule="auto"/>
        <w:jc w:val="both"/>
        <w:rPr>
          <w:i/>
        </w:rPr>
      </w:pPr>
      <w:r w:rsidRPr="00DB6CA6">
        <w:rPr>
          <w:i/>
        </w:rPr>
        <w:t>Kitöltendő kérdőív</w:t>
      </w:r>
    </w:p>
    <w:p w:rsidR="00C911B7" w:rsidRDefault="00C911B7" w:rsidP="00CE49D7">
      <w:pPr>
        <w:spacing w:after="240" w:line="240" w:lineRule="auto"/>
        <w:ind w:left="284"/>
        <w:jc w:val="both"/>
      </w:pPr>
      <w:r w:rsidRPr="000A241B">
        <w:t xml:space="preserve">A Felügyelet </w:t>
      </w:r>
      <w:r w:rsidR="00573221" w:rsidRPr="000A241B">
        <w:t>össze fog állítani</w:t>
      </w:r>
      <w:r w:rsidRPr="000A241B">
        <w:t xml:space="preserve"> egy</w:t>
      </w:r>
      <w:r w:rsidR="00DC49CA" w:rsidRPr="000A241B">
        <w:t xml:space="preserve"> </w:t>
      </w:r>
      <w:r w:rsidR="00DC49CA" w:rsidRPr="00DB6CA6">
        <w:rPr>
          <w:b/>
        </w:rPr>
        <w:t>rövid szöveges</w:t>
      </w:r>
      <w:r w:rsidRPr="00DB6CA6">
        <w:rPr>
          <w:b/>
        </w:rPr>
        <w:t xml:space="preserve"> </w:t>
      </w:r>
      <w:r w:rsidR="00DC49CA" w:rsidRPr="00DB6CA6">
        <w:rPr>
          <w:b/>
        </w:rPr>
        <w:t>kérdőívet</w:t>
      </w:r>
      <w:r w:rsidR="00DC49CA" w:rsidRPr="000A241B">
        <w:t>, amely</w:t>
      </w:r>
      <w:r w:rsidR="0025406A" w:rsidRPr="000A241B">
        <w:t>ben</w:t>
      </w:r>
      <w:r w:rsidR="00DC49CA" w:rsidRPr="000A241B">
        <w:t xml:space="preserve"> </w:t>
      </w:r>
      <w:r w:rsidR="00393BEE" w:rsidRPr="000A241B">
        <w:t>a hatástanulmány elvégzésével kapcsolatos részletek</w:t>
      </w:r>
      <w:r w:rsidR="001A78A6" w:rsidRPr="000A241B">
        <w:t>et</w:t>
      </w:r>
      <w:r w:rsidR="00393BEE" w:rsidRPr="000A241B">
        <w:t xml:space="preserve"> (</w:t>
      </w:r>
      <w:r w:rsidR="00831990">
        <w:t>LTG intézkedések alkalmazásával kapcsolatos</w:t>
      </w:r>
      <w:r w:rsidR="00117FD0">
        <w:t xml:space="preserve"> tervek,</w:t>
      </w:r>
      <w:r w:rsidR="00035436" w:rsidRPr="000A241B">
        <w:t xml:space="preserve"> </w:t>
      </w:r>
      <w:r w:rsidR="00EE7488">
        <w:t>a kockázati (al)modulok szavatolótőke-szükségletének okai</w:t>
      </w:r>
      <w:r w:rsidR="001A78A6" w:rsidRPr="000A241B">
        <w:t xml:space="preserve">, </w:t>
      </w:r>
      <w:r w:rsidR="00117FD0">
        <w:t xml:space="preserve">összevetés a 2011. év végi adatok alapján lefolytatott hatástanulmány eredményeivel, </w:t>
      </w:r>
      <w:r w:rsidR="001A78A6" w:rsidRPr="000A241B">
        <w:t>stb</w:t>
      </w:r>
      <w:r w:rsidR="00A8622F" w:rsidRPr="000A241B">
        <w:t>)</w:t>
      </w:r>
      <w:r w:rsidR="001A78A6" w:rsidRPr="000A241B">
        <w:t xml:space="preserve"> kérnénk röviden kifejteni.</w:t>
      </w:r>
      <w:r w:rsidR="008A216D">
        <w:t xml:space="preserve"> Az MNB 2014. március 28-ig megküldi a </w:t>
      </w:r>
      <w:r w:rsidR="00850F5F">
        <w:t xml:space="preserve">Biztosító </w:t>
      </w:r>
      <w:r w:rsidR="008A216D">
        <w:t>részére a kérdőívet.</w:t>
      </w:r>
    </w:p>
    <w:p w:rsidR="00DB6CA6" w:rsidRPr="00DB6CA6" w:rsidRDefault="00DB6CA6" w:rsidP="00DB6CA6">
      <w:pPr>
        <w:numPr>
          <w:ilvl w:val="0"/>
          <w:numId w:val="8"/>
        </w:numPr>
        <w:spacing w:after="120" w:line="240" w:lineRule="auto"/>
        <w:jc w:val="both"/>
        <w:rPr>
          <w:i/>
        </w:rPr>
      </w:pPr>
      <w:r w:rsidRPr="00DB6CA6">
        <w:rPr>
          <w:i/>
        </w:rPr>
        <w:t>Beküldési határidő</w:t>
      </w:r>
    </w:p>
    <w:p w:rsidR="00425796" w:rsidRDefault="00242C24" w:rsidP="00CE49D7">
      <w:pPr>
        <w:spacing w:after="240" w:line="240" w:lineRule="auto"/>
        <w:ind w:left="284"/>
        <w:jc w:val="both"/>
      </w:pPr>
      <w:r w:rsidRPr="000A241B">
        <w:t xml:space="preserve">Kérjük, hogy a </w:t>
      </w:r>
      <w:r w:rsidR="005E75C3">
        <w:t xml:space="preserve">hazai mennyiségi </w:t>
      </w:r>
      <w:r w:rsidRPr="000A241B">
        <w:t>hatástanulmány eredményeit</w:t>
      </w:r>
      <w:r w:rsidR="00F55880" w:rsidRPr="000A241B">
        <w:t>, illetve a kérdőívre adott válaszaikat</w:t>
      </w:r>
      <w:r w:rsidRPr="000A241B">
        <w:t xml:space="preserve"> </w:t>
      </w:r>
      <w:r w:rsidRPr="000A241B">
        <w:rPr>
          <w:b/>
        </w:rPr>
        <w:t>201</w:t>
      </w:r>
      <w:r w:rsidR="00ED08A4" w:rsidRPr="000A241B">
        <w:rPr>
          <w:b/>
        </w:rPr>
        <w:t>4</w:t>
      </w:r>
      <w:r w:rsidRPr="000A241B">
        <w:rPr>
          <w:b/>
        </w:rPr>
        <w:t xml:space="preserve">. </w:t>
      </w:r>
      <w:r w:rsidR="00ED08A4" w:rsidRPr="000A241B">
        <w:rPr>
          <w:b/>
        </w:rPr>
        <w:t>április</w:t>
      </w:r>
      <w:r w:rsidRPr="000A241B">
        <w:rPr>
          <w:b/>
        </w:rPr>
        <w:t xml:space="preserve"> 3</w:t>
      </w:r>
      <w:r w:rsidR="00A4012F">
        <w:rPr>
          <w:b/>
        </w:rPr>
        <w:t>0</w:t>
      </w:r>
      <w:r w:rsidRPr="000A241B">
        <w:rPr>
          <w:b/>
        </w:rPr>
        <w:t>-ig</w:t>
      </w:r>
      <w:r w:rsidR="00ED08A4" w:rsidRPr="000A241B">
        <w:t xml:space="preserve"> küldjék meg az MNB </w:t>
      </w:r>
      <w:r w:rsidRPr="000A241B">
        <w:t xml:space="preserve">részére. </w:t>
      </w:r>
      <w:r w:rsidR="005E75C3">
        <w:t xml:space="preserve">Az EIOPA alacsony hozamkörnyezet felmérés eredményeinek beküldési határideje </w:t>
      </w:r>
      <w:r w:rsidR="005E75C3" w:rsidRPr="005E75C3">
        <w:rPr>
          <w:b/>
        </w:rPr>
        <w:t xml:space="preserve">2014. </w:t>
      </w:r>
      <w:r w:rsidR="00D67AA7">
        <w:rPr>
          <w:b/>
        </w:rPr>
        <w:t>június 20.</w:t>
      </w:r>
      <w:r w:rsidR="005E75C3" w:rsidRPr="005E75C3">
        <w:rPr>
          <w:b/>
        </w:rPr>
        <w:t xml:space="preserve"> </w:t>
      </w:r>
      <w:r w:rsidRPr="000A241B">
        <w:t>A beérkezett eredményeken a feldolgozás előtt elemi ellenőrzéseket hajtunk végre, ennek alapján kérhetjük az esetleg</w:t>
      </w:r>
      <w:r w:rsidR="00A4012F">
        <w:t>esen</w:t>
      </w:r>
      <w:r w:rsidRPr="000A241B">
        <w:t xml:space="preserve"> észlelt </w:t>
      </w:r>
      <w:r w:rsidR="00ED08A4" w:rsidRPr="000A241B">
        <w:t xml:space="preserve">hibák </w:t>
      </w:r>
      <w:r w:rsidR="00850F5F">
        <w:t xml:space="preserve">Biztosító általi ellenőrzését, illetve </w:t>
      </w:r>
      <w:r w:rsidR="00ED08A4" w:rsidRPr="000A241B">
        <w:t>javítását</w:t>
      </w:r>
      <w:r w:rsidR="00440958">
        <w:t>.</w:t>
      </w:r>
      <w:r w:rsidR="00ED08A4" w:rsidRPr="000A241B">
        <w:t xml:space="preserve"> </w:t>
      </w:r>
      <w:r w:rsidRPr="000A241B">
        <w:t>A mennyiségi hatástanulmány</w:t>
      </w:r>
      <w:r w:rsidR="00A4012F">
        <w:t xml:space="preserve">, </w:t>
      </w:r>
      <w:r w:rsidR="00850F5F">
        <w:t xml:space="preserve">továbbá </w:t>
      </w:r>
      <w:r w:rsidR="00A4012F">
        <w:t>az EIOPA alacsony hozamkörnyezet felmérés</w:t>
      </w:r>
      <w:r w:rsidRPr="000A241B">
        <w:t xml:space="preserve"> ere</w:t>
      </w:r>
      <w:r w:rsidR="00ED08A4" w:rsidRPr="000A241B">
        <w:t xml:space="preserve">dményeiről </w:t>
      </w:r>
      <w:r w:rsidR="00EF1DB1">
        <w:t>piaci</w:t>
      </w:r>
      <w:r w:rsidR="00377DEE">
        <w:t xml:space="preserve"> </w:t>
      </w:r>
      <w:r w:rsidR="00D67AA7">
        <w:t>konzultációt kívánunk tartani.</w:t>
      </w:r>
    </w:p>
    <w:p w:rsidR="00242C24" w:rsidRDefault="00425796" w:rsidP="00425796">
      <w:pPr>
        <w:spacing w:after="0" w:line="240" w:lineRule="auto"/>
      </w:pPr>
      <w:r>
        <w:br w:type="page"/>
      </w:r>
    </w:p>
    <w:p w:rsidR="00F04D21" w:rsidRDefault="00F04D21" w:rsidP="00F04D21">
      <w:pPr>
        <w:numPr>
          <w:ilvl w:val="0"/>
          <w:numId w:val="8"/>
        </w:numPr>
        <w:spacing w:after="120" w:line="240" w:lineRule="auto"/>
        <w:jc w:val="both"/>
        <w:rPr>
          <w:i/>
        </w:rPr>
      </w:pPr>
      <w:r w:rsidRPr="00F04D21">
        <w:rPr>
          <w:i/>
        </w:rPr>
        <w:lastRenderedPageBreak/>
        <w:t>További technikai jellegű információk</w:t>
      </w:r>
    </w:p>
    <w:p w:rsidR="003E2F8D" w:rsidRPr="00316120" w:rsidRDefault="003E2F8D" w:rsidP="00CE49D7">
      <w:pPr>
        <w:spacing w:after="120" w:line="240" w:lineRule="auto"/>
        <w:ind w:left="284"/>
        <w:jc w:val="both"/>
      </w:pPr>
      <w:r>
        <w:t>A</w:t>
      </w:r>
      <w:r w:rsidR="00851EA6">
        <w:t xml:space="preserve"> hazai hatástanulmány</w:t>
      </w:r>
      <w:r>
        <w:t xml:space="preserve"> eredménye</w:t>
      </w:r>
      <w:r w:rsidR="00851EA6">
        <w:t>it</w:t>
      </w:r>
      <w:r w:rsidR="00316120" w:rsidRPr="00316120">
        <w:t xml:space="preserve"> kérjük az alábbiak figyelembevételével </w:t>
      </w:r>
      <w:r w:rsidR="00752E98">
        <w:t>bemutatni:</w:t>
      </w:r>
    </w:p>
    <w:p w:rsidR="00242C24" w:rsidRPr="000A241B" w:rsidRDefault="00242C24" w:rsidP="00CE49D7">
      <w:pPr>
        <w:spacing w:after="240" w:line="240" w:lineRule="auto"/>
        <w:ind w:left="284"/>
        <w:jc w:val="both"/>
        <w:rPr>
          <w:b/>
        </w:rPr>
      </w:pPr>
      <w:r w:rsidRPr="000A241B">
        <w:rPr>
          <w:b/>
        </w:rPr>
        <w:t xml:space="preserve">Referenciaidőpont: </w:t>
      </w:r>
      <w:r w:rsidRPr="000A241B">
        <w:t>A</w:t>
      </w:r>
      <w:r w:rsidR="003E2F8D">
        <w:t xml:space="preserve">z eredményeket </w:t>
      </w:r>
      <w:r w:rsidRPr="000A241B">
        <w:t>kérjük a</w:t>
      </w:r>
      <w:r w:rsidRPr="000A241B">
        <w:rPr>
          <w:b/>
        </w:rPr>
        <w:t xml:space="preserve"> </w:t>
      </w:r>
      <w:r w:rsidRPr="000A241B">
        <w:t>201</w:t>
      </w:r>
      <w:r w:rsidR="00526DA7" w:rsidRPr="000A241B">
        <w:t>3</w:t>
      </w:r>
      <w:r w:rsidRPr="000A241B">
        <w:t xml:space="preserve">. év végi adatok alapján </w:t>
      </w:r>
      <w:r w:rsidR="003E2F8D">
        <w:t>bemutatni</w:t>
      </w:r>
      <w:r w:rsidRPr="000A241B">
        <w:t>.</w:t>
      </w:r>
    </w:p>
    <w:p w:rsidR="00242C24" w:rsidRPr="000A241B" w:rsidRDefault="00242C24" w:rsidP="00CE49D7">
      <w:pPr>
        <w:spacing w:after="240" w:line="240" w:lineRule="auto"/>
        <w:ind w:left="284"/>
        <w:jc w:val="both"/>
        <w:rPr>
          <w:b/>
        </w:rPr>
      </w:pPr>
      <w:r w:rsidRPr="000A241B">
        <w:rPr>
          <w:b/>
        </w:rPr>
        <w:t xml:space="preserve">Nagyságrend: </w:t>
      </w:r>
      <w:r w:rsidRPr="000A241B">
        <w:t xml:space="preserve">Kérjük az összegeket </w:t>
      </w:r>
      <w:r w:rsidR="00526DA7" w:rsidRPr="000A241B">
        <w:t>ezer</w:t>
      </w:r>
      <w:r w:rsidRPr="000A241B">
        <w:t xml:space="preserve"> forint egységekben megadni.</w:t>
      </w:r>
    </w:p>
    <w:p w:rsidR="00566DE9" w:rsidRPr="000A241B" w:rsidRDefault="00242C24" w:rsidP="00CE49D7">
      <w:pPr>
        <w:spacing w:after="240" w:line="240" w:lineRule="auto"/>
        <w:ind w:left="284"/>
        <w:jc w:val="both"/>
      </w:pPr>
      <w:r w:rsidRPr="000A241B">
        <w:rPr>
          <w:b/>
        </w:rPr>
        <w:t>Átváltási árfolyamok:</w:t>
      </w:r>
      <w:r w:rsidR="00DC3D9E">
        <w:t xml:space="preserve"> Kérjük, hogy az egyes </w:t>
      </w:r>
      <w:r w:rsidRPr="000A241B">
        <w:t xml:space="preserve">pénznemek </w:t>
      </w:r>
      <w:r w:rsidR="00A36682" w:rsidRPr="000A241B">
        <w:t xml:space="preserve">forintra </w:t>
      </w:r>
      <w:r w:rsidRPr="000A241B">
        <w:t>váltá</w:t>
      </w:r>
      <w:r w:rsidR="00F24744" w:rsidRPr="000A241B">
        <w:t>si árfolya</w:t>
      </w:r>
      <w:r w:rsidR="00F24744" w:rsidRPr="00425796">
        <w:t xml:space="preserve">mai a mellékelt </w:t>
      </w:r>
      <w:r w:rsidR="00566DE9" w:rsidRPr="00425796">
        <w:t>201</w:t>
      </w:r>
      <w:r w:rsidR="00526DA7" w:rsidRPr="00425796">
        <w:t>4</w:t>
      </w:r>
      <w:r w:rsidR="00566DE9" w:rsidRPr="00425796">
        <w:t>_hatástanulmány_technikai melléklet.xlsx</w:t>
      </w:r>
      <w:r w:rsidR="00566DE9" w:rsidRPr="000A241B">
        <w:t xml:space="preserve"> táblázatban találhatók meg, a „Devizaárfolyamok” fülön.</w:t>
      </w:r>
    </w:p>
    <w:p w:rsidR="008018B6" w:rsidRPr="008018B6" w:rsidRDefault="008018B6" w:rsidP="008018B6">
      <w:pPr>
        <w:numPr>
          <w:ilvl w:val="0"/>
          <w:numId w:val="8"/>
        </w:numPr>
        <w:spacing w:after="120" w:line="240" w:lineRule="auto"/>
        <w:jc w:val="both"/>
        <w:rPr>
          <w:i/>
        </w:rPr>
      </w:pPr>
      <w:r w:rsidRPr="008018B6">
        <w:rPr>
          <w:i/>
        </w:rPr>
        <w:t>Kérdések és válaszok</w:t>
      </w:r>
      <w:r w:rsidR="00EF1DB1">
        <w:rPr>
          <w:i/>
        </w:rPr>
        <w:t>, konzultáció</w:t>
      </w:r>
    </w:p>
    <w:p w:rsidR="00E232D2" w:rsidRDefault="00416395" w:rsidP="00CE49D7">
      <w:pPr>
        <w:spacing w:after="240" w:line="240" w:lineRule="auto"/>
        <w:ind w:left="284"/>
        <w:jc w:val="both"/>
      </w:pPr>
      <w:r>
        <w:t>Várjuk a</w:t>
      </w:r>
      <w:r w:rsidR="001C3198" w:rsidRPr="000A241B">
        <w:t xml:space="preserve"> hatástanulmány során felmerülő kérdése</w:t>
      </w:r>
      <w:r w:rsidR="00E232D2">
        <w:t>iket</w:t>
      </w:r>
      <w:r>
        <w:t>,</w:t>
      </w:r>
      <w:r w:rsidR="00E232D2">
        <w:t xml:space="preserve"> amelyekre a</w:t>
      </w:r>
      <w:r w:rsidR="001C3198" w:rsidRPr="000A241B">
        <w:t xml:space="preserve"> legjob</w:t>
      </w:r>
      <w:r w:rsidR="00F8759F" w:rsidRPr="000A241B">
        <w:t xml:space="preserve">b tudásunk szerint </w:t>
      </w:r>
      <w:r w:rsidR="00BB09D1">
        <w:t>igyekszünk válaszolni</w:t>
      </w:r>
      <w:r w:rsidR="00E232D2">
        <w:t xml:space="preserve">, </w:t>
      </w:r>
      <w:r w:rsidR="00E57797">
        <w:t>illetve adott esetben</w:t>
      </w:r>
      <w:r w:rsidR="008018B6">
        <w:t xml:space="preserve"> továbbítjuk </w:t>
      </w:r>
      <w:r w:rsidR="00E232D2">
        <w:t>az EIOPA részére</w:t>
      </w:r>
      <w:r w:rsidR="008018B6">
        <w:t xml:space="preserve"> állásfoglalás </w:t>
      </w:r>
      <w:r w:rsidR="005E1650">
        <w:t>céljából</w:t>
      </w:r>
      <w:r w:rsidR="00E232D2">
        <w:t>.</w:t>
      </w:r>
      <w:r w:rsidR="00F8759F" w:rsidRPr="000A241B">
        <w:t xml:space="preserve"> </w:t>
      </w:r>
    </w:p>
    <w:p w:rsidR="00597D32" w:rsidRDefault="00036866" w:rsidP="00CE49D7">
      <w:pPr>
        <w:spacing w:after="240" w:line="240" w:lineRule="auto"/>
        <w:ind w:left="284"/>
        <w:jc w:val="both"/>
      </w:pPr>
      <w:r w:rsidRPr="000A241B">
        <w:t>A hatástanulmány során felmerülő kérdése</w:t>
      </w:r>
      <w:r w:rsidR="006A6041" w:rsidRPr="000A241B">
        <w:t xml:space="preserve">iket </w:t>
      </w:r>
      <w:r w:rsidR="005D7B6C" w:rsidRPr="000A241B">
        <w:t>kérjük</w:t>
      </w:r>
      <w:r w:rsidR="00172DBC" w:rsidRPr="000A241B">
        <w:t xml:space="preserve"> a </w:t>
      </w:r>
      <w:hyperlink r:id="rId11" w:history="1">
        <w:r w:rsidR="00475EAA" w:rsidRPr="000A241B">
          <w:rPr>
            <w:rStyle w:val="Hiperhivatkozs"/>
          </w:rPr>
          <w:t>hatastanulmany@mnb.hu</w:t>
        </w:r>
      </w:hyperlink>
      <w:r w:rsidR="00172DBC" w:rsidRPr="000A241B">
        <w:t xml:space="preserve"> közös email címre </w:t>
      </w:r>
      <w:r w:rsidR="005D7B6C" w:rsidRPr="000A241B">
        <w:t>küldjék el</w:t>
      </w:r>
      <w:r w:rsidR="00172DBC" w:rsidRPr="000A241B">
        <w:t>.</w:t>
      </w:r>
      <w:r w:rsidR="00931579" w:rsidRPr="000A241B">
        <w:t xml:space="preserve"> </w:t>
      </w:r>
      <w:r w:rsidRPr="000A241B">
        <w:t xml:space="preserve">Az eredményeket </w:t>
      </w:r>
      <w:r w:rsidR="00172DBC" w:rsidRPr="000A241B">
        <w:t xml:space="preserve">szintén a </w:t>
      </w:r>
      <w:hyperlink r:id="rId12" w:history="1">
        <w:r w:rsidR="00475EAA" w:rsidRPr="000A241B">
          <w:rPr>
            <w:rStyle w:val="Hiperhivatkozs"/>
          </w:rPr>
          <w:t>hatastanulmany@mnb.hu</w:t>
        </w:r>
      </w:hyperlink>
      <w:r w:rsidR="00172DBC" w:rsidRPr="000A241B">
        <w:t xml:space="preserve"> </w:t>
      </w:r>
      <w:r w:rsidR="00931579" w:rsidRPr="000A241B">
        <w:t xml:space="preserve">közös </w:t>
      </w:r>
      <w:r w:rsidRPr="000A241B">
        <w:t>e-mail címre kérjük megküldeni.</w:t>
      </w:r>
      <w:r w:rsidR="00E163EC">
        <w:t xml:space="preserve"> </w:t>
      </w:r>
      <w:r w:rsidR="00E57797">
        <w:t>A</w:t>
      </w:r>
      <w:r w:rsidR="00E163EC">
        <w:t xml:space="preserve"> beérkezett kérdések és a válaszok alapján </w:t>
      </w:r>
      <w:r w:rsidR="00E57797">
        <w:t xml:space="preserve">hetente </w:t>
      </w:r>
      <w:r w:rsidR="002D2049">
        <w:t>frissít</w:t>
      </w:r>
      <w:r w:rsidR="00416395">
        <w:t xml:space="preserve">jük majd a </w:t>
      </w:r>
      <w:r w:rsidR="002D2049">
        <w:t>Q&amp;A</w:t>
      </w:r>
      <w:r w:rsidR="00DA2989">
        <w:t xml:space="preserve"> dokumentumot, amelyet </w:t>
      </w:r>
      <w:r w:rsidR="002D2049">
        <w:t>a</w:t>
      </w:r>
      <w:r w:rsidR="00DA2989">
        <w:t xml:space="preserve"> MNB felügyeleti honlapján is</w:t>
      </w:r>
      <w:r w:rsidR="002D2049">
        <w:t xml:space="preserve"> megjelentetünk</w:t>
      </w:r>
      <w:r w:rsidR="00DA2989">
        <w:t>.</w:t>
      </w:r>
    </w:p>
    <w:p w:rsidR="000E28E7" w:rsidRDefault="000E28E7" w:rsidP="00CE49D7">
      <w:pPr>
        <w:spacing w:after="240" w:line="240" w:lineRule="auto"/>
        <w:ind w:left="284"/>
        <w:jc w:val="both"/>
      </w:pPr>
      <w:r>
        <w:t>Amennyiben egyes témakörökben</w:t>
      </w:r>
      <w:r w:rsidR="00E163EC">
        <w:t xml:space="preserve"> – annak újdonsága vagy nem egyértelmű volta miatt –</w:t>
      </w:r>
      <w:r>
        <w:t xml:space="preserve"> szükségesnek tart</w:t>
      </w:r>
      <w:r w:rsidR="002D2049">
        <w:t>aná a Biztosító</w:t>
      </w:r>
      <w:r>
        <w:t xml:space="preserve"> egy előzetes konzultáció</w:t>
      </w:r>
      <w:r w:rsidR="007B429A">
        <w:t xml:space="preserve"> megtartását</w:t>
      </w:r>
      <w:r>
        <w:t>, kérem, hogy jelezzék felénk</w:t>
      </w:r>
      <w:r w:rsidR="007B429A">
        <w:t xml:space="preserve"> a fenti email címen.</w:t>
      </w:r>
    </w:p>
    <w:sectPr w:rsidR="000E28E7" w:rsidSect="00E06EC7">
      <w:footerReference w:type="default" r:id="rId13"/>
      <w:pgSz w:w="11906" w:h="16838"/>
      <w:pgMar w:top="851" w:right="1417" w:bottom="1417" w:left="1417"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442" w:rsidRDefault="00792442" w:rsidP="001C3198">
      <w:pPr>
        <w:spacing w:after="0" w:line="240" w:lineRule="auto"/>
      </w:pPr>
      <w:r>
        <w:separator/>
      </w:r>
    </w:p>
  </w:endnote>
  <w:endnote w:type="continuationSeparator" w:id="0">
    <w:p w:rsidR="00792442" w:rsidRDefault="00792442" w:rsidP="001C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42" w:rsidRPr="00CB5612" w:rsidRDefault="006E3B90">
    <w:pPr>
      <w:pStyle w:val="llb"/>
      <w:jc w:val="right"/>
      <w:rPr>
        <w:rFonts w:ascii="Times New Roman" w:hAnsi="Times New Roman"/>
        <w:sz w:val="24"/>
        <w:szCs w:val="24"/>
      </w:rPr>
    </w:pPr>
    <w:r w:rsidRPr="00CB5612">
      <w:rPr>
        <w:rFonts w:ascii="Times New Roman" w:hAnsi="Times New Roman"/>
        <w:sz w:val="24"/>
        <w:szCs w:val="24"/>
      </w:rPr>
      <w:fldChar w:fldCharType="begin"/>
    </w:r>
    <w:r w:rsidR="00792442" w:rsidRPr="00CB5612">
      <w:rPr>
        <w:rFonts w:ascii="Times New Roman" w:hAnsi="Times New Roman"/>
        <w:sz w:val="24"/>
        <w:szCs w:val="24"/>
      </w:rPr>
      <w:instrText xml:space="preserve"> PAGE   \* MERGEFORMAT </w:instrText>
    </w:r>
    <w:r w:rsidRPr="00CB5612">
      <w:rPr>
        <w:rFonts w:ascii="Times New Roman" w:hAnsi="Times New Roman"/>
        <w:sz w:val="24"/>
        <w:szCs w:val="24"/>
      </w:rPr>
      <w:fldChar w:fldCharType="separate"/>
    </w:r>
    <w:r w:rsidR="003E1F48">
      <w:rPr>
        <w:rFonts w:ascii="Times New Roman" w:hAnsi="Times New Roman"/>
        <w:noProof/>
        <w:sz w:val="24"/>
        <w:szCs w:val="24"/>
      </w:rPr>
      <w:t>1</w:t>
    </w:r>
    <w:r w:rsidRPr="00CB5612">
      <w:rPr>
        <w:rFonts w:ascii="Times New Roman" w:hAnsi="Times New Roman"/>
        <w:sz w:val="24"/>
        <w:szCs w:val="24"/>
      </w:rPr>
      <w:fldChar w:fldCharType="end"/>
    </w:r>
  </w:p>
  <w:p w:rsidR="00792442" w:rsidRDefault="0079244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442" w:rsidRDefault="00792442" w:rsidP="001C3198">
      <w:pPr>
        <w:spacing w:after="0" w:line="240" w:lineRule="auto"/>
      </w:pPr>
      <w:r>
        <w:separator/>
      </w:r>
    </w:p>
  </w:footnote>
  <w:footnote w:type="continuationSeparator" w:id="0">
    <w:p w:rsidR="00792442" w:rsidRDefault="00792442" w:rsidP="001C3198">
      <w:pPr>
        <w:spacing w:after="0" w:line="240" w:lineRule="auto"/>
      </w:pPr>
      <w:r>
        <w:continuationSeparator/>
      </w:r>
    </w:p>
  </w:footnote>
  <w:footnote w:id="1">
    <w:p w:rsidR="00792442" w:rsidRPr="00A37A2E" w:rsidRDefault="00792442" w:rsidP="00081092">
      <w:pPr>
        <w:spacing w:after="0" w:line="240" w:lineRule="auto"/>
        <w:jc w:val="both"/>
        <w:rPr>
          <w:sz w:val="20"/>
          <w:szCs w:val="20"/>
          <w:lang w:val="en-US"/>
        </w:rPr>
      </w:pPr>
      <w:r w:rsidRPr="00DF7E50">
        <w:rPr>
          <w:rStyle w:val="Lbjegyzet-hivatkozs"/>
          <w:sz w:val="20"/>
          <w:szCs w:val="20"/>
        </w:rPr>
        <w:footnoteRef/>
      </w:r>
      <w:r w:rsidRPr="00DF7E50">
        <w:rPr>
          <w:sz w:val="20"/>
          <w:szCs w:val="20"/>
        </w:rPr>
        <w:t xml:space="preserve"> „</w:t>
      </w:r>
      <w:r w:rsidRPr="00DF7E50">
        <w:rPr>
          <w:sz w:val="20"/>
          <w:szCs w:val="20"/>
          <w:lang w:val="en-US"/>
        </w:rPr>
        <w:t xml:space="preserve">In relation to the expense volume measure for unit-linked business, it is assumed that </w:t>
      </w:r>
      <w:r w:rsidRPr="00DF7E50">
        <w:rPr>
          <w:b/>
          <w:sz w:val="20"/>
          <w:szCs w:val="20"/>
          <w:lang w:val="en-US"/>
        </w:rPr>
        <w:t xml:space="preserve">administrative expenses exclude acquisition expenses </w:t>
      </w:r>
      <w:r w:rsidRPr="00DF7E50">
        <w:rPr>
          <w:sz w:val="20"/>
          <w:szCs w:val="20"/>
          <w:lang w:val="en-US"/>
        </w:rPr>
        <w:t>as these are primarily related to insurance intermediaries and which are excluded from operational risk.”</w:t>
      </w:r>
    </w:p>
    <w:p w:rsidR="00792442" w:rsidRDefault="00792442" w:rsidP="00081092">
      <w:pPr>
        <w:pStyle w:val="Lbjegyzetszveg"/>
        <w:spacing w:after="0"/>
      </w:pPr>
    </w:p>
  </w:footnote>
  <w:footnote w:id="2">
    <w:p w:rsidR="00792442" w:rsidRDefault="00792442" w:rsidP="00D8242F">
      <w:pPr>
        <w:pStyle w:val="Lbjegyzetszveg"/>
        <w:spacing w:after="0" w:line="240" w:lineRule="auto"/>
        <w:jc w:val="both"/>
        <w:rPr>
          <w:lang w:val="en-GB"/>
        </w:rPr>
      </w:pPr>
      <w:r>
        <w:rPr>
          <w:rStyle w:val="Lbjegyzet-hivatkozs"/>
        </w:rPr>
        <w:footnoteRef/>
      </w:r>
      <w:r>
        <w:t xml:space="preserve"> „</w:t>
      </w:r>
      <w:r w:rsidRPr="00081092">
        <w:rPr>
          <w:lang w:val="en-GB"/>
        </w:rPr>
        <w:t>The assumptions on the future returns of the assets shall be consistent with the relevant risk-free interest term structure, including where applicable a matching adjustment or a volatility adjustment, and the valuation of the assets in accordance with Article 75 of Directive 2009/138/EC.</w:t>
      </w:r>
      <w:r>
        <w:rPr>
          <w:lang w:val="en-GB"/>
        </w:rPr>
        <w:t>”</w:t>
      </w:r>
    </w:p>
    <w:p w:rsidR="00792442" w:rsidRDefault="00792442" w:rsidP="00D8242F">
      <w:pPr>
        <w:pStyle w:val="Lbjegyzetszveg"/>
        <w:spacing w:after="0" w:line="240" w:lineRule="auto"/>
        <w:jc w:val="both"/>
      </w:pPr>
    </w:p>
  </w:footnote>
  <w:footnote w:id="3">
    <w:p w:rsidR="00792442" w:rsidRDefault="00792442">
      <w:pPr>
        <w:pStyle w:val="Lbjegyzetszveg"/>
      </w:pPr>
      <w:r>
        <w:rPr>
          <w:rStyle w:val="Lbjegyzet-hivatkozs"/>
        </w:rPr>
        <w:footnoteRef/>
      </w:r>
      <w:r>
        <w:t xml:space="preserve"> Tehát ha a hozzárendelt eszközfedezet </w:t>
      </w:r>
      <w:r w:rsidRPr="00D81011">
        <w:rPr>
          <w:color w:val="00B050"/>
        </w:rPr>
        <w:t>1/3</w:t>
      </w:r>
      <w:r>
        <w:t>-</w:t>
      </w:r>
      <w:r w:rsidRPr="00D81011">
        <w:rPr>
          <w:color w:val="00B050"/>
        </w:rPr>
        <w:t>1/3</w:t>
      </w:r>
      <w:r>
        <w:t>-</w:t>
      </w:r>
      <w:r w:rsidRPr="00D81011">
        <w:rPr>
          <w:color w:val="00B050"/>
        </w:rPr>
        <w:t>1/3</w:t>
      </w:r>
      <w:r>
        <w:t xml:space="preserve"> részben áll </w:t>
      </w:r>
      <w:r w:rsidRPr="00D81011">
        <w:rPr>
          <w:color w:val="FF0000"/>
        </w:rPr>
        <w:t>1</w:t>
      </w:r>
      <w:r>
        <w:t xml:space="preserve"> éves, </w:t>
      </w:r>
      <w:r w:rsidRPr="00D81011">
        <w:rPr>
          <w:color w:val="FF0000"/>
        </w:rPr>
        <w:t>3</w:t>
      </w:r>
      <w:r>
        <w:t xml:space="preserve"> éves és </w:t>
      </w:r>
      <w:r>
        <w:rPr>
          <w:color w:val="FF0000"/>
        </w:rPr>
        <w:t>6</w:t>
      </w:r>
      <w:r>
        <w:t xml:space="preserve"> éves hátralévő futamidejű magyar állampapírból, akkor a technikai melléklet alapján az alkalmazandó fundamentális felár értéke: </w:t>
      </w:r>
    </w:p>
    <w:p w:rsidR="00792442" w:rsidRPr="002019BA" w:rsidRDefault="003E1F48" w:rsidP="002019BA">
      <w:pPr>
        <w:pStyle w:val="Lbjegyzetszveg"/>
        <w:jc w:val="center"/>
      </w:pPr>
      <m:oMath>
        <m:f>
          <m:fPr>
            <m:ctrlPr>
              <w:rPr>
                <w:rFonts w:ascii="Cambria Math" w:hAnsi="Cambria Math"/>
                <w:i/>
              </w:rPr>
            </m:ctrlPr>
          </m:fPr>
          <m:num>
            <m:r>
              <w:rPr>
                <w:rFonts w:ascii="Cambria Math"/>
              </w:rPr>
              <m:t>(</m:t>
            </m:r>
            <m:r>
              <w:rPr>
                <w:rFonts w:ascii="Cambria Math"/>
                <w:color w:val="00B050"/>
              </w:rPr>
              <m:t>0,33</m:t>
            </m:r>
            <m:r>
              <w:rPr>
                <w:rFonts w:hAnsi="Cambria Math"/>
              </w:rPr>
              <m:t>*</m:t>
            </m:r>
            <m:r>
              <w:rPr>
                <w:rFonts w:ascii="Cambria Math"/>
                <w:color w:val="FF0000"/>
              </w:rPr>
              <m:t>1</m:t>
            </m:r>
            <m:r>
              <w:rPr>
                <w:rFonts w:hAnsi="Cambria Math"/>
              </w:rPr>
              <m:t>*</m:t>
            </m:r>
            <m:r>
              <w:rPr>
                <w:rFonts w:ascii="Cambria Math"/>
              </w:rPr>
              <m:t>0,141+</m:t>
            </m:r>
            <m:r>
              <w:rPr>
                <w:rFonts w:ascii="Cambria Math"/>
                <w:color w:val="00B050"/>
              </w:rPr>
              <m:t>0,33</m:t>
            </m:r>
            <m:r>
              <w:rPr>
                <w:rFonts w:hAnsi="Cambria Math"/>
              </w:rPr>
              <m:t>*</m:t>
            </m:r>
            <m:r>
              <w:rPr>
                <w:rFonts w:ascii="Cambria Math"/>
                <w:color w:val="FF0000"/>
              </w:rPr>
              <m:t>3</m:t>
            </m:r>
            <m:r>
              <w:rPr>
                <w:rFonts w:ascii="Cambria Math" w:hAnsi="Cambria Math"/>
                <w:color w:val="FF0000"/>
              </w:rPr>
              <m:t>*</m:t>
            </m:r>
            <m:r>
              <w:rPr>
                <w:rFonts w:ascii="Cambria Math"/>
              </w:rPr>
              <m:t>0,207+</m:t>
            </m:r>
            <m:r>
              <w:rPr>
                <w:rFonts w:ascii="Cambria Math"/>
                <w:color w:val="00B050"/>
              </w:rPr>
              <m:t>0,33</m:t>
            </m:r>
            <m:r>
              <w:rPr>
                <w:rFonts w:hAnsi="Cambria Math"/>
              </w:rPr>
              <m:t>*</m:t>
            </m:r>
            <m:r>
              <w:rPr>
                <w:rFonts w:ascii="Cambria Math"/>
                <w:color w:val="FF0000"/>
              </w:rPr>
              <m:t>6</m:t>
            </m:r>
            <m:r>
              <w:rPr>
                <w:rFonts w:hAnsi="Cambria Math"/>
              </w:rPr>
              <m:t>*</m:t>
            </m:r>
            <m:r>
              <w:rPr>
                <w:rFonts w:ascii="Cambria Math"/>
              </w:rPr>
              <m:t>(0,205+0,271)/2)</m:t>
            </m:r>
          </m:num>
          <m:den>
            <m:r>
              <w:rPr>
                <w:rFonts w:ascii="Cambria Math"/>
              </w:rPr>
              <m:t>(</m:t>
            </m:r>
            <m:r>
              <w:rPr>
                <w:rFonts w:ascii="Cambria Math"/>
                <w:color w:val="00B050"/>
              </w:rPr>
              <m:t>0,33</m:t>
            </m:r>
            <m:r>
              <w:rPr>
                <w:rFonts w:hAnsi="Cambria Math"/>
              </w:rPr>
              <m:t>*</m:t>
            </m:r>
            <m:r>
              <w:rPr>
                <w:rFonts w:ascii="Cambria Math"/>
                <w:color w:val="FF0000"/>
              </w:rPr>
              <m:t>1</m:t>
            </m:r>
            <m:r>
              <w:rPr>
                <w:rFonts w:ascii="Cambria Math"/>
              </w:rPr>
              <m:t>+</m:t>
            </m:r>
            <m:r>
              <w:rPr>
                <w:rFonts w:ascii="Cambria Math"/>
                <w:color w:val="00B050"/>
              </w:rPr>
              <m:t>0,33</m:t>
            </m:r>
            <m:r>
              <w:rPr>
                <w:rFonts w:hAnsi="Cambria Math"/>
              </w:rPr>
              <m:t>*</m:t>
            </m:r>
            <m:r>
              <w:rPr>
                <w:rFonts w:ascii="Cambria Math"/>
                <w:color w:val="FF0000"/>
              </w:rPr>
              <m:t>3</m:t>
            </m:r>
            <m:r>
              <w:rPr>
                <w:rFonts w:ascii="Cambria Math"/>
              </w:rPr>
              <m:t>+</m:t>
            </m:r>
            <m:r>
              <w:rPr>
                <w:rFonts w:ascii="Cambria Math"/>
                <w:color w:val="00B050"/>
              </w:rPr>
              <m:t>0,33</m:t>
            </m:r>
            <m:r>
              <w:rPr>
                <w:rFonts w:hAnsi="Cambria Math"/>
              </w:rPr>
              <m:t>*</m:t>
            </m:r>
            <m:r>
              <w:rPr>
                <w:rFonts w:ascii="Cambria Math"/>
                <w:color w:val="FF0000"/>
              </w:rPr>
              <m:t>6</m:t>
            </m:r>
            <m:r>
              <w:rPr>
                <w:rFonts w:ascii="Cambria Math"/>
              </w:rPr>
              <m:t>)</m:t>
            </m:r>
          </m:den>
        </m:f>
      </m:oMath>
      <w:r w:rsidR="00792442" w:rsidRPr="002019BA">
        <w:t>= 0,219</w:t>
      </w:r>
      <w:r w:rsidR="00792442">
        <w:t xml:space="preserve"> %</w:t>
      </w:r>
    </w:p>
  </w:footnote>
  <w:footnote w:id="4">
    <w:p w:rsidR="00792442" w:rsidRDefault="00792442" w:rsidP="00D8242F">
      <w:pPr>
        <w:pStyle w:val="Lbjegyzetszveg"/>
        <w:spacing w:after="0" w:line="240" w:lineRule="auto"/>
        <w:jc w:val="both"/>
      </w:pPr>
      <w:r>
        <w:rPr>
          <w:rStyle w:val="Lbjegyzet-hivatkozs"/>
        </w:rPr>
        <w:footnoteRef/>
      </w:r>
      <w:r>
        <w:t xml:space="preserve"> „</w:t>
      </w:r>
      <w:r w:rsidRPr="00081092">
        <w:rPr>
          <w:lang w:val="en-GB"/>
        </w:rPr>
        <w:t>The assumptions on the future returns of the assets shall be consistent with the relevant risk-free interest term structure, including where applicable a matching adjustment or a volatility adjustment, and the valuation of the assets in accordance with Article 75 of Directive 2009/138/EC.</w:t>
      </w:r>
      <w:r>
        <w:rPr>
          <w:lang w:val="en-GB"/>
        </w:rPr>
        <w:t>”</w:t>
      </w:r>
    </w:p>
  </w:footnote>
  <w:footnote w:id="5">
    <w:p w:rsidR="00792442" w:rsidRPr="00792442" w:rsidRDefault="00792442" w:rsidP="008C22C3">
      <w:pPr>
        <w:pStyle w:val="Lbjegyzetszveg"/>
        <w:spacing w:after="0" w:line="240" w:lineRule="auto"/>
        <w:jc w:val="both"/>
        <w:rPr>
          <w:sz w:val="18"/>
          <w:szCs w:val="18"/>
        </w:rPr>
      </w:pPr>
      <w:r>
        <w:rPr>
          <w:rStyle w:val="Lbjegyzet-hivatkozs"/>
        </w:rPr>
        <w:footnoteRef/>
      </w:r>
      <w:r>
        <w:t xml:space="preserve"> </w:t>
      </w:r>
      <w:r w:rsidRPr="00792442">
        <w:rPr>
          <w:sz w:val="18"/>
          <w:szCs w:val="18"/>
        </w:rPr>
        <w:t>Azaz azon biztosítási portfólió(k)ra, amelyekre a illeszkedési kiigazítást alkalmazza a Biztosító, külön-külön ki kell számítani az alapvető szavatolótőke-szükségletet (BSCR</w:t>
      </w:r>
      <w:r w:rsidRPr="00792442">
        <w:rPr>
          <w:sz w:val="18"/>
          <w:szCs w:val="18"/>
          <w:vertAlign w:val="subscript"/>
        </w:rPr>
        <w:t>1</w:t>
      </w:r>
      <w:r w:rsidRPr="00792442">
        <w:rPr>
          <w:sz w:val="18"/>
          <w:szCs w:val="18"/>
        </w:rPr>
        <w:t>, BSCR</w:t>
      </w:r>
      <w:r w:rsidRPr="00792442">
        <w:rPr>
          <w:sz w:val="18"/>
          <w:szCs w:val="18"/>
          <w:vertAlign w:val="subscript"/>
        </w:rPr>
        <w:t>2</w:t>
      </w:r>
      <w:r w:rsidRPr="00792442">
        <w:rPr>
          <w:sz w:val="18"/>
          <w:szCs w:val="18"/>
        </w:rPr>
        <w:t>,…BSCR</w:t>
      </w:r>
      <w:r w:rsidRPr="00792442">
        <w:rPr>
          <w:sz w:val="18"/>
          <w:szCs w:val="18"/>
          <w:vertAlign w:val="subscript"/>
        </w:rPr>
        <w:t>i</w:t>
      </w:r>
      <w:r w:rsidRPr="00792442">
        <w:rPr>
          <w:sz w:val="18"/>
          <w:szCs w:val="18"/>
        </w:rPr>
        <w:t>) portfóliónként (ezt hívja a szabályozás névleges szavatolótőke-szükségletnek, azaz notional SCR-nak), valamint külön a Biztosító egyéb biztosítási portfólióira együttesen (BSCR</w:t>
      </w:r>
      <w:r w:rsidRPr="00792442">
        <w:rPr>
          <w:sz w:val="18"/>
          <w:szCs w:val="18"/>
          <w:vertAlign w:val="subscript"/>
        </w:rPr>
        <w:t>egyéb</w:t>
      </w:r>
      <w:r w:rsidRPr="00792442">
        <w:rPr>
          <w:sz w:val="18"/>
          <w:szCs w:val="18"/>
        </w:rPr>
        <w:t>). A teljes BSCR ekkor a következőképpen áll elő: BSCR=BSCR</w:t>
      </w:r>
      <w:r w:rsidRPr="00792442">
        <w:rPr>
          <w:sz w:val="18"/>
          <w:szCs w:val="18"/>
          <w:vertAlign w:val="subscript"/>
        </w:rPr>
        <w:t>1</w:t>
      </w:r>
      <w:r w:rsidRPr="00792442">
        <w:rPr>
          <w:sz w:val="18"/>
          <w:szCs w:val="18"/>
        </w:rPr>
        <w:t xml:space="preserve"> + BSCR</w:t>
      </w:r>
      <w:r w:rsidRPr="00792442">
        <w:rPr>
          <w:sz w:val="18"/>
          <w:szCs w:val="18"/>
          <w:vertAlign w:val="subscript"/>
        </w:rPr>
        <w:t>2</w:t>
      </w:r>
      <w:r w:rsidRPr="00792442">
        <w:rPr>
          <w:sz w:val="18"/>
          <w:szCs w:val="18"/>
        </w:rPr>
        <w:t xml:space="preserve"> +…+ BSCR</w:t>
      </w:r>
      <w:r w:rsidRPr="00792442">
        <w:rPr>
          <w:sz w:val="18"/>
          <w:szCs w:val="18"/>
          <w:vertAlign w:val="subscript"/>
        </w:rPr>
        <w:t>i</w:t>
      </w:r>
      <w:r w:rsidRPr="00792442">
        <w:rPr>
          <w:sz w:val="18"/>
          <w:szCs w:val="18"/>
        </w:rPr>
        <w:t xml:space="preserve"> +BSCR</w:t>
      </w:r>
      <w:r w:rsidRPr="00792442">
        <w:rPr>
          <w:sz w:val="18"/>
          <w:szCs w:val="18"/>
          <w:vertAlign w:val="subscript"/>
        </w:rPr>
        <w:t>egyéb</w:t>
      </w:r>
      <w:r w:rsidRPr="00792442">
        <w:rPr>
          <w:sz w:val="18"/>
          <w:szCs w:val="18"/>
        </w:rPr>
        <w:t>.</w:t>
      </w:r>
    </w:p>
    <w:p w:rsidR="00792442" w:rsidRPr="00792442" w:rsidRDefault="00792442" w:rsidP="008C22C3">
      <w:pPr>
        <w:pStyle w:val="Lbjegyzetszveg"/>
        <w:spacing w:after="0" w:line="240" w:lineRule="auto"/>
        <w:jc w:val="both"/>
        <w:rPr>
          <w:sz w:val="18"/>
          <w:szCs w:val="18"/>
        </w:rPr>
      </w:pPr>
    </w:p>
  </w:footnote>
  <w:footnote w:id="6">
    <w:p w:rsidR="00792442" w:rsidRPr="00792442" w:rsidRDefault="00792442" w:rsidP="00D51660">
      <w:pPr>
        <w:pStyle w:val="Lbjegyzetszveg"/>
        <w:spacing w:after="0" w:line="240" w:lineRule="auto"/>
        <w:jc w:val="both"/>
        <w:rPr>
          <w:sz w:val="18"/>
          <w:szCs w:val="18"/>
        </w:rPr>
      </w:pPr>
      <w:r w:rsidRPr="00792442">
        <w:rPr>
          <w:rStyle w:val="Lbjegyzet-hivatkozs"/>
          <w:sz w:val="18"/>
          <w:szCs w:val="18"/>
        </w:rPr>
        <w:footnoteRef/>
      </w:r>
      <w:r w:rsidRPr="00792442">
        <w:rPr>
          <w:sz w:val="18"/>
          <w:szCs w:val="18"/>
        </w:rPr>
        <w:t xml:space="preserve"> Azaz ha az illeszkedési kiigazítást alkalmazza a Biztosító az i-dik portfólióra, akkor az i-dik portfólióra az eszközök és kötelezettségek különbségeként kiszámolható a figyelembe vehető szavatolótőke (OF</w:t>
      </w:r>
      <w:r w:rsidRPr="00792442">
        <w:rPr>
          <w:sz w:val="18"/>
          <w:szCs w:val="18"/>
          <w:vertAlign w:val="subscript"/>
        </w:rPr>
        <w:t>i</w:t>
      </w:r>
      <w:r w:rsidRPr="00792442">
        <w:rPr>
          <w:sz w:val="18"/>
          <w:szCs w:val="18"/>
        </w:rPr>
        <w:t>), illetve a portfólió alapvető tőkeszükséglete (BSCR</w:t>
      </w:r>
      <w:r w:rsidRPr="00792442">
        <w:rPr>
          <w:sz w:val="18"/>
          <w:szCs w:val="18"/>
          <w:vertAlign w:val="subscript"/>
        </w:rPr>
        <w:t>i</w:t>
      </w:r>
      <w:r w:rsidRPr="00792442">
        <w:rPr>
          <w:sz w:val="18"/>
          <w:szCs w:val="18"/>
        </w:rPr>
        <w:t>). Ekkor az OF</w:t>
      </w:r>
      <w:r w:rsidRPr="00792442">
        <w:rPr>
          <w:sz w:val="18"/>
          <w:szCs w:val="18"/>
          <w:vertAlign w:val="subscript"/>
        </w:rPr>
        <w:t>i</w:t>
      </w:r>
      <w:r w:rsidRPr="00792442">
        <w:rPr>
          <w:sz w:val="18"/>
          <w:szCs w:val="18"/>
        </w:rPr>
        <w:t xml:space="preserve"> értékének a BSCR</w:t>
      </w:r>
      <w:r w:rsidRPr="00792442">
        <w:rPr>
          <w:sz w:val="18"/>
          <w:szCs w:val="18"/>
          <w:vertAlign w:val="subscript"/>
        </w:rPr>
        <w:t>i</w:t>
      </w:r>
      <w:r w:rsidRPr="00792442">
        <w:rPr>
          <w:sz w:val="18"/>
          <w:szCs w:val="18"/>
        </w:rPr>
        <w:t xml:space="preserve"> feletti részét (OF</w:t>
      </w:r>
      <w:r w:rsidRPr="00792442">
        <w:rPr>
          <w:sz w:val="18"/>
          <w:szCs w:val="18"/>
          <w:vertAlign w:val="subscript"/>
        </w:rPr>
        <w:t>i</w:t>
      </w:r>
      <w:r w:rsidRPr="00792442">
        <w:rPr>
          <w:sz w:val="18"/>
          <w:szCs w:val="18"/>
        </w:rPr>
        <w:t>-BSCR</w:t>
      </w:r>
      <w:r w:rsidRPr="00792442">
        <w:rPr>
          <w:sz w:val="18"/>
          <w:szCs w:val="18"/>
          <w:vertAlign w:val="subscript"/>
        </w:rPr>
        <w:t>i</w:t>
      </w:r>
      <w:r w:rsidRPr="00792442">
        <w:rPr>
          <w:sz w:val="18"/>
          <w:szCs w:val="18"/>
        </w:rPr>
        <w:t>) le kell vonni a Szolvencia II átértékelési tartalékból (reconciliation reserve).</w:t>
      </w:r>
    </w:p>
    <w:p w:rsidR="00792442" w:rsidRPr="00B06B0A" w:rsidRDefault="00792442" w:rsidP="00D51660">
      <w:pPr>
        <w:pStyle w:val="Lbjegyzetszveg"/>
        <w:spacing w:after="0" w:line="240" w:lineRule="auto"/>
        <w:jc w:val="both"/>
      </w:pPr>
    </w:p>
  </w:footnote>
  <w:footnote w:id="7">
    <w:p w:rsidR="00792442" w:rsidRDefault="00792442" w:rsidP="00412A6F">
      <w:pPr>
        <w:pStyle w:val="Lbjegyzetszveg"/>
        <w:spacing w:after="0" w:line="240" w:lineRule="auto"/>
      </w:pPr>
      <w:r>
        <w:rPr>
          <w:rStyle w:val="Lbjegyzet-hivatkozs"/>
        </w:rPr>
        <w:footnoteRef/>
      </w:r>
      <w:r>
        <w:t xml:space="preserve"> </w:t>
      </w:r>
      <w:r w:rsidRPr="00412A6F">
        <w:t>A csökkenő forint hozamkörnyezet ellenére nem tartjuk valószínűnek, hogy a hazai biztosítási piacon ez egy releváns eszköz, de elképzelhető, hogy egyes biztosítóknál annak bizonyul.</w:t>
      </w:r>
    </w:p>
  </w:footnote>
  <w:footnote w:id="8">
    <w:p w:rsidR="00792442" w:rsidRDefault="00792442" w:rsidP="00BD0BFD">
      <w:pPr>
        <w:pStyle w:val="Lbjegyzetszveg"/>
        <w:spacing w:after="0" w:line="240" w:lineRule="auto"/>
        <w:jc w:val="both"/>
      </w:pPr>
      <w:r>
        <w:rPr>
          <w:rStyle w:val="Lbjegyzet-hivatkozs"/>
        </w:rPr>
        <w:footnoteRef/>
      </w:r>
      <w:r>
        <w:t xml:space="preserve"> </w:t>
      </w:r>
      <w:r w:rsidRPr="00BD0BFD">
        <w:t>A csökkenő forint hozamkörnyezet ellenére nem tartjuk valószínűnek, hogy a hazai biztosítási piacon ez egy releváns eszköz, de elképzelhető, hogy egyes biztosítóknál annak bizonyul.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AD"/>
    <w:multiLevelType w:val="hybridMultilevel"/>
    <w:tmpl w:val="BEC415B6"/>
    <w:lvl w:ilvl="0" w:tplc="361A126A">
      <w:start w:val="1"/>
      <w:numFmt w:val="bullet"/>
      <w:lvlText w:val="•"/>
      <w:lvlJc w:val="left"/>
      <w:pPr>
        <w:tabs>
          <w:tab w:val="num" w:pos="720"/>
        </w:tabs>
        <w:ind w:left="720" w:hanging="360"/>
      </w:pPr>
      <w:rPr>
        <w:rFonts w:ascii="Arial" w:hAnsi="Arial" w:hint="default"/>
      </w:rPr>
    </w:lvl>
    <w:lvl w:ilvl="1" w:tplc="EAFEBE58" w:tentative="1">
      <w:start w:val="1"/>
      <w:numFmt w:val="bullet"/>
      <w:lvlText w:val="•"/>
      <w:lvlJc w:val="left"/>
      <w:pPr>
        <w:tabs>
          <w:tab w:val="num" w:pos="1440"/>
        </w:tabs>
        <w:ind w:left="1440" w:hanging="360"/>
      </w:pPr>
      <w:rPr>
        <w:rFonts w:ascii="Arial" w:hAnsi="Arial" w:hint="default"/>
      </w:rPr>
    </w:lvl>
    <w:lvl w:ilvl="2" w:tplc="B7D26CE2">
      <w:start w:val="1"/>
      <w:numFmt w:val="bullet"/>
      <w:lvlText w:val="•"/>
      <w:lvlJc w:val="left"/>
      <w:pPr>
        <w:tabs>
          <w:tab w:val="num" w:pos="2160"/>
        </w:tabs>
        <w:ind w:left="2160" w:hanging="360"/>
      </w:pPr>
      <w:rPr>
        <w:rFonts w:ascii="Arial" w:hAnsi="Arial" w:hint="default"/>
      </w:rPr>
    </w:lvl>
    <w:lvl w:ilvl="3" w:tplc="90F20FAA" w:tentative="1">
      <w:start w:val="1"/>
      <w:numFmt w:val="bullet"/>
      <w:lvlText w:val="•"/>
      <w:lvlJc w:val="left"/>
      <w:pPr>
        <w:tabs>
          <w:tab w:val="num" w:pos="2880"/>
        </w:tabs>
        <w:ind w:left="2880" w:hanging="360"/>
      </w:pPr>
      <w:rPr>
        <w:rFonts w:ascii="Arial" w:hAnsi="Arial" w:hint="default"/>
      </w:rPr>
    </w:lvl>
    <w:lvl w:ilvl="4" w:tplc="4722604E" w:tentative="1">
      <w:start w:val="1"/>
      <w:numFmt w:val="bullet"/>
      <w:lvlText w:val="•"/>
      <w:lvlJc w:val="left"/>
      <w:pPr>
        <w:tabs>
          <w:tab w:val="num" w:pos="3600"/>
        </w:tabs>
        <w:ind w:left="3600" w:hanging="360"/>
      </w:pPr>
      <w:rPr>
        <w:rFonts w:ascii="Arial" w:hAnsi="Arial" w:hint="default"/>
      </w:rPr>
    </w:lvl>
    <w:lvl w:ilvl="5" w:tplc="FDE01EE2" w:tentative="1">
      <w:start w:val="1"/>
      <w:numFmt w:val="bullet"/>
      <w:lvlText w:val="•"/>
      <w:lvlJc w:val="left"/>
      <w:pPr>
        <w:tabs>
          <w:tab w:val="num" w:pos="4320"/>
        </w:tabs>
        <w:ind w:left="4320" w:hanging="360"/>
      </w:pPr>
      <w:rPr>
        <w:rFonts w:ascii="Arial" w:hAnsi="Arial" w:hint="default"/>
      </w:rPr>
    </w:lvl>
    <w:lvl w:ilvl="6" w:tplc="312A739C" w:tentative="1">
      <w:start w:val="1"/>
      <w:numFmt w:val="bullet"/>
      <w:lvlText w:val="•"/>
      <w:lvlJc w:val="left"/>
      <w:pPr>
        <w:tabs>
          <w:tab w:val="num" w:pos="5040"/>
        </w:tabs>
        <w:ind w:left="5040" w:hanging="360"/>
      </w:pPr>
      <w:rPr>
        <w:rFonts w:ascii="Arial" w:hAnsi="Arial" w:hint="default"/>
      </w:rPr>
    </w:lvl>
    <w:lvl w:ilvl="7" w:tplc="C9009D4C" w:tentative="1">
      <w:start w:val="1"/>
      <w:numFmt w:val="bullet"/>
      <w:lvlText w:val="•"/>
      <w:lvlJc w:val="left"/>
      <w:pPr>
        <w:tabs>
          <w:tab w:val="num" w:pos="5760"/>
        </w:tabs>
        <w:ind w:left="5760" w:hanging="360"/>
      </w:pPr>
      <w:rPr>
        <w:rFonts w:ascii="Arial" w:hAnsi="Arial" w:hint="default"/>
      </w:rPr>
    </w:lvl>
    <w:lvl w:ilvl="8" w:tplc="E54E8706" w:tentative="1">
      <w:start w:val="1"/>
      <w:numFmt w:val="bullet"/>
      <w:lvlText w:val="•"/>
      <w:lvlJc w:val="left"/>
      <w:pPr>
        <w:tabs>
          <w:tab w:val="num" w:pos="6480"/>
        </w:tabs>
        <w:ind w:left="6480" w:hanging="360"/>
      </w:pPr>
      <w:rPr>
        <w:rFonts w:ascii="Arial" w:hAnsi="Arial" w:hint="default"/>
      </w:rPr>
    </w:lvl>
  </w:abstractNum>
  <w:abstractNum w:abstractNumId="1">
    <w:nsid w:val="14995B97"/>
    <w:multiLevelType w:val="hybridMultilevel"/>
    <w:tmpl w:val="F5B23808"/>
    <w:lvl w:ilvl="0" w:tplc="9EE07676">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
    <w:nsid w:val="1D882210"/>
    <w:multiLevelType w:val="hybridMultilevel"/>
    <w:tmpl w:val="9C7237BC"/>
    <w:lvl w:ilvl="0" w:tplc="040E0013">
      <w:start w:val="1"/>
      <w:numFmt w:val="upperRoman"/>
      <w:lvlText w:val="%1."/>
      <w:lvlJc w:val="right"/>
      <w:pPr>
        <w:ind w:left="786" w:hanging="360"/>
      </w:pPr>
      <w:rPr>
        <w:rFonts w:hint="default"/>
        <w:b w:val="0"/>
        <w:i w:val="0"/>
        <w:color w:val="auto"/>
        <w:sz w:val="22"/>
        <w:szCs w:val="22"/>
      </w:rPr>
    </w:lvl>
    <w:lvl w:ilvl="1" w:tplc="040E0005">
      <w:start w:val="1"/>
      <w:numFmt w:val="bullet"/>
      <w:lvlText w:val=""/>
      <w:lvlJc w:val="left"/>
      <w:pPr>
        <w:ind w:left="1440" w:hanging="360"/>
      </w:pPr>
      <w:rPr>
        <w:rFonts w:ascii="Wingdings" w:hAnsi="Wingdings" w:hint="default"/>
      </w:rPr>
    </w:lvl>
    <w:lvl w:ilvl="2" w:tplc="040E0011">
      <w:start w:val="1"/>
      <w:numFmt w:val="decimal"/>
      <w:lvlText w:val="%3)"/>
      <w:lvlJc w:val="left"/>
      <w:pPr>
        <w:ind w:left="748"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2BD0556"/>
    <w:multiLevelType w:val="hybridMultilevel"/>
    <w:tmpl w:val="DC0EA158"/>
    <w:lvl w:ilvl="0" w:tplc="040E0001">
      <w:start w:val="1"/>
      <w:numFmt w:val="bullet"/>
      <w:lvlText w:val=""/>
      <w:lvlJc w:val="left"/>
      <w:pPr>
        <w:ind w:left="1145" w:hanging="360"/>
      </w:pPr>
      <w:rPr>
        <w:rFonts w:ascii="Symbol" w:hAnsi="Symbol" w:hint="default"/>
      </w:rPr>
    </w:lvl>
    <w:lvl w:ilvl="1" w:tplc="040E0003">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4">
    <w:nsid w:val="44761C30"/>
    <w:multiLevelType w:val="hybridMultilevel"/>
    <w:tmpl w:val="422AC238"/>
    <w:lvl w:ilvl="0" w:tplc="85A21414">
      <w:start w:val="1"/>
      <w:numFmt w:val="bullet"/>
      <w:lvlText w:val="•"/>
      <w:lvlJc w:val="left"/>
      <w:pPr>
        <w:tabs>
          <w:tab w:val="num" w:pos="720"/>
        </w:tabs>
        <w:ind w:left="720" w:hanging="360"/>
      </w:pPr>
      <w:rPr>
        <w:rFonts w:ascii="Arial" w:hAnsi="Arial" w:hint="default"/>
      </w:rPr>
    </w:lvl>
    <w:lvl w:ilvl="1" w:tplc="A4B8CE60" w:tentative="1">
      <w:start w:val="1"/>
      <w:numFmt w:val="bullet"/>
      <w:lvlText w:val="•"/>
      <w:lvlJc w:val="left"/>
      <w:pPr>
        <w:tabs>
          <w:tab w:val="num" w:pos="1440"/>
        </w:tabs>
        <w:ind w:left="1440" w:hanging="360"/>
      </w:pPr>
      <w:rPr>
        <w:rFonts w:ascii="Arial" w:hAnsi="Arial" w:hint="default"/>
      </w:rPr>
    </w:lvl>
    <w:lvl w:ilvl="2" w:tplc="BCB28FB0">
      <w:start w:val="1"/>
      <w:numFmt w:val="bullet"/>
      <w:lvlText w:val="•"/>
      <w:lvlJc w:val="left"/>
      <w:pPr>
        <w:tabs>
          <w:tab w:val="num" w:pos="2160"/>
        </w:tabs>
        <w:ind w:left="2160" w:hanging="360"/>
      </w:pPr>
      <w:rPr>
        <w:rFonts w:ascii="Arial" w:hAnsi="Arial" w:hint="default"/>
      </w:rPr>
    </w:lvl>
    <w:lvl w:ilvl="3" w:tplc="FAA893CC">
      <w:start w:val="2936"/>
      <w:numFmt w:val="bullet"/>
      <w:lvlText w:val="•"/>
      <w:lvlJc w:val="left"/>
      <w:pPr>
        <w:tabs>
          <w:tab w:val="num" w:pos="2880"/>
        </w:tabs>
        <w:ind w:left="2880" w:hanging="360"/>
      </w:pPr>
      <w:rPr>
        <w:rFonts w:ascii="Arial" w:hAnsi="Arial" w:hint="default"/>
      </w:rPr>
    </w:lvl>
    <w:lvl w:ilvl="4" w:tplc="9580D650" w:tentative="1">
      <w:start w:val="1"/>
      <w:numFmt w:val="bullet"/>
      <w:lvlText w:val="•"/>
      <w:lvlJc w:val="left"/>
      <w:pPr>
        <w:tabs>
          <w:tab w:val="num" w:pos="3600"/>
        </w:tabs>
        <w:ind w:left="3600" w:hanging="360"/>
      </w:pPr>
      <w:rPr>
        <w:rFonts w:ascii="Arial" w:hAnsi="Arial" w:hint="default"/>
      </w:rPr>
    </w:lvl>
    <w:lvl w:ilvl="5" w:tplc="31A4E5AC" w:tentative="1">
      <w:start w:val="1"/>
      <w:numFmt w:val="bullet"/>
      <w:lvlText w:val="•"/>
      <w:lvlJc w:val="left"/>
      <w:pPr>
        <w:tabs>
          <w:tab w:val="num" w:pos="4320"/>
        </w:tabs>
        <w:ind w:left="4320" w:hanging="360"/>
      </w:pPr>
      <w:rPr>
        <w:rFonts w:ascii="Arial" w:hAnsi="Arial" w:hint="default"/>
      </w:rPr>
    </w:lvl>
    <w:lvl w:ilvl="6" w:tplc="9C9228FC" w:tentative="1">
      <w:start w:val="1"/>
      <w:numFmt w:val="bullet"/>
      <w:lvlText w:val="•"/>
      <w:lvlJc w:val="left"/>
      <w:pPr>
        <w:tabs>
          <w:tab w:val="num" w:pos="5040"/>
        </w:tabs>
        <w:ind w:left="5040" w:hanging="360"/>
      </w:pPr>
      <w:rPr>
        <w:rFonts w:ascii="Arial" w:hAnsi="Arial" w:hint="default"/>
      </w:rPr>
    </w:lvl>
    <w:lvl w:ilvl="7" w:tplc="918E5EDC" w:tentative="1">
      <w:start w:val="1"/>
      <w:numFmt w:val="bullet"/>
      <w:lvlText w:val="•"/>
      <w:lvlJc w:val="left"/>
      <w:pPr>
        <w:tabs>
          <w:tab w:val="num" w:pos="5760"/>
        </w:tabs>
        <w:ind w:left="5760" w:hanging="360"/>
      </w:pPr>
      <w:rPr>
        <w:rFonts w:ascii="Arial" w:hAnsi="Arial" w:hint="default"/>
      </w:rPr>
    </w:lvl>
    <w:lvl w:ilvl="8" w:tplc="759A10EA" w:tentative="1">
      <w:start w:val="1"/>
      <w:numFmt w:val="bullet"/>
      <w:lvlText w:val="•"/>
      <w:lvlJc w:val="left"/>
      <w:pPr>
        <w:tabs>
          <w:tab w:val="num" w:pos="6480"/>
        </w:tabs>
        <w:ind w:left="6480" w:hanging="360"/>
      </w:pPr>
      <w:rPr>
        <w:rFonts w:ascii="Arial" w:hAnsi="Arial" w:hint="default"/>
      </w:rPr>
    </w:lvl>
  </w:abstractNum>
  <w:abstractNum w:abstractNumId="5">
    <w:nsid w:val="4B2E7B2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44810AB"/>
    <w:multiLevelType w:val="hybridMultilevel"/>
    <w:tmpl w:val="4C6409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7581810"/>
    <w:multiLevelType w:val="hybridMultilevel"/>
    <w:tmpl w:val="C5CA58E0"/>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8">
    <w:nsid w:val="5935069E"/>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E4720F6"/>
    <w:multiLevelType w:val="hybridMultilevel"/>
    <w:tmpl w:val="3C561744"/>
    <w:lvl w:ilvl="0" w:tplc="040E0005">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0">
    <w:nsid w:val="71A34F66"/>
    <w:multiLevelType w:val="hybridMultilevel"/>
    <w:tmpl w:val="89282EAA"/>
    <w:lvl w:ilvl="0" w:tplc="DD3240DC">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94C2264"/>
    <w:multiLevelType w:val="hybridMultilevel"/>
    <w:tmpl w:val="B71C6560"/>
    <w:lvl w:ilvl="0" w:tplc="040E0001">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num w:numId="1">
    <w:abstractNumId w:val="2"/>
  </w:num>
  <w:num w:numId="2">
    <w:abstractNumId w:val="9"/>
  </w:num>
  <w:num w:numId="3">
    <w:abstractNumId w:val="6"/>
  </w:num>
  <w:num w:numId="4">
    <w:abstractNumId w:val="10"/>
  </w:num>
  <w:num w:numId="5">
    <w:abstractNumId w:val="3"/>
  </w:num>
  <w:num w:numId="6">
    <w:abstractNumId w:val="4"/>
  </w:num>
  <w:num w:numId="7">
    <w:abstractNumId w:val="0"/>
  </w:num>
  <w:num w:numId="8">
    <w:abstractNumId w:val="5"/>
  </w:num>
  <w:num w:numId="9">
    <w:abstractNumId w:val="8"/>
  </w:num>
  <w:num w:numId="10">
    <w:abstractNumId w:val="7"/>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98"/>
    <w:rsid w:val="00001EFE"/>
    <w:rsid w:val="000114B5"/>
    <w:rsid w:val="00012BD5"/>
    <w:rsid w:val="000266B4"/>
    <w:rsid w:val="00035436"/>
    <w:rsid w:val="000365C0"/>
    <w:rsid w:val="00036866"/>
    <w:rsid w:val="00037697"/>
    <w:rsid w:val="0004087C"/>
    <w:rsid w:val="00042888"/>
    <w:rsid w:val="00043420"/>
    <w:rsid w:val="00045095"/>
    <w:rsid w:val="000452F2"/>
    <w:rsid w:val="00045F68"/>
    <w:rsid w:val="000462C6"/>
    <w:rsid w:val="00047308"/>
    <w:rsid w:val="0004745B"/>
    <w:rsid w:val="0005410B"/>
    <w:rsid w:val="0005551C"/>
    <w:rsid w:val="000566FF"/>
    <w:rsid w:val="00060644"/>
    <w:rsid w:val="00065F50"/>
    <w:rsid w:val="00066F70"/>
    <w:rsid w:val="000708DB"/>
    <w:rsid w:val="000716B7"/>
    <w:rsid w:val="00072055"/>
    <w:rsid w:val="000747F8"/>
    <w:rsid w:val="0007515C"/>
    <w:rsid w:val="0007559B"/>
    <w:rsid w:val="0007602B"/>
    <w:rsid w:val="00076941"/>
    <w:rsid w:val="00077570"/>
    <w:rsid w:val="00081092"/>
    <w:rsid w:val="00083100"/>
    <w:rsid w:val="000867C3"/>
    <w:rsid w:val="00087E0D"/>
    <w:rsid w:val="000922C0"/>
    <w:rsid w:val="00095C33"/>
    <w:rsid w:val="000A162B"/>
    <w:rsid w:val="000A241B"/>
    <w:rsid w:val="000B74DF"/>
    <w:rsid w:val="000C0452"/>
    <w:rsid w:val="000C66EF"/>
    <w:rsid w:val="000D0C89"/>
    <w:rsid w:val="000D25F1"/>
    <w:rsid w:val="000D47CB"/>
    <w:rsid w:val="000D6ECB"/>
    <w:rsid w:val="000D70C9"/>
    <w:rsid w:val="000E057B"/>
    <w:rsid w:val="000E1165"/>
    <w:rsid w:val="000E28E7"/>
    <w:rsid w:val="000E3F1E"/>
    <w:rsid w:val="000E6A12"/>
    <w:rsid w:val="000F17A3"/>
    <w:rsid w:val="000F5652"/>
    <w:rsid w:val="00104A9F"/>
    <w:rsid w:val="00104F70"/>
    <w:rsid w:val="00117FD0"/>
    <w:rsid w:val="001234BD"/>
    <w:rsid w:val="001261D4"/>
    <w:rsid w:val="00126C6A"/>
    <w:rsid w:val="00130CC5"/>
    <w:rsid w:val="0013214A"/>
    <w:rsid w:val="00133BF6"/>
    <w:rsid w:val="001356F5"/>
    <w:rsid w:val="00136CDF"/>
    <w:rsid w:val="00136F38"/>
    <w:rsid w:val="00142BC1"/>
    <w:rsid w:val="00145773"/>
    <w:rsid w:val="00145968"/>
    <w:rsid w:val="001524E5"/>
    <w:rsid w:val="00157757"/>
    <w:rsid w:val="00161348"/>
    <w:rsid w:val="00164FE1"/>
    <w:rsid w:val="00172CCF"/>
    <w:rsid w:val="00172DBC"/>
    <w:rsid w:val="0018000E"/>
    <w:rsid w:val="00182DF0"/>
    <w:rsid w:val="00187557"/>
    <w:rsid w:val="001914A3"/>
    <w:rsid w:val="001919D9"/>
    <w:rsid w:val="00191C9C"/>
    <w:rsid w:val="0019326B"/>
    <w:rsid w:val="00193F50"/>
    <w:rsid w:val="00195ABC"/>
    <w:rsid w:val="00197B34"/>
    <w:rsid w:val="001A18F6"/>
    <w:rsid w:val="001A6916"/>
    <w:rsid w:val="001A78A6"/>
    <w:rsid w:val="001B2BD0"/>
    <w:rsid w:val="001B4534"/>
    <w:rsid w:val="001B5D50"/>
    <w:rsid w:val="001C3198"/>
    <w:rsid w:val="001C7825"/>
    <w:rsid w:val="001C7DFD"/>
    <w:rsid w:val="001D27EC"/>
    <w:rsid w:val="001D3CFF"/>
    <w:rsid w:val="001E4B27"/>
    <w:rsid w:val="001F4202"/>
    <w:rsid w:val="002019BA"/>
    <w:rsid w:val="00212884"/>
    <w:rsid w:val="00213BB5"/>
    <w:rsid w:val="00216231"/>
    <w:rsid w:val="00220D50"/>
    <w:rsid w:val="00222619"/>
    <w:rsid w:val="002255F7"/>
    <w:rsid w:val="002272B3"/>
    <w:rsid w:val="00233EF8"/>
    <w:rsid w:val="00235D10"/>
    <w:rsid w:val="00242C24"/>
    <w:rsid w:val="002475ED"/>
    <w:rsid w:val="002534DE"/>
    <w:rsid w:val="00253F91"/>
    <w:rsid w:val="0025406A"/>
    <w:rsid w:val="0025464A"/>
    <w:rsid w:val="00256CEA"/>
    <w:rsid w:val="00270BFE"/>
    <w:rsid w:val="00273F90"/>
    <w:rsid w:val="00276F55"/>
    <w:rsid w:val="00283D2B"/>
    <w:rsid w:val="00286482"/>
    <w:rsid w:val="00290801"/>
    <w:rsid w:val="00293DD7"/>
    <w:rsid w:val="00295832"/>
    <w:rsid w:val="002969F5"/>
    <w:rsid w:val="002A02F4"/>
    <w:rsid w:val="002A1B46"/>
    <w:rsid w:val="002A1FFD"/>
    <w:rsid w:val="002A530A"/>
    <w:rsid w:val="002A738E"/>
    <w:rsid w:val="002B5341"/>
    <w:rsid w:val="002C503B"/>
    <w:rsid w:val="002D2049"/>
    <w:rsid w:val="002D4EB1"/>
    <w:rsid w:val="002D684A"/>
    <w:rsid w:val="002E03C2"/>
    <w:rsid w:val="002E6FAC"/>
    <w:rsid w:val="002E7BF1"/>
    <w:rsid w:val="002F0E36"/>
    <w:rsid w:val="002F0E45"/>
    <w:rsid w:val="002F2054"/>
    <w:rsid w:val="002F6696"/>
    <w:rsid w:val="002F7294"/>
    <w:rsid w:val="00306C10"/>
    <w:rsid w:val="0031015B"/>
    <w:rsid w:val="00310C34"/>
    <w:rsid w:val="00315A4A"/>
    <w:rsid w:val="00316120"/>
    <w:rsid w:val="00317E7B"/>
    <w:rsid w:val="00322A21"/>
    <w:rsid w:val="00326151"/>
    <w:rsid w:val="00330CD0"/>
    <w:rsid w:val="00333159"/>
    <w:rsid w:val="00341AFF"/>
    <w:rsid w:val="00342894"/>
    <w:rsid w:val="00345D70"/>
    <w:rsid w:val="00346BA9"/>
    <w:rsid w:val="003478AF"/>
    <w:rsid w:val="003532BF"/>
    <w:rsid w:val="003535BA"/>
    <w:rsid w:val="003558A5"/>
    <w:rsid w:val="00360610"/>
    <w:rsid w:val="003635F3"/>
    <w:rsid w:val="003637A8"/>
    <w:rsid w:val="003677D1"/>
    <w:rsid w:val="00375F44"/>
    <w:rsid w:val="00376B9E"/>
    <w:rsid w:val="00377DEE"/>
    <w:rsid w:val="00390D5B"/>
    <w:rsid w:val="00393BEE"/>
    <w:rsid w:val="0039527D"/>
    <w:rsid w:val="00396827"/>
    <w:rsid w:val="0039727E"/>
    <w:rsid w:val="00397869"/>
    <w:rsid w:val="003A3406"/>
    <w:rsid w:val="003B0003"/>
    <w:rsid w:val="003B0112"/>
    <w:rsid w:val="003B1B8D"/>
    <w:rsid w:val="003B2F0D"/>
    <w:rsid w:val="003B4AAF"/>
    <w:rsid w:val="003B5B81"/>
    <w:rsid w:val="003B6884"/>
    <w:rsid w:val="003B6B63"/>
    <w:rsid w:val="003C05D1"/>
    <w:rsid w:val="003C0743"/>
    <w:rsid w:val="003C3495"/>
    <w:rsid w:val="003C6FD9"/>
    <w:rsid w:val="003D0C9C"/>
    <w:rsid w:val="003D3415"/>
    <w:rsid w:val="003D50AF"/>
    <w:rsid w:val="003E0E9C"/>
    <w:rsid w:val="003E1F48"/>
    <w:rsid w:val="003E2F8D"/>
    <w:rsid w:val="003E41F6"/>
    <w:rsid w:val="003E5FC4"/>
    <w:rsid w:val="003E5FFD"/>
    <w:rsid w:val="003E623B"/>
    <w:rsid w:val="003E62F6"/>
    <w:rsid w:val="003E7AD0"/>
    <w:rsid w:val="003F1C53"/>
    <w:rsid w:val="004015BF"/>
    <w:rsid w:val="00403683"/>
    <w:rsid w:val="004043B3"/>
    <w:rsid w:val="004045E3"/>
    <w:rsid w:val="004104B5"/>
    <w:rsid w:val="00411394"/>
    <w:rsid w:val="00412218"/>
    <w:rsid w:val="0041282C"/>
    <w:rsid w:val="00412A6F"/>
    <w:rsid w:val="00416395"/>
    <w:rsid w:val="00421A75"/>
    <w:rsid w:val="00421D5C"/>
    <w:rsid w:val="00425796"/>
    <w:rsid w:val="0042618D"/>
    <w:rsid w:val="004339DA"/>
    <w:rsid w:val="004350C6"/>
    <w:rsid w:val="0043559D"/>
    <w:rsid w:val="00440958"/>
    <w:rsid w:val="00442C67"/>
    <w:rsid w:val="00442DB4"/>
    <w:rsid w:val="00450038"/>
    <w:rsid w:val="00451901"/>
    <w:rsid w:val="00453B96"/>
    <w:rsid w:val="00453D7E"/>
    <w:rsid w:val="00453EEF"/>
    <w:rsid w:val="00455D96"/>
    <w:rsid w:val="00457D4B"/>
    <w:rsid w:val="00462BB2"/>
    <w:rsid w:val="00464D48"/>
    <w:rsid w:val="00471CFF"/>
    <w:rsid w:val="00472FBD"/>
    <w:rsid w:val="00473133"/>
    <w:rsid w:val="0047584E"/>
    <w:rsid w:val="0047584F"/>
    <w:rsid w:val="00475EAA"/>
    <w:rsid w:val="00475EB1"/>
    <w:rsid w:val="004768CD"/>
    <w:rsid w:val="00476BCF"/>
    <w:rsid w:val="00476F1A"/>
    <w:rsid w:val="004778E4"/>
    <w:rsid w:val="00484E09"/>
    <w:rsid w:val="00485279"/>
    <w:rsid w:val="00487DCD"/>
    <w:rsid w:val="00490B16"/>
    <w:rsid w:val="004913EA"/>
    <w:rsid w:val="004918D7"/>
    <w:rsid w:val="0049459B"/>
    <w:rsid w:val="00497886"/>
    <w:rsid w:val="00497B78"/>
    <w:rsid w:val="004A1419"/>
    <w:rsid w:val="004A1425"/>
    <w:rsid w:val="004A2913"/>
    <w:rsid w:val="004A327B"/>
    <w:rsid w:val="004A47BA"/>
    <w:rsid w:val="004A511A"/>
    <w:rsid w:val="004B6D6A"/>
    <w:rsid w:val="004C5C80"/>
    <w:rsid w:val="004C69C0"/>
    <w:rsid w:val="004D27A2"/>
    <w:rsid w:val="004D2E7C"/>
    <w:rsid w:val="004D6F69"/>
    <w:rsid w:val="004D73F5"/>
    <w:rsid w:val="004F031E"/>
    <w:rsid w:val="004F0A86"/>
    <w:rsid w:val="004F381D"/>
    <w:rsid w:val="004F3FD8"/>
    <w:rsid w:val="004F41AB"/>
    <w:rsid w:val="004F6BFD"/>
    <w:rsid w:val="00501B98"/>
    <w:rsid w:val="00503416"/>
    <w:rsid w:val="005048ED"/>
    <w:rsid w:val="00510621"/>
    <w:rsid w:val="00513926"/>
    <w:rsid w:val="00515530"/>
    <w:rsid w:val="00515A29"/>
    <w:rsid w:val="0051666B"/>
    <w:rsid w:val="005178E2"/>
    <w:rsid w:val="00520644"/>
    <w:rsid w:val="0052098F"/>
    <w:rsid w:val="00521792"/>
    <w:rsid w:val="00521997"/>
    <w:rsid w:val="00526DA7"/>
    <w:rsid w:val="005271AD"/>
    <w:rsid w:val="00530943"/>
    <w:rsid w:val="00530CF2"/>
    <w:rsid w:val="00537125"/>
    <w:rsid w:val="00544CF1"/>
    <w:rsid w:val="005509C5"/>
    <w:rsid w:val="00556EDB"/>
    <w:rsid w:val="0056343F"/>
    <w:rsid w:val="00564FF0"/>
    <w:rsid w:val="00566DE9"/>
    <w:rsid w:val="0057065D"/>
    <w:rsid w:val="005725F1"/>
    <w:rsid w:val="00573221"/>
    <w:rsid w:val="00574B73"/>
    <w:rsid w:val="00582992"/>
    <w:rsid w:val="00584F31"/>
    <w:rsid w:val="00591FF3"/>
    <w:rsid w:val="00592CEF"/>
    <w:rsid w:val="005936F3"/>
    <w:rsid w:val="00597D32"/>
    <w:rsid w:val="005A4DEE"/>
    <w:rsid w:val="005B33BA"/>
    <w:rsid w:val="005B406E"/>
    <w:rsid w:val="005B7513"/>
    <w:rsid w:val="005D4FF4"/>
    <w:rsid w:val="005D7B6C"/>
    <w:rsid w:val="005E1650"/>
    <w:rsid w:val="005E22E4"/>
    <w:rsid w:val="005E43F7"/>
    <w:rsid w:val="005E4FAE"/>
    <w:rsid w:val="005E75C3"/>
    <w:rsid w:val="005E7C53"/>
    <w:rsid w:val="005F379E"/>
    <w:rsid w:val="005F7F30"/>
    <w:rsid w:val="00606853"/>
    <w:rsid w:val="00610339"/>
    <w:rsid w:val="0061182C"/>
    <w:rsid w:val="006130C1"/>
    <w:rsid w:val="00613D34"/>
    <w:rsid w:val="00622454"/>
    <w:rsid w:val="006261CB"/>
    <w:rsid w:val="00626E76"/>
    <w:rsid w:val="00630169"/>
    <w:rsid w:val="0063178F"/>
    <w:rsid w:val="00631BFB"/>
    <w:rsid w:val="00633279"/>
    <w:rsid w:val="00634D68"/>
    <w:rsid w:val="0063570E"/>
    <w:rsid w:val="0063689D"/>
    <w:rsid w:val="006408A0"/>
    <w:rsid w:val="00642EAC"/>
    <w:rsid w:val="00644806"/>
    <w:rsid w:val="0064766F"/>
    <w:rsid w:val="0065254F"/>
    <w:rsid w:val="00656D20"/>
    <w:rsid w:val="00663C86"/>
    <w:rsid w:val="00671DB0"/>
    <w:rsid w:val="006721C4"/>
    <w:rsid w:val="0067308C"/>
    <w:rsid w:val="00673B2C"/>
    <w:rsid w:val="00673F93"/>
    <w:rsid w:val="00681E89"/>
    <w:rsid w:val="006864DF"/>
    <w:rsid w:val="0068658A"/>
    <w:rsid w:val="006914E1"/>
    <w:rsid w:val="00692107"/>
    <w:rsid w:val="00696038"/>
    <w:rsid w:val="006A1523"/>
    <w:rsid w:val="006A1EB1"/>
    <w:rsid w:val="006A242A"/>
    <w:rsid w:val="006A3529"/>
    <w:rsid w:val="006A6041"/>
    <w:rsid w:val="006B2691"/>
    <w:rsid w:val="006C2357"/>
    <w:rsid w:val="006C3B34"/>
    <w:rsid w:val="006C6AFB"/>
    <w:rsid w:val="006D199A"/>
    <w:rsid w:val="006D2657"/>
    <w:rsid w:val="006D3008"/>
    <w:rsid w:val="006D348F"/>
    <w:rsid w:val="006D421A"/>
    <w:rsid w:val="006D4F7A"/>
    <w:rsid w:val="006D5F06"/>
    <w:rsid w:val="006D7539"/>
    <w:rsid w:val="006E04CD"/>
    <w:rsid w:val="006E0D2B"/>
    <w:rsid w:val="006E3B90"/>
    <w:rsid w:val="006E4002"/>
    <w:rsid w:val="006E710D"/>
    <w:rsid w:val="006F0A4C"/>
    <w:rsid w:val="006F4275"/>
    <w:rsid w:val="006F43FD"/>
    <w:rsid w:val="006F65F7"/>
    <w:rsid w:val="007011EC"/>
    <w:rsid w:val="007051EF"/>
    <w:rsid w:val="00712DBC"/>
    <w:rsid w:val="00712E9B"/>
    <w:rsid w:val="00713E9F"/>
    <w:rsid w:val="007143FA"/>
    <w:rsid w:val="00716698"/>
    <w:rsid w:val="00727034"/>
    <w:rsid w:val="0072761E"/>
    <w:rsid w:val="00730F4C"/>
    <w:rsid w:val="0073260A"/>
    <w:rsid w:val="007428B9"/>
    <w:rsid w:val="00742B6C"/>
    <w:rsid w:val="00745352"/>
    <w:rsid w:val="00750B2F"/>
    <w:rsid w:val="00752E98"/>
    <w:rsid w:val="0075323E"/>
    <w:rsid w:val="007547DF"/>
    <w:rsid w:val="0075760E"/>
    <w:rsid w:val="00760B07"/>
    <w:rsid w:val="00763F4E"/>
    <w:rsid w:val="00766F80"/>
    <w:rsid w:val="00767994"/>
    <w:rsid w:val="007704EC"/>
    <w:rsid w:val="00771FF4"/>
    <w:rsid w:val="007743C8"/>
    <w:rsid w:val="007749C9"/>
    <w:rsid w:val="00775968"/>
    <w:rsid w:val="007779B5"/>
    <w:rsid w:val="007801D5"/>
    <w:rsid w:val="0078395A"/>
    <w:rsid w:val="007869D5"/>
    <w:rsid w:val="0078736A"/>
    <w:rsid w:val="00790B00"/>
    <w:rsid w:val="00792442"/>
    <w:rsid w:val="0079336F"/>
    <w:rsid w:val="007941E4"/>
    <w:rsid w:val="007A0FC4"/>
    <w:rsid w:val="007A2503"/>
    <w:rsid w:val="007A40A7"/>
    <w:rsid w:val="007A4146"/>
    <w:rsid w:val="007B2E52"/>
    <w:rsid w:val="007B429A"/>
    <w:rsid w:val="007B58E6"/>
    <w:rsid w:val="007B66E3"/>
    <w:rsid w:val="007B67BB"/>
    <w:rsid w:val="007C2FC9"/>
    <w:rsid w:val="007C3E9A"/>
    <w:rsid w:val="007C60E9"/>
    <w:rsid w:val="007C6F6F"/>
    <w:rsid w:val="007C7BE7"/>
    <w:rsid w:val="007D3FF9"/>
    <w:rsid w:val="007D473B"/>
    <w:rsid w:val="007D67BA"/>
    <w:rsid w:val="007E0134"/>
    <w:rsid w:val="007E202D"/>
    <w:rsid w:val="007E24E0"/>
    <w:rsid w:val="007E2B69"/>
    <w:rsid w:val="007E6A5A"/>
    <w:rsid w:val="007F4051"/>
    <w:rsid w:val="0080006E"/>
    <w:rsid w:val="008018B6"/>
    <w:rsid w:val="00804208"/>
    <w:rsid w:val="0080529F"/>
    <w:rsid w:val="00807364"/>
    <w:rsid w:val="008166D7"/>
    <w:rsid w:val="00822D01"/>
    <w:rsid w:val="008308FC"/>
    <w:rsid w:val="00831990"/>
    <w:rsid w:val="00832755"/>
    <w:rsid w:val="00834B67"/>
    <w:rsid w:val="00841032"/>
    <w:rsid w:val="00845AFC"/>
    <w:rsid w:val="0085070C"/>
    <w:rsid w:val="00850C52"/>
    <w:rsid w:val="00850F5F"/>
    <w:rsid w:val="00851EA6"/>
    <w:rsid w:val="008531CD"/>
    <w:rsid w:val="00856A49"/>
    <w:rsid w:val="00871E80"/>
    <w:rsid w:val="008724ED"/>
    <w:rsid w:val="008741F2"/>
    <w:rsid w:val="008762C7"/>
    <w:rsid w:val="008819C3"/>
    <w:rsid w:val="00881A67"/>
    <w:rsid w:val="0088360E"/>
    <w:rsid w:val="00887136"/>
    <w:rsid w:val="00890843"/>
    <w:rsid w:val="00893238"/>
    <w:rsid w:val="00894482"/>
    <w:rsid w:val="00896C30"/>
    <w:rsid w:val="008972B0"/>
    <w:rsid w:val="00897A90"/>
    <w:rsid w:val="008A2031"/>
    <w:rsid w:val="008A216D"/>
    <w:rsid w:val="008A27ED"/>
    <w:rsid w:val="008A485F"/>
    <w:rsid w:val="008B001C"/>
    <w:rsid w:val="008B2695"/>
    <w:rsid w:val="008B576F"/>
    <w:rsid w:val="008C1A3B"/>
    <w:rsid w:val="008C22C3"/>
    <w:rsid w:val="008C2B99"/>
    <w:rsid w:val="008C36D0"/>
    <w:rsid w:val="008C426C"/>
    <w:rsid w:val="008C563C"/>
    <w:rsid w:val="008C5C00"/>
    <w:rsid w:val="008C7D50"/>
    <w:rsid w:val="008D120D"/>
    <w:rsid w:val="008D17B8"/>
    <w:rsid w:val="008D2118"/>
    <w:rsid w:val="008E5DFB"/>
    <w:rsid w:val="008E6146"/>
    <w:rsid w:val="008E65D5"/>
    <w:rsid w:val="008E6995"/>
    <w:rsid w:val="008E7277"/>
    <w:rsid w:val="008E7734"/>
    <w:rsid w:val="008F02A7"/>
    <w:rsid w:val="00902499"/>
    <w:rsid w:val="009033A5"/>
    <w:rsid w:val="00906D45"/>
    <w:rsid w:val="00907832"/>
    <w:rsid w:val="0091273C"/>
    <w:rsid w:val="00914CAF"/>
    <w:rsid w:val="00915075"/>
    <w:rsid w:val="00916418"/>
    <w:rsid w:val="009205CA"/>
    <w:rsid w:val="00923472"/>
    <w:rsid w:val="009263F8"/>
    <w:rsid w:val="00926493"/>
    <w:rsid w:val="00931579"/>
    <w:rsid w:val="00937E6A"/>
    <w:rsid w:val="00940FB6"/>
    <w:rsid w:val="009422A2"/>
    <w:rsid w:val="009425F2"/>
    <w:rsid w:val="00943AE8"/>
    <w:rsid w:val="00943C71"/>
    <w:rsid w:val="009444B5"/>
    <w:rsid w:val="0095036F"/>
    <w:rsid w:val="00951964"/>
    <w:rsid w:val="00951FE6"/>
    <w:rsid w:val="0096635B"/>
    <w:rsid w:val="009667DA"/>
    <w:rsid w:val="009672F6"/>
    <w:rsid w:val="009675C4"/>
    <w:rsid w:val="009675D5"/>
    <w:rsid w:val="0097141B"/>
    <w:rsid w:val="00972D63"/>
    <w:rsid w:val="0097551A"/>
    <w:rsid w:val="00980A6D"/>
    <w:rsid w:val="009818D5"/>
    <w:rsid w:val="00984183"/>
    <w:rsid w:val="009846EF"/>
    <w:rsid w:val="00993B45"/>
    <w:rsid w:val="00994CAD"/>
    <w:rsid w:val="009969B5"/>
    <w:rsid w:val="009A36BA"/>
    <w:rsid w:val="009A3FE7"/>
    <w:rsid w:val="009A5191"/>
    <w:rsid w:val="009B1B02"/>
    <w:rsid w:val="009B28C1"/>
    <w:rsid w:val="009B384F"/>
    <w:rsid w:val="009B3DCE"/>
    <w:rsid w:val="009B52CC"/>
    <w:rsid w:val="009C567B"/>
    <w:rsid w:val="009C5A2C"/>
    <w:rsid w:val="009D216A"/>
    <w:rsid w:val="009E2625"/>
    <w:rsid w:val="009E48BA"/>
    <w:rsid w:val="009E4EF4"/>
    <w:rsid w:val="009E5656"/>
    <w:rsid w:val="009E72ED"/>
    <w:rsid w:val="009F55E8"/>
    <w:rsid w:val="00A029F8"/>
    <w:rsid w:val="00A030B6"/>
    <w:rsid w:val="00A04922"/>
    <w:rsid w:val="00A0671B"/>
    <w:rsid w:val="00A06D62"/>
    <w:rsid w:val="00A10274"/>
    <w:rsid w:val="00A123A8"/>
    <w:rsid w:val="00A12DD0"/>
    <w:rsid w:val="00A1759F"/>
    <w:rsid w:val="00A25B11"/>
    <w:rsid w:val="00A33B12"/>
    <w:rsid w:val="00A35248"/>
    <w:rsid w:val="00A3623D"/>
    <w:rsid w:val="00A36682"/>
    <w:rsid w:val="00A37A2E"/>
    <w:rsid w:val="00A4012F"/>
    <w:rsid w:val="00A42388"/>
    <w:rsid w:val="00A4454A"/>
    <w:rsid w:val="00A4677B"/>
    <w:rsid w:val="00A51BA4"/>
    <w:rsid w:val="00A52D9F"/>
    <w:rsid w:val="00A54F41"/>
    <w:rsid w:val="00A55CCE"/>
    <w:rsid w:val="00A5614D"/>
    <w:rsid w:val="00A57365"/>
    <w:rsid w:val="00A6146A"/>
    <w:rsid w:val="00A616CA"/>
    <w:rsid w:val="00A62FCA"/>
    <w:rsid w:val="00A6654C"/>
    <w:rsid w:val="00A66610"/>
    <w:rsid w:val="00A72418"/>
    <w:rsid w:val="00A74985"/>
    <w:rsid w:val="00A75932"/>
    <w:rsid w:val="00A8622F"/>
    <w:rsid w:val="00A86566"/>
    <w:rsid w:val="00A87C5C"/>
    <w:rsid w:val="00A9142F"/>
    <w:rsid w:val="00A94292"/>
    <w:rsid w:val="00A96F6B"/>
    <w:rsid w:val="00AA3283"/>
    <w:rsid w:val="00AA47B6"/>
    <w:rsid w:val="00AA50E8"/>
    <w:rsid w:val="00AB1A1C"/>
    <w:rsid w:val="00AB2559"/>
    <w:rsid w:val="00AB555D"/>
    <w:rsid w:val="00AB7A78"/>
    <w:rsid w:val="00AC01B6"/>
    <w:rsid w:val="00AC1EB3"/>
    <w:rsid w:val="00AC75CC"/>
    <w:rsid w:val="00AD0286"/>
    <w:rsid w:val="00AD232D"/>
    <w:rsid w:val="00AD59F0"/>
    <w:rsid w:val="00AF219E"/>
    <w:rsid w:val="00AF22F4"/>
    <w:rsid w:val="00AF5CAC"/>
    <w:rsid w:val="00B00F5D"/>
    <w:rsid w:val="00B0373D"/>
    <w:rsid w:val="00B03A61"/>
    <w:rsid w:val="00B06B0A"/>
    <w:rsid w:val="00B06D4B"/>
    <w:rsid w:val="00B07D54"/>
    <w:rsid w:val="00B11C1D"/>
    <w:rsid w:val="00B13F3F"/>
    <w:rsid w:val="00B14F10"/>
    <w:rsid w:val="00B15C2F"/>
    <w:rsid w:val="00B162CC"/>
    <w:rsid w:val="00B17A6F"/>
    <w:rsid w:val="00B17C08"/>
    <w:rsid w:val="00B204D0"/>
    <w:rsid w:val="00B229DF"/>
    <w:rsid w:val="00B22ACC"/>
    <w:rsid w:val="00B23FDB"/>
    <w:rsid w:val="00B25E44"/>
    <w:rsid w:val="00B270B7"/>
    <w:rsid w:val="00B271B1"/>
    <w:rsid w:val="00B27F0E"/>
    <w:rsid w:val="00B30A74"/>
    <w:rsid w:val="00B31FE7"/>
    <w:rsid w:val="00B4332F"/>
    <w:rsid w:val="00B52A08"/>
    <w:rsid w:val="00B66B25"/>
    <w:rsid w:val="00B704FC"/>
    <w:rsid w:val="00B7197D"/>
    <w:rsid w:val="00B731F9"/>
    <w:rsid w:val="00B7374D"/>
    <w:rsid w:val="00B7734B"/>
    <w:rsid w:val="00B8289D"/>
    <w:rsid w:val="00B90FFC"/>
    <w:rsid w:val="00BA20A2"/>
    <w:rsid w:val="00BA68DE"/>
    <w:rsid w:val="00BB09D1"/>
    <w:rsid w:val="00BB36AA"/>
    <w:rsid w:val="00BB452B"/>
    <w:rsid w:val="00BB65C6"/>
    <w:rsid w:val="00BC3A27"/>
    <w:rsid w:val="00BC3D42"/>
    <w:rsid w:val="00BC5B53"/>
    <w:rsid w:val="00BC6B6F"/>
    <w:rsid w:val="00BC7E3D"/>
    <w:rsid w:val="00BD0BFD"/>
    <w:rsid w:val="00BE0324"/>
    <w:rsid w:val="00BE0B19"/>
    <w:rsid w:val="00BE1A29"/>
    <w:rsid w:val="00BE2CC2"/>
    <w:rsid w:val="00BE656E"/>
    <w:rsid w:val="00BF0CB8"/>
    <w:rsid w:val="00BF28F0"/>
    <w:rsid w:val="00C01156"/>
    <w:rsid w:val="00C020B5"/>
    <w:rsid w:val="00C05B75"/>
    <w:rsid w:val="00C06EDA"/>
    <w:rsid w:val="00C1094D"/>
    <w:rsid w:val="00C11791"/>
    <w:rsid w:val="00C258EB"/>
    <w:rsid w:val="00C3007B"/>
    <w:rsid w:val="00C34246"/>
    <w:rsid w:val="00C36ED1"/>
    <w:rsid w:val="00C37053"/>
    <w:rsid w:val="00C37D02"/>
    <w:rsid w:val="00C37D15"/>
    <w:rsid w:val="00C45F1C"/>
    <w:rsid w:val="00C478A3"/>
    <w:rsid w:val="00C51590"/>
    <w:rsid w:val="00C51A88"/>
    <w:rsid w:val="00C5472A"/>
    <w:rsid w:val="00C56CB9"/>
    <w:rsid w:val="00C64CF0"/>
    <w:rsid w:val="00C6703F"/>
    <w:rsid w:val="00C677FE"/>
    <w:rsid w:val="00C727D3"/>
    <w:rsid w:val="00C768A6"/>
    <w:rsid w:val="00C76E83"/>
    <w:rsid w:val="00C776C8"/>
    <w:rsid w:val="00C85AFB"/>
    <w:rsid w:val="00C911B7"/>
    <w:rsid w:val="00C950B9"/>
    <w:rsid w:val="00CA22C7"/>
    <w:rsid w:val="00CA57C2"/>
    <w:rsid w:val="00CB30FE"/>
    <w:rsid w:val="00CB4636"/>
    <w:rsid w:val="00CB5612"/>
    <w:rsid w:val="00CB5CA5"/>
    <w:rsid w:val="00CB5F92"/>
    <w:rsid w:val="00CB61D6"/>
    <w:rsid w:val="00CB69F0"/>
    <w:rsid w:val="00CB7BF3"/>
    <w:rsid w:val="00CC216B"/>
    <w:rsid w:val="00CC6F8F"/>
    <w:rsid w:val="00CC7912"/>
    <w:rsid w:val="00CC7BA0"/>
    <w:rsid w:val="00CD7885"/>
    <w:rsid w:val="00CE0011"/>
    <w:rsid w:val="00CE24DD"/>
    <w:rsid w:val="00CE2871"/>
    <w:rsid w:val="00CE2F31"/>
    <w:rsid w:val="00CE441E"/>
    <w:rsid w:val="00CE49D7"/>
    <w:rsid w:val="00CE5434"/>
    <w:rsid w:val="00CE7D25"/>
    <w:rsid w:val="00CF324E"/>
    <w:rsid w:val="00CF5340"/>
    <w:rsid w:val="00D00D30"/>
    <w:rsid w:val="00D02BB3"/>
    <w:rsid w:val="00D02CB0"/>
    <w:rsid w:val="00D0384E"/>
    <w:rsid w:val="00D10F88"/>
    <w:rsid w:val="00D136A4"/>
    <w:rsid w:val="00D17EC9"/>
    <w:rsid w:val="00D2078B"/>
    <w:rsid w:val="00D23C85"/>
    <w:rsid w:val="00D24AF5"/>
    <w:rsid w:val="00D3065A"/>
    <w:rsid w:val="00D36FD1"/>
    <w:rsid w:val="00D401A7"/>
    <w:rsid w:val="00D4485F"/>
    <w:rsid w:val="00D51660"/>
    <w:rsid w:val="00D526EA"/>
    <w:rsid w:val="00D552C4"/>
    <w:rsid w:val="00D558EE"/>
    <w:rsid w:val="00D569B5"/>
    <w:rsid w:val="00D61967"/>
    <w:rsid w:val="00D67AA7"/>
    <w:rsid w:val="00D71D55"/>
    <w:rsid w:val="00D72215"/>
    <w:rsid w:val="00D733E8"/>
    <w:rsid w:val="00D74E48"/>
    <w:rsid w:val="00D757DA"/>
    <w:rsid w:val="00D76A12"/>
    <w:rsid w:val="00D81011"/>
    <w:rsid w:val="00D81612"/>
    <w:rsid w:val="00D818EB"/>
    <w:rsid w:val="00D8242F"/>
    <w:rsid w:val="00D85B33"/>
    <w:rsid w:val="00D87070"/>
    <w:rsid w:val="00D875AA"/>
    <w:rsid w:val="00D87EDE"/>
    <w:rsid w:val="00D90EC9"/>
    <w:rsid w:val="00D92FD9"/>
    <w:rsid w:val="00D97F70"/>
    <w:rsid w:val="00DA12C4"/>
    <w:rsid w:val="00DA2989"/>
    <w:rsid w:val="00DA3D27"/>
    <w:rsid w:val="00DA462B"/>
    <w:rsid w:val="00DA4C25"/>
    <w:rsid w:val="00DB5574"/>
    <w:rsid w:val="00DB6CA6"/>
    <w:rsid w:val="00DC2053"/>
    <w:rsid w:val="00DC3D9E"/>
    <w:rsid w:val="00DC49CA"/>
    <w:rsid w:val="00DC5010"/>
    <w:rsid w:val="00DC7BED"/>
    <w:rsid w:val="00DD2910"/>
    <w:rsid w:val="00DD7C1C"/>
    <w:rsid w:val="00DD7E89"/>
    <w:rsid w:val="00DE01B8"/>
    <w:rsid w:val="00DE448C"/>
    <w:rsid w:val="00DF4ABB"/>
    <w:rsid w:val="00DF6B0E"/>
    <w:rsid w:val="00DF724E"/>
    <w:rsid w:val="00DF7E50"/>
    <w:rsid w:val="00E0507B"/>
    <w:rsid w:val="00E0683C"/>
    <w:rsid w:val="00E0688F"/>
    <w:rsid w:val="00E06EC7"/>
    <w:rsid w:val="00E11201"/>
    <w:rsid w:val="00E1446D"/>
    <w:rsid w:val="00E14759"/>
    <w:rsid w:val="00E163EC"/>
    <w:rsid w:val="00E20834"/>
    <w:rsid w:val="00E20F36"/>
    <w:rsid w:val="00E20FEC"/>
    <w:rsid w:val="00E2136E"/>
    <w:rsid w:val="00E21493"/>
    <w:rsid w:val="00E232D2"/>
    <w:rsid w:val="00E239CF"/>
    <w:rsid w:val="00E25843"/>
    <w:rsid w:val="00E327A8"/>
    <w:rsid w:val="00E33101"/>
    <w:rsid w:val="00E401BD"/>
    <w:rsid w:val="00E42B9B"/>
    <w:rsid w:val="00E43A74"/>
    <w:rsid w:val="00E45303"/>
    <w:rsid w:val="00E454E7"/>
    <w:rsid w:val="00E5064E"/>
    <w:rsid w:val="00E51B74"/>
    <w:rsid w:val="00E53F30"/>
    <w:rsid w:val="00E55FB1"/>
    <w:rsid w:val="00E57797"/>
    <w:rsid w:val="00E619FE"/>
    <w:rsid w:val="00E62591"/>
    <w:rsid w:val="00E635D9"/>
    <w:rsid w:val="00E70219"/>
    <w:rsid w:val="00E72B77"/>
    <w:rsid w:val="00E74F39"/>
    <w:rsid w:val="00E803CE"/>
    <w:rsid w:val="00E814CB"/>
    <w:rsid w:val="00E833AF"/>
    <w:rsid w:val="00E85748"/>
    <w:rsid w:val="00E86D00"/>
    <w:rsid w:val="00E87867"/>
    <w:rsid w:val="00E87EAE"/>
    <w:rsid w:val="00E90BDA"/>
    <w:rsid w:val="00E94573"/>
    <w:rsid w:val="00EA666D"/>
    <w:rsid w:val="00EB340B"/>
    <w:rsid w:val="00EB6DF2"/>
    <w:rsid w:val="00EB762F"/>
    <w:rsid w:val="00EC28F3"/>
    <w:rsid w:val="00EC42EA"/>
    <w:rsid w:val="00EC5C73"/>
    <w:rsid w:val="00ED08A4"/>
    <w:rsid w:val="00ED617A"/>
    <w:rsid w:val="00ED7E3A"/>
    <w:rsid w:val="00EE1679"/>
    <w:rsid w:val="00EE1A25"/>
    <w:rsid w:val="00EE638D"/>
    <w:rsid w:val="00EE7488"/>
    <w:rsid w:val="00EE77A7"/>
    <w:rsid w:val="00EF1DB1"/>
    <w:rsid w:val="00F02302"/>
    <w:rsid w:val="00F04D21"/>
    <w:rsid w:val="00F062DE"/>
    <w:rsid w:val="00F076C5"/>
    <w:rsid w:val="00F10A1C"/>
    <w:rsid w:val="00F1216C"/>
    <w:rsid w:val="00F24744"/>
    <w:rsid w:val="00F25A8E"/>
    <w:rsid w:val="00F3058A"/>
    <w:rsid w:val="00F30FFE"/>
    <w:rsid w:val="00F32316"/>
    <w:rsid w:val="00F3495A"/>
    <w:rsid w:val="00F36BA7"/>
    <w:rsid w:val="00F437E6"/>
    <w:rsid w:val="00F45650"/>
    <w:rsid w:val="00F55880"/>
    <w:rsid w:val="00F5627E"/>
    <w:rsid w:val="00F642D9"/>
    <w:rsid w:val="00F67380"/>
    <w:rsid w:val="00F70701"/>
    <w:rsid w:val="00F7197F"/>
    <w:rsid w:val="00F72A38"/>
    <w:rsid w:val="00F7315E"/>
    <w:rsid w:val="00F841C8"/>
    <w:rsid w:val="00F8759F"/>
    <w:rsid w:val="00F92E57"/>
    <w:rsid w:val="00F931AD"/>
    <w:rsid w:val="00F93518"/>
    <w:rsid w:val="00F93A66"/>
    <w:rsid w:val="00F97C86"/>
    <w:rsid w:val="00F97DC2"/>
    <w:rsid w:val="00FA16DF"/>
    <w:rsid w:val="00FA6E14"/>
    <w:rsid w:val="00FC0A65"/>
    <w:rsid w:val="00FC2E53"/>
    <w:rsid w:val="00FC5204"/>
    <w:rsid w:val="00FC7A67"/>
    <w:rsid w:val="00FD2304"/>
    <w:rsid w:val="00FD32C5"/>
    <w:rsid w:val="00FD403C"/>
    <w:rsid w:val="00FD67AB"/>
    <w:rsid w:val="00FE0512"/>
    <w:rsid w:val="00FE316B"/>
    <w:rsid w:val="00FE3C4E"/>
    <w:rsid w:val="00FE566C"/>
    <w:rsid w:val="00FF1962"/>
    <w:rsid w:val="00FF3B7D"/>
    <w:rsid w:val="00FF63F3"/>
    <w:rsid w:val="00FF6EBC"/>
    <w:rsid w:val="00FF78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C3198"/>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1C3198"/>
    <w:rPr>
      <w:sz w:val="20"/>
      <w:szCs w:val="20"/>
    </w:rPr>
  </w:style>
  <w:style w:type="character" w:customStyle="1" w:styleId="LbjegyzetszvegChar">
    <w:name w:val="Lábjegyzetszöveg Char"/>
    <w:basedOn w:val="Bekezdsalapbettpusa"/>
    <w:link w:val="Lbjegyzetszveg"/>
    <w:uiPriority w:val="99"/>
    <w:semiHidden/>
    <w:rsid w:val="001C3198"/>
    <w:rPr>
      <w:rFonts w:ascii="Calibri" w:eastAsia="Calibri" w:hAnsi="Calibri" w:cs="Times New Roman"/>
      <w:sz w:val="20"/>
      <w:szCs w:val="20"/>
    </w:rPr>
  </w:style>
  <w:style w:type="character" w:styleId="Lbjegyzet-hivatkozs">
    <w:name w:val="footnote reference"/>
    <w:basedOn w:val="Bekezdsalapbettpusa"/>
    <w:uiPriority w:val="99"/>
    <w:semiHidden/>
    <w:unhideWhenUsed/>
    <w:rsid w:val="001C3198"/>
    <w:rPr>
      <w:vertAlign w:val="superscript"/>
    </w:rPr>
  </w:style>
  <w:style w:type="character" w:styleId="Hiperhivatkozs">
    <w:name w:val="Hyperlink"/>
    <w:basedOn w:val="Bekezdsalapbettpusa"/>
    <w:unhideWhenUsed/>
    <w:rsid w:val="001C3198"/>
    <w:rPr>
      <w:color w:val="0000FF"/>
      <w:u w:val="single"/>
    </w:rPr>
  </w:style>
  <w:style w:type="character" w:styleId="Mrltotthiperhivatkozs">
    <w:name w:val="FollowedHyperlink"/>
    <w:basedOn w:val="Bekezdsalapbettpusa"/>
    <w:uiPriority w:val="99"/>
    <w:semiHidden/>
    <w:unhideWhenUsed/>
    <w:rsid w:val="001C3198"/>
    <w:rPr>
      <w:color w:val="800080"/>
      <w:u w:val="single"/>
    </w:rPr>
  </w:style>
  <w:style w:type="paragraph" w:styleId="Buborkszveg">
    <w:name w:val="Balloon Text"/>
    <w:basedOn w:val="Norml"/>
    <w:link w:val="BuborkszvegChar"/>
    <w:uiPriority w:val="99"/>
    <w:semiHidden/>
    <w:unhideWhenUsed/>
    <w:rsid w:val="0067308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7308C"/>
    <w:rPr>
      <w:rFonts w:ascii="Tahoma" w:eastAsia="Calibri" w:hAnsi="Tahoma" w:cs="Tahoma"/>
      <w:sz w:val="16"/>
      <w:szCs w:val="16"/>
    </w:rPr>
  </w:style>
  <w:style w:type="table" w:styleId="Rcsostblzat">
    <w:name w:val="Table Grid"/>
    <w:basedOn w:val="Normltblzat"/>
    <w:uiPriority w:val="59"/>
    <w:rsid w:val="004D2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3495A"/>
    <w:pPr>
      <w:ind w:left="720"/>
      <w:contextualSpacing/>
    </w:pPr>
  </w:style>
  <w:style w:type="paragraph" w:styleId="lfej">
    <w:name w:val="header"/>
    <w:basedOn w:val="Norml"/>
    <w:link w:val="lfejChar"/>
    <w:uiPriority w:val="99"/>
    <w:semiHidden/>
    <w:unhideWhenUsed/>
    <w:rsid w:val="00CB5612"/>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CB5612"/>
    <w:rPr>
      <w:rFonts w:ascii="Calibri" w:eastAsia="Calibri" w:hAnsi="Calibri" w:cs="Times New Roman"/>
    </w:rPr>
  </w:style>
  <w:style w:type="paragraph" w:styleId="llb">
    <w:name w:val="footer"/>
    <w:basedOn w:val="Norml"/>
    <w:link w:val="llbChar"/>
    <w:uiPriority w:val="99"/>
    <w:unhideWhenUsed/>
    <w:rsid w:val="00CB5612"/>
    <w:pPr>
      <w:tabs>
        <w:tab w:val="center" w:pos="4536"/>
        <w:tab w:val="right" w:pos="9072"/>
      </w:tabs>
      <w:spacing w:after="0" w:line="240" w:lineRule="auto"/>
    </w:pPr>
  </w:style>
  <w:style w:type="character" w:customStyle="1" w:styleId="llbChar">
    <w:name w:val="Élőláb Char"/>
    <w:basedOn w:val="Bekezdsalapbettpusa"/>
    <w:link w:val="llb"/>
    <w:uiPriority w:val="99"/>
    <w:rsid w:val="00CB5612"/>
    <w:rPr>
      <w:rFonts w:ascii="Calibri" w:eastAsia="Calibri" w:hAnsi="Calibri" w:cs="Times New Roman"/>
    </w:rPr>
  </w:style>
  <w:style w:type="character" w:styleId="Jegyzethivatkozs">
    <w:name w:val="annotation reference"/>
    <w:basedOn w:val="Bekezdsalapbettpusa"/>
    <w:uiPriority w:val="99"/>
    <w:semiHidden/>
    <w:unhideWhenUsed/>
    <w:rsid w:val="00D23C85"/>
    <w:rPr>
      <w:sz w:val="16"/>
      <w:szCs w:val="16"/>
    </w:rPr>
  </w:style>
  <w:style w:type="paragraph" w:styleId="Jegyzetszveg">
    <w:name w:val="annotation text"/>
    <w:basedOn w:val="Norml"/>
    <w:link w:val="JegyzetszvegChar"/>
    <w:uiPriority w:val="99"/>
    <w:semiHidden/>
    <w:unhideWhenUsed/>
    <w:rsid w:val="00D23C85"/>
    <w:pPr>
      <w:spacing w:line="240" w:lineRule="auto"/>
    </w:pPr>
    <w:rPr>
      <w:sz w:val="20"/>
      <w:szCs w:val="20"/>
    </w:rPr>
  </w:style>
  <w:style w:type="character" w:customStyle="1" w:styleId="JegyzetszvegChar">
    <w:name w:val="Jegyzetszöveg Char"/>
    <w:basedOn w:val="Bekezdsalapbettpusa"/>
    <w:link w:val="Jegyzetszveg"/>
    <w:uiPriority w:val="99"/>
    <w:semiHidden/>
    <w:rsid w:val="00D23C8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D23C85"/>
    <w:rPr>
      <w:b/>
      <w:bCs/>
    </w:rPr>
  </w:style>
  <w:style w:type="character" w:customStyle="1" w:styleId="MegjegyzstrgyaChar">
    <w:name w:val="Megjegyzés tárgya Char"/>
    <w:basedOn w:val="JegyzetszvegChar"/>
    <w:link w:val="Megjegyzstrgya"/>
    <w:uiPriority w:val="99"/>
    <w:semiHidden/>
    <w:rsid w:val="00D23C85"/>
    <w:rPr>
      <w:rFonts w:ascii="Calibri" w:eastAsia="Calibri" w:hAnsi="Calibri" w:cs="Times New Roman"/>
      <w:b/>
      <w:bCs/>
      <w:sz w:val="20"/>
      <w:szCs w:val="20"/>
    </w:rPr>
  </w:style>
  <w:style w:type="paragraph" w:styleId="Szvegtrzs2">
    <w:name w:val="Body Text 2"/>
    <w:basedOn w:val="Norml"/>
    <w:link w:val="Szvegtrzs2Char"/>
    <w:rsid w:val="00A616CA"/>
    <w:pPr>
      <w:spacing w:after="120" w:line="480" w:lineRule="auto"/>
    </w:pPr>
    <w:rPr>
      <w:rFonts w:ascii="Times New Roman" w:eastAsia="Times New Roman" w:hAnsi="Times New Roman"/>
      <w:sz w:val="24"/>
      <w:szCs w:val="24"/>
      <w:lang w:eastAsia="hu-HU"/>
    </w:rPr>
  </w:style>
  <w:style w:type="character" w:customStyle="1" w:styleId="Szvegtrzs2Char">
    <w:name w:val="Szövegtörzs 2 Char"/>
    <w:basedOn w:val="Bekezdsalapbettpusa"/>
    <w:link w:val="Szvegtrzs2"/>
    <w:rsid w:val="00A616CA"/>
    <w:rPr>
      <w:rFonts w:ascii="Times New Roman" w:eastAsia="Times New Roman" w:hAnsi="Times New Roman"/>
      <w:sz w:val="24"/>
      <w:szCs w:val="24"/>
    </w:rPr>
  </w:style>
  <w:style w:type="character" w:styleId="Helyrzszveg">
    <w:name w:val="Placeholder Text"/>
    <w:basedOn w:val="Bekezdsalapbettpusa"/>
    <w:uiPriority w:val="99"/>
    <w:semiHidden/>
    <w:rsid w:val="009B384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C3198"/>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1C3198"/>
    <w:rPr>
      <w:sz w:val="20"/>
      <w:szCs w:val="20"/>
    </w:rPr>
  </w:style>
  <w:style w:type="character" w:customStyle="1" w:styleId="LbjegyzetszvegChar">
    <w:name w:val="Lábjegyzetszöveg Char"/>
    <w:basedOn w:val="Bekezdsalapbettpusa"/>
    <w:link w:val="Lbjegyzetszveg"/>
    <w:uiPriority w:val="99"/>
    <w:semiHidden/>
    <w:rsid w:val="001C3198"/>
    <w:rPr>
      <w:rFonts w:ascii="Calibri" w:eastAsia="Calibri" w:hAnsi="Calibri" w:cs="Times New Roman"/>
      <w:sz w:val="20"/>
      <w:szCs w:val="20"/>
    </w:rPr>
  </w:style>
  <w:style w:type="character" w:styleId="Lbjegyzet-hivatkozs">
    <w:name w:val="footnote reference"/>
    <w:basedOn w:val="Bekezdsalapbettpusa"/>
    <w:uiPriority w:val="99"/>
    <w:semiHidden/>
    <w:unhideWhenUsed/>
    <w:rsid w:val="001C3198"/>
    <w:rPr>
      <w:vertAlign w:val="superscript"/>
    </w:rPr>
  </w:style>
  <w:style w:type="character" w:styleId="Hiperhivatkozs">
    <w:name w:val="Hyperlink"/>
    <w:basedOn w:val="Bekezdsalapbettpusa"/>
    <w:unhideWhenUsed/>
    <w:rsid w:val="001C3198"/>
    <w:rPr>
      <w:color w:val="0000FF"/>
      <w:u w:val="single"/>
    </w:rPr>
  </w:style>
  <w:style w:type="character" w:styleId="Mrltotthiperhivatkozs">
    <w:name w:val="FollowedHyperlink"/>
    <w:basedOn w:val="Bekezdsalapbettpusa"/>
    <w:uiPriority w:val="99"/>
    <w:semiHidden/>
    <w:unhideWhenUsed/>
    <w:rsid w:val="001C3198"/>
    <w:rPr>
      <w:color w:val="800080"/>
      <w:u w:val="single"/>
    </w:rPr>
  </w:style>
  <w:style w:type="paragraph" w:styleId="Buborkszveg">
    <w:name w:val="Balloon Text"/>
    <w:basedOn w:val="Norml"/>
    <w:link w:val="BuborkszvegChar"/>
    <w:uiPriority w:val="99"/>
    <w:semiHidden/>
    <w:unhideWhenUsed/>
    <w:rsid w:val="0067308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7308C"/>
    <w:rPr>
      <w:rFonts w:ascii="Tahoma" w:eastAsia="Calibri" w:hAnsi="Tahoma" w:cs="Tahoma"/>
      <w:sz w:val="16"/>
      <w:szCs w:val="16"/>
    </w:rPr>
  </w:style>
  <w:style w:type="table" w:styleId="Rcsostblzat">
    <w:name w:val="Table Grid"/>
    <w:basedOn w:val="Normltblzat"/>
    <w:uiPriority w:val="59"/>
    <w:rsid w:val="004D2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3495A"/>
    <w:pPr>
      <w:ind w:left="720"/>
      <w:contextualSpacing/>
    </w:pPr>
  </w:style>
  <w:style w:type="paragraph" w:styleId="lfej">
    <w:name w:val="header"/>
    <w:basedOn w:val="Norml"/>
    <w:link w:val="lfejChar"/>
    <w:uiPriority w:val="99"/>
    <w:semiHidden/>
    <w:unhideWhenUsed/>
    <w:rsid w:val="00CB5612"/>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CB5612"/>
    <w:rPr>
      <w:rFonts w:ascii="Calibri" w:eastAsia="Calibri" w:hAnsi="Calibri" w:cs="Times New Roman"/>
    </w:rPr>
  </w:style>
  <w:style w:type="paragraph" w:styleId="llb">
    <w:name w:val="footer"/>
    <w:basedOn w:val="Norml"/>
    <w:link w:val="llbChar"/>
    <w:uiPriority w:val="99"/>
    <w:unhideWhenUsed/>
    <w:rsid w:val="00CB5612"/>
    <w:pPr>
      <w:tabs>
        <w:tab w:val="center" w:pos="4536"/>
        <w:tab w:val="right" w:pos="9072"/>
      </w:tabs>
      <w:spacing w:after="0" w:line="240" w:lineRule="auto"/>
    </w:pPr>
  </w:style>
  <w:style w:type="character" w:customStyle="1" w:styleId="llbChar">
    <w:name w:val="Élőláb Char"/>
    <w:basedOn w:val="Bekezdsalapbettpusa"/>
    <w:link w:val="llb"/>
    <w:uiPriority w:val="99"/>
    <w:rsid w:val="00CB5612"/>
    <w:rPr>
      <w:rFonts w:ascii="Calibri" w:eastAsia="Calibri" w:hAnsi="Calibri" w:cs="Times New Roman"/>
    </w:rPr>
  </w:style>
  <w:style w:type="character" w:styleId="Jegyzethivatkozs">
    <w:name w:val="annotation reference"/>
    <w:basedOn w:val="Bekezdsalapbettpusa"/>
    <w:uiPriority w:val="99"/>
    <w:semiHidden/>
    <w:unhideWhenUsed/>
    <w:rsid w:val="00D23C85"/>
    <w:rPr>
      <w:sz w:val="16"/>
      <w:szCs w:val="16"/>
    </w:rPr>
  </w:style>
  <w:style w:type="paragraph" w:styleId="Jegyzetszveg">
    <w:name w:val="annotation text"/>
    <w:basedOn w:val="Norml"/>
    <w:link w:val="JegyzetszvegChar"/>
    <w:uiPriority w:val="99"/>
    <w:semiHidden/>
    <w:unhideWhenUsed/>
    <w:rsid w:val="00D23C85"/>
    <w:pPr>
      <w:spacing w:line="240" w:lineRule="auto"/>
    </w:pPr>
    <w:rPr>
      <w:sz w:val="20"/>
      <w:szCs w:val="20"/>
    </w:rPr>
  </w:style>
  <w:style w:type="character" w:customStyle="1" w:styleId="JegyzetszvegChar">
    <w:name w:val="Jegyzetszöveg Char"/>
    <w:basedOn w:val="Bekezdsalapbettpusa"/>
    <w:link w:val="Jegyzetszveg"/>
    <w:uiPriority w:val="99"/>
    <w:semiHidden/>
    <w:rsid w:val="00D23C8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D23C85"/>
    <w:rPr>
      <w:b/>
      <w:bCs/>
    </w:rPr>
  </w:style>
  <w:style w:type="character" w:customStyle="1" w:styleId="MegjegyzstrgyaChar">
    <w:name w:val="Megjegyzés tárgya Char"/>
    <w:basedOn w:val="JegyzetszvegChar"/>
    <w:link w:val="Megjegyzstrgya"/>
    <w:uiPriority w:val="99"/>
    <w:semiHidden/>
    <w:rsid w:val="00D23C85"/>
    <w:rPr>
      <w:rFonts w:ascii="Calibri" w:eastAsia="Calibri" w:hAnsi="Calibri" w:cs="Times New Roman"/>
      <w:b/>
      <w:bCs/>
      <w:sz w:val="20"/>
      <w:szCs w:val="20"/>
    </w:rPr>
  </w:style>
  <w:style w:type="paragraph" w:styleId="Szvegtrzs2">
    <w:name w:val="Body Text 2"/>
    <w:basedOn w:val="Norml"/>
    <w:link w:val="Szvegtrzs2Char"/>
    <w:rsid w:val="00A616CA"/>
    <w:pPr>
      <w:spacing w:after="120" w:line="480" w:lineRule="auto"/>
    </w:pPr>
    <w:rPr>
      <w:rFonts w:ascii="Times New Roman" w:eastAsia="Times New Roman" w:hAnsi="Times New Roman"/>
      <w:sz w:val="24"/>
      <w:szCs w:val="24"/>
      <w:lang w:eastAsia="hu-HU"/>
    </w:rPr>
  </w:style>
  <w:style w:type="character" w:customStyle="1" w:styleId="Szvegtrzs2Char">
    <w:name w:val="Szövegtörzs 2 Char"/>
    <w:basedOn w:val="Bekezdsalapbettpusa"/>
    <w:link w:val="Szvegtrzs2"/>
    <w:rsid w:val="00A616CA"/>
    <w:rPr>
      <w:rFonts w:ascii="Times New Roman" w:eastAsia="Times New Roman" w:hAnsi="Times New Roman"/>
      <w:sz w:val="24"/>
      <w:szCs w:val="24"/>
    </w:rPr>
  </w:style>
  <w:style w:type="character" w:styleId="Helyrzszveg">
    <w:name w:val="Placeholder Text"/>
    <w:basedOn w:val="Bekezdsalapbettpusa"/>
    <w:uiPriority w:val="99"/>
    <w:semiHidden/>
    <w:rsid w:val="009B38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34901">
      <w:bodyDiv w:val="1"/>
      <w:marLeft w:val="0"/>
      <w:marRight w:val="0"/>
      <w:marTop w:val="0"/>
      <w:marBottom w:val="0"/>
      <w:divBdr>
        <w:top w:val="none" w:sz="0" w:space="0" w:color="auto"/>
        <w:left w:val="none" w:sz="0" w:space="0" w:color="auto"/>
        <w:bottom w:val="none" w:sz="0" w:space="0" w:color="auto"/>
        <w:right w:val="none" w:sz="0" w:space="0" w:color="auto"/>
      </w:divBdr>
    </w:div>
    <w:div w:id="853306363">
      <w:bodyDiv w:val="1"/>
      <w:marLeft w:val="0"/>
      <w:marRight w:val="0"/>
      <w:marTop w:val="0"/>
      <w:marBottom w:val="0"/>
      <w:divBdr>
        <w:top w:val="none" w:sz="0" w:space="0" w:color="auto"/>
        <w:left w:val="none" w:sz="0" w:space="0" w:color="auto"/>
        <w:bottom w:val="none" w:sz="0" w:space="0" w:color="auto"/>
        <w:right w:val="none" w:sz="0" w:space="0" w:color="auto"/>
      </w:divBdr>
    </w:div>
    <w:div w:id="1032849708">
      <w:bodyDiv w:val="1"/>
      <w:marLeft w:val="0"/>
      <w:marRight w:val="0"/>
      <w:marTop w:val="0"/>
      <w:marBottom w:val="0"/>
      <w:divBdr>
        <w:top w:val="none" w:sz="0" w:space="0" w:color="auto"/>
        <w:left w:val="none" w:sz="0" w:space="0" w:color="auto"/>
        <w:bottom w:val="none" w:sz="0" w:space="0" w:color="auto"/>
        <w:right w:val="none" w:sz="0" w:space="0" w:color="auto"/>
      </w:divBdr>
      <w:divsChild>
        <w:div w:id="572398371">
          <w:marLeft w:val="1354"/>
          <w:marRight w:val="0"/>
          <w:marTop w:val="75"/>
          <w:marBottom w:val="0"/>
          <w:divBdr>
            <w:top w:val="none" w:sz="0" w:space="0" w:color="auto"/>
            <w:left w:val="none" w:sz="0" w:space="0" w:color="auto"/>
            <w:bottom w:val="none" w:sz="0" w:space="0" w:color="auto"/>
            <w:right w:val="none" w:sz="0" w:space="0" w:color="auto"/>
          </w:divBdr>
        </w:div>
        <w:div w:id="764885443">
          <w:marLeft w:val="1354"/>
          <w:marRight w:val="0"/>
          <w:marTop w:val="75"/>
          <w:marBottom w:val="0"/>
          <w:divBdr>
            <w:top w:val="none" w:sz="0" w:space="0" w:color="auto"/>
            <w:left w:val="none" w:sz="0" w:space="0" w:color="auto"/>
            <w:bottom w:val="none" w:sz="0" w:space="0" w:color="auto"/>
            <w:right w:val="none" w:sz="0" w:space="0" w:color="auto"/>
          </w:divBdr>
        </w:div>
        <w:div w:id="2119911926">
          <w:marLeft w:val="1886"/>
          <w:marRight w:val="0"/>
          <w:marTop w:val="75"/>
          <w:marBottom w:val="0"/>
          <w:divBdr>
            <w:top w:val="none" w:sz="0" w:space="0" w:color="auto"/>
            <w:left w:val="none" w:sz="0" w:space="0" w:color="auto"/>
            <w:bottom w:val="none" w:sz="0" w:space="0" w:color="auto"/>
            <w:right w:val="none" w:sz="0" w:space="0" w:color="auto"/>
          </w:divBdr>
        </w:div>
        <w:div w:id="1849635765">
          <w:marLeft w:val="1886"/>
          <w:marRight w:val="0"/>
          <w:marTop w:val="75"/>
          <w:marBottom w:val="0"/>
          <w:divBdr>
            <w:top w:val="none" w:sz="0" w:space="0" w:color="auto"/>
            <w:left w:val="none" w:sz="0" w:space="0" w:color="auto"/>
            <w:bottom w:val="none" w:sz="0" w:space="0" w:color="auto"/>
            <w:right w:val="none" w:sz="0" w:space="0" w:color="auto"/>
          </w:divBdr>
        </w:div>
      </w:divsChild>
    </w:div>
    <w:div w:id="1803039788">
      <w:bodyDiv w:val="1"/>
      <w:marLeft w:val="0"/>
      <w:marRight w:val="0"/>
      <w:marTop w:val="0"/>
      <w:marBottom w:val="0"/>
      <w:divBdr>
        <w:top w:val="none" w:sz="0" w:space="0" w:color="auto"/>
        <w:left w:val="none" w:sz="0" w:space="0" w:color="auto"/>
        <w:bottom w:val="none" w:sz="0" w:space="0" w:color="auto"/>
        <w:right w:val="none" w:sz="0" w:space="0" w:color="auto"/>
      </w:divBdr>
    </w:div>
    <w:div w:id="2062777462">
      <w:bodyDiv w:val="1"/>
      <w:marLeft w:val="0"/>
      <w:marRight w:val="0"/>
      <w:marTop w:val="0"/>
      <w:marBottom w:val="0"/>
      <w:divBdr>
        <w:top w:val="none" w:sz="0" w:space="0" w:color="auto"/>
        <w:left w:val="none" w:sz="0" w:space="0" w:color="auto"/>
        <w:bottom w:val="none" w:sz="0" w:space="0" w:color="auto"/>
        <w:right w:val="none" w:sz="0" w:space="0" w:color="auto"/>
      </w:divBdr>
      <w:divsChild>
        <w:div w:id="1113673223">
          <w:marLeft w:val="1354"/>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atastanulmany@mnb.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tastanulmany@mnb.h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s://eiopa.europa.eu/en/consultations/qis/insurance/long-term-guarantees-assessment/technical-specification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010CE-97EB-4EF3-BA77-1FC817F7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2525</Words>
  <Characters>17427</Characters>
  <Application>Microsoft Office Word</Application>
  <DocSecurity>4</DocSecurity>
  <Lines>145</Lines>
  <Paragraphs>39</Paragraphs>
  <ScaleCrop>false</ScaleCrop>
  <HeadingPairs>
    <vt:vector size="2" baseType="variant">
      <vt:variant>
        <vt:lpstr>Cím</vt:lpstr>
      </vt:variant>
      <vt:variant>
        <vt:i4>1</vt:i4>
      </vt:variant>
    </vt:vector>
  </HeadingPairs>
  <TitlesOfParts>
    <vt:vector size="1" baseType="lpstr">
      <vt:lpstr/>
    </vt:vector>
  </TitlesOfParts>
  <Company>Magyar Nemzeti Bank</Company>
  <LinksUpToDate>false</LinksUpToDate>
  <CharactersWithSpaces>19913</CharactersWithSpaces>
  <SharedDoc>false</SharedDoc>
  <HLinks>
    <vt:vector size="30" baseType="variant">
      <vt:variant>
        <vt:i4>7274563</vt:i4>
      </vt:variant>
      <vt:variant>
        <vt:i4>6</vt:i4>
      </vt:variant>
      <vt:variant>
        <vt:i4>0</vt:i4>
      </vt:variant>
      <vt:variant>
        <vt:i4>5</vt:i4>
      </vt:variant>
      <vt:variant>
        <vt:lpwstr>mailto:hatastanulmany@mnb.hu</vt:lpwstr>
      </vt:variant>
      <vt:variant>
        <vt:lpwstr/>
      </vt:variant>
      <vt:variant>
        <vt:i4>7274563</vt:i4>
      </vt:variant>
      <vt:variant>
        <vt:i4>3</vt:i4>
      </vt:variant>
      <vt:variant>
        <vt:i4>0</vt:i4>
      </vt:variant>
      <vt:variant>
        <vt:i4>5</vt:i4>
      </vt:variant>
      <vt:variant>
        <vt:lpwstr>mailto:hatastanulmany@mnb.hu</vt:lpwstr>
      </vt:variant>
      <vt:variant>
        <vt:lpwstr/>
      </vt:variant>
      <vt:variant>
        <vt:i4>6291491</vt:i4>
      </vt:variant>
      <vt:variant>
        <vt:i4>0</vt:i4>
      </vt:variant>
      <vt:variant>
        <vt:i4>0</vt:i4>
      </vt:variant>
      <vt:variant>
        <vt:i4>5</vt:i4>
      </vt:variant>
      <vt:variant>
        <vt:lpwstr>https://eiopa.europa.eu/en/consultations/qis/insurance/long-term-guarantees-assessment/technical-specifications/index.html.</vt:lpwstr>
      </vt:variant>
      <vt:variant>
        <vt:lpwstr/>
      </vt:variant>
      <vt:variant>
        <vt:i4>6094852</vt:i4>
      </vt:variant>
      <vt:variant>
        <vt:i4>3</vt:i4>
      </vt:variant>
      <vt:variant>
        <vt:i4>0</vt:i4>
      </vt:variant>
      <vt:variant>
        <vt:i4>5</vt:i4>
      </vt:variant>
      <vt:variant>
        <vt:lpwstr>http://www.pszaf.hu/data/cms2228318/QIS5_QandA_101013.pdf</vt:lpwstr>
      </vt:variant>
      <vt:variant>
        <vt:lpwstr/>
      </vt:variant>
      <vt:variant>
        <vt:i4>2359409</vt:i4>
      </vt:variant>
      <vt:variant>
        <vt:i4>0</vt:i4>
      </vt:variant>
      <vt:variant>
        <vt:i4>0</vt:i4>
      </vt:variant>
      <vt:variant>
        <vt:i4>5</vt:i4>
      </vt:variant>
      <vt:variant>
        <vt:lpwstr>https://eiopa.europa.eu/consultations/qis/quantitative-impact-study-5/questions-and-answers/index.html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Gábor</dc:creator>
  <cp:lastModifiedBy>Szajkó Katalin</cp:lastModifiedBy>
  <cp:revision>2</cp:revision>
  <cp:lastPrinted>2014-03-07T11:28:00Z</cp:lastPrinted>
  <dcterms:created xsi:type="dcterms:W3CDTF">2015-01-22T07:35:00Z</dcterms:created>
  <dcterms:modified xsi:type="dcterms:W3CDTF">2015-01-22T07:35:00Z</dcterms:modified>
</cp:coreProperties>
</file>