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B1E2" w14:textId="77777777" w:rsidR="00B01A26" w:rsidRDefault="00B01A26" w:rsidP="00B01A26">
      <w:pPr>
        <w:spacing w:after="0" w:line="240" w:lineRule="auto"/>
        <w:jc w:val="center"/>
        <w:rPr>
          <w:i/>
          <w:iCs/>
          <w:lang w:val="en-GB"/>
        </w:rPr>
      </w:pPr>
      <w:r w:rsidRPr="00B01A26">
        <w:rPr>
          <w:i/>
          <w:iCs/>
          <w:lang w:val="en-GB"/>
        </w:rPr>
        <w:t>ANNEX V</w:t>
      </w:r>
    </w:p>
    <w:p w14:paraId="5DA6B844" w14:textId="77777777" w:rsidR="00B01A26" w:rsidRPr="00B01A26" w:rsidRDefault="00B01A26" w:rsidP="00B01A26">
      <w:pPr>
        <w:spacing w:after="0" w:line="240" w:lineRule="auto"/>
        <w:jc w:val="center"/>
        <w:rPr>
          <w:i/>
          <w:iCs/>
          <w:lang w:val="en-GB"/>
        </w:rPr>
      </w:pPr>
    </w:p>
    <w:p w14:paraId="2AFDCE17" w14:textId="5FF7E40A" w:rsidR="00B01A26" w:rsidRPr="00B01A26" w:rsidRDefault="00B01A26" w:rsidP="00B01A26">
      <w:pPr>
        <w:spacing w:after="0" w:line="240" w:lineRule="auto"/>
        <w:jc w:val="center"/>
        <w:rPr>
          <w:lang w:val="en-GB"/>
        </w:rPr>
      </w:pPr>
      <w:r w:rsidRPr="00B01A26">
        <w:rPr>
          <w:b/>
          <w:bCs/>
          <w:lang w:val="en-GB"/>
        </w:rPr>
        <w:t>Notification template for the exchange of information in relation to freedom to provide services applications with no agent or distributor</w:t>
      </w:r>
    </w:p>
    <w:p w14:paraId="65D81109" w14:textId="77777777" w:rsidR="00B01A26" w:rsidRPr="00B01A26" w:rsidRDefault="00B01A26" w:rsidP="00B01A26">
      <w:pPr>
        <w:spacing w:after="0" w:line="240" w:lineRule="auto"/>
        <w:rPr>
          <w:lang w:val="en-GB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4"/>
        <w:gridCol w:w="5036"/>
        <w:gridCol w:w="4148"/>
      </w:tblGrid>
      <w:tr w:rsidR="00B01A26" w:rsidRPr="00B01A26" w14:paraId="5CE9B004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126774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17972C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Home Member 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0F3825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7E1AE62A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127BB9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211BC2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Name of the competent authority of the home Member 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32BA1E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30D31662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FCCE38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802903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Date of receipt by the competent authority of the home Member State of the complete and accurate application from the payment institution/e-money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B23CCB" w14:textId="77777777" w:rsidR="00B01A26" w:rsidRPr="00B01A26" w:rsidRDefault="00B01A26" w:rsidP="00B01A26">
            <w:pPr>
              <w:spacing w:after="0" w:line="240" w:lineRule="auto"/>
              <w:rPr>
                <w:i/>
                <w:iCs/>
                <w:lang w:val="en-GB"/>
              </w:rPr>
            </w:pPr>
            <w:r w:rsidRPr="00B01A26">
              <w:rPr>
                <w:i/>
                <w:iCs/>
                <w:lang w:val="en-GB"/>
              </w:rPr>
              <w:t>DD/MM/</w:t>
            </w:r>
            <w:proofErr w:type="spellStart"/>
            <w:r w:rsidRPr="00B01A26">
              <w:rPr>
                <w:i/>
                <w:iCs/>
                <w:lang w:val="en-GB"/>
              </w:rPr>
              <w:t>YY</w:t>
            </w:r>
            <w:proofErr w:type="spellEnd"/>
          </w:p>
        </w:tc>
      </w:tr>
      <w:tr w:rsidR="00B01A26" w:rsidRPr="00B01A26" w14:paraId="1EAEDBC7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0E70E3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0D92A7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Member State where the services are to be provided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BFD083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34CD23C1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21EE3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D7A9C7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Type of 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9923CB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□First application</w:t>
            </w:r>
          </w:p>
          <w:p w14:paraId="17FED6D3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□Change to previous application</w:t>
            </w:r>
          </w:p>
          <w:p w14:paraId="26841959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□End of business activity/cessation</w:t>
            </w:r>
          </w:p>
        </w:tc>
      </w:tr>
      <w:tr w:rsidR="00B01A26" w:rsidRPr="00B01A26" w14:paraId="0BF0BE78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E17456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38DD30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Type of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8A3B07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□Payment Institution</w:t>
            </w:r>
          </w:p>
          <w:p w14:paraId="2207450D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□E-Money Institution</w:t>
            </w:r>
          </w:p>
        </w:tc>
      </w:tr>
      <w:tr w:rsidR="00B01A26" w:rsidRPr="00B01A26" w14:paraId="0460FF22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C7C4A8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D02A4F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Name of the payment institution/e-money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F40B44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23EF15E4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285D26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8A2B35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Head office address of the payment institution/e-money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A87721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7B0146F1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278AB2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09159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Unique identification number of the payment institution/e-money institution in the format of the home Member State as specified in Annex I (where applicable)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D4F67F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500EA6E1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0B7F76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25D213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Legal Entity Identifier (LEI) of the payment institution/e-money institution (where available)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F8CE49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6D779D4E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24E6D8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B8D5E4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Home Member State authorisation number of the payment institution/e-money institution (where applicable)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F27B79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37B4389C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DABD10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93CEE1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Contact person within the payment institution/e-money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744CD3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1CB169AC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C901E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618166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Email of the contact person within the payment institution/e-money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AE103A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2C19019D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2FB4D6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96F48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Telephone number of the contact person within the payment institution/e-money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6EC218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  <w:tr w:rsidR="00B01A26" w:rsidRPr="00B01A26" w14:paraId="2FC75F22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5FB748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07176E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The intended date of start of the provision of payment/e-money services (shall not precede the communication of the decision of the competent authority of the home Member State referred to in Article 28(3) of Directive (EU) 2015/2366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1A9B5E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DD/MM/</w:t>
            </w:r>
            <w:proofErr w:type="spellStart"/>
            <w:r w:rsidRPr="00B01A26">
              <w:rPr>
                <w:lang w:val="en-GB"/>
              </w:rPr>
              <w:t>YYYY</w:t>
            </w:r>
            <w:proofErr w:type="spellEnd"/>
          </w:p>
        </w:tc>
      </w:tr>
      <w:tr w:rsidR="00B01A26" w:rsidRPr="00B01A26" w14:paraId="352784B1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996A1B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883D9D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Payment services to be provided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B08587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1.  □Services enabling cash to be placed on a payment account as well as all the operations required for operating a payment account</w:t>
            </w:r>
          </w:p>
          <w:p w14:paraId="7DFF6F8B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2.  □Services enabling cash withdrawals from a payment account as well as all the operations required for operating a payment account</w:t>
            </w:r>
          </w:p>
          <w:p w14:paraId="4B673017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3.  Execution of payment transactions, including transfers of funds on a payment account with the user's payment provider or with another payment service provider:</w:t>
            </w:r>
          </w:p>
          <w:p w14:paraId="50ACC14A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a)  execution of direct debits, including one-off direct debits□</w:t>
            </w:r>
          </w:p>
          <w:p w14:paraId="0E80130C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b)  execution of payment transactions through a payment card or a similar device□</w:t>
            </w:r>
          </w:p>
          <w:p w14:paraId="62675AB2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c)  execution of credit transfers, including standing orders□</w:t>
            </w:r>
          </w:p>
          <w:p w14:paraId="320F465E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lastRenderedPageBreak/>
              <w:t>4.  Execution of payment transactions where the funds are covered by a credit line for a payment service user:</w:t>
            </w:r>
          </w:p>
          <w:p w14:paraId="0F0B469D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a)  execution of direct debits, including one-off direct debits□</w:t>
            </w:r>
          </w:p>
          <w:p w14:paraId="3EA0ACEF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b)  execution of payment transactions through a payment card or a similar device□</w:t>
            </w:r>
          </w:p>
          <w:p w14:paraId="351713A2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c)  execution of credit transfers, including standing orders□</w:t>
            </w:r>
          </w:p>
          <w:p w14:paraId="5158FA47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Including granting of credit in accordance with Article 18(4) of Directive (EU) 2015/</w:t>
            </w:r>
            <w:proofErr w:type="gramStart"/>
            <w:r w:rsidRPr="00B01A26">
              <w:rPr>
                <w:lang w:val="en-GB"/>
              </w:rPr>
              <w:t>2366:□</w:t>
            </w:r>
            <w:proofErr w:type="spellStart"/>
            <w:proofErr w:type="gramEnd"/>
            <w:r w:rsidRPr="00B01A26">
              <w:rPr>
                <w:lang w:val="en-GB"/>
              </w:rPr>
              <w:t>yes□no</w:t>
            </w:r>
            <w:proofErr w:type="spellEnd"/>
          </w:p>
          <w:p w14:paraId="5D865A1F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5.  □Issuing of payment instruments</w:t>
            </w:r>
          </w:p>
          <w:p w14:paraId="063C396C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□Acquiring of payment transactions</w:t>
            </w:r>
          </w:p>
          <w:p w14:paraId="4F7395C3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Including granting of credit in accordance with Article 18(4) of Directive (EU) 2015/</w:t>
            </w:r>
            <w:proofErr w:type="gramStart"/>
            <w:r w:rsidRPr="00B01A26">
              <w:rPr>
                <w:lang w:val="en-GB"/>
              </w:rPr>
              <w:t>2366:□</w:t>
            </w:r>
            <w:proofErr w:type="spellStart"/>
            <w:proofErr w:type="gramEnd"/>
            <w:r w:rsidRPr="00B01A26">
              <w:rPr>
                <w:lang w:val="en-GB"/>
              </w:rPr>
              <w:t>yes□no</w:t>
            </w:r>
            <w:proofErr w:type="spellEnd"/>
          </w:p>
          <w:p w14:paraId="20453627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6.  □Money remittance</w:t>
            </w:r>
          </w:p>
          <w:p w14:paraId="1A3B479E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7.  □Payment initiation services</w:t>
            </w:r>
          </w:p>
          <w:p w14:paraId="6F373CE1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8.  □Account information services</w:t>
            </w:r>
          </w:p>
        </w:tc>
      </w:tr>
      <w:tr w:rsidR="00B01A26" w:rsidRPr="00B01A26" w14:paraId="51438B8D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1A4501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lastRenderedPageBreak/>
              <w:t>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D614E0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E-money services to be provided (applicable only to e-money institutions)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EBA339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□Issuing of electronic money</w:t>
            </w:r>
          </w:p>
          <w:p w14:paraId="3FE1B758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□Distribution and/or Redemption of electronic money</w:t>
            </w:r>
          </w:p>
        </w:tc>
      </w:tr>
      <w:tr w:rsidR="00B01A26" w:rsidRPr="00B01A26" w14:paraId="3ABF285B" w14:textId="77777777" w:rsidTr="00B01A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D7F3C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16E08F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In case of outsourcing of operational functions of payment/e-money services:</w:t>
            </w:r>
          </w:p>
          <w:p w14:paraId="7FB1BDE3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a.  Name and address of the entity to which operational functions are to be outsourced</w:t>
            </w:r>
          </w:p>
          <w:p w14:paraId="60CEBBE7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b.  Contact details (email and telephone number) of a contact person within the entity to which operational functions are to be outsourced</w:t>
            </w:r>
          </w:p>
          <w:p w14:paraId="760B724B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c.  Type and exhaustive description of the operational functions outsourced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2C9E3C" w14:textId="77777777" w:rsidR="00B01A26" w:rsidRPr="00B01A26" w:rsidRDefault="00B01A26" w:rsidP="00B01A26">
            <w:pPr>
              <w:spacing w:after="0" w:line="240" w:lineRule="auto"/>
              <w:rPr>
                <w:lang w:val="en-GB"/>
              </w:rPr>
            </w:pPr>
            <w:r w:rsidRPr="00B01A26">
              <w:rPr>
                <w:lang w:val="en-GB"/>
              </w:rPr>
              <w:t> </w:t>
            </w:r>
          </w:p>
        </w:tc>
      </w:tr>
    </w:tbl>
    <w:p w14:paraId="527C0C9D" w14:textId="77777777" w:rsidR="00B01A26" w:rsidRPr="00B01A26" w:rsidRDefault="00B01A26" w:rsidP="00B01A26">
      <w:pPr>
        <w:spacing w:after="0" w:line="240" w:lineRule="auto"/>
        <w:rPr>
          <w:lang w:val="en-GB"/>
        </w:rPr>
      </w:pPr>
    </w:p>
    <w:sectPr w:rsidR="00B01A26" w:rsidRPr="00B01A26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AA0B" w14:textId="77777777" w:rsidR="004D58A2" w:rsidRDefault="004D58A2">
      <w:r>
        <w:separator/>
      </w:r>
    </w:p>
  </w:endnote>
  <w:endnote w:type="continuationSeparator" w:id="0">
    <w:p w14:paraId="6AFBEC3D" w14:textId="77777777" w:rsidR="004D58A2" w:rsidRDefault="004D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E71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096C" w14:textId="77777777" w:rsidR="004D58A2" w:rsidRDefault="004D58A2">
      <w:r>
        <w:separator/>
      </w:r>
    </w:p>
  </w:footnote>
  <w:footnote w:type="continuationSeparator" w:id="0">
    <w:p w14:paraId="21A547F7" w14:textId="77777777" w:rsidR="004D58A2" w:rsidRDefault="004D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45D8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9887">
    <w:abstractNumId w:val="4"/>
  </w:num>
  <w:num w:numId="2" w16cid:durableId="1844514374">
    <w:abstractNumId w:val="2"/>
  </w:num>
  <w:num w:numId="3" w16cid:durableId="201865294">
    <w:abstractNumId w:val="5"/>
  </w:num>
  <w:num w:numId="4" w16cid:durableId="1541017618">
    <w:abstractNumId w:val="0"/>
  </w:num>
  <w:num w:numId="5" w16cid:durableId="2064908544">
    <w:abstractNumId w:val="1"/>
  </w:num>
  <w:num w:numId="6" w16cid:durableId="754866332">
    <w:abstractNumId w:val="7"/>
  </w:num>
  <w:num w:numId="7" w16cid:durableId="259291659">
    <w:abstractNumId w:val="3"/>
  </w:num>
  <w:num w:numId="8" w16cid:durableId="279798692">
    <w:abstractNumId w:val="9"/>
  </w:num>
  <w:num w:numId="9" w16cid:durableId="2089617246">
    <w:abstractNumId w:val="7"/>
    <w:lvlOverride w:ilvl="0">
      <w:startOverride w:val="1"/>
    </w:lvlOverride>
  </w:num>
  <w:num w:numId="10" w16cid:durableId="650718150">
    <w:abstractNumId w:val="10"/>
  </w:num>
  <w:num w:numId="11" w16cid:durableId="183399180">
    <w:abstractNumId w:val="8"/>
  </w:num>
  <w:num w:numId="12" w16cid:durableId="345060052">
    <w:abstractNumId w:val="6"/>
  </w:num>
  <w:num w:numId="13" w16cid:durableId="1613783660">
    <w:abstractNumId w:val="5"/>
  </w:num>
  <w:num w:numId="14" w16cid:durableId="405303341">
    <w:abstractNumId w:val="5"/>
  </w:num>
  <w:num w:numId="15" w16cid:durableId="2008440284">
    <w:abstractNumId w:val="5"/>
  </w:num>
  <w:num w:numId="16" w16cid:durableId="307441185">
    <w:abstractNumId w:val="5"/>
  </w:num>
  <w:num w:numId="17" w16cid:durableId="1003969257">
    <w:abstractNumId w:val="5"/>
  </w:num>
  <w:num w:numId="18" w16cid:durableId="17018546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A2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977DE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58A2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C634A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3AA6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1A26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94762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7AE9F"/>
  <w15:chartTrackingRefBased/>
  <w15:docId w15:val="{4B01C55A-9F6F-4293-9316-111EFA89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1A26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B01A26"/>
    <w:pPr>
      <w:keepNext/>
      <w:keepLines/>
      <w:numPr>
        <w:numId w:val="18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B01A26"/>
    <w:pPr>
      <w:numPr>
        <w:ilvl w:val="1"/>
        <w:numId w:val="18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B01A26"/>
    <w:pPr>
      <w:numPr>
        <w:ilvl w:val="2"/>
        <w:numId w:val="18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B01A26"/>
    <w:pPr>
      <w:numPr>
        <w:ilvl w:val="3"/>
        <w:numId w:val="18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B01A26"/>
    <w:pPr>
      <w:numPr>
        <w:ilvl w:val="4"/>
        <w:numId w:val="18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01A26"/>
    <w:pPr>
      <w:numPr>
        <w:ilvl w:val="5"/>
        <w:numId w:val="18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1A26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1A26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1A26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  <w:rsid w:val="00B01A26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B01A26"/>
  </w:style>
  <w:style w:type="table" w:customStyle="1" w:styleId="tblzat-mtrix">
    <w:name w:val="táblázat - mátrix"/>
    <w:basedOn w:val="Normltblzat"/>
    <w:uiPriority w:val="2"/>
    <w:qFormat/>
    <w:rsid w:val="00B01A2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B01A2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B01A26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B01A26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B01A2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B01A2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1A26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B01A26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1A2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B01A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01A26"/>
  </w:style>
  <w:style w:type="paragraph" w:styleId="llb">
    <w:name w:val="footer"/>
    <w:basedOn w:val="Norml"/>
    <w:link w:val="llbChar"/>
    <w:uiPriority w:val="99"/>
    <w:semiHidden/>
    <w:unhideWhenUsed/>
    <w:rsid w:val="00B01A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01A26"/>
  </w:style>
  <w:style w:type="paragraph" w:customStyle="1" w:styleId="Szmozs">
    <w:name w:val="Számozás"/>
    <w:basedOn w:val="Norml"/>
    <w:uiPriority w:val="4"/>
    <w:qFormat/>
    <w:rsid w:val="00B01A26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B01A26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B01A26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B01A26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B01A26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B01A26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B01A26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B01A26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B01A26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B01A26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1A26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1A26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1A26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B01A26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B01A26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B01A26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B01A26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B01A26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B01A26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01A26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B01A26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B01A26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B01A26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01A26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01A26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B01A26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B01A26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B01A26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01A26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B01A26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B01A26"/>
  </w:style>
  <w:style w:type="character" w:styleId="Finomhivatkozs">
    <w:name w:val="Subtle Reference"/>
    <w:basedOn w:val="Bekezdsalapbettpusa"/>
    <w:uiPriority w:val="31"/>
    <w:rsid w:val="00B01A26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B01A26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B01A26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B01A26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B01A26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B01A26"/>
  </w:style>
  <w:style w:type="paragraph" w:styleId="Alcm">
    <w:name w:val="Subtitle"/>
    <w:basedOn w:val="Norml"/>
    <w:next w:val="Norml"/>
    <w:link w:val="AlcmChar"/>
    <w:uiPriority w:val="11"/>
    <w:rsid w:val="00B01A26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B01A26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B01A26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B01A26"/>
  </w:style>
  <w:style w:type="paragraph" w:customStyle="1" w:styleId="Erskiemels1">
    <w:name w:val="Erős kiemelés1"/>
    <w:basedOn w:val="Norml"/>
    <w:link w:val="ErskiemelsChar"/>
    <w:uiPriority w:val="5"/>
    <w:qFormat/>
    <w:rsid w:val="00B01A26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B01A26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B01A26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B01A26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B01A26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01A26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B01A26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B01A26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B01A26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B01A26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B01A26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B01A26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B01A26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B01A26"/>
  </w:style>
  <w:style w:type="character" w:styleId="Kiemels2">
    <w:name w:val="Strong"/>
    <w:basedOn w:val="Bekezdsalapbettpusa"/>
    <w:uiPriority w:val="22"/>
    <w:rsid w:val="00B01A26"/>
    <w:rPr>
      <w:b/>
      <w:bCs/>
    </w:rPr>
  </w:style>
  <w:style w:type="character" w:styleId="Kiemels">
    <w:name w:val="Emphasis"/>
    <w:basedOn w:val="Bekezdsalapbettpusa"/>
    <w:uiPriority w:val="6"/>
    <w:qFormat/>
    <w:rsid w:val="00B01A26"/>
    <w:rPr>
      <w:i/>
      <w:iCs/>
    </w:rPr>
  </w:style>
  <w:style w:type="paragraph" w:styleId="Nincstrkz">
    <w:name w:val="No Spacing"/>
    <w:basedOn w:val="Norml"/>
    <w:uiPriority w:val="1"/>
    <w:rsid w:val="00B01A26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B01A26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B01A26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B01A26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1A26"/>
    <w:rPr>
      <w:b/>
      <w:i/>
    </w:rPr>
  </w:style>
  <w:style w:type="character" w:styleId="Erskiemels">
    <w:name w:val="Intense Emphasis"/>
    <w:basedOn w:val="Bekezdsalapbettpusa"/>
    <w:uiPriority w:val="21"/>
    <w:rsid w:val="00B01A26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B01A26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01A26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B01A26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B01A2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B01A26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B01A26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B01A2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B01A26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B01A2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B01A26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B01A26"/>
  </w:style>
  <w:style w:type="paragraph" w:customStyle="1" w:styleId="ENNormalBox">
    <w:name w:val="EN_Normal_Box"/>
    <w:basedOn w:val="Norml"/>
    <w:uiPriority w:val="1"/>
    <w:qFormat/>
    <w:rsid w:val="00B01A2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B01A26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B01A26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B01A2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B01A26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B01A26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B01A2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B01A26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B01A26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B01A2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B01A26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B01A26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B01A2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B01A26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B01A26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B01A2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B01A26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B01A26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B01A2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B01A26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B01A26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B01A26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B01A26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B01A26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B01A26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Lakatos Máté Dr.</dc:creator>
  <cp:keywords/>
  <dc:description/>
  <cp:lastModifiedBy>Lakatos Máté Dr.</cp:lastModifiedBy>
  <cp:revision>2</cp:revision>
  <cp:lastPrinted>1900-12-31T23:00:00Z</cp:lastPrinted>
  <dcterms:created xsi:type="dcterms:W3CDTF">2025-09-08T09:21:00Z</dcterms:created>
  <dcterms:modified xsi:type="dcterms:W3CDTF">2025-09-08T09:21:00Z</dcterms:modified>
</cp:coreProperties>
</file>